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1169B" w14:textId="77777777" w:rsidR="001B68EB" w:rsidRPr="001E66EF" w:rsidRDefault="001B68EB" w:rsidP="00236641"/>
    <w:p w14:paraId="7C3D0A34" w14:textId="77777777" w:rsidR="001B68EB" w:rsidRPr="001E66EF" w:rsidRDefault="001B68EB" w:rsidP="00236641"/>
    <w:p w14:paraId="4CBD5B2F" w14:textId="77777777" w:rsidR="00A075A5" w:rsidRPr="001E66EF" w:rsidRDefault="00A075A5" w:rsidP="00236641"/>
    <w:p w14:paraId="1760024D" w14:textId="77777777" w:rsidR="00A075A5" w:rsidRPr="001E66EF" w:rsidRDefault="00A075A5" w:rsidP="00236641"/>
    <w:p w14:paraId="594510D9" w14:textId="77777777" w:rsidR="00A075A5" w:rsidRPr="001E66EF" w:rsidRDefault="00A075A5" w:rsidP="00236641"/>
    <w:p w14:paraId="49A43C9C" w14:textId="77777777" w:rsidR="00A075A5" w:rsidRPr="001E66EF" w:rsidRDefault="00A075A5" w:rsidP="00236641"/>
    <w:p w14:paraId="3CB5F61A" w14:textId="77777777" w:rsidR="00A075A5" w:rsidRPr="001E66EF" w:rsidRDefault="00A075A5" w:rsidP="00236641"/>
    <w:p w14:paraId="2BAF1D96" w14:textId="77777777" w:rsidR="00A075A5" w:rsidRPr="001E66EF" w:rsidRDefault="00A075A5" w:rsidP="00236641"/>
    <w:p w14:paraId="780ECAAC" w14:textId="475BE523" w:rsidR="00A075A5" w:rsidRPr="001E66EF" w:rsidRDefault="001E66EF" w:rsidP="00236641">
      <w:r w:rsidRPr="001E66EF">
        <w:rPr>
          <w:noProof/>
          <w:lang w:eastAsia="en-NZ"/>
        </w:rPr>
        <mc:AlternateContent>
          <mc:Choice Requires="wps">
            <w:drawing>
              <wp:anchor distT="0" distB="0" distL="114300" distR="114300" simplePos="0" relativeHeight="251665408" behindDoc="0" locked="0" layoutInCell="1" allowOverlap="1" wp14:anchorId="1DC5936F" wp14:editId="6AE5C40A">
                <wp:simplePos x="0" y="0"/>
                <wp:positionH relativeFrom="column">
                  <wp:posOffset>-503393</wp:posOffset>
                </wp:positionH>
                <wp:positionV relativeFrom="paragraph">
                  <wp:posOffset>122555</wp:posOffset>
                </wp:positionV>
                <wp:extent cx="6264613" cy="2422187"/>
                <wp:effectExtent l="0" t="0" r="0" b="0"/>
                <wp:wrapNone/>
                <wp:docPr id="5" name="Text Box 5"/>
                <wp:cNvGraphicFramePr/>
                <a:graphic xmlns:a="http://schemas.openxmlformats.org/drawingml/2006/main">
                  <a:graphicData uri="http://schemas.microsoft.com/office/word/2010/wordprocessingShape">
                    <wps:wsp>
                      <wps:cNvSpPr txBox="1"/>
                      <wps:spPr>
                        <a:xfrm>
                          <a:off x="0" y="0"/>
                          <a:ext cx="6264613" cy="24221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DF91D" w14:textId="0498C076" w:rsidR="00620C24" w:rsidRPr="001E66EF" w:rsidRDefault="00620C24" w:rsidP="009905B6">
                            <w:pPr>
                              <w:pStyle w:val="InsideMainHeading"/>
                              <w:jc w:val="left"/>
                              <w:rPr>
                                <w:color w:val="FFFFFF" w:themeColor="background1"/>
                                <w:sz w:val="48"/>
                              </w:rPr>
                            </w:pPr>
                            <w:r w:rsidRPr="001E66EF">
                              <w:rPr>
                                <w:color w:val="FFFFFF" w:themeColor="background1"/>
                                <w:sz w:val="48"/>
                              </w:rPr>
                              <w:t>Air Quality Cost-Benefit Analysis</w:t>
                            </w:r>
                            <w:r>
                              <w:rPr>
                                <w:color w:val="FFFFFF" w:themeColor="background1"/>
                                <w:sz w:val="48"/>
                              </w:rPr>
                              <w:t xml:space="preserve"> – Update</w:t>
                            </w:r>
                          </w:p>
                          <w:p w14:paraId="0B9EA5AD" w14:textId="77777777" w:rsidR="00620C24" w:rsidRDefault="00620C24" w:rsidP="00772297">
                            <w:pPr>
                              <w:pStyle w:val="InsideSub-Heading"/>
                              <w:jc w:val="left"/>
                              <w:rPr>
                                <w:color w:val="FFFFFF" w:themeColor="background1"/>
                                <w:sz w:val="44"/>
                              </w:rPr>
                            </w:pPr>
                            <w:r w:rsidRPr="001E66EF">
                              <w:rPr>
                                <w:color w:val="FFFFFF" w:themeColor="background1"/>
                                <w:sz w:val="44"/>
                              </w:rPr>
                              <w:t>Review of the National Environmental Standards</w:t>
                            </w:r>
                          </w:p>
                          <w:p w14:paraId="54FA99F6" w14:textId="6C8EE05D" w:rsidR="00620C24" w:rsidRPr="001E66EF" w:rsidRDefault="00620C24" w:rsidP="00772297">
                            <w:pPr>
                              <w:pStyle w:val="InsideSub-Heading"/>
                              <w:jc w:val="left"/>
                              <w:rPr>
                                <w:color w:val="FFFFFF" w:themeColor="background1"/>
                                <w:sz w:val="44"/>
                              </w:rPr>
                            </w:pPr>
                            <w:r w:rsidRPr="001E66EF">
                              <w:rPr>
                                <w:color w:val="FFFFFF" w:themeColor="background1"/>
                                <w:sz w:val="44"/>
                              </w:rPr>
                              <w:t>for Air Quality– Policy Options</w:t>
                            </w:r>
                            <w:r>
                              <w:rPr>
                                <w:color w:val="FFFFFF" w:themeColor="background1"/>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C5936F" id="_x0000_t202" coordsize="21600,21600" o:spt="202" path="m,l,21600r21600,l21600,xe">
                <v:stroke joinstyle="miter"/>
                <v:path gradientshapeok="t" o:connecttype="rect"/>
              </v:shapetype>
              <v:shape id="Text Box 5" o:spid="_x0000_s1026" type="#_x0000_t202" style="position:absolute;left:0;text-align:left;margin-left:-39.65pt;margin-top:9.65pt;width:493.3pt;height:19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" filled="f" stroked="f" strokeweight=".5pt">
                <v:textbox>
                  <w:txbxContent>
                    <w:p w14:paraId="4B6DF91D" w14:textId="0498C076" w:rsidR="00620C24" w:rsidRPr="001E66EF" w:rsidRDefault="00620C24" w:rsidP="009905B6">
                      <w:pPr>
                        <w:pStyle w:val="InsideMainHeading"/>
                        <w:jc w:val="left"/>
                        <w:rPr>
                          <w:color w:val="FFFFFF" w:themeColor="background1"/>
                          <w:sz w:val="48"/>
                        </w:rPr>
                      </w:pPr>
                      <w:r w:rsidRPr="001E66EF">
                        <w:rPr>
                          <w:color w:val="FFFFFF" w:themeColor="background1"/>
                          <w:sz w:val="48"/>
                        </w:rPr>
                        <w:t>Air Quality Cost-Benefit Analysis</w:t>
                      </w:r>
                      <w:r>
                        <w:rPr>
                          <w:color w:val="FFFFFF" w:themeColor="background1"/>
                          <w:sz w:val="48"/>
                        </w:rPr>
                        <w:t xml:space="preserve"> – Update</w:t>
                      </w:r>
                    </w:p>
                    <w:p w14:paraId="0B9EA5AD" w14:textId="77777777" w:rsidR="00620C24" w:rsidRDefault="00620C24" w:rsidP="00772297">
                      <w:pPr>
                        <w:pStyle w:val="InsideSub-Heading"/>
                        <w:jc w:val="left"/>
                        <w:rPr>
                          <w:color w:val="FFFFFF" w:themeColor="background1"/>
                          <w:sz w:val="44"/>
                        </w:rPr>
                      </w:pPr>
                      <w:r w:rsidRPr="001E66EF">
                        <w:rPr>
                          <w:color w:val="FFFFFF" w:themeColor="background1"/>
                          <w:sz w:val="44"/>
                        </w:rPr>
                        <w:t>Review of the National Environmental Standards</w:t>
                      </w:r>
                    </w:p>
                    <w:p w14:paraId="54FA99F6" w14:textId="6C8EE05D" w:rsidR="00620C24" w:rsidRPr="001E66EF" w:rsidRDefault="00620C24" w:rsidP="00772297">
                      <w:pPr>
                        <w:pStyle w:val="InsideSub-Heading"/>
                        <w:jc w:val="left"/>
                        <w:rPr>
                          <w:color w:val="FFFFFF" w:themeColor="background1"/>
                          <w:sz w:val="44"/>
                        </w:rPr>
                      </w:pPr>
                      <w:r w:rsidRPr="001E66EF">
                        <w:rPr>
                          <w:color w:val="FFFFFF" w:themeColor="background1"/>
                          <w:sz w:val="44"/>
                        </w:rPr>
                        <w:t>for Air Quality– Policy Options</w:t>
                      </w:r>
                      <w:r>
                        <w:rPr>
                          <w:color w:val="FFFFFF" w:themeColor="background1"/>
                          <w:sz w:val="44"/>
                        </w:rPr>
                        <w:t xml:space="preserve"> </w:t>
                      </w:r>
                    </w:p>
                  </w:txbxContent>
                </v:textbox>
              </v:shape>
            </w:pict>
          </mc:Fallback>
        </mc:AlternateContent>
      </w:r>
    </w:p>
    <w:p w14:paraId="6A8217C0" w14:textId="524F4D78" w:rsidR="00A075A5" w:rsidRPr="001E66EF" w:rsidRDefault="00A075A5" w:rsidP="00236641"/>
    <w:p w14:paraId="1BD616EA" w14:textId="75A8E5EE" w:rsidR="00A075A5" w:rsidRPr="001E66EF" w:rsidRDefault="00A075A5" w:rsidP="00236641"/>
    <w:p w14:paraId="7F39D3A3" w14:textId="77777777" w:rsidR="00A075A5" w:rsidRPr="001E66EF" w:rsidRDefault="00A075A5" w:rsidP="00236641"/>
    <w:p w14:paraId="6879231A" w14:textId="77777777" w:rsidR="00A075A5" w:rsidRPr="001E66EF" w:rsidRDefault="00A075A5" w:rsidP="00236641"/>
    <w:p w14:paraId="0A448546" w14:textId="77777777" w:rsidR="00A075A5" w:rsidRPr="001E66EF" w:rsidRDefault="00A075A5" w:rsidP="00236641"/>
    <w:p w14:paraId="01B98655" w14:textId="77777777" w:rsidR="00A075A5" w:rsidRPr="001E66EF" w:rsidRDefault="00A075A5" w:rsidP="00236641"/>
    <w:p w14:paraId="45630B53" w14:textId="77777777" w:rsidR="00A075A5" w:rsidRPr="001E66EF" w:rsidRDefault="00A075A5" w:rsidP="00236641"/>
    <w:p w14:paraId="03B63B96" w14:textId="77777777" w:rsidR="00A075A5" w:rsidRPr="001E66EF" w:rsidRDefault="00A075A5" w:rsidP="00236641"/>
    <w:p w14:paraId="0118981A" w14:textId="77777777" w:rsidR="004E3DB0" w:rsidRPr="001E66EF" w:rsidRDefault="004E3DB0" w:rsidP="00783CA4">
      <w:pPr>
        <w:pStyle w:val="romannolist"/>
        <w:numPr>
          <w:ilvl w:val="0"/>
          <w:numId w:val="0"/>
        </w:numPr>
        <w:ind w:left="1440"/>
      </w:pPr>
    </w:p>
    <w:p w14:paraId="0D8909EA" w14:textId="77777777" w:rsidR="001E66EF" w:rsidRPr="001E66EF" w:rsidRDefault="00A075A5" w:rsidP="009905B6">
      <w:pPr>
        <w:pStyle w:val="CoverClientName"/>
        <w:jc w:val="left"/>
        <w:rPr>
          <w:sz w:val="24"/>
        </w:rPr>
      </w:pPr>
      <w:r w:rsidRPr="001E66EF">
        <w:rPr>
          <w:sz w:val="24"/>
        </w:rPr>
        <w:t xml:space="preserve">Prepared for: </w:t>
      </w:r>
    </w:p>
    <w:p w14:paraId="533200B3" w14:textId="5D4E1266" w:rsidR="001B68EB" w:rsidRPr="001E66EF" w:rsidRDefault="00012C71" w:rsidP="009905B6">
      <w:pPr>
        <w:pStyle w:val="CoverClientName"/>
        <w:jc w:val="left"/>
        <w:rPr>
          <w:sz w:val="24"/>
        </w:rPr>
      </w:pPr>
      <w:r w:rsidRPr="001E66EF">
        <w:rPr>
          <w:sz w:val="24"/>
        </w:rPr>
        <w:t>The Ministry for the Environment (MfE)</w:t>
      </w:r>
    </w:p>
    <w:p w14:paraId="4051BAC4" w14:textId="77777777" w:rsidR="00A075A5" w:rsidRPr="001E66EF" w:rsidRDefault="00A075A5" w:rsidP="00236641"/>
    <w:p w14:paraId="1A76CA5F" w14:textId="77777777" w:rsidR="00772297" w:rsidRPr="001E66EF" w:rsidRDefault="00772297" w:rsidP="00236641"/>
    <w:p w14:paraId="5A3E57D5" w14:textId="434FB747" w:rsidR="00A075A5" w:rsidRPr="001E66EF" w:rsidRDefault="00A075A5" w:rsidP="00236641">
      <w:pPr>
        <w:pStyle w:val="CoverDateStatus"/>
        <w:rPr>
          <w:sz w:val="22"/>
        </w:rPr>
      </w:pPr>
      <w:r w:rsidRPr="001E66EF">
        <w:rPr>
          <w:sz w:val="22"/>
        </w:rPr>
        <w:t xml:space="preserve">Date: </w:t>
      </w:r>
      <w:r w:rsidR="006C667D">
        <w:rPr>
          <w:sz w:val="22"/>
        </w:rPr>
        <w:t>25</w:t>
      </w:r>
      <w:r w:rsidR="008D2366">
        <w:rPr>
          <w:sz w:val="22"/>
        </w:rPr>
        <w:t xml:space="preserve"> </w:t>
      </w:r>
      <w:r w:rsidR="00130E40">
        <w:rPr>
          <w:sz w:val="22"/>
        </w:rPr>
        <w:t>November 2019</w:t>
      </w:r>
    </w:p>
    <w:p w14:paraId="6981F8FD" w14:textId="207CF6A9" w:rsidR="00A075A5" w:rsidRPr="001E66EF" w:rsidRDefault="001E66EF" w:rsidP="004E3DB0">
      <w:pPr>
        <w:pStyle w:val="CoverDateStatus"/>
      </w:pPr>
      <w:r w:rsidRPr="001E66EF">
        <w:rPr>
          <w:noProof/>
          <w:lang w:eastAsia="en-NZ"/>
        </w:rPr>
        <w:drawing>
          <wp:anchor distT="0" distB="0" distL="114300" distR="114300" simplePos="0" relativeHeight="251680768" behindDoc="0" locked="0" layoutInCell="1" allowOverlap="1" wp14:anchorId="20FF75FB" wp14:editId="4951D3BB">
            <wp:simplePos x="0" y="0"/>
            <wp:positionH relativeFrom="column">
              <wp:posOffset>-315310</wp:posOffset>
            </wp:positionH>
            <wp:positionV relativeFrom="paragraph">
              <wp:posOffset>835573</wp:posOffset>
            </wp:positionV>
            <wp:extent cx="1996327" cy="110671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_CON_B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6327" cy="1106710"/>
                    </a:xfrm>
                    <a:prstGeom prst="rect">
                      <a:avLst/>
                    </a:prstGeom>
                  </pic:spPr>
                </pic:pic>
              </a:graphicData>
            </a:graphic>
            <wp14:sizeRelH relativeFrom="page">
              <wp14:pctWidth>0</wp14:pctWidth>
            </wp14:sizeRelH>
            <wp14:sizeRelV relativeFrom="page">
              <wp14:pctHeight>0</wp14:pctHeight>
            </wp14:sizeRelV>
          </wp:anchor>
        </w:drawing>
      </w:r>
    </w:p>
    <w:p w14:paraId="36485B94" w14:textId="6C44A50E" w:rsidR="00884008" w:rsidRPr="001E66EF" w:rsidRDefault="00884008" w:rsidP="004E3DB0">
      <w:pPr>
        <w:pStyle w:val="CoverDateStatus"/>
        <w:sectPr w:rsidR="00884008" w:rsidRPr="001E66EF" w:rsidSect="00EA5D9D">
          <w:headerReference w:type="default" r:id="rId9"/>
          <w:pgSz w:w="11907" w:h="16839" w:code="9"/>
          <w:pgMar w:top="1008" w:right="1152" w:bottom="1728" w:left="1440" w:header="720" w:footer="720" w:gutter="0"/>
          <w:cols w:space="720"/>
          <w:docGrid w:linePitch="360"/>
        </w:sectPr>
      </w:pPr>
    </w:p>
    <w:p w14:paraId="33620AEE" w14:textId="77777777" w:rsidR="00EC5E6E" w:rsidRPr="001E66EF" w:rsidRDefault="00EC5E6E" w:rsidP="00236641"/>
    <w:p w14:paraId="534A2600" w14:textId="77777777" w:rsidR="00326555" w:rsidRPr="001E66EF" w:rsidRDefault="00326555" w:rsidP="00236641"/>
    <w:p w14:paraId="5EA0AA29" w14:textId="77777777" w:rsidR="00326555" w:rsidRPr="001E66EF" w:rsidRDefault="00326555" w:rsidP="00236641"/>
    <w:p w14:paraId="54ACD0C4" w14:textId="1B6946E1" w:rsidR="00CD01E8" w:rsidRPr="001E66EF" w:rsidRDefault="00CD01E8" w:rsidP="00CD01E8">
      <w:pPr>
        <w:pStyle w:val="InsideDocumentDetails"/>
      </w:pPr>
      <w:r w:rsidRPr="001E66EF">
        <w:t>Document reference</w:t>
      </w:r>
      <w:r w:rsidRPr="00130E40">
        <w:t xml:space="preserve">: </w:t>
      </w:r>
      <w:r w:rsidR="00B1493E" w:rsidRPr="00130E40">
        <w:t xml:space="preserve">MfE </w:t>
      </w:r>
      <w:r w:rsidR="00130E40" w:rsidRPr="00130E40">
        <w:t>012.19</w:t>
      </w:r>
      <w:r w:rsidR="00B1493E" w:rsidRPr="00130E40">
        <w:t xml:space="preserve"> </w:t>
      </w:r>
      <w:r w:rsidR="00297094" w:rsidRPr="00130E40">
        <w:t>Air Quality CBA</w:t>
      </w:r>
      <w:r w:rsidR="00130E40">
        <w:t xml:space="preserve"> 2019 update</w:t>
      </w:r>
    </w:p>
    <w:p w14:paraId="04D1E24C" w14:textId="1DC8F0F7" w:rsidR="00CD01E8" w:rsidRPr="001E66EF" w:rsidRDefault="00CD01E8" w:rsidP="00CD01E8">
      <w:pPr>
        <w:pStyle w:val="InsideDocumentDetails"/>
      </w:pPr>
      <w:r w:rsidRPr="001E66EF">
        <w:t xml:space="preserve">Date of this version: </w:t>
      </w:r>
      <w:r w:rsidR="00615FBC" w:rsidRPr="001E66EF">
        <w:tab/>
      </w:r>
      <w:r w:rsidR="00C55889">
        <w:t>2</w:t>
      </w:r>
      <w:r w:rsidR="00620C24">
        <w:t>5</w:t>
      </w:r>
      <w:r w:rsidR="009A684D">
        <w:t>/</w:t>
      </w:r>
      <w:r w:rsidR="0037430D">
        <w:t>11</w:t>
      </w:r>
      <w:r w:rsidR="000A61FB" w:rsidRPr="001E66EF">
        <w:t>/201</w:t>
      </w:r>
      <w:r w:rsidR="0037430D">
        <w:t>9</w:t>
      </w:r>
    </w:p>
    <w:p w14:paraId="02E33117" w14:textId="5A2C6792" w:rsidR="00CD01E8" w:rsidRPr="001E66EF" w:rsidRDefault="00CD01E8" w:rsidP="00CD01E8">
      <w:pPr>
        <w:pStyle w:val="InsideDocumentDetails"/>
      </w:pPr>
      <w:r w:rsidRPr="001E66EF">
        <w:t xml:space="preserve">Report author(s): </w:t>
      </w:r>
      <w:r w:rsidR="004B209A" w:rsidRPr="001E66EF">
        <w:tab/>
      </w:r>
      <w:r w:rsidR="000A61FB" w:rsidRPr="001E66EF">
        <w:t>Greg Akehurst</w:t>
      </w:r>
    </w:p>
    <w:p w14:paraId="60DEEAAA" w14:textId="586F72D7" w:rsidR="000A61FB" w:rsidRPr="001E66EF" w:rsidRDefault="004B209A" w:rsidP="00357BB4">
      <w:pPr>
        <w:pStyle w:val="InsideDocumentDetails"/>
      </w:pPr>
      <w:r w:rsidRPr="001E66EF">
        <w:tab/>
      </w:r>
      <w:r w:rsidRPr="001E66EF">
        <w:tab/>
      </w:r>
      <w:r w:rsidRPr="001E66EF">
        <w:tab/>
        <w:t>T</w:t>
      </w:r>
      <w:r w:rsidR="000A61FB" w:rsidRPr="001E66EF">
        <w:t>illy Erasmus</w:t>
      </w:r>
    </w:p>
    <w:p w14:paraId="25C1B3F5" w14:textId="6A1B39D1" w:rsidR="00EC5E6E" w:rsidRPr="001E66EF" w:rsidRDefault="00357BB4" w:rsidP="00236641">
      <w:r w:rsidRPr="001E66EF">
        <w:tab/>
      </w:r>
      <w:r w:rsidRPr="001E66EF">
        <w:tab/>
      </w:r>
      <w:r w:rsidRPr="001E66EF">
        <w:rPr>
          <w:sz w:val="24"/>
        </w:rPr>
        <w:t>Lawrence McIlrath</w:t>
      </w:r>
    </w:p>
    <w:p w14:paraId="3185F90B" w14:textId="77777777" w:rsidR="00357BB4" w:rsidRPr="001E66EF" w:rsidRDefault="00357BB4" w:rsidP="00236641"/>
    <w:p w14:paraId="13218ACF" w14:textId="290CF1D5" w:rsidR="00CD01E8" w:rsidRPr="001E66EF" w:rsidRDefault="00CD01E8" w:rsidP="00CD01E8">
      <w:pPr>
        <w:pStyle w:val="Default"/>
        <w:rPr>
          <w:rFonts w:ascii="Calibri Light" w:hAnsi="Calibri Light"/>
          <w:sz w:val="23"/>
          <w:szCs w:val="23"/>
        </w:rPr>
      </w:pPr>
      <w:r w:rsidRPr="001E66EF">
        <w:rPr>
          <w:rFonts w:ascii="Calibri Light" w:hAnsi="Calibri Light"/>
          <w:sz w:val="23"/>
          <w:szCs w:val="23"/>
        </w:rPr>
        <w:t xml:space="preserve">Contact person: </w:t>
      </w:r>
      <w:r w:rsidR="00996D98" w:rsidRPr="001E66EF">
        <w:rPr>
          <w:rFonts w:ascii="Calibri Light" w:hAnsi="Calibri Light"/>
          <w:sz w:val="23"/>
          <w:szCs w:val="23"/>
        </w:rPr>
        <w:tab/>
      </w:r>
      <w:r w:rsidR="001B7DB5" w:rsidRPr="001E66EF">
        <w:rPr>
          <w:rFonts w:ascii="Calibri Light" w:hAnsi="Calibri Light"/>
          <w:sz w:val="23"/>
          <w:szCs w:val="23"/>
        </w:rPr>
        <w:t>Lawrence McIlrath</w:t>
      </w:r>
      <w:r w:rsidRPr="001E66EF">
        <w:rPr>
          <w:rFonts w:ascii="Calibri Light" w:hAnsi="Calibri Light"/>
          <w:sz w:val="23"/>
          <w:szCs w:val="23"/>
        </w:rPr>
        <w:t xml:space="preserve"> </w:t>
      </w:r>
    </w:p>
    <w:p w14:paraId="08D6E1A6" w14:textId="36512FAA" w:rsidR="00CD01E8" w:rsidRPr="001E66EF" w:rsidRDefault="004A5652" w:rsidP="00CD01E8">
      <w:pPr>
        <w:pStyle w:val="Default"/>
        <w:rPr>
          <w:rFonts w:ascii="Calibri Light" w:hAnsi="Calibri Light"/>
          <w:sz w:val="23"/>
          <w:szCs w:val="23"/>
        </w:rPr>
      </w:pPr>
      <w:r w:rsidRPr="001E66EF">
        <w:rPr>
          <w:rFonts w:ascii="Calibri Light" w:hAnsi="Calibri Light"/>
          <w:sz w:val="23"/>
          <w:szCs w:val="23"/>
        </w:rPr>
        <w:t xml:space="preserve">DDI: </w:t>
      </w:r>
      <w:r w:rsidR="00996D98" w:rsidRPr="001E66EF">
        <w:rPr>
          <w:rFonts w:ascii="Calibri Light" w:hAnsi="Calibri Light"/>
          <w:sz w:val="23"/>
          <w:szCs w:val="23"/>
        </w:rPr>
        <w:tab/>
      </w:r>
      <w:r w:rsidR="00996D98" w:rsidRPr="001E66EF">
        <w:rPr>
          <w:rFonts w:ascii="Calibri Light" w:hAnsi="Calibri Light"/>
          <w:sz w:val="23"/>
          <w:szCs w:val="23"/>
        </w:rPr>
        <w:tab/>
      </w:r>
      <w:r w:rsidR="00996D98" w:rsidRPr="001E66EF">
        <w:rPr>
          <w:rFonts w:ascii="Calibri Light" w:hAnsi="Calibri Light"/>
          <w:sz w:val="23"/>
          <w:szCs w:val="23"/>
        </w:rPr>
        <w:tab/>
      </w:r>
      <w:r w:rsidR="001B7DB5" w:rsidRPr="001E66EF">
        <w:rPr>
          <w:rFonts w:ascii="Calibri Light" w:hAnsi="Calibri Light"/>
          <w:sz w:val="23"/>
          <w:szCs w:val="23"/>
        </w:rPr>
        <w:t>09 915 5523</w:t>
      </w:r>
      <w:r w:rsidR="00CD01E8" w:rsidRPr="001E66EF">
        <w:rPr>
          <w:rFonts w:ascii="Calibri Light" w:hAnsi="Calibri Light"/>
          <w:sz w:val="23"/>
          <w:szCs w:val="23"/>
        </w:rPr>
        <w:t xml:space="preserve"> </w:t>
      </w:r>
    </w:p>
    <w:p w14:paraId="7D9F6F89" w14:textId="7FC8948A" w:rsidR="004E3DB0" w:rsidRPr="001E66EF" w:rsidRDefault="004A5652" w:rsidP="00CD01E8">
      <w:pPr>
        <w:ind w:left="0"/>
      </w:pPr>
      <w:r w:rsidRPr="001E66EF">
        <w:rPr>
          <w:sz w:val="23"/>
          <w:szCs w:val="23"/>
        </w:rPr>
        <w:t>Email:</w:t>
      </w:r>
      <w:r w:rsidR="00996D98" w:rsidRPr="001E66EF">
        <w:rPr>
          <w:sz w:val="23"/>
          <w:szCs w:val="23"/>
        </w:rPr>
        <w:tab/>
      </w:r>
      <w:r w:rsidR="00996D98" w:rsidRPr="001E66EF">
        <w:rPr>
          <w:sz w:val="23"/>
          <w:szCs w:val="23"/>
        </w:rPr>
        <w:tab/>
      </w:r>
      <w:r w:rsidR="00996D98" w:rsidRPr="001E66EF">
        <w:rPr>
          <w:sz w:val="23"/>
          <w:szCs w:val="23"/>
        </w:rPr>
        <w:tab/>
      </w:r>
      <w:r w:rsidR="001B7DB5" w:rsidRPr="001E66EF">
        <w:rPr>
          <w:sz w:val="23"/>
          <w:szCs w:val="23"/>
        </w:rPr>
        <w:t>lawrence</w:t>
      </w:r>
      <w:r w:rsidR="00CD01E8" w:rsidRPr="001E66EF">
        <w:rPr>
          <w:sz w:val="23"/>
          <w:szCs w:val="23"/>
        </w:rPr>
        <w:t>@me.co.nz</w:t>
      </w:r>
    </w:p>
    <w:p w14:paraId="6886CBD6" w14:textId="77777777" w:rsidR="00B63FA3" w:rsidRPr="001E66EF" w:rsidRDefault="00B63FA3" w:rsidP="009905B6">
      <w:pPr>
        <w:pStyle w:val="InsideClientName"/>
        <w:jc w:val="left"/>
      </w:pPr>
    </w:p>
    <w:p w14:paraId="1646AE55" w14:textId="77777777" w:rsidR="00B63FA3" w:rsidRPr="001E66EF" w:rsidRDefault="00B63FA3" w:rsidP="002366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6"/>
        <w:gridCol w:w="142"/>
        <w:gridCol w:w="6196"/>
      </w:tblGrid>
      <w:tr w:rsidR="00CD01E8" w:rsidRPr="001E1238" w14:paraId="1F3195CB" w14:textId="77777777" w:rsidTr="00EA1F6C">
        <w:trPr>
          <w:trHeight w:val="433"/>
        </w:trPr>
        <w:tc>
          <w:tcPr>
            <w:tcW w:w="1701" w:type="dxa"/>
            <w:shd w:val="clear" w:color="auto" w:fill="auto"/>
            <w:vAlign w:val="bottom"/>
          </w:tcPr>
          <w:p w14:paraId="309AA156" w14:textId="77777777" w:rsidR="00CD01E8" w:rsidRPr="001E1238" w:rsidRDefault="004A5652" w:rsidP="004A5652">
            <w:pPr>
              <w:spacing w:after="0"/>
              <w:ind w:left="0"/>
              <w:rPr>
                <w:b/>
                <w:bCs/>
              </w:rPr>
            </w:pPr>
            <w:r w:rsidRPr="001E1238">
              <w:rPr>
                <w:b/>
                <w:bCs/>
              </w:rPr>
              <w:t>Date</w:t>
            </w:r>
          </w:p>
        </w:tc>
        <w:tc>
          <w:tcPr>
            <w:tcW w:w="1418" w:type="dxa"/>
            <w:gridSpan w:val="2"/>
            <w:shd w:val="clear" w:color="auto" w:fill="auto"/>
            <w:vAlign w:val="bottom"/>
          </w:tcPr>
          <w:p w14:paraId="372C2B65" w14:textId="77777777" w:rsidR="00CD01E8" w:rsidRPr="001E1238" w:rsidRDefault="004A5652" w:rsidP="004A5652">
            <w:pPr>
              <w:spacing w:after="0"/>
              <w:ind w:left="0"/>
              <w:rPr>
                <w:b/>
                <w:bCs/>
              </w:rPr>
            </w:pPr>
            <w:r w:rsidRPr="001E1238">
              <w:rPr>
                <w:b/>
                <w:bCs/>
              </w:rPr>
              <w:t>Version</w:t>
            </w:r>
          </w:p>
        </w:tc>
        <w:tc>
          <w:tcPr>
            <w:tcW w:w="6196" w:type="dxa"/>
            <w:shd w:val="clear" w:color="auto" w:fill="auto"/>
            <w:vAlign w:val="bottom"/>
          </w:tcPr>
          <w:p w14:paraId="3489A2A6" w14:textId="77777777" w:rsidR="00CD01E8" w:rsidRPr="001E1238" w:rsidRDefault="004A5652" w:rsidP="004A5652">
            <w:pPr>
              <w:spacing w:after="0"/>
              <w:ind w:left="0"/>
              <w:rPr>
                <w:b/>
                <w:bCs/>
              </w:rPr>
            </w:pPr>
            <w:r w:rsidRPr="001E1238">
              <w:rPr>
                <w:b/>
                <w:bCs/>
              </w:rPr>
              <w:t>Changes</w:t>
            </w:r>
          </w:p>
        </w:tc>
      </w:tr>
      <w:tr w:rsidR="00130E40" w:rsidRPr="001E66EF" w14:paraId="0108D3C2" w14:textId="77777777" w:rsidTr="001E1238">
        <w:trPr>
          <w:trHeight w:val="433"/>
        </w:trPr>
        <w:tc>
          <w:tcPr>
            <w:tcW w:w="1701" w:type="dxa"/>
            <w:tcBorders>
              <w:bottom w:val="single" w:sz="4" w:space="0" w:color="auto"/>
            </w:tcBorders>
            <w:shd w:val="clear" w:color="auto" w:fill="auto"/>
            <w:vAlign w:val="center"/>
          </w:tcPr>
          <w:p w14:paraId="4D027CA9" w14:textId="59F997BD" w:rsidR="00130E40" w:rsidRPr="001E66EF" w:rsidRDefault="00130E40" w:rsidP="00130E40">
            <w:pPr>
              <w:spacing w:after="0"/>
              <w:ind w:left="0"/>
            </w:pPr>
            <w:r w:rsidRPr="00130E40">
              <w:t>04/11/2019</w:t>
            </w:r>
          </w:p>
        </w:tc>
        <w:tc>
          <w:tcPr>
            <w:tcW w:w="1418" w:type="dxa"/>
            <w:gridSpan w:val="2"/>
            <w:tcBorders>
              <w:bottom w:val="single" w:sz="4" w:space="0" w:color="auto"/>
            </w:tcBorders>
            <w:shd w:val="clear" w:color="auto" w:fill="auto"/>
            <w:vAlign w:val="center"/>
          </w:tcPr>
          <w:p w14:paraId="73754B40" w14:textId="573F0ADF" w:rsidR="00130E40" w:rsidRPr="001E66EF" w:rsidRDefault="00130E40" w:rsidP="00130E40">
            <w:pPr>
              <w:spacing w:after="0"/>
              <w:ind w:left="0"/>
            </w:pPr>
            <w:r w:rsidRPr="00130E40">
              <w:t>Update</w:t>
            </w:r>
          </w:p>
        </w:tc>
        <w:tc>
          <w:tcPr>
            <w:tcW w:w="6196" w:type="dxa"/>
            <w:tcBorders>
              <w:bottom w:val="single" w:sz="4" w:space="0" w:color="auto"/>
            </w:tcBorders>
            <w:shd w:val="clear" w:color="auto" w:fill="auto"/>
            <w:vAlign w:val="center"/>
          </w:tcPr>
          <w:p w14:paraId="75D4D553" w14:textId="2890E55B" w:rsidR="00130E40" w:rsidRPr="001E66EF" w:rsidRDefault="00130E40" w:rsidP="00130E40">
            <w:pPr>
              <w:spacing w:after="0"/>
              <w:ind w:left="0"/>
            </w:pPr>
            <w:r w:rsidRPr="00130E40">
              <w:t>Preferred policy updated</w:t>
            </w:r>
          </w:p>
        </w:tc>
      </w:tr>
      <w:tr w:rsidR="00130E40" w:rsidRPr="001E66EF" w14:paraId="3BF28F66" w14:textId="77777777" w:rsidTr="0019216F">
        <w:trPr>
          <w:trHeight w:val="423"/>
        </w:trPr>
        <w:tc>
          <w:tcPr>
            <w:tcW w:w="1701" w:type="dxa"/>
            <w:shd w:val="clear" w:color="auto" w:fill="auto"/>
            <w:vAlign w:val="center"/>
          </w:tcPr>
          <w:p w14:paraId="2F31CC33" w14:textId="5799F88D" w:rsidR="00130E40" w:rsidRPr="00130E40" w:rsidRDefault="00C55889" w:rsidP="00130E40">
            <w:pPr>
              <w:spacing w:after="0"/>
              <w:ind w:left="0"/>
              <w:jc w:val="left"/>
            </w:pPr>
            <w:r>
              <w:t>2</w:t>
            </w:r>
            <w:r w:rsidR="006C667D">
              <w:t>5</w:t>
            </w:r>
            <w:r w:rsidR="008D2366">
              <w:t>/11/2019</w:t>
            </w:r>
          </w:p>
        </w:tc>
        <w:tc>
          <w:tcPr>
            <w:tcW w:w="1276" w:type="dxa"/>
            <w:shd w:val="clear" w:color="auto" w:fill="auto"/>
            <w:vAlign w:val="center"/>
          </w:tcPr>
          <w:p w14:paraId="24739C9E" w14:textId="1B1417EC" w:rsidR="00130E40" w:rsidRPr="00130E40" w:rsidRDefault="008D2366" w:rsidP="00130E40">
            <w:pPr>
              <w:spacing w:after="0"/>
              <w:ind w:left="0"/>
              <w:jc w:val="left"/>
            </w:pPr>
            <w:r>
              <w:t>Final Draft</w:t>
            </w:r>
          </w:p>
        </w:tc>
        <w:tc>
          <w:tcPr>
            <w:tcW w:w="6338" w:type="dxa"/>
            <w:gridSpan w:val="2"/>
            <w:shd w:val="clear" w:color="auto" w:fill="auto"/>
            <w:vAlign w:val="center"/>
          </w:tcPr>
          <w:p w14:paraId="024C15F2" w14:textId="5F33DAE3" w:rsidR="00130E40" w:rsidRPr="00130E40" w:rsidRDefault="008D2366" w:rsidP="00130E40">
            <w:pPr>
              <w:spacing w:after="0"/>
              <w:ind w:left="0"/>
              <w:jc w:val="left"/>
            </w:pPr>
            <w:r>
              <w:t>Updated to reflect feedback from the Ministry</w:t>
            </w:r>
          </w:p>
        </w:tc>
      </w:tr>
    </w:tbl>
    <w:p w14:paraId="2DA000AF" w14:textId="6F5F6E49" w:rsidR="00CA2E1E" w:rsidRPr="001E66EF" w:rsidRDefault="00CA2E1E" w:rsidP="00236641"/>
    <w:p w14:paraId="3AB21FAC" w14:textId="5F1C091C" w:rsidR="00F42D84" w:rsidRPr="001E66EF" w:rsidRDefault="00F42D84" w:rsidP="00236641"/>
    <w:p w14:paraId="51966970" w14:textId="1257C79B" w:rsidR="00F42D84" w:rsidRPr="001E66EF" w:rsidRDefault="00F42D84" w:rsidP="00236641"/>
    <w:p w14:paraId="7C51F3C2" w14:textId="6F015E79" w:rsidR="00F42D84" w:rsidRPr="001E66EF" w:rsidRDefault="00F42D84" w:rsidP="00236641"/>
    <w:p w14:paraId="229231AF" w14:textId="77777777" w:rsidR="00F42D84" w:rsidRPr="001E66EF" w:rsidRDefault="00F42D84" w:rsidP="00236641"/>
    <w:p w14:paraId="761D4553" w14:textId="77777777" w:rsidR="00B63FA3" w:rsidRPr="001E66EF" w:rsidRDefault="00B63FA3" w:rsidP="00236641">
      <w:pPr>
        <w:pStyle w:val="DisclaimerHeading"/>
      </w:pPr>
      <w:r w:rsidRPr="001E66EF">
        <w:t>Disclaimer</w:t>
      </w:r>
    </w:p>
    <w:p w14:paraId="0BAB2B6A" w14:textId="2DB7557E" w:rsidR="00326555" w:rsidRPr="001E66EF" w:rsidRDefault="00A413E2" w:rsidP="001E1238">
      <w:pPr>
        <w:pStyle w:val="DisclaimerText"/>
        <w:sectPr w:rsidR="00326555" w:rsidRPr="001E66EF" w:rsidSect="00EA5D9D">
          <w:headerReference w:type="default" r:id="rId10"/>
          <w:footerReference w:type="default" r:id="rId11"/>
          <w:pgSz w:w="11907" w:h="16839" w:code="9"/>
          <w:pgMar w:top="1008" w:right="1152" w:bottom="1728" w:left="1440" w:header="720" w:footer="720" w:gutter="0"/>
          <w:cols w:space="720"/>
          <w:docGrid w:linePitch="360"/>
        </w:sectPr>
      </w:pPr>
      <w:r w:rsidRPr="001E66EF">
        <w:rPr>
          <w:noProof/>
          <w:lang w:eastAsia="en-NZ"/>
        </w:rPr>
        <mc:AlternateContent>
          <mc:Choice Requires="wps">
            <w:drawing>
              <wp:anchor distT="0" distB="0" distL="114300" distR="114300" simplePos="0" relativeHeight="251661312" behindDoc="0" locked="0" layoutInCell="1" allowOverlap="1" wp14:anchorId="3ADF2D39" wp14:editId="2D772059">
                <wp:simplePos x="0" y="0"/>
                <wp:positionH relativeFrom="column">
                  <wp:posOffset>-914400</wp:posOffset>
                </wp:positionH>
                <wp:positionV relativeFrom="paragraph">
                  <wp:posOffset>908648</wp:posOffset>
                </wp:positionV>
                <wp:extent cx="7576820" cy="1498512"/>
                <wp:effectExtent l="0" t="0" r="5080" b="6985"/>
                <wp:wrapNone/>
                <wp:docPr id="2" name="Rectangle 2"/>
                <wp:cNvGraphicFramePr/>
                <a:graphic xmlns:a="http://schemas.openxmlformats.org/drawingml/2006/main">
                  <a:graphicData uri="http://schemas.microsoft.com/office/word/2010/wordprocessingShape">
                    <wps:wsp>
                      <wps:cNvSpPr/>
                      <wps:spPr>
                        <a:xfrm>
                          <a:off x="0" y="0"/>
                          <a:ext cx="7576820" cy="1498512"/>
                        </a:xfrm>
                        <a:prstGeom prst="rect">
                          <a:avLst/>
                        </a:prstGeom>
                        <a:solidFill>
                          <a:srgbClr val="0179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7CCD2" w14:textId="77777777" w:rsidR="00620C24" w:rsidRDefault="00620C24" w:rsidP="00790B1C">
                            <w:pPr>
                              <w:pStyle w:val="InsideAddress"/>
                              <w:tabs>
                                <w:tab w:val="left" w:pos="11250"/>
                              </w:tabs>
                            </w:pPr>
                            <w:r>
                              <w:t>Market Economics Limited</w:t>
                            </w:r>
                          </w:p>
                          <w:p w14:paraId="77996C2D" w14:textId="77777777" w:rsidR="00620C24" w:rsidRPr="00946845" w:rsidRDefault="00620C24" w:rsidP="00790B1C">
                            <w:pPr>
                              <w:pStyle w:val="InsideAddress"/>
                              <w:tabs>
                                <w:tab w:val="left" w:pos="11250"/>
                              </w:tabs>
                            </w:pPr>
                            <w:proofErr w:type="gramStart"/>
                            <w:r w:rsidRPr="00946845">
                              <w:t xml:space="preserve">Level </w:t>
                            </w:r>
                            <w:r>
                              <w:t xml:space="preserve"> </w:t>
                            </w:r>
                            <w:r w:rsidRPr="00946845">
                              <w:t>5</w:t>
                            </w:r>
                            <w:proofErr w:type="gramEnd"/>
                            <w:r w:rsidRPr="00946845">
                              <w:t>, 507 Lake Road</w:t>
                            </w:r>
                          </w:p>
                          <w:p w14:paraId="53D7FD06" w14:textId="77777777" w:rsidR="00620C24" w:rsidRPr="00946845" w:rsidRDefault="00620C24" w:rsidP="00790B1C">
                            <w:pPr>
                              <w:pStyle w:val="InsideAddress"/>
                              <w:tabs>
                                <w:tab w:val="left" w:pos="11250"/>
                              </w:tabs>
                            </w:pPr>
                            <w:r w:rsidRPr="00946845">
                              <w:t>PO Box 331 297</w:t>
                            </w:r>
                            <w:r>
                              <w:t>, Takapuna</w:t>
                            </w:r>
                          </w:p>
                          <w:p w14:paraId="2012A0A1" w14:textId="77777777" w:rsidR="00620C24" w:rsidRDefault="00620C24" w:rsidP="00790B1C">
                            <w:pPr>
                              <w:pStyle w:val="InsideAddress"/>
                              <w:tabs>
                                <w:tab w:val="left" w:pos="11250"/>
                              </w:tabs>
                            </w:pPr>
                            <w:r w:rsidRPr="00946845">
                              <w:t>Auckland 0740, NZ</w:t>
                            </w:r>
                          </w:p>
                          <w:p w14:paraId="05A904FA" w14:textId="77777777" w:rsidR="00620C24" w:rsidRDefault="00620C24" w:rsidP="00790B1C">
                            <w:pPr>
                              <w:pStyle w:val="InsideAddress"/>
                              <w:tabs>
                                <w:tab w:val="left" w:pos="11250"/>
                              </w:tabs>
                            </w:pPr>
                            <w:r w:rsidRPr="00946845">
                              <w:t>P 09 915 5510</w:t>
                            </w:r>
                          </w:p>
                          <w:p w14:paraId="40309F0C" w14:textId="77777777" w:rsidR="00620C24" w:rsidRPr="00946845" w:rsidRDefault="00620C24" w:rsidP="00790B1C">
                            <w:pPr>
                              <w:pStyle w:val="InsideAddress"/>
                              <w:tabs>
                                <w:tab w:val="left" w:pos="11250"/>
                              </w:tabs>
                            </w:pPr>
                          </w:p>
                        </w:txbxContent>
                      </wps:txbx>
                      <wps:bodyPr rot="0" spcFirstLastPara="0" vertOverflow="overflow" horzOverflow="overflow" vert="horz" wrap="square" lIns="91440" tIns="45720" rIns="36576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DF2D39" id="Rectangle 2" o:spid="_x0000_s1027" style="position:absolute;left:0;text-align:left;margin-left:-1in;margin-top:71.55pt;width:596.6pt;height:1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" fillcolor="#0179bb" stroked="f" strokeweight="2pt">
                <v:textbox inset=",,28.8pt">
                  <w:txbxContent>
                    <w:p w14:paraId="4197CCD2" w14:textId="77777777" w:rsidR="00620C24" w:rsidRDefault="00620C24" w:rsidP="00790B1C">
                      <w:pPr>
                        <w:pStyle w:val="InsideAddress"/>
                        <w:tabs>
                          <w:tab w:val="left" w:pos="11250"/>
                        </w:tabs>
                      </w:pPr>
                      <w:r>
                        <w:t>Market Economics Limited</w:t>
                      </w:r>
                    </w:p>
                    <w:p w14:paraId="77996C2D" w14:textId="77777777" w:rsidR="00620C24" w:rsidRPr="00946845" w:rsidRDefault="00620C24" w:rsidP="00790B1C">
                      <w:pPr>
                        <w:pStyle w:val="InsideAddress"/>
                        <w:tabs>
                          <w:tab w:val="left" w:pos="11250"/>
                        </w:tabs>
                      </w:pPr>
                      <w:proofErr w:type="gramStart"/>
                      <w:r w:rsidRPr="00946845">
                        <w:t xml:space="preserve">Level </w:t>
                      </w:r>
                      <w:r>
                        <w:t xml:space="preserve"> </w:t>
                      </w:r>
                      <w:r w:rsidRPr="00946845">
                        <w:t>5</w:t>
                      </w:r>
                      <w:proofErr w:type="gramEnd"/>
                      <w:r w:rsidRPr="00946845">
                        <w:t>, 507 Lake Road</w:t>
                      </w:r>
                    </w:p>
                    <w:p w14:paraId="53D7FD06" w14:textId="77777777" w:rsidR="00620C24" w:rsidRPr="00946845" w:rsidRDefault="00620C24" w:rsidP="00790B1C">
                      <w:pPr>
                        <w:pStyle w:val="InsideAddress"/>
                        <w:tabs>
                          <w:tab w:val="left" w:pos="11250"/>
                        </w:tabs>
                      </w:pPr>
                      <w:r w:rsidRPr="00946845">
                        <w:t>PO Box 331 297</w:t>
                      </w:r>
                      <w:r>
                        <w:t>, Takapuna</w:t>
                      </w:r>
                    </w:p>
                    <w:p w14:paraId="2012A0A1" w14:textId="77777777" w:rsidR="00620C24" w:rsidRDefault="00620C24" w:rsidP="00790B1C">
                      <w:pPr>
                        <w:pStyle w:val="InsideAddress"/>
                        <w:tabs>
                          <w:tab w:val="left" w:pos="11250"/>
                        </w:tabs>
                      </w:pPr>
                      <w:r w:rsidRPr="00946845">
                        <w:t>Auckland 0740, NZ</w:t>
                      </w:r>
                    </w:p>
                    <w:p w14:paraId="05A904FA" w14:textId="77777777" w:rsidR="00620C24" w:rsidRDefault="00620C24" w:rsidP="00790B1C">
                      <w:pPr>
                        <w:pStyle w:val="InsideAddress"/>
                        <w:tabs>
                          <w:tab w:val="left" w:pos="11250"/>
                        </w:tabs>
                      </w:pPr>
                      <w:r w:rsidRPr="00946845">
                        <w:t>P 09 915 5510</w:t>
                      </w:r>
                    </w:p>
                    <w:p w14:paraId="40309F0C" w14:textId="77777777" w:rsidR="00620C24" w:rsidRPr="00946845" w:rsidRDefault="00620C24" w:rsidP="00790B1C">
                      <w:pPr>
                        <w:pStyle w:val="InsideAddress"/>
                        <w:tabs>
                          <w:tab w:val="left" w:pos="11250"/>
                        </w:tabs>
                      </w:pPr>
                    </w:p>
                  </w:txbxContent>
                </v:textbox>
              </v:rect>
            </w:pict>
          </mc:Fallback>
        </mc:AlternateContent>
      </w:r>
      <w:r w:rsidR="00F03ED6" w:rsidRPr="001E66EF">
        <w:rPr>
          <w:noProof/>
          <w:lang w:eastAsia="en-NZ"/>
        </w:rPr>
        <mc:AlternateContent>
          <mc:Choice Requires="wps">
            <w:drawing>
              <wp:anchor distT="0" distB="0" distL="114300" distR="114300" simplePos="0" relativeHeight="251662336" behindDoc="0" locked="0" layoutInCell="1" allowOverlap="1" wp14:anchorId="2CC2B199" wp14:editId="4423F986">
                <wp:simplePos x="0" y="0"/>
                <wp:positionH relativeFrom="column">
                  <wp:posOffset>-523875</wp:posOffset>
                </wp:positionH>
                <wp:positionV relativeFrom="paragraph">
                  <wp:posOffset>1257935</wp:posOffset>
                </wp:positionV>
                <wp:extent cx="2438400" cy="4775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438400"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531575" w14:textId="77777777" w:rsidR="00620C24" w:rsidRPr="00F03ED6" w:rsidRDefault="00620C24" w:rsidP="00F03ED6">
                            <w:pPr>
                              <w:pStyle w:val="InsideWebAddress"/>
                            </w:pPr>
                            <w:r w:rsidRPr="00F03ED6">
                              <w:t>www.</w:t>
                            </w:r>
                            <w:r w:rsidRPr="00F03ED6">
                              <w:rPr>
                                <w:color w:val="auto"/>
                              </w:rPr>
                              <w:t>me</w:t>
                            </w:r>
                            <w:r w:rsidRPr="00F03ED6">
                              <w:t>.co.nz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C2B199" id="Text Box 13" o:spid="_x0000_s1028" type="#_x0000_t202" style="position:absolute;left:0;text-align:left;margin-left:-41.25pt;margin-top:99.05pt;width:192pt;height:37.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" filled="f" stroked="f" strokeweight=".5pt">
                <v:textbox>
                  <w:txbxContent>
                    <w:p w14:paraId="06531575" w14:textId="77777777" w:rsidR="00620C24" w:rsidRPr="00F03ED6" w:rsidRDefault="00620C24" w:rsidP="00F03ED6">
                      <w:pPr>
                        <w:pStyle w:val="InsideWebAddress"/>
                      </w:pPr>
                      <w:r w:rsidRPr="00F03ED6">
                        <w:t>www.</w:t>
                      </w:r>
                      <w:r w:rsidRPr="00F03ED6">
                        <w:rPr>
                          <w:color w:val="auto"/>
                        </w:rPr>
                        <w:t>me</w:t>
                      </w:r>
                      <w:r w:rsidRPr="00F03ED6">
                        <w:t>.co.nz</w:t>
                      </w:r>
                    </w:p>
                  </w:txbxContent>
                </v:textbox>
              </v:shape>
            </w:pict>
          </mc:Fallback>
        </mc:AlternateContent>
      </w:r>
      <w:r w:rsidR="00B63FA3" w:rsidRPr="001E66EF">
        <w:t>Although every effort has been made to ensure accuracy and reliability of the information contained in this report, neither Market Economics Limited nor any of its employees shall be held liable for the information, opinions and forecasts expressed in this report.</w:t>
      </w:r>
      <w:r w:rsidR="001E1238">
        <w:t xml:space="preserve">  The report is prepared for the sole purposes as outlined herein and it should not be used for any other purpose whatsoever. </w:t>
      </w:r>
    </w:p>
    <w:p w14:paraId="11C7E041" w14:textId="77777777" w:rsidR="00B63FA3" w:rsidRPr="00EE657A" w:rsidRDefault="008C016C" w:rsidP="005E10FF">
      <w:pPr>
        <w:pStyle w:val="ContentsFigureHeading"/>
        <w:rPr>
          <w:b w:val="0"/>
          <w:bCs/>
        </w:rPr>
      </w:pPr>
      <w:r w:rsidRPr="00EE657A">
        <w:rPr>
          <w:b w:val="0"/>
          <w:bCs/>
        </w:rPr>
        <w:lastRenderedPageBreak/>
        <w:t>Contents</w:t>
      </w:r>
    </w:p>
    <w:p w14:paraId="272A6B6D" w14:textId="151DD7D8" w:rsidR="00EE657A" w:rsidRPr="00EE657A" w:rsidRDefault="00236641">
      <w:pPr>
        <w:pStyle w:val="TOC1"/>
        <w:rPr>
          <w:rFonts w:eastAsiaTheme="minorEastAsia" w:cstheme="minorBidi"/>
          <w:b w:val="0"/>
          <w:caps w:val="0"/>
          <w:sz w:val="22"/>
          <w:szCs w:val="22"/>
          <w:lang w:eastAsia="en-NZ"/>
        </w:rPr>
      </w:pPr>
      <w:r w:rsidRPr="00EE657A">
        <w:rPr>
          <w:rFonts w:ascii="Calibri Light" w:hAnsi="Calibri Light"/>
          <w:b w:val="0"/>
          <w:smallCaps/>
        </w:rPr>
        <w:fldChar w:fldCharType="begin"/>
      </w:r>
      <w:r w:rsidRPr="00EE657A">
        <w:rPr>
          <w:rFonts w:ascii="Calibri Light" w:hAnsi="Calibri Light"/>
          <w:b w:val="0"/>
        </w:rPr>
        <w:instrText xml:space="preserve"> TOC \o "2-2" \h \z \t "Heading 1,1" </w:instrText>
      </w:r>
      <w:r w:rsidRPr="00EE657A">
        <w:rPr>
          <w:rFonts w:ascii="Calibri Light" w:hAnsi="Calibri Light"/>
          <w:b w:val="0"/>
          <w:smallCaps/>
        </w:rPr>
        <w:fldChar w:fldCharType="separate"/>
      </w:r>
      <w:hyperlink w:anchor="_Toc25569498" w:history="1">
        <w:r w:rsidR="00EE657A" w:rsidRPr="00EE657A">
          <w:rPr>
            <w:rStyle w:val="Hyperlink"/>
            <w:rFonts w:ascii="Calibri Light" w:hAnsi="Calibri Light"/>
            <w:b w:val="0"/>
          </w:rPr>
          <w:t>1</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Introduction</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_Toc25569498 \h </w:instrText>
        </w:r>
        <w:r w:rsidR="00EE657A" w:rsidRPr="00EE657A">
          <w:rPr>
            <w:b w:val="0"/>
            <w:webHidden/>
          </w:rPr>
        </w:r>
        <w:r w:rsidR="00EE657A" w:rsidRPr="00EE657A">
          <w:rPr>
            <w:b w:val="0"/>
            <w:webHidden/>
          </w:rPr>
          <w:fldChar w:fldCharType="separate"/>
        </w:r>
        <w:r w:rsidR="00516C2F">
          <w:rPr>
            <w:b w:val="0"/>
            <w:webHidden/>
          </w:rPr>
          <w:t>1</w:t>
        </w:r>
        <w:r w:rsidR="00EE657A" w:rsidRPr="00EE657A">
          <w:rPr>
            <w:b w:val="0"/>
            <w:webHidden/>
          </w:rPr>
          <w:fldChar w:fldCharType="end"/>
        </w:r>
      </w:hyperlink>
    </w:p>
    <w:p w14:paraId="2167E9CD" w14:textId="318A9661" w:rsidR="00EE657A" w:rsidRPr="00EE657A" w:rsidRDefault="00516C2F">
      <w:pPr>
        <w:pStyle w:val="TOC2"/>
        <w:rPr>
          <w:rFonts w:eastAsiaTheme="minorEastAsia" w:cstheme="minorBidi"/>
          <w:bCs/>
          <w:smallCaps w:val="0"/>
          <w:sz w:val="22"/>
          <w:szCs w:val="22"/>
          <w:lang w:eastAsia="en-NZ"/>
        </w:rPr>
      </w:pPr>
      <w:hyperlink w:anchor="_Toc25569499" w:history="1">
        <w:r w:rsidR="00EE657A" w:rsidRPr="00EE657A">
          <w:rPr>
            <w:rStyle w:val="Hyperlink"/>
            <w:rFonts w:ascii="Calibri Light" w:hAnsi="Calibri Light"/>
            <w:bCs/>
          </w:rPr>
          <w:t>1.1</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Aim and approach</w:t>
        </w:r>
        <w:r w:rsidR="00EE657A" w:rsidRPr="00EE657A">
          <w:rPr>
            <w:bCs/>
            <w:webHidden/>
          </w:rPr>
          <w:tab/>
        </w:r>
        <w:r w:rsidR="00EE657A" w:rsidRPr="00EE657A">
          <w:rPr>
            <w:bCs/>
            <w:webHidden/>
          </w:rPr>
          <w:fldChar w:fldCharType="begin"/>
        </w:r>
        <w:r w:rsidR="00EE657A" w:rsidRPr="00EE657A">
          <w:rPr>
            <w:bCs/>
            <w:webHidden/>
          </w:rPr>
          <w:instrText xml:space="preserve"> PAGEREF _Toc25569499 \h </w:instrText>
        </w:r>
        <w:r w:rsidR="00EE657A" w:rsidRPr="00EE657A">
          <w:rPr>
            <w:bCs/>
            <w:webHidden/>
          </w:rPr>
        </w:r>
        <w:r w:rsidR="00EE657A" w:rsidRPr="00EE657A">
          <w:rPr>
            <w:bCs/>
            <w:webHidden/>
          </w:rPr>
          <w:fldChar w:fldCharType="separate"/>
        </w:r>
        <w:r>
          <w:rPr>
            <w:bCs/>
            <w:webHidden/>
          </w:rPr>
          <w:t>1</w:t>
        </w:r>
        <w:r w:rsidR="00EE657A" w:rsidRPr="00EE657A">
          <w:rPr>
            <w:bCs/>
            <w:webHidden/>
          </w:rPr>
          <w:fldChar w:fldCharType="end"/>
        </w:r>
      </w:hyperlink>
    </w:p>
    <w:p w14:paraId="2A810F9A" w14:textId="32AE8FFE" w:rsidR="00EE657A" w:rsidRPr="00EE657A" w:rsidRDefault="00516C2F">
      <w:pPr>
        <w:pStyle w:val="TOC2"/>
        <w:rPr>
          <w:rFonts w:eastAsiaTheme="minorEastAsia" w:cstheme="minorBidi"/>
          <w:bCs/>
          <w:smallCaps w:val="0"/>
          <w:sz w:val="22"/>
          <w:szCs w:val="22"/>
          <w:lang w:eastAsia="en-NZ"/>
        </w:rPr>
      </w:pPr>
      <w:hyperlink w:anchor="_Toc25569500" w:history="1">
        <w:r w:rsidR="00EE657A" w:rsidRPr="00EE657A">
          <w:rPr>
            <w:rStyle w:val="Hyperlink"/>
            <w:rFonts w:ascii="Calibri Light" w:hAnsi="Calibri Light"/>
            <w:bCs/>
          </w:rPr>
          <w:t>1.2</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Assumptions, limitations and caveats</w:t>
        </w:r>
        <w:r w:rsidR="00EE657A" w:rsidRPr="00EE657A">
          <w:rPr>
            <w:bCs/>
            <w:webHidden/>
          </w:rPr>
          <w:tab/>
        </w:r>
        <w:r w:rsidR="00EE657A" w:rsidRPr="00EE657A">
          <w:rPr>
            <w:bCs/>
            <w:webHidden/>
          </w:rPr>
          <w:fldChar w:fldCharType="begin"/>
        </w:r>
        <w:r w:rsidR="00EE657A" w:rsidRPr="00EE657A">
          <w:rPr>
            <w:bCs/>
            <w:webHidden/>
          </w:rPr>
          <w:instrText xml:space="preserve"> PAGEREF _Toc25569500 \h </w:instrText>
        </w:r>
        <w:r w:rsidR="00EE657A" w:rsidRPr="00EE657A">
          <w:rPr>
            <w:bCs/>
            <w:webHidden/>
          </w:rPr>
        </w:r>
        <w:r w:rsidR="00EE657A" w:rsidRPr="00EE657A">
          <w:rPr>
            <w:bCs/>
            <w:webHidden/>
          </w:rPr>
          <w:fldChar w:fldCharType="separate"/>
        </w:r>
        <w:r>
          <w:rPr>
            <w:bCs/>
            <w:webHidden/>
          </w:rPr>
          <w:t>2</w:t>
        </w:r>
        <w:r w:rsidR="00EE657A" w:rsidRPr="00EE657A">
          <w:rPr>
            <w:bCs/>
            <w:webHidden/>
          </w:rPr>
          <w:fldChar w:fldCharType="end"/>
        </w:r>
      </w:hyperlink>
    </w:p>
    <w:p w14:paraId="34404E47" w14:textId="5CB414B0" w:rsidR="00EE657A" w:rsidRPr="00EE657A" w:rsidRDefault="00516C2F">
      <w:pPr>
        <w:pStyle w:val="TOC2"/>
        <w:rPr>
          <w:rFonts w:eastAsiaTheme="minorEastAsia" w:cstheme="minorBidi"/>
          <w:bCs/>
          <w:smallCaps w:val="0"/>
          <w:sz w:val="22"/>
          <w:szCs w:val="22"/>
          <w:lang w:eastAsia="en-NZ"/>
        </w:rPr>
      </w:pPr>
      <w:hyperlink w:anchor="_Toc25569501" w:history="1">
        <w:r w:rsidR="00EE657A" w:rsidRPr="00EE657A">
          <w:rPr>
            <w:rStyle w:val="Hyperlink"/>
            <w:rFonts w:ascii="Calibri Light" w:hAnsi="Calibri Light"/>
            <w:bCs/>
          </w:rPr>
          <w:t>1.3</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Report Structure</w:t>
        </w:r>
        <w:r w:rsidR="00EE657A" w:rsidRPr="00EE657A">
          <w:rPr>
            <w:bCs/>
            <w:webHidden/>
          </w:rPr>
          <w:tab/>
        </w:r>
        <w:r w:rsidR="00EE657A" w:rsidRPr="00EE657A">
          <w:rPr>
            <w:bCs/>
            <w:webHidden/>
          </w:rPr>
          <w:fldChar w:fldCharType="begin"/>
        </w:r>
        <w:r w:rsidR="00EE657A" w:rsidRPr="00EE657A">
          <w:rPr>
            <w:bCs/>
            <w:webHidden/>
          </w:rPr>
          <w:instrText xml:space="preserve"> PAGEREF _Toc25569501 \h </w:instrText>
        </w:r>
        <w:r w:rsidR="00EE657A" w:rsidRPr="00EE657A">
          <w:rPr>
            <w:bCs/>
            <w:webHidden/>
          </w:rPr>
        </w:r>
        <w:r w:rsidR="00EE657A" w:rsidRPr="00EE657A">
          <w:rPr>
            <w:bCs/>
            <w:webHidden/>
          </w:rPr>
          <w:fldChar w:fldCharType="separate"/>
        </w:r>
        <w:r>
          <w:rPr>
            <w:bCs/>
            <w:webHidden/>
          </w:rPr>
          <w:t>7</w:t>
        </w:r>
        <w:r w:rsidR="00EE657A" w:rsidRPr="00EE657A">
          <w:rPr>
            <w:bCs/>
            <w:webHidden/>
          </w:rPr>
          <w:fldChar w:fldCharType="end"/>
        </w:r>
      </w:hyperlink>
    </w:p>
    <w:p w14:paraId="2207D0A3" w14:textId="6B3BEB1C" w:rsidR="00EE657A" w:rsidRPr="00EE657A" w:rsidRDefault="00516C2F">
      <w:pPr>
        <w:pStyle w:val="TOC1"/>
        <w:rPr>
          <w:rFonts w:eastAsiaTheme="minorEastAsia" w:cstheme="minorBidi"/>
          <w:b w:val="0"/>
          <w:caps w:val="0"/>
          <w:sz w:val="22"/>
          <w:szCs w:val="22"/>
          <w:lang w:eastAsia="en-NZ"/>
        </w:rPr>
      </w:pPr>
      <w:hyperlink w:anchor="_Toc25569502" w:history="1">
        <w:r w:rsidR="00EE657A" w:rsidRPr="00EE657A">
          <w:rPr>
            <w:rStyle w:val="Hyperlink"/>
            <w:rFonts w:ascii="Calibri Light" w:hAnsi="Calibri Light"/>
            <w:b w:val="0"/>
          </w:rPr>
          <w:t>2</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Particulate Matter</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_Toc25569502 \h </w:instrText>
        </w:r>
        <w:r w:rsidR="00EE657A" w:rsidRPr="00EE657A">
          <w:rPr>
            <w:b w:val="0"/>
            <w:webHidden/>
          </w:rPr>
        </w:r>
        <w:r w:rsidR="00EE657A" w:rsidRPr="00EE657A">
          <w:rPr>
            <w:b w:val="0"/>
            <w:webHidden/>
          </w:rPr>
          <w:fldChar w:fldCharType="separate"/>
        </w:r>
        <w:r>
          <w:rPr>
            <w:b w:val="0"/>
            <w:webHidden/>
          </w:rPr>
          <w:t>8</w:t>
        </w:r>
        <w:r w:rsidR="00EE657A" w:rsidRPr="00EE657A">
          <w:rPr>
            <w:b w:val="0"/>
            <w:webHidden/>
          </w:rPr>
          <w:fldChar w:fldCharType="end"/>
        </w:r>
      </w:hyperlink>
    </w:p>
    <w:p w14:paraId="20DBC4B3" w14:textId="1E4F3E10" w:rsidR="00EE657A" w:rsidRPr="00EE657A" w:rsidRDefault="00516C2F">
      <w:pPr>
        <w:pStyle w:val="TOC2"/>
        <w:rPr>
          <w:rFonts w:eastAsiaTheme="minorEastAsia" w:cstheme="minorBidi"/>
          <w:bCs/>
          <w:smallCaps w:val="0"/>
          <w:sz w:val="22"/>
          <w:szCs w:val="22"/>
          <w:lang w:eastAsia="en-NZ"/>
        </w:rPr>
      </w:pPr>
      <w:hyperlink w:anchor="_Toc25569503" w:history="1">
        <w:r w:rsidR="00EE657A" w:rsidRPr="00EE657A">
          <w:rPr>
            <w:rStyle w:val="Hyperlink"/>
            <w:rFonts w:ascii="Calibri Light" w:hAnsi="Calibri Light"/>
            <w:bCs/>
          </w:rPr>
          <w:t>2.1</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CAU to Airshed Mapping</w:t>
        </w:r>
        <w:r w:rsidR="00EE657A" w:rsidRPr="00EE657A">
          <w:rPr>
            <w:bCs/>
            <w:webHidden/>
          </w:rPr>
          <w:tab/>
        </w:r>
        <w:r w:rsidR="00EE657A" w:rsidRPr="00EE657A">
          <w:rPr>
            <w:bCs/>
            <w:webHidden/>
          </w:rPr>
          <w:fldChar w:fldCharType="begin"/>
        </w:r>
        <w:r w:rsidR="00EE657A" w:rsidRPr="00EE657A">
          <w:rPr>
            <w:bCs/>
            <w:webHidden/>
          </w:rPr>
          <w:instrText xml:space="preserve"> PAGEREF _Toc25569503 \h </w:instrText>
        </w:r>
        <w:r w:rsidR="00EE657A" w:rsidRPr="00EE657A">
          <w:rPr>
            <w:bCs/>
            <w:webHidden/>
          </w:rPr>
        </w:r>
        <w:r w:rsidR="00EE657A" w:rsidRPr="00EE657A">
          <w:rPr>
            <w:bCs/>
            <w:webHidden/>
          </w:rPr>
          <w:fldChar w:fldCharType="separate"/>
        </w:r>
        <w:r>
          <w:rPr>
            <w:bCs/>
            <w:webHidden/>
          </w:rPr>
          <w:t>8</w:t>
        </w:r>
        <w:r w:rsidR="00EE657A" w:rsidRPr="00EE657A">
          <w:rPr>
            <w:bCs/>
            <w:webHidden/>
          </w:rPr>
          <w:fldChar w:fldCharType="end"/>
        </w:r>
      </w:hyperlink>
    </w:p>
    <w:p w14:paraId="2A15C572" w14:textId="49C83327" w:rsidR="00EE657A" w:rsidRPr="00EE657A" w:rsidRDefault="00516C2F">
      <w:pPr>
        <w:pStyle w:val="TOC2"/>
        <w:rPr>
          <w:rFonts w:eastAsiaTheme="minorEastAsia" w:cstheme="minorBidi"/>
          <w:bCs/>
          <w:smallCaps w:val="0"/>
          <w:sz w:val="22"/>
          <w:szCs w:val="22"/>
          <w:lang w:eastAsia="en-NZ"/>
        </w:rPr>
      </w:pPr>
      <w:hyperlink w:anchor="_Toc25569504" w:history="1">
        <w:r w:rsidR="00EE657A" w:rsidRPr="00EE657A">
          <w:rPr>
            <w:rStyle w:val="Hyperlink"/>
            <w:rFonts w:ascii="Calibri Light" w:hAnsi="Calibri Light"/>
            <w:bCs/>
          </w:rPr>
          <w:t>2.2</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Ambient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bCs/>
            <w:webHidden/>
          </w:rPr>
          <w:tab/>
        </w:r>
        <w:r w:rsidR="00EE657A" w:rsidRPr="00EE657A">
          <w:rPr>
            <w:bCs/>
            <w:webHidden/>
          </w:rPr>
          <w:fldChar w:fldCharType="begin"/>
        </w:r>
        <w:r w:rsidR="00EE657A" w:rsidRPr="00EE657A">
          <w:rPr>
            <w:bCs/>
            <w:webHidden/>
          </w:rPr>
          <w:instrText xml:space="preserve"> PAGEREF _Toc25569504 \h </w:instrText>
        </w:r>
        <w:r w:rsidR="00EE657A" w:rsidRPr="00EE657A">
          <w:rPr>
            <w:bCs/>
            <w:webHidden/>
          </w:rPr>
        </w:r>
        <w:r w:rsidR="00EE657A" w:rsidRPr="00EE657A">
          <w:rPr>
            <w:bCs/>
            <w:webHidden/>
          </w:rPr>
          <w:fldChar w:fldCharType="separate"/>
        </w:r>
        <w:r>
          <w:rPr>
            <w:bCs/>
            <w:webHidden/>
          </w:rPr>
          <w:t>9</w:t>
        </w:r>
        <w:r w:rsidR="00EE657A" w:rsidRPr="00EE657A">
          <w:rPr>
            <w:bCs/>
            <w:webHidden/>
          </w:rPr>
          <w:fldChar w:fldCharType="end"/>
        </w:r>
      </w:hyperlink>
    </w:p>
    <w:p w14:paraId="204465A8" w14:textId="08DDA441" w:rsidR="00EE657A" w:rsidRPr="00EE657A" w:rsidRDefault="00516C2F">
      <w:pPr>
        <w:pStyle w:val="TOC2"/>
        <w:rPr>
          <w:rFonts w:eastAsiaTheme="minorEastAsia" w:cstheme="minorBidi"/>
          <w:bCs/>
          <w:smallCaps w:val="0"/>
          <w:sz w:val="22"/>
          <w:szCs w:val="22"/>
          <w:lang w:eastAsia="en-NZ"/>
        </w:rPr>
      </w:pPr>
      <w:hyperlink w:anchor="_Toc25569505" w:history="1">
        <w:r w:rsidR="00EE657A" w:rsidRPr="00EE657A">
          <w:rPr>
            <w:rStyle w:val="Hyperlink"/>
            <w:rFonts w:ascii="Calibri Light" w:hAnsi="Calibri Light"/>
            <w:bCs/>
          </w:rPr>
          <w:t>2.3</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Emissions of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rStyle w:val="Hyperlink"/>
            <w:rFonts w:ascii="Calibri Light" w:hAnsi="Calibri Light"/>
            <w:bCs/>
          </w:rPr>
          <w:t xml:space="preserve"> – All Sources</w:t>
        </w:r>
        <w:r w:rsidR="00EE657A" w:rsidRPr="00EE657A">
          <w:rPr>
            <w:bCs/>
            <w:webHidden/>
          </w:rPr>
          <w:tab/>
        </w:r>
        <w:r w:rsidR="00EE657A" w:rsidRPr="00EE657A">
          <w:rPr>
            <w:bCs/>
            <w:webHidden/>
          </w:rPr>
          <w:fldChar w:fldCharType="begin"/>
        </w:r>
        <w:r w:rsidR="00EE657A" w:rsidRPr="00EE657A">
          <w:rPr>
            <w:bCs/>
            <w:webHidden/>
          </w:rPr>
          <w:instrText xml:space="preserve"> PAGEREF _Toc25569505 \h </w:instrText>
        </w:r>
        <w:r w:rsidR="00EE657A" w:rsidRPr="00EE657A">
          <w:rPr>
            <w:bCs/>
            <w:webHidden/>
          </w:rPr>
        </w:r>
        <w:r w:rsidR="00EE657A" w:rsidRPr="00EE657A">
          <w:rPr>
            <w:bCs/>
            <w:webHidden/>
          </w:rPr>
          <w:fldChar w:fldCharType="separate"/>
        </w:r>
        <w:r>
          <w:rPr>
            <w:bCs/>
            <w:webHidden/>
          </w:rPr>
          <w:t>11</w:t>
        </w:r>
        <w:r w:rsidR="00EE657A" w:rsidRPr="00EE657A">
          <w:rPr>
            <w:bCs/>
            <w:webHidden/>
          </w:rPr>
          <w:fldChar w:fldCharType="end"/>
        </w:r>
      </w:hyperlink>
    </w:p>
    <w:p w14:paraId="7AFC9D31" w14:textId="4E4EA9D7" w:rsidR="00EE657A" w:rsidRPr="00EE657A" w:rsidRDefault="00516C2F">
      <w:pPr>
        <w:pStyle w:val="TOC2"/>
        <w:rPr>
          <w:rFonts w:eastAsiaTheme="minorEastAsia" w:cstheme="minorBidi"/>
          <w:bCs/>
          <w:smallCaps w:val="0"/>
          <w:sz w:val="22"/>
          <w:szCs w:val="22"/>
          <w:lang w:eastAsia="en-NZ"/>
        </w:rPr>
      </w:pPr>
      <w:hyperlink w:anchor="_Toc25569506" w:history="1">
        <w:r w:rsidR="00EE657A" w:rsidRPr="00EE657A">
          <w:rPr>
            <w:rStyle w:val="Hyperlink"/>
            <w:rFonts w:ascii="Calibri Light" w:hAnsi="Calibri Light"/>
            <w:bCs/>
          </w:rPr>
          <w:t>2.4</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Emissions of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rStyle w:val="Hyperlink"/>
            <w:rFonts w:ascii="Calibri Light" w:hAnsi="Calibri Light"/>
            <w:bCs/>
          </w:rPr>
          <w:t xml:space="preserve"> – Vehicles</w:t>
        </w:r>
        <w:r w:rsidR="00EE657A" w:rsidRPr="00EE657A">
          <w:rPr>
            <w:bCs/>
            <w:webHidden/>
          </w:rPr>
          <w:tab/>
        </w:r>
        <w:r w:rsidR="00EE657A" w:rsidRPr="00EE657A">
          <w:rPr>
            <w:bCs/>
            <w:webHidden/>
          </w:rPr>
          <w:fldChar w:fldCharType="begin"/>
        </w:r>
        <w:r w:rsidR="00EE657A" w:rsidRPr="00EE657A">
          <w:rPr>
            <w:bCs/>
            <w:webHidden/>
          </w:rPr>
          <w:instrText xml:space="preserve"> PAGEREF _Toc25569506 \h </w:instrText>
        </w:r>
        <w:r w:rsidR="00EE657A" w:rsidRPr="00EE657A">
          <w:rPr>
            <w:bCs/>
            <w:webHidden/>
          </w:rPr>
        </w:r>
        <w:r w:rsidR="00EE657A" w:rsidRPr="00EE657A">
          <w:rPr>
            <w:bCs/>
            <w:webHidden/>
          </w:rPr>
          <w:fldChar w:fldCharType="separate"/>
        </w:r>
        <w:r>
          <w:rPr>
            <w:bCs/>
            <w:webHidden/>
          </w:rPr>
          <w:t>11</w:t>
        </w:r>
        <w:r w:rsidR="00EE657A" w:rsidRPr="00EE657A">
          <w:rPr>
            <w:bCs/>
            <w:webHidden/>
          </w:rPr>
          <w:fldChar w:fldCharType="end"/>
        </w:r>
      </w:hyperlink>
    </w:p>
    <w:p w14:paraId="482765B9" w14:textId="1BB52C5D" w:rsidR="00EE657A" w:rsidRPr="00EE657A" w:rsidRDefault="00516C2F">
      <w:pPr>
        <w:pStyle w:val="TOC2"/>
        <w:rPr>
          <w:rFonts w:eastAsiaTheme="minorEastAsia" w:cstheme="minorBidi"/>
          <w:bCs/>
          <w:smallCaps w:val="0"/>
          <w:sz w:val="22"/>
          <w:szCs w:val="22"/>
          <w:lang w:eastAsia="en-NZ"/>
        </w:rPr>
      </w:pPr>
      <w:hyperlink w:anchor="_Toc25569507" w:history="1">
        <w:r w:rsidR="00EE657A" w:rsidRPr="00EE657A">
          <w:rPr>
            <w:rStyle w:val="Hyperlink"/>
            <w:rFonts w:ascii="Calibri Light" w:hAnsi="Calibri Light"/>
            <w:bCs/>
          </w:rPr>
          <w:t>2.5</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Emissions of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rStyle w:val="Hyperlink"/>
            <w:rFonts w:ascii="Calibri Light" w:hAnsi="Calibri Light"/>
            <w:bCs/>
          </w:rPr>
          <w:t xml:space="preserve"> – Industry</w:t>
        </w:r>
        <w:r w:rsidR="00EE657A" w:rsidRPr="00EE657A">
          <w:rPr>
            <w:bCs/>
            <w:webHidden/>
          </w:rPr>
          <w:tab/>
        </w:r>
        <w:r w:rsidR="00EE657A" w:rsidRPr="00EE657A">
          <w:rPr>
            <w:bCs/>
            <w:webHidden/>
          </w:rPr>
          <w:fldChar w:fldCharType="begin"/>
        </w:r>
        <w:r w:rsidR="00EE657A" w:rsidRPr="00EE657A">
          <w:rPr>
            <w:bCs/>
            <w:webHidden/>
          </w:rPr>
          <w:instrText xml:space="preserve"> PAGEREF _Toc25569507 \h </w:instrText>
        </w:r>
        <w:r w:rsidR="00EE657A" w:rsidRPr="00EE657A">
          <w:rPr>
            <w:bCs/>
            <w:webHidden/>
          </w:rPr>
        </w:r>
        <w:r w:rsidR="00EE657A" w:rsidRPr="00EE657A">
          <w:rPr>
            <w:bCs/>
            <w:webHidden/>
          </w:rPr>
          <w:fldChar w:fldCharType="separate"/>
        </w:r>
        <w:r>
          <w:rPr>
            <w:bCs/>
            <w:webHidden/>
          </w:rPr>
          <w:t>12</w:t>
        </w:r>
        <w:r w:rsidR="00EE657A" w:rsidRPr="00EE657A">
          <w:rPr>
            <w:bCs/>
            <w:webHidden/>
          </w:rPr>
          <w:fldChar w:fldCharType="end"/>
        </w:r>
      </w:hyperlink>
    </w:p>
    <w:p w14:paraId="2A764D0A" w14:textId="6DCC59DD" w:rsidR="00EE657A" w:rsidRPr="00EE657A" w:rsidRDefault="00516C2F">
      <w:pPr>
        <w:pStyle w:val="TOC2"/>
        <w:rPr>
          <w:rFonts w:eastAsiaTheme="minorEastAsia" w:cstheme="minorBidi"/>
          <w:bCs/>
          <w:smallCaps w:val="0"/>
          <w:sz w:val="22"/>
          <w:szCs w:val="22"/>
          <w:lang w:eastAsia="en-NZ"/>
        </w:rPr>
      </w:pPr>
      <w:hyperlink w:anchor="_Toc25569508" w:history="1">
        <w:r w:rsidR="00EE657A" w:rsidRPr="00EE657A">
          <w:rPr>
            <w:rStyle w:val="Hyperlink"/>
            <w:rFonts w:ascii="Calibri Light" w:hAnsi="Calibri Light"/>
            <w:bCs/>
          </w:rPr>
          <w:t>2.6</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Emissions of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rStyle w:val="Hyperlink"/>
            <w:rFonts w:ascii="Calibri Light" w:hAnsi="Calibri Light"/>
            <w:bCs/>
          </w:rPr>
          <w:t xml:space="preserve"> – Outdoor burning</w:t>
        </w:r>
        <w:r w:rsidR="00EE657A" w:rsidRPr="00EE657A">
          <w:rPr>
            <w:bCs/>
            <w:webHidden/>
          </w:rPr>
          <w:tab/>
        </w:r>
        <w:r w:rsidR="00EE657A" w:rsidRPr="00EE657A">
          <w:rPr>
            <w:bCs/>
            <w:webHidden/>
          </w:rPr>
          <w:fldChar w:fldCharType="begin"/>
        </w:r>
        <w:r w:rsidR="00EE657A" w:rsidRPr="00EE657A">
          <w:rPr>
            <w:bCs/>
            <w:webHidden/>
          </w:rPr>
          <w:instrText xml:space="preserve"> PAGEREF _Toc25569508 \h </w:instrText>
        </w:r>
        <w:r w:rsidR="00EE657A" w:rsidRPr="00EE657A">
          <w:rPr>
            <w:bCs/>
            <w:webHidden/>
          </w:rPr>
        </w:r>
        <w:r w:rsidR="00EE657A" w:rsidRPr="00EE657A">
          <w:rPr>
            <w:bCs/>
            <w:webHidden/>
          </w:rPr>
          <w:fldChar w:fldCharType="separate"/>
        </w:r>
        <w:r>
          <w:rPr>
            <w:bCs/>
            <w:webHidden/>
          </w:rPr>
          <w:t>14</w:t>
        </w:r>
        <w:r w:rsidR="00EE657A" w:rsidRPr="00EE657A">
          <w:rPr>
            <w:bCs/>
            <w:webHidden/>
          </w:rPr>
          <w:fldChar w:fldCharType="end"/>
        </w:r>
      </w:hyperlink>
    </w:p>
    <w:p w14:paraId="17764284" w14:textId="0D4F81DA" w:rsidR="00EE657A" w:rsidRPr="00EE657A" w:rsidRDefault="00516C2F">
      <w:pPr>
        <w:pStyle w:val="TOC2"/>
        <w:rPr>
          <w:rFonts w:eastAsiaTheme="minorEastAsia" w:cstheme="minorBidi"/>
          <w:bCs/>
          <w:smallCaps w:val="0"/>
          <w:sz w:val="22"/>
          <w:szCs w:val="22"/>
          <w:lang w:eastAsia="en-NZ"/>
        </w:rPr>
      </w:pPr>
      <w:hyperlink w:anchor="_Toc25569509" w:history="1">
        <w:r w:rsidR="00EE657A" w:rsidRPr="00EE657A">
          <w:rPr>
            <w:rStyle w:val="Hyperlink"/>
            <w:rFonts w:ascii="Calibri Light" w:hAnsi="Calibri Light"/>
            <w:bCs/>
          </w:rPr>
          <w:t>2.7</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Emissions of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rStyle w:val="Hyperlink"/>
            <w:rFonts w:ascii="Calibri Light" w:hAnsi="Calibri Light"/>
            <w:bCs/>
          </w:rPr>
          <w:t xml:space="preserve"> – Meteorological Factors</w:t>
        </w:r>
        <w:r w:rsidR="00EE657A" w:rsidRPr="00EE657A">
          <w:rPr>
            <w:bCs/>
            <w:webHidden/>
          </w:rPr>
          <w:tab/>
        </w:r>
        <w:r w:rsidR="00EE657A" w:rsidRPr="00EE657A">
          <w:rPr>
            <w:bCs/>
            <w:webHidden/>
          </w:rPr>
          <w:fldChar w:fldCharType="begin"/>
        </w:r>
        <w:r w:rsidR="00EE657A" w:rsidRPr="00EE657A">
          <w:rPr>
            <w:bCs/>
            <w:webHidden/>
          </w:rPr>
          <w:instrText xml:space="preserve"> PAGEREF _Toc25569509 \h </w:instrText>
        </w:r>
        <w:r w:rsidR="00EE657A" w:rsidRPr="00EE657A">
          <w:rPr>
            <w:bCs/>
            <w:webHidden/>
          </w:rPr>
        </w:r>
        <w:r w:rsidR="00EE657A" w:rsidRPr="00EE657A">
          <w:rPr>
            <w:bCs/>
            <w:webHidden/>
          </w:rPr>
          <w:fldChar w:fldCharType="separate"/>
        </w:r>
        <w:r>
          <w:rPr>
            <w:bCs/>
            <w:webHidden/>
          </w:rPr>
          <w:t>15</w:t>
        </w:r>
        <w:r w:rsidR="00EE657A" w:rsidRPr="00EE657A">
          <w:rPr>
            <w:bCs/>
            <w:webHidden/>
          </w:rPr>
          <w:fldChar w:fldCharType="end"/>
        </w:r>
      </w:hyperlink>
    </w:p>
    <w:p w14:paraId="2EE2792D" w14:textId="0D424004" w:rsidR="00EE657A" w:rsidRPr="00EE657A" w:rsidRDefault="00516C2F">
      <w:pPr>
        <w:pStyle w:val="TOC2"/>
        <w:rPr>
          <w:rFonts w:eastAsiaTheme="minorEastAsia" w:cstheme="minorBidi"/>
          <w:bCs/>
          <w:smallCaps w:val="0"/>
          <w:sz w:val="22"/>
          <w:szCs w:val="22"/>
          <w:lang w:eastAsia="en-NZ"/>
        </w:rPr>
      </w:pPr>
      <w:hyperlink w:anchor="_Toc25569510" w:history="1">
        <w:r w:rsidR="00EE657A" w:rsidRPr="00EE657A">
          <w:rPr>
            <w:rStyle w:val="Hyperlink"/>
            <w:rFonts w:ascii="Calibri Light" w:hAnsi="Calibri Light"/>
            <w:bCs/>
          </w:rPr>
          <w:t>2.8</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Emissions of PM</w:t>
        </w:r>
        <w:r w:rsidR="00EE657A" w:rsidRPr="00EE657A">
          <w:rPr>
            <w:rStyle w:val="Hyperlink"/>
            <w:rFonts w:ascii="Calibri Light" w:hAnsi="Calibri Light"/>
            <w:bCs/>
            <w:vertAlign w:val="subscript"/>
          </w:rPr>
          <w:t>10</w:t>
        </w:r>
        <w:r w:rsidR="00EE657A" w:rsidRPr="00EE657A">
          <w:rPr>
            <w:rStyle w:val="Hyperlink"/>
            <w:rFonts w:ascii="Calibri Light" w:hAnsi="Calibri Light"/>
            <w:bCs/>
          </w:rPr>
          <w:t xml:space="preserve"> and PM</w:t>
        </w:r>
        <w:r w:rsidR="00EE657A" w:rsidRPr="00EE657A">
          <w:rPr>
            <w:rStyle w:val="Hyperlink"/>
            <w:rFonts w:ascii="Calibri Light" w:hAnsi="Calibri Light"/>
            <w:bCs/>
            <w:vertAlign w:val="subscript"/>
          </w:rPr>
          <w:t>2.5</w:t>
        </w:r>
        <w:r w:rsidR="00EE657A" w:rsidRPr="00EE657A">
          <w:rPr>
            <w:rStyle w:val="Hyperlink"/>
            <w:rFonts w:ascii="Calibri Light" w:hAnsi="Calibri Light"/>
            <w:bCs/>
          </w:rPr>
          <w:t xml:space="preserve"> – Home Heating Appliance Numbers</w:t>
        </w:r>
        <w:r w:rsidR="00EE657A" w:rsidRPr="00EE657A">
          <w:rPr>
            <w:bCs/>
            <w:webHidden/>
          </w:rPr>
          <w:tab/>
        </w:r>
        <w:r w:rsidR="00EE657A" w:rsidRPr="00EE657A">
          <w:rPr>
            <w:bCs/>
            <w:webHidden/>
          </w:rPr>
          <w:fldChar w:fldCharType="begin"/>
        </w:r>
        <w:r w:rsidR="00EE657A" w:rsidRPr="00EE657A">
          <w:rPr>
            <w:bCs/>
            <w:webHidden/>
          </w:rPr>
          <w:instrText xml:space="preserve"> PAGEREF _Toc25569510 \h </w:instrText>
        </w:r>
        <w:r w:rsidR="00EE657A" w:rsidRPr="00EE657A">
          <w:rPr>
            <w:bCs/>
            <w:webHidden/>
          </w:rPr>
        </w:r>
        <w:r w:rsidR="00EE657A" w:rsidRPr="00EE657A">
          <w:rPr>
            <w:bCs/>
            <w:webHidden/>
          </w:rPr>
          <w:fldChar w:fldCharType="separate"/>
        </w:r>
        <w:r>
          <w:rPr>
            <w:bCs/>
            <w:webHidden/>
          </w:rPr>
          <w:t>15</w:t>
        </w:r>
        <w:r w:rsidR="00EE657A" w:rsidRPr="00EE657A">
          <w:rPr>
            <w:bCs/>
            <w:webHidden/>
          </w:rPr>
          <w:fldChar w:fldCharType="end"/>
        </w:r>
      </w:hyperlink>
    </w:p>
    <w:p w14:paraId="414F882B" w14:textId="735FE62C" w:rsidR="00EE657A" w:rsidRPr="00EE657A" w:rsidRDefault="00516C2F">
      <w:pPr>
        <w:pStyle w:val="TOC2"/>
        <w:rPr>
          <w:rFonts w:eastAsiaTheme="minorEastAsia" w:cstheme="minorBidi"/>
          <w:bCs/>
          <w:smallCaps w:val="0"/>
          <w:sz w:val="22"/>
          <w:szCs w:val="22"/>
          <w:lang w:eastAsia="en-NZ"/>
        </w:rPr>
      </w:pPr>
      <w:hyperlink w:anchor="_Toc25569511" w:history="1">
        <w:r w:rsidR="00EE657A" w:rsidRPr="00EE657A">
          <w:rPr>
            <w:rStyle w:val="Hyperlink"/>
            <w:rFonts w:ascii="Calibri Light" w:hAnsi="Calibri Light"/>
            <w:bCs/>
          </w:rPr>
          <w:t>2.9</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Summary for Base Year 2013 and implications of emission changes</w:t>
        </w:r>
        <w:r w:rsidR="00EE657A" w:rsidRPr="00EE657A">
          <w:rPr>
            <w:bCs/>
            <w:webHidden/>
          </w:rPr>
          <w:tab/>
        </w:r>
        <w:r w:rsidR="00EE657A" w:rsidRPr="00EE657A">
          <w:rPr>
            <w:bCs/>
            <w:webHidden/>
          </w:rPr>
          <w:fldChar w:fldCharType="begin"/>
        </w:r>
        <w:r w:rsidR="00EE657A" w:rsidRPr="00EE657A">
          <w:rPr>
            <w:bCs/>
            <w:webHidden/>
          </w:rPr>
          <w:instrText xml:space="preserve"> PAGEREF _Toc25569511 \h </w:instrText>
        </w:r>
        <w:r w:rsidR="00EE657A" w:rsidRPr="00EE657A">
          <w:rPr>
            <w:bCs/>
            <w:webHidden/>
          </w:rPr>
        </w:r>
        <w:r w:rsidR="00EE657A" w:rsidRPr="00EE657A">
          <w:rPr>
            <w:bCs/>
            <w:webHidden/>
          </w:rPr>
          <w:fldChar w:fldCharType="separate"/>
        </w:r>
        <w:r>
          <w:rPr>
            <w:bCs/>
            <w:webHidden/>
          </w:rPr>
          <w:t>17</w:t>
        </w:r>
        <w:r w:rsidR="00EE657A" w:rsidRPr="00EE657A">
          <w:rPr>
            <w:bCs/>
            <w:webHidden/>
          </w:rPr>
          <w:fldChar w:fldCharType="end"/>
        </w:r>
      </w:hyperlink>
    </w:p>
    <w:p w14:paraId="2327A4C7" w14:textId="170C517E" w:rsidR="00EE657A" w:rsidRPr="00EE657A" w:rsidRDefault="00516C2F">
      <w:pPr>
        <w:pStyle w:val="TOC2"/>
        <w:rPr>
          <w:rFonts w:eastAsiaTheme="minorEastAsia" w:cstheme="minorBidi"/>
          <w:bCs/>
          <w:smallCaps w:val="0"/>
          <w:sz w:val="22"/>
          <w:szCs w:val="22"/>
          <w:lang w:eastAsia="en-NZ"/>
        </w:rPr>
      </w:pPr>
      <w:hyperlink w:anchor="_Toc25569512" w:history="1">
        <w:r w:rsidR="00EE657A" w:rsidRPr="00EE657A">
          <w:rPr>
            <w:rStyle w:val="Hyperlink"/>
            <w:rFonts w:ascii="Calibri Light" w:hAnsi="Calibri Light"/>
            <w:bCs/>
          </w:rPr>
          <w:t>2.10</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Projection of Source Activity, Emissions and Ambient PM</w:t>
        </w:r>
        <w:r w:rsidR="00EE657A" w:rsidRPr="00EE657A">
          <w:rPr>
            <w:rStyle w:val="Hyperlink"/>
            <w:rFonts w:ascii="Calibri Light" w:hAnsi="Calibri Light"/>
            <w:bCs/>
            <w:vertAlign w:val="subscript"/>
          </w:rPr>
          <w:t>2.5</w:t>
        </w:r>
        <w:r w:rsidR="00EE657A" w:rsidRPr="00EE657A">
          <w:rPr>
            <w:bCs/>
            <w:webHidden/>
          </w:rPr>
          <w:tab/>
        </w:r>
        <w:r w:rsidR="00EE657A" w:rsidRPr="00EE657A">
          <w:rPr>
            <w:bCs/>
            <w:webHidden/>
          </w:rPr>
          <w:fldChar w:fldCharType="begin"/>
        </w:r>
        <w:r w:rsidR="00EE657A" w:rsidRPr="00EE657A">
          <w:rPr>
            <w:bCs/>
            <w:webHidden/>
          </w:rPr>
          <w:instrText xml:space="preserve"> PAGEREF _Toc25569512 \h </w:instrText>
        </w:r>
        <w:r w:rsidR="00EE657A" w:rsidRPr="00EE657A">
          <w:rPr>
            <w:bCs/>
            <w:webHidden/>
          </w:rPr>
        </w:r>
        <w:r w:rsidR="00EE657A" w:rsidRPr="00EE657A">
          <w:rPr>
            <w:bCs/>
            <w:webHidden/>
          </w:rPr>
          <w:fldChar w:fldCharType="separate"/>
        </w:r>
        <w:r>
          <w:rPr>
            <w:bCs/>
            <w:webHidden/>
          </w:rPr>
          <w:t>18</w:t>
        </w:r>
        <w:r w:rsidR="00EE657A" w:rsidRPr="00EE657A">
          <w:rPr>
            <w:bCs/>
            <w:webHidden/>
          </w:rPr>
          <w:fldChar w:fldCharType="end"/>
        </w:r>
      </w:hyperlink>
    </w:p>
    <w:p w14:paraId="42E920E3" w14:textId="0870A169" w:rsidR="00EE657A" w:rsidRPr="00EE657A" w:rsidRDefault="00516C2F">
      <w:pPr>
        <w:pStyle w:val="TOC1"/>
        <w:rPr>
          <w:rFonts w:eastAsiaTheme="minorEastAsia" w:cstheme="minorBidi"/>
          <w:b w:val="0"/>
          <w:caps w:val="0"/>
          <w:sz w:val="22"/>
          <w:szCs w:val="22"/>
          <w:lang w:eastAsia="en-NZ"/>
        </w:rPr>
      </w:pPr>
      <w:hyperlink w:anchor="_Toc25569513" w:history="1">
        <w:r w:rsidR="00EE657A" w:rsidRPr="00EE657A">
          <w:rPr>
            <w:rStyle w:val="Hyperlink"/>
            <w:rFonts w:ascii="Calibri Light" w:hAnsi="Calibri Light"/>
            <w:b w:val="0"/>
          </w:rPr>
          <w:t>3</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Costs</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_Toc25569513 \h </w:instrText>
        </w:r>
        <w:r w:rsidR="00EE657A" w:rsidRPr="00EE657A">
          <w:rPr>
            <w:b w:val="0"/>
            <w:webHidden/>
          </w:rPr>
        </w:r>
        <w:r w:rsidR="00EE657A" w:rsidRPr="00EE657A">
          <w:rPr>
            <w:b w:val="0"/>
            <w:webHidden/>
          </w:rPr>
          <w:fldChar w:fldCharType="separate"/>
        </w:r>
        <w:r>
          <w:rPr>
            <w:b w:val="0"/>
            <w:webHidden/>
          </w:rPr>
          <w:t>19</w:t>
        </w:r>
        <w:r w:rsidR="00EE657A" w:rsidRPr="00EE657A">
          <w:rPr>
            <w:b w:val="0"/>
            <w:webHidden/>
          </w:rPr>
          <w:fldChar w:fldCharType="end"/>
        </w:r>
      </w:hyperlink>
    </w:p>
    <w:p w14:paraId="049F7FF5" w14:textId="514CED13" w:rsidR="00EE657A" w:rsidRPr="00EE657A" w:rsidRDefault="00516C2F">
      <w:pPr>
        <w:pStyle w:val="TOC2"/>
        <w:rPr>
          <w:rFonts w:eastAsiaTheme="minorEastAsia" w:cstheme="minorBidi"/>
          <w:bCs/>
          <w:smallCaps w:val="0"/>
          <w:sz w:val="22"/>
          <w:szCs w:val="22"/>
          <w:lang w:eastAsia="en-NZ"/>
        </w:rPr>
      </w:pPr>
      <w:hyperlink w:anchor="_Toc25569514" w:history="1">
        <w:r w:rsidR="00EE657A" w:rsidRPr="00EE657A">
          <w:rPr>
            <w:rStyle w:val="Hyperlink"/>
            <w:rFonts w:ascii="Calibri Light" w:hAnsi="Calibri Light"/>
            <w:bCs/>
          </w:rPr>
          <w:t>3.1</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Health Costs (social cost)</w:t>
        </w:r>
        <w:r w:rsidR="00EE657A" w:rsidRPr="00EE657A">
          <w:rPr>
            <w:bCs/>
            <w:webHidden/>
          </w:rPr>
          <w:tab/>
        </w:r>
        <w:r w:rsidR="00EE657A" w:rsidRPr="00EE657A">
          <w:rPr>
            <w:bCs/>
            <w:webHidden/>
          </w:rPr>
          <w:fldChar w:fldCharType="begin"/>
        </w:r>
        <w:r w:rsidR="00EE657A" w:rsidRPr="00EE657A">
          <w:rPr>
            <w:bCs/>
            <w:webHidden/>
          </w:rPr>
          <w:instrText xml:space="preserve"> PAGEREF _Toc25569514 \h </w:instrText>
        </w:r>
        <w:r w:rsidR="00EE657A" w:rsidRPr="00EE657A">
          <w:rPr>
            <w:bCs/>
            <w:webHidden/>
          </w:rPr>
        </w:r>
        <w:r w:rsidR="00EE657A" w:rsidRPr="00EE657A">
          <w:rPr>
            <w:bCs/>
            <w:webHidden/>
          </w:rPr>
          <w:fldChar w:fldCharType="separate"/>
        </w:r>
        <w:r>
          <w:rPr>
            <w:bCs/>
            <w:webHidden/>
          </w:rPr>
          <w:t>19</w:t>
        </w:r>
        <w:r w:rsidR="00EE657A" w:rsidRPr="00EE657A">
          <w:rPr>
            <w:bCs/>
            <w:webHidden/>
          </w:rPr>
          <w:fldChar w:fldCharType="end"/>
        </w:r>
      </w:hyperlink>
    </w:p>
    <w:p w14:paraId="75FC8529" w14:textId="4E87B3CD" w:rsidR="00EE657A" w:rsidRPr="00EE657A" w:rsidRDefault="00516C2F">
      <w:pPr>
        <w:pStyle w:val="TOC2"/>
        <w:rPr>
          <w:rFonts w:eastAsiaTheme="minorEastAsia" w:cstheme="minorBidi"/>
          <w:bCs/>
          <w:smallCaps w:val="0"/>
          <w:sz w:val="22"/>
          <w:szCs w:val="22"/>
          <w:lang w:eastAsia="en-NZ"/>
        </w:rPr>
      </w:pPr>
      <w:hyperlink w:anchor="_Toc25569515" w:history="1">
        <w:r w:rsidR="00EE657A" w:rsidRPr="00EE657A">
          <w:rPr>
            <w:rStyle w:val="Hyperlink"/>
            <w:rFonts w:ascii="Calibri Light" w:hAnsi="Calibri Light"/>
            <w:bCs/>
          </w:rPr>
          <w:t>3.2</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Private Costs</w:t>
        </w:r>
        <w:r w:rsidR="00EE657A" w:rsidRPr="00EE657A">
          <w:rPr>
            <w:bCs/>
            <w:webHidden/>
          </w:rPr>
          <w:tab/>
        </w:r>
        <w:r w:rsidR="00EE657A" w:rsidRPr="00EE657A">
          <w:rPr>
            <w:bCs/>
            <w:webHidden/>
          </w:rPr>
          <w:fldChar w:fldCharType="begin"/>
        </w:r>
        <w:r w:rsidR="00EE657A" w:rsidRPr="00EE657A">
          <w:rPr>
            <w:bCs/>
            <w:webHidden/>
          </w:rPr>
          <w:instrText xml:space="preserve"> PAGEREF _Toc25569515 \h </w:instrText>
        </w:r>
        <w:r w:rsidR="00EE657A" w:rsidRPr="00EE657A">
          <w:rPr>
            <w:bCs/>
            <w:webHidden/>
          </w:rPr>
        </w:r>
        <w:r w:rsidR="00EE657A" w:rsidRPr="00EE657A">
          <w:rPr>
            <w:bCs/>
            <w:webHidden/>
          </w:rPr>
          <w:fldChar w:fldCharType="separate"/>
        </w:r>
        <w:r>
          <w:rPr>
            <w:bCs/>
            <w:webHidden/>
          </w:rPr>
          <w:t>22</w:t>
        </w:r>
        <w:r w:rsidR="00EE657A" w:rsidRPr="00EE657A">
          <w:rPr>
            <w:bCs/>
            <w:webHidden/>
          </w:rPr>
          <w:fldChar w:fldCharType="end"/>
        </w:r>
      </w:hyperlink>
    </w:p>
    <w:p w14:paraId="738D67B5" w14:textId="1F6A3364" w:rsidR="00EE657A" w:rsidRPr="00EE657A" w:rsidRDefault="00516C2F">
      <w:pPr>
        <w:pStyle w:val="TOC2"/>
        <w:rPr>
          <w:rFonts w:eastAsiaTheme="minorEastAsia" w:cstheme="minorBidi"/>
          <w:bCs/>
          <w:smallCaps w:val="0"/>
          <w:sz w:val="22"/>
          <w:szCs w:val="22"/>
          <w:lang w:eastAsia="en-NZ"/>
        </w:rPr>
      </w:pPr>
      <w:hyperlink w:anchor="_Toc25569516" w:history="1">
        <w:r w:rsidR="00EE657A" w:rsidRPr="00EE657A">
          <w:rPr>
            <w:rStyle w:val="Hyperlink"/>
            <w:rFonts w:ascii="Calibri Light" w:hAnsi="Calibri Light"/>
            <w:bCs/>
          </w:rPr>
          <w:t>3.3</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Local Government (‘Council’) Costs</w:t>
        </w:r>
        <w:r w:rsidR="00EE657A" w:rsidRPr="00EE657A">
          <w:rPr>
            <w:bCs/>
            <w:webHidden/>
          </w:rPr>
          <w:tab/>
        </w:r>
        <w:r w:rsidR="00EE657A" w:rsidRPr="00EE657A">
          <w:rPr>
            <w:bCs/>
            <w:webHidden/>
          </w:rPr>
          <w:fldChar w:fldCharType="begin"/>
        </w:r>
        <w:r w:rsidR="00EE657A" w:rsidRPr="00EE657A">
          <w:rPr>
            <w:bCs/>
            <w:webHidden/>
          </w:rPr>
          <w:instrText xml:space="preserve"> PAGEREF _Toc25569516 \h </w:instrText>
        </w:r>
        <w:r w:rsidR="00EE657A" w:rsidRPr="00EE657A">
          <w:rPr>
            <w:bCs/>
            <w:webHidden/>
          </w:rPr>
        </w:r>
        <w:r w:rsidR="00EE657A" w:rsidRPr="00EE657A">
          <w:rPr>
            <w:bCs/>
            <w:webHidden/>
          </w:rPr>
          <w:fldChar w:fldCharType="separate"/>
        </w:r>
        <w:r>
          <w:rPr>
            <w:bCs/>
            <w:webHidden/>
          </w:rPr>
          <w:t>23</w:t>
        </w:r>
        <w:r w:rsidR="00EE657A" w:rsidRPr="00EE657A">
          <w:rPr>
            <w:bCs/>
            <w:webHidden/>
          </w:rPr>
          <w:fldChar w:fldCharType="end"/>
        </w:r>
      </w:hyperlink>
    </w:p>
    <w:p w14:paraId="12D087AA" w14:textId="09086718" w:rsidR="00EE657A" w:rsidRPr="00EE657A" w:rsidRDefault="00516C2F">
      <w:pPr>
        <w:pStyle w:val="TOC2"/>
        <w:rPr>
          <w:rFonts w:eastAsiaTheme="minorEastAsia" w:cstheme="minorBidi"/>
          <w:bCs/>
          <w:smallCaps w:val="0"/>
          <w:sz w:val="22"/>
          <w:szCs w:val="22"/>
          <w:lang w:eastAsia="en-NZ"/>
        </w:rPr>
      </w:pPr>
      <w:hyperlink w:anchor="_Toc25569517" w:history="1">
        <w:r w:rsidR="00EE657A" w:rsidRPr="00EE657A">
          <w:rPr>
            <w:rStyle w:val="Hyperlink"/>
            <w:rFonts w:ascii="Calibri Light" w:hAnsi="Calibri Light"/>
            <w:bCs/>
          </w:rPr>
          <w:t>3.4</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Central Government Costs</w:t>
        </w:r>
        <w:r w:rsidR="00EE657A" w:rsidRPr="00EE657A">
          <w:rPr>
            <w:bCs/>
            <w:webHidden/>
          </w:rPr>
          <w:tab/>
        </w:r>
        <w:r w:rsidR="00EE657A" w:rsidRPr="00EE657A">
          <w:rPr>
            <w:bCs/>
            <w:webHidden/>
          </w:rPr>
          <w:fldChar w:fldCharType="begin"/>
        </w:r>
        <w:r w:rsidR="00EE657A" w:rsidRPr="00EE657A">
          <w:rPr>
            <w:bCs/>
            <w:webHidden/>
          </w:rPr>
          <w:instrText xml:space="preserve"> PAGEREF _Toc25569517 \h </w:instrText>
        </w:r>
        <w:r w:rsidR="00EE657A" w:rsidRPr="00EE657A">
          <w:rPr>
            <w:bCs/>
            <w:webHidden/>
          </w:rPr>
        </w:r>
        <w:r w:rsidR="00EE657A" w:rsidRPr="00EE657A">
          <w:rPr>
            <w:bCs/>
            <w:webHidden/>
          </w:rPr>
          <w:fldChar w:fldCharType="separate"/>
        </w:r>
        <w:r>
          <w:rPr>
            <w:bCs/>
            <w:webHidden/>
          </w:rPr>
          <w:t>23</w:t>
        </w:r>
        <w:r w:rsidR="00EE657A" w:rsidRPr="00EE657A">
          <w:rPr>
            <w:bCs/>
            <w:webHidden/>
          </w:rPr>
          <w:fldChar w:fldCharType="end"/>
        </w:r>
      </w:hyperlink>
    </w:p>
    <w:p w14:paraId="64F13070" w14:textId="19A5166F" w:rsidR="00EE657A" w:rsidRPr="00EE657A" w:rsidRDefault="00516C2F">
      <w:pPr>
        <w:pStyle w:val="TOC2"/>
        <w:rPr>
          <w:rFonts w:eastAsiaTheme="minorEastAsia" w:cstheme="minorBidi"/>
          <w:bCs/>
          <w:smallCaps w:val="0"/>
          <w:sz w:val="22"/>
          <w:szCs w:val="22"/>
          <w:lang w:eastAsia="en-NZ"/>
        </w:rPr>
      </w:pPr>
      <w:hyperlink w:anchor="_Toc25569518" w:history="1">
        <w:r w:rsidR="00EE657A" w:rsidRPr="00EE657A">
          <w:rPr>
            <w:rStyle w:val="Hyperlink"/>
            <w:rFonts w:ascii="Calibri Light" w:hAnsi="Calibri Light"/>
            <w:bCs/>
          </w:rPr>
          <w:t>3.5</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Burden – Social Deprivation Index</w:t>
        </w:r>
        <w:r w:rsidR="00EE657A" w:rsidRPr="00EE657A">
          <w:rPr>
            <w:bCs/>
            <w:webHidden/>
          </w:rPr>
          <w:tab/>
        </w:r>
        <w:r w:rsidR="00EE657A" w:rsidRPr="00EE657A">
          <w:rPr>
            <w:bCs/>
            <w:webHidden/>
          </w:rPr>
          <w:fldChar w:fldCharType="begin"/>
        </w:r>
        <w:r w:rsidR="00EE657A" w:rsidRPr="00EE657A">
          <w:rPr>
            <w:bCs/>
            <w:webHidden/>
          </w:rPr>
          <w:instrText xml:space="preserve"> PAGEREF _Toc25569518 \h </w:instrText>
        </w:r>
        <w:r w:rsidR="00EE657A" w:rsidRPr="00EE657A">
          <w:rPr>
            <w:bCs/>
            <w:webHidden/>
          </w:rPr>
        </w:r>
        <w:r w:rsidR="00EE657A" w:rsidRPr="00EE657A">
          <w:rPr>
            <w:bCs/>
            <w:webHidden/>
          </w:rPr>
          <w:fldChar w:fldCharType="separate"/>
        </w:r>
        <w:r>
          <w:rPr>
            <w:bCs/>
            <w:webHidden/>
          </w:rPr>
          <w:t>24</w:t>
        </w:r>
        <w:r w:rsidR="00EE657A" w:rsidRPr="00EE657A">
          <w:rPr>
            <w:bCs/>
            <w:webHidden/>
          </w:rPr>
          <w:fldChar w:fldCharType="end"/>
        </w:r>
      </w:hyperlink>
    </w:p>
    <w:p w14:paraId="13DC34EC" w14:textId="4339B291" w:rsidR="00EE657A" w:rsidRPr="00EE657A" w:rsidRDefault="00516C2F">
      <w:pPr>
        <w:pStyle w:val="TOC1"/>
        <w:rPr>
          <w:rFonts w:eastAsiaTheme="minorEastAsia" w:cstheme="minorBidi"/>
          <w:b w:val="0"/>
          <w:caps w:val="0"/>
          <w:sz w:val="22"/>
          <w:szCs w:val="22"/>
          <w:lang w:eastAsia="en-NZ"/>
        </w:rPr>
      </w:pPr>
      <w:hyperlink w:anchor="_Toc25569519" w:history="1">
        <w:r w:rsidR="00EE657A" w:rsidRPr="00EE657A">
          <w:rPr>
            <w:rStyle w:val="Hyperlink"/>
            <w:rFonts w:ascii="Calibri Light" w:hAnsi="Calibri Light"/>
            <w:b w:val="0"/>
          </w:rPr>
          <w:t>4</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Policy options</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_Toc25569519 \h </w:instrText>
        </w:r>
        <w:r w:rsidR="00EE657A" w:rsidRPr="00EE657A">
          <w:rPr>
            <w:b w:val="0"/>
            <w:webHidden/>
          </w:rPr>
        </w:r>
        <w:r w:rsidR="00EE657A" w:rsidRPr="00EE657A">
          <w:rPr>
            <w:b w:val="0"/>
            <w:webHidden/>
          </w:rPr>
          <w:fldChar w:fldCharType="separate"/>
        </w:r>
        <w:r>
          <w:rPr>
            <w:b w:val="0"/>
            <w:webHidden/>
          </w:rPr>
          <w:t>25</w:t>
        </w:r>
        <w:r w:rsidR="00EE657A" w:rsidRPr="00EE657A">
          <w:rPr>
            <w:b w:val="0"/>
            <w:webHidden/>
          </w:rPr>
          <w:fldChar w:fldCharType="end"/>
        </w:r>
      </w:hyperlink>
    </w:p>
    <w:p w14:paraId="01E6FB5C" w14:textId="44EC796F" w:rsidR="00EE657A" w:rsidRPr="00EE657A" w:rsidRDefault="00516C2F">
      <w:pPr>
        <w:pStyle w:val="TOC2"/>
        <w:rPr>
          <w:rFonts w:eastAsiaTheme="minorEastAsia" w:cstheme="minorBidi"/>
          <w:bCs/>
          <w:smallCaps w:val="0"/>
          <w:sz w:val="22"/>
          <w:szCs w:val="22"/>
          <w:lang w:eastAsia="en-NZ"/>
        </w:rPr>
      </w:pPr>
      <w:hyperlink w:anchor="_Toc25569520" w:history="1">
        <w:r w:rsidR="00EE657A" w:rsidRPr="00EE657A">
          <w:rPr>
            <w:rStyle w:val="Hyperlink"/>
            <w:rFonts w:ascii="Calibri Light" w:hAnsi="Calibri Light"/>
            <w:bCs/>
          </w:rPr>
          <w:t>4.1</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Status Quo</w:t>
        </w:r>
        <w:r w:rsidR="00EE657A" w:rsidRPr="00EE657A">
          <w:rPr>
            <w:bCs/>
            <w:webHidden/>
          </w:rPr>
          <w:tab/>
        </w:r>
        <w:r w:rsidR="00EE657A" w:rsidRPr="00EE657A">
          <w:rPr>
            <w:bCs/>
            <w:webHidden/>
          </w:rPr>
          <w:fldChar w:fldCharType="begin"/>
        </w:r>
        <w:r w:rsidR="00EE657A" w:rsidRPr="00EE657A">
          <w:rPr>
            <w:bCs/>
            <w:webHidden/>
          </w:rPr>
          <w:instrText xml:space="preserve"> PAGEREF _Toc25569520 \h </w:instrText>
        </w:r>
        <w:r w:rsidR="00EE657A" w:rsidRPr="00EE657A">
          <w:rPr>
            <w:bCs/>
            <w:webHidden/>
          </w:rPr>
        </w:r>
        <w:r w:rsidR="00EE657A" w:rsidRPr="00EE657A">
          <w:rPr>
            <w:bCs/>
            <w:webHidden/>
          </w:rPr>
          <w:fldChar w:fldCharType="separate"/>
        </w:r>
        <w:r>
          <w:rPr>
            <w:bCs/>
            <w:webHidden/>
          </w:rPr>
          <w:t>25</w:t>
        </w:r>
        <w:r w:rsidR="00EE657A" w:rsidRPr="00EE657A">
          <w:rPr>
            <w:bCs/>
            <w:webHidden/>
          </w:rPr>
          <w:fldChar w:fldCharType="end"/>
        </w:r>
      </w:hyperlink>
    </w:p>
    <w:p w14:paraId="15459FB0" w14:textId="0871026C" w:rsidR="00EE657A" w:rsidRPr="00EE657A" w:rsidRDefault="00516C2F">
      <w:pPr>
        <w:pStyle w:val="TOC2"/>
        <w:rPr>
          <w:rFonts w:eastAsiaTheme="minorEastAsia" w:cstheme="minorBidi"/>
          <w:bCs/>
          <w:smallCaps w:val="0"/>
          <w:sz w:val="22"/>
          <w:szCs w:val="22"/>
          <w:lang w:eastAsia="en-NZ"/>
        </w:rPr>
      </w:pPr>
      <w:hyperlink w:anchor="_Toc25569521" w:history="1">
        <w:r w:rsidR="00EE657A" w:rsidRPr="00EE657A">
          <w:rPr>
            <w:rStyle w:val="Hyperlink"/>
            <w:rFonts w:ascii="Calibri Light" w:hAnsi="Calibri Light"/>
            <w:bCs/>
          </w:rPr>
          <w:t>4.2</w:t>
        </w:r>
        <w:r w:rsidR="00EE657A" w:rsidRPr="00EE657A">
          <w:rPr>
            <w:rFonts w:eastAsiaTheme="minorEastAsia" w:cstheme="minorBidi"/>
            <w:bCs/>
            <w:smallCaps w:val="0"/>
            <w:sz w:val="22"/>
            <w:szCs w:val="22"/>
            <w:lang w:eastAsia="en-NZ"/>
          </w:rPr>
          <w:tab/>
        </w:r>
        <w:r w:rsidR="00EE657A" w:rsidRPr="00EE657A">
          <w:rPr>
            <w:rStyle w:val="Hyperlink"/>
            <w:rFonts w:ascii="Calibri Light" w:hAnsi="Calibri Light"/>
            <w:bCs/>
          </w:rPr>
          <w:t>Preferred Policy</w:t>
        </w:r>
        <w:r w:rsidR="00EE657A" w:rsidRPr="00EE657A">
          <w:rPr>
            <w:bCs/>
            <w:webHidden/>
          </w:rPr>
          <w:tab/>
        </w:r>
        <w:r w:rsidR="00EE657A" w:rsidRPr="00EE657A">
          <w:rPr>
            <w:bCs/>
            <w:webHidden/>
          </w:rPr>
          <w:fldChar w:fldCharType="begin"/>
        </w:r>
        <w:r w:rsidR="00EE657A" w:rsidRPr="00EE657A">
          <w:rPr>
            <w:bCs/>
            <w:webHidden/>
          </w:rPr>
          <w:instrText xml:space="preserve"> PAGEREF _Toc25569521 \h </w:instrText>
        </w:r>
        <w:r w:rsidR="00EE657A" w:rsidRPr="00EE657A">
          <w:rPr>
            <w:bCs/>
            <w:webHidden/>
          </w:rPr>
        </w:r>
        <w:r w:rsidR="00EE657A" w:rsidRPr="00EE657A">
          <w:rPr>
            <w:bCs/>
            <w:webHidden/>
          </w:rPr>
          <w:fldChar w:fldCharType="separate"/>
        </w:r>
        <w:r>
          <w:rPr>
            <w:bCs/>
            <w:webHidden/>
          </w:rPr>
          <w:t>25</w:t>
        </w:r>
        <w:r w:rsidR="00EE657A" w:rsidRPr="00EE657A">
          <w:rPr>
            <w:bCs/>
            <w:webHidden/>
          </w:rPr>
          <w:fldChar w:fldCharType="end"/>
        </w:r>
      </w:hyperlink>
    </w:p>
    <w:p w14:paraId="2B0BDD50" w14:textId="3C85109D" w:rsidR="00EE657A" w:rsidRPr="00EE657A" w:rsidRDefault="00516C2F">
      <w:pPr>
        <w:pStyle w:val="TOC1"/>
        <w:rPr>
          <w:rFonts w:eastAsiaTheme="minorEastAsia" w:cstheme="minorBidi"/>
          <w:b w:val="0"/>
          <w:caps w:val="0"/>
          <w:sz w:val="22"/>
          <w:szCs w:val="22"/>
          <w:lang w:eastAsia="en-NZ"/>
        </w:rPr>
      </w:pPr>
      <w:hyperlink w:anchor="_Toc25569522" w:history="1">
        <w:r w:rsidR="00EE657A" w:rsidRPr="00EE657A">
          <w:rPr>
            <w:rStyle w:val="Hyperlink"/>
            <w:rFonts w:ascii="Calibri Light" w:hAnsi="Calibri Light"/>
            <w:b w:val="0"/>
          </w:rPr>
          <w:t>5</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Key findings/results</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_Toc25569522 \h </w:instrText>
        </w:r>
        <w:r w:rsidR="00EE657A" w:rsidRPr="00EE657A">
          <w:rPr>
            <w:b w:val="0"/>
            <w:webHidden/>
          </w:rPr>
        </w:r>
        <w:r w:rsidR="00EE657A" w:rsidRPr="00EE657A">
          <w:rPr>
            <w:b w:val="0"/>
            <w:webHidden/>
          </w:rPr>
          <w:fldChar w:fldCharType="separate"/>
        </w:r>
        <w:r>
          <w:rPr>
            <w:b w:val="0"/>
            <w:webHidden/>
          </w:rPr>
          <w:t>27</w:t>
        </w:r>
        <w:r w:rsidR="00EE657A" w:rsidRPr="00EE657A">
          <w:rPr>
            <w:b w:val="0"/>
            <w:webHidden/>
          </w:rPr>
          <w:fldChar w:fldCharType="end"/>
        </w:r>
      </w:hyperlink>
    </w:p>
    <w:p w14:paraId="0135FD4A" w14:textId="32752D5B" w:rsidR="00EE657A" w:rsidRPr="00EE657A" w:rsidRDefault="00516C2F">
      <w:pPr>
        <w:pStyle w:val="TOC2"/>
        <w:rPr>
          <w:rFonts w:eastAsiaTheme="minorEastAsia" w:cstheme="minorBidi"/>
          <w:bCs/>
          <w:smallCaps w:val="0"/>
          <w:sz w:val="22"/>
          <w:szCs w:val="22"/>
          <w:lang w:eastAsia="en-NZ"/>
        </w:rPr>
      </w:pPr>
      <w:hyperlink w:anchor="_Toc25569523" w:history="1">
        <w:r w:rsidR="00EE657A" w:rsidRPr="00EE657A">
          <w:rPr>
            <w:rStyle w:val="Hyperlink"/>
            <w:bCs/>
          </w:rPr>
          <w:t>5.1</w:t>
        </w:r>
        <w:r w:rsidR="00EE657A" w:rsidRPr="00EE657A">
          <w:rPr>
            <w:rFonts w:eastAsiaTheme="minorEastAsia" w:cstheme="minorBidi"/>
            <w:bCs/>
            <w:smallCaps w:val="0"/>
            <w:sz w:val="22"/>
            <w:szCs w:val="22"/>
            <w:lang w:eastAsia="en-NZ"/>
          </w:rPr>
          <w:tab/>
        </w:r>
        <w:r w:rsidR="00EE657A" w:rsidRPr="00EE657A">
          <w:rPr>
            <w:rStyle w:val="Hyperlink"/>
            <w:bCs/>
          </w:rPr>
          <w:t>Overall Result – CBR</w:t>
        </w:r>
        <w:r w:rsidR="00EE657A" w:rsidRPr="00EE657A">
          <w:rPr>
            <w:bCs/>
            <w:webHidden/>
          </w:rPr>
          <w:tab/>
        </w:r>
        <w:r w:rsidR="00EE657A" w:rsidRPr="00EE657A">
          <w:rPr>
            <w:bCs/>
            <w:webHidden/>
          </w:rPr>
          <w:fldChar w:fldCharType="begin"/>
        </w:r>
        <w:r w:rsidR="00EE657A" w:rsidRPr="00EE657A">
          <w:rPr>
            <w:bCs/>
            <w:webHidden/>
          </w:rPr>
          <w:instrText xml:space="preserve"> PAGEREF _Toc25569523 \h </w:instrText>
        </w:r>
        <w:r w:rsidR="00EE657A" w:rsidRPr="00EE657A">
          <w:rPr>
            <w:bCs/>
            <w:webHidden/>
          </w:rPr>
        </w:r>
        <w:r w:rsidR="00EE657A" w:rsidRPr="00EE657A">
          <w:rPr>
            <w:bCs/>
            <w:webHidden/>
          </w:rPr>
          <w:fldChar w:fldCharType="separate"/>
        </w:r>
        <w:r>
          <w:rPr>
            <w:bCs/>
            <w:webHidden/>
          </w:rPr>
          <w:t>27</w:t>
        </w:r>
        <w:r w:rsidR="00EE657A" w:rsidRPr="00EE657A">
          <w:rPr>
            <w:bCs/>
            <w:webHidden/>
          </w:rPr>
          <w:fldChar w:fldCharType="end"/>
        </w:r>
      </w:hyperlink>
    </w:p>
    <w:p w14:paraId="0F42AE57" w14:textId="54AD5A74" w:rsidR="00EE657A" w:rsidRPr="00EE657A" w:rsidRDefault="00516C2F">
      <w:pPr>
        <w:pStyle w:val="TOC2"/>
        <w:rPr>
          <w:rFonts w:eastAsiaTheme="minorEastAsia" w:cstheme="minorBidi"/>
          <w:bCs/>
          <w:smallCaps w:val="0"/>
          <w:sz w:val="22"/>
          <w:szCs w:val="22"/>
          <w:lang w:eastAsia="en-NZ"/>
        </w:rPr>
      </w:pPr>
      <w:hyperlink w:anchor="_Toc25569524" w:history="1">
        <w:r w:rsidR="00EE657A" w:rsidRPr="00EE657A">
          <w:rPr>
            <w:rStyle w:val="Hyperlink"/>
            <w:bCs/>
          </w:rPr>
          <w:t>5.2</w:t>
        </w:r>
        <w:r w:rsidR="00EE657A" w:rsidRPr="00EE657A">
          <w:rPr>
            <w:rFonts w:eastAsiaTheme="minorEastAsia" w:cstheme="minorBidi"/>
            <w:bCs/>
            <w:smallCaps w:val="0"/>
            <w:sz w:val="22"/>
            <w:szCs w:val="22"/>
            <w:lang w:eastAsia="en-NZ"/>
          </w:rPr>
          <w:tab/>
        </w:r>
        <w:r w:rsidR="00EE657A" w:rsidRPr="00EE657A">
          <w:rPr>
            <w:rStyle w:val="Hyperlink"/>
            <w:bCs/>
          </w:rPr>
          <w:t>PM</w:t>
        </w:r>
        <w:r w:rsidR="00EE657A" w:rsidRPr="00EE657A">
          <w:rPr>
            <w:rStyle w:val="Hyperlink"/>
            <w:bCs/>
            <w:vertAlign w:val="subscript"/>
          </w:rPr>
          <w:t>2.5</w:t>
        </w:r>
        <w:r w:rsidR="00EE657A" w:rsidRPr="00EE657A">
          <w:rPr>
            <w:rStyle w:val="Hyperlink"/>
            <w:bCs/>
          </w:rPr>
          <w:t xml:space="preserve"> Concentration by Airshed</w:t>
        </w:r>
        <w:r w:rsidR="00EE657A" w:rsidRPr="00EE657A">
          <w:rPr>
            <w:bCs/>
            <w:webHidden/>
          </w:rPr>
          <w:tab/>
        </w:r>
        <w:r w:rsidR="00EE657A" w:rsidRPr="00EE657A">
          <w:rPr>
            <w:bCs/>
            <w:webHidden/>
          </w:rPr>
          <w:fldChar w:fldCharType="begin"/>
        </w:r>
        <w:r w:rsidR="00EE657A" w:rsidRPr="00EE657A">
          <w:rPr>
            <w:bCs/>
            <w:webHidden/>
          </w:rPr>
          <w:instrText xml:space="preserve"> PAGEREF _Toc25569524 \h </w:instrText>
        </w:r>
        <w:r w:rsidR="00EE657A" w:rsidRPr="00EE657A">
          <w:rPr>
            <w:bCs/>
            <w:webHidden/>
          </w:rPr>
        </w:r>
        <w:r w:rsidR="00EE657A" w:rsidRPr="00EE657A">
          <w:rPr>
            <w:bCs/>
            <w:webHidden/>
          </w:rPr>
          <w:fldChar w:fldCharType="separate"/>
        </w:r>
        <w:r>
          <w:rPr>
            <w:bCs/>
            <w:webHidden/>
          </w:rPr>
          <w:t>28</w:t>
        </w:r>
        <w:r w:rsidR="00EE657A" w:rsidRPr="00EE657A">
          <w:rPr>
            <w:bCs/>
            <w:webHidden/>
          </w:rPr>
          <w:fldChar w:fldCharType="end"/>
        </w:r>
      </w:hyperlink>
    </w:p>
    <w:p w14:paraId="0C270AC3" w14:textId="02CE6EEA" w:rsidR="00EE657A" w:rsidRPr="00EE657A" w:rsidRDefault="00516C2F">
      <w:pPr>
        <w:pStyle w:val="TOC2"/>
        <w:rPr>
          <w:rFonts w:eastAsiaTheme="minorEastAsia" w:cstheme="minorBidi"/>
          <w:bCs/>
          <w:smallCaps w:val="0"/>
          <w:sz w:val="22"/>
          <w:szCs w:val="22"/>
          <w:lang w:eastAsia="en-NZ"/>
        </w:rPr>
      </w:pPr>
      <w:hyperlink w:anchor="_Toc25569525" w:history="1">
        <w:r w:rsidR="00EE657A" w:rsidRPr="00EE657A">
          <w:rPr>
            <w:rStyle w:val="Hyperlink"/>
            <w:bCs/>
          </w:rPr>
          <w:t>5.3</w:t>
        </w:r>
        <w:r w:rsidR="00EE657A" w:rsidRPr="00EE657A">
          <w:rPr>
            <w:rFonts w:eastAsiaTheme="minorEastAsia" w:cstheme="minorBidi"/>
            <w:bCs/>
            <w:smallCaps w:val="0"/>
            <w:sz w:val="22"/>
            <w:szCs w:val="22"/>
            <w:lang w:eastAsia="en-NZ"/>
          </w:rPr>
          <w:tab/>
        </w:r>
        <w:r w:rsidR="00EE657A" w:rsidRPr="00EE657A">
          <w:rPr>
            <w:rStyle w:val="Hyperlink"/>
            <w:bCs/>
          </w:rPr>
          <w:t>Health Cost Savings</w:t>
        </w:r>
        <w:r w:rsidR="00EE657A" w:rsidRPr="00EE657A">
          <w:rPr>
            <w:bCs/>
            <w:webHidden/>
          </w:rPr>
          <w:tab/>
        </w:r>
        <w:r w:rsidR="00EE657A" w:rsidRPr="00EE657A">
          <w:rPr>
            <w:bCs/>
            <w:webHidden/>
          </w:rPr>
          <w:fldChar w:fldCharType="begin"/>
        </w:r>
        <w:r w:rsidR="00EE657A" w:rsidRPr="00EE657A">
          <w:rPr>
            <w:bCs/>
            <w:webHidden/>
          </w:rPr>
          <w:instrText xml:space="preserve"> PAGEREF _Toc25569525 \h </w:instrText>
        </w:r>
        <w:r w:rsidR="00EE657A" w:rsidRPr="00EE657A">
          <w:rPr>
            <w:bCs/>
            <w:webHidden/>
          </w:rPr>
        </w:r>
        <w:r w:rsidR="00EE657A" w:rsidRPr="00EE657A">
          <w:rPr>
            <w:bCs/>
            <w:webHidden/>
          </w:rPr>
          <w:fldChar w:fldCharType="separate"/>
        </w:r>
        <w:r>
          <w:rPr>
            <w:bCs/>
            <w:webHidden/>
          </w:rPr>
          <w:t>29</w:t>
        </w:r>
        <w:r w:rsidR="00EE657A" w:rsidRPr="00EE657A">
          <w:rPr>
            <w:bCs/>
            <w:webHidden/>
          </w:rPr>
          <w:fldChar w:fldCharType="end"/>
        </w:r>
      </w:hyperlink>
    </w:p>
    <w:p w14:paraId="50D4A0EF" w14:textId="4F878AF4" w:rsidR="00EE657A" w:rsidRPr="00EE657A" w:rsidRDefault="00516C2F">
      <w:pPr>
        <w:pStyle w:val="TOC1"/>
        <w:rPr>
          <w:rFonts w:eastAsiaTheme="minorEastAsia" w:cstheme="minorBidi"/>
          <w:b w:val="0"/>
          <w:caps w:val="0"/>
          <w:sz w:val="22"/>
          <w:szCs w:val="22"/>
          <w:lang w:eastAsia="en-NZ"/>
        </w:rPr>
      </w:pPr>
      <w:hyperlink w:anchor="_Toc25569526" w:history="1">
        <w:r w:rsidR="00EE657A" w:rsidRPr="00EE657A">
          <w:rPr>
            <w:rStyle w:val="Hyperlink"/>
            <w:rFonts w:ascii="Calibri Light" w:hAnsi="Calibri Light"/>
            <w:b w:val="0"/>
          </w:rPr>
          <w:t>6</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Summary</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_Toc25569526 \h </w:instrText>
        </w:r>
        <w:r w:rsidR="00EE657A" w:rsidRPr="00EE657A">
          <w:rPr>
            <w:b w:val="0"/>
            <w:webHidden/>
          </w:rPr>
        </w:r>
        <w:r w:rsidR="00EE657A" w:rsidRPr="00EE657A">
          <w:rPr>
            <w:b w:val="0"/>
            <w:webHidden/>
          </w:rPr>
          <w:fldChar w:fldCharType="separate"/>
        </w:r>
        <w:r>
          <w:rPr>
            <w:b w:val="0"/>
            <w:webHidden/>
          </w:rPr>
          <w:t>31</w:t>
        </w:r>
        <w:r w:rsidR="00EE657A" w:rsidRPr="00EE657A">
          <w:rPr>
            <w:b w:val="0"/>
            <w:webHidden/>
          </w:rPr>
          <w:fldChar w:fldCharType="end"/>
        </w:r>
      </w:hyperlink>
    </w:p>
    <w:p w14:paraId="082EDAF7" w14:textId="219FF53C" w:rsidR="00EE657A" w:rsidRPr="00EE657A" w:rsidRDefault="00516C2F">
      <w:pPr>
        <w:pStyle w:val="TOC1"/>
        <w:rPr>
          <w:rFonts w:eastAsiaTheme="minorEastAsia" w:cstheme="minorBidi"/>
          <w:b w:val="0"/>
          <w:caps w:val="0"/>
          <w:sz w:val="22"/>
          <w:szCs w:val="22"/>
          <w:lang w:eastAsia="en-NZ"/>
        </w:rPr>
      </w:pPr>
      <w:hyperlink w:anchor="_Toc25569527" w:history="1">
        <w:r w:rsidR="00EE657A" w:rsidRPr="00EE657A">
          <w:rPr>
            <w:rStyle w:val="Hyperlink"/>
            <w:rFonts w:ascii="Calibri Light" w:hAnsi="Calibri Light"/>
            <w:b w:val="0"/>
          </w:rPr>
          <w:t>7</w:t>
        </w:r>
        <w:r w:rsidR="00EE657A" w:rsidRPr="00EE657A">
          <w:rPr>
            <w:rFonts w:eastAsiaTheme="minorEastAsia" w:cstheme="minorBidi"/>
            <w:b w:val="0"/>
            <w:caps w:val="0"/>
            <w:sz w:val="22"/>
            <w:szCs w:val="22"/>
            <w:lang w:eastAsia="en-NZ"/>
          </w:rPr>
          <w:tab/>
        </w:r>
        <w:r w:rsidR="00EE657A" w:rsidRPr="00EE657A">
          <w:rPr>
            <w:rStyle w:val="Hyperlink"/>
            <w:rFonts w:ascii="Calibri Light" w:hAnsi="Calibri Light"/>
            <w:b w:val="0"/>
          </w:rPr>
          <w:t>References</w:t>
        </w:r>
        <w:r w:rsidR="00EE657A" w:rsidRPr="00EE657A">
          <w:rPr>
            <w:b w:val="0"/>
            <w:webHidden/>
          </w:rPr>
          <w:tab/>
        </w:r>
        <w:r w:rsidR="00EE657A" w:rsidRPr="00EE657A">
          <w:rPr>
            <w:b w:val="0"/>
            <w:webHidden/>
          </w:rPr>
          <w:fldChar w:fldCharType="begin"/>
        </w:r>
        <w:r w:rsidR="00EE657A" w:rsidRPr="00EE657A">
          <w:rPr>
            <w:b w:val="0"/>
            <w:webHidden/>
          </w:rPr>
          <w:instrText xml:space="preserve"> PAGEREF _Toc25569527 \h </w:instrText>
        </w:r>
        <w:r w:rsidR="00EE657A" w:rsidRPr="00EE657A">
          <w:rPr>
            <w:b w:val="0"/>
            <w:webHidden/>
          </w:rPr>
        </w:r>
        <w:r w:rsidR="00EE657A" w:rsidRPr="00EE657A">
          <w:rPr>
            <w:b w:val="0"/>
            <w:webHidden/>
          </w:rPr>
          <w:fldChar w:fldCharType="separate"/>
        </w:r>
        <w:r>
          <w:rPr>
            <w:b w:val="0"/>
            <w:webHidden/>
          </w:rPr>
          <w:t>33</w:t>
        </w:r>
        <w:r w:rsidR="00EE657A" w:rsidRPr="00EE657A">
          <w:rPr>
            <w:b w:val="0"/>
            <w:webHidden/>
          </w:rPr>
          <w:fldChar w:fldCharType="end"/>
        </w:r>
      </w:hyperlink>
    </w:p>
    <w:p w14:paraId="038A3DD4" w14:textId="0892E158" w:rsidR="00223DD2" w:rsidRDefault="00236641" w:rsidP="00524078">
      <w:pPr>
        <w:ind w:left="0"/>
      </w:pPr>
      <w:r w:rsidRPr="00EE657A">
        <w:rPr>
          <w:bCs/>
        </w:rPr>
        <w:fldChar w:fldCharType="end"/>
      </w:r>
    </w:p>
    <w:p w14:paraId="614D8563" w14:textId="485594AE" w:rsidR="00A7277C" w:rsidRPr="001E66EF" w:rsidRDefault="00A7277C" w:rsidP="00A7277C">
      <w:pPr>
        <w:pStyle w:val="ContentsFigureHeading"/>
      </w:pPr>
      <w:r>
        <w:t>Table</w:t>
      </w:r>
      <w:r w:rsidR="00524078">
        <w:t>s</w:t>
      </w:r>
    </w:p>
    <w:p w14:paraId="5D912981" w14:textId="79E7FCB0" w:rsidR="00EE657A" w:rsidRDefault="00A7277C">
      <w:pPr>
        <w:pStyle w:val="TableofFigures"/>
        <w:rPr>
          <w:rFonts w:asciiTheme="minorHAnsi" w:eastAsiaTheme="minorEastAsia" w:hAnsiTheme="minorHAnsi"/>
          <w:smallCaps w:val="0"/>
          <w:sz w:val="22"/>
          <w:lang w:eastAsia="en-NZ"/>
        </w:rPr>
      </w:pPr>
      <w:r>
        <w:fldChar w:fldCharType="begin"/>
      </w:r>
      <w:r>
        <w:instrText xml:space="preserve"> TOC \h \z \c "Table" </w:instrText>
      </w:r>
      <w:r>
        <w:fldChar w:fldCharType="separate"/>
      </w:r>
      <w:hyperlink w:anchor="_Toc25569489" w:history="1">
        <w:r w:rsidR="00EE657A" w:rsidRPr="00DC0190">
          <w:rPr>
            <w:rStyle w:val="Hyperlink"/>
          </w:rPr>
          <w:t>Table 2</w:t>
        </w:r>
        <w:r w:rsidR="00EE657A" w:rsidRPr="00DC0190">
          <w:rPr>
            <w:rStyle w:val="Hyperlink"/>
          </w:rPr>
          <w:noBreakHyphen/>
          <w:t>1: Boilers by Region</w:t>
        </w:r>
        <w:r w:rsidR="00EE657A">
          <w:rPr>
            <w:webHidden/>
          </w:rPr>
          <w:tab/>
        </w:r>
        <w:r w:rsidR="00EE657A">
          <w:rPr>
            <w:webHidden/>
          </w:rPr>
          <w:fldChar w:fldCharType="begin"/>
        </w:r>
        <w:r w:rsidR="00EE657A">
          <w:rPr>
            <w:webHidden/>
          </w:rPr>
          <w:instrText xml:space="preserve"> PAGEREF _Toc25569489 \h </w:instrText>
        </w:r>
        <w:r w:rsidR="00EE657A">
          <w:rPr>
            <w:webHidden/>
          </w:rPr>
        </w:r>
        <w:r w:rsidR="00EE657A">
          <w:rPr>
            <w:webHidden/>
          </w:rPr>
          <w:fldChar w:fldCharType="separate"/>
        </w:r>
        <w:r w:rsidR="00516C2F">
          <w:rPr>
            <w:webHidden/>
          </w:rPr>
          <w:t>13</w:t>
        </w:r>
        <w:r w:rsidR="00EE657A">
          <w:rPr>
            <w:webHidden/>
          </w:rPr>
          <w:fldChar w:fldCharType="end"/>
        </w:r>
      </w:hyperlink>
    </w:p>
    <w:p w14:paraId="24F21E1F" w14:textId="057BC630" w:rsidR="00EE657A" w:rsidRDefault="00516C2F">
      <w:pPr>
        <w:pStyle w:val="TableofFigures"/>
        <w:rPr>
          <w:rFonts w:asciiTheme="minorHAnsi" w:eastAsiaTheme="minorEastAsia" w:hAnsiTheme="minorHAnsi"/>
          <w:smallCaps w:val="0"/>
          <w:sz w:val="22"/>
          <w:lang w:eastAsia="en-NZ"/>
        </w:rPr>
      </w:pPr>
      <w:hyperlink w:anchor="_Toc25569490" w:history="1">
        <w:r w:rsidR="00EE657A" w:rsidRPr="00DC0190">
          <w:rPr>
            <w:rStyle w:val="Hyperlink"/>
          </w:rPr>
          <w:t>Table 2</w:t>
        </w:r>
        <w:r w:rsidR="00EE657A" w:rsidRPr="00DC0190">
          <w:rPr>
            <w:rStyle w:val="Hyperlink"/>
          </w:rPr>
          <w:noBreakHyphen/>
          <w:t>2: Outdoor burning regional planning documents (2016/17)</w:t>
        </w:r>
        <w:r w:rsidR="00EE657A">
          <w:rPr>
            <w:webHidden/>
          </w:rPr>
          <w:tab/>
        </w:r>
        <w:r w:rsidR="00EE657A">
          <w:rPr>
            <w:webHidden/>
          </w:rPr>
          <w:fldChar w:fldCharType="begin"/>
        </w:r>
        <w:r w:rsidR="00EE657A">
          <w:rPr>
            <w:webHidden/>
          </w:rPr>
          <w:instrText xml:space="preserve"> PAGEREF _Toc25569490 \h </w:instrText>
        </w:r>
        <w:r w:rsidR="00EE657A">
          <w:rPr>
            <w:webHidden/>
          </w:rPr>
        </w:r>
        <w:r w:rsidR="00EE657A">
          <w:rPr>
            <w:webHidden/>
          </w:rPr>
          <w:fldChar w:fldCharType="separate"/>
        </w:r>
        <w:r>
          <w:rPr>
            <w:webHidden/>
          </w:rPr>
          <w:t>14</w:t>
        </w:r>
        <w:r w:rsidR="00EE657A">
          <w:rPr>
            <w:webHidden/>
          </w:rPr>
          <w:fldChar w:fldCharType="end"/>
        </w:r>
      </w:hyperlink>
    </w:p>
    <w:p w14:paraId="777A4015" w14:textId="1719FD84" w:rsidR="00EE657A" w:rsidRDefault="00516C2F">
      <w:pPr>
        <w:pStyle w:val="TableofFigures"/>
        <w:rPr>
          <w:rFonts w:asciiTheme="minorHAnsi" w:eastAsiaTheme="minorEastAsia" w:hAnsiTheme="minorHAnsi"/>
          <w:smallCaps w:val="0"/>
          <w:sz w:val="22"/>
          <w:lang w:eastAsia="en-NZ"/>
        </w:rPr>
      </w:pPr>
      <w:hyperlink w:anchor="_Toc25569491" w:history="1">
        <w:r w:rsidR="00EE657A" w:rsidRPr="00DC0190">
          <w:rPr>
            <w:rStyle w:val="Hyperlink"/>
          </w:rPr>
          <w:t>Table 2</w:t>
        </w:r>
        <w:r w:rsidR="00EE657A" w:rsidRPr="00DC0190">
          <w:rPr>
            <w:rStyle w:val="Hyperlink"/>
          </w:rPr>
          <w:noBreakHyphen/>
          <w:t>3:  Information used for appliance type apportionment</w:t>
        </w:r>
        <w:r w:rsidR="00EE657A">
          <w:rPr>
            <w:webHidden/>
          </w:rPr>
          <w:tab/>
        </w:r>
        <w:r w:rsidR="00EE657A">
          <w:rPr>
            <w:webHidden/>
          </w:rPr>
          <w:fldChar w:fldCharType="begin"/>
        </w:r>
        <w:r w:rsidR="00EE657A">
          <w:rPr>
            <w:webHidden/>
          </w:rPr>
          <w:instrText xml:space="preserve"> PAGEREF _Toc25569491 \h </w:instrText>
        </w:r>
        <w:r w:rsidR="00EE657A">
          <w:rPr>
            <w:webHidden/>
          </w:rPr>
        </w:r>
        <w:r w:rsidR="00EE657A">
          <w:rPr>
            <w:webHidden/>
          </w:rPr>
          <w:fldChar w:fldCharType="separate"/>
        </w:r>
        <w:r>
          <w:rPr>
            <w:webHidden/>
          </w:rPr>
          <w:t>16</w:t>
        </w:r>
        <w:r w:rsidR="00EE657A">
          <w:rPr>
            <w:webHidden/>
          </w:rPr>
          <w:fldChar w:fldCharType="end"/>
        </w:r>
      </w:hyperlink>
    </w:p>
    <w:p w14:paraId="27F96802" w14:textId="0B0520BB" w:rsidR="00EE657A" w:rsidRDefault="00516C2F">
      <w:pPr>
        <w:pStyle w:val="TableofFigures"/>
        <w:rPr>
          <w:rFonts w:asciiTheme="minorHAnsi" w:eastAsiaTheme="minorEastAsia" w:hAnsiTheme="minorHAnsi"/>
          <w:smallCaps w:val="0"/>
          <w:sz w:val="22"/>
          <w:lang w:eastAsia="en-NZ"/>
        </w:rPr>
      </w:pPr>
      <w:hyperlink w:anchor="_Toc25569492" w:history="1">
        <w:r w:rsidR="00EE657A" w:rsidRPr="00DC0190">
          <w:rPr>
            <w:rStyle w:val="Hyperlink"/>
          </w:rPr>
          <w:t>Table 3</w:t>
        </w:r>
        <w:r w:rsidR="00EE657A" w:rsidRPr="00DC0190">
          <w:rPr>
            <w:rStyle w:val="Hyperlink"/>
          </w:rPr>
          <w:noBreakHyphen/>
          <w:t>1:  Health Effect and Cos</w:t>
        </w:r>
        <w:bookmarkStart w:id="0" w:name="_GoBack"/>
        <w:bookmarkEnd w:id="0"/>
        <w:r w:rsidR="00EE657A" w:rsidRPr="00DC0190">
          <w:rPr>
            <w:rStyle w:val="Hyperlink"/>
          </w:rPr>
          <w:t>t per Case</w:t>
        </w:r>
        <w:r w:rsidR="00EE657A">
          <w:rPr>
            <w:webHidden/>
          </w:rPr>
          <w:tab/>
        </w:r>
        <w:r w:rsidR="00EE657A">
          <w:rPr>
            <w:webHidden/>
          </w:rPr>
          <w:fldChar w:fldCharType="begin"/>
        </w:r>
        <w:r w:rsidR="00EE657A">
          <w:rPr>
            <w:webHidden/>
          </w:rPr>
          <w:instrText xml:space="preserve"> PAGEREF _Toc25569492 \h </w:instrText>
        </w:r>
        <w:r w:rsidR="00EE657A">
          <w:rPr>
            <w:webHidden/>
          </w:rPr>
        </w:r>
        <w:r w:rsidR="00EE657A">
          <w:rPr>
            <w:webHidden/>
          </w:rPr>
          <w:fldChar w:fldCharType="separate"/>
        </w:r>
        <w:r>
          <w:rPr>
            <w:webHidden/>
          </w:rPr>
          <w:t>20</w:t>
        </w:r>
        <w:r w:rsidR="00EE657A">
          <w:rPr>
            <w:webHidden/>
          </w:rPr>
          <w:fldChar w:fldCharType="end"/>
        </w:r>
      </w:hyperlink>
    </w:p>
    <w:p w14:paraId="2617CA4D" w14:textId="7920B9AF" w:rsidR="00EE657A" w:rsidRDefault="00516C2F">
      <w:pPr>
        <w:pStyle w:val="TableofFigures"/>
        <w:rPr>
          <w:rFonts w:asciiTheme="minorHAnsi" w:eastAsiaTheme="minorEastAsia" w:hAnsiTheme="minorHAnsi"/>
          <w:smallCaps w:val="0"/>
          <w:sz w:val="22"/>
          <w:lang w:eastAsia="en-NZ"/>
        </w:rPr>
      </w:pPr>
      <w:hyperlink w:anchor="_Toc25569493" w:history="1">
        <w:r w:rsidR="00EE657A" w:rsidRPr="00DC0190">
          <w:rPr>
            <w:rStyle w:val="Hyperlink"/>
          </w:rPr>
          <w:t>Table 3</w:t>
        </w:r>
        <w:r w:rsidR="00EE657A" w:rsidRPr="00DC0190">
          <w:rPr>
            <w:rStyle w:val="Hyperlink"/>
          </w:rPr>
          <w:noBreakHyphen/>
          <w:t>2:  Discount rates 4%, 6%, 8%</w:t>
        </w:r>
        <w:r w:rsidR="00EE657A">
          <w:rPr>
            <w:webHidden/>
          </w:rPr>
          <w:tab/>
        </w:r>
        <w:r w:rsidR="00EE657A">
          <w:rPr>
            <w:webHidden/>
          </w:rPr>
          <w:fldChar w:fldCharType="begin"/>
        </w:r>
        <w:r w:rsidR="00EE657A">
          <w:rPr>
            <w:webHidden/>
          </w:rPr>
          <w:instrText xml:space="preserve"> PAGEREF _Toc25569493 \h </w:instrText>
        </w:r>
        <w:r w:rsidR="00EE657A">
          <w:rPr>
            <w:webHidden/>
          </w:rPr>
        </w:r>
        <w:r w:rsidR="00EE657A">
          <w:rPr>
            <w:webHidden/>
          </w:rPr>
          <w:fldChar w:fldCharType="separate"/>
        </w:r>
        <w:r>
          <w:rPr>
            <w:webHidden/>
          </w:rPr>
          <w:t>22</w:t>
        </w:r>
        <w:r w:rsidR="00EE657A">
          <w:rPr>
            <w:webHidden/>
          </w:rPr>
          <w:fldChar w:fldCharType="end"/>
        </w:r>
      </w:hyperlink>
    </w:p>
    <w:p w14:paraId="79B8C0F0" w14:textId="261C6308" w:rsidR="00EE657A" w:rsidRDefault="00516C2F">
      <w:pPr>
        <w:pStyle w:val="TableofFigures"/>
        <w:rPr>
          <w:rFonts w:asciiTheme="minorHAnsi" w:eastAsiaTheme="minorEastAsia" w:hAnsiTheme="minorHAnsi"/>
          <w:smallCaps w:val="0"/>
          <w:sz w:val="22"/>
          <w:lang w:eastAsia="en-NZ"/>
        </w:rPr>
      </w:pPr>
      <w:hyperlink w:anchor="_Toc25569494" w:history="1">
        <w:r w:rsidR="00EE657A" w:rsidRPr="00DC0190">
          <w:rPr>
            <w:rStyle w:val="Hyperlink"/>
          </w:rPr>
          <w:t>Table 3</w:t>
        </w:r>
        <w:r w:rsidR="00EE657A" w:rsidRPr="00DC0190">
          <w:rPr>
            <w:rStyle w:val="Hyperlink"/>
          </w:rPr>
          <w:noBreakHyphen/>
          <w:t>3:  Private Costs</w:t>
        </w:r>
        <w:r w:rsidR="00EE657A">
          <w:rPr>
            <w:webHidden/>
          </w:rPr>
          <w:tab/>
        </w:r>
        <w:r w:rsidR="00EE657A">
          <w:rPr>
            <w:webHidden/>
          </w:rPr>
          <w:fldChar w:fldCharType="begin"/>
        </w:r>
        <w:r w:rsidR="00EE657A">
          <w:rPr>
            <w:webHidden/>
          </w:rPr>
          <w:instrText xml:space="preserve"> PAGEREF _Toc25569494 \h </w:instrText>
        </w:r>
        <w:r w:rsidR="00EE657A">
          <w:rPr>
            <w:webHidden/>
          </w:rPr>
        </w:r>
        <w:r w:rsidR="00EE657A">
          <w:rPr>
            <w:webHidden/>
          </w:rPr>
          <w:fldChar w:fldCharType="separate"/>
        </w:r>
        <w:r>
          <w:rPr>
            <w:webHidden/>
          </w:rPr>
          <w:t>22</w:t>
        </w:r>
        <w:r w:rsidR="00EE657A">
          <w:rPr>
            <w:webHidden/>
          </w:rPr>
          <w:fldChar w:fldCharType="end"/>
        </w:r>
      </w:hyperlink>
    </w:p>
    <w:p w14:paraId="3FCEB6A4" w14:textId="0CE1FFC1" w:rsidR="00EE657A" w:rsidRDefault="00516C2F">
      <w:pPr>
        <w:pStyle w:val="TableofFigures"/>
        <w:rPr>
          <w:rFonts w:asciiTheme="minorHAnsi" w:eastAsiaTheme="minorEastAsia" w:hAnsiTheme="minorHAnsi"/>
          <w:smallCaps w:val="0"/>
          <w:sz w:val="22"/>
          <w:lang w:eastAsia="en-NZ"/>
        </w:rPr>
      </w:pPr>
      <w:hyperlink w:anchor="_Toc25569495" w:history="1">
        <w:r w:rsidR="00EE657A" w:rsidRPr="00DC0190">
          <w:rPr>
            <w:rStyle w:val="Hyperlink"/>
          </w:rPr>
          <w:t>Table 3</w:t>
        </w:r>
        <w:r w:rsidR="00EE657A" w:rsidRPr="00DC0190">
          <w:rPr>
            <w:rStyle w:val="Hyperlink"/>
          </w:rPr>
          <w:noBreakHyphen/>
          <w:t>4:  Regional Council Additional Costs</w:t>
        </w:r>
        <w:r w:rsidR="00EE657A">
          <w:rPr>
            <w:webHidden/>
          </w:rPr>
          <w:tab/>
        </w:r>
        <w:r w:rsidR="00EE657A">
          <w:rPr>
            <w:webHidden/>
          </w:rPr>
          <w:fldChar w:fldCharType="begin"/>
        </w:r>
        <w:r w:rsidR="00EE657A">
          <w:rPr>
            <w:webHidden/>
          </w:rPr>
          <w:instrText xml:space="preserve"> PAGEREF _Toc25569495 \h </w:instrText>
        </w:r>
        <w:r w:rsidR="00EE657A">
          <w:rPr>
            <w:webHidden/>
          </w:rPr>
        </w:r>
        <w:r w:rsidR="00EE657A">
          <w:rPr>
            <w:webHidden/>
          </w:rPr>
          <w:fldChar w:fldCharType="separate"/>
        </w:r>
        <w:r>
          <w:rPr>
            <w:webHidden/>
          </w:rPr>
          <w:t>23</w:t>
        </w:r>
        <w:r w:rsidR="00EE657A">
          <w:rPr>
            <w:webHidden/>
          </w:rPr>
          <w:fldChar w:fldCharType="end"/>
        </w:r>
      </w:hyperlink>
    </w:p>
    <w:p w14:paraId="78418A5D" w14:textId="7B8505FD" w:rsidR="00EE657A" w:rsidRDefault="00516C2F">
      <w:pPr>
        <w:pStyle w:val="TableofFigures"/>
        <w:rPr>
          <w:rFonts w:asciiTheme="minorHAnsi" w:eastAsiaTheme="minorEastAsia" w:hAnsiTheme="minorHAnsi"/>
          <w:smallCaps w:val="0"/>
          <w:sz w:val="22"/>
          <w:lang w:eastAsia="en-NZ"/>
        </w:rPr>
      </w:pPr>
      <w:hyperlink w:anchor="_Toc25569496" w:history="1">
        <w:r w:rsidR="00EE657A" w:rsidRPr="00DC0190">
          <w:rPr>
            <w:rStyle w:val="Hyperlink"/>
          </w:rPr>
          <w:t>Table 5</w:t>
        </w:r>
        <w:r w:rsidR="00EE657A" w:rsidRPr="00DC0190">
          <w:rPr>
            <w:rStyle w:val="Hyperlink"/>
          </w:rPr>
          <w:noBreakHyphen/>
          <w:t>1:  Overall Results at a National level (VOSL method)</w:t>
        </w:r>
        <w:r w:rsidR="00EE657A">
          <w:rPr>
            <w:webHidden/>
          </w:rPr>
          <w:tab/>
        </w:r>
        <w:r w:rsidR="00EE657A">
          <w:rPr>
            <w:webHidden/>
          </w:rPr>
          <w:fldChar w:fldCharType="begin"/>
        </w:r>
        <w:r w:rsidR="00EE657A">
          <w:rPr>
            <w:webHidden/>
          </w:rPr>
          <w:instrText xml:space="preserve"> PAGEREF _Toc25569496 \h </w:instrText>
        </w:r>
        <w:r w:rsidR="00EE657A">
          <w:rPr>
            <w:webHidden/>
          </w:rPr>
        </w:r>
        <w:r w:rsidR="00EE657A">
          <w:rPr>
            <w:webHidden/>
          </w:rPr>
          <w:fldChar w:fldCharType="separate"/>
        </w:r>
        <w:r>
          <w:rPr>
            <w:webHidden/>
          </w:rPr>
          <w:t>27</w:t>
        </w:r>
        <w:r w:rsidR="00EE657A">
          <w:rPr>
            <w:webHidden/>
          </w:rPr>
          <w:fldChar w:fldCharType="end"/>
        </w:r>
      </w:hyperlink>
    </w:p>
    <w:p w14:paraId="05661B5B" w14:textId="2E731666" w:rsidR="00EE657A" w:rsidRDefault="00516C2F">
      <w:pPr>
        <w:pStyle w:val="TableofFigures"/>
        <w:rPr>
          <w:rFonts w:asciiTheme="minorHAnsi" w:eastAsiaTheme="minorEastAsia" w:hAnsiTheme="minorHAnsi"/>
          <w:smallCaps w:val="0"/>
          <w:sz w:val="22"/>
          <w:lang w:eastAsia="en-NZ"/>
        </w:rPr>
      </w:pPr>
      <w:hyperlink w:anchor="_Toc25569497" w:history="1">
        <w:r w:rsidR="00EE657A" w:rsidRPr="00DC0190">
          <w:rPr>
            <w:rStyle w:val="Hyperlink"/>
          </w:rPr>
          <w:t>Table 5</w:t>
        </w:r>
        <w:r w:rsidR="00EE657A" w:rsidRPr="00DC0190">
          <w:rPr>
            <w:rStyle w:val="Hyperlink"/>
          </w:rPr>
          <w:noBreakHyphen/>
          <w:t>2: Regional Net Health Cost Savings 2017 - 2028 ($m)</w:t>
        </w:r>
        <w:r w:rsidR="00EE657A">
          <w:rPr>
            <w:webHidden/>
          </w:rPr>
          <w:tab/>
        </w:r>
        <w:r w:rsidR="00EE657A">
          <w:rPr>
            <w:webHidden/>
          </w:rPr>
          <w:fldChar w:fldCharType="begin"/>
        </w:r>
        <w:r w:rsidR="00EE657A">
          <w:rPr>
            <w:webHidden/>
          </w:rPr>
          <w:instrText xml:space="preserve"> PAGEREF _Toc25569497 \h </w:instrText>
        </w:r>
        <w:r w:rsidR="00EE657A">
          <w:rPr>
            <w:webHidden/>
          </w:rPr>
        </w:r>
        <w:r w:rsidR="00EE657A">
          <w:rPr>
            <w:webHidden/>
          </w:rPr>
          <w:fldChar w:fldCharType="separate"/>
        </w:r>
        <w:r>
          <w:rPr>
            <w:webHidden/>
          </w:rPr>
          <w:t>29</w:t>
        </w:r>
        <w:r w:rsidR="00EE657A">
          <w:rPr>
            <w:webHidden/>
          </w:rPr>
          <w:fldChar w:fldCharType="end"/>
        </w:r>
      </w:hyperlink>
    </w:p>
    <w:p w14:paraId="16E58E5A" w14:textId="3934386B" w:rsidR="00524078" w:rsidRPr="001E66EF" w:rsidRDefault="00A7277C" w:rsidP="00524078">
      <w:pPr>
        <w:pStyle w:val="ContentsFigureHeading"/>
      </w:pPr>
      <w:r>
        <w:fldChar w:fldCharType="end"/>
      </w:r>
      <w:r w:rsidR="00524078" w:rsidRPr="00524078">
        <w:t xml:space="preserve"> </w:t>
      </w:r>
      <w:r w:rsidR="00524078" w:rsidRPr="001E66EF">
        <w:t>Figures</w:t>
      </w:r>
    </w:p>
    <w:p w14:paraId="24116349" w14:textId="514B7D52" w:rsidR="00EE657A" w:rsidRDefault="00524078">
      <w:pPr>
        <w:pStyle w:val="TableofFigures"/>
        <w:rPr>
          <w:rFonts w:asciiTheme="minorHAnsi" w:eastAsiaTheme="minorEastAsia" w:hAnsiTheme="minorHAnsi"/>
          <w:smallCaps w:val="0"/>
          <w:sz w:val="22"/>
          <w:lang w:eastAsia="en-NZ"/>
        </w:rPr>
      </w:pPr>
      <w:r w:rsidRPr="001E66EF">
        <w:rPr>
          <w:b/>
        </w:rPr>
        <w:fldChar w:fldCharType="begin"/>
      </w:r>
      <w:r w:rsidRPr="001E66EF">
        <w:rPr>
          <w:b/>
        </w:rPr>
        <w:instrText xml:space="preserve"> TOC \h \z \c "Figure" </w:instrText>
      </w:r>
      <w:r w:rsidRPr="001E66EF">
        <w:rPr>
          <w:b/>
        </w:rPr>
        <w:fldChar w:fldCharType="separate"/>
      </w:r>
      <w:hyperlink w:anchor="_Toc25569485" w:history="1">
        <w:r w:rsidR="00EE657A" w:rsidRPr="00E40D01">
          <w:rPr>
            <w:rStyle w:val="Hyperlink"/>
          </w:rPr>
          <w:t>Figure 5.2:  Costs vs Benefits at the National level (VOSL method)</w:t>
        </w:r>
        <w:r w:rsidR="00EE657A">
          <w:rPr>
            <w:webHidden/>
          </w:rPr>
          <w:tab/>
        </w:r>
        <w:r w:rsidR="00EE657A">
          <w:rPr>
            <w:webHidden/>
          </w:rPr>
          <w:fldChar w:fldCharType="begin"/>
        </w:r>
        <w:r w:rsidR="00EE657A">
          <w:rPr>
            <w:webHidden/>
          </w:rPr>
          <w:instrText xml:space="preserve"> PAGEREF _Toc25569485 \h </w:instrText>
        </w:r>
        <w:r w:rsidR="00EE657A">
          <w:rPr>
            <w:webHidden/>
          </w:rPr>
        </w:r>
        <w:r w:rsidR="00EE657A">
          <w:rPr>
            <w:webHidden/>
          </w:rPr>
          <w:fldChar w:fldCharType="separate"/>
        </w:r>
        <w:r w:rsidR="00FD114C">
          <w:rPr>
            <w:webHidden/>
          </w:rPr>
          <w:t>28</w:t>
        </w:r>
        <w:r w:rsidR="00EE657A">
          <w:rPr>
            <w:webHidden/>
          </w:rPr>
          <w:fldChar w:fldCharType="end"/>
        </w:r>
      </w:hyperlink>
    </w:p>
    <w:p w14:paraId="4A1AB525" w14:textId="0481E613" w:rsidR="00EE657A" w:rsidRDefault="00516C2F">
      <w:pPr>
        <w:pStyle w:val="TableofFigures"/>
        <w:rPr>
          <w:rFonts w:asciiTheme="minorHAnsi" w:eastAsiaTheme="minorEastAsia" w:hAnsiTheme="minorHAnsi"/>
          <w:smallCaps w:val="0"/>
          <w:sz w:val="22"/>
          <w:lang w:eastAsia="en-NZ"/>
        </w:rPr>
      </w:pPr>
      <w:hyperlink w:anchor="_Toc25569486" w:history="1">
        <w:r w:rsidR="00EE657A" w:rsidRPr="00E40D01">
          <w:rPr>
            <w:rStyle w:val="Hyperlink"/>
          </w:rPr>
          <w:t>Figure 5.3:  Concentration of PM</w:t>
        </w:r>
        <w:r w:rsidR="00EE657A" w:rsidRPr="00E40D01">
          <w:rPr>
            <w:rStyle w:val="Hyperlink"/>
            <w:vertAlign w:val="subscript"/>
          </w:rPr>
          <w:t>2.5</w:t>
        </w:r>
        <w:r w:rsidR="00EE657A" w:rsidRPr="00E40D01">
          <w:rPr>
            <w:rStyle w:val="Hyperlink"/>
          </w:rPr>
          <w:t xml:space="preserve"> by Airshed (ug/m3), 2018</w:t>
        </w:r>
        <w:r w:rsidR="00EE657A">
          <w:rPr>
            <w:webHidden/>
          </w:rPr>
          <w:tab/>
        </w:r>
        <w:r w:rsidR="00EE657A">
          <w:rPr>
            <w:webHidden/>
          </w:rPr>
          <w:fldChar w:fldCharType="begin"/>
        </w:r>
        <w:r w:rsidR="00EE657A">
          <w:rPr>
            <w:webHidden/>
          </w:rPr>
          <w:instrText xml:space="preserve"> PAGEREF _Toc25569486 \h </w:instrText>
        </w:r>
        <w:r w:rsidR="00EE657A">
          <w:rPr>
            <w:webHidden/>
          </w:rPr>
        </w:r>
        <w:r w:rsidR="00EE657A">
          <w:rPr>
            <w:webHidden/>
          </w:rPr>
          <w:fldChar w:fldCharType="separate"/>
        </w:r>
        <w:r w:rsidR="00FD114C">
          <w:rPr>
            <w:webHidden/>
          </w:rPr>
          <w:t>28</w:t>
        </w:r>
        <w:r w:rsidR="00EE657A">
          <w:rPr>
            <w:webHidden/>
          </w:rPr>
          <w:fldChar w:fldCharType="end"/>
        </w:r>
      </w:hyperlink>
    </w:p>
    <w:p w14:paraId="69729EA4" w14:textId="7DA42D2C" w:rsidR="00121697" w:rsidRPr="001E66EF" w:rsidRDefault="00524078" w:rsidP="00524078">
      <w:pPr>
        <w:spacing w:after="200" w:line="276" w:lineRule="auto"/>
        <w:ind w:left="0"/>
        <w:jc w:val="left"/>
      </w:pPr>
      <w:r w:rsidRPr="001E66EF">
        <w:fldChar w:fldCharType="end"/>
      </w:r>
    </w:p>
    <w:p w14:paraId="6D3CF55B" w14:textId="77777777" w:rsidR="006B5B28" w:rsidRPr="001E66EF" w:rsidRDefault="006B5B28">
      <w:pPr>
        <w:spacing w:after="200" w:line="276" w:lineRule="auto"/>
        <w:ind w:left="0"/>
        <w:jc w:val="left"/>
      </w:pPr>
      <w:r w:rsidRPr="001E66EF">
        <w:br w:type="page"/>
      </w:r>
    </w:p>
    <w:p w14:paraId="569DA6F5" w14:textId="77777777" w:rsidR="005F73BB" w:rsidRPr="001E66EF" w:rsidRDefault="006B5B28" w:rsidP="00884008">
      <w:pPr>
        <w:ind w:left="0"/>
        <w:rPr>
          <w:b/>
          <w:sz w:val="32"/>
        </w:rPr>
      </w:pPr>
      <w:bookmarkStart w:id="1" w:name="_Toc455044443"/>
      <w:r w:rsidRPr="001E66EF">
        <w:rPr>
          <w:b/>
          <w:sz w:val="32"/>
        </w:rPr>
        <w:lastRenderedPageBreak/>
        <w:t>Abb</w:t>
      </w:r>
      <w:r w:rsidR="005F73BB" w:rsidRPr="001E66EF">
        <w:rPr>
          <w:b/>
          <w:sz w:val="32"/>
        </w:rPr>
        <w:t>reviations</w:t>
      </w:r>
      <w:bookmarkEnd w:id="1"/>
    </w:p>
    <w:p w14:paraId="791AEB6D" w14:textId="77777777" w:rsidR="008153CC" w:rsidRPr="001E66EF" w:rsidRDefault="008153CC" w:rsidP="000B00B2">
      <w:pPr>
        <w:spacing w:after="0"/>
        <w:ind w:left="0" w:firstLine="720"/>
      </w:pPr>
      <w:r w:rsidRPr="001E66EF">
        <w:t>ACC</w:t>
      </w:r>
      <w:r w:rsidRPr="001E66EF">
        <w:tab/>
      </w:r>
      <w:r w:rsidRPr="001E66EF">
        <w:tab/>
        <w:t>Accident Compensation Corporation</w:t>
      </w:r>
    </w:p>
    <w:p w14:paraId="18C6C06B" w14:textId="40D108C6" w:rsidR="000C488B" w:rsidRDefault="000C488B" w:rsidP="000B00B2">
      <w:pPr>
        <w:spacing w:after="0"/>
        <w:ind w:left="0" w:firstLine="720"/>
      </w:pPr>
      <w:r w:rsidRPr="001E66EF">
        <w:t>AQ</w:t>
      </w:r>
      <w:r w:rsidRPr="001E66EF">
        <w:tab/>
      </w:r>
      <w:r w:rsidRPr="001E66EF">
        <w:tab/>
        <w:t>Air Quality</w:t>
      </w:r>
    </w:p>
    <w:p w14:paraId="2E4A73FD" w14:textId="10ECD9AF" w:rsidR="00620C24" w:rsidRPr="001E66EF" w:rsidRDefault="00620C24" w:rsidP="000B00B2">
      <w:pPr>
        <w:spacing w:after="0"/>
        <w:ind w:left="0" w:firstLine="720"/>
      </w:pPr>
      <w:r>
        <w:t>BPO</w:t>
      </w:r>
      <w:r>
        <w:tab/>
      </w:r>
      <w:r>
        <w:tab/>
        <w:t>Best Practicable Option</w:t>
      </w:r>
    </w:p>
    <w:p w14:paraId="1BD07A40" w14:textId="77777777" w:rsidR="00835FA5" w:rsidRPr="001E66EF" w:rsidRDefault="00835FA5" w:rsidP="000B00B2">
      <w:pPr>
        <w:spacing w:after="0"/>
        <w:ind w:left="0" w:firstLine="720"/>
      </w:pPr>
      <w:r w:rsidRPr="001E66EF">
        <w:t>CAU</w:t>
      </w:r>
      <w:r w:rsidRPr="001E66EF">
        <w:tab/>
      </w:r>
      <w:r w:rsidRPr="001E66EF">
        <w:tab/>
        <w:t>Census Area Unit</w:t>
      </w:r>
    </w:p>
    <w:p w14:paraId="27EEB7A0" w14:textId="77777777" w:rsidR="00796D4E" w:rsidRPr="001E66EF" w:rsidRDefault="00796D4E" w:rsidP="000B00B2">
      <w:pPr>
        <w:spacing w:after="0"/>
        <w:ind w:left="0" w:firstLine="720"/>
      </w:pPr>
      <w:r w:rsidRPr="001E66EF">
        <w:t xml:space="preserve">CBA </w:t>
      </w:r>
      <w:r w:rsidRPr="001E66EF">
        <w:tab/>
      </w:r>
      <w:r w:rsidRPr="001E66EF">
        <w:tab/>
        <w:t>Cost-Benefit Analysis</w:t>
      </w:r>
    </w:p>
    <w:p w14:paraId="134FBD53" w14:textId="751ECD73" w:rsidR="00CD389F" w:rsidRPr="001E66EF" w:rsidRDefault="00CD389F" w:rsidP="000B00B2">
      <w:pPr>
        <w:spacing w:after="0"/>
        <w:ind w:left="0" w:firstLine="720"/>
      </w:pPr>
      <w:r w:rsidRPr="001E66EF">
        <w:t>CBR</w:t>
      </w:r>
      <w:r w:rsidRPr="001E66EF">
        <w:tab/>
      </w:r>
      <w:r w:rsidRPr="001E66EF">
        <w:tab/>
        <w:t>Cost-Benefit Ratio</w:t>
      </w:r>
    </w:p>
    <w:p w14:paraId="0C074ED1" w14:textId="77777777" w:rsidR="007F7906" w:rsidRPr="001E66EF" w:rsidRDefault="007F7906" w:rsidP="000B00B2">
      <w:pPr>
        <w:spacing w:after="0"/>
        <w:ind w:left="0" w:firstLine="720"/>
      </w:pPr>
      <w:r w:rsidRPr="001E66EF">
        <w:t>CHA</w:t>
      </w:r>
      <w:r w:rsidRPr="001E66EF">
        <w:tab/>
      </w:r>
      <w:r w:rsidRPr="001E66EF">
        <w:tab/>
        <w:t>Cardi</w:t>
      </w:r>
      <w:r w:rsidR="007A1F8A" w:rsidRPr="001E66EF">
        <w:t>ovascular</w:t>
      </w:r>
      <w:r w:rsidR="00084D9C" w:rsidRPr="001E66EF">
        <w:t xml:space="preserve"> Hospital A</w:t>
      </w:r>
      <w:r w:rsidRPr="001E66EF">
        <w:t>dmissions</w:t>
      </w:r>
    </w:p>
    <w:p w14:paraId="0F676BAA" w14:textId="24FA2EE3" w:rsidR="00873CD6" w:rsidRPr="001E66EF" w:rsidRDefault="00873CD6" w:rsidP="000B00B2">
      <w:pPr>
        <w:spacing w:after="0"/>
        <w:ind w:left="0" w:firstLine="720"/>
      </w:pPr>
      <w:r w:rsidRPr="001E66EF">
        <w:t>COMEAP</w:t>
      </w:r>
      <w:r w:rsidRPr="001E66EF">
        <w:tab/>
        <w:t>Committee on the Medical Effect</w:t>
      </w:r>
      <w:r w:rsidR="00A01F81" w:rsidRPr="001E66EF">
        <w:t>s of Air Pollutants</w:t>
      </w:r>
      <w:r w:rsidRPr="001E66EF">
        <w:t xml:space="preserve"> </w:t>
      </w:r>
    </w:p>
    <w:p w14:paraId="0D9A1408" w14:textId="6967CD23" w:rsidR="002551C7" w:rsidRDefault="002551C7" w:rsidP="000B00B2">
      <w:pPr>
        <w:spacing w:after="0"/>
        <w:ind w:left="0" w:firstLine="720"/>
      </w:pPr>
      <w:r w:rsidRPr="001E66EF">
        <w:t xml:space="preserve">DALY </w:t>
      </w:r>
      <w:r w:rsidRPr="001E66EF">
        <w:tab/>
      </w:r>
      <w:r w:rsidRPr="001E66EF">
        <w:tab/>
        <w:t>Disability Adjusted Life Year</w:t>
      </w:r>
    </w:p>
    <w:p w14:paraId="4E35AB41" w14:textId="3DE20930" w:rsidR="00620C24" w:rsidRPr="001E66EF" w:rsidRDefault="00620C24" w:rsidP="000B00B2">
      <w:pPr>
        <w:spacing w:after="0"/>
        <w:ind w:left="0" w:firstLine="720"/>
      </w:pPr>
      <w:r>
        <w:t>EECA</w:t>
      </w:r>
      <w:r>
        <w:tab/>
      </w:r>
      <w:r>
        <w:tab/>
      </w:r>
      <w:r w:rsidRPr="001E66EF">
        <w:t>Energy Efficiency and Conservation Authority</w:t>
      </w:r>
    </w:p>
    <w:p w14:paraId="6B0402E0" w14:textId="5CD76E3C" w:rsidR="0019216F" w:rsidRDefault="001639F5" w:rsidP="000B00B2">
      <w:pPr>
        <w:spacing w:after="0"/>
        <w:ind w:left="0" w:firstLine="720"/>
      </w:pPr>
      <w:r w:rsidRPr="001E66EF">
        <w:t>GA</w:t>
      </w:r>
      <w:r w:rsidRPr="001E66EF">
        <w:tab/>
      </w:r>
      <w:r w:rsidRPr="001E66EF">
        <w:tab/>
      </w:r>
      <w:r w:rsidR="0036258A" w:rsidRPr="001E66EF">
        <w:t>Golder Associates (NZ) Limited</w:t>
      </w:r>
    </w:p>
    <w:p w14:paraId="582F789C" w14:textId="13EF4284" w:rsidR="00F912A9" w:rsidRPr="001E66EF" w:rsidRDefault="00F912A9" w:rsidP="000B00B2">
      <w:pPr>
        <w:spacing w:after="0"/>
        <w:ind w:left="0" w:firstLine="720"/>
      </w:pPr>
      <w:r w:rsidRPr="001E66EF">
        <w:t xml:space="preserve">GLC </w:t>
      </w:r>
      <w:r w:rsidRPr="001E66EF">
        <w:tab/>
      </w:r>
      <w:r w:rsidRPr="001E66EF">
        <w:tab/>
        <w:t>Ground Level Concentration</w:t>
      </w:r>
    </w:p>
    <w:p w14:paraId="3032EDF0" w14:textId="77777777" w:rsidR="001639F5" w:rsidRPr="001E66EF" w:rsidRDefault="001639F5" w:rsidP="000B00B2">
      <w:pPr>
        <w:spacing w:after="0"/>
        <w:ind w:left="0" w:firstLine="720"/>
      </w:pPr>
      <w:r w:rsidRPr="001E66EF">
        <w:t>HAPINZ</w:t>
      </w:r>
      <w:r w:rsidRPr="001E66EF">
        <w:tab/>
      </w:r>
      <w:r w:rsidRPr="001E66EF">
        <w:tab/>
        <w:t>Health and Air Pollution in New Zealand</w:t>
      </w:r>
    </w:p>
    <w:p w14:paraId="2CDECDEE" w14:textId="77777777" w:rsidR="008D076E" w:rsidRPr="001E66EF" w:rsidRDefault="008D076E" w:rsidP="000B00B2">
      <w:pPr>
        <w:spacing w:after="0"/>
        <w:ind w:left="0" w:firstLine="720"/>
      </w:pPr>
      <w:r w:rsidRPr="001E66EF">
        <w:t>HRAPIE</w:t>
      </w:r>
      <w:r w:rsidRPr="001E66EF">
        <w:tab/>
      </w:r>
      <w:r w:rsidRPr="001E66EF">
        <w:tab/>
        <w:t>Health Risks of Air Pollution in Europe</w:t>
      </w:r>
    </w:p>
    <w:p w14:paraId="3AE8AA03" w14:textId="77777777" w:rsidR="00643B35" w:rsidRPr="001E66EF" w:rsidRDefault="00643B35" w:rsidP="000B00B2">
      <w:pPr>
        <w:spacing w:after="0"/>
        <w:ind w:left="0" w:firstLine="720"/>
      </w:pPr>
      <w:r w:rsidRPr="001E66EF">
        <w:t xml:space="preserve">LQI </w:t>
      </w:r>
      <w:r w:rsidRPr="001E66EF">
        <w:tab/>
      </w:r>
      <w:r w:rsidRPr="001E66EF">
        <w:tab/>
        <w:t xml:space="preserve">Life quality index </w:t>
      </w:r>
    </w:p>
    <w:p w14:paraId="7A8EF0B5" w14:textId="787A86B9" w:rsidR="001639F5" w:rsidRPr="001E66EF" w:rsidRDefault="001639F5" w:rsidP="000B00B2">
      <w:pPr>
        <w:spacing w:after="0"/>
        <w:ind w:left="0" w:firstLine="720"/>
      </w:pPr>
      <w:r w:rsidRPr="001E66EF">
        <w:t>M.E</w:t>
      </w:r>
      <w:r w:rsidRPr="001E66EF">
        <w:tab/>
      </w:r>
      <w:r w:rsidRPr="001E66EF">
        <w:tab/>
        <w:t>Market Economics</w:t>
      </w:r>
      <w:r w:rsidR="0036258A" w:rsidRPr="001E66EF">
        <w:t xml:space="preserve"> Limited</w:t>
      </w:r>
    </w:p>
    <w:p w14:paraId="58B55A5F" w14:textId="77777777" w:rsidR="001639F5" w:rsidRPr="001E66EF" w:rsidRDefault="001639F5" w:rsidP="000B00B2">
      <w:pPr>
        <w:spacing w:after="0"/>
        <w:ind w:left="0" w:firstLine="720"/>
      </w:pPr>
      <w:r w:rsidRPr="001E66EF">
        <w:t>MfE</w:t>
      </w:r>
      <w:r w:rsidRPr="001E66EF">
        <w:tab/>
      </w:r>
      <w:r w:rsidRPr="001E66EF">
        <w:tab/>
        <w:t>Ministry for the Environment</w:t>
      </w:r>
    </w:p>
    <w:p w14:paraId="4058C9DA" w14:textId="77777777" w:rsidR="00FF2335" w:rsidRPr="001E66EF" w:rsidRDefault="00FF2335" w:rsidP="000B00B2">
      <w:pPr>
        <w:spacing w:after="0"/>
        <w:ind w:left="0" w:firstLine="720"/>
      </w:pPr>
      <w:proofErr w:type="spellStart"/>
      <w:r w:rsidRPr="001E66EF">
        <w:t>MoT</w:t>
      </w:r>
      <w:proofErr w:type="spellEnd"/>
      <w:r w:rsidRPr="001E66EF">
        <w:tab/>
      </w:r>
      <w:r w:rsidRPr="001E66EF">
        <w:tab/>
        <w:t>Ministry of Transport</w:t>
      </w:r>
    </w:p>
    <w:p w14:paraId="294473C8" w14:textId="03E98335" w:rsidR="005F73BB" w:rsidRPr="001E66EF" w:rsidRDefault="00900541" w:rsidP="000B00B2">
      <w:pPr>
        <w:spacing w:after="0"/>
        <w:ind w:left="0" w:firstLine="720"/>
      </w:pPr>
      <w:r w:rsidRPr="001E66EF">
        <w:t>NESAQ</w:t>
      </w:r>
      <w:r w:rsidR="005F73BB" w:rsidRPr="001E66EF">
        <w:tab/>
      </w:r>
      <w:r w:rsidR="005F73BB" w:rsidRPr="001E66EF">
        <w:tab/>
        <w:t>National Environmental Standards for Air Quality</w:t>
      </w:r>
    </w:p>
    <w:p w14:paraId="421A935A" w14:textId="77777777" w:rsidR="00D24F57" w:rsidRPr="001E66EF" w:rsidRDefault="00D24F57" w:rsidP="000B00B2">
      <w:pPr>
        <w:spacing w:after="0"/>
        <w:ind w:left="0" w:firstLine="720"/>
      </w:pPr>
      <w:r w:rsidRPr="001E66EF">
        <w:t>NIWA</w:t>
      </w:r>
      <w:r w:rsidRPr="001E66EF">
        <w:tab/>
      </w:r>
      <w:r w:rsidRPr="001E66EF">
        <w:tab/>
      </w:r>
      <w:r w:rsidRPr="001E66EF">
        <w:rPr>
          <w:rFonts w:cs="Helvetica"/>
          <w:szCs w:val="21"/>
          <w:shd w:val="clear" w:color="auto" w:fill="FFFFFF"/>
        </w:rPr>
        <w:t>National Institute of Water and Atmospheric Research</w:t>
      </w:r>
    </w:p>
    <w:p w14:paraId="1093B96B" w14:textId="77777777" w:rsidR="005F73BB" w:rsidRPr="001E66EF" w:rsidRDefault="005F73BB" w:rsidP="000B00B2">
      <w:pPr>
        <w:spacing w:after="0"/>
        <w:ind w:left="0" w:firstLine="720"/>
      </w:pPr>
      <w:r w:rsidRPr="001E66EF">
        <w:t>NPV</w:t>
      </w:r>
      <w:r w:rsidRPr="001E66EF">
        <w:tab/>
      </w:r>
      <w:r w:rsidRPr="001E66EF">
        <w:tab/>
        <w:t>Net Present Value</w:t>
      </w:r>
    </w:p>
    <w:p w14:paraId="01685357" w14:textId="77D83CF2" w:rsidR="004823AE" w:rsidRPr="001E66EF" w:rsidRDefault="004823AE" w:rsidP="000B00B2">
      <w:pPr>
        <w:spacing w:after="0"/>
        <w:ind w:left="0" w:firstLine="720"/>
      </w:pPr>
      <w:r w:rsidRPr="001E66EF">
        <w:t>OECD</w:t>
      </w:r>
      <w:r w:rsidRPr="001E66EF">
        <w:tab/>
      </w:r>
      <w:r w:rsidRPr="001E66EF">
        <w:tab/>
      </w:r>
      <w:r w:rsidRPr="001E66EF">
        <w:rPr>
          <w:rFonts w:cs="Arial"/>
          <w:color w:val="222222"/>
          <w:shd w:val="clear" w:color="auto" w:fill="FFFFFF"/>
        </w:rPr>
        <w:t>Organisation for Economic Co-operation and Development</w:t>
      </w:r>
    </w:p>
    <w:p w14:paraId="0E3CE98F" w14:textId="77777777" w:rsidR="00A704D2" w:rsidRPr="001E66EF" w:rsidRDefault="00A704D2" w:rsidP="000B00B2">
      <w:pPr>
        <w:spacing w:after="0"/>
        <w:ind w:left="0" w:firstLine="720"/>
      </w:pPr>
      <w:r w:rsidRPr="001E66EF">
        <w:t>PM</w:t>
      </w:r>
      <w:r w:rsidRPr="001E66EF">
        <w:tab/>
      </w:r>
      <w:r w:rsidRPr="001E66EF">
        <w:tab/>
        <w:t>Particulate Matter</w:t>
      </w:r>
    </w:p>
    <w:p w14:paraId="51D8C274" w14:textId="77777777" w:rsidR="005F73BB" w:rsidRPr="001E66EF" w:rsidRDefault="005F73BB" w:rsidP="000B00B2">
      <w:pPr>
        <w:spacing w:after="0"/>
        <w:ind w:left="0" w:firstLine="720"/>
      </w:pPr>
      <w:r w:rsidRPr="001E66EF">
        <w:t>PM</w:t>
      </w:r>
      <w:r w:rsidRPr="001E66EF">
        <w:rPr>
          <w:vertAlign w:val="subscript"/>
        </w:rPr>
        <w:t>10</w:t>
      </w:r>
      <w:r w:rsidRPr="001E66EF">
        <w:rPr>
          <w:vertAlign w:val="subscript"/>
        </w:rPr>
        <w:tab/>
      </w:r>
      <w:r w:rsidRPr="001E66EF">
        <w:rPr>
          <w:vertAlign w:val="subscript"/>
        </w:rPr>
        <w:tab/>
      </w:r>
      <w:r w:rsidRPr="001E66EF">
        <w:t>Particulate Matter (up to 10 micrometres in size)</w:t>
      </w:r>
    </w:p>
    <w:p w14:paraId="03A8BC21" w14:textId="77777777" w:rsidR="005F73BB" w:rsidRPr="001E66EF" w:rsidRDefault="005F73BB" w:rsidP="000B00B2">
      <w:pPr>
        <w:spacing w:after="0"/>
        <w:ind w:left="0" w:firstLine="720"/>
      </w:pPr>
      <w:r w:rsidRPr="001E66EF">
        <w:t>PM</w:t>
      </w:r>
      <w:r w:rsidRPr="001E66EF">
        <w:rPr>
          <w:vertAlign w:val="subscript"/>
        </w:rPr>
        <w:t>2.5</w:t>
      </w:r>
      <w:r w:rsidRPr="001E66EF">
        <w:rPr>
          <w:vertAlign w:val="subscript"/>
        </w:rPr>
        <w:tab/>
      </w:r>
      <w:r w:rsidRPr="001E66EF">
        <w:rPr>
          <w:vertAlign w:val="subscript"/>
        </w:rPr>
        <w:tab/>
      </w:r>
      <w:r w:rsidRPr="001E66EF">
        <w:t>Particulate Matter (up to 2.5 micrometres in size)</w:t>
      </w:r>
    </w:p>
    <w:p w14:paraId="7B45E53F" w14:textId="77777777" w:rsidR="002551C7" w:rsidRPr="001E66EF" w:rsidRDefault="002551C7" w:rsidP="000B00B2">
      <w:pPr>
        <w:spacing w:after="0"/>
        <w:ind w:left="0" w:firstLine="720"/>
      </w:pPr>
      <w:r w:rsidRPr="001E66EF">
        <w:t>QALY</w:t>
      </w:r>
      <w:r w:rsidRPr="001E66EF">
        <w:tab/>
      </w:r>
      <w:r w:rsidRPr="001E66EF">
        <w:tab/>
        <w:t>Quality Adjusted Life Year</w:t>
      </w:r>
    </w:p>
    <w:p w14:paraId="4378A8FC" w14:textId="77777777" w:rsidR="007F7906" w:rsidRPr="001E66EF" w:rsidRDefault="007F7906" w:rsidP="000B00B2">
      <w:pPr>
        <w:spacing w:after="0"/>
        <w:ind w:left="0" w:firstLine="720"/>
      </w:pPr>
      <w:r w:rsidRPr="001E66EF">
        <w:t>RAD</w:t>
      </w:r>
      <w:r w:rsidRPr="001E66EF">
        <w:tab/>
      </w:r>
      <w:r w:rsidRPr="001E66EF">
        <w:tab/>
        <w:t>Restricted Activity Day</w:t>
      </w:r>
    </w:p>
    <w:p w14:paraId="1BE9BC45" w14:textId="233D07F7" w:rsidR="006E743A" w:rsidRPr="001E66EF" w:rsidRDefault="007F7906" w:rsidP="006F0FDD">
      <w:pPr>
        <w:spacing w:after="0"/>
        <w:ind w:left="0" w:firstLine="720"/>
      </w:pPr>
      <w:r w:rsidRPr="001E66EF">
        <w:t>RHA</w:t>
      </w:r>
      <w:r w:rsidRPr="001E66EF">
        <w:tab/>
      </w:r>
      <w:r w:rsidRPr="001E66EF">
        <w:tab/>
      </w:r>
      <w:r w:rsidR="00084D9C" w:rsidRPr="001E66EF">
        <w:t>Respiratory Hospital A</w:t>
      </w:r>
      <w:r w:rsidRPr="001E66EF">
        <w:t>dmissions</w:t>
      </w:r>
    </w:p>
    <w:p w14:paraId="62B0B9BE" w14:textId="77777777" w:rsidR="006C792F" w:rsidRPr="001E66EF" w:rsidRDefault="006C792F" w:rsidP="000B00B2">
      <w:pPr>
        <w:spacing w:after="0"/>
        <w:ind w:left="0" w:firstLine="720"/>
      </w:pPr>
      <w:r w:rsidRPr="001E66EF">
        <w:t>SNZ</w:t>
      </w:r>
      <w:r w:rsidRPr="001E66EF">
        <w:tab/>
      </w:r>
      <w:r w:rsidRPr="001E66EF">
        <w:tab/>
        <w:t>Statistics New Zealand</w:t>
      </w:r>
    </w:p>
    <w:p w14:paraId="560ADD26" w14:textId="79D2DA09" w:rsidR="00253A97" w:rsidRPr="001E66EF" w:rsidRDefault="00253A97" w:rsidP="000B00B2">
      <w:pPr>
        <w:spacing w:after="0"/>
        <w:ind w:left="0" w:firstLine="720"/>
      </w:pPr>
      <w:r w:rsidRPr="001E66EF">
        <w:t>SQ</w:t>
      </w:r>
      <w:r w:rsidRPr="001E66EF">
        <w:tab/>
      </w:r>
      <w:r w:rsidRPr="001E66EF">
        <w:tab/>
        <w:t>Status Quo scenario</w:t>
      </w:r>
    </w:p>
    <w:p w14:paraId="30D29A99" w14:textId="07441BB5" w:rsidR="005F73BB" w:rsidRPr="001E66EF" w:rsidRDefault="00253A97" w:rsidP="000B00B2">
      <w:pPr>
        <w:spacing w:after="0"/>
        <w:ind w:left="0" w:firstLine="720"/>
      </w:pPr>
      <w:r w:rsidRPr="001E66EF">
        <w:t>ULEB</w:t>
      </w:r>
      <w:r w:rsidRPr="001E66EF">
        <w:tab/>
      </w:r>
      <w:r w:rsidRPr="001E66EF">
        <w:tab/>
        <w:t>Ultra-low emission burner</w:t>
      </w:r>
    </w:p>
    <w:p w14:paraId="1A819AA1" w14:textId="77777777" w:rsidR="007F7906" w:rsidRPr="001E66EF" w:rsidRDefault="007F7906" w:rsidP="000B00B2">
      <w:pPr>
        <w:spacing w:after="0"/>
        <w:ind w:left="0" w:firstLine="720"/>
      </w:pPr>
      <w:r w:rsidRPr="001E66EF">
        <w:t>VLYL</w:t>
      </w:r>
      <w:r w:rsidRPr="001E66EF">
        <w:tab/>
      </w:r>
      <w:r w:rsidRPr="001E66EF">
        <w:tab/>
        <w:t>Value of Life Years Lost</w:t>
      </w:r>
    </w:p>
    <w:p w14:paraId="7915CB0E" w14:textId="77777777" w:rsidR="007F7906" w:rsidRPr="001E66EF" w:rsidRDefault="007F7906" w:rsidP="000B00B2">
      <w:pPr>
        <w:spacing w:after="0"/>
        <w:ind w:left="0" w:firstLine="720"/>
      </w:pPr>
      <w:r w:rsidRPr="001E66EF">
        <w:t>VOSL</w:t>
      </w:r>
      <w:r w:rsidRPr="001E66EF">
        <w:tab/>
      </w:r>
      <w:r w:rsidRPr="001E66EF">
        <w:tab/>
        <w:t>Value of Statistical Life</w:t>
      </w:r>
    </w:p>
    <w:p w14:paraId="541BDD9B" w14:textId="77777777" w:rsidR="00754591" w:rsidRPr="001E66EF" w:rsidRDefault="00754591" w:rsidP="000B00B2">
      <w:pPr>
        <w:spacing w:after="0"/>
        <w:ind w:left="0" w:firstLine="720"/>
        <w:rPr>
          <w:lang w:eastAsia="en-NZ"/>
        </w:rPr>
      </w:pPr>
      <w:r w:rsidRPr="001E66EF">
        <w:rPr>
          <w:lang w:eastAsia="en-NZ"/>
        </w:rPr>
        <w:t>VPF</w:t>
      </w:r>
      <w:r w:rsidRPr="001E66EF">
        <w:tab/>
      </w:r>
      <w:r w:rsidRPr="001E66EF">
        <w:tab/>
      </w:r>
      <w:r w:rsidRPr="001E66EF">
        <w:rPr>
          <w:lang w:eastAsia="en-NZ"/>
        </w:rPr>
        <w:t xml:space="preserve">Value of Preventing a Fatality </w:t>
      </w:r>
    </w:p>
    <w:p w14:paraId="4C117786" w14:textId="77777777" w:rsidR="000402ED" w:rsidRPr="001E66EF" w:rsidRDefault="000402ED" w:rsidP="000B00B2">
      <w:pPr>
        <w:spacing w:after="0"/>
        <w:ind w:left="0" w:firstLine="720"/>
        <w:rPr>
          <w:lang w:eastAsia="en-NZ"/>
        </w:rPr>
      </w:pPr>
      <w:r w:rsidRPr="001E66EF">
        <w:rPr>
          <w:lang w:eastAsia="en-NZ"/>
        </w:rPr>
        <w:t>WHO</w:t>
      </w:r>
      <w:r w:rsidRPr="001E66EF">
        <w:rPr>
          <w:lang w:eastAsia="en-NZ"/>
        </w:rPr>
        <w:tab/>
      </w:r>
      <w:r w:rsidRPr="001E66EF">
        <w:rPr>
          <w:lang w:eastAsia="en-NZ"/>
        </w:rPr>
        <w:tab/>
        <w:t>World Health Organisation</w:t>
      </w:r>
    </w:p>
    <w:p w14:paraId="55231EF4" w14:textId="5B6784BB" w:rsidR="00364928" w:rsidRPr="001E66EF" w:rsidRDefault="00364928" w:rsidP="000B00B2">
      <w:pPr>
        <w:spacing w:after="0"/>
        <w:ind w:left="0" w:firstLine="720"/>
        <w:rPr>
          <w:lang w:eastAsia="en-NZ"/>
        </w:rPr>
      </w:pPr>
      <w:r w:rsidRPr="001E66EF">
        <w:rPr>
          <w:lang w:eastAsia="en-NZ"/>
        </w:rPr>
        <w:t>WTP</w:t>
      </w:r>
      <w:r w:rsidRPr="001E66EF">
        <w:rPr>
          <w:lang w:eastAsia="en-NZ"/>
        </w:rPr>
        <w:tab/>
      </w:r>
      <w:r w:rsidRPr="001E66EF">
        <w:rPr>
          <w:lang w:eastAsia="en-NZ"/>
        </w:rPr>
        <w:tab/>
        <w:t>Willing</w:t>
      </w:r>
      <w:r w:rsidR="000B00B2" w:rsidRPr="001E66EF">
        <w:rPr>
          <w:lang w:eastAsia="en-NZ"/>
        </w:rPr>
        <w:t>ness</w:t>
      </w:r>
      <w:r w:rsidRPr="001E66EF">
        <w:rPr>
          <w:lang w:eastAsia="en-NZ"/>
        </w:rPr>
        <w:t xml:space="preserve"> to Pay</w:t>
      </w:r>
    </w:p>
    <w:p w14:paraId="764A1230" w14:textId="77777777" w:rsidR="00D75885" w:rsidRDefault="00D75885" w:rsidP="005F73BB">
      <w:pPr>
        <w:ind w:left="0" w:firstLine="720"/>
      </w:pPr>
    </w:p>
    <w:p w14:paraId="4FF631E9" w14:textId="77777777" w:rsidR="00EF684E" w:rsidRDefault="00EF684E" w:rsidP="005F73BB">
      <w:pPr>
        <w:ind w:left="0" w:firstLine="720"/>
      </w:pPr>
    </w:p>
    <w:p w14:paraId="35AC913A" w14:textId="77777777" w:rsidR="00EF684E" w:rsidRDefault="00EF684E" w:rsidP="005F73BB">
      <w:pPr>
        <w:ind w:left="0" w:firstLine="720"/>
      </w:pPr>
    </w:p>
    <w:p w14:paraId="05B05A3A" w14:textId="77777777" w:rsidR="00EF684E" w:rsidRDefault="00EF684E" w:rsidP="005F73BB">
      <w:pPr>
        <w:ind w:left="0" w:firstLine="720"/>
      </w:pPr>
    </w:p>
    <w:p w14:paraId="20AC53CC" w14:textId="77777777" w:rsidR="00EF684E" w:rsidRPr="001E66EF" w:rsidRDefault="00EF684E" w:rsidP="005F73BB">
      <w:pPr>
        <w:ind w:left="0" w:firstLine="720"/>
        <w:sectPr w:rsidR="00EF684E" w:rsidRPr="001E66EF" w:rsidSect="00EA5D9D">
          <w:footerReference w:type="default" r:id="rId12"/>
          <w:pgSz w:w="11907" w:h="16839" w:code="9"/>
          <w:pgMar w:top="851" w:right="1152" w:bottom="1728" w:left="1440" w:header="720" w:footer="0" w:gutter="0"/>
          <w:pgNumType w:fmt="lowerRoman"/>
          <w:cols w:space="720"/>
          <w:docGrid w:linePitch="360"/>
        </w:sectPr>
      </w:pPr>
    </w:p>
    <w:p w14:paraId="0C471854" w14:textId="77777777" w:rsidR="00790B1C" w:rsidRPr="001E66EF" w:rsidRDefault="005F73BB" w:rsidP="009905B6">
      <w:pPr>
        <w:pStyle w:val="Heading1"/>
        <w:rPr>
          <w:rFonts w:ascii="Calibri Light" w:hAnsi="Calibri Light"/>
        </w:rPr>
      </w:pPr>
      <w:bookmarkStart w:id="2" w:name="_Toc455070438"/>
      <w:bookmarkStart w:id="3" w:name="_Toc455044444"/>
      <w:bookmarkStart w:id="4" w:name="_Toc25569498"/>
      <w:bookmarkEnd w:id="2"/>
      <w:r w:rsidRPr="001E66EF">
        <w:rPr>
          <w:rFonts w:ascii="Calibri Light" w:hAnsi="Calibri Light"/>
        </w:rPr>
        <w:lastRenderedPageBreak/>
        <w:t>Introduction</w:t>
      </w:r>
      <w:bookmarkEnd w:id="3"/>
      <w:bookmarkEnd w:id="4"/>
    </w:p>
    <w:p w14:paraId="58C3572E" w14:textId="7271EB2B" w:rsidR="004A1C0C" w:rsidRPr="003B5D32" w:rsidRDefault="0076291D" w:rsidP="00F83FED">
      <w:r>
        <w:t>It is t</w:t>
      </w:r>
      <w:r w:rsidR="004A1C0C" w:rsidRPr="003B5D32">
        <w:t xml:space="preserve">he </w:t>
      </w:r>
      <w:r w:rsidR="005D50A3" w:rsidRPr="003B5D32">
        <w:t xml:space="preserve">Ministry for the Environment’s </w:t>
      </w:r>
      <w:r>
        <w:t>responsibility</w:t>
      </w:r>
      <w:r w:rsidR="005D50A3" w:rsidRPr="003B5D32">
        <w:t xml:space="preserve">, </w:t>
      </w:r>
      <w:r w:rsidR="005D50A3" w:rsidRPr="003B5D32">
        <w:rPr>
          <w:rFonts w:cstheme="minorHAnsi"/>
        </w:rPr>
        <w:t>as the Government's principal advisor on environment</w:t>
      </w:r>
      <w:r w:rsidR="001E1238" w:rsidRPr="003B5D32">
        <w:rPr>
          <w:rFonts w:cstheme="minorHAnsi"/>
        </w:rPr>
        <w:t>al</w:t>
      </w:r>
      <w:r w:rsidR="005D50A3" w:rsidRPr="003B5D32">
        <w:rPr>
          <w:rFonts w:cstheme="minorHAnsi"/>
        </w:rPr>
        <w:t xml:space="preserve"> matters both nationally and internationally, </w:t>
      </w:r>
      <w:r w:rsidR="004A1C0C" w:rsidRPr="003B5D32">
        <w:rPr>
          <w:rFonts w:cstheme="minorHAnsi"/>
        </w:rPr>
        <w:t xml:space="preserve">to manage and improve </w:t>
      </w:r>
      <w:r w:rsidR="005D50A3" w:rsidRPr="003B5D32">
        <w:t xml:space="preserve">air quality.  </w:t>
      </w:r>
      <w:r w:rsidR="004A1C0C" w:rsidRPr="003B5D32">
        <w:t xml:space="preserve">This includes </w:t>
      </w:r>
      <w:r w:rsidR="005D50A3" w:rsidRPr="003B5D32">
        <w:t xml:space="preserve">monitoring councils’ compliance and/or steps taken to achieving compliance with </w:t>
      </w:r>
      <w:r w:rsidR="005D50A3" w:rsidRPr="003B5D32">
        <w:rPr>
          <w:rFonts w:cstheme="minorHAnsi"/>
          <w:lang w:eastAsia="en-GB"/>
        </w:rPr>
        <w:t xml:space="preserve">the </w:t>
      </w:r>
      <w:r w:rsidR="004E7C10" w:rsidRPr="003B5D32">
        <w:rPr>
          <w:rFonts w:cstheme="minorHAnsi"/>
          <w:lang w:eastAsia="en-GB"/>
        </w:rPr>
        <w:t>National Environmental Standards for Air Quality (NESAQ)</w:t>
      </w:r>
      <w:r w:rsidR="005D50A3" w:rsidRPr="003B5D32">
        <w:t xml:space="preserve">.  </w:t>
      </w:r>
    </w:p>
    <w:p w14:paraId="2DDB0FE4" w14:textId="3D9C734E" w:rsidR="002837B8" w:rsidRPr="000752C0" w:rsidRDefault="00DE36F0" w:rsidP="00F83FED">
      <w:pPr>
        <w:rPr>
          <w:highlight w:val="yellow"/>
        </w:rPr>
      </w:pPr>
      <w:r>
        <w:t>Th</w:t>
      </w:r>
      <w:r w:rsidRPr="003B5D32">
        <w:t>e Ministry for the Environment</w:t>
      </w:r>
      <w:r w:rsidRPr="006F79CF">
        <w:t xml:space="preserve"> </w:t>
      </w:r>
      <w:r>
        <w:t>(</w:t>
      </w:r>
      <w:r w:rsidR="0032010F" w:rsidRPr="006F79CF">
        <w:t>M</w:t>
      </w:r>
      <w:r w:rsidR="0032010F" w:rsidRPr="006F79CF">
        <w:rPr>
          <w:rFonts w:cstheme="minorHAnsi"/>
          <w:lang w:eastAsia="en-GB"/>
        </w:rPr>
        <w:t>fE</w:t>
      </w:r>
      <w:r>
        <w:rPr>
          <w:rFonts w:cstheme="minorHAnsi"/>
          <w:lang w:eastAsia="en-GB"/>
        </w:rPr>
        <w:t>)</w:t>
      </w:r>
      <w:r w:rsidR="0032010F" w:rsidRPr="006F79CF">
        <w:rPr>
          <w:rFonts w:cstheme="minorHAnsi"/>
          <w:lang w:eastAsia="en-GB"/>
        </w:rPr>
        <w:t xml:space="preserve"> is in the process of proposing amendments to NESAQ.  </w:t>
      </w:r>
      <w:r w:rsidR="000752C0" w:rsidRPr="006F79CF">
        <w:rPr>
          <w:rFonts w:cstheme="minorHAnsi"/>
          <w:lang w:eastAsia="en-GB"/>
        </w:rPr>
        <w:t>Mar</w:t>
      </w:r>
      <w:r w:rsidR="000752C0" w:rsidRPr="006F79CF">
        <w:t xml:space="preserve">ket Economics (M.E) and Golder Associates (GA) </w:t>
      </w:r>
      <w:r w:rsidR="00340C26" w:rsidRPr="006F79CF">
        <w:t>established a model to estimate the net gains of different policy options</w:t>
      </w:r>
      <w:r w:rsidR="00A618C4" w:rsidRPr="006F79CF">
        <w:rPr>
          <w:rStyle w:val="FootnoteReference"/>
        </w:rPr>
        <w:footnoteReference w:id="2"/>
      </w:r>
      <w:r w:rsidR="000752C0" w:rsidRPr="006F79CF">
        <w:t xml:space="preserve">.  </w:t>
      </w:r>
      <w:r w:rsidR="004E32AA" w:rsidRPr="006F79CF">
        <w:t>Subsequently, in 2019, M.E were approached to update the cost-benefit analysis</w:t>
      </w:r>
      <w:r w:rsidR="004E7C10" w:rsidRPr="006F79CF">
        <w:t>,</w:t>
      </w:r>
      <w:r w:rsidR="004E32AA" w:rsidRPr="006F79CF">
        <w:t xml:space="preserve"> </w:t>
      </w:r>
      <w:r w:rsidR="004E7C10" w:rsidRPr="006F79CF">
        <w:t>assessing</w:t>
      </w:r>
      <w:r w:rsidR="004E32AA" w:rsidRPr="006F79CF">
        <w:t xml:space="preserve"> the preferred policy option </w:t>
      </w:r>
      <w:r w:rsidR="000752C0" w:rsidRPr="006F79CF">
        <w:t>selected</w:t>
      </w:r>
      <w:r w:rsidR="004E32AA" w:rsidRPr="006F79CF">
        <w:t xml:space="preserve"> by MfE.  </w:t>
      </w:r>
      <w:r w:rsidR="00AD504C" w:rsidRPr="006F79CF">
        <w:t xml:space="preserve">This </w:t>
      </w:r>
      <w:r w:rsidR="002837B8" w:rsidRPr="006F79CF">
        <w:t xml:space="preserve">report </w:t>
      </w:r>
      <w:r w:rsidR="004E7C10" w:rsidRPr="006F79CF">
        <w:t xml:space="preserve">forms part of the </w:t>
      </w:r>
      <w:proofErr w:type="spellStart"/>
      <w:r w:rsidR="006F79CF" w:rsidRPr="006F79CF">
        <w:t>MfE’s</w:t>
      </w:r>
      <w:proofErr w:type="spellEnd"/>
      <w:r w:rsidR="006F79CF" w:rsidRPr="006F79CF">
        <w:t xml:space="preserve"> work in assessing the </w:t>
      </w:r>
      <w:r>
        <w:t xml:space="preserve">preferred </w:t>
      </w:r>
      <w:r w:rsidR="006F79CF" w:rsidRPr="006F79CF">
        <w:t xml:space="preserve">policy option.  </w:t>
      </w:r>
    </w:p>
    <w:p w14:paraId="32BE3691" w14:textId="749D7752" w:rsidR="002C3C50" w:rsidRPr="001E66EF" w:rsidRDefault="002C3C50" w:rsidP="002C3C50">
      <w:pPr>
        <w:pStyle w:val="Heading2"/>
        <w:rPr>
          <w:rFonts w:ascii="Calibri Light" w:hAnsi="Calibri Light"/>
        </w:rPr>
      </w:pPr>
      <w:bookmarkStart w:id="5" w:name="_Toc455070440"/>
      <w:bookmarkStart w:id="6" w:name="_Toc455044445"/>
      <w:bookmarkStart w:id="7" w:name="_Toc25569499"/>
      <w:bookmarkEnd w:id="5"/>
      <w:r w:rsidRPr="001E66EF">
        <w:rPr>
          <w:rFonts w:ascii="Calibri Light" w:hAnsi="Calibri Light"/>
        </w:rPr>
        <w:t>Aim</w:t>
      </w:r>
      <w:bookmarkEnd w:id="6"/>
      <w:r w:rsidR="00AD031B">
        <w:rPr>
          <w:rFonts w:ascii="Calibri Light" w:hAnsi="Calibri Light"/>
        </w:rPr>
        <w:t xml:space="preserve"> and approach</w:t>
      </w:r>
      <w:bookmarkEnd w:id="7"/>
    </w:p>
    <w:p w14:paraId="4B67F582" w14:textId="44BB4568" w:rsidR="009F6D46" w:rsidRPr="00025BFF" w:rsidRDefault="008F079A" w:rsidP="00C55889">
      <w:r w:rsidRPr="00025BFF">
        <w:t>T</w:t>
      </w:r>
      <w:r w:rsidR="005D50A3" w:rsidRPr="00025BFF">
        <w:t xml:space="preserve">he </w:t>
      </w:r>
      <w:r w:rsidRPr="00025BFF">
        <w:t xml:space="preserve">project </w:t>
      </w:r>
      <w:r w:rsidR="005D50A3" w:rsidRPr="00025BFF">
        <w:t xml:space="preserve">aim </w:t>
      </w:r>
      <w:r w:rsidR="000069A9" w:rsidRPr="00025BFF">
        <w:t>was</w:t>
      </w:r>
      <w:r w:rsidR="005D50A3" w:rsidRPr="00025BFF">
        <w:t xml:space="preserve"> to develop a model</w:t>
      </w:r>
      <w:r w:rsidRPr="00025BFF">
        <w:t xml:space="preserve"> to assess different policy options (in terms of </w:t>
      </w:r>
      <w:r w:rsidR="00C55889" w:rsidRPr="00025BFF">
        <w:t>costs and benefits</w:t>
      </w:r>
      <w:r w:rsidRPr="00025BFF">
        <w:t>).</w:t>
      </w:r>
      <w:r w:rsidR="002837B8" w:rsidRPr="00025BFF">
        <w:t xml:space="preserve">  Having a flexible and robust model to analyse options is useful</w:t>
      </w:r>
      <w:r w:rsidR="00616096" w:rsidRPr="00025BFF">
        <w:t>,</w:t>
      </w:r>
      <w:r w:rsidR="002837B8" w:rsidRPr="00025BFF">
        <w:t xml:space="preserve"> as it can be used to better understand the trade-offs</w:t>
      </w:r>
      <w:r w:rsidR="006F79CF" w:rsidRPr="00025BFF">
        <w:t xml:space="preserve"> of different policy options</w:t>
      </w:r>
      <w:r w:rsidR="002837B8" w:rsidRPr="00025BFF">
        <w:t xml:space="preserve">.  </w:t>
      </w:r>
      <w:r w:rsidRPr="00025BFF">
        <w:t xml:space="preserve">This report </w:t>
      </w:r>
      <w:r w:rsidR="00C55889" w:rsidRPr="00025BFF">
        <w:t>documents the</w:t>
      </w:r>
      <w:r w:rsidR="002837B8" w:rsidRPr="00025BFF">
        <w:t xml:space="preserve"> </w:t>
      </w:r>
      <w:r w:rsidR="00C55889" w:rsidRPr="00025BFF">
        <w:t xml:space="preserve">process </w:t>
      </w:r>
      <w:r w:rsidR="00FD3D67" w:rsidRPr="00025BFF">
        <w:t>but only</w:t>
      </w:r>
      <w:r w:rsidR="002837B8" w:rsidRPr="00025BFF">
        <w:t xml:space="preserve"> </w:t>
      </w:r>
      <w:r w:rsidRPr="00025BFF">
        <w:t>summarises the key findings of the selected</w:t>
      </w:r>
      <w:r w:rsidR="00C55889" w:rsidRPr="00025BFF">
        <w:t xml:space="preserve"> (preferred)</w:t>
      </w:r>
      <w:r w:rsidRPr="00025BFF">
        <w:t xml:space="preserve"> policy option</w:t>
      </w:r>
      <w:r w:rsidR="005557AA" w:rsidRPr="00025BFF">
        <w:t xml:space="preserve"> as defined by </w:t>
      </w:r>
      <w:r w:rsidRPr="00025BFF">
        <w:t xml:space="preserve">MfE.  </w:t>
      </w:r>
      <w:r w:rsidR="009F6D46" w:rsidRPr="00025BFF">
        <w:t>Assessment r</w:t>
      </w:r>
      <w:r w:rsidR="002837B8" w:rsidRPr="00025BFF">
        <w:t>esults related to earlier polic</w:t>
      </w:r>
      <w:r w:rsidR="00616096" w:rsidRPr="00025BFF">
        <w:t>y options</w:t>
      </w:r>
      <w:r w:rsidR="002837B8" w:rsidRPr="00025BFF">
        <w:t xml:space="preserve"> can be found in the 2017 </w:t>
      </w:r>
      <w:r w:rsidR="006F79CF" w:rsidRPr="00025BFF">
        <w:t>report.</w:t>
      </w:r>
      <w:r w:rsidR="002837B8" w:rsidRPr="00025BFF">
        <w:t xml:space="preserve"> </w:t>
      </w:r>
    </w:p>
    <w:p w14:paraId="0B2A62B8" w14:textId="3609B4CA" w:rsidR="00C55889" w:rsidRPr="00AD031B" w:rsidRDefault="00025BFF" w:rsidP="00C55889">
      <w:r w:rsidRPr="00AD031B">
        <w:t xml:space="preserve">We understand that the </w:t>
      </w:r>
      <w:r w:rsidR="008F079A" w:rsidRPr="00AD031B">
        <w:t xml:space="preserve">findings </w:t>
      </w:r>
      <w:r w:rsidR="005D50A3" w:rsidRPr="00AD031B">
        <w:t>inform</w:t>
      </w:r>
      <w:r w:rsidR="00AD031B" w:rsidRPr="00AD031B">
        <w:t>ed</w:t>
      </w:r>
      <w:r w:rsidR="005D50A3" w:rsidRPr="00AD031B">
        <w:t xml:space="preserve"> </w:t>
      </w:r>
      <w:proofErr w:type="spellStart"/>
      <w:r w:rsidR="005D50A3" w:rsidRPr="00AD031B">
        <w:t>MfE’s</w:t>
      </w:r>
      <w:proofErr w:type="spellEnd"/>
      <w:r w:rsidR="005D50A3" w:rsidRPr="00AD031B">
        <w:t xml:space="preserve"> decision</w:t>
      </w:r>
      <w:r w:rsidR="00D8260C">
        <w:t>s</w:t>
      </w:r>
      <w:r w:rsidR="005D50A3" w:rsidRPr="00AD031B">
        <w:t xml:space="preserve"> regarding </w:t>
      </w:r>
      <w:r w:rsidR="00AD031B" w:rsidRPr="00AD031B">
        <w:t>the</w:t>
      </w:r>
      <w:r w:rsidR="005D50A3" w:rsidRPr="00AD031B">
        <w:t xml:space="preserve"> amendments</w:t>
      </w:r>
      <w:r w:rsidR="00AD031B" w:rsidRPr="00AD031B">
        <w:t xml:space="preserve"> and the </w:t>
      </w:r>
      <w:r w:rsidR="00306200">
        <w:t xml:space="preserve">selected </w:t>
      </w:r>
      <w:r w:rsidR="00AD031B" w:rsidRPr="00D8260C">
        <w:t>proposal</w:t>
      </w:r>
      <w:r w:rsidR="00D8260C" w:rsidRPr="00D8260C">
        <w:t xml:space="preserve"> which will be used during the public consultation process</w:t>
      </w:r>
      <w:r w:rsidR="00AD031B" w:rsidRPr="00AD031B">
        <w:t xml:space="preserve">.  </w:t>
      </w:r>
      <w:r w:rsidR="00C55889" w:rsidRPr="00AD031B">
        <w:t xml:space="preserve">Crucially, this report is an update of the 2017 version.  Only the relevant parts were updated, </w:t>
      </w:r>
      <w:r w:rsidR="00D8260C">
        <w:t xml:space="preserve">and does not include </w:t>
      </w:r>
      <w:r w:rsidR="00C55889" w:rsidRPr="00AD031B">
        <w:t xml:space="preserve">wholesale changes </w:t>
      </w:r>
      <w:r w:rsidR="00AD031B" w:rsidRPr="00AD031B">
        <w:t xml:space="preserve">to either the </w:t>
      </w:r>
      <w:r w:rsidR="00C55889" w:rsidRPr="00AD031B">
        <w:t xml:space="preserve">model or the report.  </w:t>
      </w:r>
      <w:r w:rsidR="00AD031B" w:rsidRPr="00AD031B">
        <w:t xml:space="preserve">The update was completed in strict timeframes and many of the underlying datasets were not updated because more recent information is not available.  </w:t>
      </w:r>
    </w:p>
    <w:p w14:paraId="1935A142" w14:textId="7A1F13D0" w:rsidR="004E474A" w:rsidRPr="001E66EF" w:rsidRDefault="004E474A" w:rsidP="0024499A">
      <w:pPr>
        <w:spacing w:after="120" w:line="240" w:lineRule="auto"/>
        <w:rPr>
          <w:lang w:eastAsia="en-NZ"/>
        </w:rPr>
      </w:pPr>
      <w:r w:rsidRPr="001E66EF">
        <w:rPr>
          <w:lang w:eastAsia="en-NZ"/>
        </w:rPr>
        <w:t xml:space="preserve">This assessment compares the </w:t>
      </w:r>
      <w:r w:rsidR="00FD0823">
        <w:rPr>
          <w:lang w:eastAsia="en-NZ"/>
        </w:rPr>
        <w:t>preferred</w:t>
      </w:r>
      <w:r w:rsidR="00FD0823" w:rsidRPr="001E66EF">
        <w:rPr>
          <w:lang w:eastAsia="en-NZ"/>
        </w:rPr>
        <w:t xml:space="preserve"> </w:t>
      </w:r>
      <w:r w:rsidRPr="001E66EF">
        <w:rPr>
          <w:lang w:eastAsia="en-NZ"/>
        </w:rPr>
        <w:t xml:space="preserve">policy option </w:t>
      </w:r>
      <w:r w:rsidRPr="001E66EF">
        <w:rPr>
          <w:b/>
          <w:lang w:eastAsia="en-NZ"/>
        </w:rPr>
        <w:t>relative to</w:t>
      </w:r>
      <w:r w:rsidRPr="001E66EF">
        <w:rPr>
          <w:lang w:eastAsia="en-NZ"/>
        </w:rPr>
        <w:t xml:space="preserve"> </w:t>
      </w:r>
      <w:r w:rsidR="004E168A" w:rsidRPr="001E66EF">
        <w:rPr>
          <w:lang w:eastAsia="en-NZ"/>
        </w:rPr>
        <w:t xml:space="preserve">the baseline or </w:t>
      </w:r>
      <w:r w:rsidRPr="001E66EF">
        <w:rPr>
          <w:lang w:eastAsia="en-NZ"/>
        </w:rPr>
        <w:t>Status Quo and the change is interpreted as follows:</w:t>
      </w:r>
    </w:p>
    <w:p w14:paraId="39781BA5" w14:textId="15480DD3" w:rsidR="004E474A" w:rsidRPr="001E66EF" w:rsidRDefault="004E474A" w:rsidP="00F83FED">
      <w:pPr>
        <w:pStyle w:val="MEBullet"/>
        <w:spacing w:after="120" w:line="240" w:lineRule="auto"/>
        <w:ind w:left="1706" w:hanging="357"/>
        <w:rPr>
          <w:lang w:eastAsia="en-NZ"/>
        </w:rPr>
      </w:pPr>
      <w:r w:rsidRPr="001E66EF">
        <w:rPr>
          <w:lang w:eastAsia="en-NZ"/>
        </w:rPr>
        <w:t xml:space="preserve">If </w:t>
      </w:r>
      <w:r w:rsidR="00FD0823">
        <w:rPr>
          <w:lang w:eastAsia="en-NZ"/>
        </w:rPr>
        <w:t>the</w:t>
      </w:r>
      <w:r w:rsidRPr="001E66EF">
        <w:rPr>
          <w:lang w:eastAsia="en-NZ"/>
        </w:rPr>
        <w:t xml:space="preserve"> policy option results in less cost being impo</w:t>
      </w:r>
      <w:r w:rsidR="00950CA9" w:rsidRPr="001E66EF">
        <w:rPr>
          <w:lang w:eastAsia="en-NZ"/>
        </w:rPr>
        <w:t>sed on (or spending incurred</w:t>
      </w:r>
      <w:r w:rsidR="00082567" w:rsidRPr="001E66EF">
        <w:rPr>
          <w:lang w:eastAsia="en-NZ"/>
        </w:rPr>
        <w:t xml:space="preserve"> by</w:t>
      </w:r>
      <w:r w:rsidR="00950CA9" w:rsidRPr="001E66EF">
        <w:rPr>
          <w:lang w:eastAsia="en-NZ"/>
        </w:rPr>
        <w:t>)</w:t>
      </w:r>
      <w:r w:rsidR="00082567" w:rsidRPr="001E66EF">
        <w:rPr>
          <w:lang w:eastAsia="en-NZ"/>
        </w:rPr>
        <w:t xml:space="preserve"> </w:t>
      </w:r>
      <w:r w:rsidR="00082567" w:rsidRPr="001E66EF">
        <w:t>society</w:t>
      </w:r>
      <w:r w:rsidRPr="001E66EF">
        <w:rPr>
          <w:lang w:eastAsia="en-NZ"/>
        </w:rPr>
        <w:t xml:space="preserve">, then that difference is interpreted as a </w:t>
      </w:r>
      <w:r w:rsidRPr="001E66EF">
        <w:rPr>
          <w:b/>
          <w:lang w:eastAsia="en-NZ"/>
        </w:rPr>
        <w:t>benefit</w:t>
      </w:r>
      <w:r w:rsidRPr="001E66EF">
        <w:rPr>
          <w:lang w:eastAsia="en-NZ"/>
        </w:rPr>
        <w:t xml:space="preserve">, or conversely </w:t>
      </w:r>
    </w:p>
    <w:p w14:paraId="4FC96B66" w14:textId="0847037D" w:rsidR="004E474A" w:rsidRPr="001E66EF" w:rsidRDefault="004E474A" w:rsidP="00F83FED">
      <w:pPr>
        <w:pStyle w:val="MEBullet"/>
        <w:spacing w:after="120" w:line="240" w:lineRule="auto"/>
        <w:ind w:left="1706" w:hanging="357"/>
        <w:rPr>
          <w:lang w:eastAsia="en-NZ"/>
        </w:rPr>
      </w:pPr>
      <w:r w:rsidRPr="001E66EF">
        <w:rPr>
          <w:lang w:eastAsia="en-NZ"/>
        </w:rPr>
        <w:t xml:space="preserve">If </w:t>
      </w:r>
      <w:r w:rsidR="00FD0823">
        <w:rPr>
          <w:lang w:eastAsia="en-NZ"/>
        </w:rPr>
        <w:t>the</w:t>
      </w:r>
      <w:r w:rsidRPr="001E66EF">
        <w:rPr>
          <w:lang w:eastAsia="en-NZ"/>
        </w:rPr>
        <w:t xml:space="preserve"> policy option results in </w:t>
      </w:r>
      <w:r w:rsidR="00082567" w:rsidRPr="001E66EF">
        <w:rPr>
          <w:lang w:eastAsia="en-NZ"/>
        </w:rPr>
        <w:t>a greater total cost imposed on</w:t>
      </w:r>
      <w:r w:rsidRPr="001E66EF">
        <w:rPr>
          <w:lang w:eastAsia="en-NZ"/>
        </w:rPr>
        <w:t xml:space="preserve"> </w:t>
      </w:r>
      <w:r w:rsidR="00082567" w:rsidRPr="001E66EF">
        <w:rPr>
          <w:lang w:eastAsia="en-NZ"/>
        </w:rPr>
        <w:t>(</w:t>
      </w:r>
      <w:r w:rsidRPr="001E66EF">
        <w:rPr>
          <w:lang w:eastAsia="en-NZ"/>
        </w:rPr>
        <w:t xml:space="preserve">or </w:t>
      </w:r>
      <w:r w:rsidR="00082567" w:rsidRPr="001E66EF">
        <w:rPr>
          <w:lang w:eastAsia="en-NZ"/>
        </w:rPr>
        <w:t xml:space="preserve">spending </w:t>
      </w:r>
      <w:r w:rsidRPr="001E66EF">
        <w:rPr>
          <w:lang w:eastAsia="en-NZ"/>
        </w:rPr>
        <w:t>incurred by</w:t>
      </w:r>
      <w:r w:rsidR="00082567" w:rsidRPr="001E66EF">
        <w:rPr>
          <w:lang w:eastAsia="en-NZ"/>
        </w:rPr>
        <w:t>)</w:t>
      </w:r>
      <w:r w:rsidRPr="001E66EF">
        <w:rPr>
          <w:lang w:eastAsia="en-NZ"/>
        </w:rPr>
        <w:t xml:space="preserve"> </w:t>
      </w:r>
      <w:r w:rsidR="00082567" w:rsidRPr="001E66EF">
        <w:t>society</w:t>
      </w:r>
      <w:r w:rsidRPr="001E66EF">
        <w:rPr>
          <w:lang w:eastAsia="en-NZ"/>
        </w:rPr>
        <w:t xml:space="preserve">, then the difference is interpreted as a </w:t>
      </w:r>
      <w:r w:rsidRPr="001E66EF">
        <w:rPr>
          <w:b/>
          <w:lang w:eastAsia="en-NZ"/>
        </w:rPr>
        <w:t>cost</w:t>
      </w:r>
      <w:r w:rsidRPr="001E66EF">
        <w:rPr>
          <w:lang w:eastAsia="en-NZ"/>
        </w:rPr>
        <w:t>.</w:t>
      </w:r>
    </w:p>
    <w:p w14:paraId="573C2BC5" w14:textId="78EAD002" w:rsidR="005E019C" w:rsidRPr="001E66EF" w:rsidRDefault="0032711A" w:rsidP="0024499A">
      <w:pPr>
        <w:spacing w:after="120" w:line="240" w:lineRule="auto"/>
      </w:pPr>
      <w:r w:rsidRPr="001E66EF">
        <w:t xml:space="preserve">The </w:t>
      </w:r>
      <w:r w:rsidRPr="001E66EF">
        <w:rPr>
          <w:rFonts w:cs="Helvetica"/>
          <w:szCs w:val="21"/>
          <w:shd w:val="clear" w:color="auto" w:fill="FFFFFF"/>
        </w:rPr>
        <w:t>National Institute of Water and Atmospheric Research</w:t>
      </w:r>
      <w:r w:rsidRPr="001E66EF">
        <w:t xml:space="preserve"> (</w:t>
      </w:r>
      <w:r w:rsidR="00864317" w:rsidRPr="001E66EF">
        <w:t>NIWA</w:t>
      </w:r>
      <w:r w:rsidRPr="001E66EF">
        <w:t>)</w:t>
      </w:r>
      <w:r w:rsidR="00864317" w:rsidRPr="001E66EF">
        <w:t xml:space="preserve"> was contracted by MfE to generate best estimates of annual-mean concentrations of PM</w:t>
      </w:r>
      <w:r w:rsidR="003E1764">
        <w:rPr>
          <w:rStyle w:val="FootnoteReference"/>
        </w:rPr>
        <w:footnoteReference w:id="3"/>
      </w:r>
      <w:r w:rsidR="00864317" w:rsidRPr="001E66EF">
        <w:rPr>
          <w:vertAlign w:val="subscript"/>
        </w:rPr>
        <w:t xml:space="preserve">2.5 </w:t>
      </w:r>
      <w:r w:rsidR="00F5269C" w:rsidRPr="001E66EF">
        <w:t xml:space="preserve">at </w:t>
      </w:r>
      <w:r w:rsidR="00306200">
        <w:t>Census Area Unity (</w:t>
      </w:r>
      <w:r w:rsidR="00F5269C" w:rsidRPr="001E66EF">
        <w:t>CAU</w:t>
      </w:r>
      <w:r w:rsidR="00306200">
        <w:t>)</w:t>
      </w:r>
      <w:r w:rsidR="00F5269C" w:rsidRPr="001E66EF">
        <w:t xml:space="preserve"> level for 2014.</w:t>
      </w:r>
      <w:r w:rsidR="00864317" w:rsidRPr="001E66EF">
        <w:t xml:space="preserve"> </w:t>
      </w:r>
      <w:r w:rsidR="00F5269C" w:rsidRPr="001E66EF">
        <w:t xml:space="preserve"> </w:t>
      </w:r>
      <w:r w:rsidR="00F5269C" w:rsidRPr="00104E7D">
        <w:rPr>
          <w:lang w:val="en-US"/>
        </w:rPr>
        <w:t xml:space="preserve">NIWA’s input is further discussed in Section </w:t>
      </w:r>
      <w:r w:rsidR="00F5269C" w:rsidRPr="00104E7D">
        <w:rPr>
          <w:lang w:val="en-US"/>
        </w:rPr>
        <w:fldChar w:fldCharType="begin"/>
      </w:r>
      <w:r w:rsidR="00F5269C" w:rsidRPr="00104E7D">
        <w:rPr>
          <w:lang w:val="en-US"/>
        </w:rPr>
        <w:instrText xml:space="preserve"> REF _Ref454522704 \r \h  \* MERGEFORMAT </w:instrText>
      </w:r>
      <w:r w:rsidR="00F5269C" w:rsidRPr="00104E7D">
        <w:rPr>
          <w:lang w:val="en-US"/>
        </w:rPr>
      </w:r>
      <w:r w:rsidR="00F5269C" w:rsidRPr="00104E7D">
        <w:rPr>
          <w:lang w:val="en-US"/>
        </w:rPr>
        <w:fldChar w:fldCharType="separate"/>
      </w:r>
      <w:r w:rsidR="00FD114C">
        <w:rPr>
          <w:lang w:val="en-US"/>
        </w:rPr>
        <w:t>2.2</w:t>
      </w:r>
      <w:r w:rsidR="00F5269C" w:rsidRPr="00104E7D">
        <w:rPr>
          <w:lang w:val="en-US"/>
        </w:rPr>
        <w:fldChar w:fldCharType="end"/>
      </w:r>
      <w:r w:rsidR="00F5269C" w:rsidRPr="00104E7D">
        <w:rPr>
          <w:lang w:val="en-US"/>
        </w:rPr>
        <w:t xml:space="preserve">.  </w:t>
      </w:r>
      <w:r w:rsidR="00F629E0" w:rsidRPr="00104E7D">
        <w:rPr>
          <w:lang w:val="en-US"/>
        </w:rPr>
        <w:t>Estimates were based on observations fro</w:t>
      </w:r>
      <w:r w:rsidR="00F629E0" w:rsidRPr="001E66EF">
        <w:rPr>
          <w:lang w:val="en-US"/>
        </w:rPr>
        <w:t xml:space="preserve">m 2014 where available, or older data in a few cases.  </w:t>
      </w:r>
      <w:r w:rsidR="005E019C" w:rsidRPr="001E66EF">
        <w:rPr>
          <w:lang w:val="en-US"/>
        </w:rPr>
        <w:t xml:space="preserve">They also provided the exposure response ratios that are used to calculate health costs in the CBA model.  These ratios are in line with </w:t>
      </w:r>
      <w:r w:rsidR="003D0E12" w:rsidRPr="001E66EF">
        <w:rPr>
          <w:lang w:val="en-US"/>
        </w:rPr>
        <w:t>international approaches</w:t>
      </w:r>
      <w:r w:rsidR="003D0E12" w:rsidRPr="001E66EF">
        <w:t xml:space="preserve">, e.g. </w:t>
      </w:r>
      <w:r w:rsidR="00950CA9" w:rsidRPr="001E66EF">
        <w:t>Committee on the Medical Effect of Air Pollution (2010)</w:t>
      </w:r>
      <w:r w:rsidR="003422C7" w:rsidRPr="001E66EF">
        <w:rPr>
          <w:lang w:val="en-US"/>
        </w:rPr>
        <w:t>.</w:t>
      </w:r>
    </w:p>
    <w:p w14:paraId="626A8502" w14:textId="1A6BCBC7" w:rsidR="00250286" w:rsidRPr="001E66EF" w:rsidRDefault="0036258A" w:rsidP="00A13CB9">
      <w:r w:rsidRPr="001E66EF">
        <w:lastRenderedPageBreak/>
        <w:t>Golder Associates (NZ) Limited (GA)</w:t>
      </w:r>
      <w:r w:rsidR="004E168A" w:rsidRPr="001E66EF">
        <w:t>, as part of the project team</w:t>
      </w:r>
      <w:r w:rsidR="00616096">
        <w:t xml:space="preserve"> in 2016/17</w:t>
      </w:r>
      <w:r w:rsidR="004E168A" w:rsidRPr="001E66EF">
        <w:t xml:space="preserve">, </w:t>
      </w:r>
      <w:r w:rsidRPr="001E66EF">
        <w:t>provide</w:t>
      </w:r>
      <w:r w:rsidR="004E168A" w:rsidRPr="001E66EF">
        <w:t>d</w:t>
      </w:r>
      <w:r w:rsidRPr="001E66EF">
        <w:t xml:space="preserve"> PM concentrations for airsheds in NZ, </w:t>
      </w:r>
      <w:r w:rsidR="004E168A" w:rsidRPr="001E66EF">
        <w:t xml:space="preserve">disaggregated </w:t>
      </w:r>
      <w:r w:rsidRPr="001E66EF">
        <w:t>by source (Domestic, Industry, Motor vehicles and Natural), and further broken down into the type of appliance (domestic)</w:t>
      </w:r>
      <w:r w:rsidR="00EF0693" w:rsidRPr="001E66EF">
        <w:t xml:space="preserve"> and per industry (48 sectors).  GA provided a snapshot of concentrations every 5 years out to 2028, which is </w:t>
      </w:r>
      <w:r w:rsidR="00864317" w:rsidRPr="001E66EF">
        <w:t>‘</w:t>
      </w:r>
      <w:r w:rsidR="00EF0693" w:rsidRPr="001E66EF">
        <w:t>grown</w:t>
      </w:r>
      <w:r w:rsidR="00864317" w:rsidRPr="001E66EF">
        <w:t>’</w:t>
      </w:r>
      <w:r w:rsidR="00EF0693" w:rsidRPr="001E66EF">
        <w:t xml:space="preserve"> in a straight line between </w:t>
      </w:r>
      <w:r w:rsidR="004E168A" w:rsidRPr="001E66EF">
        <w:t>the relevant years</w:t>
      </w:r>
      <w:r w:rsidR="00EF0693" w:rsidRPr="001E66EF">
        <w:t>.</w:t>
      </w:r>
      <w:r w:rsidR="003D57A4">
        <w:t xml:space="preserve">  More detailed information about GA’s methodology can be found in Section </w:t>
      </w:r>
      <w:r w:rsidR="003D57A4">
        <w:fldChar w:fldCharType="begin"/>
      </w:r>
      <w:r w:rsidR="003D57A4">
        <w:instrText xml:space="preserve"> REF _Ref25155411 \r \h </w:instrText>
      </w:r>
      <w:r w:rsidR="003D57A4">
        <w:fldChar w:fldCharType="separate"/>
      </w:r>
      <w:r w:rsidR="00FD114C">
        <w:t>2</w:t>
      </w:r>
      <w:r w:rsidR="003D57A4">
        <w:fldChar w:fldCharType="end"/>
      </w:r>
      <w:r w:rsidR="003D57A4">
        <w:t>.</w:t>
      </w:r>
      <w:r w:rsidR="00616096">
        <w:t xml:space="preserve">  </w:t>
      </w:r>
    </w:p>
    <w:p w14:paraId="075267FF" w14:textId="32995B3C" w:rsidR="00250286" w:rsidRPr="001E66EF" w:rsidRDefault="00250286" w:rsidP="00A13CB9">
      <w:r w:rsidRPr="001E66EF">
        <w:t>The effect</w:t>
      </w:r>
      <w:r w:rsidR="004E168A" w:rsidRPr="001E66EF">
        <w:t>(s)</w:t>
      </w:r>
      <w:r w:rsidRPr="001E66EF">
        <w:t xml:space="preserve"> of implementing different policy </w:t>
      </w:r>
      <w:r w:rsidR="00C1746A">
        <w:t>settings</w:t>
      </w:r>
      <w:r w:rsidRPr="001E66EF">
        <w:t>, e.g. setting emission limits</w:t>
      </w:r>
      <w:r w:rsidR="003D57A4">
        <w:t xml:space="preserve"> for new home heating appliances</w:t>
      </w:r>
      <w:r w:rsidRPr="001E66EF">
        <w:t>, is then translated into a</w:t>
      </w:r>
      <w:r w:rsidR="003D57A4">
        <w:t xml:space="preserve"> PM</w:t>
      </w:r>
      <w:r w:rsidRPr="001E66EF">
        <w:t xml:space="preserve"> concentrat</w:t>
      </w:r>
      <w:r w:rsidR="005A5CAF" w:rsidRPr="001E66EF">
        <w:t>ion reduction and ultimately</w:t>
      </w:r>
      <w:r w:rsidRPr="001E66EF">
        <w:t xml:space="preserve"> health ‘benefit</w:t>
      </w:r>
      <w:r w:rsidR="005A5CAF" w:rsidRPr="001E66EF">
        <w:t>s</w:t>
      </w:r>
      <w:r w:rsidRPr="001E66EF">
        <w:t>’</w:t>
      </w:r>
      <w:r w:rsidR="009A4958" w:rsidRPr="001E66EF">
        <w:t xml:space="preserve"> by using response ratios</w:t>
      </w:r>
      <w:r w:rsidR="00306200">
        <w:t>.</w:t>
      </w:r>
      <w:r w:rsidR="004E168A" w:rsidRPr="001E66EF">
        <w:t xml:space="preserve"> </w:t>
      </w:r>
      <w:r w:rsidR="00306200">
        <w:t xml:space="preserve"> A</w:t>
      </w:r>
      <w:r w:rsidR="004E168A" w:rsidRPr="001E66EF">
        <w:t>t a high level this approach is consistent with the one used/developed during the HAPINZ process</w:t>
      </w:r>
      <w:r w:rsidRPr="001E66EF">
        <w:t xml:space="preserve">.  The cost of implementing these options </w:t>
      </w:r>
      <w:r w:rsidR="005A5CAF" w:rsidRPr="001E66EF">
        <w:t>includes both private costs (</w:t>
      </w:r>
      <w:r w:rsidRPr="001E66EF">
        <w:t>replacing burners with a more costly option</w:t>
      </w:r>
      <w:r w:rsidR="005A5CAF" w:rsidRPr="001E66EF">
        <w:rPr>
          <w:rStyle w:val="FootnoteReference"/>
        </w:rPr>
        <w:footnoteReference w:id="4"/>
      </w:r>
      <w:r w:rsidRPr="001E66EF">
        <w:t xml:space="preserve"> than if the rules had not been established</w:t>
      </w:r>
      <w:r w:rsidR="005A5CAF" w:rsidRPr="001E66EF">
        <w:t xml:space="preserve">) as well as public costs (regulatory and enforcement costs). </w:t>
      </w:r>
    </w:p>
    <w:p w14:paraId="00A33EC0" w14:textId="5427C101" w:rsidR="004E168A" w:rsidRPr="001E66EF" w:rsidRDefault="004E168A" w:rsidP="00A13CB9">
      <w:r w:rsidRPr="001E66EF">
        <w:t xml:space="preserve">The changes are distributed over a 10 year period and the costs/benefits are aggregated </w:t>
      </w:r>
      <w:r w:rsidR="00D00468" w:rsidRPr="001E66EF">
        <w:t>and expressed in discounted terms (NPV terms).  Importantly, the results are for the ‘relative position’</w:t>
      </w:r>
      <w:r w:rsidR="00A51DAD">
        <w:t>,</w:t>
      </w:r>
      <w:r w:rsidR="00D00468" w:rsidRPr="001E66EF">
        <w:t xml:space="preserve"> i.e. policy induced change.  </w:t>
      </w:r>
    </w:p>
    <w:p w14:paraId="4884C1D3" w14:textId="32BF815A" w:rsidR="004B668C" w:rsidRPr="001E66EF" w:rsidRDefault="00934103" w:rsidP="004B668C">
      <w:pPr>
        <w:pStyle w:val="Heading2"/>
        <w:rPr>
          <w:rFonts w:ascii="Calibri Light" w:hAnsi="Calibri Light"/>
        </w:rPr>
      </w:pPr>
      <w:bookmarkStart w:id="8" w:name="_Toc455044448"/>
      <w:bookmarkStart w:id="9" w:name="_Toc25569500"/>
      <w:r w:rsidRPr="001E66EF">
        <w:rPr>
          <w:rFonts w:ascii="Calibri Light" w:hAnsi="Calibri Light"/>
        </w:rPr>
        <w:t>Assumptions, l</w:t>
      </w:r>
      <w:r w:rsidR="004B668C" w:rsidRPr="001E66EF">
        <w:rPr>
          <w:rFonts w:ascii="Calibri Light" w:hAnsi="Calibri Light"/>
        </w:rPr>
        <w:t>imitations and caveats</w:t>
      </w:r>
      <w:bookmarkEnd w:id="8"/>
      <w:bookmarkEnd w:id="9"/>
    </w:p>
    <w:p w14:paraId="4211C5FF" w14:textId="0AB22FD7" w:rsidR="00317ACF" w:rsidRDefault="00D00468" w:rsidP="00317ACF">
      <w:r w:rsidRPr="001E66EF">
        <w:t>As mentioned, t</w:t>
      </w:r>
      <w:r w:rsidR="00F64AAA" w:rsidRPr="001E66EF">
        <w:t>he</w:t>
      </w:r>
      <w:r w:rsidR="00650C2A" w:rsidRPr="001E66EF">
        <w:t xml:space="preserve"> </w:t>
      </w:r>
      <w:r w:rsidR="00C80D57" w:rsidRPr="001E66EF">
        <w:t>cost-b</w:t>
      </w:r>
      <w:r w:rsidR="00BC104F" w:rsidRPr="001E66EF">
        <w:t>enefit analysis (CBA) exami</w:t>
      </w:r>
      <w:r w:rsidR="00C80D57" w:rsidRPr="001E66EF">
        <w:t>nes</w:t>
      </w:r>
      <w:r w:rsidR="00BC104F" w:rsidRPr="001E66EF">
        <w:t xml:space="preserve"> the costs </w:t>
      </w:r>
      <w:r w:rsidR="00796923">
        <w:t>the policy setting</w:t>
      </w:r>
      <w:r w:rsidR="00A97825">
        <w:t xml:space="preserve"> imposes,</w:t>
      </w:r>
      <w:r w:rsidR="00BC104F" w:rsidRPr="001E66EF">
        <w:t xml:space="preserve"> </w:t>
      </w:r>
      <w:r w:rsidR="00B24BCF" w:rsidRPr="001E66EF">
        <w:rPr>
          <w:b/>
        </w:rPr>
        <w:t>relative</w:t>
      </w:r>
      <w:r w:rsidR="00BC104F" w:rsidRPr="001E66EF">
        <w:t xml:space="preserve"> to the costs </w:t>
      </w:r>
      <w:r w:rsidR="00B24BCF" w:rsidRPr="001E66EF">
        <w:t>under</w:t>
      </w:r>
      <w:r w:rsidR="00BC104F" w:rsidRPr="001E66EF">
        <w:t xml:space="preserve"> status quo</w:t>
      </w:r>
      <w:r w:rsidR="00B24BCF" w:rsidRPr="001E66EF">
        <w:t>.</w:t>
      </w:r>
      <w:r w:rsidR="00BC104F" w:rsidRPr="001E66EF">
        <w:t xml:space="preserve"> </w:t>
      </w:r>
      <w:r w:rsidRPr="001E66EF">
        <w:t xml:space="preserve"> This is an important point.  </w:t>
      </w:r>
      <w:r w:rsidR="00BC104F" w:rsidRPr="001E66EF">
        <w:t>A reduction in co</w:t>
      </w:r>
      <w:r w:rsidR="00650C2A" w:rsidRPr="001E66EF">
        <w:t>st is interpreted as a benefit.</w:t>
      </w:r>
      <w:r w:rsidR="00317ACF" w:rsidRPr="001E66EF">
        <w:t xml:space="preserve"> </w:t>
      </w:r>
      <w:r w:rsidRPr="001E66EF">
        <w:t xml:space="preserve"> </w:t>
      </w:r>
    </w:p>
    <w:p w14:paraId="26991DB9" w14:textId="5B160D5C" w:rsidR="00E45706" w:rsidRPr="001E66EF" w:rsidRDefault="00E45706" w:rsidP="0042131C">
      <w:pPr>
        <w:pStyle w:val="Heading3"/>
        <w:rPr>
          <w:rFonts w:ascii="Calibri Light" w:hAnsi="Calibri Light"/>
        </w:rPr>
      </w:pPr>
      <w:r w:rsidRPr="001E66EF">
        <w:rPr>
          <w:rFonts w:ascii="Calibri Light" w:hAnsi="Calibri Light"/>
        </w:rPr>
        <w:t>General</w:t>
      </w:r>
    </w:p>
    <w:p w14:paraId="2CB553C5" w14:textId="00FE7260" w:rsidR="00147BF1" w:rsidRPr="001E66EF" w:rsidRDefault="00147BF1" w:rsidP="00147BF1">
      <w:r w:rsidRPr="001E66EF">
        <w:t xml:space="preserve">This assessment is based on a wide number of assumptions.  At a general level, the following points are highlighted: </w:t>
      </w:r>
    </w:p>
    <w:p w14:paraId="2A1752F1" w14:textId="77777777" w:rsidR="003723BE" w:rsidRPr="001E66EF" w:rsidRDefault="003723BE" w:rsidP="00640E4A">
      <w:pPr>
        <w:pStyle w:val="123list"/>
        <w:ind w:left="1701" w:hanging="708"/>
      </w:pPr>
      <w:r w:rsidRPr="001E66EF">
        <w:t>All costs are estimated in NZ dollars.</w:t>
      </w:r>
    </w:p>
    <w:p w14:paraId="73DC199A" w14:textId="66568F91" w:rsidR="00147BF1" w:rsidRDefault="00E73CFE" w:rsidP="00640E4A">
      <w:pPr>
        <w:pStyle w:val="123list"/>
        <w:ind w:left="1701" w:hanging="708"/>
      </w:pPr>
      <w:r w:rsidRPr="001E66EF">
        <w:rPr>
          <w:lang w:eastAsia="en-NZ"/>
        </w:rPr>
        <w:t>All costs</w:t>
      </w:r>
      <w:r w:rsidRPr="001E66EF">
        <w:rPr>
          <w:rStyle w:val="FootnoteReference"/>
          <w:lang w:eastAsia="en-NZ"/>
        </w:rPr>
        <w:footnoteReference w:id="5"/>
      </w:r>
      <w:r w:rsidRPr="001E66EF">
        <w:rPr>
          <w:lang w:eastAsia="en-NZ"/>
        </w:rPr>
        <w:t xml:space="preserve"> in the CBA model </w:t>
      </w:r>
      <w:r w:rsidR="00FD0823">
        <w:rPr>
          <w:lang w:eastAsia="en-NZ"/>
        </w:rPr>
        <w:t>have</w:t>
      </w:r>
      <w:r w:rsidR="00FD0823" w:rsidRPr="001E66EF">
        <w:rPr>
          <w:lang w:eastAsia="en-NZ"/>
        </w:rPr>
        <w:t xml:space="preserve"> </w:t>
      </w:r>
      <w:r w:rsidRPr="001E66EF">
        <w:rPr>
          <w:lang w:eastAsia="en-NZ"/>
        </w:rPr>
        <w:t>been discussed with and approved</w:t>
      </w:r>
      <w:r w:rsidR="00147BF1" w:rsidRPr="001E66EF">
        <w:rPr>
          <w:lang w:eastAsia="en-NZ"/>
        </w:rPr>
        <w:t>,</w:t>
      </w:r>
      <w:r w:rsidRPr="001E66EF">
        <w:rPr>
          <w:lang w:eastAsia="en-NZ"/>
        </w:rPr>
        <w:t xml:space="preserve"> by the Ministry for the Environment.</w:t>
      </w:r>
    </w:p>
    <w:p w14:paraId="5483364F" w14:textId="77777777" w:rsidR="00147BF1" w:rsidRPr="001E66EF" w:rsidRDefault="003723BE" w:rsidP="00640E4A">
      <w:pPr>
        <w:pStyle w:val="123list"/>
        <w:ind w:left="1701" w:hanging="708"/>
      </w:pPr>
      <w:r w:rsidRPr="001E66EF">
        <w:t>Air quality refers to the degree to which the air is free from particulate matter (PM), i.e. a lower concentration of PM implies an improvement of air quality and vice versa.</w:t>
      </w:r>
      <w:r w:rsidR="00052605" w:rsidRPr="001E66EF">
        <w:t xml:space="preserve">  This study did not consider any other </w:t>
      </w:r>
      <w:r w:rsidR="003D0E12" w:rsidRPr="001E66EF">
        <w:t>pollutants</w:t>
      </w:r>
      <w:r w:rsidR="00052605" w:rsidRPr="001E66EF">
        <w:t xml:space="preserve"> in the air a</w:t>
      </w:r>
      <w:r w:rsidR="00147BF1" w:rsidRPr="001E66EF">
        <w:t xml:space="preserve">s contributing to air pollution (e.g. Ozone or noxious gasses).  </w:t>
      </w:r>
    </w:p>
    <w:p w14:paraId="36621431" w14:textId="77777777" w:rsidR="00B64D2A" w:rsidRPr="001E66EF" w:rsidRDefault="00420D9B" w:rsidP="00640E4A">
      <w:pPr>
        <w:pStyle w:val="123list"/>
        <w:ind w:left="1701" w:hanging="708"/>
      </w:pPr>
      <w:r w:rsidRPr="001E66EF">
        <w:t xml:space="preserve">When determining the ‘cost’ of </w:t>
      </w:r>
      <w:r w:rsidR="007F5BD6" w:rsidRPr="001E66EF">
        <w:t>a (compliant) heating source</w:t>
      </w:r>
      <w:r w:rsidRPr="001E66EF">
        <w:t xml:space="preserve">, </w:t>
      </w:r>
      <w:r w:rsidR="0054566A" w:rsidRPr="001E66EF">
        <w:t xml:space="preserve">the cost is </w:t>
      </w:r>
      <w:r w:rsidRPr="001E66EF">
        <w:t xml:space="preserve">seen as the difference between the current situation and the ‘cheapest’ </w:t>
      </w:r>
      <w:r w:rsidR="007F5BD6" w:rsidRPr="001E66EF">
        <w:t xml:space="preserve">compliant </w:t>
      </w:r>
      <w:r w:rsidRPr="001E66EF">
        <w:t>alternative.  This is seen as the ‘cost of compliance’</w:t>
      </w:r>
      <w:r w:rsidR="007F5BD6" w:rsidRPr="001E66EF">
        <w:t xml:space="preserve"> imposed by the policy.  Because a heat pump has zero PM</w:t>
      </w:r>
      <w:r w:rsidR="007F5BD6" w:rsidRPr="001E66EF">
        <w:rPr>
          <w:vertAlign w:val="subscript"/>
        </w:rPr>
        <w:t xml:space="preserve">2.5 </w:t>
      </w:r>
      <w:r w:rsidR="007F5BD6" w:rsidRPr="001E66EF">
        <w:t xml:space="preserve">emission, it is compliant under all policy settings, and is seen as the cheapest alternative, since </w:t>
      </w:r>
      <w:r w:rsidR="0054566A" w:rsidRPr="001E66EF">
        <w:t>its ‘total installation costs’ (cost of th</w:t>
      </w:r>
      <w:r w:rsidR="00B64D2A" w:rsidRPr="001E66EF">
        <w:t xml:space="preserve">e appliance and the cost of installation) is lower than that of a burner.  </w:t>
      </w:r>
    </w:p>
    <w:p w14:paraId="0BD7F474" w14:textId="749806A7" w:rsidR="000E1286" w:rsidRDefault="00B64D2A" w:rsidP="00640E4A">
      <w:pPr>
        <w:pStyle w:val="123list"/>
        <w:ind w:left="1701" w:hanging="708"/>
      </w:pPr>
      <w:r w:rsidRPr="001E66EF">
        <w:lastRenderedPageBreak/>
        <w:t>The a</w:t>
      </w:r>
      <w:r w:rsidR="00A42286" w:rsidRPr="001E66EF">
        <w:t xml:space="preserve">nalysis </w:t>
      </w:r>
      <w:r w:rsidR="00D25FC9" w:rsidRPr="001E66EF">
        <w:t>takes</w:t>
      </w:r>
      <w:r w:rsidR="00A42286" w:rsidRPr="001E66EF">
        <w:t xml:space="preserve"> place at an </w:t>
      </w:r>
      <w:proofErr w:type="spellStart"/>
      <w:r w:rsidR="00A42286" w:rsidRPr="001E66EF">
        <w:t>ai</w:t>
      </w:r>
      <w:r w:rsidR="005E05CC" w:rsidRPr="001E66EF">
        <w:t>rshed</w:t>
      </w:r>
      <w:proofErr w:type="spellEnd"/>
      <w:r w:rsidR="005E05CC" w:rsidRPr="001E66EF">
        <w:t xml:space="preserve"> level, more</w:t>
      </w:r>
      <w:r w:rsidR="00A42286" w:rsidRPr="001E66EF">
        <w:t xml:space="preserve"> </w:t>
      </w:r>
      <w:r w:rsidR="00A42286" w:rsidRPr="00681E76">
        <w:rPr>
          <w:rFonts w:cstheme="minorHAnsi"/>
          <w:lang w:val="en-US"/>
        </w:rPr>
        <w:t>s</w:t>
      </w:r>
      <w:r w:rsidR="007472EF" w:rsidRPr="00681E76">
        <w:rPr>
          <w:rFonts w:cstheme="minorHAnsi"/>
          <w:lang w:val="en-US"/>
        </w:rPr>
        <w:t>pecifically the urban</w:t>
      </w:r>
      <w:r w:rsidR="00A42286" w:rsidRPr="00681E76">
        <w:rPr>
          <w:rFonts w:cstheme="minorHAnsi"/>
          <w:lang w:val="en-US"/>
        </w:rPr>
        <w:t xml:space="preserve"> </w:t>
      </w:r>
      <w:proofErr w:type="spellStart"/>
      <w:r w:rsidR="00A42286" w:rsidRPr="00681E76">
        <w:rPr>
          <w:rFonts w:cstheme="minorHAnsi"/>
          <w:lang w:val="en-US"/>
        </w:rPr>
        <w:t>airsheds</w:t>
      </w:r>
      <w:proofErr w:type="spellEnd"/>
      <w:r w:rsidR="00A42286" w:rsidRPr="00681E76">
        <w:rPr>
          <w:rFonts w:cstheme="minorHAnsi"/>
          <w:lang w:val="en-US"/>
        </w:rPr>
        <w:t xml:space="preserve"> </w:t>
      </w:r>
      <w:r w:rsidR="00435148" w:rsidRPr="00681E76">
        <w:rPr>
          <w:rFonts w:cstheme="minorHAnsi"/>
          <w:lang w:val="en-US"/>
        </w:rPr>
        <w:t xml:space="preserve">(see </w:t>
      </w:r>
      <w:r w:rsidR="00435148" w:rsidRPr="00681E76">
        <w:rPr>
          <w:rFonts w:cstheme="minorHAnsi"/>
          <w:lang w:val="en-US"/>
        </w:rPr>
        <w:fldChar w:fldCharType="begin"/>
      </w:r>
      <w:r w:rsidR="00435148" w:rsidRPr="00681E76">
        <w:rPr>
          <w:rFonts w:cstheme="minorHAnsi"/>
          <w:lang w:val="en-US"/>
        </w:rPr>
        <w:instrText xml:space="preserve"> REF _Ref451415790 \h </w:instrText>
      </w:r>
      <w:r w:rsidR="001E66EF" w:rsidRPr="00681E76">
        <w:rPr>
          <w:rFonts w:cstheme="minorHAnsi"/>
          <w:lang w:val="en-US"/>
        </w:rPr>
        <w:instrText xml:space="preserve"> \* MERGEFORMAT </w:instrText>
      </w:r>
      <w:r w:rsidR="00435148" w:rsidRPr="00681E76">
        <w:rPr>
          <w:rFonts w:cstheme="minorHAnsi"/>
          <w:lang w:val="en-US"/>
        </w:rPr>
      </w:r>
      <w:r w:rsidR="00435148" w:rsidRPr="00681E76">
        <w:rPr>
          <w:rFonts w:cstheme="minorHAnsi"/>
          <w:lang w:val="en-US"/>
        </w:rPr>
        <w:fldChar w:fldCharType="separate"/>
      </w:r>
      <w:r w:rsidR="00FD114C" w:rsidRPr="001E66EF">
        <w:t xml:space="preserve">Appendix </w:t>
      </w:r>
      <w:r w:rsidR="00FD114C">
        <w:rPr>
          <w:noProof/>
        </w:rPr>
        <w:t>1</w:t>
      </w:r>
      <w:r w:rsidR="00435148" w:rsidRPr="00681E76">
        <w:rPr>
          <w:rFonts w:cstheme="minorHAnsi"/>
          <w:lang w:val="en-US"/>
        </w:rPr>
        <w:fldChar w:fldCharType="end"/>
      </w:r>
      <w:r w:rsidR="00435148" w:rsidRPr="00681E76">
        <w:rPr>
          <w:rFonts w:cstheme="minorHAnsi"/>
          <w:lang w:val="en-US"/>
        </w:rPr>
        <w:t xml:space="preserve"> for a list of the </w:t>
      </w:r>
      <w:proofErr w:type="spellStart"/>
      <w:r w:rsidR="00435148" w:rsidRPr="00681E76">
        <w:rPr>
          <w:rFonts w:cstheme="minorHAnsi"/>
          <w:lang w:val="en-US"/>
        </w:rPr>
        <w:t>airsheds</w:t>
      </w:r>
      <w:proofErr w:type="spellEnd"/>
      <w:r w:rsidR="00435148" w:rsidRPr="00681E76">
        <w:rPr>
          <w:rFonts w:cstheme="minorHAnsi"/>
          <w:lang w:val="en-US"/>
        </w:rPr>
        <w:t xml:space="preserve"> represented in this report)</w:t>
      </w:r>
      <w:r w:rsidR="00A42286" w:rsidRPr="00681E76">
        <w:rPr>
          <w:rFonts w:cstheme="minorHAnsi"/>
          <w:lang w:val="en-US"/>
        </w:rPr>
        <w:t xml:space="preserve">.  </w:t>
      </w:r>
      <w:r w:rsidR="00DD42C6" w:rsidRPr="00681E76">
        <w:rPr>
          <w:rFonts w:cstheme="minorHAnsi"/>
          <w:lang w:val="en-US"/>
        </w:rPr>
        <w:t xml:space="preserve">Regional </w:t>
      </w:r>
      <w:r w:rsidR="00DD42C6" w:rsidRPr="001E66EF">
        <w:t>population</w:t>
      </w:r>
      <w:r w:rsidR="00A42286" w:rsidRPr="001E66EF">
        <w:t xml:space="preserve"> </w:t>
      </w:r>
      <w:r w:rsidR="003D0E12" w:rsidRPr="001E66EF">
        <w:t xml:space="preserve">located </w:t>
      </w:r>
      <w:r w:rsidR="00A42286" w:rsidRPr="001E66EF">
        <w:t>outside of these areas were aggregated and the area treated as one airshed – called ‘</w:t>
      </w:r>
      <w:r w:rsidR="00A42286" w:rsidRPr="00681E76">
        <w:rPr>
          <w:i/>
          <w:iCs/>
        </w:rPr>
        <w:t>Rest of Region Airshed’</w:t>
      </w:r>
      <w:r w:rsidR="00A42286" w:rsidRPr="001E66EF">
        <w:t xml:space="preserve">.  </w:t>
      </w:r>
      <w:r w:rsidR="00F54836">
        <w:t>In t</w:t>
      </w:r>
      <w:r w:rsidR="00052605" w:rsidRPr="001E66EF">
        <w:t>he</w:t>
      </w:r>
      <w:r w:rsidR="00F54836">
        <w:t>se</w:t>
      </w:r>
      <w:r w:rsidR="00052605" w:rsidRPr="001E66EF">
        <w:t xml:space="preserve"> ‘</w:t>
      </w:r>
      <w:r w:rsidR="00052605" w:rsidRPr="00681E76">
        <w:rPr>
          <w:i/>
        </w:rPr>
        <w:t>Rest of</w:t>
      </w:r>
      <w:r w:rsidR="00052605" w:rsidRPr="001E66EF">
        <w:t xml:space="preserve"> </w:t>
      </w:r>
      <w:r w:rsidR="00052605" w:rsidRPr="00681E76">
        <w:rPr>
          <w:i/>
        </w:rPr>
        <w:t>Region</w:t>
      </w:r>
      <w:r w:rsidR="002A784A" w:rsidRPr="00681E76">
        <w:rPr>
          <w:i/>
        </w:rPr>
        <w:t>’</w:t>
      </w:r>
      <w:r w:rsidR="00052605" w:rsidRPr="00681E76">
        <w:rPr>
          <w:i/>
        </w:rPr>
        <w:t xml:space="preserve"> </w:t>
      </w:r>
      <w:r w:rsidR="00F85658">
        <w:t>a</w:t>
      </w:r>
      <w:r w:rsidR="00052605" w:rsidRPr="001E66EF">
        <w:t>irsheds</w:t>
      </w:r>
      <w:r w:rsidR="00681E76">
        <w:t>,</w:t>
      </w:r>
      <w:r w:rsidR="00A77C4F">
        <w:t xml:space="preserve"> </w:t>
      </w:r>
      <w:r w:rsidR="00F54836">
        <w:t>o</w:t>
      </w:r>
      <w:r w:rsidR="007E440B">
        <w:t>nly a</w:t>
      </w:r>
      <w:r w:rsidR="002A784A" w:rsidRPr="001E66EF">
        <w:t>n emission limit of 1</w:t>
      </w:r>
      <w:r w:rsidR="00A77C4F">
        <w:t>.5g/kg ha</w:t>
      </w:r>
      <w:r w:rsidR="00B74FD8">
        <w:t>s</w:t>
      </w:r>
      <w:r w:rsidR="00A77C4F">
        <w:t xml:space="preserve"> been applied</w:t>
      </w:r>
      <w:r w:rsidR="002A784A" w:rsidRPr="001E66EF">
        <w:t xml:space="preserve">, implying that households will not be able to install a </w:t>
      </w:r>
      <w:r w:rsidR="007E440B">
        <w:t>burner</w:t>
      </w:r>
      <w:r w:rsidR="002A784A" w:rsidRPr="001E66EF">
        <w:t xml:space="preserve"> with an emission factor </w:t>
      </w:r>
      <w:r w:rsidR="00FC102C">
        <w:t>greater</w:t>
      </w:r>
      <w:r w:rsidR="002A784A" w:rsidRPr="001E66EF">
        <w:t xml:space="preserve"> than 1.5g/kg</w:t>
      </w:r>
      <w:r w:rsidR="00F85658">
        <w:t xml:space="preserve"> when </w:t>
      </w:r>
      <w:r w:rsidR="00FC102C">
        <w:t>th</w:t>
      </w:r>
      <w:r w:rsidR="00B74FD8">
        <w:t>eir current</w:t>
      </w:r>
      <w:r w:rsidR="00F85658">
        <w:t xml:space="preserve"> burner comes to the end of its life.  H</w:t>
      </w:r>
      <w:r w:rsidR="00D64D43">
        <w:t>owever, they would not be forced to change their burner prematurely</w:t>
      </w:r>
      <w:r w:rsidR="00B74FD8">
        <w:t>.</w:t>
      </w:r>
      <w:r w:rsidR="00FC102C">
        <w:t xml:space="preserve"> </w:t>
      </w:r>
      <w:r w:rsidR="00B74FD8">
        <w:t xml:space="preserve">  </w:t>
      </w:r>
      <w:r w:rsidR="00FC102C">
        <w:t xml:space="preserve">Based on the current assumptions around the costs (of appliances), replacing the &gt;1.5g/kg burners would be cost-neutral.  </w:t>
      </w:r>
      <w:r w:rsidR="00A20E84" w:rsidRPr="001E66EF">
        <w:t>T</w:t>
      </w:r>
      <w:r w:rsidR="002A784A" w:rsidRPr="001E66EF">
        <w:t xml:space="preserve">he </w:t>
      </w:r>
      <w:r w:rsidR="00FC102C">
        <w:t>replacement/</w:t>
      </w:r>
      <w:r w:rsidR="002A784A" w:rsidRPr="001E66EF">
        <w:t xml:space="preserve">distribution </w:t>
      </w:r>
      <w:r w:rsidR="00A20E84" w:rsidRPr="001E66EF">
        <w:t xml:space="preserve">patterns as </w:t>
      </w:r>
      <w:r w:rsidR="00C11CC1" w:rsidRPr="001E66EF">
        <w:t xml:space="preserve">discussed in Section </w:t>
      </w:r>
      <w:r w:rsidR="00C11CC1" w:rsidRPr="001E66EF">
        <w:fldChar w:fldCharType="begin"/>
      </w:r>
      <w:r w:rsidR="00C11CC1" w:rsidRPr="001E66EF">
        <w:instrText xml:space="preserve"> REF _Ref485607451 \r \h </w:instrText>
      </w:r>
      <w:r w:rsidR="001E66EF">
        <w:instrText xml:space="preserve"> \* MERGEFORMAT </w:instrText>
      </w:r>
      <w:r w:rsidR="00C11CC1" w:rsidRPr="001E66EF">
        <w:fldChar w:fldCharType="separate"/>
      </w:r>
      <w:r w:rsidR="00B74FD8">
        <w:t>1.2.2</w:t>
      </w:r>
      <w:r w:rsidR="00C11CC1" w:rsidRPr="001E66EF">
        <w:fldChar w:fldCharType="end"/>
      </w:r>
      <w:r w:rsidR="00681E76">
        <w:t>,</w:t>
      </w:r>
      <w:r w:rsidR="00A20E84" w:rsidRPr="001E66EF">
        <w:t xml:space="preserve"> applies to these areas.</w:t>
      </w:r>
      <w:r w:rsidR="007E440B">
        <w:t xml:space="preserve">  </w:t>
      </w:r>
    </w:p>
    <w:p w14:paraId="0B1C8211" w14:textId="4CDAB201" w:rsidR="00A77C4F" w:rsidRPr="001E66EF" w:rsidRDefault="000E1286" w:rsidP="00F83FED">
      <w:pPr>
        <w:pStyle w:val="123list"/>
        <w:ind w:left="1701" w:hanging="708"/>
      </w:pPr>
      <w:r>
        <w:t>B</w:t>
      </w:r>
      <w:r w:rsidR="00A77C4F" w:rsidRPr="001E66EF">
        <w:t>ecause of the relative size of the population in the ‘</w:t>
      </w:r>
      <w:r w:rsidR="00A77C4F" w:rsidRPr="000E1286">
        <w:t>Rest of</w:t>
      </w:r>
      <w:r w:rsidR="00A77C4F" w:rsidRPr="001E66EF">
        <w:t xml:space="preserve"> </w:t>
      </w:r>
      <w:r w:rsidR="00A77C4F" w:rsidRPr="000E1286">
        <w:t>Region’</w:t>
      </w:r>
      <w:r w:rsidR="00A77C4F" w:rsidRPr="001E66EF">
        <w:t xml:space="preserve"> airsheds, the results </w:t>
      </w:r>
      <w:r w:rsidR="00B2785F">
        <w:t xml:space="preserve">must be </w:t>
      </w:r>
      <w:r w:rsidR="00CF6692">
        <w:t xml:space="preserve">viewed </w:t>
      </w:r>
      <w:r w:rsidR="00B2785F">
        <w:t>with caution because it is weighted (influenced by) the large Rest of Region component</w:t>
      </w:r>
      <w:r w:rsidR="00CF6692">
        <w:t>,</w:t>
      </w:r>
      <w:r w:rsidR="00B2785F">
        <w:t xml:space="preserve"> meaning that the total </w:t>
      </w:r>
      <w:r w:rsidR="001A487E">
        <w:t>would</w:t>
      </w:r>
      <w:r w:rsidR="00A77C4F" w:rsidRPr="001E66EF">
        <w:t xml:space="preserve"> be misleading in some of the regions</w:t>
      </w:r>
      <w:r w:rsidR="00FC102C">
        <w:t>.</w:t>
      </w:r>
      <w:r w:rsidR="00A77C4F" w:rsidRPr="001E66EF">
        <w:t xml:space="preserve"> </w:t>
      </w:r>
    </w:p>
    <w:p w14:paraId="70D15939" w14:textId="01F3B71D" w:rsidR="00C11CC1" w:rsidRPr="001E66EF" w:rsidRDefault="005404B8" w:rsidP="00F83FED">
      <w:pPr>
        <w:pStyle w:val="123list"/>
        <w:ind w:left="1701" w:hanging="708"/>
      </w:pPr>
      <w:r w:rsidRPr="001E66EF">
        <w:t xml:space="preserve">Statistics New Zealand’s </w:t>
      </w:r>
      <w:r w:rsidR="00C11CC1" w:rsidRPr="001E66EF">
        <w:t>Census 2013 population data and</w:t>
      </w:r>
      <w:r w:rsidRPr="001E66EF">
        <w:t xml:space="preserve"> its population </w:t>
      </w:r>
      <w:r w:rsidR="00C11CC1" w:rsidRPr="001E66EF">
        <w:t>projections were used to determine the distribution of population in the airsheds</w:t>
      </w:r>
      <w:r w:rsidR="00A97825">
        <w:t xml:space="preserve">.  </w:t>
      </w:r>
      <w:r w:rsidR="002276A0">
        <w:t>S</w:t>
      </w:r>
      <w:r w:rsidRPr="001E66EF">
        <w:t xml:space="preserve">ome </w:t>
      </w:r>
      <w:r w:rsidR="00C11CC1" w:rsidRPr="001E66EF">
        <w:t xml:space="preserve">airsheds cut across CAUs, </w:t>
      </w:r>
      <w:r w:rsidR="002276A0">
        <w:t xml:space="preserve">and therefore, </w:t>
      </w:r>
      <w:r w:rsidR="00C11CC1" w:rsidRPr="001E66EF">
        <w:t xml:space="preserve">we used </w:t>
      </w:r>
      <w:r w:rsidR="002276A0">
        <w:t xml:space="preserve">meshblock level population </w:t>
      </w:r>
      <w:r w:rsidR="00C11CC1" w:rsidRPr="001E66EF">
        <w:t>data</w:t>
      </w:r>
      <w:r w:rsidR="002276A0">
        <w:t xml:space="preserve"> and </w:t>
      </w:r>
      <w:r w:rsidR="00C11CC1" w:rsidRPr="001E66EF">
        <w:t>then aggregated that to airshed level</w:t>
      </w:r>
      <w:r w:rsidRPr="001E66EF">
        <w:t xml:space="preserve"> to address these ‘cross boundary areas’</w:t>
      </w:r>
      <w:r w:rsidR="00C11CC1" w:rsidRPr="001E66EF">
        <w:t xml:space="preserve">. </w:t>
      </w:r>
      <w:r w:rsidR="002276A0">
        <w:t xml:space="preserve"> The population base and projections were kept consistent with the earlier studies</w:t>
      </w:r>
      <w:r w:rsidR="00165C9F">
        <w:t>,</w:t>
      </w:r>
      <w:r w:rsidR="002276A0">
        <w:t xml:space="preserve"> </w:t>
      </w:r>
      <w:r w:rsidR="00165C9F">
        <w:t>because a</w:t>
      </w:r>
      <w:r w:rsidR="002276A0">
        <w:t xml:space="preserve">t the time of </w:t>
      </w:r>
      <w:r w:rsidR="001A487E">
        <w:t xml:space="preserve">updating this report, </w:t>
      </w:r>
      <w:r w:rsidR="002276A0">
        <w:t xml:space="preserve">not all the required population data </w:t>
      </w:r>
      <w:r w:rsidR="001A487E">
        <w:t>for Census 2018 had</w:t>
      </w:r>
      <w:r w:rsidR="002276A0">
        <w:t xml:space="preserve"> been released by SNZ.</w:t>
      </w:r>
      <w:r w:rsidR="00F170BA">
        <w:t xml:space="preserve">  Also, </w:t>
      </w:r>
      <w:r w:rsidR="00C55912">
        <w:t xml:space="preserve">SNZ </w:t>
      </w:r>
      <w:r w:rsidR="00F170BA">
        <w:t>change</w:t>
      </w:r>
      <w:r w:rsidR="00C55912">
        <w:t>d</w:t>
      </w:r>
      <w:r w:rsidR="00F170BA">
        <w:t xml:space="preserve"> the </w:t>
      </w:r>
      <w:r w:rsidR="00F170BA" w:rsidRPr="006B345C">
        <w:t>spatial resolution at which data is published</w:t>
      </w:r>
      <w:r w:rsidR="00C55912">
        <w:t>, in 2018</w:t>
      </w:r>
      <w:r w:rsidR="00165C9F">
        <w:t>.</w:t>
      </w:r>
      <w:r w:rsidR="00F170BA">
        <w:t xml:space="preserve"> </w:t>
      </w:r>
      <w:r w:rsidR="00165C9F">
        <w:t xml:space="preserve"> A</w:t>
      </w:r>
      <w:r w:rsidR="00F170BA" w:rsidRPr="006B345C">
        <w:t>djustments in the model</w:t>
      </w:r>
      <w:r w:rsidR="00F170BA">
        <w:t xml:space="preserve"> would</w:t>
      </w:r>
      <w:r w:rsidR="00165C9F">
        <w:t xml:space="preserve"> ha</w:t>
      </w:r>
      <w:r w:rsidR="00F170BA">
        <w:t xml:space="preserve">ve been time consuming and costly while not changing the outcome in a material way, since we only report on the ‘change’.  </w:t>
      </w:r>
      <w:r w:rsidR="002276A0">
        <w:t xml:space="preserve">  </w:t>
      </w:r>
    </w:p>
    <w:p w14:paraId="38268752" w14:textId="7DC47938" w:rsidR="00421C8B" w:rsidRPr="001E66EF" w:rsidRDefault="00421C8B" w:rsidP="00F83FED">
      <w:pPr>
        <w:pStyle w:val="123list"/>
        <w:ind w:left="1701" w:hanging="708"/>
      </w:pPr>
      <w:r w:rsidRPr="001E66EF">
        <w:t xml:space="preserve">There are a number of uncertainties in estimating the </w:t>
      </w:r>
      <w:r w:rsidR="00CB4DC6">
        <w:t>burner count</w:t>
      </w:r>
      <w:r w:rsidRPr="001E66EF">
        <w:t xml:space="preserve"> by airshed</w:t>
      </w:r>
      <w:r w:rsidR="00CB4DC6">
        <w:t>.  The approach followed and its</w:t>
      </w:r>
      <w:r w:rsidRPr="001E66EF">
        <w:t xml:space="preserve"> limitations are highlighted in the next section.</w:t>
      </w:r>
    </w:p>
    <w:p w14:paraId="406F51E0" w14:textId="4F499DDB" w:rsidR="009829FC" w:rsidRPr="001E66EF" w:rsidRDefault="00577B1A" w:rsidP="00640E4A">
      <w:pPr>
        <w:pStyle w:val="123list"/>
        <w:ind w:hanging="785"/>
      </w:pPr>
      <w:r w:rsidRPr="001E66EF">
        <w:t>In terms of defining the s</w:t>
      </w:r>
      <w:r w:rsidR="001C42B9" w:rsidRPr="001E66EF">
        <w:t>olid fuel burners</w:t>
      </w:r>
      <w:r w:rsidRPr="001E66EF">
        <w:t xml:space="preserve">, we used the emission rates to group burners into discrete groups.  The need for this evolved out of the </w:t>
      </w:r>
      <w:r w:rsidR="00165C9F">
        <w:t xml:space="preserve">2016/17 </w:t>
      </w:r>
      <w:r w:rsidRPr="001E66EF">
        <w:t xml:space="preserve">assessment’s latter stages.  We used the following categories </w:t>
      </w:r>
      <w:r w:rsidR="00DA0473" w:rsidRPr="001E66EF">
        <w:t>(the description in brackets refer to the original naming convention)</w:t>
      </w:r>
      <w:r w:rsidR="009829FC" w:rsidRPr="001E66EF">
        <w:t>:</w:t>
      </w:r>
    </w:p>
    <w:p w14:paraId="49167EE1" w14:textId="1C9E8F73" w:rsidR="009829FC" w:rsidRPr="001E66EF" w:rsidRDefault="009829FC" w:rsidP="00640E4A">
      <w:pPr>
        <w:pStyle w:val="MEBullet"/>
        <w:spacing w:after="120" w:line="240" w:lineRule="auto"/>
        <w:ind w:left="2268" w:hanging="425"/>
      </w:pPr>
      <w:r w:rsidRPr="001E66EF">
        <w:t>0.5 g/kg</w:t>
      </w:r>
      <w:r w:rsidR="00DA0473" w:rsidRPr="001E66EF">
        <w:t xml:space="preserve"> (ULEB)</w:t>
      </w:r>
    </w:p>
    <w:p w14:paraId="32D8199D" w14:textId="09F1F836" w:rsidR="009829FC" w:rsidRPr="001E66EF" w:rsidRDefault="009829FC" w:rsidP="00640E4A">
      <w:pPr>
        <w:pStyle w:val="MEBullet"/>
        <w:spacing w:after="120" w:line="240" w:lineRule="auto"/>
        <w:ind w:left="2268" w:hanging="425"/>
      </w:pPr>
      <w:r w:rsidRPr="001E66EF">
        <w:t>1.0 g/kg</w:t>
      </w:r>
      <w:r w:rsidR="00DA0473" w:rsidRPr="001E66EF">
        <w:t xml:space="preserve"> (Pellet burner)</w:t>
      </w:r>
    </w:p>
    <w:p w14:paraId="3A9A1129" w14:textId="22CBE365" w:rsidR="009829FC" w:rsidRPr="001E66EF" w:rsidRDefault="009829FC" w:rsidP="00640E4A">
      <w:pPr>
        <w:pStyle w:val="MEBullet"/>
        <w:spacing w:after="120" w:line="240" w:lineRule="auto"/>
        <w:ind w:left="2268" w:hanging="425"/>
      </w:pPr>
      <w:r w:rsidRPr="001E66EF">
        <w:t>1.5 g/kg</w:t>
      </w:r>
      <w:r w:rsidR="0050572B" w:rsidRPr="001E66EF">
        <w:t xml:space="preserve"> </w:t>
      </w:r>
      <w:r w:rsidR="00DA0473" w:rsidRPr="001E66EF">
        <w:t>(Compliant burner)</w:t>
      </w:r>
    </w:p>
    <w:p w14:paraId="53E33277" w14:textId="24811851" w:rsidR="00DA0473" w:rsidRPr="001E66EF" w:rsidRDefault="009829FC" w:rsidP="00640E4A">
      <w:pPr>
        <w:pStyle w:val="MEBullet"/>
        <w:spacing w:after="120" w:line="240" w:lineRule="auto"/>
        <w:ind w:left="2268" w:hanging="425"/>
      </w:pPr>
      <w:r w:rsidRPr="001E66EF">
        <w:t>&gt;1.5 g/kg (</w:t>
      </w:r>
      <w:r w:rsidR="00DA0473" w:rsidRPr="001E66EF">
        <w:t xml:space="preserve">Includes Non-compliant burners, </w:t>
      </w:r>
      <w:r w:rsidR="0050572B" w:rsidRPr="001E66EF">
        <w:t>coal burners and open fires</w:t>
      </w:r>
      <w:r w:rsidRPr="001E66EF">
        <w:t>)</w:t>
      </w:r>
    </w:p>
    <w:p w14:paraId="449A3F08" w14:textId="54281707" w:rsidR="001F6A52" w:rsidRPr="001E66EF" w:rsidRDefault="00FE59C0" w:rsidP="003F1265">
      <w:pPr>
        <w:pStyle w:val="MEBullet"/>
        <w:numPr>
          <w:ilvl w:val="0"/>
          <w:numId w:val="0"/>
        </w:numPr>
        <w:ind w:left="993"/>
      </w:pPr>
      <w:r w:rsidRPr="001E66EF">
        <w:t xml:space="preserve">Section 2.8 contains the </w:t>
      </w:r>
      <w:r w:rsidR="008047FD" w:rsidRPr="001E66EF">
        <w:t>methodology</w:t>
      </w:r>
      <w:r w:rsidRPr="001E66EF">
        <w:t xml:space="preserve"> of how the number of domestic heating sources were apportioned</w:t>
      </w:r>
      <w:r w:rsidR="00577B1A" w:rsidRPr="001E66EF">
        <w:t xml:space="preserve"> (as prepared by GA)</w:t>
      </w:r>
      <w:r w:rsidRPr="001E66EF">
        <w:t>.</w:t>
      </w:r>
    </w:p>
    <w:p w14:paraId="1752C72D" w14:textId="03554970" w:rsidR="00692622" w:rsidRDefault="00692622" w:rsidP="0024499A">
      <w:pPr>
        <w:pStyle w:val="MEBullet"/>
        <w:numPr>
          <w:ilvl w:val="0"/>
          <w:numId w:val="0"/>
        </w:numPr>
      </w:pPr>
    </w:p>
    <w:p w14:paraId="79EF0B0D" w14:textId="6287E8DC" w:rsidR="00074CEA" w:rsidRDefault="00074CEA" w:rsidP="0024499A">
      <w:pPr>
        <w:pStyle w:val="MEBullet"/>
        <w:numPr>
          <w:ilvl w:val="0"/>
          <w:numId w:val="0"/>
        </w:numPr>
      </w:pPr>
    </w:p>
    <w:p w14:paraId="12FD2980" w14:textId="77777777" w:rsidR="00074CEA" w:rsidRPr="001E66EF" w:rsidRDefault="00074CEA" w:rsidP="0024499A">
      <w:pPr>
        <w:pStyle w:val="MEBullet"/>
        <w:numPr>
          <w:ilvl w:val="0"/>
          <w:numId w:val="0"/>
        </w:numPr>
      </w:pPr>
    </w:p>
    <w:p w14:paraId="2EA0BC94" w14:textId="3A316433" w:rsidR="00A42286" w:rsidRPr="001E66EF" w:rsidRDefault="00E45706" w:rsidP="0042131C">
      <w:pPr>
        <w:pStyle w:val="Heading3"/>
        <w:rPr>
          <w:rFonts w:ascii="Calibri Light" w:hAnsi="Calibri Light"/>
        </w:rPr>
      </w:pPr>
      <w:bookmarkStart w:id="10" w:name="_Ref485607451"/>
      <w:r w:rsidRPr="001E66EF">
        <w:rPr>
          <w:rFonts w:ascii="Calibri Light" w:hAnsi="Calibri Light"/>
        </w:rPr>
        <w:lastRenderedPageBreak/>
        <w:t>Policy Levers</w:t>
      </w:r>
      <w:bookmarkEnd w:id="10"/>
    </w:p>
    <w:p w14:paraId="31B972E6" w14:textId="004A13BF" w:rsidR="00E75CBB" w:rsidRPr="001E66EF" w:rsidRDefault="00420D9B" w:rsidP="00330693">
      <w:r w:rsidRPr="001E66EF">
        <w:t>The</w:t>
      </w:r>
      <w:r w:rsidR="00E83BB6" w:rsidRPr="001E66EF">
        <w:t xml:space="preserve"> key assumptions with respect to</w:t>
      </w:r>
      <w:r w:rsidRPr="001E66EF">
        <w:t xml:space="preserve"> policy </w:t>
      </w:r>
      <w:r w:rsidR="00E83BB6" w:rsidRPr="001E66EF">
        <w:t>se</w:t>
      </w:r>
      <w:r w:rsidR="00BE58DE" w:rsidRPr="001E66EF">
        <w:t>tting</w:t>
      </w:r>
      <w:r w:rsidRPr="001E66EF">
        <w:t>s</w:t>
      </w:r>
      <w:r w:rsidR="00BE58DE" w:rsidRPr="001E66EF">
        <w:t xml:space="preserve"> </w:t>
      </w:r>
      <w:r w:rsidRPr="001E66EF">
        <w:t>for the CBA are as follows:</w:t>
      </w:r>
    </w:p>
    <w:p w14:paraId="4EDD0D29" w14:textId="48247763" w:rsidR="00C11CC1" w:rsidRPr="00770BB3" w:rsidRDefault="00C11CC1" w:rsidP="00640E4A">
      <w:pPr>
        <w:pStyle w:val="ListParagraph"/>
        <w:numPr>
          <w:ilvl w:val="0"/>
          <w:numId w:val="35"/>
        </w:numPr>
        <w:spacing w:after="0" w:line="240" w:lineRule="auto"/>
        <w:ind w:left="1701" w:hanging="708"/>
      </w:pPr>
      <w:r w:rsidRPr="001E66EF">
        <w:t xml:space="preserve">The following assumptions have been made, in consultation with MfE, with respect to </w:t>
      </w:r>
      <w:r w:rsidRPr="00770BB3">
        <w:t>retirement rates of solid</w:t>
      </w:r>
      <w:r w:rsidR="00074CEA">
        <w:t xml:space="preserve"> </w:t>
      </w:r>
      <w:r w:rsidRPr="00770BB3">
        <w:t xml:space="preserve">fuel </w:t>
      </w:r>
      <w:r w:rsidR="00770BB3" w:rsidRPr="00770BB3">
        <w:t>burners</w:t>
      </w:r>
      <w:r w:rsidRPr="00770BB3">
        <w:t>:</w:t>
      </w:r>
    </w:p>
    <w:p w14:paraId="114EB111" w14:textId="2F04D0B0" w:rsidR="00C11CC1" w:rsidRPr="00692622" w:rsidRDefault="00C11CC1" w:rsidP="00640E4A">
      <w:pPr>
        <w:pStyle w:val="MEBullet"/>
        <w:spacing w:after="0" w:line="240" w:lineRule="auto"/>
        <w:ind w:left="2268" w:hanging="425"/>
      </w:pPr>
      <w:r w:rsidRPr="00692622">
        <w:t>0.5g/kg solid fuel burners</w:t>
      </w:r>
      <w:r w:rsidR="00CC0124">
        <w:t>:</w:t>
      </w:r>
    </w:p>
    <w:p w14:paraId="12EBA47B" w14:textId="7AF4019A" w:rsidR="00C11CC1" w:rsidRPr="00692622" w:rsidRDefault="00C11CC1" w:rsidP="00CC0124">
      <w:pPr>
        <w:pStyle w:val="MEBullet"/>
        <w:numPr>
          <w:ilvl w:val="0"/>
          <w:numId w:val="0"/>
        </w:numPr>
        <w:spacing w:after="120" w:line="240" w:lineRule="auto"/>
        <w:ind w:left="2126"/>
      </w:pPr>
      <w:r w:rsidRPr="00692622">
        <w:t xml:space="preserve">The lifespan of 0.5g/kg burners are assumed to be 20 years, and the first of these burners were installed around 2013, implying that they would be retired around 2033.  Since this assessment effectively ‘ends’ in 2028, the retirement rate for 0.5g/kg burners has been set </w:t>
      </w:r>
      <w:r w:rsidR="00074CEA">
        <w:t>to</w:t>
      </w:r>
      <w:r w:rsidRPr="00692622">
        <w:t xml:space="preserve"> 0.</w:t>
      </w:r>
    </w:p>
    <w:p w14:paraId="7511CB36" w14:textId="6F818678" w:rsidR="00C11CC1" w:rsidRPr="00692622" w:rsidRDefault="00C11CC1" w:rsidP="00F83FED">
      <w:pPr>
        <w:pStyle w:val="MEBullet"/>
        <w:spacing w:after="0" w:line="240" w:lineRule="auto"/>
        <w:ind w:left="1701" w:firstLine="0"/>
      </w:pPr>
      <w:r w:rsidRPr="00692622">
        <w:t>1.0g/kg solid fuel burners</w:t>
      </w:r>
      <w:r w:rsidR="00CC0124">
        <w:t>:</w:t>
      </w:r>
    </w:p>
    <w:p w14:paraId="46ADD03A" w14:textId="77777777" w:rsidR="00C11CC1" w:rsidRPr="00692622" w:rsidRDefault="00C11CC1" w:rsidP="00CC0124">
      <w:pPr>
        <w:pStyle w:val="MEBullet"/>
        <w:numPr>
          <w:ilvl w:val="0"/>
          <w:numId w:val="0"/>
        </w:numPr>
        <w:spacing w:after="120" w:line="240" w:lineRule="auto"/>
        <w:ind w:left="2160"/>
      </w:pPr>
      <w:r w:rsidRPr="00692622">
        <w:t xml:space="preserve">Retirement rate of 6.5% per year. </w:t>
      </w:r>
    </w:p>
    <w:p w14:paraId="151A136B" w14:textId="571091F8" w:rsidR="00C11CC1" w:rsidRPr="00692622" w:rsidRDefault="00C11CC1" w:rsidP="00F83FED">
      <w:pPr>
        <w:pStyle w:val="MEBullet"/>
        <w:spacing w:after="0" w:line="240" w:lineRule="auto"/>
        <w:ind w:left="1701" w:firstLine="0"/>
      </w:pPr>
      <w:r w:rsidRPr="00692622">
        <w:t>1.5g/kg solid fuel burners</w:t>
      </w:r>
      <w:r w:rsidR="00CC0124">
        <w:t>:</w:t>
      </w:r>
    </w:p>
    <w:p w14:paraId="2467BB40" w14:textId="77777777" w:rsidR="00C11CC1" w:rsidRPr="00692622" w:rsidRDefault="00C11CC1" w:rsidP="00CC0124">
      <w:pPr>
        <w:pStyle w:val="MEBullet"/>
        <w:numPr>
          <w:ilvl w:val="0"/>
          <w:numId w:val="0"/>
        </w:numPr>
        <w:spacing w:after="120" w:line="240" w:lineRule="auto"/>
        <w:ind w:left="1701" w:firstLine="459"/>
      </w:pPr>
      <w:r w:rsidRPr="00692622">
        <w:t>Retirement rate of 6.5% per year.</w:t>
      </w:r>
    </w:p>
    <w:p w14:paraId="3A8755C0" w14:textId="31BCB1FC" w:rsidR="00C11CC1" w:rsidRPr="00692622" w:rsidRDefault="00C11CC1" w:rsidP="00F83FED">
      <w:pPr>
        <w:pStyle w:val="MEBullet"/>
        <w:spacing w:after="0" w:line="240" w:lineRule="auto"/>
        <w:ind w:left="1701" w:firstLine="0"/>
      </w:pPr>
      <w:r w:rsidRPr="00692622">
        <w:t>&gt;1.5g/kg solid fuel burners</w:t>
      </w:r>
      <w:r w:rsidR="00CC0124">
        <w:t>:</w:t>
      </w:r>
    </w:p>
    <w:p w14:paraId="74F175DF" w14:textId="2E188275" w:rsidR="00C11CC1" w:rsidRPr="00692622" w:rsidRDefault="00C11CC1" w:rsidP="00640E4A">
      <w:pPr>
        <w:pStyle w:val="MEBullet"/>
        <w:numPr>
          <w:ilvl w:val="0"/>
          <w:numId w:val="0"/>
        </w:numPr>
        <w:spacing w:after="0" w:line="240" w:lineRule="auto"/>
        <w:ind w:left="2160"/>
      </w:pPr>
      <w:r w:rsidRPr="00692622">
        <w:t>R</w:t>
      </w:r>
      <w:r w:rsidR="00CB4DC6" w:rsidRPr="00692622">
        <w:t>etirement rate of 1% per year for</w:t>
      </w:r>
      <w:r w:rsidRPr="00692622">
        <w:t xml:space="preserve"> open fires and coal burning</w:t>
      </w:r>
      <w:r w:rsidR="00BE42C8" w:rsidRPr="00692622">
        <w:t xml:space="preserve"> appliances</w:t>
      </w:r>
      <w:r w:rsidRPr="00692622">
        <w:t>.</w:t>
      </w:r>
    </w:p>
    <w:p w14:paraId="14ACDE6C" w14:textId="3314BBE6" w:rsidR="00C11CC1" w:rsidRPr="00692622" w:rsidRDefault="00C11CC1" w:rsidP="00CC0124">
      <w:pPr>
        <w:pStyle w:val="MEBullet"/>
        <w:numPr>
          <w:ilvl w:val="0"/>
          <w:numId w:val="0"/>
        </w:numPr>
        <w:spacing w:after="120" w:line="240" w:lineRule="auto"/>
        <w:ind w:left="2160"/>
      </w:pPr>
      <w:r w:rsidRPr="00692622">
        <w:t>Retirement rate of 6.5% per year for wood burner with emissions greater than 1.5g/kg.</w:t>
      </w:r>
    </w:p>
    <w:p w14:paraId="690D99ED" w14:textId="06D8CA93" w:rsidR="009505B9" w:rsidRPr="001E66EF" w:rsidRDefault="009505B9" w:rsidP="00F83FED">
      <w:pPr>
        <w:pStyle w:val="ListParagraph"/>
        <w:numPr>
          <w:ilvl w:val="0"/>
          <w:numId w:val="35"/>
        </w:numPr>
        <w:spacing w:after="0" w:line="240" w:lineRule="auto"/>
        <w:ind w:left="1701" w:hanging="708"/>
      </w:pPr>
      <w:r w:rsidRPr="00770BB3">
        <w:t>Re-installation rate of solid fuel burners:</w:t>
      </w:r>
      <w:r w:rsidR="002276A0">
        <w:t xml:space="preserve">  </w:t>
      </w:r>
      <w:r w:rsidR="002276A0" w:rsidRPr="001E66EF">
        <w:t xml:space="preserve">Where installation of a particular burner is </w:t>
      </w:r>
      <w:r w:rsidR="002276A0">
        <w:t>restricted</w:t>
      </w:r>
      <w:r w:rsidR="002276A0" w:rsidRPr="001E66EF">
        <w:t xml:space="preserve">, </w:t>
      </w:r>
      <w:r w:rsidR="002276A0">
        <w:t xml:space="preserve">we have assumed that </w:t>
      </w:r>
      <w:r w:rsidR="001A487E">
        <w:t>the majority</w:t>
      </w:r>
      <w:r w:rsidR="00104E7D">
        <w:t xml:space="preserve"> </w:t>
      </w:r>
      <w:r w:rsidR="001A487E">
        <w:t xml:space="preserve">of </w:t>
      </w:r>
      <w:r w:rsidR="002276A0" w:rsidRPr="001E66EF">
        <w:t>households would install the ‘next best’ in terms of emissions</w:t>
      </w:r>
      <w:r w:rsidR="00A27DA2">
        <w:t xml:space="preserve"> (subject to the cost being the same or lower)</w:t>
      </w:r>
      <w:r w:rsidR="002276A0">
        <w:t>.</w:t>
      </w:r>
      <w:r w:rsidR="001A487E">
        <w:t xml:space="preserve">  </w:t>
      </w:r>
      <w:r w:rsidR="00165C9F">
        <w:t xml:space="preserve">However, </w:t>
      </w:r>
      <w:r w:rsidR="00104E7D">
        <w:t xml:space="preserve">it is expected </w:t>
      </w:r>
      <w:r w:rsidR="00165C9F">
        <w:t>a</w:t>
      </w:r>
      <w:r w:rsidR="001A487E">
        <w:t xml:space="preserve"> small portion of households would opt for a cleaner burning appliance</w:t>
      </w:r>
      <w:r w:rsidR="00A27DA2">
        <w:t>,</w:t>
      </w:r>
      <w:r w:rsidR="001A487E">
        <w:t xml:space="preserve"> as a matter of environmental consideration.</w:t>
      </w:r>
      <w:r w:rsidR="002276A0">
        <w:t xml:space="preserve">  </w:t>
      </w:r>
      <w:r w:rsidRPr="001E66EF">
        <w:t>Subject to emission limits, the model adopts the distribution of heating sources</w:t>
      </w:r>
      <w:r w:rsidR="00165C9F">
        <w:t xml:space="preserve"> as set out below</w:t>
      </w:r>
      <w:r w:rsidR="00A27DA2">
        <w:t>,</w:t>
      </w:r>
      <w:r w:rsidRPr="001E66EF">
        <w:t xml:space="preserve"> to guide the mix of choices likely to be made</w:t>
      </w:r>
      <w:r w:rsidR="00C11CC1" w:rsidRPr="001E66EF">
        <w:t xml:space="preserve"> when installing a burner</w:t>
      </w:r>
      <w:r w:rsidRPr="001E66EF">
        <w:t>.  On average these rates are:</w:t>
      </w:r>
    </w:p>
    <w:p w14:paraId="4D07BF48" w14:textId="754AAF41" w:rsidR="006A78F3" w:rsidRPr="002276A0" w:rsidRDefault="00770BB3" w:rsidP="00F83FED">
      <w:pPr>
        <w:pStyle w:val="MEBullet"/>
        <w:spacing w:after="0" w:line="240" w:lineRule="auto"/>
        <w:ind w:left="1701" w:firstLine="0"/>
      </w:pPr>
      <w:r>
        <w:t>Solid fuel b</w:t>
      </w:r>
      <w:r w:rsidR="00D8582B" w:rsidRPr="002276A0">
        <w:t>urners</w:t>
      </w:r>
      <w:r>
        <w:t xml:space="preserve">:  </w:t>
      </w:r>
      <w:r w:rsidR="00D8582B" w:rsidRPr="002276A0">
        <w:t>83%</w:t>
      </w:r>
    </w:p>
    <w:p w14:paraId="439A7868" w14:textId="05E2F976" w:rsidR="009505B9" w:rsidRPr="002276A0" w:rsidRDefault="009505B9" w:rsidP="00F83FED">
      <w:pPr>
        <w:pStyle w:val="MEBullet"/>
        <w:numPr>
          <w:ilvl w:val="1"/>
          <w:numId w:val="9"/>
        </w:numPr>
        <w:spacing w:after="0" w:line="240" w:lineRule="auto"/>
        <w:ind w:left="2268" w:firstLine="0"/>
      </w:pPr>
      <w:r w:rsidRPr="002276A0">
        <w:t xml:space="preserve">1.0g/kg – </w:t>
      </w:r>
      <w:r w:rsidR="00B80882" w:rsidRPr="002276A0">
        <w:t>78</w:t>
      </w:r>
      <w:r w:rsidRPr="002276A0">
        <w:t>%</w:t>
      </w:r>
    </w:p>
    <w:p w14:paraId="41461F67" w14:textId="6F88E6DA" w:rsidR="009505B9" w:rsidRPr="002276A0" w:rsidRDefault="009505B9" w:rsidP="00F83FED">
      <w:pPr>
        <w:pStyle w:val="MEBullet"/>
        <w:numPr>
          <w:ilvl w:val="1"/>
          <w:numId w:val="9"/>
        </w:numPr>
        <w:spacing w:after="0" w:line="240" w:lineRule="auto"/>
        <w:ind w:left="2268" w:firstLine="0"/>
      </w:pPr>
      <w:r w:rsidRPr="002276A0">
        <w:t xml:space="preserve">0.5g/kg – </w:t>
      </w:r>
      <w:r w:rsidR="00B80882" w:rsidRPr="002276A0">
        <w:t>5</w:t>
      </w:r>
      <w:r w:rsidRPr="002276A0">
        <w:t>%</w:t>
      </w:r>
    </w:p>
    <w:p w14:paraId="1476756D" w14:textId="04677FD9" w:rsidR="009505B9" w:rsidRPr="002276A0" w:rsidRDefault="005B5650" w:rsidP="00F83FED">
      <w:pPr>
        <w:pStyle w:val="MEBullet"/>
        <w:spacing w:after="0" w:line="240" w:lineRule="auto"/>
        <w:ind w:left="1701" w:firstLine="0"/>
      </w:pPr>
      <w:r w:rsidRPr="002276A0">
        <w:t>Heat pumps</w:t>
      </w:r>
      <w:r w:rsidR="00770BB3">
        <w:t xml:space="preserve">:  </w:t>
      </w:r>
      <w:r w:rsidR="009505B9" w:rsidRPr="002276A0">
        <w:t xml:space="preserve">17% </w:t>
      </w:r>
    </w:p>
    <w:p w14:paraId="5155F399" w14:textId="13C31BAB" w:rsidR="00330693" w:rsidRPr="001E66EF" w:rsidRDefault="008F0EBC" w:rsidP="00A27DA2">
      <w:pPr>
        <w:spacing w:before="240"/>
        <w:ind w:left="1701"/>
      </w:pPr>
      <w:r w:rsidRPr="001E66EF">
        <w:t>The</w:t>
      </w:r>
      <w:r w:rsidR="006E2686" w:rsidRPr="001E66EF">
        <w:t xml:space="preserve"> above </w:t>
      </w:r>
      <w:r w:rsidR="002276A0">
        <w:t>proportions</w:t>
      </w:r>
      <w:r w:rsidRPr="001E66EF">
        <w:t xml:space="preserve"> may vary between airsheds</w:t>
      </w:r>
      <w:r w:rsidR="00BE42C8">
        <w:t>,</w:t>
      </w:r>
      <w:r w:rsidRPr="001E66EF">
        <w:t xml:space="preserve"> and also may not reflect future choices, </w:t>
      </w:r>
      <w:r w:rsidR="002276A0">
        <w:t xml:space="preserve">but in the absence of other information, we use these splits.  </w:t>
      </w:r>
      <w:r w:rsidR="002276A0" w:rsidRPr="00165C9F">
        <w:t>T</w:t>
      </w:r>
      <w:r w:rsidRPr="00165C9F">
        <w:t xml:space="preserve">hese assumptions reflect the </w:t>
      </w:r>
      <w:r w:rsidR="0055505E" w:rsidRPr="00165C9F">
        <w:t xml:space="preserve">currently available </w:t>
      </w:r>
      <w:r w:rsidRPr="00165C9F">
        <w:t xml:space="preserve">information.  </w:t>
      </w:r>
    </w:p>
    <w:p w14:paraId="3B772161" w14:textId="71404387" w:rsidR="00C15D34" w:rsidRPr="001E66EF" w:rsidRDefault="00C15D34" w:rsidP="00A27DA2">
      <w:pPr>
        <w:pStyle w:val="MEBullet"/>
        <w:numPr>
          <w:ilvl w:val="0"/>
          <w:numId w:val="0"/>
        </w:numPr>
        <w:spacing w:after="120"/>
        <w:ind w:left="1701"/>
      </w:pPr>
      <w:r w:rsidRPr="001E66EF">
        <w:t>In addition, the following are assumed for certain airsheds</w:t>
      </w:r>
      <w:r w:rsidR="00B17B62">
        <w:t xml:space="preserve"> (this applies to the current situation)</w:t>
      </w:r>
      <w:r w:rsidR="008E16F8">
        <w:rPr>
          <w:rStyle w:val="FootnoteReference"/>
        </w:rPr>
        <w:footnoteReference w:id="6"/>
      </w:r>
      <w:r w:rsidRPr="001E66EF">
        <w:t>:</w:t>
      </w:r>
    </w:p>
    <w:p w14:paraId="6448592F" w14:textId="5578B807" w:rsidR="00C15D34" w:rsidRPr="00165C9F" w:rsidRDefault="00C15D34" w:rsidP="00F83FED">
      <w:pPr>
        <w:pStyle w:val="MEBullet"/>
        <w:spacing w:after="0" w:line="240" w:lineRule="auto"/>
        <w:ind w:left="2127" w:hanging="426"/>
      </w:pPr>
      <w:r w:rsidRPr="00165C9F">
        <w:t xml:space="preserve">In </w:t>
      </w:r>
      <w:r w:rsidR="00F91041" w:rsidRPr="00165C9F">
        <w:t>Canterbury</w:t>
      </w:r>
      <w:proofErr w:type="gramStart"/>
      <w:r w:rsidR="00F91041" w:rsidRPr="00165C9F">
        <w:t xml:space="preserve">, </w:t>
      </w:r>
      <w:r w:rsidRPr="00165C9F">
        <w:t xml:space="preserve"> a</w:t>
      </w:r>
      <w:proofErr w:type="gramEnd"/>
      <w:r w:rsidRPr="00165C9F">
        <w:t xml:space="preserve"> 0.5g/kg burner</w:t>
      </w:r>
      <w:r w:rsidR="007519F2" w:rsidRPr="00165C9F">
        <w:t xml:space="preserve"> is installed in 30</w:t>
      </w:r>
      <w:r w:rsidRPr="00165C9F">
        <w:t>% of new homes.  For every four new 0.5g/kg burners, one non-complying wood burner</w:t>
      </w:r>
      <w:r w:rsidR="007519F2" w:rsidRPr="00165C9F">
        <w:t xml:space="preserve"> (i.e. &gt;1.5g/kg)</w:t>
      </w:r>
      <w:r w:rsidRPr="00165C9F">
        <w:t xml:space="preserve"> is replaced.</w:t>
      </w:r>
      <w:r w:rsidR="007660F2" w:rsidRPr="00165C9F">
        <w:t xml:space="preserve">  </w:t>
      </w:r>
    </w:p>
    <w:p w14:paraId="47B5E956" w14:textId="69E070DC" w:rsidR="00C15D34" w:rsidRPr="008E16F8" w:rsidRDefault="00C15D34" w:rsidP="00F83FED">
      <w:pPr>
        <w:pStyle w:val="MEBullet"/>
        <w:spacing w:after="120" w:line="240" w:lineRule="auto"/>
        <w:ind w:left="2127" w:hanging="426"/>
      </w:pPr>
      <w:r w:rsidRPr="008E16F8">
        <w:t>Southland (Breathe Easy scheme) coal phase-out scheme</w:t>
      </w:r>
      <w:r w:rsidR="007519F2" w:rsidRPr="008E16F8">
        <w:t xml:space="preserve"> is applied to coal fires</w:t>
      </w:r>
      <w:r w:rsidR="00E73CFE" w:rsidRPr="008E16F8">
        <w:t xml:space="preserve"> in Invercargill and Gore</w:t>
      </w:r>
      <w:r w:rsidRPr="008E16F8">
        <w:t>.</w:t>
      </w:r>
    </w:p>
    <w:p w14:paraId="0A6BC8A4" w14:textId="51AFCCBF" w:rsidR="003F5284" w:rsidRPr="001E66EF" w:rsidRDefault="003F5284" w:rsidP="00F83FED">
      <w:pPr>
        <w:pStyle w:val="ListParagraph"/>
        <w:numPr>
          <w:ilvl w:val="0"/>
          <w:numId w:val="35"/>
        </w:numPr>
        <w:ind w:left="1701" w:hanging="708"/>
      </w:pPr>
      <w:r w:rsidRPr="001E66EF">
        <w:rPr>
          <w:lang w:eastAsia="en-NZ"/>
        </w:rPr>
        <w:t xml:space="preserve">When a household is prevented from installing the burner of their choice because of policy, the cost being imposed is the </w:t>
      </w:r>
      <w:r w:rsidRPr="001E66EF">
        <w:rPr>
          <w:b/>
          <w:lang w:eastAsia="en-NZ"/>
        </w:rPr>
        <w:t>difference</w:t>
      </w:r>
      <w:r w:rsidRPr="001E66EF">
        <w:rPr>
          <w:lang w:eastAsia="en-NZ"/>
        </w:rPr>
        <w:t xml:space="preserve"> in appliance cost of the compliant burner, over what they would have spent on a heating source in the absence of policy, i.e. a non-compliant burner.  </w:t>
      </w:r>
    </w:p>
    <w:p w14:paraId="3405AE56" w14:textId="3A24DA47" w:rsidR="00C15D34" w:rsidRPr="001E66EF" w:rsidRDefault="00B909C5" w:rsidP="00F83FED">
      <w:pPr>
        <w:pStyle w:val="ListParagraph"/>
        <w:numPr>
          <w:ilvl w:val="0"/>
          <w:numId w:val="35"/>
        </w:numPr>
        <w:ind w:left="1701" w:hanging="708"/>
      </w:pPr>
      <w:r w:rsidRPr="001E66EF">
        <w:lastRenderedPageBreak/>
        <w:t xml:space="preserve">Emission limits cover all solid fuel heating devices.  Under the assumption that all homes will have a heating source of some sort, it implies that </w:t>
      </w:r>
      <w:r w:rsidRPr="001E66EF">
        <w:rPr>
          <w:b/>
        </w:rPr>
        <w:t>new homes</w:t>
      </w:r>
      <w:r w:rsidRPr="001E66EF">
        <w:t xml:space="preserve"> will choose between a</w:t>
      </w:r>
      <w:r w:rsidR="0060219F" w:rsidRPr="001E66EF">
        <w:t xml:space="preserve"> compliant solid fuel burner</w:t>
      </w:r>
      <w:r w:rsidRPr="001E66EF">
        <w:t xml:space="preserve"> and </w:t>
      </w:r>
      <w:r w:rsidR="00A0492F">
        <w:t xml:space="preserve">a </w:t>
      </w:r>
      <w:r w:rsidRPr="001E66EF">
        <w:t>heat pump</w:t>
      </w:r>
      <w:r w:rsidRPr="001E66EF">
        <w:rPr>
          <w:rStyle w:val="FootnoteReference"/>
        </w:rPr>
        <w:footnoteReference w:id="7"/>
      </w:r>
      <w:r w:rsidR="00C15D34" w:rsidRPr="001E66EF">
        <w:t>.</w:t>
      </w:r>
      <w:r w:rsidR="00BD3CAF" w:rsidRPr="001E66EF">
        <w:t xml:space="preserve">  </w:t>
      </w:r>
      <w:r w:rsidR="004B5B9E" w:rsidRPr="001E66EF">
        <w:t xml:space="preserve">We assume that the installation of heating sources in new homes follows the same distribution as replacement of burners </w:t>
      </w:r>
      <w:r w:rsidR="00B51D67" w:rsidRPr="001E66EF">
        <w:t xml:space="preserve">already </w:t>
      </w:r>
      <w:r w:rsidR="004B5B9E" w:rsidRPr="001E66EF">
        <w:t>mentioned.</w:t>
      </w:r>
      <w:r w:rsidR="00C15D34" w:rsidRPr="001E66EF">
        <w:t xml:space="preserve">  </w:t>
      </w:r>
    </w:p>
    <w:p w14:paraId="4487A6F4" w14:textId="48FA4519" w:rsidR="003010B5" w:rsidRPr="001E66EF" w:rsidRDefault="001C0646" w:rsidP="00F83FED">
      <w:pPr>
        <w:pStyle w:val="ListParagraph"/>
        <w:numPr>
          <w:ilvl w:val="0"/>
          <w:numId w:val="35"/>
        </w:numPr>
        <w:ind w:left="1701" w:hanging="708"/>
      </w:pPr>
      <w:r>
        <w:t>The model assumes p</w:t>
      </w:r>
      <w:r w:rsidR="00B23ED4" w:rsidRPr="001E66EF">
        <w:t>rivate and local government</w:t>
      </w:r>
      <w:r w:rsidR="006C792F" w:rsidRPr="001E66EF">
        <w:t xml:space="preserve"> costs</w:t>
      </w:r>
      <w:r w:rsidR="00B23ED4" w:rsidRPr="001E66EF">
        <w:t xml:space="preserve"> </w:t>
      </w:r>
      <w:r w:rsidR="006C792F" w:rsidRPr="001E66EF">
        <w:t xml:space="preserve">are the same across regions, which means </w:t>
      </w:r>
      <w:r w:rsidR="00B23ED4" w:rsidRPr="001E66EF">
        <w:t xml:space="preserve">installation of a </w:t>
      </w:r>
      <w:proofErr w:type="spellStart"/>
      <w:r w:rsidR="00B23ED4" w:rsidRPr="001E66EF">
        <w:t>woodburner</w:t>
      </w:r>
      <w:proofErr w:type="spellEnd"/>
      <w:r w:rsidR="00B23ED4" w:rsidRPr="001E66EF">
        <w:t xml:space="preserve"> will cost the same in Northla</w:t>
      </w:r>
      <w:r w:rsidR="00FA5002" w:rsidRPr="001E66EF">
        <w:t>nd as in Canterbury</w:t>
      </w:r>
      <w:r w:rsidR="00BE42C8">
        <w:t>,</w:t>
      </w:r>
      <w:r w:rsidR="00FA5002" w:rsidRPr="001E66EF">
        <w:t xml:space="preserve"> for example.</w:t>
      </w:r>
      <w:r w:rsidR="001C4743" w:rsidRPr="001E66EF">
        <w:t xml:space="preserve">  We acknowledge that this is </w:t>
      </w:r>
      <w:r w:rsidR="00B87F98">
        <w:t>un</w:t>
      </w:r>
      <w:r w:rsidR="001C4743" w:rsidRPr="001E66EF">
        <w:t xml:space="preserve">likely to be the case. </w:t>
      </w:r>
      <w:r w:rsidR="001D781D" w:rsidRPr="001E66EF">
        <w:t xml:space="preserve"> </w:t>
      </w:r>
      <w:r w:rsidR="001C4743" w:rsidRPr="001E66EF">
        <w:t>However, since it is likely the total cost in some areas will be lower and some higher, we deem this approach to be appropriate</w:t>
      </w:r>
      <w:r w:rsidR="00B87F98">
        <w:t xml:space="preserve"> and will return a</w:t>
      </w:r>
      <w:r w:rsidR="008E16F8">
        <w:t xml:space="preserve"> </w:t>
      </w:r>
      <w:r w:rsidR="003F1265">
        <w:t>reasonable</w:t>
      </w:r>
      <w:r w:rsidR="00B87F98">
        <w:t xml:space="preserve"> indication of the costs.  </w:t>
      </w:r>
    </w:p>
    <w:p w14:paraId="1626FEF6" w14:textId="63E92503" w:rsidR="003010B5" w:rsidRPr="001E66EF" w:rsidRDefault="003010B5" w:rsidP="00CC0124">
      <w:pPr>
        <w:pStyle w:val="ListParagraph"/>
        <w:numPr>
          <w:ilvl w:val="0"/>
          <w:numId w:val="35"/>
        </w:numPr>
        <w:spacing w:after="60"/>
        <w:ind w:left="1701" w:hanging="709"/>
      </w:pPr>
      <w:r w:rsidRPr="001E66EF">
        <w:t>Included in Local government costs are the following:</w:t>
      </w:r>
    </w:p>
    <w:p w14:paraId="7A4EC2BD" w14:textId="681B39D6" w:rsidR="002107CD" w:rsidRPr="001E66EF" w:rsidRDefault="002107CD" w:rsidP="00CC0124">
      <w:pPr>
        <w:pStyle w:val="MEBullet"/>
        <w:spacing w:after="0" w:line="240" w:lineRule="auto"/>
        <w:ind w:left="2126" w:hanging="425"/>
      </w:pPr>
      <w:r w:rsidRPr="001E66EF">
        <w:t>Update of plan, editing, typesetting and printing</w:t>
      </w:r>
      <w:r w:rsidR="00A0492F">
        <w:t>,</w:t>
      </w:r>
    </w:p>
    <w:p w14:paraId="3A91D1A9" w14:textId="142B49D7" w:rsidR="002107CD" w:rsidRPr="001E66EF" w:rsidRDefault="002107CD" w:rsidP="00CC0124">
      <w:pPr>
        <w:pStyle w:val="MEBullet"/>
        <w:spacing w:after="0" w:line="240" w:lineRule="auto"/>
        <w:ind w:left="2126" w:hanging="425"/>
      </w:pPr>
      <w:r w:rsidRPr="001E66EF">
        <w:t>Education cost</w:t>
      </w:r>
      <w:r w:rsidR="00A0492F">
        <w:t>, and</w:t>
      </w:r>
    </w:p>
    <w:p w14:paraId="63D66151" w14:textId="711CAB85" w:rsidR="008A48E9" w:rsidRPr="001E66EF" w:rsidRDefault="002107CD" w:rsidP="00CC0124">
      <w:pPr>
        <w:pStyle w:val="MEBullet"/>
        <w:spacing w:after="120" w:line="240" w:lineRule="auto"/>
        <w:ind w:left="2126" w:hanging="425"/>
      </w:pPr>
      <w:r w:rsidRPr="001E66EF">
        <w:t>Evaluation of NES</w:t>
      </w:r>
      <w:r w:rsidR="00A0492F">
        <w:t>AQ</w:t>
      </w:r>
      <w:r w:rsidRPr="001E66EF">
        <w:t xml:space="preserve">. </w:t>
      </w:r>
    </w:p>
    <w:p w14:paraId="28DB32B0" w14:textId="5F023EBC" w:rsidR="004E60AC" w:rsidRPr="001E66EF" w:rsidRDefault="002107CD" w:rsidP="00A0492F">
      <w:pPr>
        <w:pStyle w:val="ListParagraph"/>
        <w:numPr>
          <w:ilvl w:val="0"/>
          <w:numId w:val="35"/>
        </w:numPr>
        <w:ind w:left="1701" w:hanging="708"/>
      </w:pPr>
      <w:r w:rsidRPr="001E66EF">
        <w:t xml:space="preserve">Implementation of the policies is not done gradually, but rather all settings take effect immediately.  This </w:t>
      </w:r>
      <w:r w:rsidR="001A32FC" w:rsidRPr="001E66EF">
        <w:t>implies</w:t>
      </w:r>
      <w:r w:rsidR="00E96EB0" w:rsidRPr="001E66EF">
        <w:t xml:space="preserve"> the burners retired/removed in a particular year will be replaced in that same year.  This policy </w:t>
      </w:r>
      <w:r w:rsidR="008A48E9" w:rsidRPr="001E66EF">
        <w:t xml:space="preserve">assumption </w:t>
      </w:r>
      <w:r w:rsidR="00E96EB0" w:rsidRPr="001E66EF">
        <w:t>causes a</w:t>
      </w:r>
      <w:r w:rsidR="001A32FC" w:rsidRPr="001E66EF">
        <w:t>n immediate</w:t>
      </w:r>
      <w:r w:rsidR="00E96EB0" w:rsidRPr="001E66EF">
        <w:t xml:space="preserve"> change in the number of burners </w:t>
      </w:r>
      <w:r w:rsidR="00A0492F">
        <w:t>(by type)</w:t>
      </w:r>
      <w:r w:rsidR="00E96EB0" w:rsidRPr="001E66EF">
        <w:t xml:space="preserve"> when the policy restricts burner types that can be installed</w:t>
      </w:r>
      <w:r w:rsidR="001A32FC" w:rsidRPr="001E66EF">
        <w:t>, in the year it is implemented</w:t>
      </w:r>
      <w:r w:rsidR="00E96EB0" w:rsidRPr="001E66EF">
        <w:t xml:space="preserve">. </w:t>
      </w:r>
    </w:p>
    <w:p w14:paraId="56470BEE" w14:textId="1A323552" w:rsidR="00E45706" w:rsidRPr="001E66EF" w:rsidRDefault="00E45706" w:rsidP="0042131C">
      <w:pPr>
        <w:pStyle w:val="Heading3"/>
        <w:rPr>
          <w:rFonts w:ascii="Calibri Light" w:hAnsi="Calibri Light"/>
        </w:rPr>
      </w:pPr>
      <w:r w:rsidRPr="001E66EF">
        <w:rPr>
          <w:rFonts w:ascii="Calibri Light" w:hAnsi="Calibri Light"/>
        </w:rPr>
        <w:t>Health costs</w:t>
      </w:r>
    </w:p>
    <w:p w14:paraId="665477FE" w14:textId="08E85136" w:rsidR="003F1265" w:rsidRDefault="007F14C1" w:rsidP="00196BC2">
      <w:pPr>
        <w:pStyle w:val="123list"/>
        <w:numPr>
          <w:ilvl w:val="0"/>
          <w:numId w:val="42"/>
        </w:numPr>
        <w:ind w:left="1701" w:hanging="708"/>
      </w:pPr>
      <w:r w:rsidRPr="001E66EF">
        <w:t>In the CBA</w:t>
      </w:r>
      <w:r w:rsidR="000B3796" w:rsidRPr="001E66EF">
        <w:t>,</w:t>
      </w:r>
      <w:r w:rsidRPr="001E66EF">
        <w:t xml:space="preserve"> health</w:t>
      </w:r>
      <w:r w:rsidR="00FF1DF7" w:rsidRPr="001E66EF">
        <w:t xml:space="preserve"> costs</w:t>
      </w:r>
      <w:r w:rsidR="004A4B9A" w:rsidRPr="001E66EF">
        <w:t xml:space="preserve"> </w:t>
      </w:r>
      <w:r w:rsidR="00974BCC" w:rsidRPr="001E66EF">
        <w:t xml:space="preserve">are </w:t>
      </w:r>
      <w:r w:rsidR="004A4B9A" w:rsidRPr="001E66EF">
        <w:t>aggregate</w:t>
      </w:r>
      <w:r w:rsidR="00974BCC" w:rsidRPr="001E66EF">
        <w:t>d</w:t>
      </w:r>
      <w:r w:rsidR="00FF1DF7" w:rsidRPr="001E66EF">
        <w:t xml:space="preserve"> across the population</w:t>
      </w:r>
      <w:r w:rsidR="00C24662" w:rsidRPr="001E66EF">
        <w:t xml:space="preserve"> (instead of using fine age cohorts)</w:t>
      </w:r>
      <w:r w:rsidR="00974BCC" w:rsidRPr="001E66EF">
        <w:t>, because it is not possible to know</w:t>
      </w:r>
      <w:r w:rsidR="00FF1DF7" w:rsidRPr="003F1265">
        <w:rPr>
          <w:rFonts w:cs="Garamond"/>
        </w:rPr>
        <w:t xml:space="preserve"> how the effects are distributed </w:t>
      </w:r>
      <w:r w:rsidR="00FF1DF7" w:rsidRPr="001E66EF">
        <w:t>among</w:t>
      </w:r>
      <w:r w:rsidR="00FF1DF7" w:rsidRPr="003F1265">
        <w:rPr>
          <w:rFonts w:cs="Garamond"/>
        </w:rPr>
        <w:t xml:space="preserve"> individuals.</w:t>
      </w:r>
      <w:r w:rsidR="002F444B" w:rsidRPr="003F1265">
        <w:rPr>
          <w:rFonts w:cs="Garamond"/>
        </w:rPr>
        <w:t xml:space="preserve">  </w:t>
      </w:r>
      <w:r w:rsidR="008716FE" w:rsidRPr="001E66EF">
        <w:t xml:space="preserve">Health incidence </w:t>
      </w:r>
      <w:r w:rsidR="001A575E" w:rsidRPr="001E66EF">
        <w:t>rates were determined from base data provided in the HAPINZ</w:t>
      </w:r>
      <w:r w:rsidR="00BA49A1" w:rsidRPr="001E66EF">
        <w:rPr>
          <w:rStyle w:val="FootnoteReference"/>
        </w:rPr>
        <w:footnoteReference w:id="8"/>
      </w:r>
      <w:r w:rsidR="001A575E" w:rsidRPr="001E66EF">
        <w:t xml:space="preserve"> study</w:t>
      </w:r>
      <w:r w:rsidR="008716FE" w:rsidRPr="001E66EF">
        <w:t>.</w:t>
      </w:r>
      <w:r w:rsidR="00F5252D" w:rsidRPr="001E66EF">
        <w:t xml:space="preserve">  Exposure-response ratios were provided by NIWA</w:t>
      </w:r>
      <w:r w:rsidR="00B82EF5" w:rsidRPr="001E66EF">
        <w:rPr>
          <w:rStyle w:val="FootnoteReference"/>
        </w:rPr>
        <w:footnoteReference w:id="9"/>
      </w:r>
      <w:r w:rsidR="00F5252D" w:rsidRPr="001E66EF">
        <w:t xml:space="preserve"> and are consistent with COMEAP and WHO studies</w:t>
      </w:r>
      <w:r w:rsidRPr="001E66EF">
        <w:t xml:space="preserve"> (</w:t>
      </w:r>
      <w:r w:rsidRPr="001E66EF">
        <w:fldChar w:fldCharType="begin"/>
      </w:r>
      <w:r w:rsidRPr="001E66EF">
        <w:instrText xml:space="preserve"> REF _Ref454524341 \h </w:instrText>
      </w:r>
      <w:r w:rsidR="001E66EF">
        <w:instrText xml:space="preserve"> \* MERGEFORMAT </w:instrText>
      </w:r>
      <w:r w:rsidRPr="001E66EF">
        <w:fldChar w:fldCharType="separate"/>
      </w:r>
      <w:r w:rsidR="00FD114C" w:rsidRPr="001E66EF">
        <w:t xml:space="preserve">Appendix </w:t>
      </w:r>
      <w:r w:rsidR="00FD114C">
        <w:rPr>
          <w:noProof/>
        </w:rPr>
        <w:t>2</w:t>
      </w:r>
      <w:r w:rsidRPr="001E66EF">
        <w:fldChar w:fldCharType="end"/>
      </w:r>
      <w:r w:rsidRPr="001E66EF">
        <w:t>)</w:t>
      </w:r>
      <w:r w:rsidR="00F5252D" w:rsidRPr="001E66EF">
        <w:t>.</w:t>
      </w:r>
    </w:p>
    <w:p w14:paraId="3E29377B" w14:textId="06BC96CD" w:rsidR="00EC5928" w:rsidRPr="001E66EF" w:rsidRDefault="00162BF3" w:rsidP="00196BC2">
      <w:pPr>
        <w:pStyle w:val="123list"/>
        <w:ind w:left="1701" w:hanging="708"/>
      </w:pPr>
      <w:r w:rsidRPr="001E66EF">
        <w:t>Value of Statistical Life</w:t>
      </w:r>
      <w:r w:rsidR="00DD4619" w:rsidRPr="001E66EF">
        <w:t xml:space="preserve"> (VOSL)</w:t>
      </w:r>
      <w:r w:rsidRPr="001E66EF">
        <w:t xml:space="preserve"> is a transport risk based </w:t>
      </w:r>
      <w:proofErr w:type="gramStart"/>
      <w:r w:rsidRPr="001E66EF">
        <w:t>value</w:t>
      </w:r>
      <w:r w:rsidR="00A0492F">
        <w:t>,</w:t>
      </w:r>
      <w:r w:rsidR="00EC5928" w:rsidRPr="001E66EF">
        <w:t xml:space="preserve"> that</w:t>
      </w:r>
      <w:proofErr w:type="gramEnd"/>
      <w:r w:rsidR="00EC5928" w:rsidRPr="001E66EF">
        <w:t xml:space="preserve"> is </w:t>
      </w:r>
      <w:r w:rsidRPr="001E66EF">
        <w:t xml:space="preserve">used to quantify the </w:t>
      </w:r>
      <w:r w:rsidR="00DD4619" w:rsidRPr="001E66EF">
        <w:t>cost of premature mortality</w:t>
      </w:r>
      <w:r w:rsidR="00EC5928" w:rsidRPr="001E66EF">
        <w:t xml:space="preserve"> in various OECD countries.  </w:t>
      </w:r>
      <w:r w:rsidR="00364928" w:rsidRPr="001E66EF">
        <w:t>For this model t</w:t>
      </w:r>
      <w:r w:rsidR="00364928" w:rsidRPr="001E66EF">
        <w:rPr>
          <w:lang w:eastAsia="en-NZ"/>
        </w:rPr>
        <w:t>he VOSL as at June 2015 prices</w:t>
      </w:r>
      <w:r w:rsidR="00EC5928" w:rsidRPr="001E66EF">
        <w:rPr>
          <w:rStyle w:val="FootnoteReference"/>
          <w:lang w:eastAsia="en-NZ"/>
        </w:rPr>
        <w:footnoteReference w:id="10"/>
      </w:r>
      <w:r w:rsidR="00364928" w:rsidRPr="001E66EF">
        <w:rPr>
          <w:lang w:eastAsia="en-NZ"/>
        </w:rPr>
        <w:t xml:space="preserve"> was used</w:t>
      </w:r>
      <w:r w:rsidR="00EC5928" w:rsidRPr="001E66EF">
        <w:rPr>
          <w:lang w:eastAsia="en-NZ"/>
        </w:rPr>
        <w:t xml:space="preserve"> to determine the societal cost of mortality attributable to </w:t>
      </w:r>
      <w:r w:rsidR="00EC5928" w:rsidRPr="001E66EF">
        <w:t>air pollution</w:t>
      </w:r>
      <w:r w:rsidR="00C86168" w:rsidRPr="001E66EF">
        <w:t>.</w:t>
      </w:r>
    </w:p>
    <w:p w14:paraId="4E422C12" w14:textId="054BBA4C" w:rsidR="00A1134F" w:rsidRPr="001E66EF" w:rsidRDefault="00DD4619" w:rsidP="00196BC2">
      <w:pPr>
        <w:pStyle w:val="123list"/>
        <w:ind w:left="1701" w:hanging="708"/>
      </w:pPr>
      <w:r w:rsidRPr="001E66EF">
        <w:t xml:space="preserve">Value of Life </w:t>
      </w:r>
      <w:r w:rsidR="00E1033A" w:rsidRPr="001E66EF">
        <w:t>Years</w:t>
      </w:r>
      <w:r w:rsidRPr="001E66EF">
        <w:t xml:space="preserve"> Lost (VLYL) is a</w:t>
      </w:r>
      <w:r w:rsidR="000E546F" w:rsidRPr="001E66EF">
        <w:t xml:space="preserve">n additional, alternative </w:t>
      </w:r>
      <w:r w:rsidRPr="001E66EF">
        <w:t xml:space="preserve">measure used by </w:t>
      </w:r>
      <w:r w:rsidR="00530426" w:rsidRPr="001E66EF">
        <w:t>COMEAP</w:t>
      </w:r>
      <w:r w:rsidR="00216537" w:rsidRPr="001E66EF">
        <w:t xml:space="preserve"> (2010)</w:t>
      </w:r>
      <w:r w:rsidRPr="001E66EF">
        <w:t xml:space="preserve"> in a study on the health effects of air pollution in the United Kingdom</w:t>
      </w:r>
      <w:r w:rsidR="002F6016" w:rsidRPr="001E66EF">
        <w:t>.</w:t>
      </w:r>
      <w:r w:rsidR="00EC5928" w:rsidRPr="001E66EF">
        <w:t xml:space="preserve">  VLYL was used as an alternative method of quantifying the cost of premature mortality.</w:t>
      </w:r>
      <w:r w:rsidR="002F6016" w:rsidRPr="001E66EF">
        <w:t xml:space="preserve">  </w:t>
      </w:r>
      <w:r w:rsidR="00EC5928" w:rsidRPr="001E66EF">
        <w:t xml:space="preserve">By using </w:t>
      </w:r>
      <w:r w:rsidR="004B61C9" w:rsidRPr="001E66EF">
        <w:t>‘</w:t>
      </w:r>
      <w:r w:rsidR="00EC5928" w:rsidRPr="001E66EF">
        <w:t>l</w:t>
      </w:r>
      <w:r w:rsidR="002F6016" w:rsidRPr="001E66EF">
        <w:t>ife</w:t>
      </w:r>
      <w:r w:rsidR="004B61C9" w:rsidRPr="001E66EF">
        <w:t>’</w:t>
      </w:r>
      <w:r w:rsidR="002F6016" w:rsidRPr="001E66EF">
        <w:t xml:space="preserve"> tables </w:t>
      </w:r>
      <w:r w:rsidR="00EC5928" w:rsidRPr="001E66EF">
        <w:t>published by S</w:t>
      </w:r>
      <w:r w:rsidR="007F14C1" w:rsidRPr="001E66EF">
        <w:t xml:space="preserve">tatistics </w:t>
      </w:r>
      <w:r w:rsidR="00EC5928" w:rsidRPr="001E66EF">
        <w:t>N</w:t>
      </w:r>
      <w:r w:rsidR="007F14C1" w:rsidRPr="001E66EF">
        <w:t xml:space="preserve">ew </w:t>
      </w:r>
      <w:r w:rsidR="00EC5928" w:rsidRPr="001E66EF">
        <w:t>Z</w:t>
      </w:r>
      <w:r w:rsidR="007F14C1" w:rsidRPr="001E66EF">
        <w:t>ealand (SNZ)</w:t>
      </w:r>
      <w:r w:rsidR="00EC5928" w:rsidRPr="001E66EF">
        <w:t>, we could</w:t>
      </w:r>
      <w:r w:rsidR="002F6016" w:rsidRPr="001E66EF">
        <w:t xml:space="preserve"> calculate </w:t>
      </w:r>
      <w:r w:rsidR="00A1134F" w:rsidRPr="001E66EF">
        <w:t xml:space="preserve">the number of </w:t>
      </w:r>
      <w:r w:rsidR="002F6016" w:rsidRPr="001E66EF">
        <w:t>life years that are lost due to premature mortality, per age cohort.</w:t>
      </w:r>
    </w:p>
    <w:p w14:paraId="2B7314E8" w14:textId="6841DA71" w:rsidR="00A0492F" w:rsidRPr="001E66EF" w:rsidRDefault="00A0492F" w:rsidP="00A0492F">
      <w:pPr>
        <w:pStyle w:val="123list"/>
      </w:pPr>
      <w:r>
        <w:t>In VLYL calculations, w</w:t>
      </w:r>
      <w:r w:rsidRPr="001E66EF">
        <w:t xml:space="preserve">e have assumed that the distribution of </w:t>
      </w:r>
      <w:r w:rsidRPr="003F1265">
        <w:rPr>
          <w:i/>
        </w:rPr>
        <w:t>mortality</w:t>
      </w:r>
      <w:r w:rsidRPr="001E66EF">
        <w:t xml:space="preserve"> per age cohort within an airshed is consistent with the distribution of </w:t>
      </w:r>
      <w:r w:rsidRPr="003F1265">
        <w:rPr>
          <w:i/>
        </w:rPr>
        <w:t>population</w:t>
      </w:r>
      <w:r w:rsidRPr="001E66EF">
        <w:t xml:space="preserve"> per age cohort within each airshed.  This is to say that if 5% of the population in an airshed falls in the age group 5-9 years, then 5% of air pollution related deaths that occur, are among 5-9 year </w:t>
      </w:r>
      <w:r w:rsidRPr="001E66EF">
        <w:lastRenderedPageBreak/>
        <w:t xml:space="preserve">olds.  We acknowledge that some age cohorts could see a larger share of the health effects but due to information limitations, we are unable to provide a more granular distribution.  </w:t>
      </w:r>
    </w:p>
    <w:p w14:paraId="05617470" w14:textId="77777777" w:rsidR="00A0492F" w:rsidRPr="00A0492F" w:rsidRDefault="00A0492F" w:rsidP="00A0492F">
      <w:pPr>
        <w:pStyle w:val="123list"/>
        <w:ind w:left="1701" w:hanging="708"/>
      </w:pPr>
      <w:r w:rsidRPr="001E66EF">
        <w:t>We have used the mid-point in each age cohort to determine the expected number of years left (thus lost as a result of dying prematurely).  The value of a life year was set at $</w:t>
      </w:r>
      <w:r>
        <w:t xml:space="preserve">189,104 - </w:t>
      </w:r>
      <w:r w:rsidRPr="001E66EF">
        <w:t>consistent with measures used by ACC</w:t>
      </w:r>
      <w:r>
        <w:t xml:space="preserve"> as described by </w:t>
      </w:r>
      <w:r w:rsidRPr="001E66EF">
        <w:rPr>
          <w:rFonts w:cs="Arial"/>
          <w:color w:val="222222"/>
          <w:shd w:val="clear" w:color="auto" w:fill="FFFFFF"/>
        </w:rPr>
        <w:t>O'Dea &amp; Wren</w:t>
      </w:r>
      <w:r>
        <w:rPr>
          <w:rFonts w:cs="Arial"/>
          <w:color w:val="222222"/>
          <w:shd w:val="clear" w:color="auto" w:fill="FFFFFF"/>
        </w:rPr>
        <w:t xml:space="preserve"> (</w:t>
      </w:r>
      <w:r w:rsidRPr="001E66EF">
        <w:rPr>
          <w:rFonts w:cs="Arial"/>
          <w:color w:val="222222"/>
          <w:shd w:val="clear" w:color="auto" w:fill="FFFFFF"/>
        </w:rPr>
        <w:t>2012)</w:t>
      </w:r>
      <w:r>
        <w:rPr>
          <w:rFonts w:cs="Arial"/>
          <w:color w:val="222222"/>
          <w:shd w:val="clear" w:color="auto" w:fill="FFFFFF"/>
        </w:rPr>
        <w:t>.</w:t>
      </w:r>
    </w:p>
    <w:p w14:paraId="5E98074E" w14:textId="5B219B84" w:rsidR="00286CD8" w:rsidRPr="001E66EF" w:rsidRDefault="008D555C" w:rsidP="00196BC2">
      <w:pPr>
        <w:pStyle w:val="123list"/>
        <w:ind w:left="1701" w:hanging="708"/>
      </w:pPr>
      <w:r w:rsidRPr="001E66EF">
        <w:t xml:space="preserve">We </w:t>
      </w:r>
      <w:r w:rsidR="000261F3" w:rsidRPr="001E66EF">
        <w:t xml:space="preserve">have </w:t>
      </w:r>
      <w:r w:rsidRPr="001E66EF">
        <w:t>assume</w:t>
      </w:r>
      <w:r w:rsidR="000261F3" w:rsidRPr="001E66EF">
        <w:t>d</w:t>
      </w:r>
      <w:r w:rsidRPr="001E66EF">
        <w:t xml:space="preserve"> that the effect of long-term exposure to PM</w:t>
      </w:r>
      <w:r w:rsidRPr="001E66EF">
        <w:rPr>
          <w:vertAlign w:val="subscript"/>
        </w:rPr>
        <w:t>2.5</w:t>
      </w:r>
      <w:r w:rsidRPr="001E66EF">
        <w:t xml:space="preserve"> and PM</w:t>
      </w:r>
      <w:r w:rsidRPr="001E66EF">
        <w:rPr>
          <w:vertAlign w:val="subscript"/>
        </w:rPr>
        <w:t>10</w:t>
      </w:r>
      <w:r w:rsidRPr="001E66EF">
        <w:t xml:space="preserve"> </w:t>
      </w:r>
      <w:r w:rsidR="00163F17" w:rsidRPr="001E66EF">
        <w:t>does not vary across age groups, but rather that the response ratio is consistent across all of the population.  T</w:t>
      </w:r>
      <w:r w:rsidRPr="001E66EF">
        <w:t xml:space="preserve">his might not be appropriate as we can expect that </w:t>
      </w:r>
      <w:r w:rsidR="00163F17" w:rsidRPr="001E66EF">
        <w:t>b</w:t>
      </w:r>
      <w:r w:rsidRPr="001E66EF">
        <w:t>abies (0-1 year</w:t>
      </w:r>
      <w:r w:rsidR="00163F17" w:rsidRPr="001E66EF">
        <w:t>s) and older individuals (75+ y</w:t>
      </w:r>
      <w:r w:rsidRPr="001E66EF">
        <w:t>ears) might react more ‘strongly’ to air pollution</w:t>
      </w:r>
      <w:r w:rsidR="00BF7475" w:rsidRPr="001E66EF">
        <w:t xml:space="preserve">, i.e. more incidences </w:t>
      </w:r>
      <w:r w:rsidR="00A0492F">
        <w:t>c</w:t>
      </w:r>
      <w:r w:rsidR="00BF7475" w:rsidRPr="001E66EF">
        <w:t>ould result</w:t>
      </w:r>
      <w:r w:rsidRPr="001E66EF">
        <w:t>.</w:t>
      </w:r>
      <w:r w:rsidR="004A4B9A" w:rsidRPr="001E66EF">
        <w:t xml:space="preserve">  Howev</w:t>
      </w:r>
      <w:r w:rsidR="00D02069" w:rsidRPr="001E66EF">
        <w:t>er, as a result of a lack of epidemiological evidence about the exposure-response relationship of different age groups, we opted to apply a consistent ratio across the population.</w:t>
      </w:r>
      <w:r w:rsidRPr="001E66EF">
        <w:t xml:space="preserve"> </w:t>
      </w:r>
    </w:p>
    <w:p w14:paraId="095D2DC1" w14:textId="507314F2" w:rsidR="008D555C" w:rsidRPr="001E66EF" w:rsidRDefault="00286CD8" w:rsidP="00196BC2">
      <w:pPr>
        <w:pStyle w:val="123list"/>
        <w:ind w:left="1701" w:hanging="708"/>
      </w:pPr>
      <w:r w:rsidRPr="001E66EF">
        <w:t xml:space="preserve">Cessation lag is a term </w:t>
      </w:r>
      <w:r w:rsidR="00287EDF" w:rsidRPr="001E66EF">
        <w:t xml:space="preserve">referring to </w:t>
      </w:r>
      <w:r w:rsidRPr="001E66EF">
        <w:t>the time pattern of reductions in mortality hazards</w:t>
      </w:r>
      <w:r w:rsidR="00287EDF" w:rsidRPr="001E66EF">
        <w:t xml:space="preserve"> (i.e. health benefits),</w:t>
      </w:r>
      <w:r w:rsidRPr="001E66EF">
        <w:t xml:space="preserve"> following a redu</w:t>
      </w:r>
      <w:r w:rsidR="00540FA4" w:rsidRPr="001E66EF">
        <w:t>ction in pollution</w:t>
      </w:r>
      <w:r w:rsidRPr="001E66EF">
        <w:t>.  We have aligned our distribution of effects over time</w:t>
      </w:r>
      <w:r w:rsidR="00BF7475" w:rsidRPr="001E66EF">
        <w:t>,</w:t>
      </w:r>
      <w:r w:rsidRPr="001E66EF">
        <w:t xml:space="preserve"> with </w:t>
      </w:r>
      <w:r w:rsidR="00926F55" w:rsidRPr="001E66EF">
        <w:t xml:space="preserve">the US EPA cessation lag framework as specified in the COMEAP </w:t>
      </w:r>
      <w:r w:rsidR="00BE58DE" w:rsidRPr="001E66EF">
        <w:t>(</w:t>
      </w:r>
      <w:r w:rsidR="00530426" w:rsidRPr="001E66EF">
        <w:t>2010</w:t>
      </w:r>
      <w:r w:rsidR="00BE58DE" w:rsidRPr="001E66EF">
        <w:t>)</w:t>
      </w:r>
      <w:r w:rsidR="00926F55" w:rsidRPr="001E66EF">
        <w:t xml:space="preserve"> </w:t>
      </w:r>
      <w:r w:rsidRPr="001E66EF">
        <w:t xml:space="preserve">report – 30% of the risk reduction is </w:t>
      </w:r>
      <w:r w:rsidR="00287EDF" w:rsidRPr="001E66EF">
        <w:t>realised in year 1 (after pollution reduction), 12.5% each in years 2-5 and the remaining 20% spread over years 6-20.</w:t>
      </w:r>
      <w:r w:rsidR="00540FA4" w:rsidRPr="001E66EF">
        <w:t xml:space="preserve">  There are several lag structures set out by different agencies, but consensus seem</w:t>
      </w:r>
      <w:r w:rsidR="00216537" w:rsidRPr="001E66EF">
        <w:t>s</w:t>
      </w:r>
      <w:r w:rsidR="00540FA4" w:rsidRPr="001E66EF">
        <w:t xml:space="preserve"> to be that all of the benefits of improved air quality</w:t>
      </w:r>
      <w:r w:rsidR="00BF7475" w:rsidRPr="001E66EF">
        <w:t>,</w:t>
      </w:r>
      <w:r w:rsidR="00540FA4" w:rsidRPr="001E66EF">
        <w:t xml:space="preserve"> are realised within a </w:t>
      </w:r>
      <w:r w:rsidR="001F6DC1" w:rsidRPr="001E66EF">
        <w:t>twenty-year</w:t>
      </w:r>
      <w:r w:rsidR="00540FA4" w:rsidRPr="001E66EF">
        <w:t xml:space="preserve"> timeframe.</w:t>
      </w:r>
      <w:r w:rsidR="00287EDF" w:rsidRPr="001E66EF">
        <w:t xml:space="preserve"> </w:t>
      </w:r>
    </w:p>
    <w:p w14:paraId="2B0BA478" w14:textId="01C1707A" w:rsidR="004B668C" w:rsidRPr="001E66EF" w:rsidRDefault="00EA5F35" w:rsidP="00196BC2">
      <w:pPr>
        <w:pStyle w:val="123list"/>
        <w:ind w:left="1701" w:hanging="708"/>
      </w:pPr>
      <w:r w:rsidRPr="001E66EF">
        <w:t>Cost</w:t>
      </w:r>
      <w:r w:rsidR="00501A87" w:rsidRPr="001E66EF">
        <w:t xml:space="preserve"> per</w:t>
      </w:r>
      <w:r w:rsidRPr="001E66EF">
        <w:t xml:space="preserve"> </w:t>
      </w:r>
      <w:r w:rsidR="00501A87" w:rsidRPr="001E66EF">
        <w:t xml:space="preserve">air pollution related </w:t>
      </w:r>
      <w:r w:rsidRPr="001E66EF">
        <w:t>hospital admis</w:t>
      </w:r>
      <w:r w:rsidR="00501A87" w:rsidRPr="001E66EF">
        <w:t>sion (</w:t>
      </w:r>
      <w:r w:rsidR="001F6DC1">
        <w:t xml:space="preserve">for </w:t>
      </w:r>
      <w:r w:rsidR="00BE495B" w:rsidRPr="001E66EF">
        <w:t xml:space="preserve">Cardiovascular Hospital Admissions </w:t>
      </w:r>
      <w:r w:rsidR="00BE495B">
        <w:t>and R</w:t>
      </w:r>
      <w:r w:rsidR="001F6DC1">
        <w:t>e</w:t>
      </w:r>
      <w:r w:rsidR="00BE495B">
        <w:t>sp</w:t>
      </w:r>
      <w:r w:rsidR="001F6DC1">
        <w:t>ira</w:t>
      </w:r>
      <w:r w:rsidR="00BE495B">
        <w:t>tory Hospital Admissions</w:t>
      </w:r>
      <w:r w:rsidR="001F6DC1">
        <w:t xml:space="preserve"> abbreviated as CHA and RHA respectively</w:t>
      </w:r>
      <w:r w:rsidR="00BE495B">
        <w:t>)</w:t>
      </w:r>
      <w:r w:rsidR="00501A87" w:rsidRPr="001E66EF">
        <w:t xml:space="preserve"> is a combination of the medical costs and the loss of output that occurs</w:t>
      </w:r>
      <w:r w:rsidR="00E904A5" w:rsidRPr="001E66EF">
        <w:t xml:space="preserve"> while the person is hospitalised</w:t>
      </w:r>
      <w:r w:rsidR="00501A87" w:rsidRPr="001E66EF">
        <w:t>.  For CHA</w:t>
      </w:r>
      <w:r w:rsidR="00ED1E22" w:rsidRPr="001E66EF">
        <w:t xml:space="preserve"> </w:t>
      </w:r>
      <w:r w:rsidR="00792951" w:rsidRPr="001E66EF">
        <w:t>five</w:t>
      </w:r>
      <w:r w:rsidR="00ED1E22" w:rsidRPr="001E66EF">
        <w:t xml:space="preserve"> days of hospitalisation has been assumed, and for </w:t>
      </w:r>
      <w:r w:rsidR="00792951" w:rsidRPr="001E66EF">
        <w:t>RHA three</w:t>
      </w:r>
      <w:r w:rsidR="00501A87" w:rsidRPr="001E66EF">
        <w:t xml:space="preserve"> days</w:t>
      </w:r>
      <w:r w:rsidR="00ED1E22" w:rsidRPr="001E66EF">
        <w:t xml:space="preserve">.  </w:t>
      </w:r>
      <w:r w:rsidR="00501A87" w:rsidRPr="001E66EF">
        <w:t>This is consistent with current literature</w:t>
      </w:r>
      <w:r w:rsidR="005C25DA" w:rsidRPr="001E66EF">
        <w:t xml:space="preserve">.  </w:t>
      </w:r>
      <w:r w:rsidR="00E904A5" w:rsidRPr="001E66EF">
        <w:t>The cost for RHA and CHA</w:t>
      </w:r>
      <w:r w:rsidR="00983832" w:rsidRPr="001E66EF">
        <w:t xml:space="preserve"> is calculated as $7,432 and $5,</w:t>
      </w:r>
      <w:r w:rsidR="00E904A5" w:rsidRPr="001E66EF">
        <w:t>381</w:t>
      </w:r>
      <w:r w:rsidR="00ED1E22" w:rsidRPr="001E66EF">
        <w:t xml:space="preserve"> per incident, respectively.  These values are consistent with HAPINZ and updated to current prices where appropriate.</w:t>
      </w:r>
    </w:p>
    <w:p w14:paraId="5E8A2EAA" w14:textId="462BA34F" w:rsidR="00585A49" w:rsidRPr="001E66EF" w:rsidRDefault="00585A49" w:rsidP="0042131C">
      <w:pPr>
        <w:pStyle w:val="Heading3"/>
        <w:rPr>
          <w:rFonts w:ascii="Calibri Light" w:hAnsi="Calibri Light"/>
        </w:rPr>
      </w:pPr>
      <w:r w:rsidRPr="001E66EF">
        <w:rPr>
          <w:rFonts w:ascii="Calibri Light" w:hAnsi="Calibri Light"/>
        </w:rPr>
        <w:t>Other Considerations</w:t>
      </w:r>
    </w:p>
    <w:p w14:paraId="57189E73" w14:textId="2C2A42BF" w:rsidR="00585A49" w:rsidRPr="001E66EF" w:rsidRDefault="00585A49" w:rsidP="00196BC2">
      <w:pPr>
        <w:pStyle w:val="123list"/>
        <w:numPr>
          <w:ilvl w:val="0"/>
          <w:numId w:val="43"/>
        </w:numPr>
        <w:ind w:left="1701" w:hanging="708"/>
      </w:pPr>
      <w:r w:rsidRPr="001E66EF">
        <w:t>Retirement rates are drawn from studies based on Auckland and Christchurch.  In essence they are relatively high</w:t>
      </w:r>
      <w:r w:rsidR="0042131C" w:rsidRPr="001E66EF">
        <w:rPr>
          <w:rStyle w:val="FootnoteReference"/>
        </w:rPr>
        <w:footnoteReference w:id="11"/>
      </w:r>
      <w:r w:rsidRPr="001E66EF">
        <w:t>, as the retirement rates in Auckland are probably higher than the rest of New Zealand.  By the same token, reinstallation rates of solid fuel burners</w:t>
      </w:r>
      <w:r w:rsidRPr="001E66EF">
        <w:rPr>
          <w:rStyle w:val="FootnoteReference"/>
        </w:rPr>
        <w:footnoteReference w:id="12"/>
      </w:r>
      <w:r w:rsidR="001D30D1">
        <w:t xml:space="preserve"> are</w:t>
      </w:r>
      <w:r w:rsidRPr="001E66EF">
        <w:t xml:space="preserve"> draw</w:t>
      </w:r>
      <w:r w:rsidR="0042131C" w:rsidRPr="001E66EF">
        <w:t>n</w:t>
      </w:r>
      <w:r w:rsidRPr="001E66EF">
        <w:t xml:space="preserve"> from the Auckland studies and applied in the Status Quo and Policy Option scenarios (when other policy levers are silent).  In the absence of better information, these rates have been discussed with MfE and deemed appropriate.</w:t>
      </w:r>
    </w:p>
    <w:p w14:paraId="66838C79" w14:textId="41247736" w:rsidR="00585A49" w:rsidRPr="001E66EF" w:rsidRDefault="00585A49" w:rsidP="00196BC2">
      <w:pPr>
        <w:pStyle w:val="123list"/>
        <w:ind w:left="1701" w:hanging="708"/>
      </w:pPr>
      <w:r w:rsidRPr="001E66EF">
        <w:t>In this study, only the health benefits (i.e. avoided costs) of improved air quality primarily as a result of altering household heating arrangements</w:t>
      </w:r>
      <w:r w:rsidR="00372B10">
        <w:t xml:space="preserve">, </w:t>
      </w:r>
      <w:r w:rsidR="00372B10" w:rsidRPr="001E66EF">
        <w:t>have been considered</w:t>
      </w:r>
      <w:r w:rsidRPr="001E66EF">
        <w:t>.  However, in reality</w:t>
      </w:r>
      <w:r w:rsidR="001D30D1">
        <w:t>,</w:t>
      </w:r>
      <w:r w:rsidRPr="001E66EF">
        <w:t xml:space="preserve"> the policy changes might generate other economic benefits, such as stimulus in the manufacturing, retail and tourism sectors.  As more </w:t>
      </w:r>
      <w:r w:rsidRPr="001E66EF">
        <w:lastRenderedPageBreak/>
        <w:t>compliant burners are needed, the manufacturing sector will have to increase production and more is expected to be sold, which flows through the retail sector.  The technology sector is likely to get a boost as well, as consumers seek more cost-effective alternatives, along with imports.</w:t>
      </w:r>
    </w:p>
    <w:p w14:paraId="22195354" w14:textId="4AB4E704" w:rsidR="00585A49" w:rsidRPr="001E66EF" w:rsidRDefault="00585A49" w:rsidP="00196BC2">
      <w:pPr>
        <w:pStyle w:val="123list"/>
        <w:ind w:left="1701" w:hanging="708"/>
      </w:pPr>
      <w:r w:rsidRPr="001E66EF">
        <w:t xml:space="preserve">Another component that has not been </w:t>
      </w:r>
      <w:r w:rsidR="00DA2566" w:rsidRPr="001E66EF">
        <w:t>considered</w:t>
      </w:r>
      <w:r w:rsidRPr="001E66EF">
        <w:t xml:space="preserve"> is the potential impact of improved air quality on inward tourism.  Given NZ’s </w:t>
      </w:r>
      <w:r w:rsidRPr="001E66EF">
        <w:rPr>
          <w:i/>
        </w:rPr>
        <w:t xml:space="preserve">clean green </w:t>
      </w:r>
      <w:r w:rsidRPr="001E66EF">
        <w:t>image, it can be expected that cleaner air in towns would encourage tourists to visit, leading to increased spending.  This will flow through the local economy, and a portion of that is expected to flow through to the national economy.</w:t>
      </w:r>
    </w:p>
    <w:p w14:paraId="0988E98D" w14:textId="54166A25" w:rsidR="00C63BD2" w:rsidRPr="001E66EF" w:rsidRDefault="00C63BD2" w:rsidP="00196BC2">
      <w:pPr>
        <w:pStyle w:val="123list"/>
        <w:ind w:left="1701" w:hanging="708"/>
      </w:pPr>
      <w:r w:rsidRPr="001E66EF">
        <w:t xml:space="preserve">A </w:t>
      </w:r>
      <w:r w:rsidR="008B16EA">
        <w:t xml:space="preserve">further </w:t>
      </w:r>
      <w:r w:rsidRPr="001E66EF">
        <w:t>aspect that is not considered is the potential effect of</w:t>
      </w:r>
      <w:r w:rsidR="0057151D">
        <w:t xml:space="preserve"> limiting </w:t>
      </w:r>
      <w:r w:rsidR="00104E7D">
        <w:t>households’ choice of burner</w:t>
      </w:r>
      <w:r w:rsidR="0057151D">
        <w:t xml:space="preserve">, which could </w:t>
      </w:r>
      <w:r w:rsidR="00FE2D74">
        <w:t xml:space="preserve">(in some cases) </w:t>
      </w:r>
      <w:r w:rsidR="0057151D">
        <w:t>result in</w:t>
      </w:r>
      <w:r w:rsidR="00FE2D74">
        <w:t xml:space="preserve"> higher fuel costs or</w:t>
      </w:r>
      <w:r w:rsidR="0057151D">
        <w:t xml:space="preserve"> households not replacing their burner, leading to cold homes</w:t>
      </w:r>
      <w:r w:rsidRPr="001E66EF">
        <w:t>.</w:t>
      </w:r>
      <w:r w:rsidR="00FE2D74">
        <w:t xml:space="preserve">  </w:t>
      </w:r>
      <w:r w:rsidRPr="001E66EF">
        <w:t xml:space="preserve">Cold homes have their own set of costs.  There is limited information about these costs and the link to wood burners.  This is a possible area where future research could add value.  </w:t>
      </w:r>
    </w:p>
    <w:p w14:paraId="19223C3B" w14:textId="395611ED" w:rsidR="00585A49" w:rsidRPr="001E66EF" w:rsidRDefault="00502453" w:rsidP="0042131C">
      <w:pPr>
        <w:pStyle w:val="Heading3"/>
        <w:rPr>
          <w:rFonts w:ascii="Calibri Light" w:hAnsi="Calibri Light"/>
        </w:rPr>
      </w:pPr>
      <w:r w:rsidRPr="001E66EF">
        <w:rPr>
          <w:rFonts w:ascii="Calibri Light" w:hAnsi="Calibri Light"/>
        </w:rPr>
        <w:t>Information availability</w:t>
      </w:r>
    </w:p>
    <w:p w14:paraId="6BA60F10" w14:textId="6AD7C127" w:rsidR="00585A49" w:rsidRPr="001E66EF" w:rsidRDefault="00585A49" w:rsidP="00585A49">
      <w:r w:rsidRPr="001E66EF">
        <w:t>This study was undertaken using available information and in some instances the availability and quality of information was limited.</w:t>
      </w:r>
      <w:r w:rsidR="007D495E">
        <w:t xml:space="preserve">  </w:t>
      </w:r>
      <w:r w:rsidR="00D5607F">
        <w:t>Further</w:t>
      </w:r>
      <w:r w:rsidR="007D495E">
        <w:t xml:space="preserve">, the update was </w:t>
      </w:r>
      <w:r w:rsidR="00D5607F">
        <w:t>undertaken in a short timeframe, limiting the ability to identify and verify any policy changes (at a local government level)</w:t>
      </w:r>
      <w:r w:rsidR="001B7E3B">
        <w:t xml:space="preserve">.  This also limited our ability to review and update the parameters used in the modelling.  </w:t>
      </w:r>
      <w:r w:rsidRPr="001E66EF">
        <w:t>Using more recent or more detailed information will change the results.  This is especially the case for the key variables around the health costs</w:t>
      </w:r>
      <w:r w:rsidR="00C12AB3" w:rsidRPr="001E66EF">
        <w:t xml:space="preserve"> and</w:t>
      </w:r>
      <w:r w:rsidRPr="001E66EF">
        <w:t xml:space="preserve"> response </w:t>
      </w:r>
      <w:r w:rsidR="00C12AB3" w:rsidRPr="001E66EF">
        <w:t xml:space="preserve">rates as well as the information about the burners, including the current stage, replacement rates, market churn, costs and cost differences across the country, fuel costs and installation costs.  We did not audit or review the information sets.  We did however work </w:t>
      </w:r>
      <w:r w:rsidR="008B16EA">
        <w:t>with</w:t>
      </w:r>
      <w:r w:rsidR="00C12AB3" w:rsidRPr="001E66EF">
        <w:t xml:space="preserve"> MfE to </w:t>
      </w:r>
      <w:r w:rsidR="00027649" w:rsidRPr="001E66EF">
        <w:t>communicate the assumptions</w:t>
      </w:r>
      <w:r w:rsidR="00FA568C" w:rsidRPr="001E66EF">
        <w:t xml:space="preserve"> (and the potential implications of using the information)</w:t>
      </w:r>
      <w:r w:rsidR="00027649" w:rsidRPr="001E66EF">
        <w:t xml:space="preserve">.  </w:t>
      </w:r>
    </w:p>
    <w:p w14:paraId="74F1EFCF" w14:textId="77777777" w:rsidR="00AF17AB" w:rsidRPr="001E66EF" w:rsidRDefault="00AF17AB" w:rsidP="00AF17AB">
      <w:pPr>
        <w:pStyle w:val="Heading2"/>
        <w:rPr>
          <w:rFonts w:ascii="Calibri Light" w:hAnsi="Calibri Light"/>
        </w:rPr>
      </w:pPr>
      <w:bookmarkStart w:id="11" w:name="_Toc455044446"/>
      <w:bookmarkStart w:id="12" w:name="_Toc25569501"/>
      <w:r w:rsidRPr="001E66EF">
        <w:rPr>
          <w:rFonts w:ascii="Calibri Light" w:hAnsi="Calibri Light"/>
        </w:rPr>
        <w:t>Report Structure</w:t>
      </w:r>
      <w:bookmarkEnd w:id="11"/>
      <w:bookmarkEnd w:id="12"/>
    </w:p>
    <w:p w14:paraId="4D0F199D" w14:textId="121D9533" w:rsidR="00692622" w:rsidRDefault="00AF17AB" w:rsidP="007D495E">
      <w:pPr>
        <w:rPr>
          <w:lang w:eastAsia="en-NZ"/>
        </w:rPr>
      </w:pPr>
      <w:r w:rsidRPr="001E66EF">
        <w:rPr>
          <w:lang w:eastAsia="en-NZ"/>
        </w:rPr>
        <w:t xml:space="preserve">This report </w:t>
      </w:r>
      <w:r w:rsidR="00C86212" w:rsidRPr="001E66EF">
        <w:rPr>
          <w:lang w:eastAsia="en-NZ"/>
        </w:rPr>
        <w:t>is structured as follows</w:t>
      </w:r>
      <w:r w:rsidR="00692622">
        <w:rPr>
          <w:lang w:eastAsia="en-NZ"/>
        </w:rPr>
        <w:t>:</w:t>
      </w:r>
    </w:p>
    <w:p w14:paraId="454E51A5" w14:textId="3928EF54" w:rsidR="00692622" w:rsidRDefault="00692622" w:rsidP="00F83FED">
      <w:pPr>
        <w:pStyle w:val="MEBullet"/>
        <w:spacing w:after="120" w:line="240" w:lineRule="auto"/>
        <w:ind w:left="1706" w:hanging="714"/>
        <w:rPr>
          <w:lang w:eastAsia="en-NZ"/>
        </w:rPr>
      </w:pPr>
      <w:r>
        <w:rPr>
          <w:lang w:eastAsia="en-NZ"/>
        </w:rPr>
        <w:t xml:space="preserve">Section 1 </w:t>
      </w:r>
      <w:r w:rsidR="00AF17AB" w:rsidRPr="001E66EF">
        <w:rPr>
          <w:lang w:eastAsia="en-NZ"/>
        </w:rPr>
        <w:t>outlines the overall approach and methods adopted for the Cost Benefit analysis (CBA)</w:t>
      </w:r>
      <w:r w:rsidR="009E1292">
        <w:rPr>
          <w:lang w:eastAsia="en-NZ"/>
        </w:rPr>
        <w:t>.</w:t>
      </w:r>
    </w:p>
    <w:p w14:paraId="3594D9D9" w14:textId="622C48AE" w:rsidR="00692622" w:rsidRDefault="00692622" w:rsidP="00F83FED">
      <w:pPr>
        <w:pStyle w:val="MEBullet"/>
        <w:spacing w:after="120" w:line="240" w:lineRule="auto"/>
        <w:ind w:left="1706" w:hanging="714"/>
        <w:rPr>
          <w:lang w:eastAsia="en-NZ"/>
        </w:rPr>
      </w:pPr>
      <w:r>
        <w:rPr>
          <w:lang w:eastAsia="en-NZ"/>
        </w:rPr>
        <w:t xml:space="preserve">Section 2 </w:t>
      </w:r>
      <w:r w:rsidR="009E1292">
        <w:rPr>
          <w:lang w:eastAsia="en-NZ"/>
        </w:rPr>
        <w:t>summarises</w:t>
      </w:r>
      <w:r w:rsidR="00AF17AB" w:rsidRPr="001E66EF">
        <w:rPr>
          <w:lang w:eastAsia="en-NZ"/>
        </w:rPr>
        <w:t xml:space="preserve"> the approach taken to identify the volume of particulate matter in each airshed and the manner in which it is generated, and is likely to respond to policy settings</w:t>
      </w:r>
      <w:r w:rsidR="00C86212" w:rsidRPr="001E66EF">
        <w:rPr>
          <w:lang w:eastAsia="en-NZ"/>
        </w:rPr>
        <w:t>.</w:t>
      </w:r>
      <w:r w:rsidR="00AF17AB" w:rsidRPr="001E66EF">
        <w:rPr>
          <w:lang w:eastAsia="en-NZ"/>
        </w:rPr>
        <w:t xml:space="preserve">  </w:t>
      </w:r>
    </w:p>
    <w:p w14:paraId="12F6E72D" w14:textId="77777777" w:rsidR="00692622" w:rsidRDefault="00AF17AB" w:rsidP="00F83FED">
      <w:pPr>
        <w:pStyle w:val="MEBullet"/>
        <w:spacing w:after="120" w:line="240" w:lineRule="auto"/>
        <w:ind w:left="1706" w:hanging="714"/>
        <w:rPr>
          <w:lang w:eastAsia="en-NZ"/>
        </w:rPr>
      </w:pPr>
      <w:r w:rsidRPr="001E66EF">
        <w:rPr>
          <w:lang w:eastAsia="en-NZ"/>
        </w:rPr>
        <w:t>In section 3, the monetary basis for potential costs and benefits is outlined.  They range from avoided health costs assessed via two methods, through to private costs for households.  Central and local government costs are also included</w:t>
      </w:r>
      <w:r w:rsidR="00C86212" w:rsidRPr="001E66EF">
        <w:rPr>
          <w:lang w:eastAsia="en-NZ"/>
        </w:rPr>
        <w:t xml:space="preserve">.  We provide an indication of the </w:t>
      </w:r>
      <w:r w:rsidRPr="001E66EF">
        <w:rPr>
          <w:lang w:eastAsia="en-NZ"/>
        </w:rPr>
        <w:t>ability to pay</w:t>
      </w:r>
      <w:r w:rsidR="00C86212" w:rsidRPr="001E66EF">
        <w:rPr>
          <w:lang w:eastAsia="en-NZ"/>
        </w:rPr>
        <w:t xml:space="preserve"> of different communities</w:t>
      </w:r>
      <w:r w:rsidRPr="001E66EF">
        <w:rPr>
          <w:lang w:eastAsia="en-NZ"/>
        </w:rPr>
        <w:t xml:space="preserve">.  </w:t>
      </w:r>
    </w:p>
    <w:p w14:paraId="2315CC5B" w14:textId="77777777" w:rsidR="003F7DBD" w:rsidRDefault="00AF17AB" w:rsidP="003F7DBD">
      <w:pPr>
        <w:pStyle w:val="MEBullet"/>
        <w:spacing w:after="120" w:line="240" w:lineRule="auto"/>
        <w:ind w:left="1706" w:hanging="714"/>
        <w:rPr>
          <w:lang w:eastAsia="en-NZ"/>
        </w:rPr>
      </w:pPr>
      <w:r w:rsidRPr="001E66EF">
        <w:rPr>
          <w:lang w:eastAsia="en-NZ"/>
        </w:rPr>
        <w:t xml:space="preserve">Section 4 sets out the </w:t>
      </w:r>
      <w:r w:rsidR="007D495E">
        <w:rPr>
          <w:lang w:eastAsia="en-NZ"/>
        </w:rPr>
        <w:t xml:space="preserve">proposed </w:t>
      </w:r>
      <w:r w:rsidRPr="001E66EF">
        <w:rPr>
          <w:lang w:eastAsia="en-NZ"/>
        </w:rPr>
        <w:t xml:space="preserve">policy option and </w:t>
      </w:r>
      <w:r w:rsidR="007D495E">
        <w:rPr>
          <w:lang w:eastAsia="en-NZ"/>
        </w:rPr>
        <w:t>its</w:t>
      </w:r>
      <w:r w:rsidRPr="001E66EF">
        <w:rPr>
          <w:lang w:eastAsia="en-NZ"/>
        </w:rPr>
        <w:t xml:space="preserve"> settings</w:t>
      </w:r>
      <w:r w:rsidR="007D495E">
        <w:rPr>
          <w:lang w:eastAsia="en-NZ"/>
        </w:rPr>
        <w:t>.</w:t>
      </w:r>
    </w:p>
    <w:p w14:paraId="39378981" w14:textId="08874165" w:rsidR="003F7DBD" w:rsidRDefault="003F7DBD" w:rsidP="003F7DBD">
      <w:pPr>
        <w:pStyle w:val="MEBullet"/>
        <w:spacing w:after="120" w:line="240" w:lineRule="auto"/>
        <w:ind w:left="1706" w:hanging="714"/>
        <w:rPr>
          <w:lang w:eastAsia="en-NZ"/>
        </w:rPr>
      </w:pPr>
      <w:r w:rsidRPr="001E66EF">
        <w:rPr>
          <w:lang w:eastAsia="en-NZ"/>
        </w:rPr>
        <w:t>Section 5</w:t>
      </w:r>
      <w:r>
        <w:rPr>
          <w:lang w:eastAsia="en-NZ"/>
        </w:rPr>
        <w:t xml:space="preserve"> presents the </w:t>
      </w:r>
      <w:r w:rsidR="00AF17AB" w:rsidRPr="001E66EF">
        <w:rPr>
          <w:lang w:eastAsia="en-NZ"/>
        </w:rPr>
        <w:t>key findings and results</w:t>
      </w:r>
      <w:r w:rsidR="00C86212" w:rsidRPr="001E66EF">
        <w:rPr>
          <w:lang w:eastAsia="en-NZ"/>
        </w:rPr>
        <w:t xml:space="preserve">.  </w:t>
      </w:r>
    </w:p>
    <w:p w14:paraId="0089C4A0" w14:textId="5E4FC4E2" w:rsidR="00AF17AB" w:rsidRPr="001E66EF" w:rsidRDefault="00AF17AB" w:rsidP="003F7DBD">
      <w:pPr>
        <w:pStyle w:val="MEBullet"/>
        <w:spacing w:after="120" w:line="240" w:lineRule="auto"/>
        <w:ind w:left="1706" w:hanging="714"/>
        <w:rPr>
          <w:lang w:eastAsia="en-NZ"/>
        </w:rPr>
      </w:pPr>
      <w:r w:rsidRPr="001E66EF">
        <w:rPr>
          <w:lang w:eastAsia="en-NZ"/>
        </w:rPr>
        <w:t>Section 6</w:t>
      </w:r>
      <w:r w:rsidR="00C86212" w:rsidRPr="001E66EF">
        <w:rPr>
          <w:lang w:eastAsia="en-NZ"/>
        </w:rPr>
        <w:t xml:space="preserve"> </w:t>
      </w:r>
      <w:r w:rsidR="003F7DBD">
        <w:rPr>
          <w:lang w:eastAsia="en-NZ"/>
        </w:rPr>
        <w:t xml:space="preserve">concludes the report by </w:t>
      </w:r>
      <w:r w:rsidR="00C86212" w:rsidRPr="001E66EF">
        <w:rPr>
          <w:lang w:eastAsia="en-NZ"/>
        </w:rPr>
        <w:t>summaris</w:t>
      </w:r>
      <w:r w:rsidR="003F7DBD">
        <w:rPr>
          <w:lang w:eastAsia="en-NZ"/>
        </w:rPr>
        <w:t>ing</w:t>
      </w:r>
      <w:r w:rsidR="00C86212" w:rsidRPr="001E66EF">
        <w:rPr>
          <w:lang w:eastAsia="en-NZ"/>
        </w:rPr>
        <w:t xml:space="preserve"> the key points, </w:t>
      </w:r>
      <w:r w:rsidRPr="001E66EF">
        <w:rPr>
          <w:lang w:eastAsia="en-NZ"/>
        </w:rPr>
        <w:t>a</w:t>
      </w:r>
      <w:r w:rsidR="00C86212" w:rsidRPr="001E66EF">
        <w:rPr>
          <w:lang w:eastAsia="en-NZ"/>
        </w:rPr>
        <w:t>nd</w:t>
      </w:r>
      <w:r w:rsidRPr="001E66EF">
        <w:rPr>
          <w:lang w:eastAsia="en-NZ"/>
        </w:rPr>
        <w:t xml:space="preserve"> observations</w:t>
      </w:r>
      <w:r w:rsidR="00C86212" w:rsidRPr="001E66EF">
        <w:rPr>
          <w:lang w:eastAsia="en-NZ"/>
        </w:rPr>
        <w:t>.</w:t>
      </w:r>
    </w:p>
    <w:p w14:paraId="78B154F9" w14:textId="77777777" w:rsidR="00652542" w:rsidRPr="001E66EF" w:rsidRDefault="00652542" w:rsidP="004B668C">
      <w:pPr>
        <w:pStyle w:val="Heading1"/>
        <w:rPr>
          <w:rFonts w:ascii="Calibri Light" w:hAnsi="Calibri Light"/>
        </w:rPr>
      </w:pPr>
      <w:bookmarkStart w:id="13" w:name="_Toc455044449"/>
      <w:bookmarkStart w:id="14" w:name="_Ref25155411"/>
      <w:bookmarkStart w:id="15" w:name="_Toc25569502"/>
      <w:r w:rsidRPr="001E66EF">
        <w:rPr>
          <w:rFonts w:ascii="Calibri Light" w:hAnsi="Calibri Light"/>
        </w:rPr>
        <w:lastRenderedPageBreak/>
        <w:t>Particulate Matter</w:t>
      </w:r>
      <w:bookmarkEnd w:id="13"/>
      <w:bookmarkEnd w:id="14"/>
      <w:bookmarkEnd w:id="15"/>
    </w:p>
    <w:p w14:paraId="35AF318A" w14:textId="74990953" w:rsidR="00F57917" w:rsidRPr="00104E7D" w:rsidRDefault="00F96F6D" w:rsidP="00104E7D">
      <w:pPr>
        <w:pStyle w:val="MEblueintro"/>
      </w:pPr>
      <w:r>
        <w:t>T</w:t>
      </w:r>
      <w:r w:rsidR="003223F1" w:rsidRPr="00104E7D">
        <w:t xml:space="preserve">his </w:t>
      </w:r>
      <w:r w:rsidR="00F57917" w:rsidRPr="00104E7D">
        <w:t>section describe</w:t>
      </w:r>
      <w:r w:rsidR="003223F1" w:rsidRPr="00104E7D">
        <w:t>s</w:t>
      </w:r>
      <w:r w:rsidR="00F57917" w:rsidRPr="00104E7D">
        <w:t xml:space="preserve"> </w:t>
      </w:r>
      <w:r>
        <w:t xml:space="preserve">the </w:t>
      </w:r>
      <w:r w:rsidR="002E2275" w:rsidRPr="00104E7D">
        <w:t>a</w:t>
      </w:r>
      <w:r w:rsidR="00F57917" w:rsidRPr="00104E7D">
        <w:t xml:space="preserve">ir quality </w:t>
      </w:r>
      <w:r w:rsidR="002E2275" w:rsidRPr="00104E7D">
        <w:t xml:space="preserve">information and </w:t>
      </w:r>
      <w:r w:rsidR="00F57917" w:rsidRPr="00104E7D">
        <w:t>data</w:t>
      </w:r>
      <w:r w:rsidR="00A6497D" w:rsidRPr="00104E7D">
        <w:t xml:space="preserve"> </w:t>
      </w:r>
      <w:r w:rsidR="002E2275" w:rsidRPr="00104E7D">
        <w:t xml:space="preserve">used in this study.  It outlines the </w:t>
      </w:r>
      <w:r w:rsidR="00F57917" w:rsidRPr="00104E7D">
        <w:t xml:space="preserve">sources, calculations and </w:t>
      </w:r>
      <w:r>
        <w:t xml:space="preserve">the </w:t>
      </w:r>
      <w:r w:rsidR="00F57917" w:rsidRPr="00104E7D">
        <w:t>assumptions required to generate home heating appliance numbers</w:t>
      </w:r>
      <w:r w:rsidR="002716AD" w:rsidRPr="00104E7D">
        <w:t xml:space="preserve"> </w:t>
      </w:r>
      <w:r>
        <w:t xml:space="preserve">that was then </w:t>
      </w:r>
      <w:r w:rsidR="00F57917" w:rsidRPr="00104E7D">
        <w:t>use</w:t>
      </w:r>
      <w:r>
        <w:t>d</w:t>
      </w:r>
      <w:r w:rsidR="00F57917" w:rsidRPr="00104E7D">
        <w:t xml:space="preserve"> in the cost-benefit analysis (CBA) model.  </w:t>
      </w:r>
      <w:r w:rsidR="003223F1" w:rsidRPr="00104E7D">
        <w:t>This section is based on the information and text provide to M.E by Golders Associates</w:t>
      </w:r>
      <w:r>
        <w:t xml:space="preserve"> (as part of the </w:t>
      </w:r>
      <w:r w:rsidR="002A004D" w:rsidRPr="00104E7D">
        <w:t>2016/17</w:t>
      </w:r>
      <w:r>
        <w:t xml:space="preserve"> study and is included for information</w:t>
      </w:r>
      <w:r w:rsidR="00D232FB">
        <w:t>)</w:t>
      </w:r>
      <w:r>
        <w:t>.  The associated</w:t>
      </w:r>
      <w:r w:rsidR="00A07800">
        <w:t xml:space="preserve"> model components were not updated for the 2019 assessment because of the constrained timeframe.  </w:t>
      </w:r>
      <w:r w:rsidR="003223F1" w:rsidRPr="00104E7D">
        <w:t xml:space="preserve">M.E did not audit or review it for accuracy or technical robustness.  The CBA relies heavily on these inputs.  </w:t>
      </w:r>
      <w:r w:rsidR="00F57917" w:rsidRPr="00104E7D">
        <w:t>The results apply to present-day conditions for the base year 2013.  The section outline</w:t>
      </w:r>
      <w:r w:rsidR="002E2275" w:rsidRPr="00104E7D">
        <w:t>s</w:t>
      </w:r>
      <w:r w:rsidR="00F57917" w:rsidRPr="00104E7D">
        <w:t xml:space="preserve"> the assumptions used for changes in burner numbers in future years, under status quo conditions, that is, without new policy interventions.  This provides a framework within which to test new </w:t>
      </w:r>
      <w:r w:rsidR="005568F1" w:rsidRPr="00104E7D">
        <w:t>NESAQ</w:t>
      </w:r>
      <w:r w:rsidR="00F57917" w:rsidRPr="00104E7D">
        <w:t xml:space="preserve"> rules and their impacts on appliance numbers and air quality, to determine the costs of change and the benefits of improved air quality as emissions are reduced.</w:t>
      </w:r>
      <w:r w:rsidR="002E2275" w:rsidRPr="00104E7D">
        <w:t xml:space="preserve">  As part of the process, the burner numbers are ‘matched’ to air quality emissions inventories to provide a usable starting point. </w:t>
      </w:r>
    </w:p>
    <w:p w14:paraId="1D0C5D5E" w14:textId="61853208" w:rsidR="00F57917" w:rsidRPr="001E66EF" w:rsidRDefault="00F57917" w:rsidP="00F57917">
      <w:r w:rsidRPr="001E66EF">
        <w:t xml:space="preserve">Air quality information, available at the 2013 census area unit (CAU) level, has been aggregated to provide data relating to NZ’s </w:t>
      </w:r>
      <w:r w:rsidR="008F0790" w:rsidRPr="001E66EF">
        <w:t>urban</w:t>
      </w:r>
      <w:r w:rsidRPr="001E66EF">
        <w:t xml:space="preserve"> air sheds.  As a substantial proportion of New Zealand’s population </w:t>
      </w:r>
      <w:r w:rsidR="00926F55" w:rsidRPr="001E66EF">
        <w:t>is not located</w:t>
      </w:r>
      <w:r w:rsidRPr="001E66EF">
        <w:t xml:space="preserve"> in </w:t>
      </w:r>
      <w:r w:rsidR="008F0790" w:rsidRPr="001E66EF">
        <w:t>urban air</w:t>
      </w:r>
      <w:r w:rsidRPr="001E66EF">
        <w:t>sheds, and a proportio</w:t>
      </w:r>
      <w:r w:rsidR="008F0790" w:rsidRPr="001E66EF">
        <w:t>n of road travel is between air</w:t>
      </w:r>
      <w:r w:rsidRPr="001E66EF">
        <w:t>sheds</w:t>
      </w:r>
      <w:r w:rsidR="00616096">
        <w:t>, it suggests</w:t>
      </w:r>
      <w:r w:rsidR="002E2275" w:rsidRPr="001E66EF">
        <w:t xml:space="preserve"> that a large portion of areas falling within a Regional Council area</w:t>
      </w:r>
      <w:r w:rsidR="002A004D">
        <w:t>,</w:t>
      </w:r>
      <w:r w:rsidR="002E2275" w:rsidRPr="001E66EF">
        <w:t xml:space="preserve"> falls outside a </w:t>
      </w:r>
      <w:r w:rsidR="00FD0823">
        <w:t>gazetted</w:t>
      </w:r>
      <w:r w:rsidR="00FD0823" w:rsidRPr="001E66EF">
        <w:t xml:space="preserve"> </w:t>
      </w:r>
      <w:r w:rsidR="002E2275" w:rsidRPr="001E66EF">
        <w:t xml:space="preserve">airshed.  </w:t>
      </w:r>
    </w:p>
    <w:p w14:paraId="40D46D22" w14:textId="519BF731" w:rsidR="00F57917" w:rsidRPr="007D495E" w:rsidRDefault="00F57917" w:rsidP="00F57917">
      <w:r w:rsidRPr="001E66EF">
        <w:t xml:space="preserve">It is anticipated that new </w:t>
      </w:r>
      <w:r w:rsidR="005568F1" w:rsidRPr="001E66EF">
        <w:rPr>
          <w:rFonts w:cstheme="minorHAnsi"/>
          <w:lang w:eastAsia="en-GB"/>
        </w:rPr>
        <w:t>NESAQ</w:t>
      </w:r>
      <w:r w:rsidRPr="001E66EF">
        <w:t xml:space="preserve"> rules will be aimed at reaching PM</w:t>
      </w:r>
      <w:r w:rsidRPr="001E66EF">
        <w:rPr>
          <w:vertAlign w:val="subscript"/>
        </w:rPr>
        <w:t>2.5</w:t>
      </w:r>
      <w:r w:rsidRPr="001E66EF">
        <w:t xml:space="preserve"> targets.  However, some of the calculations use parameters related to PM</w:t>
      </w:r>
      <w:r w:rsidRPr="001E66EF">
        <w:rPr>
          <w:vertAlign w:val="subscript"/>
        </w:rPr>
        <w:t>10</w:t>
      </w:r>
      <w:r w:rsidRPr="001E66EF">
        <w:t>, as these are better-known.  Hence the analysis has been carried out on both PM</w:t>
      </w:r>
      <w:r w:rsidRPr="001E66EF">
        <w:rPr>
          <w:vertAlign w:val="subscript"/>
        </w:rPr>
        <w:t>10</w:t>
      </w:r>
      <w:r w:rsidRPr="001E66EF">
        <w:t xml:space="preserve"> and PM</w:t>
      </w:r>
      <w:r w:rsidRPr="001E66EF">
        <w:rPr>
          <w:vertAlign w:val="subscript"/>
        </w:rPr>
        <w:t>2.5</w:t>
      </w:r>
      <w:r w:rsidRPr="001E66EF">
        <w:t>.</w:t>
      </w:r>
      <w:r w:rsidR="007D495E">
        <w:t xml:space="preserve">  Nevertheless, the results are reported based on the changes in annual PM</w:t>
      </w:r>
      <w:r w:rsidR="007D495E" w:rsidRPr="001B7E3B">
        <w:rPr>
          <w:vertAlign w:val="subscript"/>
        </w:rPr>
        <w:t>2.5</w:t>
      </w:r>
      <w:r w:rsidR="007D495E">
        <w:t xml:space="preserve"> concentrations and the effects thereof.</w:t>
      </w:r>
    </w:p>
    <w:p w14:paraId="23BF9094" w14:textId="35A040F4" w:rsidR="00F57917" w:rsidRPr="001E66EF" w:rsidRDefault="00F57917" w:rsidP="00652542">
      <w:pPr>
        <w:pStyle w:val="Heading2"/>
        <w:rPr>
          <w:rFonts w:ascii="Calibri Light" w:hAnsi="Calibri Light"/>
        </w:rPr>
      </w:pPr>
      <w:bookmarkStart w:id="16" w:name="_Toc455044450"/>
      <w:bookmarkStart w:id="17" w:name="_Toc25569503"/>
      <w:r w:rsidRPr="001E66EF">
        <w:rPr>
          <w:rFonts w:ascii="Calibri Light" w:hAnsi="Calibri Light"/>
        </w:rPr>
        <w:t>CAU to Airshed Mapping</w:t>
      </w:r>
      <w:bookmarkEnd w:id="16"/>
      <w:bookmarkEnd w:id="17"/>
    </w:p>
    <w:p w14:paraId="10DF12BA" w14:textId="0D06A8FE" w:rsidR="00F57917" w:rsidRPr="001E66EF" w:rsidRDefault="00F57917" w:rsidP="00F57917">
      <w:r w:rsidRPr="001E66EF">
        <w:t xml:space="preserve">A </w:t>
      </w:r>
      <w:r w:rsidR="008D3DE2" w:rsidRPr="001E66EF">
        <w:t xml:space="preserve">concordance showing the alignment between </w:t>
      </w:r>
      <w:r w:rsidRPr="001E66EF">
        <w:t>CAUs</w:t>
      </w:r>
      <w:r w:rsidR="008D3DE2" w:rsidRPr="001E66EF">
        <w:t xml:space="preserve">, </w:t>
      </w:r>
      <w:r w:rsidRPr="001E66EF">
        <w:t>airsheds, territorial authority, and council region</w:t>
      </w:r>
      <w:r w:rsidR="00216537" w:rsidRPr="001E66EF">
        <w:t>s</w:t>
      </w:r>
      <w:r w:rsidRPr="001E66EF">
        <w:t xml:space="preserve"> was generated by </w:t>
      </w:r>
      <w:r w:rsidR="004A3BF4" w:rsidRPr="001E66EF">
        <w:t>M.E</w:t>
      </w:r>
      <w:r w:rsidRPr="001E66EF">
        <w:t>.  Note the following:</w:t>
      </w:r>
    </w:p>
    <w:p w14:paraId="38C1A2D9" w14:textId="0FC02713" w:rsidR="00D9762B" w:rsidRPr="001E66EF" w:rsidRDefault="004A3BF4" w:rsidP="0024499A">
      <w:pPr>
        <w:pStyle w:val="123list"/>
        <w:numPr>
          <w:ilvl w:val="0"/>
          <w:numId w:val="45"/>
        </w:numPr>
        <w:ind w:hanging="785"/>
      </w:pPr>
      <w:r w:rsidRPr="001E66EF">
        <w:t xml:space="preserve">M.E </w:t>
      </w:r>
      <w:r w:rsidR="00E769A3" w:rsidRPr="001E66EF">
        <w:t>utilis</w:t>
      </w:r>
      <w:r w:rsidR="00D9762B" w:rsidRPr="001E66EF">
        <w:t>ed spatial mapping data</w:t>
      </w:r>
      <w:r w:rsidR="00D9762B" w:rsidRPr="001E66EF">
        <w:rPr>
          <w:rStyle w:val="FootnoteReference"/>
        </w:rPr>
        <w:footnoteReference w:id="13"/>
      </w:r>
      <w:r w:rsidR="00D9762B" w:rsidRPr="001E66EF">
        <w:t xml:space="preserve"> </w:t>
      </w:r>
      <w:r w:rsidR="00630364" w:rsidRPr="001E66EF">
        <w:t xml:space="preserve">from a previous air quality related project, together with SNZ statistical boundaries to generate </w:t>
      </w:r>
      <w:r w:rsidR="00FA74C4" w:rsidRPr="001E66EF">
        <w:t xml:space="preserve">spatial definitions of the </w:t>
      </w:r>
      <w:r w:rsidR="00630364" w:rsidRPr="001E66EF">
        <w:t>airshed</w:t>
      </w:r>
      <w:r w:rsidR="00FA74C4" w:rsidRPr="001E66EF">
        <w:t>s</w:t>
      </w:r>
      <w:r w:rsidR="00630364" w:rsidRPr="001E66EF">
        <w:t xml:space="preserve">.  </w:t>
      </w:r>
    </w:p>
    <w:p w14:paraId="58DE1B06" w14:textId="5E6BD1C2" w:rsidR="00F57917" w:rsidRPr="001E66EF" w:rsidRDefault="00F57917" w:rsidP="0024499A">
      <w:pPr>
        <w:pStyle w:val="123list"/>
        <w:ind w:hanging="785"/>
      </w:pPr>
      <w:r w:rsidRPr="001E66EF">
        <w:t xml:space="preserve">Beachlands and </w:t>
      </w:r>
      <w:proofErr w:type="spellStart"/>
      <w:r w:rsidRPr="001E66EF">
        <w:t>Maraetai</w:t>
      </w:r>
      <w:proofErr w:type="spellEnd"/>
      <w:r w:rsidRPr="001E66EF">
        <w:t xml:space="preserve"> in Auckland are gazetted as separate airsheds, as they are geographically separate.  However, they are part of the same CAU</w:t>
      </w:r>
      <w:r w:rsidR="00AB2495" w:rsidRPr="001E66EF">
        <w:t xml:space="preserve"> so they have been combined into </w:t>
      </w:r>
      <w:r w:rsidRPr="001E66EF">
        <w:t>a single airshed.</w:t>
      </w:r>
    </w:p>
    <w:p w14:paraId="5BBF8A86" w14:textId="77777777" w:rsidR="00F57917" w:rsidRPr="001E66EF" w:rsidRDefault="00F57917" w:rsidP="0024499A">
      <w:pPr>
        <w:pStyle w:val="123list"/>
        <w:ind w:hanging="785"/>
      </w:pPr>
      <w:r w:rsidRPr="001E66EF">
        <w:t>There are some geographically separate urban areas in Christchurch, contained in the Styx CAU (which is mostly rural).  They have been treated as one airshed.</w:t>
      </w:r>
    </w:p>
    <w:p w14:paraId="5E320C3F" w14:textId="3A33D2F0" w:rsidR="00F57917" w:rsidRPr="001E66EF" w:rsidRDefault="00F57917" w:rsidP="0024499A">
      <w:pPr>
        <w:pStyle w:val="123list"/>
        <w:ind w:hanging="785"/>
      </w:pPr>
      <w:r w:rsidRPr="001E66EF">
        <w:lastRenderedPageBreak/>
        <w:t xml:space="preserve">The Wairarapa Valley </w:t>
      </w:r>
      <w:r w:rsidR="002A004D">
        <w:t>was</w:t>
      </w:r>
      <w:r w:rsidRPr="001E66EF">
        <w:t xml:space="preserve"> treated as a single airshed</w:t>
      </w:r>
      <w:r w:rsidR="00BE495B">
        <w:t xml:space="preserve"> in this report</w:t>
      </w:r>
      <w:r w:rsidR="002A004D">
        <w:t xml:space="preserve">, despite Masterton Urban airshed being gazetted in 2014. </w:t>
      </w:r>
    </w:p>
    <w:p w14:paraId="139910AB" w14:textId="77777777" w:rsidR="00E576B8" w:rsidRDefault="00F57917" w:rsidP="0024499A">
      <w:pPr>
        <w:pStyle w:val="123list"/>
        <w:ind w:hanging="785"/>
      </w:pPr>
      <w:r w:rsidRPr="001E66EF">
        <w:t>Although not gazetted, Gisborne, New Plymouth, Hawera</w:t>
      </w:r>
      <w:r w:rsidR="009F1414" w:rsidRPr="001E66EF">
        <w:t>,</w:t>
      </w:r>
      <w:r w:rsidRPr="001E66EF">
        <w:t xml:space="preserve"> Stratford</w:t>
      </w:r>
      <w:r w:rsidR="009F1414" w:rsidRPr="001E66EF">
        <w:t xml:space="preserve"> and Auckland’s North Shore</w:t>
      </w:r>
      <w:r w:rsidRPr="001E66EF">
        <w:t xml:space="preserve"> have been treated as urban airsheds</w:t>
      </w:r>
      <w:r w:rsidR="009D7EB3" w:rsidRPr="001E66EF">
        <w:t>,</w:t>
      </w:r>
      <w:r w:rsidRPr="001E66EF">
        <w:t xml:space="preserve"> separate from the rest of their regions.</w:t>
      </w:r>
      <w:r w:rsidR="00002CCA" w:rsidRPr="001E66EF">
        <w:t xml:space="preserve">  In the case of North Shore, this has been done to provide more flexibility and granularity of outcome.  It is not the case that North Shore shares much in common with the Isthmus with respect to air quality given the lack of heavy industry and the (on average) newer housing stock.</w:t>
      </w:r>
      <w:r w:rsidR="001B7E3B">
        <w:t xml:space="preserve">  </w:t>
      </w:r>
    </w:p>
    <w:p w14:paraId="75F53A31" w14:textId="45CE3A22" w:rsidR="007D495E" w:rsidRPr="001E66EF" w:rsidRDefault="007D495E" w:rsidP="0024499A">
      <w:pPr>
        <w:pStyle w:val="123list"/>
        <w:ind w:hanging="785"/>
      </w:pPr>
      <w:r>
        <w:t>We acknowledge that Mt Maunganui airshed has recently</w:t>
      </w:r>
      <w:r w:rsidR="00E576B8">
        <w:rPr>
          <w:rStyle w:val="FootnoteReference"/>
        </w:rPr>
        <w:footnoteReference w:id="14"/>
      </w:r>
      <w:r>
        <w:t xml:space="preserve"> been gazetted.  However, given the lack of monitoring data, it has not been included as a separate airshed in this update.</w:t>
      </w:r>
    </w:p>
    <w:p w14:paraId="3A58D30A" w14:textId="1139CDB1" w:rsidR="00B6650F" w:rsidRPr="001E66EF" w:rsidRDefault="009D7EB3" w:rsidP="00620C24">
      <w:pPr>
        <w:pStyle w:val="123list"/>
        <w:spacing w:after="120"/>
        <w:ind w:hanging="785"/>
      </w:pPr>
      <w:r w:rsidRPr="001E66EF">
        <w:t xml:space="preserve">In terms of the spatial scale, the </w:t>
      </w:r>
      <w:r w:rsidR="00F57917" w:rsidRPr="001E66EF">
        <w:t xml:space="preserve">modelling </w:t>
      </w:r>
      <w:r w:rsidR="00742D33" w:rsidRPr="001E66EF">
        <w:t xml:space="preserve">covers 96 airsheds, </w:t>
      </w:r>
      <w:r w:rsidRPr="001E66EF">
        <w:t>made up as follows:</w:t>
      </w:r>
      <w:r w:rsidR="00742D33" w:rsidRPr="001E66EF">
        <w:t xml:space="preserve"> </w:t>
      </w:r>
    </w:p>
    <w:p w14:paraId="4386A243" w14:textId="64BF4694" w:rsidR="00B6650F" w:rsidRPr="001E66EF" w:rsidRDefault="00216537" w:rsidP="00620C24">
      <w:pPr>
        <w:pStyle w:val="MEBullet"/>
        <w:spacing w:after="120"/>
        <w:ind w:left="2127"/>
      </w:pPr>
      <w:r w:rsidRPr="001E66EF">
        <w:t xml:space="preserve">79 </w:t>
      </w:r>
      <w:r w:rsidR="00614E44" w:rsidRPr="001E66EF">
        <w:t>urban</w:t>
      </w:r>
      <w:r w:rsidRPr="001E66EF">
        <w:t xml:space="preserve"> airsheds</w:t>
      </w:r>
      <w:r w:rsidR="00E44B0B" w:rsidRPr="001E66EF">
        <w:t xml:space="preserve"> (a combination of the 72 gazetted airsheds and the other </w:t>
      </w:r>
      <w:r w:rsidR="00F83FED">
        <w:tab/>
      </w:r>
      <w:r w:rsidR="00E44B0B" w:rsidRPr="001E66EF">
        <w:t>significant urban areas)</w:t>
      </w:r>
      <w:r w:rsidR="00F57917" w:rsidRPr="001E66EF">
        <w:t xml:space="preserve">, </w:t>
      </w:r>
    </w:p>
    <w:p w14:paraId="1F77C8CD" w14:textId="77777777" w:rsidR="00B6650F" w:rsidRPr="001E66EF" w:rsidRDefault="00B6650F" w:rsidP="00620C24">
      <w:pPr>
        <w:pStyle w:val="MEBullet"/>
        <w:spacing w:after="120"/>
        <w:ind w:left="2127"/>
      </w:pPr>
      <w:r w:rsidRPr="001E66EF">
        <w:t>16</w:t>
      </w:r>
      <w:r w:rsidR="00F57917" w:rsidRPr="001E66EF">
        <w:t xml:space="preserve"> airsheds </w:t>
      </w:r>
      <w:r w:rsidR="00E44B0B" w:rsidRPr="001E66EF">
        <w:t xml:space="preserve">covering </w:t>
      </w:r>
      <w:r w:rsidR="00F57917" w:rsidRPr="001E66EF">
        <w:t xml:space="preserve">the remaining parts of each region, and </w:t>
      </w:r>
    </w:p>
    <w:p w14:paraId="67B09AA3" w14:textId="7CDBF001" w:rsidR="00F57917" w:rsidRPr="001E66EF" w:rsidRDefault="00B6650F" w:rsidP="00620C24">
      <w:pPr>
        <w:pStyle w:val="MEBullet"/>
        <w:spacing w:after="120"/>
        <w:ind w:left="2127"/>
      </w:pPr>
      <w:r w:rsidRPr="001E66EF">
        <w:t>‘Rest of Are</w:t>
      </w:r>
      <w:r w:rsidR="002A004D">
        <w:t>a</w:t>
      </w:r>
      <w:r w:rsidRPr="001E66EF">
        <w:t>’ airshed</w:t>
      </w:r>
      <w:r w:rsidR="002A004D" w:rsidRPr="00620C24">
        <w:rPr>
          <w:vertAlign w:val="superscript"/>
        </w:rPr>
        <w:footnoteReference w:id="15"/>
      </w:r>
      <w:r w:rsidR="00F57917" w:rsidRPr="001E66EF">
        <w:t>.</w:t>
      </w:r>
    </w:p>
    <w:p w14:paraId="243BE719" w14:textId="20E4788B" w:rsidR="00F57917" w:rsidRPr="001E66EF" w:rsidRDefault="00F57917" w:rsidP="00F57917">
      <w:pPr>
        <w:pStyle w:val="Heading2"/>
        <w:ind w:left="994" w:hanging="994"/>
        <w:rPr>
          <w:rFonts w:ascii="Calibri Light" w:hAnsi="Calibri Light"/>
        </w:rPr>
      </w:pPr>
      <w:bookmarkStart w:id="18" w:name="_Ref454522704"/>
      <w:bookmarkStart w:id="19" w:name="_Toc455044451"/>
      <w:bookmarkStart w:id="20" w:name="_Toc25569504"/>
      <w:r w:rsidRPr="001E66EF">
        <w:rPr>
          <w:rFonts w:ascii="Calibri Light" w:hAnsi="Calibri Light"/>
        </w:rPr>
        <w:t>Ambient PM</w:t>
      </w:r>
      <w:r w:rsidRPr="001E66EF">
        <w:rPr>
          <w:rFonts w:ascii="Calibri Light" w:hAnsi="Calibri Light"/>
          <w:vertAlign w:val="subscript"/>
        </w:rPr>
        <w:t>10</w:t>
      </w:r>
      <w:r w:rsidRPr="001E66EF">
        <w:rPr>
          <w:rFonts w:ascii="Calibri Light" w:hAnsi="Calibri Light"/>
        </w:rPr>
        <w:t xml:space="preserve"> and PM</w:t>
      </w:r>
      <w:r w:rsidRPr="001E66EF">
        <w:rPr>
          <w:rFonts w:ascii="Calibri Light" w:hAnsi="Calibri Light"/>
          <w:vertAlign w:val="subscript"/>
        </w:rPr>
        <w:t>2.5</w:t>
      </w:r>
      <w:bookmarkEnd w:id="18"/>
      <w:bookmarkEnd w:id="19"/>
      <w:bookmarkEnd w:id="20"/>
      <w:r w:rsidRPr="001E66EF">
        <w:rPr>
          <w:rFonts w:ascii="Calibri Light" w:hAnsi="Calibri Light"/>
        </w:rPr>
        <w:t xml:space="preserve"> </w:t>
      </w:r>
    </w:p>
    <w:p w14:paraId="036D2CB8" w14:textId="740D2D86" w:rsidR="00F57917" w:rsidRPr="001E66EF" w:rsidRDefault="00F57917" w:rsidP="00F57917">
      <w:r w:rsidRPr="001E66EF">
        <w:t>The CBA requires ambient air quality data, as follows</w:t>
      </w:r>
      <w:r w:rsidR="00E576B8">
        <w:t>:</w:t>
      </w:r>
      <w:r w:rsidRPr="001E66EF">
        <w:t xml:space="preserve">  </w:t>
      </w:r>
    </w:p>
    <w:p w14:paraId="0E595056" w14:textId="1D598FED" w:rsidR="00F57917" w:rsidRPr="001E66EF" w:rsidRDefault="00F57917" w:rsidP="0024499A">
      <w:pPr>
        <w:pStyle w:val="abclist"/>
        <w:numPr>
          <w:ilvl w:val="0"/>
          <w:numId w:val="46"/>
        </w:numPr>
        <w:ind w:hanging="717"/>
      </w:pPr>
      <w:r w:rsidRPr="001E66EF">
        <w:t>Typical annual-average concentrations of PM</w:t>
      </w:r>
      <w:r w:rsidR="008F40BA" w:rsidRPr="001E66EF">
        <w:rPr>
          <w:vertAlign w:val="subscript"/>
        </w:rPr>
        <w:t>10</w:t>
      </w:r>
      <w:r w:rsidRPr="001E66EF">
        <w:t xml:space="preserve"> and PM</w:t>
      </w:r>
      <w:r w:rsidRPr="001E66EF">
        <w:rPr>
          <w:vertAlign w:val="subscript"/>
        </w:rPr>
        <w:t>2.5</w:t>
      </w:r>
      <w:r w:rsidRPr="001E66EF">
        <w:t xml:space="preserve"> (that is, the likely average over several years, rather than the average of a specific year).</w:t>
      </w:r>
    </w:p>
    <w:p w14:paraId="227D82D0" w14:textId="7E114271" w:rsidR="00F57917" w:rsidRPr="001E66EF" w:rsidRDefault="00F57917" w:rsidP="0024499A">
      <w:pPr>
        <w:pStyle w:val="abclist"/>
        <w:numPr>
          <w:ilvl w:val="0"/>
          <w:numId w:val="46"/>
        </w:numPr>
        <w:ind w:hanging="717"/>
      </w:pPr>
      <w:r w:rsidRPr="001E66EF">
        <w:t>Apportionment of the annual concentrations according to anth</w:t>
      </w:r>
      <w:r w:rsidR="008F40BA" w:rsidRPr="001E66EF">
        <w:t xml:space="preserve">ropogenic </w:t>
      </w:r>
      <w:r w:rsidRPr="001E66EF">
        <w:t xml:space="preserve">source (home heating, industry, vehicles, outdoor burning) and natural levels.  </w:t>
      </w:r>
    </w:p>
    <w:p w14:paraId="44102D1E" w14:textId="5B485BF3" w:rsidR="00F57917" w:rsidRPr="001E66EF" w:rsidRDefault="00F57917" w:rsidP="0024499A">
      <w:pPr>
        <w:pStyle w:val="abclist"/>
        <w:numPr>
          <w:ilvl w:val="0"/>
          <w:numId w:val="46"/>
        </w:numPr>
        <w:ind w:hanging="717"/>
      </w:pPr>
      <w:r w:rsidRPr="001E66EF">
        <w:t>Representative concentrations at the airshed level.</w:t>
      </w:r>
    </w:p>
    <w:p w14:paraId="3B9FC3A5" w14:textId="14AD3EF2" w:rsidR="00F57917" w:rsidRPr="001E66EF" w:rsidRDefault="00F57917" w:rsidP="00F57917">
      <w:r w:rsidRPr="001E66EF">
        <w:t>NIWA supplied annual-average PM</w:t>
      </w:r>
      <w:r w:rsidRPr="001E66EF">
        <w:rPr>
          <w:vertAlign w:val="subscript"/>
        </w:rPr>
        <w:t>10</w:t>
      </w:r>
      <w:r w:rsidRPr="001E66EF">
        <w:t xml:space="preserve"> and PM</w:t>
      </w:r>
      <w:r w:rsidRPr="001E66EF">
        <w:rPr>
          <w:vertAlign w:val="subscript"/>
        </w:rPr>
        <w:t>2.5</w:t>
      </w:r>
      <w:r w:rsidRPr="001E66EF">
        <w:t xml:space="preserve"> data at the CAU level, based on monitored and modelled concentrations</w:t>
      </w:r>
      <w:r w:rsidR="005F03D2" w:rsidRPr="001E66EF">
        <w:t xml:space="preserve"> (NIWA 2016)</w:t>
      </w:r>
      <w:r w:rsidRPr="001E66EF">
        <w:t>.  In addition, the expected number of exceedances of PM</w:t>
      </w:r>
      <w:r w:rsidRPr="001E66EF">
        <w:rPr>
          <w:vertAlign w:val="subscript"/>
        </w:rPr>
        <w:t>2.5</w:t>
      </w:r>
      <w:r w:rsidRPr="001E66EF">
        <w:t xml:space="preserve"> per year of a range of daily criterion concentrations were provided, as a function of the annual average.  The annual averages were apportioned into natural and anthropogenic components.  These ambient air quality data were taken from the year 2014, which was judged to be a good representation of typical air quality.  A three-year average was not used.</w:t>
      </w:r>
    </w:p>
    <w:p w14:paraId="7B21726B" w14:textId="1E0DF6B9" w:rsidR="00F57917" w:rsidRPr="001E66EF" w:rsidRDefault="00F57917" w:rsidP="00F57917">
      <w:r w:rsidRPr="001E66EF">
        <w:t xml:space="preserve">The anthropogenic components were further apportioned into source types (domestic </w:t>
      </w:r>
      <w:r w:rsidR="00216537" w:rsidRPr="001E66EF">
        <w:t>heating, motor vehicles, industry and outdoor burning) using estimates published by the Health and Air Pollution in New Zealand project.  An update to the original project was carried out in 2012 (</w:t>
      </w:r>
      <w:proofErr w:type="spellStart"/>
      <w:r w:rsidR="00216537" w:rsidRPr="001E66EF">
        <w:t>Kuschel</w:t>
      </w:r>
      <w:proofErr w:type="spellEnd"/>
      <w:r w:rsidR="00216537" w:rsidRPr="001E66EF">
        <w:t xml:space="preserve"> et al.</w:t>
      </w:r>
      <w:r w:rsidR="00792951" w:rsidRPr="001E66EF">
        <w:t>,</w:t>
      </w:r>
      <w:r w:rsidR="00216537" w:rsidRPr="001E66EF">
        <w:t xml:space="preserve"> 2012), whose reports were accompanied by a health effects model and an </w:t>
      </w:r>
      <w:r w:rsidR="00216537" w:rsidRPr="001E66EF">
        <w:lastRenderedPageBreak/>
        <w:t>exposure model.  Source apportionment results have been taken from the exposure model and used here for the anthropogenic component of total PM</w:t>
      </w:r>
      <w:r w:rsidR="00216537" w:rsidRPr="001E66EF">
        <w:rPr>
          <w:vertAlign w:val="subscript"/>
        </w:rPr>
        <w:t>10</w:t>
      </w:r>
      <w:r w:rsidR="00216537" w:rsidRPr="001E66EF">
        <w:t xml:space="preserve"> and PM</w:t>
      </w:r>
      <w:r w:rsidR="00216537" w:rsidRPr="001E66EF">
        <w:rPr>
          <w:vertAlign w:val="subscript"/>
        </w:rPr>
        <w:t xml:space="preserve">2.5 </w:t>
      </w:r>
      <w:r w:rsidR="00216537" w:rsidRPr="001E66EF">
        <w:t>only.</w:t>
      </w:r>
    </w:p>
    <w:p w14:paraId="322D3CC1" w14:textId="5EC01F3F" w:rsidR="00F57917" w:rsidRPr="001E66EF" w:rsidRDefault="00F57917" w:rsidP="00F57917">
      <w:r w:rsidRPr="001E66EF">
        <w:t xml:space="preserve">The concentration for each airshed was taken to be that of a </w:t>
      </w:r>
      <w:r w:rsidR="001C411C" w:rsidRPr="001E66EF">
        <w:t>representing</w:t>
      </w:r>
      <w:r w:rsidRPr="001E66EF">
        <w:t xml:space="preserve"> CAU, determined by NIWA.  This was the CAU containing the monitoring site, where available, or an alternative which could also be considered representative.  Using PM</w:t>
      </w:r>
      <w:r w:rsidRPr="001E66EF">
        <w:rPr>
          <w:vertAlign w:val="subscript"/>
        </w:rPr>
        <w:t>2.5</w:t>
      </w:r>
      <w:r w:rsidRPr="001E66EF">
        <w:t xml:space="preserve"> concentrations at the monitoring site enables determination of the predicted compliance of that airshed with new regulations, which</w:t>
      </w:r>
      <w:r w:rsidR="00A07800">
        <w:t>,</w:t>
      </w:r>
      <w:r w:rsidRPr="001E66EF">
        <w:t xml:space="preserve"> in reality</w:t>
      </w:r>
      <w:r w:rsidR="00A07800">
        <w:t>,</w:t>
      </w:r>
      <w:r w:rsidRPr="001E66EF">
        <w:t xml:space="preserve"> would be based on monitored data.</w:t>
      </w:r>
      <w:r w:rsidR="001C411C" w:rsidRPr="001E66EF">
        <w:t xml:space="preserve">  Whilst this approach could possibly introduce some error, the best available information was used in this analysis.</w:t>
      </w:r>
    </w:p>
    <w:p w14:paraId="194D8FB8" w14:textId="51B5DEC4" w:rsidR="004A3BF4" w:rsidRPr="001E66EF" w:rsidRDefault="00BC753B" w:rsidP="0042131C">
      <w:pPr>
        <w:pStyle w:val="Heading3"/>
        <w:rPr>
          <w:rFonts w:ascii="Calibri Light" w:hAnsi="Calibri Light"/>
        </w:rPr>
      </w:pPr>
      <w:r w:rsidRPr="001E66EF">
        <w:rPr>
          <w:rFonts w:ascii="Calibri Light" w:hAnsi="Calibri Light"/>
        </w:rPr>
        <w:t>Additional observations</w:t>
      </w:r>
    </w:p>
    <w:p w14:paraId="55547B84" w14:textId="2037D061" w:rsidR="00DB3164" w:rsidRPr="001E66EF" w:rsidRDefault="00BE3A33" w:rsidP="00DB3164">
      <w:r w:rsidRPr="001E66EF">
        <w:t xml:space="preserve">There are </w:t>
      </w:r>
      <w:r w:rsidR="00A07800" w:rsidRPr="001E66EF">
        <w:t>several</w:t>
      </w:r>
      <w:r w:rsidRPr="001E66EF">
        <w:t xml:space="preserve"> additional observations</w:t>
      </w:r>
      <w:r w:rsidR="007059E3" w:rsidRPr="001E66EF">
        <w:t xml:space="preserve"> relating to the </w:t>
      </w:r>
      <w:r w:rsidR="00DF23F3" w:rsidRPr="001E66EF">
        <w:t>PM</w:t>
      </w:r>
      <w:r w:rsidR="00DF23F3" w:rsidRPr="001E66EF">
        <w:rPr>
          <w:vertAlign w:val="subscript"/>
        </w:rPr>
        <w:t>10</w:t>
      </w:r>
      <w:r w:rsidR="00DF23F3" w:rsidRPr="001E66EF">
        <w:t xml:space="preserve"> and PM</w:t>
      </w:r>
      <w:r w:rsidR="00DF23F3" w:rsidRPr="001E66EF">
        <w:rPr>
          <w:vertAlign w:val="subscript"/>
        </w:rPr>
        <w:t>2.5</w:t>
      </w:r>
      <w:r w:rsidR="00DF23F3" w:rsidRPr="001E66EF">
        <w:t xml:space="preserve"> information</w:t>
      </w:r>
      <w:r w:rsidRPr="001E66EF">
        <w:t>, including:</w:t>
      </w:r>
    </w:p>
    <w:p w14:paraId="0C808631" w14:textId="67684FE1" w:rsidR="00F57917" w:rsidRPr="001E66EF" w:rsidRDefault="00F57917" w:rsidP="0024499A">
      <w:pPr>
        <w:pStyle w:val="123list"/>
        <w:numPr>
          <w:ilvl w:val="0"/>
          <w:numId w:val="47"/>
        </w:numPr>
        <w:ind w:left="1701" w:hanging="708"/>
      </w:pPr>
      <w:r w:rsidRPr="001E66EF">
        <w:t xml:space="preserve">It is a challenge to derive a concentration representative of the whole airshed.  Alternatives may be averages over CAUs, or population-weighted averages, for instance.  </w:t>
      </w:r>
      <w:r w:rsidR="00BC753B" w:rsidRPr="001E66EF">
        <w:t>These could dilute the value at the monitoring site, making all airsheds appear to be compliant.</w:t>
      </w:r>
      <w:r w:rsidRPr="001E66EF">
        <w:t xml:space="preserve">  NIWA’s estimates of concentration at neighbouring urban CAUs are the same as the concentration at the representative CAU in a number of cases.</w:t>
      </w:r>
      <w:r w:rsidR="00BC753B" w:rsidRPr="001E66EF">
        <w:t xml:space="preserve">  </w:t>
      </w:r>
      <w:r w:rsidRPr="001E66EF">
        <w:t>It is assumed in the model that the specified CAU concentration would be representative of the whole urban area, and as such would respond to changes in emissions through the airsheds as described below.  This would mean the costs of changes in emissions and benefits g</w:t>
      </w:r>
      <w:r w:rsidR="001C411C" w:rsidRPr="001E66EF">
        <w:t>ained from reductions in PM</w:t>
      </w:r>
      <w:r w:rsidR="001C411C" w:rsidRPr="001E66EF">
        <w:rPr>
          <w:vertAlign w:val="subscript"/>
        </w:rPr>
        <w:t>2.5</w:t>
      </w:r>
      <w:r w:rsidRPr="001E66EF">
        <w:t xml:space="preserve"> are accounted</w:t>
      </w:r>
      <w:r w:rsidR="001C411C" w:rsidRPr="001E66EF">
        <w:t xml:space="preserve"> </w:t>
      </w:r>
      <w:r w:rsidRPr="001E66EF">
        <w:t>for by assuming the representative CAU concentration is typical of the urban airshed as a whole.</w:t>
      </w:r>
    </w:p>
    <w:p w14:paraId="39A8C39E" w14:textId="773998AA" w:rsidR="00F57917" w:rsidRPr="001E66EF" w:rsidRDefault="00F57917" w:rsidP="0024499A">
      <w:pPr>
        <w:pStyle w:val="123list"/>
        <w:numPr>
          <w:ilvl w:val="0"/>
          <w:numId w:val="47"/>
        </w:numPr>
        <w:ind w:left="1701" w:hanging="708"/>
      </w:pPr>
      <w:r w:rsidRPr="001E66EF">
        <w:t>The apportionment of anthropogenic sources was based on a previous version of the expo</w:t>
      </w:r>
      <w:r w:rsidR="00A10466" w:rsidRPr="001E66EF">
        <w:t>sure model, produced by the HAPI</w:t>
      </w:r>
      <w:r w:rsidRPr="001E66EF">
        <w:t>NZ project.  The 20</w:t>
      </w:r>
      <w:r w:rsidR="00A10466" w:rsidRPr="001E66EF">
        <w:t>12 update to the HAPI</w:t>
      </w:r>
      <w:r w:rsidRPr="001E66EF">
        <w:t>NZ model, was based on source-apportioned PM</w:t>
      </w:r>
      <w:r w:rsidRPr="001E66EF">
        <w:rPr>
          <w:vertAlign w:val="subscript"/>
        </w:rPr>
        <w:t>10</w:t>
      </w:r>
      <w:r w:rsidRPr="001E66EF">
        <w:t xml:space="preserve"> calculated for the year 2006.  There have been more recent updates to this, but they did not include source apportionment results.  Therefore, </w:t>
      </w:r>
    </w:p>
    <w:p w14:paraId="1A65589F" w14:textId="4526E5A7" w:rsidR="00F57917" w:rsidRPr="001E66EF" w:rsidRDefault="00F57917" w:rsidP="00620C24">
      <w:pPr>
        <w:pStyle w:val="MEBullet"/>
        <w:ind w:left="2127"/>
      </w:pPr>
      <w:r w:rsidRPr="001E66EF">
        <w:t>It has been assumed that the proportions are still relevant, and they have been applied to the current anthropogenic component of the ambient PM</w:t>
      </w:r>
      <w:r w:rsidRPr="001E66EF">
        <w:rPr>
          <w:vertAlign w:val="subscript"/>
        </w:rPr>
        <w:t>10</w:t>
      </w:r>
      <w:r w:rsidRPr="001E66EF">
        <w:t>.</w:t>
      </w:r>
    </w:p>
    <w:p w14:paraId="3D058588" w14:textId="20D10E92" w:rsidR="00F57917" w:rsidRPr="001E66EF" w:rsidRDefault="00F57917" w:rsidP="00620C24">
      <w:pPr>
        <w:pStyle w:val="MEBullet"/>
        <w:ind w:left="2127"/>
      </w:pPr>
      <w:r w:rsidRPr="001E66EF">
        <w:t>It has been assumed that the same proportions apply to PM</w:t>
      </w:r>
      <w:r w:rsidRPr="001E66EF">
        <w:rPr>
          <w:vertAlign w:val="subscript"/>
        </w:rPr>
        <w:t>2.5</w:t>
      </w:r>
      <w:r w:rsidRPr="001E66EF">
        <w:t xml:space="preserve"> as PM</w:t>
      </w:r>
      <w:r w:rsidRPr="001E66EF">
        <w:rPr>
          <w:vertAlign w:val="subscript"/>
        </w:rPr>
        <w:t>10</w:t>
      </w:r>
      <w:r w:rsidRPr="001E66EF">
        <w:t>.</w:t>
      </w:r>
    </w:p>
    <w:p w14:paraId="17E08DF9" w14:textId="71530091" w:rsidR="00F57917" w:rsidRPr="001E66EF" w:rsidRDefault="00B2253F" w:rsidP="00620C24">
      <w:pPr>
        <w:pStyle w:val="MEBullet"/>
        <w:ind w:left="2127"/>
      </w:pPr>
      <w:r w:rsidRPr="001E66EF">
        <w:t>T</w:t>
      </w:r>
      <w:r w:rsidR="00F57917" w:rsidRPr="001E66EF">
        <w:t>he 2012 project was based on 2006 CAUs, some of which were different from the 2013 areas.  The proportions for the 2013 CAUs have been assumed to be the same as the 2006 CAU for those that still exist, and to be nationally-averaged proportions for current 2013 CAUs that were not present in 2006.</w:t>
      </w:r>
    </w:p>
    <w:p w14:paraId="741D2344" w14:textId="3616829F" w:rsidR="00F57917" w:rsidRPr="001E66EF" w:rsidRDefault="00F57917" w:rsidP="00B2253F">
      <w:r w:rsidRPr="001E66EF">
        <w:t>The calculations outlined in this section thus provide source-apportioned annual-average PM</w:t>
      </w:r>
      <w:r w:rsidRPr="001E66EF">
        <w:rPr>
          <w:vertAlign w:val="subscript"/>
        </w:rPr>
        <w:t>10</w:t>
      </w:r>
      <w:r w:rsidRPr="001E66EF">
        <w:t xml:space="preserve"> and PM</w:t>
      </w:r>
      <w:r w:rsidRPr="001E66EF">
        <w:rPr>
          <w:vertAlign w:val="subscript"/>
        </w:rPr>
        <w:t>2.5</w:t>
      </w:r>
      <w:r w:rsidRPr="001E66EF">
        <w:t xml:space="preserve"> concentrations representative of each airshed in New Zealand.  The apportioned contributions can be </w:t>
      </w:r>
      <w:r w:rsidR="00B2253F" w:rsidRPr="001E66EF">
        <w:t xml:space="preserve">used to estimate </w:t>
      </w:r>
      <w:r w:rsidRPr="001E66EF">
        <w:t>the total PM</w:t>
      </w:r>
      <w:r w:rsidRPr="001E66EF">
        <w:rPr>
          <w:vertAlign w:val="subscript"/>
        </w:rPr>
        <w:t>2.5</w:t>
      </w:r>
      <w:r w:rsidRPr="001E66EF">
        <w:t>, from which the number of daily exceed</w:t>
      </w:r>
      <w:r w:rsidR="00914CF9" w:rsidRPr="001E66EF">
        <w:t>a</w:t>
      </w:r>
      <w:r w:rsidRPr="001E66EF">
        <w:t>nces per year can be estimated.</w:t>
      </w:r>
    </w:p>
    <w:p w14:paraId="36660663" w14:textId="14A035B5" w:rsidR="00914CF9" w:rsidRPr="001E66EF" w:rsidRDefault="00880504" w:rsidP="00652542">
      <w:pPr>
        <w:pStyle w:val="Heading2"/>
        <w:rPr>
          <w:rFonts w:ascii="Calibri Light" w:hAnsi="Calibri Light"/>
        </w:rPr>
      </w:pPr>
      <w:bookmarkStart w:id="21" w:name="_Toc455044452"/>
      <w:bookmarkStart w:id="22" w:name="_Toc25569505"/>
      <w:r>
        <w:rPr>
          <w:rFonts w:ascii="Calibri Light" w:hAnsi="Calibri Light"/>
        </w:rPr>
        <w:lastRenderedPageBreak/>
        <w:t xml:space="preserve"> </w:t>
      </w:r>
      <w:r w:rsidR="00914CF9" w:rsidRPr="001E66EF">
        <w:rPr>
          <w:rFonts w:ascii="Calibri Light" w:hAnsi="Calibri Light"/>
        </w:rPr>
        <w:t>Emissions of PM</w:t>
      </w:r>
      <w:r w:rsidR="00914CF9" w:rsidRPr="001E66EF">
        <w:rPr>
          <w:rFonts w:ascii="Calibri Light" w:hAnsi="Calibri Light"/>
          <w:vertAlign w:val="subscript"/>
        </w:rPr>
        <w:t>10</w:t>
      </w:r>
      <w:r w:rsidR="00914CF9" w:rsidRPr="001E66EF">
        <w:rPr>
          <w:rFonts w:ascii="Calibri Light" w:hAnsi="Calibri Light"/>
        </w:rPr>
        <w:t xml:space="preserve"> and PM</w:t>
      </w:r>
      <w:r w:rsidR="00914CF9" w:rsidRPr="001E66EF">
        <w:rPr>
          <w:rFonts w:ascii="Calibri Light" w:hAnsi="Calibri Light"/>
          <w:vertAlign w:val="subscript"/>
        </w:rPr>
        <w:t>2.5</w:t>
      </w:r>
      <w:r w:rsidR="00611720" w:rsidRPr="001E66EF">
        <w:rPr>
          <w:rFonts w:ascii="Calibri Light" w:hAnsi="Calibri Light"/>
        </w:rPr>
        <w:t xml:space="preserve"> </w:t>
      </w:r>
      <w:r w:rsidR="00B2253F" w:rsidRPr="001E66EF">
        <w:rPr>
          <w:rFonts w:ascii="Calibri Light" w:hAnsi="Calibri Light"/>
        </w:rPr>
        <w:t>–</w:t>
      </w:r>
      <w:r w:rsidR="00914CF9" w:rsidRPr="001E66EF">
        <w:rPr>
          <w:rFonts w:ascii="Calibri Light" w:hAnsi="Calibri Light"/>
        </w:rPr>
        <w:t xml:space="preserve"> All Sources</w:t>
      </w:r>
      <w:bookmarkEnd w:id="21"/>
      <w:bookmarkEnd w:id="22"/>
    </w:p>
    <w:p w14:paraId="0E7B3E36" w14:textId="632089C7" w:rsidR="00914CF9" w:rsidRPr="001E66EF" w:rsidRDefault="00914CF9" w:rsidP="00914CF9">
      <w:r w:rsidRPr="001E66EF">
        <w:t>Emissions data for 2013 were taken from an inventory of home heating and other sources compiled and reviewed by Wilton et al</w:t>
      </w:r>
      <w:r w:rsidR="00620C24">
        <w:t xml:space="preserve"> (</w:t>
      </w:r>
      <w:r w:rsidRPr="001E66EF">
        <w:t>2015).  The report and accompanying spreadsheet provided emissions of PM</w:t>
      </w:r>
      <w:r w:rsidRPr="001E66EF">
        <w:rPr>
          <w:vertAlign w:val="subscript"/>
        </w:rPr>
        <w:t>10</w:t>
      </w:r>
      <w:r w:rsidRPr="001E66EF">
        <w:t xml:space="preserve"> and PM</w:t>
      </w:r>
      <w:r w:rsidRPr="001E66EF">
        <w:rPr>
          <w:vertAlign w:val="subscript"/>
        </w:rPr>
        <w:t>2.5</w:t>
      </w:r>
      <w:r w:rsidRPr="001E66EF">
        <w:t xml:space="preserve"> from domestic heating, motor vehicles, outdoor burning and industry, in ton</w:t>
      </w:r>
      <w:r w:rsidR="00900541" w:rsidRPr="001E66EF">
        <w:t>nes</w:t>
      </w:r>
      <w:r w:rsidRPr="001E66EF">
        <w:t xml:space="preserve"> per year and kilograms per winter’s day, and these have been used here.  </w:t>
      </w:r>
    </w:p>
    <w:p w14:paraId="30C4D0EF" w14:textId="77F4EDE6" w:rsidR="00914CF9" w:rsidRPr="001E66EF" w:rsidRDefault="00914CF9" w:rsidP="00914CF9">
      <w:r w:rsidRPr="001E66EF">
        <w:t xml:space="preserve">Emissions were summed over CAUs to provide airshed totals.  The domestic heating emissions were apportioned into wood and coal burning in the Wilton et al. (2015) data.  Further apportionment into wood-burning appliance types is described in Section </w:t>
      </w:r>
      <w:r w:rsidR="000F0D14" w:rsidRPr="001E66EF">
        <w:fldChar w:fldCharType="begin"/>
      </w:r>
      <w:r w:rsidR="000F0D14" w:rsidRPr="001E66EF">
        <w:instrText xml:space="preserve"> REF _Ref454528695 \r \h </w:instrText>
      </w:r>
      <w:r w:rsidR="001E66EF">
        <w:instrText xml:space="preserve"> \* MERGEFORMAT </w:instrText>
      </w:r>
      <w:r w:rsidR="000F0D14" w:rsidRPr="001E66EF">
        <w:fldChar w:fldCharType="separate"/>
      </w:r>
      <w:r w:rsidR="00FD114C">
        <w:t>2.8</w:t>
      </w:r>
      <w:r w:rsidR="000F0D14" w:rsidRPr="001E66EF">
        <w:fldChar w:fldCharType="end"/>
      </w:r>
      <w:r w:rsidRPr="001E66EF">
        <w:t>.</w:t>
      </w:r>
    </w:p>
    <w:p w14:paraId="7A552D01" w14:textId="0E57D832" w:rsidR="00115524" w:rsidRPr="001E66EF" w:rsidRDefault="00115524" w:rsidP="00115524">
      <w:pPr>
        <w:pStyle w:val="Heading2"/>
        <w:rPr>
          <w:rFonts w:ascii="Calibri Light" w:hAnsi="Calibri Light"/>
        </w:rPr>
      </w:pPr>
      <w:bookmarkStart w:id="23" w:name="_Toc455044453"/>
      <w:bookmarkStart w:id="24" w:name="_Toc25569506"/>
      <w:r w:rsidRPr="001E66EF">
        <w:rPr>
          <w:rFonts w:ascii="Calibri Light" w:hAnsi="Calibri Light"/>
        </w:rPr>
        <w:t>Emissions of PM</w:t>
      </w:r>
      <w:r w:rsidRPr="001E66EF">
        <w:rPr>
          <w:rFonts w:ascii="Calibri Light" w:hAnsi="Calibri Light"/>
          <w:vertAlign w:val="subscript"/>
        </w:rPr>
        <w:t>10</w:t>
      </w:r>
      <w:r w:rsidRPr="001E66EF">
        <w:rPr>
          <w:rFonts w:ascii="Calibri Light" w:hAnsi="Calibri Light"/>
        </w:rPr>
        <w:t xml:space="preserve"> and PM</w:t>
      </w:r>
      <w:r w:rsidRPr="001E66EF">
        <w:rPr>
          <w:rFonts w:ascii="Calibri Light" w:hAnsi="Calibri Light"/>
          <w:vertAlign w:val="subscript"/>
        </w:rPr>
        <w:t>2.5</w:t>
      </w:r>
      <w:r w:rsidRPr="001E66EF">
        <w:rPr>
          <w:rFonts w:ascii="Calibri Light" w:hAnsi="Calibri Light"/>
        </w:rPr>
        <w:t xml:space="preserve"> </w:t>
      </w:r>
      <w:r w:rsidR="00B2253F" w:rsidRPr="001E66EF">
        <w:rPr>
          <w:rFonts w:ascii="Calibri Light" w:hAnsi="Calibri Light"/>
        </w:rPr>
        <w:t>–</w:t>
      </w:r>
      <w:r w:rsidRPr="001E66EF">
        <w:rPr>
          <w:rFonts w:ascii="Calibri Light" w:hAnsi="Calibri Light"/>
        </w:rPr>
        <w:t xml:space="preserve"> Vehicles</w:t>
      </w:r>
      <w:bookmarkEnd w:id="23"/>
      <w:bookmarkEnd w:id="24"/>
    </w:p>
    <w:p w14:paraId="30AC7FF1" w14:textId="6964A397" w:rsidR="00115524" w:rsidRPr="001E66EF" w:rsidRDefault="00655727" w:rsidP="00115524">
      <w:r>
        <w:t>In 2014, t</w:t>
      </w:r>
      <w:r w:rsidR="00115524" w:rsidRPr="001E66EF">
        <w:t>he Ministry for the Environment (MfE) and Statistics New Zealand (SNZ) published their Air Domain Report: Data to 2012.  This report identified on-road vehicle emissions</w:t>
      </w:r>
      <w:r>
        <w:t xml:space="preserve"> </w:t>
      </w:r>
      <w:r w:rsidR="00115524" w:rsidRPr="001E66EF">
        <w:t>as a key pressure which has an impact on the state of air quality in New Zealand.</w:t>
      </w:r>
      <w:r>
        <w:t xml:space="preserve">  </w:t>
      </w:r>
      <w:r w:rsidR="007E4183">
        <w:t>According to</w:t>
      </w:r>
      <w:r>
        <w:t xml:space="preserve"> the latest update</w:t>
      </w:r>
      <w:r w:rsidR="00880504">
        <w:t xml:space="preserve"> </w:t>
      </w:r>
      <w:r w:rsidR="007E4183">
        <w:t>(2018)</w:t>
      </w:r>
      <w:r>
        <w:t xml:space="preserve"> vehicle emissions remain a pressure point</w:t>
      </w:r>
      <w:r w:rsidR="007E4183">
        <w:t xml:space="preserve"> in NZ</w:t>
      </w:r>
      <w:r>
        <w:t>.</w:t>
      </w:r>
      <w:r w:rsidR="00115524" w:rsidRPr="001E66EF">
        <w:t xml:space="preserve"> </w:t>
      </w:r>
      <w:r w:rsidR="00B2253F" w:rsidRPr="001E66EF">
        <w:t xml:space="preserve"> </w:t>
      </w:r>
      <w:r w:rsidR="007E4183">
        <w:t>The</w:t>
      </w:r>
      <w:r w:rsidR="00115524" w:rsidRPr="001E66EF">
        <w:t xml:space="preserve"> 2014</w:t>
      </w:r>
      <w:r w:rsidR="007E4183">
        <w:t xml:space="preserve"> report</w:t>
      </w:r>
      <w:r w:rsidR="00115524" w:rsidRPr="001E66EF">
        <w:t xml:space="preserve"> presented a trend analysis of vehicle emissions of PM</w:t>
      </w:r>
      <w:r w:rsidR="00115524" w:rsidRPr="001E66EF">
        <w:rPr>
          <w:vertAlign w:val="subscript"/>
        </w:rPr>
        <w:t>10</w:t>
      </w:r>
      <w:r w:rsidR="00115524" w:rsidRPr="001E66EF">
        <w:t xml:space="preserve"> and PM</w:t>
      </w:r>
      <w:r w:rsidR="00115524" w:rsidRPr="001E66EF">
        <w:rPr>
          <w:vertAlign w:val="subscript"/>
        </w:rPr>
        <w:t xml:space="preserve">2.5 </w:t>
      </w:r>
      <w:r w:rsidR="00115524" w:rsidRPr="001E66EF">
        <w:t>between 2001 and 2012.</w:t>
      </w:r>
      <w:r w:rsidR="002D487E" w:rsidRPr="001E66EF">
        <w:t xml:space="preserve"> </w:t>
      </w:r>
      <w:r w:rsidR="00115524" w:rsidRPr="001E66EF">
        <w:t xml:space="preserve"> The vehicle emissions were estimated using the methods detailed in the NIWA report </w:t>
      </w:r>
      <w:r w:rsidR="00B2253F" w:rsidRPr="001E66EF">
        <w:t>‘</w:t>
      </w:r>
      <w:r w:rsidR="00115524" w:rsidRPr="001E66EF">
        <w:t>Indicators for Environmental Domain Reporting</w:t>
      </w:r>
      <w:r w:rsidR="00B2253F" w:rsidRPr="001E66EF">
        <w:t>’</w:t>
      </w:r>
      <w:r w:rsidR="00115524" w:rsidRPr="001E66EF">
        <w:t xml:space="preserve"> (2014). </w:t>
      </w:r>
    </w:p>
    <w:p w14:paraId="64B50EB3" w14:textId="06FBC861" w:rsidR="00115524" w:rsidRPr="001E66EF" w:rsidRDefault="00115524" w:rsidP="00115524">
      <w:r w:rsidRPr="001E66EF">
        <w:t xml:space="preserve">In summary, NIWA estimated the emissions by multiplying vehicle kilometres travelled (VKT) for </w:t>
      </w:r>
      <w:r w:rsidR="00B2253F" w:rsidRPr="001E66EF">
        <w:t>different</w:t>
      </w:r>
      <w:r w:rsidRPr="001E66EF">
        <w:t xml:space="preserve"> vehicle types by the estimated emission factor (EF) for that vehicle class and the corresponding average speed. </w:t>
      </w:r>
      <w:r w:rsidR="00DF6B30" w:rsidRPr="001E66EF">
        <w:t xml:space="preserve"> </w:t>
      </w:r>
      <w:r w:rsidRPr="001E66EF">
        <w:t>National VKT data were taken from warrant of fitness data summarised by the Ministry of Transport (</w:t>
      </w:r>
      <w:proofErr w:type="spellStart"/>
      <w:r w:rsidRPr="001E66EF">
        <w:t>MoT</w:t>
      </w:r>
      <w:proofErr w:type="spellEnd"/>
      <w:r w:rsidRPr="001E66EF">
        <w:t>)</w:t>
      </w:r>
      <w:r w:rsidRPr="001E66EF">
        <w:rPr>
          <w:rStyle w:val="FootnoteReference"/>
        </w:rPr>
        <w:footnoteReference w:id="16"/>
      </w:r>
      <w:r w:rsidRPr="001E66EF">
        <w:t xml:space="preserve">. </w:t>
      </w:r>
      <w:r w:rsidR="00DF6B30" w:rsidRPr="001E66EF">
        <w:t xml:space="preserve"> </w:t>
      </w:r>
      <w:r w:rsidRPr="001E66EF">
        <w:t xml:space="preserve">NIWA took regional estimates of VKT, from the Road Assessment and Maintenance Management (RAMM) data set and scaled these to match the total National VKT. </w:t>
      </w:r>
      <w:r w:rsidR="00DF6B30" w:rsidRPr="001E66EF">
        <w:t xml:space="preserve"> </w:t>
      </w:r>
      <w:r w:rsidRPr="001E66EF">
        <w:t xml:space="preserve">Vehicle fleet composition </w:t>
      </w:r>
      <w:r w:rsidR="007E4183">
        <w:t>w</w:t>
      </w:r>
      <w:r w:rsidRPr="001E66EF">
        <w:t xml:space="preserve">as also taken directly from </w:t>
      </w:r>
      <w:proofErr w:type="spellStart"/>
      <w:r w:rsidRPr="001E66EF">
        <w:t>MoT</w:t>
      </w:r>
      <w:proofErr w:type="spellEnd"/>
      <w:r w:rsidRPr="001E66EF">
        <w:t xml:space="preserve"> data. </w:t>
      </w:r>
      <w:r w:rsidR="00B2253F" w:rsidRPr="001E66EF">
        <w:t xml:space="preserve"> </w:t>
      </w:r>
      <w:r w:rsidRPr="001E66EF">
        <w:t xml:space="preserve">NIWA assumed vehicle fleet composition not to vary on a regional scale.  NIWA assumed a non-congested vehicle speed for urban roads (of 50 km/h) and open roads (of 100 km/h). </w:t>
      </w:r>
      <w:r w:rsidR="00B961A9" w:rsidRPr="001E66EF">
        <w:t xml:space="preserve"> </w:t>
      </w:r>
      <w:r w:rsidRPr="001E66EF">
        <w:t xml:space="preserve">For some urban areas a congestion index was applied to reduce travel speeds to reflect the reality of travel in New Zealand’s larger cities.  </w:t>
      </w:r>
    </w:p>
    <w:p w14:paraId="1101D42E" w14:textId="77777777" w:rsidR="00115524" w:rsidRPr="001E66EF" w:rsidRDefault="00115524" w:rsidP="00115524">
      <w:r w:rsidRPr="001E66EF">
        <w:t>NIWA used the fleet composition and speed with the Vehicle Emissions Prediction Model (VEPM</w:t>
      </w:r>
      <w:r w:rsidRPr="001E66EF">
        <w:rPr>
          <w:rStyle w:val="FootnoteReference"/>
        </w:rPr>
        <w:footnoteReference w:id="17"/>
      </w:r>
      <w:r w:rsidRPr="001E66EF">
        <w:t>) to predict the vehicle emission factors that were then used with the VKT to estimate the total emissions for PM</w:t>
      </w:r>
      <w:r w:rsidRPr="001E66EF">
        <w:rPr>
          <w:vertAlign w:val="subscript"/>
        </w:rPr>
        <w:t xml:space="preserve">10 </w:t>
      </w:r>
      <w:r w:rsidRPr="001E66EF">
        <w:t>and PM</w:t>
      </w:r>
      <w:r w:rsidRPr="001E66EF">
        <w:rPr>
          <w:vertAlign w:val="subscript"/>
        </w:rPr>
        <w:t>2.5</w:t>
      </w:r>
      <w:r w:rsidRPr="001E66EF">
        <w:t>.</w:t>
      </w:r>
    </w:p>
    <w:p w14:paraId="0E359273" w14:textId="2CED0F5A" w:rsidR="00115524" w:rsidRPr="001E66EF" w:rsidRDefault="00115524" w:rsidP="00115524">
      <w:r w:rsidRPr="001E66EF">
        <w:t xml:space="preserve">For this study the NIWA method was replicated to provide the base year data for </w:t>
      </w:r>
      <w:r w:rsidRPr="00655727">
        <w:t>2013</w:t>
      </w:r>
      <w:r w:rsidRPr="001E66EF">
        <w:t xml:space="preserve">.  This provided vehicle emission data on a regional level. </w:t>
      </w:r>
      <w:r w:rsidR="00B961A9" w:rsidRPr="001E66EF">
        <w:t xml:space="preserve"> </w:t>
      </w:r>
      <w:r w:rsidRPr="001E66EF">
        <w:t xml:space="preserve">The regional total vehicle emissions were then allocated to Census Area Units (CAU) by the method detailed in </w:t>
      </w:r>
      <w:proofErr w:type="spellStart"/>
      <w:r w:rsidRPr="001E66EF">
        <w:t>MfE’s</w:t>
      </w:r>
      <w:proofErr w:type="spellEnd"/>
      <w:r w:rsidRPr="001E66EF">
        <w:t xml:space="preserve"> Home Heating Emission inventory and Other Sources Evaluation (Wilton et al 2015). </w:t>
      </w:r>
      <w:r w:rsidR="00B961A9" w:rsidRPr="001E66EF">
        <w:t xml:space="preserve"> </w:t>
      </w:r>
      <w:r w:rsidRPr="001E66EF">
        <w:t>Finally</w:t>
      </w:r>
      <w:r w:rsidR="00B961A9" w:rsidRPr="001E66EF">
        <w:t>,</w:t>
      </w:r>
      <w:r w:rsidRPr="001E66EF">
        <w:t xml:space="preserve"> the CAU data was grouped to provide vehicle emission data by airshed. </w:t>
      </w:r>
    </w:p>
    <w:p w14:paraId="383FFFEC" w14:textId="78B5EC39" w:rsidR="00115524" w:rsidRPr="001E66EF" w:rsidRDefault="00115524" w:rsidP="00115524">
      <w:r w:rsidRPr="001E66EF">
        <w:lastRenderedPageBreak/>
        <w:t xml:space="preserve">The method used to estimate vehicle emissions for this study was adopted to ensure that, as far as practical, the CBA vehicle emission data was consistent with the national emission inventories previously </w:t>
      </w:r>
      <w:r w:rsidR="00BA5325" w:rsidRPr="001E66EF">
        <w:t>prepared</w:t>
      </w:r>
      <w:r w:rsidRPr="001E66EF">
        <w:t xml:space="preserve"> for MfE.</w:t>
      </w:r>
    </w:p>
    <w:p w14:paraId="0A49D8C7" w14:textId="148D08A3" w:rsidR="00115524" w:rsidRPr="001E66EF" w:rsidRDefault="00115524" w:rsidP="00115524">
      <w:r w:rsidRPr="001E66EF">
        <w:t xml:space="preserve">For future scenarios, the base year vehicle emissions were projected in increments of five years (2013, 2018, 2023, etc.) out to 2041.  This is as far as VEPM will project.  VKT was assumed to increase by 0.4 % per year. </w:t>
      </w:r>
      <w:r w:rsidR="00B961A9" w:rsidRPr="001E66EF">
        <w:t xml:space="preserve"> </w:t>
      </w:r>
      <w:r w:rsidRPr="001E66EF">
        <w:t xml:space="preserve">The VEPM default change in fleet composition with year was accepted. </w:t>
      </w:r>
      <w:r w:rsidR="00B961A9" w:rsidRPr="001E66EF">
        <w:t xml:space="preserve"> </w:t>
      </w:r>
      <w:r w:rsidRPr="001E66EF">
        <w:t xml:space="preserve">The split between urban/rural and free flowing/congested speeds was assumed to remain the same as that used for the base year (2013).  </w:t>
      </w:r>
    </w:p>
    <w:p w14:paraId="4E0E0E2D" w14:textId="368EB72D" w:rsidR="00115524" w:rsidRPr="001E66EF" w:rsidRDefault="00115524" w:rsidP="00115524">
      <w:pPr>
        <w:pStyle w:val="Heading2"/>
        <w:rPr>
          <w:rFonts w:ascii="Calibri Light" w:hAnsi="Calibri Light"/>
        </w:rPr>
      </w:pPr>
      <w:bookmarkStart w:id="25" w:name="_Toc455044454"/>
      <w:bookmarkStart w:id="26" w:name="_Toc25569507"/>
      <w:r w:rsidRPr="001E66EF">
        <w:rPr>
          <w:rFonts w:ascii="Calibri Light" w:hAnsi="Calibri Light"/>
        </w:rPr>
        <w:t>Emissions of PM</w:t>
      </w:r>
      <w:r w:rsidRPr="001E66EF">
        <w:rPr>
          <w:rFonts w:ascii="Calibri Light" w:hAnsi="Calibri Light"/>
          <w:vertAlign w:val="subscript"/>
        </w:rPr>
        <w:t>10</w:t>
      </w:r>
      <w:r w:rsidRPr="001E66EF">
        <w:rPr>
          <w:rFonts w:ascii="Calibri Light" w:hAnsi="Calibri Light"/>
        </w:rPr>
        <w:t xml:space="preserve"> and PM</w:t>
      </w:r>
      <w:r w:rsidRPr="001E66EF">
        <w:rPr>
          <w:rFonts w:ascii="Calibri Light" w:hAnsi="Calibri Light"/>
          <w:vertAlign w:val="subscript"/>
        </w:rPr>
        <w:t>2.5</w:t>
      </w:r>
      <w:r w:rsidRPr="001E66EF">
        <w:rPr>
          <w:rFonts w:ascii="Calibri Light" w:hAnsi="Calibri Light"/>
        </w:rPr>
        <w:t xml:space="preserve"> </w:t>
      </w:r>
      <w:r w:rsidR="00BA5325" w:rsidRPr="001E66EF">
        <w:rPr>
          <w:rFonts w:ascii="Calibri Light" w:hAnsi="Calibri Light"/>
        </w:rPr>
        <w:t>–</w:t>
      </w:r>
      <w:r w:rsidRPr="001E66EF">
        <w:rPr>
          <w:rFonts w:ascii="Calibri Light" w:hAnsi="Calibri Light"/>
        </w:rPr>
        <w:t xml:space="preserve"> Industry</w:t>
      </w:r>
      <w:bookmarkEnd w:id="25"/>
      <w:bookmarkEnd w:id="26"/>
    </w:p>
    <w:p w14:paraId="0C42C3EB" w14:textId="77777777" w:rsidR="00115524" w:rsidRPr="001E66EF" w:rsidRDefault="00115524" w:rsidP="0042131C">
      <w:pPr>
        <w:pStyle w:val="Heading3"/>
        <w:rPr>
          <w:rFonts w:ascii="Calibri Light" w:hAnsi="Calibri Light"/>
        </w:rPr>
      </w:pPr>
      <w:r w:rsidRPr="001E66EF">
        <w:rPr>
          <w:rFonts w:ascii="Calibri Light" w:hAnsi="Calibri Light"/>
        </w:rPr>
        <w:t>Boilers</w:t>
      </w:r>
    </w:p>
    <w:p w14:paraId="7862D39A" w14:textId="56713914" w:rsidR="00115524" w:rsidRPr="001E66EF" w:rsidRDefault="00115524" w:rsidP="00115524">
      <w:r w:rsidRPr="001E66EF">
        <w:t>Emissions data for boiler sources of PM</w:t>
      </w:r>
      <w:r w:rsidRPr="001E66EF">
        <w:rPr>
          <w:vertAlign w:val="subscript"/>
        </w:rPr>
        <w:t>10</w:t>
      </w:r>
      <w:r w:rsidRPr="001E66EF">
        <w:t xml:space="preserve"> and PM</w:t>
      </w:r>
      <w:r w:rsidRPr="001E66EF">
        <w:rPr>
          <w:vertAlign w:val="subscript"/>
        </w:rPr>
        <w:t xml:space="preserve">2.5 </w:t>
      </w:r>
      <w:r w:rsidRPr="001E66EF">
        <w:t>for 2013 were taken fr</w:t>
      </w:r>
      <w:r w:rsidR="00BA5325" w:rsidRPr="001E66EF">
        <w:t xml:space="preserve">om </w:t>
      </w:r>
      <w:proofErr w:type="spellStart"/>
      <w:r w:rsidR="00BA5325" w:rsidRPr="001E66EF">
        <w:t>MfE’s</w:t>
      </w:r>
      <w:proofErr w:type="spellEnd"/>
      <w:r w:rsidR="00BA5325" w:rsidRPr="001E66EF">
        <w:t xml:space="preserve"> Home Heating Emission I</w:t>
      </w:r>
      <w:r w:rsidRPr="001E66EF">
        <w:t>nventory and Other Sources Evaluation (Wilton et al.</w:t>
      </w:r>
      <w:r w:rsidR="006C65D7">
        <w:t>,</w:t>
      </w:r>
      <w:r w:rsidRPr="001E66EF">
        <w:t xml:space="preserve"> 2015).  The objective of this industrial emissions assessment was to identify industries throughout New Zealand, particularly those that emit significant amounts of PM</w:t>
      </w:r>
      <w:r w:rsidRPr="001E66EF">
        <w:rPr>
          <w:vertAlign w:val="subscript"/>
        </w:rPr>
        <w:t>10</w:t>
      </w:r>
      <w:r w:rsidRPr="001E66EF">
        <w:t xml:space="preserve">.  The industrial emissions assessment took a first-order approach with a priority on collating and summarising information from existing databases. </w:t>
      </w:r>
      <w:r w:rsidR="00B961A9" w:rsidRPr="001E66EF">
        <w:t xml:space="preserve"> </w:t>
      </w:r>
      <w:r w:rsidRPr="001E66EF">
        <w:t>These largely focused on combustion discharges and consequently</w:t>
      </w:r>
      <w:r w:rsidR="006C65D7">
        <w:t>,</w:t>
      </w:r>
      <w:r w:rsidRPr="001E66EF">
        <w:t xml:space="preserve"> the assessment was limited with respect to process emissions.  </w:t>
      </w:r>
    </w:p>
    <w:p w14:paraId="025CB4DC" w14:textId="50A79167" w:rsidR="00115524" w:rsidRPr="001E66EF" w:rsidRDefault="00115524" w:rsidP="00115524">
      <w:r w:rsidRPr="001E66EF">
        <w:t>The main databases used by Wilton et al (2015) were the Energy Efficiency and Conservation Authority (EECA) heat plant database (2014) and the 2008 industrial SO</w:t>
      </w:r>
      <w:r w:rsidRPr="001E66EF">
        <w:rPr>
          <w:vertAlign w:val="subscript"/>
        </w:rPr>
        <w:t>2</w:t>
      </w:r>
      <w:r w:rsidRPr="001E66EF">
        <w:t xml:space="preserve"> emission inventory.  Information from available local emission inventories (post-2009) was also integrated into the industrial emissions assessment including Industrial emissions data for Napier, Hastings, Taupo, Hamilton, </w:t>
      </w:r>
      <w:proofErr w:type="spellStart"/>
      <w:r w:rsidRPr="001E66EF">
        <w:t>Tokoroa</w:t>
      </w:r>
      <w:proofErr w:type="spellEnd"/>
      <w:r w:rsidRPr="001E66EF">
        <w:t xml:space="preserve">, Nelson, Taihape, Taumarunui, Invercargill, Gore, Reefton, Blenheim and Richmond. </w:t>
      </w:r>
      <w:r w:rsidR="00B961A9" w:rsidRPr="001E66EF">
        <w:t xml:space="preserve"> </w:t>
      </w:r>
      <w:r w:rsidRPr="001E66EF">
        <w:t>The heat plant database contains information on over 4</w:t>
      </w:r>
      <w:r w:rsidR="006C65D7">
        <w:t>,</w:t>
      </w:r>
      <w:r w:rsidRPr="001E66EF">
        <w:t xml:space="preserve">000 heat plants.  From the EECA database heat plants using coal, wood, heavy fuel oil and light fuel oil energy sources were included in the industrial emissions inventory.  There were approximately 450 large scale heat plants that meet </w:t>
      </w:r>
      <w:r w:rsidR="006C65D7" w:rsidRPr="001E66EF">
        <w:t>these criteria</w:t>
      </w:r>
      <w:r w:rsidRPr="001E66EF">
        <w:t xml:space="preserve">. </w:t>
      </w:r>
      <w:r w:rsidR="00B961A9" w:rsidRPr="001E66EF">
        <w:t xml:space="preserve"> </w:t>
      </w:r>
      <w:r w:rsidRPr="001E66EF">
        <w:t xml:space="preserve">Gas and oil combustion were largely excluded as were some </w:t>
      </w:r>
      <w:r w:rsidR="006C65D7" w:rsidRPr="001E66EF">
        <w:t>small-scale</w:t>
      </w:r>
      <w:r w:rsidRPr="001E66EF">
        <w:t xml:space="preserve"> solid fuel boilers (e.g. school boilers), except where these were included in local inventories. </w:t>
      </w:r>
      <w:r w:rsidR="00B961A9" w:rsidRPr="001E66EF">
        <w:t xml:space="preserve"> </w:t>
      </w:r>
      <w:r w:rsidRPr="001E66EF">
        <w:t xml:space="preserve">Emissions were estimated based on fuel consumption and boiler types (for coal fired boilers), where known. </w:t>
      </w:r>
    </w:p>
    <w:p w14:paraId="3992FD6A" w14:textId="6577102E" w:rsidR="00115524" w:rsidRPr="001E66EF" w:rsidRDefault="00115524" w:rsidP="00115524">
      <w:r w:rsidRPr="001E66EF">
        <w:rPr>
          <w:b/>
        </w:rPr>
        <w:t>Fuel consumption:</w:t>
      </w:r>
      <w:r w:rsidRPr="001E66EF">
        <w:t xml:space="preserve"> </w:t>
      </w:r>
      <w:r w:rsidR="00B961A9" w:rsidRPr="001E66EF">
        <w:t xml:space="preserve"> </w:t>
      </w:r>
      <w:r w:rsidRPr="001E66EF">
        <w:t xml:space="preserve">The EECA database contained limited information on annual fuel consumption.  Estimates of fuel consumption were made based on boiler heat outputs or other data where available. </w:t>
      </w:r>
      <w:r w:rsidR="00B961A9" w:rsidRPr="001E66EF">
        <w:t xml:space="preserve"> </w:t>
      </w:r>
      <w:r w:rsidRPr="001E66EF">
        <w:t xml:space="preserve">Fuel use estimates were ranked A, B or C for high, medium or low levels of uncertainty. </w:t>
      </w:r>
    </w:p>
    <w:p w14:paraId="5710ACC4" w14:textId="75256A6A" w:rsidR="00115524" w:rsidRPr="001E66EF" w:rsidRDefault="00115524" w:rsidP="00115524">
      <w:r w:rsidRPr="001E66EF">
        <w:rPr>
          <w:b/>
        </w:rPr>
        <w:t>Emission factors:</w:t>
      </w:r>
      <w:r w:rsidRPr="001E66EF">
        <w:t xml:space="preserve"> </w:t>
      </w:r>
      <w:r w:rsidR="00B961A9" w:rsidRPr="001E66EF">
        <w:t xml:space="preserve"> </w:t>
      </w:r>
      <w:r w:rsidRPr="001E66EF">
        <w:t xml:space="preserve">The solid fuel boiler emission factors are based on Wilton et al. (2007) and Wilton &amp; </w:t>
      </w:r>
      <w:proofErr w:type="spellStart"/>
      <w:r w:rsidRPr="001E66EF">
        <w:t>Baynes</w:t>
      </w:r>
      <w:proofErr w:type="spellEnd"/>
      <w:r w:rsidRPr="001E66EF">
        <w:t xml:space="preserve">, (2010). </w:t>
      </w:r>
      <w:r w:rsidR="00B961A9" w:rsidRPr="001E66EF">
        <w:t xml:space="preserve"> </w:t>
      </w:r>
      <w:r w:rsidRPr="001E66EF">
        <w:t xml:space="preserve">Other sources are based on USEPA AP42 emission factors. </w:t>
      </w:r>
      <w:r w:rsidR="00B961A9" w:rsidRPr="001E66EF">
        <w:t xml:space="preserve"> </w:t>
      </w:r>
      <w:r w:rsidRPr="001E66EF">
        <w:t xml:space="preserve">Some site-specific emissions test data for particulates were available. </w:t>
      </w:r>
      <w:r w:rsidR="00B961A9" w:rsidRPr="001E66EF">
        <w:t xml:space="preserve"> </w:t>
      </w:r>
      <w:r w:rsidRPr="001E66EF">
        <w:t xml:space="preserve">These data were used in preference to generic emission factors where available.  </w:t>
      </w:r>
    </w:p>
    <w:p w14:paraId="35C0C334" w14:textId="4562EFC9" w:rsidR="00115524" w:rsidRDefault="00115524" w:rsidP="00115524">
      <w:r w:rsidRPr="001E66EF">
        <w:lastRenderedPageBreak/>
        <w:t xml:space="preserve">For the base year 2013, a total of 447 boilers were included in the inventory, each of these was associated with a region and an airshed. </w:t>
      </w:r>
      <w:r w:rsidR="00081AD9">
        <w:t xml:space="preserve"> </w:t>
      </w:r>
      <w:r w:rsidRPr="001E66EF">
        <w:t>The regional distribution of boilers included in the inventory is shown in</w:t>
      </w:r>
      <w:r w:rsidR="00130E40">
        <w:t xml:space="preserve"> </w:t>
      </w:r>
      <w:r w:rsidR="00130E40">
        <w:fldChar w:fldCharType="begin"/>
      </w:r>
      <w:r w:rsidR="00130E40">
        <w:instrText xml:space="preserve"> REF _Ref23776338 \h  \* MERGEFORMAT </w:instrText>
      </w:r>
      <w:r w:rsidR="00130E40">
        <w:fldChar w:fldCharType="separate"/>
      </w:r>
      <w:r w:rsidR="00FD114C" w:rsidRPr="00FD114C">
        <w:t>Table</w:t>
      </w:r>
      <w:r w:rsidR="00FD114C" w:rsidRPr="00130E40">
        <w:rPr>
          <w:b/>
          <w:bCs/>
        </w:rPr>
        <w:t xml:space="preserve"> </w:t>
      </w:r>
      <w:r w:rsidR="00FD114C" w:rsidRPr="00FD114C">
        <w:rPr>
          <w:noProof/>
        </w:rPr>
        <w:t>2</w:t>
      </w:r>
      <w:r w:rsidR="00FD114C" w:rsidRPr="00FD114C">
        <w:rPr>
          <w:noProof/>
        </w:rPr>
        <w:noBreakHyphen/>
        <w:t>1</w:t>
      </w:r>
      <w:r w:rsidR="00130E40">
        <w:fldChar w:fldCharType="end"/>
      </w:r>
      <w:r w:rsidRPr="001E66EF">
        <w:t>.</w:t>
      </w:r>
    </w:p>
    <w:p w14:paraId="4EF4B822" w14:textId="10511139" w:rsidR="00130E40" w:rsidRPr="00130E40" w:rsidRDefault="00130E40" w:rsidP="00130E40">
      <w:pPr>
        <w:pStyle w:val="Caption"/>
        <w:rPr>
          <w:b w:val="0"/>
          <w:bCs w:val="0"/>
        </w:rPr>
      </w:pPr>
      <w:bookmarkStart w:id="27" w:name="_Ref23776338"/>
      <w:bookmarkStart w:id="28" w:name="_Toc25569489"/>
      <w:r w:rsidRPr="00130E40">
        <w:rPr>
          <w:b w:val="0"/>
          <w:bCs w:val="0"/>
        </w:rPr>
        <w:t xml:space="preserve">Table </w:t>
      </w:r>
      <w:r w:rsidR="001D4927">
        <w:rPr>
          <w:b w:val="0"/>
          <w:bCs w:val="0"/>
        </w:rPr>
        <w:fldChar w:fldCharType="begin"/>
      </w:r>
      <w:r w:rsidR="001D4927">
        <w:rPr>
          <w:b w:val="0"/>
          <w:bCs w:val="0"/>
        </w:rPr>
        <w:instrText xml:space="preserve"> STYLEREF 1 \s </w:instrText>
      </w:r>
      <w:r w:rsidR="001D4927">
        <w:rPr>
          <w:b w:val="0"/>
          <w:bCs w:val="0"/>
        </w:rPr>
        <w:fldChar w:fldCharType="separate"/>
      </w:r>
      <w:r w:rsidR="00FD114C">
        <w:rPr>
          <w:b w:val="0"/>
          <w:bCs w:val="0"/>
          <w:noProof/>
        </w:rPr>
        <w:t>2</w:t>
      </w:r>
      <w:r w:rsidR="001D4927">
        <w:rPr>
          <w:b w:val="0"/>
          <w:bCs w:val="0"/>
        </w:rPr>
        <w:fldChar w:fldCharType="end"/>
      </w:r>
      <w:r w:rsidR="001D4927">
        <w:rPr>
          <w:b w:val="0"/>
          <w:bCs w:val="0"/>
        </w:rPr>
        <w:noBreakHyphen/>
      </w:r>
      <w:r w:rsidR="001D4927">
        <w:rPr>
          <w:b w:val="0"/>
          <w:bCs w:val="0"/>
        </w:rPr>
        <w:fldChar w:fldCharType="begin"/>
      </w:r>
      <w:r w:rsidR="001D4927">
        <w:rPr>
          <w:b w:val="0"/>
          <w:bCs w:val="0"/>
        </w:rPr>
        <w:instrText xml:space="preserve"> SEQ Table \* ARABIC \s 1 </w:instrText>
      </w:r>
      <w:r w:rsidR="001D4927">
        <w:rPr>
          <w:b w:val="0"/>
          <w:bCs w:val="0"/>
        </w:rPr>
        <w:fldChar w:fldCharType="separate"/>
      </w:r>
      <w:r w:rsidR="00FD114C">
        <w:rPr>
          <w:b w:val="0"/>
          <w:bCs w:val="0"/>
          <w:noProof/>
        </w:rPr>
        <w:t>1</w:t>
      </w:r>
      <w:r w:rsidR="001D4927">
        <w:rPr>
          <w:b w:val="0"/>
          <w:bCs w:val="0"/>
        </w:rPr>
        <w:fldChar w:fldCharType="end"/>
      </w:r>
      <w:bookmarkEnd w:id="27"/>
      <w:r w:rsidRPr="00130E40">
        <w:rPr>
          <w:b w:val="0"/>
          <w:bCs w:val="0"/>
        </w:rPr>
        <w:t>: Boilers by Region</w:t>
      </w:r>
      <w:bookmarkEnd w:id="28"/>
    </w:p>
    <w:tbl>
      <w:tblPr>
        <w:tblStyle w:val="ListTable1Light-Accent11"/>
        <w:tblW w:w="3119" w:type="pct"/>
        <w:tblInd w:w="2499" w:type="dxa"/>
        <w:tblLayout w:type="fixed"/>
        <w:tblLook w:val="04A0" w:firstRow="1" w:lastRow="0" w:firstColumn="1" w:lastColumn="0" w:noHBand="0" w:noVBand="1"/>
      </w:tblPr>
      <w:tblGrid>
        <w:gridCol w:w="3544"/>
        <w:gridCol w:w="2267"/>
      </w:tblGrid>
      <w:tr w:rsidR="00B961A9" w:rsidRPr="001E66EF" w14:paraId="408E81A1" w14:textId="77777777" w:rsidTr="00B51DE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Borders>
              <w:top w:val="single" w:sz="4" w:space="0" w:color="auto"/>
              <w:bottom w:val="single" w:sz="4" w:space="0" w:color="auto"/>
            </w:tcBorders>
            <w:vAlign w:val="center"/>
          </w:tcPr>
          <w:p w14:paraId="5BC5BE05" w14:textId="7AE825B8" w:rsidR="00B961A9" w:rsidRPr="001E66EF" w:rsidRDefault="00B961A9" w:rsidP="00B961A9">
            <w:pPr>
              <w:spacing w:after="0" w:line="240" w:lineRule="auto"/>
              <w:ind w:left="0"/>
              <w:jc w:val="center"/>
            </w:pPr>
            <w:r w:rsidRPr="001E66EF">
              <w:t>Region</w:t>
            </w:r>
          </w:p>
        </w:tc>
        <w:tc>
          <w:tcPr>
            <w:tcW w:w="1951" w:type="pct"/>
            <w:tcBorders>
              <w:top w:val="single" w:sz="4" w:space="0" w:color="auto"/>
              <w:bottom w:val="single" w:sz="4" w:space="0" w:color="auto"/>
            </w:tcBorders>
            <w:noWrap/>
            <w:vAlign w:val="center"/>
          </w:tcPr>
          <w:p w14:paraId="4C179A7D" w14:textId="15C3C177" w:rsidR="00B961A9" w:rsidRPr="001E66EF" w:rsidRDefault="00B961A9" w:rsidP="00B961A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No. of Boilers</w:t>
            </w:r>
          </w:p>
        </w:tc>
      </w:tr>
      <w:tr w:rsidR="00B961A9" w:rsidRPr="001E66EF" w14:paraId="31410CD5"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Borders>
              <w:top w:val="single" w:sz="4" w:space="0" w:color="auto"/>
            </w:tcBorders>
          </w:tcPr>
          <w:p w14:paraId="2FC68383"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Northland</w:t>
            </w:r>
          </w:p>
        </w:tc>
        <w:tc>
          <w:tcPr>
            <w:tcW w:w="1951" w:type="pct"/>
            <w:tcBorders>
              <w:top w:val="single" w:sz="4" w:space="0" w:color="auto"/>
            </w:tcBorders>
            <w:noWrap/>
            <w:vAlign w:val="center"/>
          </w:tcPr>
          <w:p w14:paraId="176C4FE0"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12</w:t>
            </w:r>
          </w:p>
        </w:tc>
      </w:tr>
      <w:tr w:rsidR="00B961A9" w:rsidRPr="001E66EF" w14:paraId="1242ECFF"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Pr>
          <w:p w14:paraId="279613A8"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Auckland</w:t>
            </w:r>
          </w:p>
        </w:tc>
        <w:tc>
          <w:tcPr>
            <w:tcW w:w="1951" w:type="pct"/>
            <w:noWrap/>
            <w:vAlign w:val="center"/>
          </w:tcPr>
          <w:p w14:paraId="2A3A1BA2"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24</w:t>
            </w:r>
          </w:p>
        </w:tc>
      </w:tr>
      <w:tr w:rsidR="00B961A9" w:rsidRPr="001E66EF" w14:paraId="6F6BEBEA"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2C8AAFA1"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Waikato</w:t>
            </w:r>
          </w:p>
        </w:tc>
        <w:tc>
          <w:tcPr>
            <w:tcW w:w="1951" w:type="pct"/>
            <w:noWrap/>
            <w:vAlign w:val="center"/>
          </w:tcPr>
          <w:p w14:paraId="60E5EAC2"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46</w:t>
            </w:r>
          </w:p>
        </w:tc>
      </w:tr>
      <w:tr w:rsidR="00B961A9" w:rsidRPr="001E66EF" w14:paraId="17665DCE"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Pr>
          <w:p w14:paraId="1A466F3D"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Bay of Plenty</w:t>
            </w:r>
          </w:p>
        </w:tc>
        <w:tc>
          <w:tcPr>
            <w:tcW w:w="1951" w:type="pct"/>
            <w:noWrap/>
            <w:vAlign w:val="center"/>
          </w:tcPr>
          <w:p w14:paraId="24B6E470"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19</w:t>
            </w:r>
          </w:p>
        </w:tc>
      </w:tr>
      <w:tr w:rsidR="00B961A9" w:rsidRPr="001E66EF" w14:paraId="25B5C425"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4D295564"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Gisborne</w:t>
            </w:r>
          </w:p>
        </w:tc>
        <w:tc>
          <w:tcPr>
            <w:tcW w:w="1951" w:type="pct"/>
            <w:noWrap/>
            <w:vAlign w:val="center"/>
          </w:tcPr>
          <w:p w14:paraId="1CACA154"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4</w:t>
            </w:r>
          </w:p>
        </w:tc>
      </w:tr>
      <w:tr w:rsidR="00B961A9" w:rsidRPr="001E66EF" w14:paraId="3FABFE0B"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Pr>
          <w:p w14:paraId="493294DC"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Hawkes Bay</w:t>
            </w:r>
          </w:p>
        </w:tc>
        <w:tc>
          <w:tcPr>
            <w:tcW w:w="1951" w:type="pct"/>
            <w:noWrap/>
            <w:vAlign w:val="center"/>
          </w:tcPr>
          <w:p w14:paraId="0436A6DC"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25</w:t>
            </w:r>
          </w:p>
        </w:tc>
      </w:tr>
      <w:tr w:rsidR="00B961A9" w:rsidRPr="001E66EF" w14:paraId="57C71DD9"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443DC7B5"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Wanganui-Manawatu</w:t>
            </w:r>
          </w:p>
        </w:tc>
        <w:tc>
          <w:tcPr>
            <w:tcW w:w="1951" w:type="pct"/>
            <w:noWrap/>
            <w:vAlign w:val="center"/>
          </w:tcPr>
          <w:p w14:paraId="12EE372B"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17</w:t>
            </w:r>
          </w:p>
        </w:tc>
      </w:tr>
      <w:tr w:rsidR="00B961A9" w:rsidRPr="001E66EF" w14:paraId="0896550B"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Pr>
          <w:p w14:paraId="0CD0F4A3"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Taranaki</w:t>
            </w:r>
          </w:p>
        </w:tc>
        <w:tc>
          <w:tcPr>
            <w:tcW w:w="1951" w:type="pct"/>
            <w:noWrap/>
            <w:vAlign w:val="center"/>
          </w:tcPr>
          <w:p w14:paraId="5BCDFE01"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1</w:t>
            </w:r>
          </w:p>
        </w:tc>
      </w:tr>
      <w:tr w:rsidR="00B961A9" w:rsidRPr="001E66EF" w14:paraId="7A291E35"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0A4930F6"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 xml:space="preserve">Wellington </w:t>
            </w:r>
          </w:p>
        </w:tc>
        <w:tc>
          <w:tcPr>
            <w:tcW w:w="1951" w:type="pct"/>
            <w:noWrap/>
            <w:vAlign w:val="center"/>
          </w:tcPr>
          <w:p w14:paraId="41D742C4"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7</w:t>
            </w:r>
          </w:p>
        </w:tc>
      </w:tr>
      <w:tr w:rsidR="00B961A9" w:rsidRPr="001E66EF" w14:paraId="2BB68719" w14:textId="77777777" w:rsidTr="00B51DE9">
        <w:trPr>
          <w:trHeight w:val="80"/>
        </w:trPr>
        <w:tc>
          <w:tcPr>
            <w:cnfStyle w:val="001000000000" w:firstRow="0" w:lastRow="0" w:firstColumn="1" w:lastColumn="0" w:oddVBand="0" w:evenVBand="0" w:oddHBand="0" w:evenHBand="0" w:firstRowFirstColumn="0" w:firstRowLastColumn="0" w:lastRowFirstColumn="0" w:lastRowLastColumn="0"/>
            <w:tcW w:w="3049" w:type="pct"/>
          </w:tcPr>
          <w:p w14:paraId="1678E2A0"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Tasman</w:t>
            </w:r>
          </w:p>
        </w:tc>
        <w:tc>
          <w:tcPr>
            <w:tcW w:w="1951" w:type="pct"/>
            <w:noWrap/>
            <w:vAlign w:val="center"/>
          </w:tcPr>
          <w:p w14:paraId="6A0DBA72"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25</w:t>
            </w:r>
          </w:p>
        </w:tc>
      </w:tr>
      <w:tr w:rsidR="00B961A9" w:rsidRPr="001E66EF" w14:paraId="23F69A8C"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1469A233" w14:textId="77777777" w:rsidR="00B961A9" w:rsidRPr="001E66EF" w:rsidRDefault="00B961A9" w:rsidP="00B961A9">
            <w:pPr>
              <w:spacing w:after="0" w:line="240" w:lineRule="auto"/>
              <w:ind w:left="0"/>
              <w:jc w:val="left"/>
              <w:rPr>
                <w:rFonts w:eastAsia="Times New Roman" w:cs="Calibri"/>
                <w:b w:val="0"/>
                <w:color w:val="000000"/>
                <w:lang w:eastAsia="en-NZ"/>
              </w:rPr>
            </w:pPr>
            <w:r w:rsidRPr="001E66EF">
              <w:t xml:space="preserve">Nelson </w:t>
            </w:r>
          </w:p>
        </w:tc>
        <w:tc>
          <w:tcPr>
            <w:tcW w:w="1951" w:type="pct"/>
            <w:noWrap/>
            <w:vAlign w:val="center"/>
          </w:tcPr>
          <w:p w14:paraId="5B8BF9AF"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28</w:t>
            </w:r>
          </w:p>
        </w:tc>
      </w:tr>
      <w:tr w:rsidR="00B961A9" w:rsidRPr="001E66EF" w14:paraId="23C7EA89"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Pr>
          <w:p w14:paraId="4693BCE2" w14:textId="77777777" w:rsidR="00B961A9" w:rsidRPr="001E66EF" w:rsidRDefault="00B961A9" w:rsidP="00B961A9">
            <w:pPr>
              <w:spacing w:after="0" w:line="240" w:lineRule="auto"/>
              <w:ind w:left="0"/>
              <w:jc w:val="left"/>
            </w:pPr>
            <w:r w:rsidRPr="001E66EF">
              <w:t>Marlborough20</w:t>
            </w:r>
          </w:p>
        </w:tc>
        <w:tc>
          <w:tcPr>
            <w:tcW w:w="1951" w:type="pct"/>
            <w:noWrap/>
            <w:vAlign w:val="center"/>
          </w:tcPr>
          <w:p w14:paraId="2A1286BE"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20</w:t>
            </w:r>
          </w:p>
        </w:tc>
      </w:tr>
      <w:tr w:rsidR="00B961A9" w:rsidRPr="001E66EF" w14:paraId="59DB3A29"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477D567F" w14:textId="77777777" w:rsidR="00B961A9" w:rsidRPr="001E66EF" w:rsidRDefault="00B961A9" w:rsidP="00B961A9">
            <w:pPr>
              <w:spacing w:after="0" w:line="240" w:lineRule="auto"/>
              <w:ind w:left="0"/>
              <w:jc w:val="left"/>
            </w:pPr>
            <w:r w:rsidRPr="001E66EF">
              <w:t>West Coast 22</w:t>
            </w:r>
          </w:p>
        </w:tc>
        <w:tc>
          <w:tcPr>
            <w:tcW w:w="1951" w:type="pct"/>
            <w:noWrap/>
            <w:vAlign w:val="center"/>
          </w:tcPr>
          <w:p w14:paraId="05138B7F"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22</w:t>
            </w:r>
          </w:p>
        </w:tc>
      </w:tr>
      <w:tr w:rsidR="00B961A9" w:rsidRPr="001E66EF" w14:paraId="633F47CF"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Pr>
          <w:p w14:paraId="4A532B7C" w14:textId="77777777" w:rsidR="00B961A9" w:rsidRPr="001E66EF" w:rsidRDefault="00B961A9" w:rsidP="00B961A9">
            <w:pPr>
              <w:spacing w:after="0" w:line="240" w:lineRule="auto"/>
              <w:ind w:left="0"/>
              <w:jc w:val="left"/>
            </w:pPr>
            <w:r w:rsidRPr="001E66EF">
              <w:t>Canterbury 81</w:t>
            </w:r>
          </w:p>
        </w:tc>
        <w:tc>
          <w:tcPr>
            <w:tcW w:w="1951" w:type="pct"/>
            <w:noWrap/>
            <w:vAlign w:val="center"/>
          </w:tcPr>
          <w:p w14:paraId="74DD2772"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81</w:t>
            </w:r>
          </w:p>
        </w:tc>
      </w:tr>
      <w:tr w:rsidR="00B961A9" w:rsidRPr="001E66EF" w14:paraId="4C54B551"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Pr>
          <w:p w14:paraId="0DB2B2BC" w14:textId="77777777" w:rsidR="00B961A9" w:rsidRPr="001E66EF" w:rsidRDefault="00B961A9" w:rsidP="00B961A9">
            <w:pPr>
              <w:spacing w:after="0" w:line="240" w:lineRule="auto"/>
              <w:ind w:left="0"/>
              <w:jc w:val="left"/>
            </w:pPr>
            <w:r w:rsidRPr="001E66EF">
              <w:t>Otago</w:t>
            </w:r>
          </w:p>
        </w:tc>
        <w:tc>
          <w:tcPr>
            <w:tcW w:w="1951" w:type="pct"/>
            <w:noWrap/>
            <w:vAlign w:val="center"/>
          </w:tcPr>
          <w:p w14:paraId="06036C0C"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43</w:t>
            </w:r>
          </w:p>
        </w:tc>
      </w:tr>
      <w:tr w:rsidR="00B961A9" w:rsidRPr="001E66EF" w14:paraId="3E2B914E" w14:textId="77777777" w:rsidTr="00B51DE9">
        <w:trPr>
          <w:trHeight w:val="227"/>
        </w:trPr>
        <w:tc>
          <w:tcPr>
            <w:cnfStyle w:val="001000000000" w:firstRow="0" w:lastRow="0" w:firstColumn="1" w:lastColumn="0" w:oddVBand="0" w:evenVBand="0" w:oddHBand="0" w:evenHBand="0" w:firstRowFirstColumn="0" w:firstRowLastColumn="0" w:lastRowFirstColumn="0" w:lastRowLastColumn="0"/>
            <w:tcW w:w="3049" w:type="pct"/>
            <w:tcBorders>
              <w:bottom w:val="single" w:sz="4" w:space="0" w:color="auto"/>
            </w:tcBorders>
          </w:tcPr>
          <w:p w14:paraId="68BCBDAA" w14:textId="77777777" w:rsidR="00B961A9" w:rsidRPr="001E66EF" w:rsidRDefault="00B961A9" w:rsidP="00B961A9">
            <w:pPr>
              <w:spacing w:after="0" w:line="240" w:lineRule="auto"/>
              <w:ind w:left="0"/>
              <w:jc w:val="left"/>
            </w:pPr>
            <w:r w:rsidRPr="001E66EF">
              <w:t>Southland</w:t>
            </w:r>
          </w:p>
        </w:tc>
        <w:tc>
          <w:tcPr>
            <w:tcW w:w="1951" w:type="pct"/>
            <w:tcBorders>
              <w:bottom w:val="single" w:sz="4" w:space="0" w:color="auto"/>
            </w:tcBorders>
            <w:noWrap/>
            <w:vAlign w:val="center"/>
          </w:tcPr>
          <w:p w14:paraId="4106D524" w14:textId="77777777" w:rsidR="00B961A9" w:rsidRPr="001E66EF" w:rsidRDefault="00B961A9" w:rsidP="00B961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73</w:t>
            </w:r>
          </w:p>
        </w:tc>
      </w:tr>
      <w:tr w:rsidR="00B961A9" w:rsidRPr="001E66EF" w14:paraId="5DA55D99" w14:textId="77777777" w:rsidTr="00B51DE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9" w:type="pct"/>
            <w:tcBorders>
              <w:top w:val="single" w:sz="4" w:space="0" w:color="auto"/>
              <w:bottom w:val="single" w:sz="4" w:space="0" w:color="auto"/>
            </w:tcBorders>
          </w:tcPr>
          <w:p w14:paraId="28724543" w14:textId="77777777" w:rsidR="00B961A9" w:rsidRPr="001E66EF" w:rsidRDefault="00B961A9" w:rsidP="00B961A9">
            <w:pPr>
              <w:spacing w:after="0" w:line="240" w:lineRule="auto"/>
              <w:ind w:left="0"/>
              <w:jc w:val="left"/>
            </w:pPr>
            <w:r w:rsidRPr="001E66EF">
              <w:t>Total</w:t>
            </w:r>
          </w:p>
        </w:tc>
        <w:tc>
          <w:tcPr>
            <w:tcW w:w="1951" w:type="pct"/>
            <w:tcBorders>
              <w:top w:val="single" w:sz="4" w:space="0" w:color="auto"/>
              <w:bottom w:val="single" w:sz="4" w:space="0" w:color="auto"/>
            </w:tcBorders>
            <w:noWrap/>
            <w:vAlign w:val="center"/>
          </w:tcPr>
          <w:p w14:paraId="7186DBA6" w14:textId="77777777" w:rsidR="00B961A9" w:rsidRPr="001E66EF" w:rsidRDefault="00B961A9" w:rsidP="00B961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447</w:t>
            </w:r>
          </w:p>
        </w:tc>
      </w:tr>
    </w:tbl>
    <w:p w14:paraId="24997B09" w14:textId="77777777" w:rsidR="00B961A9" w:rsidRPr="001E66EF" w:rsidRDefault="00B961A9" w:rsidP="00115524"/>
    <w:p w14:paraId="484D3813" w14:textId="186497CB" w:rsidR="00115524" w:rsidRPr="001E66EF" w:rsidRDefault="00115524" w:rsidP="00115524">
      <w:r w:rsidRPr="001E66EF">
        <w:t>The base year 2013 emissions w</w:t>
      </w:r>
      <w:r w:rsidR="00B0684E" w:rsidRPr="001E66EF">
        <w:t>ere</w:t>
      </w:r>
      <w:r w:rsidRPr="001E66EF">
        <w:t xml:space="preserve"> increased for future year scenarios to match population growth and economic </w:t>
      </w:r>
      <w:r w:rsidR="002D487E" w:rsidRPr="001E66EF">
        <w:t>projections derived from Market Economics set of Economic Futures Models (EFMs)</w:t>
      </w:r>
      <w:r w:rsidRPr="001E66EF">
        <w:t xml:space="preserve">.  </w:t>
      </w:r>
      <w:r w:rsidR="00B0684E" w:rsidRPr="001E66EF">
        <w:t>In addition, t</w:t>
      </w:r>
      <w:r w:rsidRPr="001E66EF">
        <w:t xml:space="preserve">he best practical option (BPO) emission reduction for point sources </w:t>
      </w:r>
      <w:r w:rsidR="00B0684E" w:rsidRPr="001E66EF">
        <w:t>was estimated.  T</w:t>
      </w:r>
      <w:r w:rsidRPr="001E66EF">
        <w:t>his i</w:t>
      </w:r>
      <w:r w:rsidR="00B0684E" w:rsidRPr="001E66EF">
        <w:t>s likely to involve</w:t>
      </w:r>
      <w:r w:rsidRPr="001E66EF">
        <w:t xml:space="preserve"> end of stack treatments such as inertia cyclones, well-tuned boilers and good quality fuel.</w:t>
      </w:r>
      <w:r w:rsidR="00B0684E" w:rsidRPr="001E66EF">
        <w:t xml:space="preserve"> </w:t>
      </w:r>
      <w:r w:rsidRPr="001E66EF">
        <w:t xml:space="preserve"> These systems and practices are only moderately effective at reducing emission ~ &lt;20% removal for PM</w:t>
      </w:r>
      <w:r w:rsidRPr="001E66EF">
        <w:rPr>
          <w:vertAlign w:val="subscript"/>
        </w:rPr>
        <w:t>10</w:t>
      </w:r>
      <w:r w:rsidRPr="001E66EF">
        <w:t xml:space="preserve"> and &lt;10% removal for PM</w:t>
      </w:r>
      <w:r w:rsidRPr="001E66EF">
        <w:rPr>
          <w:vertAlign w:val="subscript"/>
        </w:rPr>
        <w:t>2.5</w:t>
      </w:r>
      <w:r w:rsidRPr="001E66EF">
        <w:t>.</w:t>
      </w:r>
      <w:r w:rsidR="00081AD9">
        <w:t xml:space="preserve"> </w:t>
      </w:r>
      <w:r w:rsidRPr="001E66EF">
        <w:t xml:space="preserve"> For </w:t>
      </w:r>
      <w:r w:rsidR="00B0684E" w:rsidRPr="001E66EF">
        <w:t xml:space="preserve">the purposes of this </w:t>
      </w:r>
      <w:r w:rsidRPr="001E66EF">
        <w:t xml:space="preserve">study the BPO emission reduction was assumed to </w:t>
      </w:r>
      <w:r w:rsidR="00B51DE9" w:rsidRPr="001E66EF">
        <w:t xml:space="preserve">be </w:t>
      </w:r>
      <w:r w:rsidRPr="001E66EF">
        <w:t>taken up by 5 % of the sources each year</w:t>
      </w:r>
      <w:r w:rsidR="00B0684E" w:rsidRPr="001E66EF">
        <w:t xml:space="preserve"> – when applied</w:t>
      </w:r>
      <w:r w:rsidRPr="001E66EF">
        <w:t xml:space="preserve">.  </w:t>
      </w:r>
    </w:p>
    <w:p w14:paraId="4ED115C6" w14:textId="77777777" w:rsidR="00B0684E" w:rsidRPr="001E66EF" w:rsidRDefault="00B0684E" w:rsidP="00115524"/>
    <w:p w14:paraId="556D18AD" w14:textId="77777777" w:rsidR="00115524" w:rsidRPr="001E66EF" w:rsidRDefault="00115524" w:rsidP="0042131C">
      <w:pPr>
        <w:pStyle w:val="Heading3"/>
        <w:rPr>
          <w:rFonts w:ascii="Calibri Light" w:hAnsi="Calibri Light"/>
        </w:rPr>
      </w:pPr>
      <w:r w:rsidRPr="001E66EF">
        <w:rPr>
          <w:rFonts w:ascii="Calibri Light" w:hAnsi="Calibri Light"/>
        </w:rPr>
        <w:t>Other sources</w:t>
      </w:r>
    </w:p>
    <w:p w14:paraId="555894A4" w14:textId="37705700" w:rsidR="00115524" w:rsidRPr="001E66EF" w:rsidRDefault="009B1C35" w:rsidP="00115524">
      <w:r w:rsidRPr="001E66EF">
        <w:t>To estimate the contribution of</w:t>
      </w:r>
      <w:r w:rsidR="00115524" w:rsidRPr="001E66EF">
        <w:t xml:space="preserve"> non-boiler sources of particulate emissions, the economy was split into 48 sectors each of which was assigned as a zero, point or diffuse </w:t>
      </w:r>
      <w:r w:rsidRPr="001E66EF">
        <w:t xml:space="preserve">emission </w:t>
      </w:r>
      <w:r w:rsidR="00115524" w:rsidRPr="001E66EF">
        <w:t>source type.  BPO for point and diffuse sources was assumed to be &lt;20% removal for PM</w:t>
      </w:r>
      <w:r w:rsidR="00115524" w:rsidRPr="001E66EF">
        <w:rPr>
          <w:vertAlign w:val="subscript"/>
        </w:rPr>
        <w:t>10</w:t>
      </w:r>
      <w:r w:rsidR="00115524" w:rsidRPr="001E66EF">
        <w:t xml:space="preserve"> and &lt;10% removal for PM</w:t>
      </w:r>
      <w:r w:rsidR="00115524" w:rsidRPr="001E66EF">
        <w:rPr>
          <w:vertAlign w:val="subscript"/>
        </w:rPr>
        <w:t>2.5</w:t>
      </w:r>
      <w:r w:rsidR="00115524" w:rsidRPr="001E66EF">
        <w:t xml:space="preserve">. </w:t>
      </w:r>
      <w:r w:rsidR="00B0684E" w:rsidRPr="001E66EF">
        <w:t xml:space="preserve"> As with the above, </w:t>
      </w:r>
      <w:r w:rsidR="00115524" w:rsidRPr="001E66EF">
        <w:t xml:space="preserve">the BPO emission reduction was assumed to taken up by 5% of the sources each year.  </w:t>
      </w:r>
    </w:p>
    <w:p w14:paraId="7932DA80" w14:textId="3CCDA6B6" w:rsidR="00B0684E" w:rsidRPr="001E66EF" w:rsidRDefault="00B0684E" w:rsidP="00115524">
      <w:r w:rsidRPr="001E66EF">
        <w:t xml:space="preserve">Future estimates are predicated on economic growth in each sector – as above, the EFM is used to estimate future output from all sectors.  The existing relationship between emission and economic output is assumed to hold for the next 12 years (with the exception of the BPO </w:t>
      </w:r>
      <w:r w:rsidRPr="001E66EF">
        <w:lastRenderedPageBreak/>
        <w:t xml:space="preserve">changes).  </w:t>
      </w:r>
      <w:r w:rsidR="0035186B" w:rsidRPr="001E66EF">
        <w:t>In that way the uneven nature of growth and the regional concentration of different types of industry is reflected in projections of industrial emissions.</w:t>
      </w:r>
    </w:p>
    <w:p w14:paraId="424B31B8" w14:textId="2F741523" w:rsidR="00115524" w:rsidRPr="001E66EF" w:rsidRDefault="00115524" w:rsidP="00115524">
      <w:r w:rsidRPr="001E66EF">
        <w:t xml:space="preserve">These BPO assumptions are intended to provide a high-level starting point estimate. </w:t>
      </w:r>
      <w:r w:rsidR="00B0684E" w:rsidRPr="001E66EF">
        <w:t xml:space="preserve"> </w:t>
      </w:r>
      <w:r w:rsidRPr="001E66EF">
        <w:t>But it must be acknowledged that for specific industrial activities the BAT and BPO reduction efficiencies can</w:t>
      </w:r>
      <w:r w:rsidR="00904DB7" w:rsidRPr="001E66EF">
        <w:t>,</w:t>
      </w:r>
      <w:r w:rsidRPr="001E66EF">
        <w:t xml:space="preserve"> and probably need to</w:t>
      </w:r>
      <w:r w:rsidR="00904DB7" w:rsidRPr="001E66EF">
        <w:t>,</w:t>
      </w:r>
      <w:r w:rsidRPr="001E66EF">
        <w:t xml:space="preserve"> be refined</w:t>
      </w:r>
      <w:r w:rsidR="00904DB7" w:rsidRPr="001E66EF">
        <w:t xml:space="preserve"> (as part of further research)</w:t>
      </w:r>
      <w:r w:rsidRPr="001E66EF">
        <w:t>.</w:t>
      </w:r>
      <w:r w:rsidR="00904DB7" w:rsidRPr="001E66EF">
        <w:t xml:space="preserve"> </w:t>
      </w:r>
    </w:p>
    <w:p w14:paraId="15490073" w14:textId="77777777" w:rsidR="00115524" w:rsidRPr="001E66EF" w:rsidRDefault="00115524" w:rsidP="00115524">
      <w:pPr>
        <w:pStyle w:val="Heading2"/>
        <w:rPr>
          <w:rFonts w:ascii="Calibri Light" w:hAnsi="Calibri Light"/>
        </w:rPr>
      </w:pPr>
      <w:bookmarkStart w:id="29" w:name="_Toc455070451"/>
      <w:bookmarkStart w:id="30" w:name="_Toc455044455"/>
      <w:bookmarkStart w:id="31" w:name="_Toc25569508"/>
      <w:bookmarkEnd w:id="29"/>
      <w:r w:rsidRPr="001E66EF">
        <w:rPr>
          <w:rFonts w:ascii="Calibri Light" w:hAnsi="Calibri Light"/>
        </w:rPr>
        <w:t>Emissions of PM</w:t>
      </w:r>
      <w:r w:rsidRPr="001E66EF">
        <w:rPr>
          <w:rFonts w:ascii="Calibri Light" w:hAnsi="Calibri Light"/>
          <w:vertAlign w:val="subscript"/>
        </w:rPr>
        <w:t>10</w:t>
      </w:r>
      <w:r w:rsidRPr="001E66EF">
        <w:rPr>
          <w:rFonts w:ascii="Calibri Light" w:hAnsi="Calibri Light"/>
        </w:rPr>
        <w:t xml:space="preserve"> and PM</w:t>
      </w:r>
      <w:r w:rsidRPr="001E66EF">
        <w:rPr>
          <w:rFonts w:ascii="Calibri Light" w:hAnsi="Calibri Light"/>
          <w:vertAlign w:val="subscript"/>
        </w:rPr>
        <w:t>2.5</w:t>
      </w:r>
      <w:r w:rsidRPr="001E66EF">
        <w:rPr>
          <w:rFonts w:ascii="Calibri Light" w:hAnsi="Calibri Light"/>
        </w:rPr>
        <w:t xml:space="preserve"> – Outdoor burning</w:t>
      </w:r>
      <w:bookmarkEnd w:id="30"/>
      <w:bookmarkEnd w:id="31"/>
    </w:p>
    <w:p w14:paraId="072B7208" w14:textId="34E24BC8" w:rsidR="001E66EF" w:rsidRPr="00043B93" w:rsidRDefault="00115524" w:rsidP="00115524">
      <w:r w:rsidRPr="00043B93">
        <w:t xml:space="preserve">Outdoor burning rules in regional air plans </w:t>
      </w:r>
      <w:r w:rsidR="00B47A71" w:rsidRPr="00043B93">
        <w:t xml:space="preserve">were reviewed </w:t>
      </w:r>
      <w:r w:rsidRPr="00043B93">
        <w:t>to ensure that</w:t>
      </w:r>
      <w:r w:rsidR="00B03655" w:rsidRPr="00043B93">
        <w:t>,</w:t>
      </w:r>
      <w:r w:rsidRPr="00043B93">
        <w:t xml:space="preserve"> as far as possible</w:t>
      </w:r>
      <w:r w:rsidR="00B03655" w:rsidRPr="00043B93">
        <w:t>,</w:t>
      </w:r>
      <w:r w:rsidRPr="00043B93">
        <w:t xml:space="preserve"> current and future predictions of this emission source </w:t>
      </w:r>
      <w:r w:rsidR="003B07BB" w:rsidRPr="00043B93">
        <w:t>in the model</w:t>
      </w:r>
      <w:r w:rsidR="00067149">
        <w:t>,</w:t>
      </w:r>
      <w:r w:rsidR="003B07BB" w:rsidRPr="00043B93">
        <w:t xml:space="preserve"> </w:t>
      </w:r>
      <w:r w:rsidRPr="00043B93">
        <w:t>are consistent with plan rules</w:t>
      </w:r>
      <w:r w:rsidR="003B07BB" w:rsidRPr="00043B93">
        <w:t xml:space="preserve">.  This eliminates the risk of </w:t>
      </w:r>
      <w:r w:rsidRPr="00043B93">
        <w:t xml:space="preserve">allocating </w:t>
      </w:r>
      <w:r w:rsidR="003B07BB" w:rsidRPr="00043B93">
        <w:t>emissions from this source</w:t>
      </w:r>
      <w:r w:rsidRPr="00043B93">
        <w:t xml:space="preserve"> to </w:t>
      </w:r>
      <w:r w:rsidR="003B07BB" w:rsidRPr="00043B93">
        <w:t>airshed</w:t>
      </w:r>
      <w:r w:rsidR="00067149">
        <w:t>s</w:t>
      </w:r>
      <w:r w:rsidRPr="00043B93">
        <w:t xml:space="preserve"> where </w:t>
      </w:r>
      <w:r w:rsidR="003B07BB" w:rsidRPr="00043B93">
        <w:t>it</w:t>
      </w:r>
      <w:r w:rsidRPr="00043B93">
        <w:t xml:space="preserve"> is </w:t>
      </w:r>
      <w:r w:rsidR="003B07BB" w:rsidRPr="00043B93">
        <w:t xml:space="preserve">currently </w:t>
      </w:r>
      <w:r w:rsidRPr="00043B93">
        <w:t>banned</w:t>
      </w:r>
      <w:r w:rsidR="003B07BB" w:rsidRPr="00043B93">
        <w:t xml:space="preserve">. </w:t>
      </w:r>
      <w:r w:rsidR="00BC753B" w:rsidRPr="00043B93">
        <w:t xml:space="preserve"> </w:t>
      </w:r>
      <w:r w:rsidR="00655727" w:rsidRPr="00043B93">
        <w:t>In 2016/17, n</w:t>
      </w:r>
      <w:r w:rsidR="00BC753B" w:rsidRPr="00043B93">
        <w:t>ine</w:t>
      </w:r>
      <w:r w:rsidRPr="00043B93">
        <w:t xml:space="preserve"> of the 16 regional plans</w:t>
      </w:r>
      <w:r w:rsidR="003B07BB" w:rsidRPr="00043B93">
        <w:t xml:space="preserve"> were reviewed in detail, with a focus</w:t>
      </w:r>
      <w:r w:rsidRPr="00043B93">
        <w:t xml:space="preserve"> on the regions that have the most significant air quality issues</w:t>
      </w:r>
      <w:r w:rsidR="0004716F" w:rsidRPr="00043B93">
        <w:t xml:space="preserve"> (see </w:t>
      </w:r>
      <w:r w:rsidR="00043B93" w:rsidRPr="00043B93">
        <w:fldChar w:fldCharType="begin"/>
      </w:r>
      <w:r w:rsidR="00043B93" w:rsidRPr="00043B93">
        <w:instrText xml:space="preserve"> REF _Ref25569159 \h  \* MERGEFORMAT </w:instrText>
      </w:r>
      <w:r w:rsidR="00043B93" w:rsidRPr="00043B93">
        <w:fldChar w:fldCharType="separate"/>
      </w:r>
      <w:r w:rsidR="00FD114C" w:rsidRPr="00FD114C">
        <w:t xml:space="preserve">Table </w:t>
      </w:r>
      <w:r w:rsidR="00FD114C" w:rsidRPr="00FD114C">
        <w:rPr>
          <w:noProof/>
        </w:rPr>
        <w:t>2</w:t>
      </w:r>
      <w:r w:rsidR="00FD114C" w:rsidRPr="00FD114C">
        <w:rPr>
          <w:noProof/>
        </w:rPr>
        <w:noBreakHyphen/>
        <w:t>2</w:t>
      </w:r>
      <w:r w:rsidR="00043B93" w:rsidRPr="00043B93">
        <w:fldChar w:fldCharType="end"/>
      </w:r>
      <w:r w:rsidR="0004716F" w:rsidRPr="00043B93">
        <w:t>)</w:t>
      </w:r>
      <w:r w:rsidRPr="00043B93">
        <w:t>.</w:t>
      </w:r>
      <w:r w:rsidR="00655727" w:rsidRPr="00043B93">
        <w:t xml:space="preserve">  This table was not updated in 2019.</w:t>
      </w:r>
      <w:r w:rsidRPr="00043B93">
        <w:t xml:space="preserve"> </w:t>
      </w:r>
      <w:r w:rsidR="003B07BB" w:rsidRPr="00043B93">
        <w:t xml:space="preserve"> </w:t>
      </w:r>
    </w:p>
    <w:p w14:paraId="7C5EF79E" w14:textId="42AA0B3E" w:rsidR="00CF2C0E" w:rsidRPr="001D4927" w:rsidRDefault="00A7277C" w:rsidP="00A7277C">
      <w:pPr>
        <w:pStyle w:val="Caption"/>
        <w:rPr>
          <w:b w:val="0"/>
          <w:bCs w:val="0"/>
        </w:rPr>
      </w:pPr>
      <w:bookmarkStart w:id="32" w:name="_Ref25569159"/>
      <w:bookmarkStart w:id="33" w:name="_Toc25569490"/>
      <w:r w:rsidRPr="001D4927">
        <w:rPr>
          <w:b w:val="0"/>
          <w:bCs w:val="0"/>
        </w:rPr>
        <w:t xml:space="preserve">Table </w:t>
      </w:r>
      <w:r w:rsidR="001D4927">
        <w:rPr>
          <w:b w:val="0"/>
          <w:bCs w:val="0"/>
        </w:rPr>
        <w:fldChar w:fldCharType="begin"/>
      </w:r>
      <w:r w:rsidR="001D4927">
        <w:rPr>
          <w:b w:val="0"/>
          <w:bCs w:val="0"/>
        </w:rPr>
        <w:instrText xml:space="preserve"> STYLEREF 1 \s </w:instrText>
      </w:r>
      <w:r w:rsidR="001D4927">
        <w:rPr>
          <w:b w:val="0"/>
          <w:bCs w:val="0"/>
        </w:rPr>
        <w:fldChar w:fldCharType="separate"/>
      </w:r>
      <w:r w:rsidR="00FD114C">
        <w:rPr>
          <w:b w:val="0"/>
          <w:bCs w:val="0"/>
          <w:noProof/>
        </w:rPr>
        <w:t>2</w:t>
      </w:r>
      <w:r w:rsidR="001D4927">
        <w:rPr>
          <w:b w:val="0"/>
          <w:bCs w:val="0"/>
        </w:rPr>
        <w:fldChar w:fldCharType="end"/>
      </w:r>
      <w:r w:rsidR="001D4927">
        <w:rPr>
          <w:b w:val="0"/>
          <w:bCs w:val="0"/>
        </w:rPr>
        <w:noBreakHyphen/>
      </w:r>
      <w:r w:rsidR="001D4927">
        <w:rPr>
          <w:b w:val="0"/>
          <w:bCs w:val="0"/>
        </w:rPr>
        <w:fldChar w:fldCharType="begin"/>
      </w:r>
      <w:r w:rsidR="001D4927">
        <w:rPr>
          <w:b w:val="0"/>
          <w:bCs w:val="0"/>
        </w:rPr>
        <w:instrText xml:space="preserve"> SEQ Table \* ARABIC \s 1 </w:instrText>
      </w:r>
      <w:r w:rsidR="001D4927">
        <w:rPr>
          <w:b w:val="0"/>
          <w:bCs w:val="0"/>
        </w:rPr>
        <w:fldChar w:fldCharType="separate"/>
      </w:r>
      <w:r w:rsidR="00FD114C">
        <w:rPr>
          <w:b w:val="0"/>
          <w:bCs w:val="0"/>
          <w:noProof/>
        </w:rPr>
        <w:t>2</w:t>
      </w:r>
      <w:r w:rsidR="001D4927">
        <w:rPr>
          <w:b w:val="0"/>
          <w:bCs w:val="0"/>
        </w:rPr>
        <w:fldChar w:fldCharType="end"/>
      </w:r>
      <w:bookmarkEnd w:id="32"/>
      <w:r w:rsidRPr="001D4927">
        <w:rPr>
          <w:b w:val="0"/>
          <w:bCs w:val="0"/>
        </w:rPr>
        <w:t>: Outdoor burning regional planning documents (2016/17)</w:t>
      </w:r>
      <w:bookmarkEnd w:id="33"/>
    </w:p>
    <w:tbl>
      <w:tblPr>
        <w:tblStyle w:val="ListTable1Light-Accent11"/>
        <w:tblW w:w="9781" w:type="dxa"/>
        <w:tblLook w:val="04A0" w:firstRow="1" w:lastRow="0" w:firstColumn="1" w:lastColumn="0" w:noHBand="0" w:noVBand="1"/>
      </w:tblPr>
      <w:tblGrid>
        <w:gridCol w:w="1418"/>
        <w:gridCol w:w="1890"/>
        <w:gridCol w:w="2221"/>
        <w:gridCol w:w="1417"/>
        <w:gridCol w:w="851"/>
        <w:gridCol w:w="1984"/>
      </w:tblGrid>
      <w:tr w:rsidR="00115524" w:rsidRPr="001E66EF" w14:paraId="1347A7DA" w14:textId="77777777" w:rsidTr="00081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right w:val="single" w:sz="4" w:space="0" w:color="auto"/>
            </w:tcBorders>
            <w:vAlign w:val="center"/>
          </w:tcPr>
          <w:p w14:paraId="523A3174" w14:textId="77777777" w:rsidR="00115524" w:rsidRPr="001E66EF" w:rsidRDefault="00115524" w:rsidP="001E66EF">
            <w:pPr>
              <w:spacing w:after="0" w:line="240" w:lineRule="auto"/>
              <w:ind w:left="177"/>
              <w:jc w:val="center"/>
              <w:rPr>
                <w:color w:val="1F497D"/>
                <w:sz w:val="20"/>
                <w:szCs w:val="16"/>
                <w:lang w:val="en-US"/>
              </w:rPr>
            </w:pPr>
            <w:r w:rsidRPr="001E66EF">
              <w:rPr>
                <w:color w:val="1F497D"/>
                <w:sz w:val="20"/>
                <w:szCs w:val="16"/>
                <w:lang w:val="en-US"/>
              </w:rPr>
              <w:t>Region</w:t>
            </w:r>
          </w:p>
        </w:tc>
        <w:tc>
          <w:tcPr>
            <w:tcW w:w="1890" w:type="dxa"/>
            <w:tcBorders>
              <w:top w:val="single" w:sz="4" w:space="0" w:color="auto"/>
              <w:left w:val="single" w:sz="4" w:space="0" w:color="auto"/>
              <w:bottom w:val="single" w:sz="4" w:space="0" w:color="auto"/>
            </w:tcBorders>
            <w:vAlign w:val="center"/>
          </w:tcPr>
          <w:p w14:paraId="1D880B01" w14:textId="77777777" w:rsidR="00115524" w:rsidRPr="001E66EF" w:rsidRDefault="00115524" w:rsidP="00081AD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color w:val="1F497D"/>
                <w:sz w:val="20"/>
                <w:szCs w:val="16"/>
                <w:lang w:val="en-US"/>
              </w:rPr>
            </w:pPr>
            <w:r w:rsidRPr="001E66EF">
              <w:rPr>
                <w:color w:val="1F497D"/>
                <w:sz w:val="20"/>
                <w:szCs w:val="16"/>
                <w:lang w:val="en-US"/>
              </w:rPr>
              <w:t>Outdoor burning air plan rule number</w:t>
            </w:r>
          </w:p>
        </w:tc>
        <w:tc>
          <w:tcPr>
            <w:tcW w:w="2221" w:type="dxa"/>
            <w:tcBorders>
              <w:top w:val="single" w:sz="4" w:space="0" w:color="auto"/>
              <w:bottom w:val="single" w:sz="4" w:space="0" w:color="auto"/>
            </w:tcBorders>
            <w:vAlign w:val="center"/>
          </w:tcPr>
          <w:p w14:paraId="071AF35E" w14:textId="77777777" w:rsidR="00115524" w:rsidRPr="001E66EF" w:rsidRDefault="00115524" w:rsidP="00081AD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color w:val="1F497D"/>
                <w:sz w:val="20"/>
                <w:szCs w:val="16"/>
                <w:lang w:val="en-US"/>
              </w:rPr>
            </w:pPr>
            <w:r w:rsidRPr="001E66EF">
              <w:rPr>
                <w:color w:val="1F497D"/>
                <w:sz w:val="20"/>
                <w:szCs w:val="16"/>
                <w:lang w:val="en-US"/>
              </w:rPr>
              <w:t>Activity status in within airsheds</w:t>
            </w:r>
          </w:p>
        </w:tc>
        <w:tc>
          <w:tcPr>
            <w:tcW w:w="1417" w:type="dxa"/>
            <w:tcBorders>
              <w:top w:val="single" w:sz="4" w:space="0" w:color="auto"/>
              <w:bottom w:val="single" w:sz="4" w:space="0" w:color="auto"/>
            </w:tcBorders>
            <w:vAlign w:val="center"/>
          </w:tcPr>
          <w:p w14:paraId="2FF713FF" w14:textId="77777777" w:rsidR="00115524" w:rsidRPr="001E66EF" w:rsidRDefault="00115524" w:rsidP="00081AD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color w:val="1F497D"/>
                <w:sz w:val="20"/>
                <w:szCs w:val="16"/>
                <w:lang w:val="en-US"/>
              </w:rPr>
            </w:pPr>
            <w:r w:rsidRPr="001E66EF">
              <w:rPr>
                <w:color w:val="1F497D"/>
                <w:sz w:val="20"/>
                <w:szCs w:val="16"/>
                <w:lang w:val="en-US"/>
              </w:rPr>
              <w:t>Activity status outside airsheds</w:t>
            </w:r>
          </w:p>
        </w:tc>
        <w:tc>
          <w:tcPr>
            <w:tcW w:w="851" w:type="dxa"/>
            <w:tcBorders>
              <w:top w:val="single" w:sz="4" w:space="0" w:color="auto"/>
              <w:bottom w:val="single" w:sz="4" w:space="0" w:color="auto"/>
            </w:tcBorders>
            <w:vAlign w:val="center"/>
          </w:tcPr>
          <w:p w14:paraId="34C6F5FA" w14:textId="77777777" w:rsidR="00115524" w:rsidRPr="001E66EF" w:rsidRDefault="00115524" w:rsidP="00081AD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color w:val="1F497D"/>
                <w:sz w:val="20"/>
                <w:szCs w:val="16"/>
                <w:lang w:val="en-US"/>
              </w:rPr>
            </w:pPr>
            <w:r w:rsidRPr="001E66EF">
              <w:rPr>
                <w:color w:val="1F497D"/>
                <w:sz w:val="20"/>
                <w:szCs w:val="16"/>
                <w:lang w:val="en-US"/>
              </w:rPr>
              <w:t>Year of plan</w:t>
            </w:r>
          </w:p>
        </w:tc>
        <w:tc>
          <w:tcPr>
            <w:tcW w:w="1984" w:type="dxa"/>
            <w:tcBorders>
              <w:top w:val="single" w:sz="4" w:space="0" w:color="auto"/>
              <w:bottom w:val="single" w:sz="4" w:space="0" w:color="auto"/>
            </w:tcBorders>
            <w:vAlign w:val="center"/>
          </w:tcPr>
          <w:p w14:paraId="4FD75794" w14:textId="26A4E77E" w:rsidR="00115524" w:rsidRPr="001E66EF" w:rsidRDefault="003B07BB" w:rsidP="00081AD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color w:val="1F497D"/>
                <w:sz w:val="20"/>
                <w:szCs w:val="16"/>
                <w:lang w:val="en-US"/>
              </w:rPr>
            </w:pPr>
            <w:r w:rsidRPr="001E66EF">
              <w:rPr>
                <w:color w:val="1F497D"/>
                <w:sz w:val="20"/>
                <w:szCs w:val="16"/>
                <w:lang w:val="en-US"/>
              </w:rPr>
              <w:t>C</w:t>
            </w:r>
            <w:r w:rsidR="00115524" w:rsidRPr="001E66EF">
              <w:rPr>
                <w:color w:val="1F497D"/>
                <w:sz w:val="20"/>
                <w:szCs w:val="16"/>
                <w:lang w:val="en-US"/>
              </w:rPr>
              <w:t>omments</w:t>
            </w:r>
          </w:p>
        </w:tc>
      </w:tr>
      <w:tr w:rsidR="00115524" w:rsidRPr="001E66EF" w14:paraId="30C7A1D0"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right w:val="single" w:sz="4" w:space="0" w:color="auto"/>
            </w:tcBorders>
            <w:vAlign w:val="center"/>
          </w:tcPr>
          <w:p w14:paraId="3EFF1CEE"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Northland</w:t>
            </w:r>
          </w:p>
        </w:tc>
        <w:tc>
          <w:tcPr>
            <w:tcW w:w="1890" w:type="dxa"/>
            <w:tcBorders>
              <w:top w:val="single" w:sz="4" w:space="0" w:color="auto"/>
              <w:left w:val="single" w:sz="4" w:space="0" w:color="auto"/>
            </w:tcBorders>
            <w:vAlign w:val="bottom"/>
          </w:tcPr>
          <w:p w14:paraId="5C059BEB"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10.3</w:t>
            </w:r>
          </w:p>
        </w:tc>
        <w:tc>
          <w:tcPr>
            <w:tcW w:w="2221" w:type="dxa"/>
            <w:tcBorders>
              <w:top w:val="single" w:sz="4" w:space="0" w:color="auto"/>
            </w:tcBorders>
            <w:vAlign w:val="bottom"/>
          </w:tcPr>
          <w:p w14:paraId="5E3B6ED2"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Not permitted</w:t>
            </w:r>
          </w:p>
        </w:tc>
        <w:tc>
          <w:tcPr>
            <w:tcW w:w="1417" w:type="dxa"/>
            <w:tcBorders>
              <w:top w:val="single" w:sz="4" w:space="0" w:color="auto"/>
            </w:tcBorders>
            <w:vAlign w:val="bottom"/>
          </w:tcPr>
          <w:p w14:paraId="29175012"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tcBorders>
              <w:top w:val="single" w:sz="4" w:space="0" w:color="auto"/>
            </w:tcBorders>
            <w:vAlign w:val="bottom"/>
          </w:tcPr>
          <w:p w14:paraId="7E679DF3"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2003</w:t>
            </w:r>
          </w:p>
        </w:tc>
        <w:tc>
          <w:tcPr>
            <w:tcW w:w="1984" w:type="dxa"/>
            <w:tcBorders>
              <w:top w:val="single" w:sz="4" w:space="0" w:color="auto"/>
            </w:tcBorders>
            <w:vAlign w:val="bottom"/>
          </w:tcPr>
          <w:p w14:paraId="68236431"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r>
      <w:tr w:rsidR="00115524" w:rsidRPr="001E66EF" w14:paraId="48329251"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7597859F"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Auckland</w:t>
            </w:r>
          </w:p>
        </w:tc>
        <w:tc>
          <w:tcPr>
            <w:tcW w:w="1890" w:type="dxa"/>
            <w:tcBorders>
              <w:left w:val="single" w:sz="4" w:space="0" w:color="auto"/>
            </w:tcBorders>
            <w:vAlign w:val="bottom"/>
          </w:tcPr>
          <w:p w14:paraId="50EE1587"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4.5.11</w:t>
            </w:r>
          </w:p>
        </w:tc>
        <w:tc>
          <w:tcPr>
            <w:tcW w:w="2221" w:type="dxa"/>
            <w:vAlign w:val="bottom"/>
          </w:tcPr>
          <w:p w14:paraId="58BCC41E"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1417" w:type="dxa"/>
            <w:vAlign w:val="bottom"/>
          </w:tcPr>
          <w:p w14:paraId="5CBC9833"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4A27CC8B"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2013</w:t>
            </w:r>
          </w:p>
        </w:tc>
        <w:tc>
          <w:tcPr>
            <w:tcW w:w="1984" w:type="dxa"/>
            <w:vAlign w:val="bottom"/>
          </w:tcPr>
          <w:p w14:paraId="73DEDF89"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New plan currently proposed</w:t>
            </w:r>
          </w:p>
        </w:tc>
      </w:tr>
      <w:tr w:rsidR="00115524" w:rsidRPr="001E66EF" w14:paraId="738D5D73"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5723F787"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Waikato</w:t>
            </w:r>
          </w:p>
        </w:tc>
        <w:tc>
          <w:tcPr>
            <w:tcW w:w="1890" w:type="dxa"/>
            <w:tcBorders>
              <w:left w:val="single" w:sz="4" w:space="0" w:color="auto"/>
            </w:tcBorders>
            <w:vAlign w:val="bottom"/>
          </w:tcPr>
          <w:p w14:paraId="19DBE889"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6.1.13.1</w:t>
            </w:r>
          </w:p>
        </w:tc>
        <w:tc>
          <w:tcPr>
            <w:tcW w:w="2221" w:type="dxa"/>
            <w:vAlign w:val="bottom"/>
          </w:tcPr>
          <w:p w14:paraId="2474983A"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1417" w:type="dxa"/>
            <w:vAlign w:val="bottom"/>
          </w:tcPr>
          <w:p w14:paraId="2800B559"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3E39EDBA"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2011</w:t>
            </w:r>
          </w:p>
        </w:tc>
        <w:tc>
          <w:tcPr>
            <w:tcW w:w="1984" w:type="dxa"/>
            <w:vAlign w:val="bottom"/>
          </w:tcPr>
          <w:p w14:paraId="4F61BC9B"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r>
      <w:tr w:rsidR="00115524" w:rsidRPr="001E66EF" w14:paraId="20CCFF1C"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1146E823"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Bay of Plenty</w:t>
            </w:r>
          </w:p>
        </w:tc>
        <w:tc>
          <w:tcPr>
            <w:tcW w:w="1890" w:type="dxa"/>
            <w:tcBorders>
              <w:left w:val="single" w:sz="4" w:space="0" w:color="auto"/>
            </w:tcBorders>
            <w:vAlign w:val="bottom"/>
          </w:tcPr>
          <w:p w14:paraId="684434CB"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5</w:t>
            </w:r>
          </w:p>
        </w:tc>
        <w:tc>
          <w:tcPr>
            <w:tcW w:w="2221" w:type="dxa"/>
            <w:vAlign w:val="bottom"/>
          </w:tcPr>
          <w:p w14:paraId="1BAA44C9"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1417" w:type="dxa"/>
            <w:vAlign w:val="bottom"/>
          </w:tcPr>
          <w:p w14:paraId="6E1DA237"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01E517F6"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2003</w:t>
            </w:r>
          </w:p>
        </w:tc>
        <w:tc>
          <w:tcPr>
            <w:tcW w:w="1984" w:type="dxa"/>
            <w:vAlign w:val="bottom"/>
          </w:tcPr>
          <w:p w14:paraId="4CD4F522"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r>
      <w:tr w:rsidR="00115524" w:rsidRPr="001E66EF" w14:paraId="7A8BECFC"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736392E9"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Gisborne</w:t>
            </w:r>
          </w:p>
        </w:tc>
        <w:tc>
          <w:tcPr>
            <w:tcW w:w="1890" w:type="dxa"/>
            <w:tcBorders>
              <w:left w:val="single" w:sz="4" w:space="0" w:color="auto"/>
            </w:tcBorders>
            <w:vAlign w:val="bottom"/>
          </w:tcPr>
          <w:p w14:paraId="4E07E842"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2221" w:type="dxa"/>
            <w:vAlign w:val="bottom"/>
          </w:tcPr>
          <w:p w14:paraId="2066104F"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1417" w:type="dxa"/>
            <w:vAlign w:val="bottom"/>
          </w:tcPr>
          <w:p w14:paraId="068C627F"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851" w:type="dxa"/>
            <w:vAlign w:val="bottom"/>
          </w:tcPr>
          <w:p w14:paraId="52AB53AA"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1984" w:type="dxa"/>
            <w:vAlign w:val="bottom"/>
          </w:tcPr>
          <w:p w14:paraId="11B57D13"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r>
      <w:tr w:rsidR="00115524" w:rsidRPr="001E66EF" w14:paraId="79DB85AD"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650F6A65"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Hawkes Bay</w:t>
            </w:r>
          </w:p>
        </w:tc>
        <w:tc>
          <w:tcPr>
            <w:tcW w:w="1890" w:type="dxa"/>
            <w:tcBorders>
              <w:left w:val="single" w:sz="4" w:space="0" w:color="auto"/>
            </w:tcBorders>
            <w:vAlign w:val="bottom"/>
          </w:tcPr>
          <w:p w14:paraId="1B717F6F"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2221" w:type="dxa"/>
            <w:vAlign w:val="bottom"/>
          </w:tcPr>
          <w:p w14:paraId="6C327786"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417" w:type="dxa"/>
            <w:vAlign w:val="bottom"/>
          </w:tcPr>
          <w:p w14:paraId="67204457"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851" w:type="dxa"/>
            <w:vAlign w:val="bottom"/>
          </w:tcPr>
          <w:p w14:paraId="5BEAB6C3"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984" w:type="dxa"/>
            <w:vAlign w:val="bottom"/>
          </w:tcPr>
          <w:p w14:paraId="56724C07"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r>
      <w:tr w:rsidR="00115524" w:rsidRPr="001E66EF" w14:paraId="774D333E"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75A43595"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Wanganui-Manawatu</w:t>
            </w:r>
          </w:p>
        </w:tc>
        <w:tc>
          <w:tcPr>
            <w:tcW w:w="1890" w:type="dxa"/>
            <w:tcBorders>
              <w:left w:val="single" w:sz="4" w:space="0" w:color="auto"/>
            </w:tcBorders>
            <w:vAlign w:val="bottom"/>
          </w:tcPr>
          <w:p w14:paraId="37A87929"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2221" w:type="dxa"/>
            <w:vAlign w:val="bottom"/>
          </w:tcPr>
          <w:p w14:paraId="553CE040"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1417" w:type="dxa"/>
            <w:vAlign w:val="bottom"/>
          </w:tcPr>
          <w:p w14:paraId="1B73E699"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851" w:type="dxa"/>
            <w:vAlign w:val="bottom"/>
          </w:tcPr>
          <w:p w14:paraId="48622BE9"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1984" w:type="dxa"/>
            <w:vAlign w:val="bottom"/>
          </w:tcPr>
          <w:p w14:paraId="793B698D"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r>
      <w:tr w:rsidR="00115524" w:rsidRPr="001E66EF" w14:paraId="61E94E7F"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67B3B673"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Taranaki</w:t>
            </w:r>
          </w:p>
        </w:tc>
        <w:tc>
          <w:tcPr>
            <w:tcW w:w="1890" w:type="dxa"/>
            <w:tcBorders>
              <w:left w:val="single" w:sz="4" w:space="0" w:color="auto"/>
            </w:tcBorders>
            <w:vAlign w:val="bottom"/>
          </w:tcPr>
          <w:p w14:paraId="746B4D64"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2221" w:type="dxa"/>
            <w:vAlign w:val="bottom"/>
          </w:tcPr>
          <w:p w14:paraId="5384D995"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417" w:type="dxa"/>
            <w:vAlign w:val="bottom"/>
          </w:tcPr>
          <w:p w14:paraId="2A9C0478"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851" w:type="dxa"/>
            <w:vAlign w:val="bottom"/>
          </w:tcPr>
          <w:p w14:paraId="3E64332E"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984" w:type="dxa"/>
            <w:vAlign w:val="bottom"/>
          </w:tcPr>
          <w:p w14:paraId="250C3F68"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r>
      <w:tr w:rsidR="00115524" w:rsidRPr="001E66EF" w14:paraId="08B4DEAF"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4E75568C" w14:textId="1F518619"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Wellington</w:t>
            </w:r>
          </w:p>
        </w:tc>
        <w:tc>
          <w:tcPr>
            <w:tcW w:w="1890" w:type="dxa"/>
            <w:tcBorders>
              <w:left w:val="single" w:sz="4" w:space="0" w:color="auto"/>
            </w:tcBorders>
            <w:vAlign w:val="bottom"/>
          </w:tcPr>
          <w:p w14:paraId="06860EBB"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19</w:t>
            </w:r>
          </w:p>
        </w:tc>
        <w:tc>
          <w:tcPr>
            <w:tcW w:w="2221" w:type="dxa"/>
            <w:vAlign w:val="bottom"/>
          </w:tcPr>
          <w:p w14:paraId="5FEFD58D"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1417" w:type="dxa"/>
            <w:vAlign w:val="bottom"/>
          </w:tcPr>
          <w:p w14:paraId="0EE07637"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5423D659"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2000</w:t>
            </w:r>
          </w:p>
        </w:tc>
        <w:tc>
          <w:tcPr>
            <w:tcW w:w="1984" w:type="dxa"/>
            <w:vAlign w:val="bottom"/>
          </w:tcPr>
          <w:p w14:paraId="7DE30146"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New plan currently proposed</w:t>
            </w:r>
          </w:p>
        </w:tc>
      </w:tr>
      <w:tr w:rsidR="00115524" w:rsidRPr="001E66EF" w14:paraId="73A154B2"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1DCF839E"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Tasman</w:t>
            </w:r>
          </w:p>
        </w:tc>
        <w:tc>
          <w:tcPr>
            <w:tcW w:w="1890" w:type="dxa"/>
            <w:tcBorders>
              <w:left w:val="single" w:sz="4" w:space="0" w:color="auto"/>
            </w:tcBorders>
            <w:vAlign w:val="bottom"/>
          </w:tcPr>
          <w:p w14:paraId="3CF90609"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2221" w:type="dxa"/>
            <w:vAlign w:val="bottom"/>
          </w:tcPr>
          <w:p w14:paraId="3869659B"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417" w:type="dxa"/>
            <w:vAlign w:val="bottom"/>
          </w:tcPr>
          <w:p w14:paraId="3E6BB916"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851" w:type="dxa"/>
            <w:vAlign w:val="bottom"/>
          </w:tcPr>
          <w:p w14:paraId="45A8494C"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984" w:type="dxa"/>
            <w:vAlign w:val="bottom"/>
          </w:tcPr>
          <w:p w14:paraId="6410CD50"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r>
      <w:tr w:rsidR="00115524" w:rsidRPr="001E66EF" w14:paraId="650BC552"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0F3B1A51" w14:textId="15921ED6"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Nelson</w:t>
            </w:r>
          </w:p>
        </w:tc>
        <w:tc>
          <w:tcPr>
            <w:tcW w:w="1890" w:type="dxa"/>
            <w:tcBorders>
              <w:left w:val="single" w:sz="4" w:space="0" w:color="auto"/>
            </w:tcBorders>
            <w:vAlign w:val="bottom"/>
          </w:tcPr>
          <w:p w14:paraId="696D4D65"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AQr.54</w:t>
            </w:r>
          </w:p>
        </w:tc>
        <w:tc>
          <w:tcPr>
            <w:tcW w:w="2221" w:type="dxa"/>
            <w:vAlign w:val="bottom"/>
          </w:tcPr>
          <w:p w14:paraId="213F0FD5"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1417" w:type="dxa"/>
            <w:vAlign w:val="bottom"/>
          </w:tcPr>
          <w:p w14:paraId="0B4F26B0"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768BEC46"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2008</w:t>
            </w:r>
          </w:p>
        </w:tc>
        <w:tc>
          <w:tcPr>
            <w:tcW w:w="1984" w:type="dxa"/>
            <w:vAlign w:val="bottom"/>
          </w:tcPr>
          <w:p w14:paraId="70F43E6D"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New plan currently proposed</w:t>
            </w:r>
          </w:p>
        </w:tc>
      </w:tr>
      <w:tr w:rsidR="00115524" w:rsidRPr="001E66EF" w14:paraId="0CF39373"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0F9DC005"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Marlborough</w:t>
            </w:r>
          </w:p>
        </w:tc>
        <w:tc>
          <w:tcPr>
            <w:tcW w:w="1890" w:type="dxa"/>
            <w:tcBorders>
              <w:left w:val="single" w:sz="4" w:space="0" w:color="auto"/>
            </w:tcBorders>
            <w:vAlign w:val="bottom"/>
          </w:tcPr>
          <w:p w14:paraId="31DC4281"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2221" w:type="dxa"/>
            <w:vAlign w:val="bottom"/>
          </w:tcPr>
          <w:p w14:paraId="69F01BAA"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417" w:type="dxa"/>
            <w:vAlign w:val="bottom"/>
          </w:tcPr>
          <w:p w14:paraId="3B622991"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851" w:type="dxa"/>
            <w:vAlign w:val="bottom"/>
          </w:tcPr>
          <w:p w14:paraId="3FE16D3A"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984" w:type="dxa"/>
            <w:vAlign w:val="bottom"/>
          </w:tcPr>
          <w:p w14:paraId="462823D6"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r>
      <w:tr w:rsidR="00115524" w:rsidRPr="001E66EF" w14:paraId="0CDAE389"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776C59EC"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West Coast</w:t>
            </w:r>
          </w:p>
        </w:tc>
        <w:tc>
          <w:tcPr>
            <w:tcW w:w="1890" w:type="dxa"/>
            <w:tcBorders>
              <w:left w:val="single" w:sz="4" w:space="0" w:color="auto"/>
            </w:tcBorders>
            <w:vAlign w:val="bottom"/>
          </w:tcPr>
          <w:p w14:paraId="12C2A6F4"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2221" w:type="dxa"/>
            <w:vAlign w:val="bottom"/>
          </w:tcPr>
          <w:p w14:paraId="508B87A0"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1417" w:type="dxa"/>
            <w:vAlign w:val="bottom"/>
          </w:tcPr>
          <w:p w14:paraId="13DEECAE"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851" w:type="dxa"/>
            <w:vAlign w:val="bottom"/>
          </w:tcPr>
          <w:p w14:paraId="6A2A83BC"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c>
          <w:tcPr>
            <w:tcW w:w="1984" w:type="dxa"/>
            <w:vAlign w:val="bottom"/>
          </w:tcPr>
          <w:p w14:paraId="7C0CA9CC"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r>
      <w:tr w:rsidR="00115524" w:rsidRPr="001E66EF" w14:paraId="086EE3A1"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4457ABF4"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Canterbury</w:t>
            </w:r>
          </w:p>
        </w:tc>
        <w:tc>
          <w:tcPr>
            <w:tcW w:w="1890" w:type="dxa"/>
            <w:tcBorders>
              <w:left w:val="single" w:sz="4" w:space="0" w:color="auto"/>
            </w:tcBorders>
            <w:vAlign w:val="bottom"/>
          </w:tcPr>
          <w:p w14:paraId="726C776B"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AQL 28-35</w:t>
            </w:r>
          </w:p>
        </w:tc>
        <w:tc>
          <w:tcPr>
            <w:tcW w:w="2221" w:type="dxa"/>
            <w:vAlign w:val="bottom"/>
          </w:tcPr>
          <w:p w14:paraId="462E4486"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Restricted in winter months within clean air zones.</w:t>
            </w:r>
          </w:p>
        </w:tc>
        <w:tc>
          <w:tcPr>
            <w:tcW w:w="1417" w:type="dxa"/>
            <w:vAlign w:val="bottom"/>
          </w:tcPr>
          <w:p w14:paraId="78079DDF"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57406201"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2011</w:t>
            </w:r>
          </w:p>
        </w:tc>
        <w:tc>
          <w:tcPr>
            <w:tcW w:w="1984" w:type="dxa"/>
            <w:vAlign w:val="bottom"/>
          </w:tcPr>
          <w:p w14:paraId="5BFCB314"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New plan currently proposed</w:t>
            </w:r>
          </w:p>
        </w:tc>
      </w:tr>
      <w:tr w:rsidR="00115524" w:rsidRPr="001E66EF" w14:paraId="6A9483E0" w14:textId="77777777" w:rsidTr="0008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vAlign w:val="center"/>
          </w:tcPr>
          <w:p w14:paraId="211F5768"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Otago</w:t>
            </w:r>
          </w:p>
        </w:tc>
        <w:tc>
          <w:tcPr>
            <w:tcW w:w="1890" w:type="dxa"/>
            <w:tcBorders>
              <w:left w:val="single" w:sz="4" w:space="0" w:color="auto"/>
            </w:tcBorders>
            <w:vAlign w:val="bottom"/>
          </w:tcPr>
          <w:p w14:paraId="4A68E1EF" w14:textId="77777777" w:rsidR="00115524" w:rsidRPr="001E66EF" w:rsidRDefault="00115524" w:rsidP="001E66EF">
            <w:pPr>
              <w:spacing w:after="0" w:line="240" w:lineRule="auto"/>
              <w:ind w:left="232"/>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16.3.2</w:t>
            </w:r>
          </w:p>
        </w:tc>
        <w:tc>
          <w:tcPr>
            <w:tcW w:w="2221" w:type="dxa"/>
            <w:vAlign w:val="bottom"/>
          </w:tcPr>
          <w:p w14:paraId="34B06DA9" w14:textId="77777777" w:rsidR="00115524" w:rsidRPr="001E66EF" w:rsidRDefault="00115524" w:rsidP="00081AD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1417" w:type="dxa"/>
            <w:vAlign w:val="bottom"/>
          </w:tcPr>
          <w:p w14:paraId="6F6BAC15" w14:textId="77777777" w:rsidR="00115524" w:rsidRPr="001E66EF" w:rsidRDefault="00115524" w:rsidP="001E66EF">
            <w:pPr>
              <w:spacing w:after="0" w:line="240" w:lineRule="auto"/>
              <w:ind w:left="196"/>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Permitted</w:t>
            </w:r>
          </w:p>
        </w:tc>
        <w:tc>
          <w:tcPr>
            <w:tcW w:w="851" w:type="dxa"/>
            <w:vAlign w:val="bottom"/>
          </w:tcPr>
          <w:p w14:paraId="10B58A9B" w14:textId="77777777" w:rsidR="00115524" w:rsidRPr="001E66EF" w:rsidRDefault="00115524" w:rsidP="001E66EF">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r w:rsidRPr="001E66EF">
              <w:rPr>
                <w:color w:val="1F497D"/>
                <w:sz w:val="16"/>
                <w:szCs w:val="16"/>
                <w:lang w:val="en-US"/>
              </w:rPr>
              <w:t>2009</w:t>
            </w:r>
          </w:p>
        </w:tc>
        <w:tc>
          <w:tcPr>
            <w:tcW w:w="1984" w:type="dxa"/>
            <w:vAlign w:val="bottom"/>
          </w:tcPr>
          <w:p w14:paraId="1F932238" w14:textId="77777777" w:rsidR="00115524" w:rsidRPr="001E66EF" w:rsidRDefault="00115524" w:rsidP="001E66EF">
            <w:pPr>
              <w:spacing w:after="0" w:line="240" w:lineRule="auto"/>
              <w:ind w:left="170"/>
              <w:jc w:val="left"/>
              <w:cnfStyle w:val="000000100000" w:firstRow="0" w:lastRow="0" w:firstColumn="0" w:lastColumn="0" w:oddVBand="0" w:evenVBand="0" w:oddHBand="1" w:evenHBand="0" w:firstRowFirstColumn="0" w:firstRowLastColumn="0" w:lastRowFirstColumn="0" w:lastRowLastColumn="0"/>
              <w:rPr>
                <w:color w:val="1F497D"/>
                <w:sz w:val="16"/>
                <w:szCs w:val="16"/>
                <w:lang w:val="en-US"/>
              </w:rPr>
            </w:pPr>
          </w:p>
        </w:tc>
      </w:tr>
      <w:tr w:rsidR="00115524" w:rsidRPr="001E66EF" w14:paraId="2B86B64B" w14:textId="77777777" w:rsidTr="00081AD9">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right w:val="single" w:sz="4" w:space="0" w:color="auto"/>
            </w:tcBorders>
            <w:vAlign w:val="center"/>
          </w:tcPr>
          <w:p w14:paraId="5E9417CB" w14:textId="77777777" w:rsidR="00115524" w:rsidRPr="001E66EF" w:rsidRDefault="00115524" w:rsidP="001E66EF">
            <w:pPr>
              <w:spacing w:after="0" w:line="240" w:lineRule="auto"/>
              <w:ind w:left="177"/>
              <w:jc w:val="left"/>
              <w:rPr>
                <w:color w:val="1F497D"/>
                <w:sz w:val="16"/>
                <w:szCs w:val="16"/>
                <w:lang w:val="en-US"/>
              </w:rPr>
            </w:pPr>
            <w:r w:rsidRPr="001E66EF">
              <w:rPr>
                <w:color w:val="1F497D"/>
                <w:sz w:val="16"/>
                <w:szCs w:val="16"/>
                <w:lang w:val="en-US"/>
              </w:rPr>
              <w:t>Southland</w:t>
            </w:r>
          </w:p>
        </w:tc>
        <w:tc>
          <w:tcPr>
            <w:tcW w:w="1890" w:type="dxa"/>
            <w:tcBorders>
              <w:left w:val="single" w:sz="4" w:space="0" w:color="auto"/>
              <w:bottom w:val="single" w:sz="4" w:space="0" w:color="auto"/>
            </w:tcBorders>
            <w:vAlign w:val="bottom"/>
          </w:tcPr>
          <w:p w14:paraId="7261A467" w14:textId="77777777" w:rsidR="00115524" w:rsidRPr="001E66EF" w:rsidRDefault="00115524" w:rsidP="001E66EF">
            <w:pPr>
              <w:spacing w:after="0" w:line="240" w:lineRule="auto"/>
              <w:ind w:left="232"/>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5</w:t>
            </w:r>
          </w:p>
        </w:tc>
        <w:tc>
          <w:tcPr>
            <w:tcW w:w="2221" w:type="dxa"/>
            <w:tcBorders>
              <w:bottom w:val="single" w:sz="4" w:space="0" w:color="auto"/>
            </w:tcBorders>
            <w:vAlign w:val="bottom"/>
          </w:tcPr>
          <w:p w14:paraId="26ED0592"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Permitted September to April</w:t>
            </w:r>
          </w:p>
          <w:p w14:paraId="6DFB7925" w14:textId="77777777" w:rsidR="00115524" w:rsidRPr="001E66EF" w:rsidRDefault="00115524" w:rsidP="00081AD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Not permitted May to August.</w:t>
            </w:r>
          </w:p>
        </w:tc>
        <w:tc>
          <w:tcPr>
            <w:tcW w:w="1417" w:type="dxa"/>
            <w:tcBorders>
              <w:bottom w:val="single" w:sz="4" w:space="0" w:color="auto"/>
            </w:tcBorders>
            <w:vAlign w:val="bottom"/>
          </w:tcPr>
          <w:p w14:paraId="636368BD" w14:textId="77777777" w:rsidR="00115524" w:rsidRPr="001E66EF" w:rsidRDefault="00115524" w:rsidP="001E66EF">
            <w:pPr>
              <w:spacing w:after="0" w:line="240" w:lineRule="auto"/>
              <w:ind w:left="196"/>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 xml:space="preserve">Permitted </w:t>
            </w:r>
          </w:p>
        </w:tc>
        <w:tc>
          <w:tcPr>
            <w:tcW w:w="851" w:type="dxa"/>
            <w:tcBorders>
              <w:bottom w:val="single" w:sz="4" w:space="0" w:color="auto"/>
            </w:tcBorders>
            <w:vAlign w:val="bottom"/>
          </w:tcPr>
          <w:p w14:paraId="77B614DD" w14:textId="77777777" w:rsidR="00115524" w:rsidRPr="001E66EF" w:rsidRDefault="00115524" w:rsidP="001E66EF">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p>
        </w:tc>
        <w:tc>
          <w:tcPr>
            <w:tcW w:w="1984" w:type="dxa"/>
            <w:tcBorders>
              <w:bottom w:val="single" w:sz="4" w:space="0" w:color="auto"/>
            </w:tcBorders>
            <w:vAlign w:val="bottom"/>
          </w:tcPr>
          <w:p w14:paraId="1F4B6C4E" w14:textId="77777777" w:rsidR="00115524" w:rsidRPr="001E66EF" w:rsidRDefault="00115524" w:rsidP="001E66EF">
            <w:pPr>
              <w:spacing w:after="0" w:line="240" w:lineRule="auto"/>
              <w:ind w:left="170"/>
              <w:jc w:val="left"/>
              <w:cnfStyle w:val="000000000000" w:firstRow="0" w:lastRow="0" w:firstColumn="0" w:lastColumn="0" w:oddVBand="0" w:evenVBand="0" w:oddHBand="0" w:evenHBand="0" w:firstRowFirstColumn="0" w:firstRowLastColumn="0" w:lastRowFirstColumn="0" w:lastRowLastColumn="0"/>
              <w:rPr>
                <w:color w:val="1F497D"/>
                <w:sz w:val="16"/>
                <w:szCs w:val="16"/>
                <w:lang w:val="en-US"/>
              </w:rPr>
            </w:pPr>
            <w:r w:rsidRPr="001E66EF">
              <w:rPr>
                <w:color w:val="1F497D"/>
                <w:sz w:val="16"/>
                <w:szCs w:val="16"/>
                <w:lang w:val="en-US"/>
              </w:rPr>
              <w:t>New plan currently proposed</w:t>
            </w:r>
          </w:p>
        </w:tc>
      </w:tr>
    </w:tbl>
    <w:p w14:paraId="48F7CE44" w14:textId="77777777" w:rsidR="001E66EF" w:rsidRDefault="001E66EF" w:rsidP="001E66EF"/>
    <w:p w14:paraId="38759C9C" w14:textId="7C08BC7D" w:rsidR="001E66EF" w:rsidRPr="001E66EF" w:rsidRDefault="001E66EF" w:rsidP="00067149">
      <w:pPr>
        <w:spacing w:after="120" w:line="240" w:lineRule="auto"/>
      </w:pPr>
      <w:r w:rsidRPr="001E66EF">
        <w:t>The review showed that outdoor burning within airsheds is a permitted activity in all (of the reviewed) but one</w:t>
      </w:r>
      <w:r w:rsidR="00067149">
        <w:t xml:space="preserve"> of</w:t>
      </w:r>
      <w:r w:rsidRPr="001E66EF">
        <w:t xml:space="preserve"> the regions (Northland)</w:t>
      </w:r>
      <w:r w:rsidR="00A07800">
        <w:t>.</w:t>
      </w:r>
      <w:r w:rsidRPr="001E66EF">
        <w:t xml:space="preserve">  The permitted activity status of the outdoor burning rule is subject to a number of generic conditions,</w:t>
      </w:r>
    </w:p>
    <w:p w14:paraId="1305E2B1" w14:textId="2D6E6765" w:rsidR="001E66EF" w:rsidRPr="001E66EF" w:rsidRDefault="001E66EF" w:rsidP="00067149">
      <w:pPr>
        <w:pStyle w:val="MEBullet"/>
        <w:spacing w:after="120" w:line="240" w:lineRule="auto"/>
        <w:ind w:left="1706" w:hanging="713"/>
      </w:pPr>
      <w:r w:rsidRPr="001E66EF">
        <w:t xml:space="preserve">no noxious effects, </w:t>
      </w:r>
      <w:r w:rsidR="00067149">
        <w:t>and</w:t>
      </w:r>
    </w:p>
    <w:p w14:paraId="63D667DB" w14:textId="77777777" w:rsidR="001E66EF" w:rsidRPr="001E66EF" w:rsidRDefault="001E66EF" w:rsidP="00067149">
      <w:pPr>
        <w:pStyle w:val="MEBullet"/>
        <w:spacing w:after="120" w:line="240" w:lineRule="auto"/>
        <w:ind w:left="1706" w:hanging="713"/>
      </w:pPr>
      <w:r w:rsidRPr="001E66EF">
        <w:t xml:space="preserve">restricting the materials burned to paper, untreated wood and some plastics. </w:t>
      </w:r>
    </w:p>
    <w:p w14:paraId="335B284E" w14:textId="4282A179" w:rsidR="001E66EF" w:rsidRPr="001E66EF" w:rsidRDefault="001E66EF" w:rsidP="001E66EF">
      <w:pPr>
        <w:pStyle w:val="MEBullet"/>
        <w:numPr>
          <w:ilvl w:val="0"/>
          <w:numId w:val="0"/>
        </w:numPr>
        <w:ind w:left="990"/>
      </w:pPr>
      <w:r w:rsidRPr="001E66EF">
        <w:t>In two regions (Canterbury and Southland) outdoor burning within airsheds is not permitted during winter months.  It has been assumed that</w:t>
      </w:r>
      <w:r w:rsidR="00067149">
        <w:t>,</w:t>
      </w:r>
      <w:r w:rsidRPr="001E66EF">
        <w:t xml:space="preserve"> given the regions reviewed all had outdoor burning as a permitted activity status</w:t>
      </w:r>
      <w:r w:rsidR="00067149">
        <w:t>,</w:t>
      </w:r>
      <w:r w:rsidRPr="001E66EF">
        <w:t xml:space="preserve"> that it would be permitted in the regions not reviewed.</w:t>
      </w:r>
    </w:p>
    <w:p w14:paraId="6A0C196F" w14:textId="2A413483" w:rsidR="00115524" w:rsidRPr="00CD6350" w:rsidRDefault="001E66EF" w:rsidP="00CD6350">
      <w:r w:rsidRPr="001E66EF">
        <w:lastRenderedPageBreak/>
        <w:t xml:space="preserve">Outdoor burning emissions have been allocated in the model, consistent with the rules within the plans reviewed.  </w:t>
      </w:r>
      <w:r w:rsidR="00067149">
        <w:t>An</w:t>
      </w:r>
      <w:r w:rsidRPr="001E66EF">
        <w:t xml:space="preserve"> exception is </w:t>
      </w:r>
      <w:r w:rsidR="00067149">
        <w:t xml:space="preserve">airsheds </w:t>
      </w:r>
      <w:r w:rsidRPr="001E66EF">
        <w:t xml:space="preserve">within the Northland </w:t>
      </w:r>
      <w:r w:rsidR="00067149">
        <w:t>region</w:t>
      </w:r>
      <w:r w:rsidRPr="001E66EF">
        <w:t>.  In theory</w:t>
      </w:r>
      <w:r w:rsidR="00067149">
        <w:t>,</w:t>
      </w:r>
      <w:r w:rsidRPr="001E66EF">
        <w:t xml:space="preserve"> the Northland air plan has banned outdoor burning in urban areas, so </w:t>
      </w:r>
      <w:r w:rsidR="00A07800" w:rsidRPr="001E66EF">
        <w:t>ideally,</w:t>
      </w:r>
      <w:r w:rsidRPr="001E66EF">
        <w:t xml:space="preserve"> we would remove all outdoor burning emissions from the airsheds within Northland and reallocate these emissions to the areas outside the airshed.  However, the volume of work required to do that for the gains in accuracy </w:t>
      </w:r>
      <w:r w:rsidR="00A07800">
        <w:t>suggest that the effort would not be justified (for the current project</w:t>
      </w:r>
      <w:r w:rsidR="00A07800">
        <w:rPr>
          <w:rStyle w:val="FootnoteReference"/>
        </w:rPr>
        <w:footnoteReference w:id="18"/>
      </w:r>
      <w:r w:rsidR="00A07800">
        <w:t xml:space="preserve">).  </w:t>
      </w:r>
    </w:p>
    <w:p w14:paraId="1CE6BA98" w14:textId="3105CE32" w:rsidR="008354A2" w:rsidRPr="001E66EF" w:rsidRDefault="00D71EE1" w:rsidP="00360188">
      <w:pPr>
        <w:pStyle w:val="Heading2"/>
        <w:rPr>
          <w:rFonts w:ascii="Calibri Light" w:hAnsi="Calibri Light"/>
        </w:rPr>
      </w:pPr>
      <w:bookmarkStart w:id="34" w:name="_Toc455044456"/>
      <w:bookmarkStart w:id="35" w:name="_Toc25569509"/>
      <w:r w:rsidRPr="001E66EF">
        <w:rPr>
          <w:rFonts w:ascii="Calibri Light" w:hAnsi="Calibri Light"/>
        </w:rPr>
        <w:t>Emissions of PM</w:t>
      </w:r>
      <w:r w:rsidRPr="001E66EF">
        <w:rPr>
          <w:rFonts w:ascii="Calibri Light" w:hAnsi="Calibri Light"/>
          <w:vertAlign w:val="subscript"/>
        </w:rPr>
        <w:t>10</w:t>
      </w:r>
      <w:r w:rsidRPr="001E66EF">
        <w:rPr>
          <w:rFonts w:ascii="Calibri Light" w:hAnsi="Calibri Light"/>
        </w:rPr>
        <w:t xml:space="preserve"> and PM</w:t>
      </w:r>
      <w:r w:rsidRPr="001E66EF">
        <w:rPr>
          <w:rFonts w:ascii="Calibri Light" w:hAnsi="Calibri Light"/>
          <w:vertAlign w:val="subscript"/>
        </w:rPr>
        <w:t>2.5</w:t>
      </w:r>
      <w:r w:rsidRPr="001E66EF">
        <w:rPr>
          <w:rFonts w:ascii="Calibri Light" w:hAnsi="Calibri Light"/>
        </w:rPr>
        <w:t xml:space="preserve"> – </w:t>
      </w:r>
      <w:r w:rsidR="008354A2" w:rsidRPr="001E66EF">
        <w:rPr>
          <w:rFonts w:ascii="Calibri Light" w:hAnsi="Calibri Light"/>
        </w:rPr>
        <w:t>Meteorological Factors</w:t>
      </w:r>
      <w:bookmarkEnd w:id="34"/>
      <w:bookmarkEnd w:id="35"/>
    </w:p>
    <w:p w14:paraId="6CEDC0E2" w14:textId="6C57C864" w:rsidR="008354A2" w:rsidRPr="001E66EF" w:rsidRDefault="008354A2" w:rsidP="008354A2">
      <w:r w:rsidRPr="001E66EF">
        <w:t xml:space="preserve">The results of </w:t>
      </w:r>
      <w:r w:rsidR="0004716F" w:rsidRPr="001E66EF">
        <w:t xml:space="preserve">the steps outlined in </w:t>
      </w:r>
      <w:r w:rsidRPr="001E66EF">
        <w:t>Sections 2.2 and 2.3 provide source-apportioned PM</w:t>
      </w:r>
      <w:r w:rsidRPr="001E66EF">
        <w:rPr>
          <w:vertAlign w:val="subscript"/>
        </w:rPr>
        <w:t>10</w:t>
      </w:r>
      <w:r w:rsidRPr="001E66EF">
        <w:t xml:space="preserve"> and PM</w:t>
      </w:r>
      <w:r w:rsidRPr="001E66EF">
        <w:rPr>
          <w:vertAlign w:val="subscript"/>
        </w:rPr>
        <w:t>2.5</w:t>
      </w:r>
      <w:r w:rsidRPr="001E66EF">
        <w:t>, for both the annual-averaged ambient concentration, and total emissions.  The ratio of ambient concentration to emission for each source type can then be used as a scaling factor to determine what the annual-average concentration of that component would change to if the emissions changed.  The ratio has been labelled a ‘meteorological factor’, as the resulting ambient concentrations depend on the dispersion of emitted PM</w:t>
      </w:r>
      <w:r w:rsidRPr="001E66EF">
        <w:rPr>
          <w:vertAlign w:val="subscript"/>
        </w:rPr>
        <w:t>10</w:t>
      </w:r>
      <w:r w:rsidRPr="001E66EF">
        <w:t xml:space="preserve"> and PM</w:t>
      </w:r>
      <w:r w:rsidRPr="001E66EF">
        <w:rPr>
          <w:vertAlign w:val="subscript"/>
        </w:rPr>
        <w:t>2.5</w:t>
      </w:r>
      <w:r w:rsidRPr="001E66EF">
        <w:t xml:space="preserve"> by meteorological effects.  Note the following:</w:t>
      </w:r>
    </w:p>
    <w:p w14:paraId="780DA20C" w14:textId="2ACEF077" w:rsidR="008354A2" w:rsidRDefault="008354A2" w:rsidP="00F83FED">
      <w:pPr>
        <w:pStyle w:val="MEBullet"/>
        <w:spacing w:after="120" w:line="240" w:lineRule="auto"/>
        <w:ind w:left="1706" w:hanging="714"/>
      </w:pPr>
      <w:r w:rsidRPr="001E66EF">
        <w:t>The use of the meteorological factor is assumed valid when relating annual-average PM</w:t>
      </w:r>
      <w:r w:rsidRPr="001E66EF">
        <w:rPr>
          <w:vertAlign w:val="subscript"/>
        </w:rPr>
        <w:t>10</w:t>
      </w:r>
      <w:r w:rsidRPr="001E66EF">
        <w:t xml:space="preserve"> and PM</w:t>
      </w:r>
      <w:r w:rsidRPr="001E66EF">
        <w:rPr>
          <w:vertAlign w:val="subscript"/>
        </w:rPr>
        <w:t>2.5</w:t>
      </w:r>
      <w:r w:rsidRPr="001E66EF">
        <w:t xml:space="preserve"> to annual-total emissions.  It </w:t>
      </w:r>
      <w:r w:rsidR="00766B7C" w:rsidRPr="001E66EF">
        <w:t>is more likely to hold true</w:t>
      </w:r>
      <w:r w:rsidRPr="001E66EF">
        <w:t xml:space="preserve"> for long-term averages, but care should be taken when applying this to daily peaks or counts of </w:t>
      </w:r>
      <w:r w:rsidR="00360188" w:rsidRPr="001E66EF">
        <w:t>exceedances</w:t>
      </w:r>
      <w:r w:rsidRPr="001E66EF">
        <w:t>.</w:t>
      </w:r>
    </w:p>
    <w:p w14:paraId="3E0EA19E" w14:textId="5ED15F1E" w:rsidR="008354A2" w:rsidRDefault="008354A2" w:rsidP="00F83FED">
      <w:pPr>
        <w:pStyle w:val="MEBullet"/>
        <w:spacing w:after="120" w:line="240" w:lineRule="auto"/>
        <w:ind w:left="1706" w:hanging="714"/>
      </w:pPr>
      <w:r w:rsidRPr="001E66EF">
        <w:t>The meteorological factor arises from a simple relationship, but varies by source (for instance, discharges from tall industrial stacks may be better dispersed than discharges from residential chimneys, or motor vehicles at ground level).</w:t>
      </w:r>
    </w:p>
    <w:p w14:paraId="525AFC98" w14:textId="56957B5C" w:rsidR="008354A2" w:rsidRPr="001E66EF" w:rsidRDefault="00135832" w:rsidP="00F83FED">
      <w:pPr>
        <w:pStyle w:val="MEBullet"/>
        <w:spacing w:after="120" w:line="240" w:lineRule="auto"/>
        <w:ind w:left="1706" w:hanging="714"/>
      </w:pPr>
      <w:r w:rsidRPr="001E66EF">
        <w:t>The meteorological factor varies between airsheds, due to the differing meteorological conditions they experience.</w:t>
      </w:r>
    </w:p>
    <w:p w14:paraId="07993707" w14:textId="204B8DFA" w:rsidR="008354A2" w:rsidRPr="001E66EF" w:rsidRDefault="00766B7C" w:rsidP="00F83FED">
      <w:pPr>
        <w:pStyle w:val="MEBullet"/>
        <w:spacing w:after="120" w:line="240" w:lineRule="auto"/>
        <w:ind w:left="1706" w:hanging="714"/>
      </w:pPr>
      <w:r w:rsidRPr="001E66EF">
        <w:t>A</w:t>
      </w:r>
      <w:r w:rsidR="008354A2" w:rsidRPr="001E66EF">
        <w:t>s emissions and concentration information have been derived independently, separate meteorological factors have been used for PM</w:t>
      </w:r>
      <w:r w:rsidR="008354A2" w:rsidRPr="001E66EF">
        <w:rPr>
          <w:vertAlign w:val="subscript"/>
        </w:rPr>
        <w:t>10</w:t>
      </w:r>
      <w:r w:rsidR="008354A2" w:rsidRPr="001E66EF">
        <w:t xml:space="preserve"> and PM</w:t>
      </w:r>
      <w:r w:rsidR="008354A2" w:rsidRPr="001E66EF">
        <w:rPr>
          <w:vertAlign w:val="subscript"/>
        </w:rPr>
        <w:t>2.5</w:t>
      </w:r>
      <w:r w:rsidRPr="001E66EF">
        <w:t>.</w:t>
      </w:r>
    </w:p>
    <w:p w14:paraId="5FCD7889" w14:textId="39C73629" w:rsidR="008354A2" w:rsidRDefault="008354A2" w:rsidP="00F83FED">
      <w:pPr>
        <w:pStyle w:val="MEBullet"/>
        <w:spacing w:after="120" w:line="240" w:lineRule="auto"/>
        <w:ind w:left="1706" w:hanging="714"/>
      </w:pPr>
      <w:r w:rsidRPr="001E66EF">
        <w:t>Two meteorological factors arise for each source-PM combination, as emissions are provided as annual or winter’s day totals.  Either may be used for the calculation of new concentrations from changed emissions.  The domestic heating component appropriately uses the winter’s day total; other sources use the annual total.</w:t>
      </w:r>
    </w:p>
    <w:p w14:paraId="2F94337A" w14:textId="46C419EC" w:rsidR="008F681D" w:rsidRPr="001E66EF" w:rsidRDefault="00D71EE1" w:rsidP="00652542">
      <w:pPr>
        <w:pStyle w:val="Heading2"/>
        <w:rPr>
          <w:rFonts w:ascii="Calibri Light" w:hAnsi="Calibri Light"/>
        </w:rPr>
      </w:pPr>
      <w:bookmarkStart w:id="36" w:name="_Ref454528695"/>
      <w:bookmarkStart w:id="37" w:name="_Toc455044457"/>
      <w:bookmarkStart w:id="38" w:name="_Toc25569510"/>
      <w:r w:rsidRPr="001E66EF">
        <w:rPr>
          <w:rFonts w:ascii="Calibri Light" w:hAnsi="Calibri Light"/>
        </w:rPr>
        <w:t>Emissions of PM</w:t>
      </w:r>
      <w:r w:rsidRPr="001E66EF">
        <w:rPr>
          <w:rFonts w:ascii="Calibri Light" w:hAnsi="Calibri Light"/>
          <w:vertAlign w:val="subscript"/>
        </w:rPr>
        <w:t>10</w:t>
      </w:r>
      <w:r w:rsidRPr="001E66EF">
        <w:rPr>
          <w:rFonts w:ascii="Calibri Light" w:hAnsi="Calibri Light"/>
        </w:rPr>
        <w:t xml:space="preserve"> and PM</w:t>
      </w:r>
      <w:r w:rsidRPr="001E66EF">
        <w:rPr>
          <w:rFonts w:ascii="Calibri Light" w:hAnsi="Calibri Light"/>
          <w:vertAlign w:val="subscript"/>
        </w:rPr>
        <w:t>2.5</w:t>
      </w:r>
      <w:r w:rsidRPr="001E66EF">
        <w:rPr>
          <w:rFonts w:ascii="Calibri Light" w:hAnsi="Calibri Light"/>
        </w:rPr>
        <w:t xml:space="preserve"> – </w:t>
      </w:r>
      <w:r w:rsidR="008F681D" w:rsidRPr="001E66EF">
        <w:rPr>
          <w:rFonts w:ascii="Calibri Light" w:hAnsi="Calibri Light"/>
        </w:rPr>
        <w:t>Home Heating Appliance Numbers</w:t>
      </w:r>
      <w:bookmarkEnd w:id="36"/>
      <w:bookmarkEnd w:id="37"/>
      <w:bookmarkEnd w:id="38"/>
    </w:p>
    <w:p w14:paraId="512AD581" w14:textId="7D0F31C2" w:rsidR="008F681D" w:rsidRPr="001E66EF" w:rsidRDefault="008F681D" w:rsidP="0042131C">
      <w:pPr>
        <w:pStyle w:val="Heading3"/>
        <w:rPr>
          <w:rFonts w:ascii="Calibri Light" w:hAnsi="Calibri Light"/>
        </w:rPr>
      </w:pPr>
      <w:r w:rsidRPr="001E66EF">
        <w:rPr>
          <w:rFonts w:ascii="Calibri Light" w:hAnsi="Calibri Light"/>
        </w:rPr>
        <w:t>Method</w:t>
      </w:r>
    </w:p>
    <w:p w14:paraId="3F1844C6" w14:textId="228845E1" w:rsidR="008F681D" w:rsidRPr="001E66EF" w:rsidRDefault="008F681D" w:rsidP="008F681D">
      <w:r w:rsidRPr="001E66EF">
        <w:t xml:space="preserve">The proposed </w:t>
      </w:r>
      <w:r w:rsidR="00900541" w:rsidRPr="001E66EF">
        <w:rPr>
          <w:rFonts w:cstheme="minorHAnsi"/>
          <w:lang w:eastAsia="en-GB"/>
        </w:rPr>
        <w:t>NESAQ</w:t>
      </w:r>
      <w:r w:rsidR="005568F1" w:rsidRPr="001E66EF">
        <w:t xml:space="preserve"> </w:t>
      </w:r>
      <w:r w:rsidRPr="001E66EF">
        <w:t>rules will have their greatest influence on home he</w:t>
      </w:r>
      <w:r w:rsidR="00360188" w:rsidRPr="001E66EF">
        <w:t>ating methods used by household</w:t>
      </w:r>
      <w:r w:rsidRPr="001E66EF">
        <w:t>s</w:t>
      </w:r>
      <w:r w:rsidR="00E54ABD" w:rsidRPr="001E66EF">
        <w:t xml:space="preserve">, </w:t>
      </w:r>
      <w:r w:rsidRPr="001E66EF">
        <w:t>lead</w:t>
      </w:r>
      <w:r w:rsidR="00E54ABD" w:rsidRPr="001E66EF">
        <w:t>ing</w:t>
      </w:r>
      <w:r w:rsidRPr="001E66EF">
        <w:t xml:space="preserve"> to changes in the numbers of specific heater types.  This means that numbers of individual heater types are needed for the base year 2013, and assumptions made </w:t>
      </w:r>
      <w:r w:rsidRPr="001E66EF">
        <w:lastRenderedPageBreak/>
        <w:t>regarding how those number</w:t>
      </w:r>
      <w:r w:rsidR="00E54ABD" w:rsidRPr="001E66EF">
        <w:t>s</w:t>
      </w:r>
      <w:r w:rsidRPr="001E66EF">
        <w:t xml:space="preserve"> will change, under the </w:t>
      </w:r>
      <w:r w:rsidR="00DE4C53" w:rsidRPr="001E66EF">
        <w:t xml:space="preserve">current NESAQ, i.e. status quo, and under the </w:t>
      </w:r>
      <w:r w:rsidRPr="001E66EF">
        <w:t xml:space="preserve">proposed </w:t>
      </w:r>
      <w:r w:rsidR="00DE4C53" w:rsidRPr="001E66EF">
        <w:t>national policy intervention</w:t>
      </w:r>
      <w:r w:rsidRPr="001E66EF">
        <w:t>.</w:t>
      </w:r>
    </w:p>
    <w:p w14:paraId="665D6757" w14:textId="7CCB6AB5" w:rsidR="005F03D2" w:rsidRPr="001E66EF" w:rsidRDefault="008F681D" w:rsidP="005F03D2">
      <w:r w:rsidRPr="001E66EF">
        <w:t>In the initial stages of model development, G</w:t>
      </w:r>
      <w:r w:rsidR="00E54ABD" w:rsidRPr="001E66EF">
        <w:t>A</w:t>
      </w:r>
      <w:r w:rsidRPr="001E66EF">
        <w:t xml:space="preserve"> did not have data on numbers of burners of each type, so these have been inferred from the total home heating emissions, as follows.</w:t>
      </w:r>
      <w:r w:rsidR="00FF0A13" w:rsidRPr="001E66EF">
        <w:t xml:space="preserve">  T</w:t>
      </w:r>
      <w:r w:rsidRPr="001E66EF">
        <w:t>he winter’s-day airshed-total emissions of PM</w:t>
      </w:r>
      <w:r w:rsidRPr="001E66EF">
        <w:rPr>
          <w:vertAlign w:val="subscript"/>
        </w:rPr>
        <w:t>10</w:t>
      </w:r>
      <w:r w:rsidR="00E54ABD" w:rsidRPr="001E66EF">
        <w:t xml:space="preserve"> and PM</w:t>
      </w:r>
      <w:r w:rsidR="00E54ABD" w:rsidRPr="001E66EF">
        <w:rPr>
          <w:vertAlign w:val="subscript"/>
        </w:rPr>
        <w:t>2.</w:t>
      </w:r>
      <w:r w:rsidRPr="001E66EF">
        <w:rPr>
          <w:vertAlign w:val="subscript"/>
        </w:rPr>
        <w:t>5</w:t>
      </w:r>
      <w:r w:rsidRPr="001E66EF">
        <w:t xml:space="preserve"> from home heating were split into wood and coal use, accord</w:t>
      </w:r>
      <w:r w:rsidR="00633E39" w:rsidRPr="001E66EF">
        <w:t xml:space="preserve">ing to Wilton et al. (2015).  </w:t>
      </w:r>
      <w:r w:rsidRPr="001E66EF">
        <w:t xml:space="preserve">For wood burning, the home heating emissions were </w:t>
      </w:r>
      <w:r w:rsidR="00E54ABD" w:rsidRPr="001E66EF">
        <w:t>assigned</w:t>
      </w:r>
      <w:r w:rsidRPr="001E66EF">
        <w:t xml:space="preserve"> proportions </w:t>
      </w:r>
      <w:r w:rsidR="00E54ABD" w:rsidRPr="001E66EF">
        <w:t>according</w:t>
      </w:r>
      <w:r w:rsidRPr="001E66EF">
        <w:t xml:space="preserve"> to each appliance type as derived by Wilton et al. (2015), to </w:t>
      </w:r>
      <w:r w:rsidR="00E54ABD" w:rsidRPr="001E66EF">
        <w:t>provide</w:t>
      </w:r>
      <w:r w:rsidRPr="001E66EF">
        <w:t xml:space="preserve"> per-airshed daily PM</w:t>
      </w:r>
      <w:r w:rsidRPr="001E66EF">
        <w:rPr>
          <w:vertAlign w:val="subscript"/>
        </w:rPr>
        <w:t>10</w:t>
      </w:r>
      <w:r w:rsidRPr="001E66EF">
        <w:t xml:space="preserve"> emission totals for each appliance</w:t>
      </w:r>
      <w:r w:rsidR="00633E39" w:rsidRPr="001E66EF">
        <w:t xml:space="preserve"> (type)</w:t>
      </w:r>
      <w:r w:rsidRPr="001E66EF">
        <w:t xml:space="preserve">. </w:t>
      </w:r>
      <w:r w:rsidR="00176204" w:rsidRPr="001E66EF">
        <w:t xml:space="preserve"> </w:t>
      </w:r>
      <w:r w:rsidRPr="001E66EF">
        <w:t>This information was supplemented by data</w:t>
      </w:r>
      <w:r w:rsidR="005F03D2" w:rsidRPr="001E66EF">
        <w:t xml:space="preserve"> on appliance </w:t>
      </w:r>
      <w:r w:rsidR="006E2716" w:rsidRPr="001E66EF">
        <w:t>numbers from</w:t>
      </w:r>
      <w:r w:rsidRPr="001E66EF">
        <w:t xml:space="preserve"> the </w:t>
      </w:r>
      <w:r w:rsidR="005F03D2" w:rsidRPr="001E66EF">
        <w:t xml:space="preserve">following emissions inventories, all prepared by </w:t>
      </w:r>
      <w:proofErr w:type="spellStart"/>
      <w:r w:rsidR="005F03D2" w:rsidRPr="001E66EF">
        <w:t>Environet</w:t>
      </w:r>
      <w:proofErr w:type="spellEnd"/>
      <w:r w:rsidR="005F03D2" w:rsidRPr="001E66EF">
        <w:t xml:space="preserve"> Ltd:</w:t>
      </w:r>
    </w:p>
    <w:p w14:paraId="285260BB" w14:textId="77777777" w:rsidR="005F03D2" w:rsidRPr="001E66EF" w:rsidRDefault="005F03D2" w:rsidP="0027572A">
      <w:pPr>
        <w:pStyle w:val="MEBullet"/>
        <w:spacing w:after="0"/>
        <w:ind w:hanging="717"/>
      </w:pPr>
      <w:r w:rsidRPr="001E66EF">
        <w:t>Napier, Hastings and Havelock North</w:t>
      </w:r>
      <w:r w:rsidRPr="001E66EF">
        <w:tab/>
        <w:t>2015</w:t>
      </w:r>
    </w:p>
    <w:p w14:paraId="7B559D87" w14:textId="77777777" w:rsidR="005F03D2" w:rsidRPr="001E66EF" w:rsidRDefault="005F03D2" w:rsidP="0027572A">
      <w:pPr>
        <w:pStyle w:val="MEBullet"/>
        <w:spacing w:after="0"/>
        <w:ind w:hanging="717"/>
      </w:pPr>
      <w:r w:rsidRPr="001E66EF">
        <w:t>Blenheim</w:t>
      </w:r>
      <w:r w:rsidRPr="001E66EF">
        <w:tab/>
      </w:r>
      <w:r w:rsidRPr="001E66EF">
        <w:tab/>
      </w:r>
      <w:r w:rsidRPr="001E66EF">
        <w:tab/>
      </w:r>
      <w:r w:rsidRPr="001E66EF">
        <w:tab/>
        <w:t>2005</w:t>
      </w:r>
    </w:p>
    <w:p w14:paraId="1E893BB5" w14:textId="6449AAFC" w:rsidR="005F03D2" w:rsidRPr="001E66EF" w:rsidRDefault="005F03D2" w:rsidP="0027572A">
      <w:pPr>
        <w:pStyle w:val="MEBullet"/>
        <w:spacing w:after="0"/>
        <w:ind w:hanging="717"/>
      </w:pPr>
      <w:r w:rsidRPr="001E66EF">
        <w:t>Hamilton and Tokoroa</w:t>
      </w:r>
      <w:r w:rsidRPr="001E66EF">
        <w:tab/>
      </w:r>
      <w:r w:rsidRPr="001E66EF">
        <w:tab/>
        <w:t>2012</w:t>
      </w:r>
    </w:p>
    <w:p w14:paraId="11C44561" w14:textId="79317676" w:rsidR="005F03D2" w:rsidRPr="001E66EF" w:rsidRDefault="005F03D2" w:rsidP="0027572A">
      <w:pPr>
        <w:pStyle w:val="MEBullet"/>
        <w:spacing w:after="0"/>
        <w:ind w:hanging="717"/>
      </w:pPr>
      <w:r w:rsidRPr="001E66EF">
        <w:t>Nelson and Richmond</w:t>
      </w:r>
      <w:r w:rsidRPr="001E66EF">
        <w:tab/>
      </w:r>
      <w:r w:rsidRPr="001E66EF">
        <w:tab/>
        <w:t>2013</w:t>
      </w:r>
    </w:p>
    <w:p w14:paraId="31A65DAD" w14:textId="799A82CD" w:rsidR="005F03D2" w:rsidRPr="001E66EF" w:rsidRDefault="005F03D2" w:rsidP="0027572A">
      <w:pPr>
        <w:pStyle w:val="MEBullet"/>
        <w:spacing w:after="0"/>
        <w:ind w:hanging="717"/>
      </w:pPr>
      <w:r w:rsidRPr="001E66EF">
        <w:t>Reefton</w:t>
      </w:r>
      <w:r w:rsidRPr="001E66EF">
        <w:tab/>
      </w:r>
      <w:r w:rsidRPr="001E66EF">
        <w:tab/>
      </w:r>
      <w:r w:rsidRPr="001E66EF">
        <w:tab/>
      </w:r>
      <w:r w:rsidRPr="001E66EF">
        <w:tab/>
        <w:t>2013</w:t>
      </w:r>
    </w:p>
    <w:p w14:paraId="56647B9B" w14:textId="77777777" w:rsidR="005F03D2" w:rsidRPr="001E66EF" w:rsidRDefault="005F03D2" w:rsidP="0027572A">
      <w:pPr>
        <w:pStyle w:val="MEBullet"/>
        <w:spacing w:after="0"/>
        <w:ind w:hanging="717"/>
      </w:pPr>
      <w:r w:rsidRPr="001E66EF">
        <w:t>Taihape and Taumarunui</w:t>
      </w:r>
      <w:r w:rsidRPr="001E66EF">
        <w:tab/>
      </w:r>
      <w:r w:rsidRPr="001E66EF">
        <w:tab/>
        <w:t>2010</w:t>
      </w:r>
    </w:p>
    <w:p w14:paraId="67E6C744" w14:textId="3C698395" w:rsidR="005F03D2" w:rsidRPr="001E66EF" w:rsidRDefault="005F03D2" w:rsidP="0027572A">
      <w:pPr>
        <w:pStyle w:val="MEBullet"/>
        <w:spacing w:after="0"/>
        <w:ind w:hanging="717"/>
      </w:pPr>
      <w:r w:rsidRPr="001E66EF">
        <w:t>Taupo</w:t>
      </w:r>
      <w:r w:rsidRPr="001E66EF">
        <w:tab/>
      </w:r>
      <w:r w:rsidRPr="001E66EF">
        <w:tab/>
      </w:r>
      <w:r w:rsidRPr="001E66EF">
        <w:tab/>
      </w:r>
      <w:r w:rsidRPr="001E66EF">
        <w:tab/>
        <w:t>2014</w:t>
      </w:r>
      <w:r w:rsidR="00633E39" w:rsidRPr="001E66EF">
        <w:t>.</w:t>
      </w:r>
    </w:p>
    <w:p w14:paraId="2BE73A63" w14:textId="77777777" w:rsidR="005F03D2" w:rsidRPr="001E66EF" w:rsidRDefault="005F03D2" w:rsidP="008F681D"/>
    <w:p w14:paraId="3320D07E" w14:textId="0A52FC87" w:rsidR="008F681D" w:rsidRPr="001E66EF" w:rsidRDefault="008F681D" w:rsidP="008F681D">
      <w:r w:rsidRPr="001E66EF">
        <w:t>PM</w:t>
      </w:r>
      <w:r w:rsidRPr="001E66EF">
        <w:rPr>
          <w:vertAlign w:val="subscript"/>
        </w:rPr>
        <w:t>10</w:t>
      </w:r>
      <w:r w:rsidRPr="001E66EF">
        <w:t xml:space="preserve"> emission factors and fuel use are combined for each appliance type to give the per-appliance daily PM</w:t>
      </w:r>
      <w:r w:rsidRPr="001E66EF">
        <w:rPr>
          <w:vertAlign w:val="subscript"/>
        </w:rPr>
        <w:t>10</w:t>
      </w:r>
      <w:r w:rsidRPr="001E66EF">
        <w:t xml:space="preserve"> emission totals, shown in</w:t>
      </w:r>
      <w:r w:rsidR="00106A55" w:rsidRPr="001E66EF">
        <w:t xml:space="preserve"> </w:t>
      </w:r>
      <w:r w:rsidR="00043B93" w:rsidRPr="00CE4447">
        <w:fldChar w:fldCharType="begin"/>
      </w:r>
      <w:r w:rsidR="00043B93" w:rsidRPr="00CE4447">
        <w:instrText xml:space="preserve"> REF _Ref25569221 \h </w:instrText>
      </w:r>
      <w:r w:rsidR="00CE4447" w:rsidRPr="00CE4447">
        <w:instrText xml:space="preserve"> \* MERGEFORMAT </w:instrText>
      </w:r>
      <w:r w:rsidR="00043B93" w:rsidRPr="00CE4447">
        <w:fldChar w:fldCharType="separate"/>
      </w:r>
      <w:r w:rsidR="00FD114C" w:rsidRPr="00FD114C">
        <w:t xml:space="preserve">Table </w:t>
      </w:r>
      <w:r w:rsidR="00FD114C" w:rsidRPr="00FD114C">
        <w:rPr>
          <w:noProof/>
        </w:rPr>
        <w:t>2</w:t>
      </w:r>
      <w:r w:rsidR="00FD114C" w:rsidRPr="00FD114C">
        <w:rPr>
          <w:noProof/>
        </w:rPr>
        <w:noBreakHyphen/>
        <w:t>3</w:t>
      </w:r>
      <w:r w:rsidR="00043B93" w:rsidRPr="00CE4447">
        <w:fldChar w:fldCharType="end"/>
      </w:r>
      <w:r w:rsidR="00043B93">
        <w:t>.</w:t>
      </w:r>
      <w:r w:rsidRPr="001E66EF">
        <w:t xml:space="preserve">  The number of appliances of each type in each airshed is thus the per-airshed emission divided by the per-appliance emission.</w:t>
      </w:r>
    </w:p>
    <w:p w14:paraId="3D477D67" w14:textId="18B6766B" w:rsidR="002330C8" w:rsidRPr="001D4927" w:rsidRDefault="00A7277C" w:rsidP="00A7277C">
      <w:pPr>
        <w:pStyle w:val="Caption"/>
        <w:rPr>
          <w:b w:val="0"/>
          <w:bCs w:val="0"/>
        </w:rPr>
      </w:pPr>
      <w:bookmarkStart w:id="39" w:name="_Ref25569221"/>
      <w:bookmarkStart w:id="40" w:name="_Toc25569491"/>
      <w:r w:rsidRPr="001D4927">
        <w:rPr>
          <w:b w:val="0"/>
          <w:bCs w:val="0"/>
        </w:rPr>
        <w:t xml:space="preserve">Table </w:t>
      </w:r>
      <w:r w:rsidR="001D4927">
        <w:rPr>
          <w:b w:val="0"/>
          <w:bCs w:val="0"/>
        </w:rPr>
        <w:fldChar w:fldCharType="begin"/>
      </w:r>
      <w:r w:rsidR="001D4927">
        <w:rPr>
          <w:b w:val="0"/>
          <w:bCs w:val="0"/>
        </w:rPr>
        <w:instrText xml:space="preserve"> STYLEREF 1 \s </w:instrText>
      </w:r>
      <w:r w:rsidR="001D4927">
        <w:rPr>
          <w:b w:val="0"/>
          <w:bCs w:val="0"/>
        </w:rPr>
        <w:fldChar w:fldCharType="separate"/>
      </w:r>
      <w:r w:rsidR="00FD114C">
        <w:rPr>
          <w:b w:val="0"/>
          <w:bCs w:val="0"/>
          <w:noProof/>
        </w:rPr>
        <w:t>2</w:t>
      </w:r>
      <w:r w:rsidR="001D4927">
        <w:rPr>
          <w:b w:val="0"/>
          <w:bCs w:val="0"/>
        </w:rPr>
        <w:fldChar w:fldCharType="end"/>
      </w:r>
      <w:r w:rsidR="001D4927">
        <w:rPr>
          <w:b w:val="0"/>
          <w:bCs w:val="0"/>
        </w:rPr>
        <w:noBreakHyphen/>
      </w:r>
      <w:r w:rsidR="001D4927">
        <w:rPr>
          <w:b w:val="0"/>
          <w:bCs w:val="0"/>
        </w:rPr>
        <w:fldChar w:fldCharType="begin"/>
      </w:r>
      <w:r w:rsidR="001D4927">
        <w:rPr>
          <w:b w:val="0"/>
          <w:bCs w:val="0"/>
        </w:rPr>
        <w:instrText xml:space="preserve"> SEQ Table \* ARABIC \s 1 </w:instrText>
      </w:r>
      <w:r w:rsidR="001D4927">
        <w:rPr>
          <w:b w:val="0"/>
          <w:bCs w:val="0"/>
        </w:rPr>
        <w:fldChar w:fldCharType="separate"/>
      </w:r>
      <w:r w:rsidR="00FD114C">
        <w:rPr>
          <w:b w:val="0"/>
          <w:bCs w:val="0"/>
          <w:noProof/>
        </w:rPr>
        <w:t>3</w:t>
      </w:r>
      <w:r w:rsidR="001D4927">
        <w:rPr>
          <w:b w:val="0"/>
          <w:bCs w:val="0"/>
        </w:rPr>
        <w:fldChar w:fldCharType="end"/>
      </w:r>
      <w:bookmarkEnd w:id="39"/>
      <w:r w:rsidRPr="001D4927">
        <w:rPr>
          <w:b w:val="0"/>
          <w:bCs w:val="0"/>
        </w:rPr>
        <w:t>:  Information used for appliance type apportionment</w:t>
      </w:r>
      <w:bookmarkEnd w:id="40"/>
    </w:p>
    <w:tbl>
      <w:tblPr>
        <w:tblStyle w:val="ListTable2-Accent1"/>
        <w:tblW w:w="8221" w:type="dxa"/>
        <w:tblInd w:w="993" w:type="dxa"/>
        <w:tblLook w:val="04A0" w:firstRow="1" w:lastRow="0" w:firstColumn="1" w:lastColumn="0" w:noHBand="0" w:noVBand="1"/>
      </w:tblPr>
      <w:tblGrid>
        <w:gridCol w:w="2410"/>
        <w:gridCol w:w="1842"/>
        <w:gridCol w:w="1985"/>
        <w:gridCol w:w="1984"/>
      </w:tblGrid>
      <w:tr w:rsidR="008F681D" w:rsidRPr="001E66EF" w14:paraId="08E2AEB9" w14:textId="77777777" w:rsidTr="00176204">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10" w:type="dxa"/>
          </w:tcPr>
          <w:p w14:paraId="37B9341D" w14:textId="77777777" w:rsidR="008F681D" w:rsidRPr="001E66EF" w:rsidRDefault="008F681D" w:rsidP="00633E39">
            <w:pPr>
              <w:spacing w:after="0" w:line="240" w:lineRule="auto"/>
              <w:ind w:left="0"/>
            </w:pPr>
            <w:r w:rsidRPr="001E66EF">
              <w:t>Appliance type</w:t>
            </w:r>
          </w:p>
        </w:tc>
        <w:tc>
          <w:tcPr>
            <w:tcW w:w="1842" w:type="dxa"/>
          </w:tcPr>
          <w:p w14:paraId="57111792" w14:textId="38F9C496" w:rsidR="008F681D" w:rsidRPr="001E66EF" w:rsidRDefault="008F681D" w:rsidP="00633E3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sz w:val="20"/>
              </w:rPr>
            </w:pPr>
            <w:r w:rsidRPr="001E66EF">
              <w:rPr>
                <w:sz w:val="20"/>
              </w:rPr>
              <w:t>PM</w:t>
            </w:r>
            <w:r w:rsidRPr="009B0F5A">
              <w:rPr>
                <w:sz w:val="20"/>
                <w:vertAlign w:val="subscript"/>
              </w:rPr>
              <w:t>10</w:t>
            </w:r>
            <w:r w:rsidRPr="001E66EF">
              <w:rPr>
                <w:sz w:val="20"/>
              </w:rPr>
              <w:t xml:space="preserve"> emission factor (g per kg</w:t>
            </w:r>
            <w:r w:rsidR="00E808F8" w:rsidRPr="001E66EF">
              <w:rPr>
                <w:sz w:val="20"/>
              </w:rPr>
              <w:t xml:space="preserve"> </w:t>
            </w:r>
            <w:r w:rsidRPr="001E66EF">
              <w:rPr>
                <w:sz w:val="20"/>
              </w:rPr>
              <w:t>of wood)</w:t>
            </w:r>
          </w:p>
        </w:tc>
        <w:tc>
          <w:tcPr>
            <w:tcW w:w="1985" w:type="dxa"/>
          </w:tcPr>
          <w:p w14:paraId="45C2307A" w14:textId="05B71300" w:rsidR="008F681D" w:rsidRPr="001E66EF" w:rsidRDefault="008F681D" w:rsidP="00633E3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sz w:val="20"/>
              </w:rPr>
            </w:pPr>
            <w:r w:rsidRPr="001E66EF">
              <w:rPr>
                <w:sz w:val="20"/>
              </w:rPr>
              <w:t>Fuel use (kg of wood per appliance per day)</w:t>
            </w:r>
          </w:p>
        </w:tc>
        <w:tc>
          <w:tcPr>
            <w:tcW w:w="1984" w:type="dxa"/>
          </w:tcPr>
          <w:p w14:paraId="45CA9C80" w14:textId="77777777" w:rsidR="008F681D" w:rsidRPr="001E66EF" w:rsidRDefault="008F681D" w:rsidP="00633E3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sz w:val="20"/>
              </w:rPr>
            </w:pPr>
            <w:r w:rsidRPr="001E66EF">
              <w:rPr>
                <w:sz w:val="20"/>
              </w:rPr>
              <w:t>Daily PM</w:t>
            </w:r>
            <w:r w:rsidRPr="009B0F5A">
              <w:rPr>
                <w:sz w:val="20"/>
                <w:vertAlign w:val="subscript"/>
              </w:rPr>
              <w:t>10</w:t>
            </w:r>
            <w:r w:rsidRPr="001E66EF">
              <w:rPr>
                <w:sz w:val="20"/>
              </w:rPr>
              <w:t xml:space="preserve"> emission per appliance (g/day)</w:t>
            </w:r>
          </w:p>
        </w:tc>
      </w:tr>
      <w:tr w:rsidR="008F681D" w:rsidRPr="001E66EF" w14:paraId="64660758" w14:textId="77777777" w:rsidTr="0017620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10" w:type="dxa"/>
          </w:tcPr>
          <w:p w14:paraId="7B55A8F9" w14:textId="77777777" w:rsidR="008F681D" w:rsidRPr="001E66EF" w:rsidRDefault="008F681D" w:rsidP="00633E39">
            <w:pPr>
              <w:spacing w:after="0" w:line="240" w:lineRule="auto"/>
              <w:ind w:left="0"/>
            </w:pPr>
            <w:r w:rsidRPr="001E66EF">
              <w:t>Open fires</w:t>
            </w:r>
          </w:p>
        </w:tc>
        <w:tc>
          <w:tcPr>
            <w:tcW w:w="1842" w:type="dxa"/>
          </w:tcPr>
          <w:p w14:paraId="20405A63"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7.5</w:t>
            </w:r>
          </w:p>
        </w:tc>
        <w:tc>
          <w:tcPr>
            <w:tcW w:w="1985" w:type="dxa"/>
          </w:tcPr>
          <w:p w14:paraId="5FD83A3D"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20</w:t>
            </w:r>
          </w:p>
        </w:tc>
        <w:tc>
          <w:tcPr>
            <w:tcW w:w="1984" w:type="dxa"/>
          </w:tcPr>
          <w:p w14:paraId="053F31CC"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150</w:t>
            </w:r>
          </w:p>
        </w:tc>
      </w:tr>
      <w:tr w:rsidR="008F681D" w:rsidRPr="001E66EF" w14:paraId="118A1DFC" w14:textId="77777777" w:rsidTr="00176204">
        <w:trPr>
          <w:trHeight w:val="113"/>
        </w:trPr>
        <w:tc>
          <w:tcPr>
            <w:cnfStyle w:val="001000000000" w:firstRow="0" w:lastRow="0" w:firstColumn="1" w:lastColumn="0" w:oddVBand="0" w:evenVBand="0" w:oddHBand="0" w:evenHBand="0" w:firstRowFirstColumn="0" w:firstRowLastColumn="0" w:lastRowFirstColumn="0" w:lastRowLastColumn="0"/>
            <w:tcW w:w="2410" w:type="dxa"/>
          </w:tcPr>
          <w:p w14:paraId="3934A990" w14:textId="77777777" w:rsidR="008F681D" w:rsidRPr="001E66EF" w:rsidRDefault="008F681D" w:rsidP="00633E39">
            <w:pPr>
              <w:spacing w:after="0" w:line="240" w:lineRule="auto"/>
              <w:ind w:left="0"/>
            </w:pPr>
            <w:r w:rsidRPr="001E66EF">
              <w:t>Non-complying burners</w:t>
            </w:r>
          </w:p>
        </w:tc>
        <w:tc>
          <w:tcPr>
            <w:tcW w:w="1842" w:type="dxa"/>
          </w:tcPr>
          <w:p w14:paraId="3459D70D" w14:textId="77777777" w:rsidR="008F681D" w:rsidRPr="001E66EF" w:rsidRDefault="008F681D" w:rsidP="009B0F5A">
            <w:pPr>
              <w:spacing w:after="0" w:line="240" w:lineRule="auto"/>
              <w:ind w:left="0"/>
              <w:jc w:val="center"/>
              <w:cnfStyle w:val="000000000000" w:firstRow="0" w:lastRow="0" w:firstColumn="0" w:lastColumn="0" w:oddVBand="0" w:evenVBand="0" w:oddHBand="0" w:evenHBand="0" w:firstRowFirstColumn="0" w:firstRowLastColumn="0" w:lastRowFirstColumn="0" w:lastRowLastColumn="0"/>
            </w:pPr>
            <w:r w:rsidRPr="001E66EF">
              <w:t>10</w:t>
            </w:r>
          </w:p>
        </w:tc>
        <w:tc>
          <w:tcPr>
            <w:tcW w:w="1985" w:type="dxa"/>
          </w:tcPr>
          <w:p w14:paraId="759BCA1D" w14:textId="77777777" w:rsidR="008F681D" w:rsidRPr="001E66EF" w:rsidRDefault="008F681D" w:rsidP="009B0F5A">
            <w:pPr>
              <w:spacing w:after="0" w:line="240" w:lineRule="auto"/>
              <w:ind w:left="0"/>
              <w:jc w:val="center"/>
              <w:cnfStyle w:val="000000000000" w:firstRow="0" w:lastRow="0" w:firstColumn="0" w:lastColumn="0" w:oddVBand="0" w:evenVBand="0" w:oddHBand="0" w:evenHBand="0" w:firstRowFirstColumn="0" w:firstRowLastColumn="0" w:lastRowFirstColumn="0" w:lastRowLastColumn="0"/>
            </w:pPr>
            <w:r w:rsidRPr="001E66EF">
              <w:t>20</w:t>
            </w:r>
          </w:p>
        </w:tc>
        <w:tc>
          <w:tcPr>
            <w:tcW w:w="1984" w:type="dxa"/>
          </w:tcPr>
          <w:p w14:paraId="74A5A3CE" w14:textId="77777777" w:rsidR="008F681D" w:rsidRPr="001E66EF" w:rsidRDefault="008F681D" w:rsidP="009B0F5A">
            <w:pPr>
              <w:spacing w:after="0" w:line="240" w:lineRule="auto"/>
              <w:ind w:left="0"/>
              <w:jc w:val="center"/>
              <w:cnfStyle w:val="000000000000" w:firstRow="0" w:lastRow="0" w:firstColumn="0" w:lastColumn="0" w:oddVBand="0" w:evenVBand="0" w:oddHBand="0" w:evenHBand="0" w:firstRowFirstColumn="0" w:firstRowLastColumn="0" w:lastRowFirstColumn="0" w:lastRowLastColumn="0"/>
            </w:pPr>
            <w:r w:rsidRPr="001E66EF">
              <w:t>200</w:t>
            </w:r>
          </w:p>
        </w:tc>
      </w:tr>
      <w:tr w:rsidR="008F681D" w:rsidRPr="001E66EF" w14:paraId="08263FDE" w14:textId="77777777" w:rsidTr="0017620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10" w:type="dxa"/>
          </w:tcPr>
          <w:p w14:paraId="7AAD01AB" w14:textId="77777777" w:rsidR="008F681D" w:rsidRPr="001E66EF" w:rsidRDefault="008F681D" w:rsidP="00633E39">
            <w:pPr>
              <w:spacing w:after="0" w:line="240" w:lineRule="auto"/>
              <w:ind w:left="0"/>
            </w:pPr>
            <w:r w:rsidRPr="001E66EF">
              <w:t>Complying burners</w:t>
            </w:r>
          </w:p>
        </w:tc>
        <w:tc>
          <w:tcPr>
            <w:tcW w:w="1842" w:type="dxa"/>
          </w:tcPr>
          <w:p w14:paraId="5A25F501"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4.5</w:t>
            </w:r>
          </w:p>
        </w:tc>
        <w:tc>
          <w:tcPr>
            <w:tcW w:w="1985" w:type="dxa"/>
          </w:tcPr>
          <w:p w14:paraId="7D35192D"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20</w:t>
            </w:r>
          </w:p>
        </w:tc>
        <w:tc>
          <w:tcPr>
            <w:tcW w:w="1984" w:type="dxa"/>
          </w:tcPr>
          <w:p w14:paraId="7913D02D"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90</w:t>
            </w:r>
          </w:p>
        </w:tc>
      </w:tr>
      <w:tr w:rsidR="008F681D" w:rsidRPr="001E66EF" w14:paraId="53B0B71E" w14:textId="77777777" w:rsidTr="00176204">
        <w:trPr>
          <w:trHeight w:val="113"/>
        </w:trPr>
        <w:tc>
          <w:tcPr>
            <w:cnfStyle w:val="001000000000" w:firstRow="0" w:lastRow="0" w:firstColumn="1" w:lastColumn="0" w:oddVBand="0" w:evenVBand="0" w:oddHBand="0" w:evenHBand="0" w:firstRowFirstColumn="0" w:firstRowLastColumn="0" w:lastRowFirstColumn="0" w:lastRowLastColumn="0"/>
            <w:tcW w:w="2410" w:type="dxa"/>
          </w:tcPr>
          <w:p w14:paraId="3E6CE251" w14:textId="77777777" w:rsidR="008F681D" w:rsidRPr="001E66EF" w:rsidRDefault="008F681D" w:rsidP="00633E39">
            <w:pPr>
              <w:spacing w:after="0" w:line="240" w:lineRule="auto"/>
              <w:ind w:left="0"/>
            </w:pPr>
            <w:r w:rsidRPr="001E66EF">
              <w:t>Pellet burners</w:t>
            </w:r>
          </w:p>
        </w:tc>
        <w:tc>
          <w:tcPr>
            <w:tcW w:w="1842" w:type="dxa"/>
          </w:tcPr>
          <w:p w14:paraId="72331FE1" w14:textId="77777777" w:rsidR="008F681D" w:rsidRPr="001E66EF" w:rsidRDefault="008F681D" w:rsidP="009B0F5A">
            <w:pPr>
              <w:spacing w:after="0" w:line="240" w:lineRule="auto"/>
              <w:ind w:left="0"/>
              <w:jc w:val="center"/>
              <w:cnfStyle w:val="000000000000" w:firstRow="0" w:lastRow="0" w:firstColumn="0" w:lastColumn="0" w:oddVBand="0" w:evenVBand="0" w:oddHBand="0" w:evenHBand="0" w:firstRowFirstColumn="0" w:firstRowLastColumn="0" w:lastRowFirstColumn="0" w:lastRowLastColumn="0"/>
            </w:pPr>
            <w:r w:rsidRPr="001E66EF">
              <w:t>1.4</w:t>
            </w:r>
          </w:p>
        </w:tc>
        <w:tc>
          <w:tcPr>
            <w:tcW w:w="1985" w:type="dxa"/>
          </w:tcPr>
          <w:p w14:paraId="2E5AEE81" w14:textId="77777777" w:rsidR="008F681D" w:rsidRPr="001E66EF" w:rsidRDefault="008F681D" w:rsidP="009B0F5A">
            <w:pPr>
              <w:spacing w:after="0" w:line="240" w:lineRule="auto"/>
              <w:ind w:left="0"/>
              <w:jc w:val="center"/>
              <w:cnfStyle w:val="000000000000" w:firstRow="0" w:lastRow="0" w:firstColumn="0" w:lastColumn="0" w:oddVBand="0" w:evenVBand="0" w:oddHBand="0" w:evenHBand="0" w:firstRowFirstColumn="0" w:firstRowLastColumn="0" w:lastRowFirstColumn="0" w:lastRowLastColumn="0"/>
            </w:pPr>
            <w:r w:rsidRPr="001E66EF">
              <w:t>15</w:t>
            </w:r>
          </w:p>
        </w:tc>
        <w:tc>
          <w:tcPr>
            <w:tcW w:w="1984" w:type="dxa"/>
          </w:tcPr>
          <w:p w14:paraId="717C96C3" w14:textId="77777777" w:rsidR="008F681D" w:rsidRPr="001E66EF" w:rsidRDefault="008F681D" w:rsidP="009B0F5A">
            <w:pPr>
              <w:spacing w:after="0" w:line="240" w:lineRule="auto"/>
              <w:ind w:left="0"/>
              <w:jc w:val="center"/>
              <w:cnfStyle w:val="000000000000" w:firstRow="0" w:lastRow="0" w:firstColumn="0" w:lastColumn="0" w:oddVBand="0" w:evenVBand="0" w:oddHBand="0" w:evenHBand="0" w:firstRowFirstColumn="0" w:firstRowLastColumn="0" w:lastRowFirstColumn="0" w:lastRowLastColumn="0"/>
            </w:pPr>
            <w:r w:rsidRPr="001E66EF">
              <w:t>21</w:t>
            </w:r>
          </w:p>
        </w:tc>
      </w:tr>
      <w:tr w:rsidR="008F681D" w:rsidRPr="001E66EF" w14:paraId="1B41C119" w14:textId="77777777" w:rsidTr="0017620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10" w:type="dxa"/>
          </w:tcPr>
          <w:p w14:paraId="3D6DD28A" w14:textId="77777777" w:rsidR="008F681D" w:rsidRPr="001E66EF" w:rsidRDefault="008F681D" w:rsidP="00633E39">
            <w:pPr>
              <w:spacing w:after="0" w:line="240" w:lineRule="auto"/>
              <w:ind w:left="0"/>
            </w:pPr>
            <w:r w:rsidRPr="001E66EF">
              <w:t>ULEBs</w:t>
            </w:r>
          </w:p>
        </w:tc>
        <w:tc>
          <w:tcPr>
            <w:tcW w:w="1842" w:type="dxa"/>
          </w:tcPr>
          <w:p w14:paraId="3932CD67"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0.7</w:t>
            </w:r>
          </w:p>
        </w:tc>
        <w:tc>
          <w:tcPr>
            <w:tcW w:w="1985" w:type="dxa"/>
          </w:tcPr>
          <w:p w14:paraId="6CFEB704"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20</w:t>
            </w:r>
          </w:p>
        </w:tc>
        <w:tc>
          <w:tcPr>
            <w:tcW w:w="1984" w:type="dxa"/>
          </w:tcPr>
          <w:p w14:paraId="02C0030D" w14:textId="77777777" w:rsidR="008F681D" w:rsidRPr="001E66EF" w:rsidRDefault="008F681D" w:rsidP="009B0F5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pPr>
            <w:r w:rsidRPr="001E66EF">
              <w:t>14</w:t>
            </w:r>
          </w:p>
        </w:tc>
      </w:tr>
    </w:tbl>
    <w:p w14:paraId="4F57372C" w14:textId="77777777" w:rsidR="00633E39" w:rsidRPr="001E66EF" w:rsidRDefault="00633E39" w:rsidP="008F681D"/>
    <w:p w14:paraId="34D4E2FA" w14:textId="77777777" w:rsidR="00002CCA" w:rsidRPr="001E66EF" w:rsidRDefault="008F681D" w:rsidP="008F681D">
      <w:r w:rsidRPr="001E66EF">
        <w:t>For coal burning, the number of coal-burning households from the 2013 census was taken from Wilton et al. (2015).</w:t>
      </w:r>
      <w:r w:rsidR="00083AA2" w:rsidRPr="001E66EF">
        <w:t xml:space="preserve">  This used a range of emission factors between 19 g/kg and 21 g/kg for open coal fires, but these parameters were not needed in the present analysis.</w:t>
      </w:r>
      <w:r w:rsidR="00E44B0B" w:rsidRPr="001E66EF">
        <w:t xml:space="preserve"> </w:t>
      </w:r>
      <w:r w:rsidR="00083AA2" w:rsidRPr="001E66EF">
        <w:t xml:space="preserve"> Total airshed emission rate and the </w:t>
      </w:r>
      <w:r w:rsidR="00135832" w:rsidRPr="001E66EF">
        <w:t>number of households sufficed</w:t>
      </w:r>
      <w:r w:rsidR="00083AA2" w:rsidRPr="001E66EF">
        <w:t xml:space="preserve"> to determine how emissions would change if coal fire</w:t>
      </w:r>
      <w:r w:rsidR="00EE0F46" w:rsidRPr="001E66EF">
        <w:t>s</w:t>
      </w:r>
      <w:r w:rsidR="00083AA2" w:rsidRPr="001E66EF">
        <w:t xml:space="preserve"> were removed.</w:t>
      </w:r>
      <w:r w:rsidR="00E44B0B" w:rsidRPr="001E66EF">
        <w:t xml:space="preserve">  Emissions of PM</w:t>
      </w:r>
      <w:r w:rsidR="00E44B0B" w:rsidRPr="001E66EF">
        <w:rPr>
          <w:vertAlign w:val="subscript"/>
        </w:rPr>
        <w:t>2.5</w:t>
      </w:r>
      <w:r w:rsidR="00E44B0B" w:rsidRPr="001E66EF">
        <w:t xml:space="preserve"> were apportioned between sources in total, then if coal burning was restricted, the correct amount of PM</w:t>
      </w:r>
      <w:r w:rsidR="00E44B0B" w:rsidRPr="001E66EF">
        <w:rPr>
          <w:vertAlign w:val="subscript"/>
        </w:rPr>
        <w:t>2.5</w:t>
      </w:r>
      <w:r w:rsidR="00E44B0B" w:rsidRPr="001E66EF">
        <w:t xml:space="preserve"> was removed from each airshed.  </w:t>
      </w:r>
    </w:p>
    <w:p w14:paraId="20674C37" w14:textId="74BF78D6" w:rsidR="008F681D" w:rsidRPr="001E66EF" w:rsidRDefault="00002CCA" w:rsidP="008F681D">
      <w:r w:rsidRPr="001E66EF">
        <w:t xml:space="preserve">There are significant differences between estimates of the </w:t>
      </w:r>
      <w:r w:rsidRPr="005D00E4">
        <w:t xml:space="preserve">number of coal burning households drawn from the </w:t>
      </w:r>
      <w:r w:rsidR="00DB3F9B">
        <w:t>C</w:t>
      </w:r>
      <w:r w:rsidRPr="005D00E4">
        <w:t>ensus</w:t>
      </w:r>
      <w:r w:rsidR="00A07800">
        <w:t>,</w:t>
      </w:r>
      <w:r w:rsidRPr="005D00E4">
        <w:t xml:space="preserve"> and estimates derived </w:t>
      </w:r>
      <w:r w:rsidRPr="001E66EF">
        <w:t xml:space="preserve">by applying the burn rates to the quantum of coal produced in New Zealand.  </w:t>
      </w:r>
      <w:r w:rsidR="00F10CBF" w:rsidRPr="001E66EF">
        <w:t xml:space="preserve">We were </w:t>
      </w:r>
      <w:r w:rsidR="004875B7">
        <w:t>un</w:t>
      </w:r>
      <w:r w:rsidR="00F10CBF" w:rsidRPr="001E66EF">
        <w:t xml:space="preserve">able to reconcile these </w:t>
      </w:r>
      <w:r w:rsidRPr="001E66EF">
        <w:t>differences</w:t>
      </w:r>
      <w:r w:rsidR="00F10CBF" w:rsidRPr="001E66EF">
        <w:t xml:space="preserve">.  </w:t>
      </w:r>
      <w:r w:rsidR="00E44B0B" w:rsidRPr="001E66EF">
        <w:t xml:space="preserve">Discrepancies </w:t>
      </w:r>
      <w:r w:rsidR="00E44B0B" w:rsidRPr="001E66EF">
        <w:lastRenderedPageBreak/>
        <w:t>between actual numbers of households with coal burners and households recorded as burning coal</w:t>
      </w:r>
      <w:r w:rsidR="009B0F5A">
        <w:t>,</w:t>
      </w:r>
      <w:r w:rsidR="00E44B0B" w:rsidRPr="001E66EF">
        <w:t xml:space="preserve"> may mean that the cost estimates of imposing</w:t>
      </w:r>
      <w:r w:rsidR="005D00E4">
        <w:t xml:space="preserve"> an emission limit on burners, might be </w:t>
      </w:r>
      <w:r w:rsidR="00682DE2">
        <w:t xml:space="preserve">slightly </w:t>
      </w:r>
      <w:r w:rsidR="004875B7">
        <w:t xml:space="preserve">misstated </w:t>
      </w:r>
      <w:r w:rsidR="00682DE2">
        <w:t xml:space="preserve">for the coal component of this </w:t>
      </w:r>
      <w:r w:rsidR="005D00E4">
        <w:t>report</w:t>
      </w:r>
      <w:r w:rsidR="004875B7">
        <w:t xml:space="preserve"> (we anticipate the margin of error to be relatively small)</w:t>
      </w:r>
      <w:r w:rsidR="005D00E4">
        <w:t>.</w:t>
      </w:r>
      <w:r w:rsidR="00E44B0B" w:rsidRPr="001E66EF">
        <w:t xml:space="preserve">  This is a caveat on the outcomes that cannot be eliminated without further research into coal burning households</w:t>
      </w:r>
      <w:r w:rsidR="004E60AC" w:rsidRPr="001E66EF">
        <w:t>’</w:t>
      </w:r>
      <w:r w:rsidR="00E44B0B" w:rsidRPr="001E66EF">
        <w:t xml:space="preserve"> actual practices</w:t>
      </w:r>
      <w:r w:rsidR="005D00E4">
        <w:t>.</w:t>
      </w:r>
      <w:r w:rsidR="00143E02">
        <w:t xml:space="preserve"> </w:t>
      </w:r>
    </w:p>
    <w:p w14:paraId="35E3A2D0" w14:textId="77777777" w:rsidR="008F681D" w:rsidRPr="001E66EF" w:rsidRDefault="008F681D" w:rsidP="008F681D">
      <w:r w:rsidRPr="001E66EF">
        <w:t>Note the following:</w:t>
      </w:r>
    </w:p>
    <w:p w14:paraId="78E9CE51" w14:textId="2D53726F" w:rsidR="008F681D" w:rsidRPr="001E66EF" w:rsidRDefault="008F681D" w:rsidP="0024499A">
      <w:pPr>
        <w:pStyle w:val="ListParagraph"/>
        <w:numPr>
          <w:ilvl w:val="0"/>
          <w:numId w:val="48"/>
        </w:numPr>
        <w:ind w:hanging="717"/>
      </w:pPr>
      <w:r w:rsidRPr="001E66EF">
        <w:t xml:space="preserve">For coal burning, no distinction has been made between open fires and enclosed burners.  </w:t>
      </w:r>
    </w:p>
    <w:p w14:paraId="3C9CE194" w14:textId="4134BAB7" w:rsidR="008F681D" w:rsidRPr="001E66EF" w:rsidRDefault="008F681D" w:rsidP="0024499A">
      <w:pPr>
        <w:pStyle w:val="ListParagraph"/>
        <w:numPr>
          <w:ilvl w:val="0"/>
          <w:numId w:val="48"/>
        </w:numPr>
        <w:ind w:hanging="717"/>
      </w:pPr>
      <w:r w:rsidRPr="001E66EF">
        <w:t>PM</w:t>
      </w:r>
      <w:r w:rsidRPr="001E66EF">
        <w:rPr>
          <w:vertAlign w:val="subscript"/>
        </w:rPr>
        <w:t xml:space="preserve">10 </w:t>
      </w:r>
      <w:r w:rsidRPr="001E66EF">
        <w:t>emission factors for open fires, and other burners are as used by Wilton et al. (2015).  The emission factor for ULEBs is taken from recent testing results (and used in resource consent applications in Christchurch)</w:t>
      </w:r>
      <w:r w:rsidR="003F74E8" w:rsidRPr="001E66EF">
        <w:t xml:space="preserve">.  The factor for the wetback ULEB has been used here.  </w:t>
      </w:r>
    </w:p>
    <w:p w14:paraId="6986B0D2" w14:textId="1E001A6B" w:rsidR="008F681D" w:rsidRPr="001E66EF" w:rsidRDefault="008F681D" w:rsidP="0024499A">
      <w:pPr>
        <w:pStyle w:val="ListParagraph"/>
        <w:numPr>
          <w:ilvl w:val="0"/>
          <w:numId w:val="48"/>
        </w:numPr>
        <w:ind w:hanging="717"/>
      </w:pPr>
      <w:r w:rsidRPr="001E66EF">
        <w:t xml:space="preserve">According to Wilton et al. (2015), the fuel use for wood burners and open fires takes a range of values between airsheds – 20 kg has been taken as a representative value. </w:t>
      </w:r>
    </w:p>
    <w:p w14:paraId="4AF4D8A3" w14:textId="130BF143" w:rsidR="008F681D" w:rsidRPr="001E66EF" w:rsidRDefault="008F681D" w:rsidP="0024499A">
      <w:pPr>
        <w:pStyle w:val="ListParagraph"/>
        <w:numPr>
          <w:ilvl w:val="0"/>
          <w:numId w:val="48"/>
        </w:numPr>
        <w:ind w:hanging="717"/>
      </w:pPr>
      <w:r w:rsidRPr="001E66EF">
        <w:t>There is much uncertainty in the numbers of appliance-types in each airshed.  This information comes from telephone surveys of relatively small samples of households in some airsheds.  The samples are</w:t>
      </w:r>
      <w:r w:rsidR="001F7D9B" w:rsidRPr="001E66EF">
        <w:t xml:space="preserve"> sometimes large enough to determine the number of solid-fuel appliances in use, to within a reasonable margin of error, but not large enough to determine the number of appliances of each type.</w:t>
      </w:r>
    </w:p>
    <w:p w14:paraId="1E7E4CCA" w14:textId="461537C8" w:rsidR="00BF0D7A" w:rsidRPr="001E66EF" w:rsidRDefault="001F7D9B" w:rsidP="0024499A">
      <w:pPr>
        <w:pStyle w:val="ListParagraph"/>
        <w:numPr>
          <w:ilvl w:val="0"/>
          <w:numId w:val="48"/>
        </w:numPr>
        <w:ind w:hanging="717"/>
      </w:pPr>
      <w:r w:rsidRPr="001E66EF">
        <w:t>Changes in PM</w:t>
      </w:r>
      <w:r w:rsidRPr="001E66EF">
        <w:rPr>
          <w:vertAlign w:val="subscript"/>
        </w:rPr>
        <w:t>2.5</w:t>
      </w:r>
      <w:r w:rsidRPr="001E66EF">
        <w:t xml:space="preserve"> are based on changes in PM</w:t>
      </w:r>
      <w:r w:rsidRPr="001E66EF">
        <w:rPr>
          <w:vertAlign w:val="subscript"/>
        </w:rPr>
        <w:t>10</w:t>
      </w:r>
      <w:r w:rsidRPr="001E66EF">
        <w:t>, using the ratio of total home heating emissions of PM</w:t>
      </w:r>
      <w:r w:rsidRPr="001E66EF">
        <w:rPr>
          <w:vertAlign w:val="subscript"/>
        </w:rPr>
        <w:t>2.5</w:t>
      </w:r>
      <w:r w:rsidRPr="001E66EF">
        <w:t xml:space="preserve"> over PM</w:t>
      </w:r>
      <w:r w:rsidRPr="001E66EF">
        <w:rPr>
          <w:vertAlign w:val="subscript"/>
        </w:rPr>
        <w:t>10</w:t>
      </w:r>
      <w:r w:rsidRPr="001E66EF">
        <w:t>, and the PM</w:t>
      </w:r>
      <w:r w:rsidRPr="001E66EF">
        <w:rPr>
          <w:vertAlign w:val="subscript"/>
        </w:rPr>
        <w:t>2.5</w:t>
      </w:r>
      <w:r w:rsidRPr="001E66EF">
        <w:t xml:space="preserve"> meteorological factor.  This assumes that</w:t>
      </w:r>
      <w:r w:rsidR="009B0F5A">
        <w:t xml:space="preserve"> the</w:t>
      </w:r>
      <w:r w:rsidRPr="001E66EF">
        <w:t xml:space="preserve"> emission ratio of PM</w:t>
      </w:r>
      <w:r w:rsidRPr="001E66EF">
        <w:rPr>
          <w:vertAlign w:val="subscript"/>
        </w:rPr>
        <w:t>2.5</w:t>
      </w:r>
      <w:r w:rsidRPr="001E66EF">
        <w:t xml:space="preserve"> to PM</w:t>
      </w:r>
      <w:r w:rsidRPr="001E66EF">
        <w:rPr>
          <w:vertAlign w:val="subscript"/>
        </w:rPr>
        <w:t>10</w:t>
      </w:r>
      <w:r w:rsidRPr="001E66EF">
        <w:t xml:space="preserve"> </w:t>
      </w:r>
      <w:r w:rsidR="0010375A" w:rsidRPr="001E66EF">
        <w:t>reported</w:t>
      </w:r>
      <w:r w:rsidRPr="001E66EF">
        <w:t xml:space="preserve"> for the home heating total is the same for each appliance type.</w:t>
      </w:r>
    </w:p>
    <w:p w14:paraId="7E1CB2A5" w14:textId="7958AE58" w:rsidR="00BF0D7A" w:rsidRPr="001E66EF" w:rsidRDefault="00BF0D7A" w:rsidP="0024499A">
      <w:pPr>
        <w:pStyle w:val="ListParagraph"/>
        <w:numPr>
          <w:ilvl w:val="0"/>
          <w:numId w:val="48"/>
        </w:numPr>
        <w:ind w:hanging="717"/>
      </w:pPr>
      <w:r w:rsidRPr="001E66EF">
        <w:t xml:space="preserve">It is assumed that the breakdown of </w:t>
      </w:r>
      <w:r w:rsidRPr="001E66EF">
        <w:rPr>
          <w:u w:val="single"/>
        </w:rPr>
        <w:t>ambient</w:t>
      </w:r>
      <w:r w:rsidRPr="001E66EF">
        <w:t xml:space="preserve"> PM</w:t>
      </w:r>
      <w:r w:rsidRPr="001E66EF">
        <w:rPr>
          <w:vertAlign w:val="subscript"/>
        </w:rPr>
        <w:t>2.5</w:t>
      </w:r>
      <w:r w:rsidRPr="001E66EF">
        <w:t xml:space="preserve"> among anthropogenic sources is consistent with the breakdown of </w:t>
      </w:r>
      <w:r w:rsidRPr="001E66EF">
        <w:rPr>
          <w:u w:val="single"/>
        </w:rPr>
        <w:t>emitted</w:t>
      </w:r>
      <w:r w:rsidRPr="001E66EF">
        <w:t xml:space="preserve"> PM</w:t>
      </w:r>
      <w:r w:rsidRPr="001E66EF">
        <w:rPr>
          <w:vertAlign w:val="subscript"/>
        </w:rPr>
        <w:t>2.5</w:t>
      </w:r>
      <w:r w:rsidRPr="001E66EF">
        <w:t xml:space="preserve"> among anthropogenic sources.  This essentially means that </w:t>
      </w:r>
      <w:r w:rsidR="00B03D1D" w:rsidRPr="001E66EF">
        <w:t>if the</w:t>
      </w:r>
      <w:r w:rsidRPr="001E66EF">
        <w:t xml:space="preserve"> proportion contributed </w:t>
      </w:r>
      <w:r w:rsidR="00B03D1D" w:rsidRPr="001E66EF">
        <w:t xml:space="preserve">(emitted) </w:t>
      </w:r>
      <w:r w:rsidRPr="001E66EF">
        <w:t xml:space="preserve">by </w:t>
      </w:r>
      <w:r w:rsidR="00B03D1D" w:rsidRPr="001E66EF">
        <w:t xml:space="preserve">one type shifts (up or down), then the share of </w:t>
      </w:r>
      <w:r w:rsidRPr="001E66EF">
        <w:t>ambient PM</w:t>
      </w:r>
      <w:r w:rsidRPr="001E66EF">
        <w:rPr>
          <w:vertAlign w:val="subscript"/>
        </w:rPr>
        <w:t>2.5</w:t>
      </w:r>
      <w:r w:rsidRPr="001E66EF">
        <w:t xml:space="preserve"> </w:t>
      </w:r>
      <w:r w:rsidR="00B03D1D" w:rsidRPr="001E66EF">
        <w:t xml:space="preserve">(from that source) will also shift in the same proportion.  </w:t>
      </w:r>
      <w:r w:rsidRPr="001E66EF">
        <w:t>There is likely to be some uncertainty around this assumption, as the breakdown of ambient PM</w:t>
      </w:r>
      <w:r w:rsidRPr="001E66EF">
        <w:rPr>
          <w:vertAlign w:val="subscript"/>
        </w:rPr>
        <w:t>2.5</w:t>
      </w:r>
      <w:r w:rsidRPr="001E66EF">
        <w:softHyphen/>
        <w:t xml:space="preserve"> among the main</w:t>
      </w:r>
      <w:r w:rsidR="006E2716" w:rsidRPr="001E66EF">
        <w:t xml:space="preserve"> source types is taken from HAPI</w:t>
      </w:r>
      <w:r w:rsidRPr="001E66EF">
        <w:t>NZ data align</w:t>
      </w:r>
      <w:r w:rsidR="009B0F5A">
        <w:t>ing</w:t>
      </w:r>
      <w:r w:rsidRPr="001E66EF">
        <w:t xml:space="preserve"> with the 2006 census, while the breakdown of emissions in Wilton et al. (2015) takes 2013 as </w:t>
      </w:r>
      <w:r w:rsidR="009B0F5A">
        <w:t>the</w:t>
      </w:r>
      <w:r w:rsidRPr="001E66EF">
        <w:t xml:space="preserve"> base year.  Also, some information on the breakdown into separate wood burning appliances is derived from inventories carried out over a range of years.  Notwithstanding this, the information used in the model is the best available at present.</w:t>
      </w:r>
    </w:p>
    <w:p w14:paraId="20CC724A" w14:textId="68D9D55F" w:rsidR="00BD1EF7" w:rsidRPr="001E66EF" w:rsidRDefault="00BD1EF7" w:rsidP="00652542">
      <w:pPr>
        <w:pStyle w:val="Heading2"/>
        <w:rPr>
          <w:rFonts w:ascii="Calibri Light" w:hAnsi="Calibri Light"/>
        </w:rPr>
      </w:pPr>
      <w:bookmarkStart w:id="41" w:name="_Toc455044458"/>
      <w:bookmarkStart w:id="42" w:name="_Ref25313314"/>
      <w:bookmarkStart w:id="43" w:name="_Toc25569511"/>
      <w:r w:rsidRPr="001E66EF">
        <w:rPr>
          <w:rFonts w:ascii="Calibri Light" w:hAnsi="Calibri Light"/>
        </w:rPr>
        <w:t>Summary for Base</w:t>
      </w:r>
      <w:r w:rsidR="00836D50" w:rsidRPr="001E66EF">
        <w:rPr>
          <w:rFonts w:ascii="Calibri Light" w:hAnsi="Calibri Light"/>
        </w:rPr>
        <w:t xml:space="preserve"> Year </w:t>
      </w:r>
      <w:r w:rsidR="00836D50" w:rsidRPr="005D00E4">
        <w:rPr>
          <w:rFonts w:ascii="Calibri Light" w:hAnsi="Calibri Light"/>
        </w:rPr>
        <w:t>2013</w:t>
      </w:r>
      <w:r w:rsidR="00081AD9">
        <w:rPr>
          <w:rFonts w:ascii="Calibri Light" w:hAnsi="Calibri Light"/>
        </w:rPr>
        <w:t xml:space="preserve"> and i</w:t>
      </w:r>
      <w:r w:rsidR="00836D50" w:rsidRPr="001E66EF">
        <w:rPr>
          <w:rFonts w:ascii="Calibri Light" w:hAnsi="Calibri Light"/>
        </w:rPr>
        <w:t xml:space="preserve">mplications of </w:t>
      </w:r>
      <w:r w:rsidR="00081AD9">
        <w:rPr>
          <w:rFonts w:ascii="Calibri Light" w:hAnsi="Calibri Light"/>
        </w:rPr>
        <w:t>e</w:t>
      </w:r>
      <w:r w:rsidRPr="001E66EF">
        <w:rPr>
          <w:rFonts w:ascii="Calibri Light" w:hAnsi="Calibri Light"/>
        </w:rPr>
        <w:t xml:space="preserve">mission </w:t>
      </w:r>
      <w:r w:rsidR="00836D50" w:rsidRPr="001E66EF">
        <w:rPr>
          <w:rFonts w:ascii="Calibri Light" w:hAnsi="Calibri Light"/>
        </w:rPr>
        <w:t>c</w:t>
      </w:r>
      <w:r w:rsidRPr="001E66EF">
        <w:rPr>
          <w:rFonts w:ascii="Calibri Light" w:hAnsi="Calibri Light"/>
        </w:rPr>
        <w:t>hanges</w:t>
      </w:r>
      <w:bookmarkEnd w:id="41"/>
      <w:bookmarkEnd w:id="42"/>
      <w:bookmarkEnd w:id="43"/>
    </w:p>
    <w:p w14:paraId="16644003" w14:textId="1C3DF37A" w:rsidR="00BD1EF7" w:rsidRPr="001E66EF" w:rsidRDefault="00BD1EF7" w:rsidP="00BD1EF7">
      <w:r w:rsidRPr="001E66EF">
        <w:t xml:space="preserve">The calculations in Sections </w:t>
      </w:r>
      <w:r w:rsidR="00D71EE1" w:rsidRPr="001E66EF">
        <w:t>2.2</w:t>
      </w:r>
      <w:r w:rsidR="0035186B" w:rsidRPr="001E66EF">
        <w:t xml:space="preserve"> through to</w:t>
      </w:r>
      <w:r w:rsidRPr="001E66EF">
        <w:t xml:space="preserve"> 2.</w:t>
      </w:r>
      <w:r w:rsidR="0035186B" w:rsidRPr="001E66EF">
        <w:t>7</w:t>
      </w:r>
      <w:r w:rsidRPr="001E66EF">
        <w:t xml:space="preserve"> have apportioned ambient PM</w:t>
      </w:r>
      <w:r w:rsidRPr="001E66EF">
        <w:rPr>
          <w:vertAlign w:val="subscript"/>
        </w:rPr>
        <w:t>10</w:t>
      </w:r>
      <w:r w:rsidRPr="001E66EF">
        <w:t xml:space="preserve"> and PM</w:t>
      </w:r>
      <w:r w:rsidRPr="001E66EF">
        <w:rPr>
          <w:vertAlign w:val="subscript"/>
        </w:rPr>
        <w:t>2.5</w:t>
      </w:r>
      <w:r w:rsidRPr="001E66EF">
        <w:t xml:space="preserve"> and discharged PM</w:t>
      </w:r>
      <w:r w:rsidRPr="001E66EF">
        <w:rPr>
          <w:vertAlign w:val="subscript"/>
        </w:rPr>
        <w:t>10</w:t>
      </w:r>
      <w:r w:rsidRPr="001E66EF">
        <w:t xml:space="preserve"> and PM</w:t>
      </w:r>
      <w:r w:rsidRPr="001E66EF">
        <w:rPr>
          <w:vertAlign w:val="subscript"/>
        </w:rPr>
        <w:t>2.5</w:t>
      </w:r>
      <w:r w:rsidRPr="001E66EF">
        <w:t xml:space="preserve"> into contributions from the main source types – domestic heating, motor vehicles, industry and outdoor burning.  Linking these by the meteorological factors allows changes in PM</w:t>
      </w:r>
      <w:r w:rsidRPr="001E66EF">
        <w:rPr>
          <w:vertAlign w:val="subscript"/>
        </w:rPr>
        <w:t>10</w:t>
      </w:r>
      <w:r w:rsidRPr="001E66EF">
        <w:t xml:space="preserve"> and PM</w:t>
      </w:r>
      <w:r w:rsidRPr="001E66EF">
        <w:rPr>
          <w:vertAlign w:val="subscript"/>
        </w:rPr>
        <w:t>2.5</w:t>
      </w:r>
      <w:r w:rsidRPr="001E66EF">
        <w:t xml:space="preserve"> to be calculated if the emissions of any of the source types changes.  </w:t>
      </w:r>
      <w:r w:rsidR="00431D66" w:rsidRPr="001E66EF">
        <w:t>Section 2.8</w:t>
      </w:r>
      <w:r w:rsidRPr="001E66EF">
        <w:t xml:space="preserve"> further apportions the home heating emissions into appliance types and number of each type, so that if the number of appliances changes, the expected change in </w:t>
      </w:r>
      <w:r w:rsidRPr="001E66EF">
        <w:lastRenderedPageBreak/>
        <w:t>annual-average PM</w:t>
      </w:r>
      <w:r w:rsidRPr="001E66EF">
        <w:rPr>
          <w:vertAlign w:val="subscript"/>
        </w:rPr>
        <w:t>10</w:t>
      </w:r>
      <w:r w:rsidRPr="001E66EF">
        <w:t xml:space="preserve"> can be calculated, using the daily emissions per appliance and the home-heating meteorological factor for each airshed.  Changes in PM</w:t>
      </w:r>
      <w:r w:rsidRPr="001E66EF">
        <w:rPr>
          <w:vertAlign w:val="subscript"/>
        </w:rPr>
        <w:t>2.5</w:t>
      </w:r>
      <w:r w:rsidRPr="001E66EF">
        <w:t xml:space="preserve"> are calculated proportionally.</w:t>
      </w:r>
    </w:p>
    <w:p w14:paraId="4064B548" w14:textId="37D0635C" w:rsidR="00BD1EF7" w:rsidRPr="001E66EF" w:rsidRDefault="00BD1EF7" w:rsidP="00BD1EF7">
      <w:r w:rsidRPr="001E66EF">
        <w:t>Under changed-emission scenarios, the components from each source and appliance type can be re-combined to produce predicted total annual-average PM</w:t>
      </w:r>
      <w:r w:rsidRPr="001E66EF">
        <w:rPr>
          <w:vertAlign w:val="subscript"/>
        </w:rPr>
        <w:t>10</w:t>
      </w:r>
      <w:r w:rsidRPr="001E66EF">
        <w:t xml:space="preserve"> and PM</w:t>
      </w:r>
      <w:r w:rsidRPr="001E66EF">
        <w:rPr>
          <w:vertAlign w:val="subscript"/>
        </w:rPr>
        <w:t>2.5</w:t>
      </w:r>
      <w:r w:rsidRPr="001E66EF">
        <w:t xml:space="preserve"> in each airshed.  From these totals, the number of </w:t>
      </w:r>
      <w:r w:rsidR="00E7520A" w:rsidRPr="001E66EF">
        <w:t>exceedances</w:t>
      </w:r>
      <w:r w:rsidRPr="001E66EF">
        <w:t xml:space="preserve"> of a daily threshold concentration can be calculated using the empirical formulas derived by NIWA</w:t>
      </w:r>
      <w:r w:rsidR="006E2716" w:rsidRPr="001E66EF">
        <w:t xml:space="preserve"> </w:t>
      </w:r>
      <w:r w:rsidR="00BF0D7A" w:rsidRPr="001E66EF">
        <w:t>(</w:t>
      </w:r>
      <w:r w:rsidR="00BF0D7A" w:rsidRPr="005D00E4">
        <w:t>2016</w:t>
      </w:r>
      <w:r w:rsidR="00BF0D7A" w:rsidRPr="001E66EF">
        <w:t>)</w:t>
      </w:r>
      <w:r w:rsidRPr="001E66EF">
        <w:t>.</w:t>
      </w:r>
    </w:p>
    <w:p w14:paraId="3B35EF69" w14:textId="5E91F216" w:rsidR="00652542" w:rsidRPr="001E66EF" w:rsidRDefault="00BF0D7A" w:rsidP="00CE6A03">
      <w:pPr>
        <w:pStyle w:val="Heading2"/>
        <w:rPr>
          <w:rFonts w:ascii="Calibri Light" w:hAnsi="Calibri Light"/>
          <w:vertAlign w:val="subscript"/>
        </w:rPr>
      </w:pPr>
      <w:bookmarkStart w:id="44" w:name="_Toc455044459"/>
      <w:bookmarkStart w:id="45" w:name="_Toc25569512"/>
      <w:r w:rsidRPr="001E66EF">
        <w:rPr>
          <w:rFonts w:ascii="Calibri Light" w:hAnsi="Calibri Light"/>
        </w:rPr>
        <w:t>Projection of Source Activity, Emissions and Ambient PM</w:t>
      </w:r>
      <w:r w:rsidRPr="001E66EF">
        <w:rPr>
          <w:rFonts w:ascii="Calibri Light" w:hAnsi="Calibri Light"/>
          <w:vertAlign w:val="subscript"/>
        </w:rPr>
        <w:t>2.5</w:t>
      </w:r>
      <w:bookmarkEnd w:id="44"/>
      <w:bookmarkEnd w:id="45"/>
    </w:p>
    <w:p w14:paraId="053D5DED" w14:textId="77777777" w:rsidR="00BF0D7A" w:rsidRPr="001E66EF" w:rsidRDefault="00BF0D7A" w:rsidP="00FA74C4">
      <w:r w:rsidRPr="001E66EF">
        <w:t>The air quality component of the CBA model provides a link between source activity (such as home heating methods, motor vehicle travel, industrial emissions and outdoor burning), such that changes in source activity can propagate through into the emissions, to changes in ambient PM</w:t>
      </w:r>
      <w:r w:rsidRPr="001E66EF">
        <w:rPr>
          <w:vertAlign w:val="subscript"/>
        </w:rPr>
        <w:t>2.5</w:t>
      </w:r>
      <w:r w:rsidRPr="001E66EF">
        <w:t xml:space="preserve"> due to a particular source, and finally to changes in the total ambient PM</w:t>
      </w:r>
      <w:r w:rsidRPr="001E66EF">
        <w:rPr>
          <w:vertAlign w:val="subscript"/>
        </w:rPr>
        <w:t>2.5</w:t>
      </w:r>
      <w:r w:rsidRPr="001E66EF">
        <w:t>.  From this total, changes in public-health impacts and associated costs can be determined, ultimately as a function of changes in activities at a local, airshed level.</w:t>
      </w:r>
    </w:p>
    <w:p w14:paraId="26924251" w14:textId="519FED08" w:rsidR="00CE6A03" w:rsidRPr="001E66EF" w:rsidRDefault="00BF0D7A" w:rsidP="005D4829">
      <w:r w:rsidRPr="001E66EF">
        <w:t xml:space="preserve">The projections </w:t>
      </w:r>
      <w:r w:rsidR="009B0F5A">
        <w:t>of PM</w:t>
      </w:r>
      <w:r w:rsidR="009B0F5A" w:rsidRPr="009B0F5A">
        <w:rPr>
          <w:vertAlign w:val="subscript"/>
        </w:rPr>
        <w:t>2.5</w:t>
      </w:r>
      <w:r w:rsidR="009B0F5A">
        <w:t xml:space="preserve"> and PM</w:t>
      </w:r>
      <w:r w:rsidR="009B0F5A" w:rsidRPr="009B0F5A">
        <w:rPr>
          <w:vertAlign w:val="subscript"/>
        </w:rPr>
        <w:t>10</w:t>
      </w:r>
      <w:r w:rsidR="009B0F5A">
        <w:t xml:space="preserve"> concentrations are also estimated under the chosen policy settings, </w:t>
      </w:r>
      <w:r w:rsidRPr="001E66EF">
        <w:t xml:space="preserve">as discussed later in this report.  </w:t>
      </w:r>
      <w:r w:rsidR="009B0F5A">
        <w:t>Further</w:t>
      </w:r>
      <w:r w:rsidRPr="001E66EF">
        <w:t xml:space="preserve">, there are changes that would happen, and are already happening, without the provision of new policies.  </w:t>
      </w:r>
    </w:p>
    <w:p w14:paraId="2469C228" w14:textId="77777777" w:rsidR="009B0F5A" w:rsidRPr="001E66EF" w:rsidRDefault="009B0F5A" w:rsidP="009B0F5A">
      <w:pPr>
        <w:rPr>
          <w:highlight w:val="yellow"/>
        </w:rPr>
      </w:pPr>
      <w:r w:rsidRPr="001E66EF">
        <w:t xml:space="preserve">These include the retirement of old wood burners and their replacement by </w:t>
      </w:r>
      <w:r w:rsidRPr="001E66EF">
        <w:rPr>
          <w:rFonts w:cstheme="minorHAnsi"/>
          <w:lang w:eastAsia="en-GB"/>
        </w:rPr>
        <w:t>NESAQ</w:t>
      </w:r>
      <w:r w:rsidRPr="001E66EF">
        <w:t xml:space="preserve"> -compliant heaters or other heating methods, implementation of bans on coal fires in some locations, and a gradual increase in the use of ultra-low emission burners (ULEBs).  These effects have been implemented in the model as a status quo situation, upon which chosen policy options can be superposed.  </w:t>
      </w:r>
    </w:p>
    <w:p w14:paraId="24DC5BD7" w14:textId="084A2FE8" w:rsidR="00CE6A03" w:rsidRPr="001E66EF" w:rsidRDefault="00CE6A03" w:rsidP="005D4829">
      <w:r w:rsidRPr="001E66EF">
        <w:t>It is important to note that the assumption is, changes in emissions occur evenly across each airshed, and that consequent changes in ambient PM</w:t>
      </w:r>
      <w:r w:rsidRPr="001E66EF">
        <w:rPr>
          <w:vertAlign w:val="subscript"/>
        </w:rPr>
        <w:t>2.5</w:t>
      </w:r>
      <w:r w:rsidRPr="001E66EF">
        <w:t xml:space="preserve"> occur in proportion over the whole airshed, including at the representing CAU where the ambient PM</w:t>
      </w:r>
      <w:r w:rsidRPr="001E66EF">
        <w:rPr>
          <w:vertAlign w:val="subscript"/>
        </w:rPr>
        <w:t>2.5</w:t>
      </w:r>
      <w:r w:rsidRPr="001E66EF">
        <w:t xml:space="preserve"> is defined.</w:t>
      </w:r>
    </w:p>
    <w:p w14:paraId="6911A9D9" w14:textId="77777777" w:rsidR="002C3C50" w:rsidRPr="001E66EF" w:rsidRDefault="002C3C50" w:rsidP="002C3C50"/>
    <w:p w14:paraId="00D694C3" w14:textId="77777777" w:rsidR="00783CA4" w:rsidRPr="001E66EF" w:rsidRDefault="00652542" w:rsidP="00783CA4">
      <w:pPr>
        <w:pStyle w:val="Heading1"/>
        <w:rPr>
          <w:rFonts w:ascii="Calibri Light" w:hAnsi="Calibri Light"/>
        </w:rPr>
      </w:pPr>
      <w:bookmarkStart w:id="46" w:name="_Toc455044468"/>
      <w:bookmarkStart w:id="47" w:name="_Toc25569513"/>
      <w:r w:rsidRPr="001E66EF">
        <w:rPr>
          <w:rFonts w:ascii="Calibri Light" w:hAnsi="Calibri Light"/>
        </w:rPr>
        <w:lastRenderedPageBreak/>
        <w:t>Costs</w:t>
      </w:r>
      <w:bookmarkEnd w:id="46"/>
      <w:bookmarkEnd w:id="47"/>
    </w:p>
    <w:p w14:paraId="5110C890" w14:textId="5613B873" w:rsidR="00557ACC" w:rsidRPr="001E66EF" w:rsidRDefault="00557ACC" w:rsidP="00640E4A">
      <w:r w:rsidRPr="001E66EF">
        <w:t xml:space="preserve">This section outlines the costs used in the assessment.  Where applicable we summarise the assumptions and approaches used to estimate the different costs.  </w:t>
      </w:r>
    </w:p>
    <w:p w14:paraId="4315AAC5" w14:textId="77777777" w:rsidR="00652542" w:rsidRPr="001E66EF" w:rsidRDefault="00652542" w:rsidP="00652542">
      <w:pPr>
        <w:pStyle w:val="Heading2"/>
        <w:rPr>
          <w:rFonts w:ascii="Calibri Light" w:hAnsi="Calibri Light"/>
        </w:rPr>
      </w:pPr>
      <w:bookmarkStart w:id="48" w:name="_Toc455044469"/>
      <w:bookmarkStart w:id="49" w:name="_Toc25569514"/>
      <w:r w:rsidRPr="001E66EF">
        <w:rPr>
          <w:rFonts w:ascii="Calibri Light" w:hAnsi="Calibri Light"/>
        </w:rPr>
        <w:t>Health Costs (social cost)</w:t>
      </w:r>
      <w:bookmarkEnd w:id="48"/>
      <w:bookmarkEnd w:id="49"/>
    </w:p>
    <w:p w14:paraId="461C3907" w14:textId="77777777" w:rsidR="00002585" w:rsidRPr="001E66EF" w:rsidRDefault="00A8678A" w:rsidP="00F83FED">
      <w:pPr>
        <w:spacing w:after="120" w:line="240" w:lineRule="auto"/>
      </w:pPr>
      <w:r w:rsidRPr="001E66EF">
        <w:t>Our health impact assessment</w:t>
      </w:r>
      <w:r w:rsidR="00002585" w:rsidRPr="001E66EF">
        <w:t xml:space="preserve"> for exposure to PM</w:t>
      </w:r>
      <w:r w:rsidR="00002585" w:rsidRPr="001E66EF">
        <w:rPr>
          <w:vertAlign w:val="subscript"/>
        </w:rPr>
        <w:t>2.5</w:t>
      </w:r>
      <w:r w:rsidR="00AC40B6" w:rsidRPr="001E66EF">
        <w:t xml:space="preserve"> include</w:t>
      </w:r>
      <w:r w:rsidR="00E94781" w:rsidRPr="001E66EF">
        <w:t>s</w:t>
      </w:r>
      <w:r w:rsidR="00002585" w:rsidRPr="001E66EF">
        <w:t>:</w:t>
      </w:r>
    </w:p>
    <w:p w14:paraId="43C49264" w14:textId="77777777" w:rsidR="00002585" w:rsidRPr="001E66EF" w:rsidRDefault="00002585" w:rsidP="009B0F5A">
      <w:pPr>
        <w:pStyle w:val="MEBullet"/>
        <w:spacing w:after="120" w:line="240" w:lineRule="auto"/>
        <w:ind w:hanging="717"/>
      </w:pPr>
      <w:r w:rsidRPr="001E66EF">
        <w:t xml:space="preserve">the effect </w:t>
      </w:r>
      <w:r w:rsidR="00090C7C" w:rsidRPr="001E66EF">
        <w:t>on mortality in all age groups</w:t>
      </w:r>
      <w:r w:rsidRPr="001E66EF">
        <w:t>,</w:t>
      </w:r>
    </w:p>
    <w:p w14:paraId="6730DFCA" w14:textId="15D408BF" w:rsidR="00002585" w:rsidRPr="001E66EF" w:rsidRDefault="00002585" w:rsidP="009B0F5A">
      <w:pPr>
        <w:pStyle w:val="MEBullet"/>
        <w:spacing w:after="120" w:line="240" w:lineRule="auto"/>
        <w:ind w:hanging="717"/>
      </w:pPr>
      <w:r w:rsidRPr="001E66EF">
        <w:t xml:space="preserve">the effect on </w:t>
      </w:r>
      <w:r w:rsidR="00557ACC" w:rsidRPr="001E66EF">
        <w:t>c</w:t>
      </w:r>
      <w:r w:rsidR="009F6213" w:rsidRPr="001E66EF">
        <w:t xml:space="preserve">ardiac </w:t>
      </w:r>
      <w:r w:rsidR="00557ACC" w:rsidRPr="001E66EF">
        <w:t>h</w:t>
      </w:r>
      <w:r w:rsidR="009F6213" w:rsidRPr="001E66EF">
        <w:t xml:space="preserve">ospital </w:t>
      </w:r>
      <w:r w:rsidR="00557ACC" w:rsidRPr="001E66EF">
        <w:t>a</w:t>
      </w:r>
      <w:r w:rsidR="009F6213" w:rsidRPr="001E66EF">
        <w:t>dmissions (</w:t>
      </w:r>
      <w:r w:rsidR="006E37E2" w:rsidRPr="001E66EF">
        <w:t>CHA</w:t>
      </w:r>
      <w:r w:rsidR="009F6213" w:rsidRPr="001E66EF">
        <w:t>)</w:t>
      </w:r>
      <w:r w:rsidR="000167DC" w:rsidRPr="001E66EF">
        <w:t xml:space="preserve"> and </w:t>
      </w:r>
      <w:r w:rsidR="00557ACC" w:rsidRPr="001E66EF">
        <w:t>r</w:t>
      </w:r>
      <w:r w:rsidR="009F6213" w:rsidRPr="001E66EF">
        <w:t>espiratory hospital admissions (</w:t>
      </w:r>
      <w:r w:rsidR="000167DC" w:rsidRPr="001E66EF">
        <w:t>RHA</w:t>
      </w:r>
      <w:r w:rsidR="009F6213" w:rsidRPr="001E66EF">
        <w:t>)</w:t>
      </w:r>
      <w:r w:rsidR="00090C7C" w:rsidRPr="001E66EF">
        <w:t xml:space="preserve"> </w:t>
      </w:r>
      <w:r w:rsidR="000167DC" w:rsidRPr="001E66EF">
        <w:t xml:space="preserve">respectively, </w:t>
      </w:r>
      <w:r w:rsidR="00090C7C" w:rsidRPr="001E66EF">
        <w:t>in all age groups,</w:t>
      </w:r>
      <w:r w:rsidR="006E37E2" w:rsidRPr="001E66EF">
        <w:t xml:space="preserve"> and</w:t>
      </w:r>
    </w:p>
    <w:p w14:paraId="590643F0" w14:textId="275A6BD5" w:rsidR="00002585" w:rsidRPr="001E66EF" w:rsidRDefault="00002585" w:rsidP="009B0F5A">
      <w:pPr>
        <w:pStyle w:val="MEBullet"/>
        <w:spacing w:after="120" w:line="240" w:lineRule="auto"/>
        <w:ind w:hanging="717"/>
      </w:pPr>
      <w:proofErr w:type="gramStart"/>
      <w:r w:rsidRPr="001E66EF">
        <w:t>an</w:t>
      </w:r>
      <w:proofErr w:type="gramEnd"/>
      <w:r w:rsidRPr="001E66EF">
        <w:t xml:space="preserve"> estimate of restricted activity days </w:t>
      </w:r>
      <w:r w:rsidR="00090C7C" w:rsidRPr="001E66EF">
        <w:t>(RADs)</w:t>
      </w:r>
      <w:r w:rsidR="000167DC" w:rsidRPr="001E66EF">
        <w:t xml:space="preserve"> </w:t>
      </w:r>
      <w:r w:rsidRPr="001E66EF">
        <w:t>as a result</w:t>
      </w:r>
      <w:r w:rsidR="001C4743" w:rsidRPr="001E66EF">
        <w:t xml:space="preserve"> of</w:t>
      </w:r>
      <w:r w:rsidRPr="001E66EF">
        <w:t xml:space="preserve"> </w:t>
      </w:r>
      <w:r w:rsidR="000167DC" w:rsidRPr="001E66EF">
        <w:t xml:space="preserve">long-term </w:t>
      </w:r>
      <w:r w:rsidRPr="001E66EF">
        <w:t>exposure to PM</w:t>
      </w:r>
      <w:r w:rsidRPr="001E66EF">
        <w:rPr>
          <w:vertAlign w:val="subscript"/>
        </w:rPr>
        <w:t>2.5</w:t>
      </w:r>
      <w:r w:rsidR="00090C7C" w:rsidRPr="001E66EF">
        <w:t>.</w:t>
      </w:r>
    </w:p>
    <w:p w14:paraId="60693C2E" w14:textId="0530E33E" w:rsidR="004B0834" w:rsidRPr="001E66EF" w:rsidRDefault="004B0834" w:rsidP="00F83FED">
      <w:pPr>
        <w:spacing w:after="120" w:line="240" w:lineRule="auto"/>
      </w:pPr>
      <w:r w:rsidRPr="001E66EF">
        <w:t>In the health impact assessment for exposure to PM</w:t>
      </w:r>
      <w:r w:rsidRPr="001E66EF">
        <w:rPr>
          <w:vertAlign w:val="subscript"/>
        </w:rPr>
        <w:t>10</w:t>
      </w:r>
      <w:r w:rsidRPr="001E66EF">
        <w:t xml:space="preserve">, data was not </w:t>
      </w:r>
      <w:r w:rsidR="004E45B4" w:rsidRPr="001E66EF">
        <w:t>available</w:t>
      </w:r>
      <w:r w:rsidRPr="001E66EF">
        <w:t xml:space="preserve"> on the </w:t>
      </w:r>
      <w:r w:rsidR="00E73E69">
        <w:t>exposure-</w:t>
      </w:r>
      <w:r w:rsidRPr="001E66EF">
        <w:t>response ratio</w:t>
      </w:r>
      <w:r w:rsidR="0043051F" w:rsidRPr="001E66EF">
        <w:t xml:space="preserve"> for RADs</w:t>
      </w:r>
      <w:r w:rsidR="005259E1" w:rsidRPr="001E66EF">
        <w:t>,</w:t>
      </w:r>
      <w:r w:rsidRPr="001E66EF">
        <w:t xml:space="preserve"> </w:t>
      </w:r>
      <w:r w:rsidR="000167DC" w:rsidRPr="001E66EF">
        <w:t>so the assessment only include</w:t>
      </w:r>
      <w:r w:rsidR="00E94781" w:rsidRPr="001E66EF">
        <w:t>s</w:t>
      </w:r>
      <w:r w:rsidR="005259E1" w:rsidRPr="001E66EF">
        <w:t>:</w:t>
      </w:r>
    </w:p>
    <w:p w14:paraId="4036A36D" w14:textId="77777777" w:rsidR="005259E1" w:rsidRPr="001E66EF" w:rsidRDefault="005259E1" w:rsidP="009B0F5A">
      <w:pPr>
        <w:pStyle w:val="MEBullet"/>
        <w:spacing w:after="120" w:line="240" w:lineRule="auto"/>
        <w:ind w:left="1706" w:hanging="713"/>
      </w:pPr>
      <w:r w:rsidRPr="001E66EF">
        <w:t>the effect on morta</w:t>
      </w:r>
      <w:r w:rsidR="000167DC" w:rsidRPr="001E66EF">
        <w:t>lity in all age groups</w:t>
      </w:r>
      <w:r w:rsidRPr="001E66EF">
        <w:t>,</w:t>
      </w:r>
      <w:r w:rsidR="000167DC" w:rsidRPr="001E66EF">
        <w:t xml:space="preserve"> and</w:t>
      </w:r>
    </w:p>
    <w:p w14:paraId="0B2869F6" w14:textId="77777777" w:rsidR="000167DC" w:rsidRPr="001E66EF" w:rsidRDefault="000167DC" w:rsidP="009B0F5A">
      <w:pPr>
        <w:pStyle w:val="MEBullet"/>
        <w:spacing w:after="120" w:line="240" w:lineRule="auto"/>
        <w:ind w:left="1706" w:hanging="713"/>
      </w:pPr>
      <w:r w:rsidRPr="001E66EF">
        <w:t xml:space="preserve">the effect on </w:t>
      </w:r>
      <w:r w:rsidR="0043051F" w:rsidRPr="001E66EF">
        <w:t>CHAs</w:t>
      </w:r>
      <w:r w:rsidRPr="001E66EF">
        <w:t xml:space="preserve"> and RHAs respectively, in all age groups</w:t>
      </w:r>
      <w:r w:rsidR="0043051F" w:rsidRPr="001E66EF">
        <w:t>.</w:t>
      </w:r>
    </w:p>
    <w:p w14:paraId="170A04D3" w14:textId="6FEF1289" w:rsidR="00D260F8" w:rsidRPr="00D260F8" w:rsidRDefault="00D260F8" w:rsidP="00F83FED">
      <w:pPr>
        <w:spacing w:after="120" w:line="240" w:lineRule="auto"/>
        <w:rPr>
          <w:lang w:eastAsia="en-NZ"/>
        </w:rPr>
      </w:pPr>
      <w:r w:rsidRPr="001B7E3B">
        <w:rPr>
          <w:b/>
          <w:bCs/>
          <w:lang w:eastAsia="en-NZ"/>
        </w:rPr>
        <w:t>Important:</w:t>
      </w:r>
      <w:r>
        <w:rPr>
          <w:lang w:eastAsia="en-NZ"/>
        </w:rPr>
        <w:t xml:space="preserve"> only the key findings and results of </w:t>
      </w:r>
      <w:r w:rsidR="001B7E3B">
        <w:rPr>
          <w:lang w:eastAsia="en-NZ"/>
        </w:rPr>
        <w:t>the</w:t>
      </w:r>
      <w:r>
        <w:rPr>
          <w:lang w:eastAsia="en-NZ"/>
        </w:rPr>
        <w:t xml:space="preserve"> PM</w:t>
      </w:r>
      <w:r w:rsidRPr="001B7E3B">
        <w:rPr>
          <w:vertAlign w:val="subscript"/>
          <w:lang w:eastAsia="en-NZ"/>
        </w:rPr>
        <w:t>2.5</w:t>
      </w:r>
      <w:r>
        <w:rPr>
          <w:lang w:eastAsia="en-NZ"/>
        </w:rPr>
        <w:t>-</w:t>
      </w:r>
      <w:r w:rsidRPr="00D260F8">
        <w:rPr>
          <w:lang w:eastAsia="en-NZ"/>
        </w:rPr>
        <w:t>based</w:t>
      </w:r>
      <w:r>
        <w:rPr>
          <w:lang w:eastAsia="en-NZ"/>
        </w:rPr>
        <w:t xml:space="preserve"> CBA is reported</w:t>
      </w:r>
      <w:r w:rsidR="001B7E3B">
        <w:rPr>
          <w:lang w:eastAsia="en-NZ"/>
        </w:rPr>
        <w:t>.</w:t>
      </w:r>
    </w:p>
    <w:p w14:paraId="2875C248" w14:textId="0DE64901" w:rsidR="00082F2F" w:rsidRPr="001E66EF" w:rsidRDefault="00BE74EB" w:rsidP="00747AB6">
      <w:pPr>
        <w:rPr>
          <w:lang w:eastAsia="en-NZ"/>
        </w:rPr>
      </w:pPr>
      <w:r w:rsidRPr="001E66EF">
        <w:rPr>
          <w:lang w:eastAsia="en-NZ"/>
        </w:rPr>
        <w:t xml:space="preserve">The health costs are viewed as ‘a cost to society’.  This is because the costs accrue to the wider </w:t>
      </w:r>
      <w:r w:rsidR="009B0F5A" w:rsidRPr="001E66EF">
        <w:rPr>
          <w:lang w:eastAsia="en-NZ"/>
        </w:rPr>
        <w:t>population and</w:t>
      </w:r>
      <w:r w:rsidRPr="001E66EF">
        <w:rPr>
          <w:lang w:eastAsia="en-NZ"/>
        </w:rPr>
        <w:t xml:space="preserve"> cannot be attributed to distinct (identifiable) parts of that population based on the population’s attributes.  For example, the benefit of heating a home with a burner can be linked to a particular residence but the health effects of the resulting air pollution are likely to be felt by someone in the wider community (</w:t>
      </w:r>
      <w:r w:rsidR="006255FA" w:rsidRPr="001E66EF">
        <w:rPr>
          <w:lang w:eastAsia="en-NZ"/>
        </w:rPr>
        <w:t xml:space="preserve">who </w:t>
      </w:r>
      <w:r w:rsidRPr="001E66EF">
        <w:rPr>
          <w:lang w:eastAsia="en-NZ"/>
        </w:rPr>
        <w:t xml:space="preserve">may or may not be contributing to air pollution).  </w:t>
      </w:r>
    </w:p>
    <w:p w14:paraId="70885701" w14:textId="767551D4" w:rsidR="00613F05" w:rsidRPr="001E66EF" w:rsidRDefault="00613F05" w:rsidP="00B87639">
      <w:pPr>
        <w:rPr>
          <w:lang w:eastAsia="en-NZ"/>
        </w:rPr>
      </w:pPr>
      <w:bookmarkStart w:id="50" w:name="_Hlk25567667"/>
      <w:r w:rsidRPr="001E66EF">
        <w:rPr>
          <w:lang w:eastAsia="en-NZ"/>
        </w:rPr>
        <w:t>This</w:t>
      </w:r>
      <w:r w:rsidR="00F57917" w:rsidRPr="001E66EF">
        <w:rPr>
          <w:lang w:eastAsia="en-NZ"/>
        </w:rPr>
        <w:t xml:space="preserve"> </w:t>
      </w:r>
      <w:r w:rsidRPr="001E66EF">
        <w:rPr>
          <w:lang w:eastAsia="en-NZ"/>
        </w:rPr>
        <w:t xml:space="preserve">calculation is not an estimate of the number of people </w:t>
      </w:r>
      <w:r w:rsidR="004875B7">
        <w:rPr>
          <w:lang w:eastAsia="en-NZ"/>
        </w:rPr>
        <w:t xml:space="preserve">that </w:t>
      </w:r>
      <w:r w:rsidR="004875B7" w:rsidRPr="00CC0124">
        <w:rPr>
          <w:u w:val="single"/>
          <w:lang w:eastAsia="en-NZ"/>
        </w:rPr>
        <w:t>will</w:t>
      </w:r>
      <w:r w:rsidR="004875B7">
        <w:rPr>
          <w:lang w:eastAsia="en-NZ"/>
        </w:rPr>
        <w:t xml:space="preserve"> (actually) pass away due entirely to </w:t>
      </w:r>
      <w:r w:rsidRPr="001E66EF">
        <w:rPr>
          <w:lang w:eastAsia="en-NZ"/>
        </w:rPr>
        <w:t>air pollution but</w:t>
      </w:r>
      <w:r w:rsidR="004875B7">
        <w:rPr>
          <w:lang w:eastAsia="en-NZ"/>
        </w:rPr>
        <w:t xml:space="preserve"> it is an estimate</w:t>
      </w:r>
      <w:r w:rsidR="007B77D3">
        <w:rPr>
          <w:lang w:eastAsia="en-NZ"/>
        </w:rPr>
        <w:t>,</w:t>
      </w:r>
      <w:r w:rsidR="004875B7">
        <w:rPr>
          <w:lang w:eastAsia="en-NZ"/>
        </w:rPr>
        <w:t xml:space="preserve"> based on risk factors with </w:t>
      </w:r>
      <w:r w:rsidRPr="001E66EF">
        <w:rPr>
          <w:lang w:eastAsia="en-NZ"/>
        </w:rPr>
        <w:t xml:space="preserve">air pollution </w:t>
      </w:r>
      <w:r w:rsidR="004875B7">
        <w:rPr>
          <w:lang w:eastAsia="en-NZ"/>
        </w:rPr>
        <w:t>a factor that increases deaths</w:t>
      </w:r>
      <w:r w:rsidR="00CC0124">
        <w:rPr>
          <w:lang w:eastAsia="en-NZ"/>
        </w:rPr>
        <w:t>,</w:t>
      </w:r>
      <w:r w:rsidR="004875B7">
        <w:rPr>
          <w:lang w:eastAsia="en-NZ"/>
        </w:rPr>
        <w:t xml:space="preserve"> i.e. </w:t>
      </w:r>
      <w:r w:rsidRPr="001E66EF">
        <w:rPr>
          <w:lang w:eastAsia="en-NZ"/>
        </w:rPr>
        <w:t>a contributory factor.</w:t>
      </w:r>
      <w:r w:rsidR="00B87639">
        <w:rPr>
          <w:lang w:eastAsia="en-NZ"/>
        </w:rPr>
        <w:t xml:space="preserve">  Like any other risk area, air pollution increases the risk of death to those exposed to the pollution.</w:t>
      </w:r>
      <w:r w:rsidR="00682DE2">
        <w:rPr>
          <w:lang w:eastAsia="en-NZ"/>
        </w:rPr>
        <w:t xml:space="preserve"> </w:t>
      </w:r>
      <w:r w:rsidR="00CC0124">
        <w:rPr>
          <w:lang w:eastAsia="en-NZ"/>
        </w:rPr>
        <w:t xml:space="preserve"> It is therefore reported that ‘X’ number of premature deaths </w:t>
      </w:r>
      <w:r w:rsidR="00695441">
        <w:rPr>
          <w:lang w:eastAsia="en-NZ"/>
        </w:rPr>
        <w:t>attributable to PM</w:t>
      </w:r>
      <w:r w:rsidR="00695441" w:rsidRPr="001D177D">
        <w:rPr>
          <w:vertAlign w:val="subscript"/>
          <w:lang w:eastAsia="en-NZ"/>
        </w:rPr>
        <w:t>2.5</w:t>
      </w:r>
      <w:r w:rsidR="00695441">
        <w:rPr>
          <w:lang w:eastAsia="en-NZ"/>
        </w:rPr>
        <w:t xml:space="preserve"> exposure, could be prevented by improving air quality by ‘Y’.</w:t>
      </w:r>
    </w:p>
    <w:bookmarkEnd w:id="50"/>
    <w:p w14:paraId="48AB1BAC" w14:textId="432B978B" w:rsidR="00082F2F" w:rsidRPr="001E66EF" w:rsidRDefault="0080051C" w:rsidP="00747AB6">
      <w:pPr>
        <w:rPr>
          <w:lang w:eastAsia="en-NZ"/>
        </w:rPr>
      </w:pPr>
      <w:r w:rsidRPr="001E66EF">
        <w:rPr>
          <w:lang w:eastAsia="en-NZ"/>
        </w:rPr>
        <w:t>The health costs were estimated using the HAPINZ approach.  Essentially, this is done by translating the annual PM</w:t>
      </w:r>
      <w:r w:rsidRPr="001E66EF">
        <w:rPr>
          <w:vertAlign w:val="subscript"/>
          <w:lang w:eastAsia="en-NZ"/>
        </w:rPr>
        <w:t>2.5</w:t>
      </w:r>
      <w:r w:rsidR="000D1829" w:rsidRPr="001E66EF">
        <w:rPr>
          <w:lang w:eastAsia="en-NZ"/>
        </w:rPr>
        <w:t xml:space="preserve"> and</w:t>
      </w:r>
      <w:r w:rsidRPr="001E66EF">
        <w:rPr>
          <w:lang w:eastAsia="en-NZ"/>
        </w:rPr>
        <w:t xml:space="preserve"> annual PM</w:t>
      </w:r>
      <w:r w:rsidRPr="001E66EF">
        <w:rPr>
          <w:vertAlign w:val="subscript"/>
          <w:lang w:eastAsia="en-NZ"/>
        </w:rPr>
        <w:t>10</w:t>
      </w:r>
      <w:r w:rsidRPr="001E66EF">
        <w:rPr>
          <w:lang w:eastAsia="en-NZ"/>
        </w:rPr>
        <w:t xml:space="preserve"> concentrations into health effects and then applying a health cost ($) to each ‘new’ incident.  The relationships between PM</w:t>
      </w:r>
      <w:r w:rsidRPr="001E66EF">
        <w:rPr>
          <w:vertAlign w:val="subscript"/>
          <w:lang w:eastAsia="en-NZ"/>
        </w:rPr>
        <w:t>10</w:t>
      </w:r>
      <w:r w:rsidRPr="001E66EF">
        <w:rPr>
          <w:lang w:eastAsia="en-NZ"/>
        </w:rPr>
        <w:t xml:space="preserve"> or PM</w:t>
      </w:r>
      <w:r w:rsidRPr="001E66EF">
        <w:rPr>
          <w:vertAlign w:val="subscript"/>
          <w:lang w:eastAsia="en-NZ"/>
        </w:rPr>
        <w:t>2.5</w:t>
      </w:r>
      <w:r w:rsidRPr="001E66EF">
        <w:rPr>
          <w:lang w:eastAsia="en-NZ"/>
        </w:rPr>
        <w:t xml:space="preserve"> concentrations and different health effects</w:t>
      </w:r>
      <w:r w:rsidR="000D1829" w:rsidRPr="001E66EF">
        <w:rPr>
          <w:lang w:eastAsia="en-NZ"/>
        </w:rPr>
        <w:t xml:space="preserve"> (i.e. the response ratios)</w:t>
      </w:r>
      <w:r w:rsidRPr="001E66EF">
        <w:rPr>
          <w:lang w:eastAsia="en-NZ"/>
        </w:rPr>
        <w:t>, are described in the various HAPINZ stud</w:t>
      </w:r>
      <w:r w:rsidR="000D1829" w:rsidRPr="001E66EF">
        <w:rPr>
          <w:lang w:eastAsia="en-NZ"/>
        </w:rPr>
        <w:t>ies that have been done to date, and updated by NIWA</w:t>
      </w:r>
      <w:r w:rsidR="0043051F" w:rsidRPr="001E66EF">
        <w:rPr>
          <w:lang w:eastAsia="en-NZ"/>
        </w:rPr>
        <w:t xml:space="preserve"> </w:t>
      </w:r>
      <w:r w:rsidR="00ED49F8">
        <w:rPr>
          <w:lang w:eastAsia="en-NZ"/>
        </w:rPr>
        <w:t xml:space="preserve">in 2012, </w:t>
      </w:r>
      <w:r w:rsidR="008D076E" w:rsidRPr="001E66EF">
        <w:rPr>
          <w:lang w:eastAsia="en-NZ"/>
        </w:rPr>
        <w:t>using the COMEAP report</w:t>
      </w:r>
      <w:r w:rsidR="003A4769" w:rsidRPr="001E66EF">
        <w:rPr>
          <w:lang w:eastAsia="en-NZ"/>
        </w:rPr>
        <w:t xml:space="preserve"> (2010)</w:t>
      </w:r>
      <w:r w:rsidR="0043051F" w:rsidRPr="001E66EF">
        <w:rPr>
          <w:lang w:eastAsia="en-NZ"/>
        </w:rPr>
        <w:t xml:space="preserve"> and the </w:t>
      </w:r>
      <w:r w:rsidR="008D076E" w:rsidRPr="001E66EF">
        <w:rPr>
          <w:lang w:eastAsia="en-NZ"/>
        </w:rPr>
        <w:t>WHO HRAPIE project</w:t>
      </w:r>
      <w:r w:rsidR="003A4769" w:rsidRPr="001E66EF">
        <w:rPr>
          <w:lang w:eastAsia="en-NZ"/>
        </w:rPr>
        <w:t xml:space="preserve"> (2013)</w:t>
      </w:r>
      <w:r w:rsidR="008D076E" w:rsidRPr="001E66EF">
        <w:rPr>
          <w:lang w:eastAsia="en-NZ"/>
        </w:rPr>
        <w:t xml:space="preserve"> as reference</w:t>
      </w:r>
      <w:r w:rsidR="000D1829" w:rsidRPr="001E66EF">
        <w:rPr>
          <w:lang w:eastAsia="en-NZ"/>
        </w:rPr>
        <w:t xml:space="preserve">.  </w:t>
      </w:r>
      <w:r w:rsidR="00FE4AF8" w:rsidRPr="001E66EF">
        <w:rPr>
          <w:lang w:eastAsia="en-NZ"/>
        </w:rPr>
        <w:t xml:space="preserve">The </w:t>
      </w:r>
      <w:r w:rsidRPr="001E66EF">
        <w:rPr>
          <w:lang w:eastAsia="en-NZ"/>
        </w:rPr>
        <w:t xml:space="preserve">cost per incident (health case) </w:t>
      </w:r>
      <w:r w:rsidR="003A4769" w:rsidRPr="001E66EF">
        <w:rPr>
          <w:lang w:eastAsia="en-NZ"/>
        </w:rPr>
        <w:t>is</w:t>
      </w:r>
      <w:r w:rsidR="00FE4AF8" w:rsidRPr="001E66EF">
        <w:rPr>
          <w:lang w:eastAsia="en-NZ"/>
        </w:rPr>
        <w:t xml:space="preserve"> consiste</w:t>
      </w:r>
      <w:r w:rsidR="000D1829" w:rsidRPr="001E66EF">
        <w:rPr>
          <w:lang w:eastAsia="en-NZ"/>
        </w:rPr>
        <w:t>nt</w:t>
      </w:r>
      <w:r w:rsidR="00FE4AF8" w:rsidRPr="001E66EF">
        <w:rPr>
          <w:lang w:eastAsia="en-NZ"/>
        </w:rPr>
        <w:t xml:space="preserve"> with the </w:t>
      </w:r>
      <w:r w:rsidRPr="001E66EF">
        <w:rPr>
          <w:lang w:eastAsia="en-NZ"/>
        </w:rPr>
        <w:t>HAPINZ studies</w:t>
      </w:r>
      <w:r w:rsidR="00DE2456" w:rsidRPr="001E66EF">
        <w:rPr>
          <w:rStyle w:val="FootnoteReference"/>
          <w:lang w:eastAsia="en-NZ"/>
        </w:rPr>
        <w:footnoteReference w:id="19"/>
      </w:r>
      <w:r w:rsidRPr="001E66EF">
        <w:rPr>
          <w:lang w:eastAsia="en-NZ"/>
        </w:rPr>
        <w:t>.</w:t>
      </w:r>
      <w:r w:rsidR="00FE4AF8" w:rsidRPr="001E66EF">
        <w:rPr>
          <w:lang w:eastAsia="en-NZ"/>
        </w:rPr>
        <w:t xml:space="preserve">  Where appropriate</w:t>
      </w:r>
      <w:r w:rsidR="007A1F8A" w:rsidRPr="001E66EF">
        <w:rPr>
          <w:lang w:eastAsia="en-NZ"/>
        </w:rPr>
        <w:t>,</w:t>
      </w:r>
      <w:r w:rsidR="00FE4AF8" w:rsidRPr="001E66EF">
        <w:rPr>
          <w:lang w:eastAsia="en-NZ"/>
        </w:rPr>
        <w:t xml:space="preserve"> costs have been updated to </w:t>
      </w:r>
      <w:r w:rsidR="0067307C" w:rsidRPr="001E66EF">
        <w:rPr>
          <w:lang w:eastAsia="en-NZ"/>
        </w:rPr>
        <w:t>2015-dollars from</w:t>
      </w:r>
      <w:r w:rsidR="006677AA" w:rsidRPr="001E66EF">
        <w:rPr>
          <w:lang w:eastAsia="en-NZ"/>
        </w:rPr>
        <w:t xml:space="preserve"> data released by the Ministry of Transport</w:t>
      </w:r>
      <w:r w:rsidR="00FE4AF8" w:rsidRPr="001E66EF">
        <w:rPr>
          <w:lang w:eastAsia="en-NZ"/>
        </w:rPr>
        <w:t xml:space="preserve">.  </w:t>
      </w:r>
      <w:r w:rsidR="000E6BAE" w:rsidRPr="000E6BAE">
        <w:rPr>
          <w:lang w:eastAsia="en-NZ"/>
        </w:rPr>
        <w:fldChar w:fldCharType="begin"/>
      </w:r>
      <w:r w:rsidR="000E6BAE" w:rsidRPr="000E6BAE">
        <w:rPr>
          <w:lang w:eastAsia="en-NZ"/>
        </w:rPr>
        <w:instrText xml:space="preserve"> REF _Ref25569771 \h  \* MERGEFORMAT </w:instrText>
      </w:r>
      <w:r w:rsidR="000E6BAE" w:rsidRPr="000E6BAE">
        <w:rPr>
          <w:lang w:eastAsia="en-NZ"/>
        </w:rPr>
      </w:r>
      <w:r w:rsidR="000E6BAE" w:rsidRPr="000E6BAE">
        <w:rPr>
          <w:lang w:eastAsia="en-NZ"/>
        </w:rPr>
        <w:fldChar w:fldCharType="separate"/>
      </w:r>
      <w:r w:rsidR="00FD114C" w:rsidRPr="00FD114C">
        <w:t xml:space="preserve">Table </w:t>
      </w:r>
      <w:r w:rsidR="00FD114C" w:rsidRPr="00FD114C">
        <w:rPr>
          <w:noProof/>
        </w:rPr>
        <w:t>3</w:t>
      </w:r>
      <w:r w:rsidR="00FD114C" w:rsidRPr="00FD114C">
        <w:rPr>
          <w:noProof/>
        </w:rPr>
        <w:noBreakHyphen/>
        <w:t>1</w:t>
      </w:r>
      <w:r w:rsidR="000E6BAE" w:rsidRPr="000E6BAE">
        <w:rPr>
          <w:lang w:eastAsia="en-NZ"/>
        </w:rPr>
        <w:fldChar w:fldCharType="end"/>
      </w:r>
      <w:r w:rsidR="000E6BAE">
        <w:rPr>
          <w:lang w:eastAsia="en-NZ"/>
        </w:rPr>
        <w:t xml:space="preserve"> </w:t>
      </w:r>
      <w:r w:rsidR="007A1F8A" w:rsidRPr="001E66EF">
        <w:rPr>
          <w:lang w:eastAsia="en-NZ"/>
        </w:rPr>
        <w:t>contains the values that were used to monetise the health effects.</w:t>
      </w:r>
    </w:p>
    <w:p w14:paraId="272C082D" w14:textId="60BDDCDF" w:rsidR="001237BC" w:rsidRPr="001D4927" w:rsidRDefault="00A7277C" w:rsidP="00A7277C">
      <w:pPr>
        <w:pStyle w:val="Caption"/>
        <w:spacing w:before="240" w:after="0" w:line="240" w:lineRule="auto"/>
        <w:ind w:left="992"/>
        <w:rPr>
          <w:b w:val="0"/>
          <w:bCs w:val="0"/>
        </w:rPr>
      </w:pPr>
      <w:bookmarkStart w:id="51" w:name="_Ref25569771"/>
      <w:bookmarkStart w:id="52" w:name="_Toc25569492"/>
      <w:r w:rsidRPr="001D4927">
        <w:rPr>
          <w:b w:val="0"/>
          <w:bCs w:val="0"/>
        </w:rPr>
        <w:lastRenderedPageBreak/>
        <w:t xml:space="preserve">Table </w:t>
      </w:r>
      <w:r w:rsidR="001D4927">
        <w:rPr>
          <w:b w:val="0"/>
          <w:bCs w:val="0"/>
        </w:rPr>
        <w:fldChar w:fldCharType="begin"/>
      </w:r>
      <w:r w:rsidR="001D4927">
        <w:rPr>
          <w:b w:val="0"/>
          <w:bCs w:val="0"/>
        </w:rPr>
        <w:instrText xml:space="preserve"> STYLEREF 1 \s </w:instrText>
      </w:r>
      <w:r w:rsidR="001D4927">
        <w:rPr>
          <w:b w:val="0"/>
          <w:bCs w:val="0"/>
        </w:rPr>
        <w:fldChar w:fldCharType="separate"/>
      </w:r>
      <w:r w:rsidR="00FD114C">
        <w:rPr>
          <w:b w:val="0"/>
          <w:bCs w:val="0"/>
          <w:noProof/>
        </w:rPr>
        <w:t>3</w:t>
      </w:r>
      <w:r w:rsidR="001D4927">
        <w:rPr>
          <w:b w:val="0"/>
          <w:bCs w:val="0"/>
        </w:rPr>
        <w:fldChar w:fldCharType="end"/>
      </w:r>
      <w:r w:rsidR="001D4927">
        <w:rPr>
          <w:b w:val="0"/>
          <w:bCs w:val="0"/>
        </w:rPr>
        <w:noBreakHyphen/>
      </w:r>
      <w:r w:rsidR="001D4927">
        <w:rPr>
          <w:b w:val="0"/>
          <w:bCs w:val="0"/>
        </w:rPr>
        <w:fldChar w:fldCharType="begin"/>
      </w:r>
      <w:r w:rsidR="001D4927">
        <w:rPr>
          <w:b w:val="0"/>
          <w:bCs w:val="0"/>
        </w:rPr>
        <w:instrText xml:space="preserve"> SEQ Table \* ARABIC \s 1 </w:instrText>
      </w:r>
      <w:r w:rsidR="001D4927">
        <w:rPr>
          <w:b w:val="0"/>
          <w:bCs w:val="0"/>
        </w:rPr>
        <w:fldChar w:fldCharType="separate"/>
      </w:r>
      <w:r w:rsidR="00FD114C">
        <w:rPr>
          <w:b w:val="0"/>
          <w:bCs w:val="0"/>
          <w:noProof/>
        </w:rPr>
        <w:t>1</w:t>
      </w:r>
      <w:r w:rsidR="001D4927">
        <w:rPr>
          <w:b w:val="0"/>
          <w:bCs w:val="0"/>
        </w:rPr>
        <w:fldChar w:fldCharType="end"/>
      </w:r>
      <w:bookmarkEnd w:id="51"/>
      <w:r w:rsidRPr="001D4927">
        <w:rPr>
          <w:b w:val="0"/>
          <w:bCs w:val="0"/>
        </w:rPr>
        <w:t>:  Health Effect and Cost per Case</w:t>
      </w:r>
      <w:bookmarkEnd w:id="52"/>
    </w:p>
    <w:tbl>
      <w:tblPr>
        <w:tblStyle w:val="ListTable1Light-Accent11"/>
        <w:tblpPr w:leftFromText="180" w:rightFromText="180" w:vertAnchor="text" w:horzAnchor="margin" w:tblpXSpec="right" w:tblpY="199"/>
        <w:tblW w:w="4489" w:type="pct"/>
        <w:tblLayout w:type="fixed"/>
        <w:tblLook w:val="04A0" w:firstRow="1" w:lastRow="0" w:firstColumn="1" w:lastColumn="0" w:noHBand="0" w:noVBand="1"/>
      </w:tblPr>
      <w:tblGrid>
        <w:gridCol w:w="4963"/>
        <w:gridCol w:w="1132"/>
        <w:gridCol w:w="2268"/>
      </w:tblGrid>
      <w:tr w:rsidR="00082F2F" w:rsidRPr="001E66EF" w14:paraId="2BBDE3FB" w14:textId="77777777" w:rsidTr="00A7277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44" w:type="pct"/>
            <w:gridSpan w:val="2"/>
          </w:tcPr>
          <w:p w14:paraId="37E3534C" w14:textId="77777777" w:rsidR="00082F2F" w:rsidRPr="001E66EF" w:rsidRDefault="00082F2F" w:rsidP="00431D66">
            <w:pPr>
              <w:spacing w:after="0" w:line="240" w:lineRule="auto"/>
              <w:rPr>
                <w:rFonts w:eastAsia="Times New Roman" w:cs="Calibri"/>
                <w:color w:val="000000"/>
                <w:lang w:eastAsia="en-NZ"/>
              </w:rPr>
            </w:pPr>
            <w:r w:rsidRPr="001E66EF">
              <w:rPr>
                <w:rFonts w:eastAsia="Times New Roman" w:cs="Calibri"/>
                <w:color w:val="000000"/>
                <w:lang w:eastAsia="en-NZ"/>
              </w:rPr>
              <w:t>Health Effect</w:t>
            </w:r>
          </w:p>
        </w:tc>
        <w:tc>
          <w:tcPr>
            <w:tcW w:w="1356" w:type="pct"/>
            <w:noWrap/>
            <w:vAlign w:val="center"/>
          </w:tcPr>
          <w:p w14:paraId="26FF5072" w14:textId="77777777" w:rsidR="00082F2F" w:rsidRPr="001E66EF" w:rsidRDefault="00082F2F" w:rsidP="00082F2F">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Cost</w:t>
            </w:r>
          </w:p>
        </w:tc>
      </w:tr>
      <w:tr w:rsidR="00082F2F" w:rsidRPr="001E66EF" w14:paraId="7C129F72" w14:textId="77777777" w:rsidTr="00082F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67" w:type="pct"/>
          </w:tcPr>
          <w:p w14:paraId="2EDFE15C" w14:textId="77777777" w:rsidR="00082F2F" w:rsidRPr="001E66EF" w:rsidRDefault="00082F2F" w:rsidP="00082F2F">
            <w:pPr>
              <w:spacing w:after="0" w:line="240" w:lineRule="auto"/>
              <w:ind w:left="0"/>
              <w:jc w:val="left"/>
              <w:rPr>
                <w:rFonts w:eastAsia="Times New Roman" w:cs="Calibri"/>
                <w:b w:val="0"/>
                <w:color w:val="000000"/>
                <w:lang w:eastAsia="en-NZ"/>
              </w:rPr>
            </w:pPr>
            <w:r w:rsidRPr="001E66EF">
              <w:rPr>
                <w:rFonts w:eastAsia="Times New Roman" w:cs="Calibri"/>
                <w:b w:val="0"/>
                <w:color w:val="000000"/>
                <w:lang w:eastAsia="en-NZ"/>
              </w:rPr>
              <w:t>Premature Mortality Effects (VOSL)</w:t>
            </w:r>
          </w:p>
        </w:tc>
        <w:tc>
          <w:tcPr>
            <w:tcW w:w="677" w:type="pct"/>
            <w:noWrap/>
          </w:tcPr>
          <w:p w14:paraId="5DD563B5" w14:textId="77777777" w:rsidR="00082F2F" w:rsidRPr="001E66EF" w:rsidRDefault="00082F2F" w:rsidP="00082F2F">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p>
        </w:tc>
        <w:tc>
          <w:tcPr>
            <w:tcW w:w="1356" w:type="pct"/>
            <w:noWrap/>
            <w:vAlign w:val="center"/>
          </w:tcPr>
          <w:p w14:paraId="5E5EF610" w14:textId="77777777" w:rsidR="00082F2F" w:rsidRPr="001E66EF" w:rsidRDefault="00082F2F" w:rsidP="00082F2F">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$4.06m</w:t>
            </w:r>
          </w:p>
        </w:tc>
      </w:tr>
      <w:tr w:rsidR="00D90AF0" w:rsidRPr="001E66EF" w14:paraId="14F9198C" w14:textId="77777777" w:rsidTr="00082F2F">
        <w:trPr>
          <w:trHeight w:val="227"/>
        </w:trPr>
        <w:tc>
          <w:tcPr>
            <w:cnfStyle w:val="001000000000" w:firstRow="0" w:lastRow="0" w:firstColumn="1" w:lastColumn="0" w:oddVBand="0" w:evenVBand="0" w:oddHBand="0" w:evenHBand="0" w:firstRowFirstColumn="0" w:firstRowLastColumn="0" w:lastRowFirstColumn="0" w:lastRowLastColumn="0"/>
            <w:tcW w:w="2967" w:type="pct"/>
          </w:tcPr>
          <w:p w14:paraId="717BDE3C" w14:textId="69B5D85C" w:rsidR="00D90AF0" w:rsidRPr="001E66EF" w:rsidRDefault="00D90AF0" w:rsidP="007D3AA9">
            <w:pPr>
              <w:spacing w:after="0" w:line="240" w:lineRule="auto"/>
              <w:ind w:left="0"/>
              <w:jc w:val="left"/>
              <w:rPr>
                <w:rFonts w:eastAsia="Times New Roman" w:cs="Calibri"/>
                <w:b w:val="0"/>
                <w:color w:val="000000"/>
                <w:lang w:eastAsia="en-NZ"/>
              </w:rPr>
            </w:pPr>
            <w:r w:rsidRPr="001E66EF">
              <w:rPr>
                <w:rFonts w:eastAsia="Times New Roman" w:cs="Calibri"/>
                <w:b w:val="0"/>
                <w:color w:val="000000"/>
                <w:lang w:eastAsia="en-NZ"/>
              </w:rPr>
              <w:t>Premature Mortality Effects (VLYL)</w:t>
            </w:r>
            <w:r w:rsidR="00187086" w:rsidRPr="001E66EF">
              <w:rPr>
                <w:rFonts w:eastAsia="Times New Roman" w:cs="Calibri"/>
                <w:b w:val="0"/>
                <w:color w:val="000000"/>
                <w:lang w:eastAsia="en-NZ"/>
              </w:rPr>
              <w:t xml:space="preserve"> </w:t>
            </w:r>
          </w:p>
        </w:tc>
        <w:tc>
          <w:tcPr>
            <w:tcW w:w="677" w:type="pct"/>
            <w:noWrap/>
          </w:tcPr>
          <w:p w14:paraId="38098D86" w14:textId="77777777" w:rsidR="00D90AF0" w:rsidRPr="001E66EF" w:rsidRDefault="00D90AF0" w:rsidP="00082F2F">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p>
        </w:tc>
        <w:tc>
          <w:tcPr>
            <w:tcW w:w="1356" w:type="pct"/>
            <w:noWrap/>
            <w:vAlign w:val="center"/>
          </w:tcPr>
          <w:p w14:paraId="61870C8B" w14:textId="0AAAD511" w:rsidR="00D90AF0" w:rsidRPr="001E66EF" w:rsidRDefault="00D90AF0" w:rsidP="00C504A6">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w:t>
            </w:r>
            <w:r w:rsidR="00C504A6">
              <w:rPr>
                <w:rFonts w:eastAsia="Times New Roman" w:cs="Calibri"/>
                <w:color w:val="000000"/>
                <w:lang w:eastAsia="en-NZ"/>
              </w:rPr>
              <w:t>189,104 p.a.</w:t>
            </w:r>
          </w:p>
        </w:tc>
      </w:tr>
      <w:tr w:rsidR="00082F2F" w:rsidRPr="001E66EF" w14:paraId="3A1920E4" w14:textId="77777777" w:rsidTr="00082F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67" w:type="pct"/>
          </w:tcPr>
          <w:p w14:paraId="3355DCA9" w14:textId="77777777" w:rsidR="00082F2F" w:rsidRPr="001E66EF" w:rsidRDefault="00082F2F" w:rsidP="00082F2F">
            <w:pPr>
              <w:spacing w:after="0" w:line="240" w:lineRule="auto"/>
              <w:ind w:left="0"/>
              <w:jc w:val="left"/>
              <w:rPr>
                <w:rFonts w:eastAsia="Times New Roman" w:cs="Calibri"/>
                <w:b w:val="0"/>
                <w:color w:val="000000"/>
                <w:lang w:eastAsia="en-NZ"/>
              </w:rPr>
            </w:pPr>
            <w:r w:rsidRPr="001E66EF">
              <w:rPr>
                <w:rFonts w:eastAsia="Times New Roman" w:cs="Calibri"/>
                <w:b w:val="0"/>
                <w:color w:val="000000"/>
                <w:lang w:eastAsia="en-NZ"/>
              </w:rPr>
              <w:t>Acute Respiratory Hospital Admissions (RHA)</w:t>
            </w:r>
          </w:p>
        </w:tc>
        <w:tc>
          <w:tcPr>
            <w:tcW w:w="677" w:type="pct"/>
            <w:noWrap/>
          </w:tcPr>
          <w:p w14:paraId="7FFF2033" w14:textId="77777777" w:rsidR="00082F2F" w:rsidRPr="001E66EF" w:rsidRDefault="00082F2F" w:rsidP="00082F2F">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p>
        </w:tc>
        <w:tc>
          <w:tcPr>
            <w:tcW w:w="1356" w:type="pct"/>
            <w:noWrap/>
            <w:vAlign w:val="center"/>
            <w:hideMark/>
          </w:tcPr>
          <w:p w14:paraId="79833870" w14:textId="77777777" w:rsidR="00082F2F" w:rsidRPr="001E66EF" w:rsidRDefault="00082F2F" w:rsidP="00082F2F">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$5,381</w:t>
            </w:r>
          </w:p>
        </w:tc>
      </w:tr>
      <w:tr w:rsidR="00082F2F" w:rsidRPr="001E66EF" w14:paraId="1CE5F4DC" w14:textId="77777777" w:rsidTr="00082F2F">
        <w:trPr>
          <w:trHeight w:val="227"/>
        </w:trPr>
        <w:tc>
          <w:tcPr>
            <w:cnfStyle w:val="001000000000" w:firstRow="0" w:lastRow="0" w:firstColumn="1" w:lastColumn="0" w:oddVBand="0" w:evenVBand="0" w:oddHBand="0" w:evenHBand="0" w:firstRowFirstColumn="0" w:firstRowLastColumn="0" w:lastRowFirstColumn="0" w:lastRowLastColumn="0"/>
            <w:tcW w:w="2967" w:type="pct"/>
          </w:tcPr>
          <w:p w14:paraId="710F9C92" w14:textId="1BB15869" w:rsidR="00082F2F" w:rsidRPr="001E66EF" w:rsidRDefault="00082F2F" w:rsidP="00082F2F">
            <w:pPr>
              <w:spacing w:after="0" w:line="240" w:lineRule="auto"/>
              <w:ind w:left="0"/>
              <w:jc w:val="left"/>
              <w:rPr>
                <w:rFonts w:eastAsia="Times New Roman" w:cs="Calibri"/>
                <w:b w:val="0"/>
                <w:color w:val="000000"/>
                <w:lang w:eastAsia="en-NZ"/>
              </w:rPr>
            </w:pPr>
            <w:r w:rsidRPr="001E66EF">
              <w:rPr>
                <w:rFonts w:eastAsia="Times New Roman" w:cs="Calibri"/>
                <w:b w:val="0"/>
                <w:color w:val="000000"/>
                <w:lang w:eastAsia="en-NZ"/>
              </w:rPr>
              <w:t>Acute Card</w:t>
            </w:r>
            <w:r w:rsidR="00613250">
              <w:rPr>
                <w:rFonts w:eastAsia="Times New Roman" w:cs="Calibri"/>
                <w:b w:val="0"/>
                <w:color w:val="000000"/>
                <w:lang w:eastAsia="en-NZ"/>
              </w:rPr>
              <w:t xml:space="preserve">iovascular Hospital Admissions </w:t>
            </w:r>
            <w:r w:rsidRPr="001E66EF">
              <w:rPr>
                <w:rFonts w:eastAsia="Times New Roman" w:cs="Calibri"/>
                <w:b w:val="0"/>
                <w:color w:val="000000"/>
                <w:lang w:eastAsia="en-NZ"/>
              </w:rPr>
              <w:t>(CHA)</w:t>
            </w:r>
          </w:p>
        </w:tc>
        <w:tc>
          <w:tcPr>
            <w:tcW w:w="677" w:type="pct"/>
            <w:noWrap/>
          </w:tcPr>
          <w:p w14:paraId="7EF693C2" w14:textId="77777777" w:rsidR="00082F2F" w:rsidRPr="001E66EF" w:rsidRDefault="00082F2F" w:rsidP="00082F2F">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p>
        </w:tc>
        <w:tc>
          <w:tcPr>
            <w:tcW w:w="1356" w:type="pct"/>
            <w:noWrap/>
            <w:vAlign w:val="center"/>
            <w:hideMark/>
          </w:tcPr>
          <w:p w14:paraId="548F6A18" w14:textId="77777777" w:rsidR="00082F2F" w:rsidRPr="001E66EF" w:rsidRDefault="00082F2F" w:rsidP="00082F2F">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$7,432</w:t>
            </w:r>
          </w:p>
        </w:tc>
      </w:tr>
      <w:tr w:rsidR="00082F2F" w:rsidRPr="001E66EF" w14:paraId="1959DDEC" w14:textId="77777777" w:rsidTr="00082F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67" w:type="pct"/>
          </w:tcPr>
          <w:p w14:paraId="3CEF631B" w14:textId="77777777" w:rsidR="00082F2F" w:rsidRPr="001E66EF" w:rsidRDefault="00082F2F" w:rsidP="00082F2F">
            <w:pPr>
              <w:spacing w:after="0" w:line="240" w:lineRule="auto"/>
              <w:ind w:left="0"/>
              <w:jc w:val="left"/>
              <w:rPr>
                <w:rFonts w:eastAsia="Times New Roman" w:cs="Calibri"/>
                <w:b w:val="0"/>
                <w:color w:val="000000"/>
                <w:lang w:eastAsia="en-NZ"/>
              </w:rPr>
            </w:pPr>
            <w:r w:rsidRPr="001E66EF">
              <w:rPr>
                <w:rFonts w:eastAsia="Times New Roman" w:cs="Calibri"/>
                <w:b w:val="0"/>
                <w:color w:val="000000"/>
                <w:lang w:eastAsia="en-NZ"/>
              </w:rPr>
              <w:t>Restricted Activity Day (RAD)</w:t>
            </w:r>
          </w:p>
        </w:tc>
        <w:tc>
          <w:tcPr>
            <w:tcW w:w="677" w:type="pct"/>
            <w:noWrap/>
          </w:tcPr>
          <w:p w14:paraId="46B9CBB7" w14:textId="77777777" w:rsidR="00082F2F" w:rsidRPr="001E66EF" w:rsidRDefault="00082F2F" w:rsidP="00082F2F">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p>
        </w:tc>
        <w:tc>
          <w:tcPr>
            <w:tcW w:w="1356" w:type="pct"/>
            <w:noWrap/>
            <w:vAlign w:val="center"/>
            <w:hideMark/>
          </w:tcPr>
          <w:p w14:paraId="60C8FB34" w14:textId="5B11800D" w:rsidR="00082F2F" w:rsidRPr="001E66EF" w:rsidRDefault="00082F2F" w:rsidP="00082F2F">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NZ"/>
              </w:rPr>
            </w:pPr>
            <w:r w:rsidRPr="001E66EF">
              <w:rPr>
                <w:rFonts w:eastAsia="Times New Roman" w:cs="Calibri"/>
                <w:color w:val="000000"/>
                <w:lang w:eastAsia="en-NZ"/>
              </w:rPr>
              <w:t>$70</w:t>
            </w:r>
            <w:r w:rsidR="00EB7BDB">
              <w:rPr>
                <w:rFonts w:eastAsia="Times New Roman" w:cs="Calibri"/>
                <w:color w:val="000000"/>
                <w:lang w:eastAsia="en-NZ"/>
              </w:rPr>
              <w:t xml:space="preserve"> per day</w:t>
            </w:r>
          </w:p>
        </w:tc>
      </w:tr>
      <w:tr w:rsidR="00082F2F" w:rsidRPr="001E66EF" w14:paraId="439A1AD4" w14:textId="77777777" w:rsidTr="00082F2F">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3"/>
          </w:tcPr>
          <w:p w14:paraId="27A36D05" w14:textId="77777777" w:rsidR="00082F2F" w:rsidRPr="001E66EF" w:rsidRDefault="00082F2F" w:rsidP="00082F2F">
            <w:pPr>
              <w:spacing w:after="0" w:line="240" w:lineRule="auto"/>
              <w:ind w:left="0"/>
              <w:jc w:val="center"/>
              <w:rPr>
                <w:rFonts w:eastAsia="Times New Roman" w:cs="Calibri"/>
                <w:b w:val="0"/>
                <w:color w:val="000000"/>
                <w:sz w:val="16"/>
                <w:lang w:eastAsia="en-NZ"/>
              </w:rPr>
            </w:pPr>
          </w:p>
        </w:tc>
      </w:tr>
      <w:tr w:rsidR="00D90AF0" w:rsidRPr="001E66EF" w14:paraId="592CD18C" w14:textId="77777777" w:rsidTr="00082F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00" w:type="pct"/>
            <w:gridSpan w:val="3"/>
          </w:tcPr>
          <w:p w14:paraId="0A0411D5" w14:textId="77777777" w:rsidR="00D90AF0" w:rsidRPr="001E66EF" w:rsidRDefault="00D90AF0" w:rsidP="00082F2F">
            <w:pPr>
              <w:spacing w:after="0" w:line="240" w:lineRule="auto"/>
              <w:ind w:left="0"/>
              <w:jc w:val="center"/>
              <w:rPr>
                <w:rFonts w:eastAsia="Times New Roman" w:cs="Calibri"/>
                <w:b w:val="0"/>
                <w:color w:val="000000"/>
                <w:sz w:val="16"/>
                <w:lang w:eastAsia="en-NZ"/>
              </w:rPr>
            </w:pPr>
            <w:r w:rsidRPr="001E66EF">
              <w:rPr>
                <w:rFonts w:eastAsia="Times New Roman" w:cs="Calibri"/>
                <w:b w:val="0"/>
                <w:color w:val="000000"/>
                <w:sz w:val="16"/>
                <w:lang w:eastAsia="en-NZ"/>
              </w:rPr>
              <w:t>Source: HAPINZ 2010 and subsequent updates</w:t>
            </w:r>
          </w:p>
        </w:tc>
      </w:tr>
    </w:tbl>
    <w:p w14:paraId="24B0C534" w14:textId="77777777" w:rsidR="00431D66" w:rsidRPr="001E66EF" w:rsidRDefault="00431D66" w:rsidP="00082F2F"/>
    <w:p w14:paraId="08CDBA84" w14:textId="2D653546" w:rsidR="00B23ED4" w:rsidRPr="001E66EF" w:rsidRDefault="00E12599" w:rsidP="00082F2F">
      <w:r w:rsidRPr="001E66EF">
        <w:t xml:space="preserve">Health benefits arise </w:t>
      </w:r>
      <w:r w:rsidR="000D1829" w:rsidRPr="001E66EF">
        <w:t xml:space="preserve">when as a result of the improved air quality, health incidences (and therefore </w:t>
      </w:r>
      <w:r w:rsidR="00F822CF" w:rsidRPr="001E66EF">
        <w:t xml:space="preserve">health </w:t>
      </w:r>
      <w:r w:rsidR="000D1829" w:rsidRPr="001E66EF">
        <w:t>costs) decrease.  This reduced cost (avoided cost) is interpreted as a benefit to society.</w:t>
      </w:r>
    </w:p>
    <w:p w14:paraId="5C8BC988" w14:textId="77777777" w:rsidR="00B23ED4" w:rsidRPr="001E66EF" w:rsidRDefault="00B23ED4" w:rsidP="0042131C">
      <w:pPr>
        <w:pStyle w:val="Heading3"/>
        <w:rPr>
          <w:rFonts w:ascii="Calibri Light" w:hAnsi="Calibri Light"/>
          <w:lang w:eastAsia="en-NZ"/>
        </w:rPr>
      </w:pPr>
      <w:r w:rsidRPr="001E66EF">
        <w:rPr>
          <w:rFonts w:ascii="Calibri Light" w:hAnsi="Calibri Light"/>
          <w:lang w:eastAsia="en-NZ"/>
        </w:rPr>
        <w:t xml:space="preserve">VOSL </w:t>
      </w:r>
      <w:r w:rsidR="00754591" w:rsidRPr="001E66EF">
        <w:rPr>
          <w:rFonts w:ascii="Calibri Light" w:hAnsi="Calibri Light"/>
          <w:lang w:eastAsia="en-NZ"/>
        </w:rPr>
        <w:t>vs VLYL</w:t>
      </w:r>
    </w:p>
    <w:p w14:paraId="79BF5FA3" w14:textId="5C108731" w:rsidR="00364928" w:rsidRPr="001E66EF" w:rsidRDefault="00BD09CE" w:rsidP="00364928">
      <w:r w:rsidRPr="001E66EF">
        <w:rPr>
          <w:lang w:eastAsia="en-NZ"/>
        </w:rPr>
        <w:t>The Value of Statistical Life (</w:t>
      </w:r>
      <w:r w:rsidR="00754591" w:rsidRPr="001E66EF">
        <w:rPr>
          <w:lang w:eastAsia="en-NZ"/>
        </w:rPr>
        <w:t>VOSL</w:t>
      </w:r>
      <w:r w:rsidRPr="001E66EF">
        <w:rPr>
          <w:lang w:eastAsia="en-NZ"/>
        </w:rPr>
        <w:t>)</w:t>
      </w:r>
      <w:r w:rsidR="0056413E" w:rsidRPr="001E66EF">
        <w:rPr>
          <w:lang w:eastAsia="en-NZ"/>
        </w:rPr>
        <w:t>,</w:t>
      </w:r>
      <w:r w:rsidR="00754591" w:rsidRPr="001E66EF">
        <w:rPr>
          <w:lang w:eastAsia="en-NZ"/>
        </w:rPr>
        <w:t xml:space="preserve"> also known as the Value of Preventing a F</w:t>
      </w:r>
      <w:r w:rsidR="00270764" w:rsidRPr="001E66EF">
        <w:rPr>
          <w:lang w:eastAsia="en-NZ"/>
        </w:rPr>
        <w:t>atality (VPF),</w:t>
      </w:r>
      <w:r w:rsidR="00754591" w:rsidRPr="001E66EF">
        <w:rPr>
          <w:lang w:eastAsia="en-NZ"/>
        </w:rPr>
        <w:t xml:space="preserve"> refers to the monetary value associated with each statistical death that is expected to be prevented through intervention (such as improving air quality).</w:t>
      </w:r>
      <w:r w:rsidR="00B87639">
        <w:rPr>
          <w:lang w:eastAsia="en-NZ"/>
        </w:rPr>
        <w:t xml:space="preserve">  The official VOSL in New Zealand is a measure used by the transport sector (and many others)</w:t>
      </w:r>
      <w:r w:rsidR="0015078E" w:rsidRPr="001E66EF">
        <w:rPr>
          <w:lang w:eastAsia="en-NZ"/>
        </w:rPr>
        <w:t xml:space="preserve"> </w:t>
      </w:r>
      <w:r w:rsidR="00B87639">
        <w:rPr>
          <w:lang w:eastAsia="en-NZ"/>
        </w:rPr>
        <w:t xml:space="preserve">to </w:t>
      </w:r>
      <w:r w:rsidR="009D0241" w:rsidRPr="001E66EF">
        <w:rPr>
          <w:lang w:eastAsia="en-NZ"/>
        </w:rPr>
        <w:t>reflect</w:t>
      </w:r>
      <w:r w:rsidR="0015078E" w:rsidRPr="001E66EF">
        <w:rPr>
          <w:lang w:eastAsia="en-NZ"/>
        </w:rPr>
        <w:t xml:space="preserve"> the total amount society is willing to pay for safety improvements that results in a reduction of the risk of premature death.</w:t>
      </w:r>
      <w:r w:rsidR="00364928" w:rsidRPr="001E66EF">
        <w:rPr>
          <w:lang w:eastAsia="en-NZ"/>
        </w:rPr>
        <w:t xml:space="preserve">  </w:t>
      </w:r>
      <w:r w:rsidR="00364928" w:rsidRPr="001E66EF">
        <w:t xml:space="preserve">It </w:t>
      </w:r>
      <w:r w:rsidR="00CB2DA9" w:rsidRPr="001E66EF">
        <w:t>must</w:t>
      </w:r>
      <w:r w:rsidR="00364928" w:rsidRPr="001E66EF">
        <w:t xml:space="preserve"> be noted that it does not value the life of a specific person, of specific stature, age, etc., hence the term ‘statistical life’.  It refers to an ‘incidence’ of mortality.  </w:t>
      </w:r>
    </w:p>
    <w:p w14:paraId="46ACD19A" w14:textId="568B711F" w:rsidR="000D708A" w:rsidRPr="001E66EF" w:rsidRDefault="008F1F29" w:rsidP="00652542">
      <w:r w:rsidRPr="001E66EF">
        <w:rPr>
          <w:lang w:eastAsia="en-NZ"/>
        </w:rPr>
        <w:t xml:space="preserve">The VOSL at June 2015 prices is $4.06 million </w:t>
      </w:r>
      <w:r w:rsidR="00357DDD" w:rsidRPr="001E66EF">
        <w:rPr>
          <w:lang w:eastAsia="en-NZ"/>
        </w:rPr>
        <w:t xml:space="preserve">as </w:t>
      </w:r>
      <w:r w:rsidR="00124D7E" w:rsidRPr="001E66EF">
        <w:rPr>
          <w:lang w:eastAsia="en-NZ"/>
        </w:rPr>
        <w:t>estimated</w:t>
      </w:r>
      <w:r w:rsidR="00357DDD" w:rsidRPr="001E66EF">
        <w:rPr>
          <w:lang w:eastAsia="en-NZ"/>
        </w:rPr>
        <w:t xml:space="preserve"> by </w:t>
      </w:r>
      <w:proofErr w:type="spellStart"/>
      <w:r w:rsidR="00357DDD" w:rsidRPr="001E66EF">
        <w:rPr>
          <w:lang w:eastAsia="en-NZ"/>
        </w:rPr>
        <w:t>MoT</w:t>
      </w:r>
      <w:proofErr w:type="spellEnd"/>
      <w:r w:rsidR="00357DDD" w:rsidRPr="001E66EF">
        <w:rPr>
          <w:lang w:eastAsia="en-NZ"/>
        </w:rPr>
        <w:t xml:space="preserve">. </w:t>
      </w:r>
      <w:r w:rsidR="00124D7E" w:rsidRPr="001E66EF">
        <w:rPr>
          <w:lang w:eastAsia="en-NZ"/>
        </w:rPr>
        <w:t xml:space="preserve"> </w:t>
      </w:r>
      <w:r w:rsidR="00357DDD" w:rsidRPr="001E66EF">
        <w:t xml:space="preserve">Originally the value was set at $2 million which </w:t>
      </w:r>
      <w:r w:rsidR="0015579D" w:rsidRPr="001E66EF">
        <w:t>was derived from a survey of adult New Zealand residents</w:t>
      </w:r>
      <w:r w:rsidR="00357DDD" w:rsidRPr="001E66EF">
        <w:rPr>
          <w:rStyle w:val="FootnoteReference"/>
        </w:rPr>
        <w:footnoteReference w:id="20"/>
      </w:r>
      <w:r w:rsidR="0015579D" w:rsidRPr="001E66EF">
        <w:t xml:space="preserve"> undertaken in 1989/90 and successively updated in subsequent years by indexing to the average ordinary time wage rate.</w:t>
      </w:r>
      <w:r w:rsidR="00357DDD" w:rsidRPr="001E66EF">
        <w:t xml:space="preserve">  </w:t>
      </w:r>
      <w:proofErr w:type="spellStart"/>
      <w:r w:rsidR="00357DDD" w:rsidRPr="001E66EF">
        <w:t>MoT</w:t>
      </w:r>
      <w:proofErr w:type="spellEnd"/>
      <w:r w:rsidR="00357DDD" w:rsidRPr="001E66EF">
        <w:t xml:space="preserve"> sought to understand how respondents </w:t>
      </w:r>
      <w:r w:rsidR="0059322E" w:rsidRPr="001E66EF">
        <w:t>substitute</w:t>
      </w:r>
      <w:r w:rsidR="00357DDD" w:rsidRPr="001E66EF">
        <w:t xml:space="preserve"> between wealth and safety.</w:t>
      </w:r>
      <w:r w:rsidR="00124D7E" w:rsidRPr="001E66EF">
        <w:t xml:space="preserve">  </w:t>
      </w:r>
      <w:r w:rsidR="000402ED" w:rsidRPr="001E66EF">
        <w:t>This method of valuation is consistent with the HAPINZ study</w:t>
      </w:r>
      <w:r w:rsidR="00FF53AF" w:rsidRPr="001E66EF">
        <w:t>,</w:t>
      </w:r>
      <w:r w:rsidR="000402ED" w:rsidRPr="001E66EF">
        <w:t xml:space="preserve"> but i</w:t>
      </w:r>
      <w:r w:rsidR="0081683C" w:rsidRPr="001E66EF">
        <w:t>t is being</w:t>
      </w:r>
      <w:r w:rsidR="00BD09CE" w:rsidRPr="001E66EF">
        <w:t xml:space="preserve"> debate</w:t>
      </w:r>
      <w:r w:rsidR="0081683C" w:rsidRPr="001E66EF">
        <w:t>d whether VOSL</w:t>
      </w:r>
      <w:r w:rsidR="00BD09CE" w:rsidRPr="001E66EF">
        <w:t xml:space="preserve"> is</w:t>
      </w:r>
      <w:r w:rsidR="000D708A" w:rsidRPr="001E66EF">
        <w:t xml:space="preserve"> the</w:t>
      </w:r>
      <w:r w:rsidR="00BD09CE" w:rsidRPr="001E66EF">
        <w:t xml:space="preserve"> </w:t>
      </w:r>
      <w:r w:rsidR="000402ED" w:rsidRPr="001E66EF">
        <w:t xml:space="preserve">most </w:t>
      </w:r>
      <w:r w:rsidR="00BD09CE" w:rsidRPr="001E66EF">
        <w:t xml:space="preserve">appropriate </w:t>
      </w:r>
      <w:r w:rsidR="000402ED" w:rsidRPr="001E66EF">
        <w:t>measure when</w:t>
      </w:r>
      <w:r w:rsidR="00BD09CE" w:rsidRPr="001E66EF">
        <w:t xml:space="preserve"> estimating</w:t>
      </w:r>
      <w:r w:rsidR="000D708A" w:rsidRPr="001E66EF">
        <w:t xml:space="preserve"> the cost of mortality</w:t>
      </w:r>
      <w:r w:rsidR="009B0F5A">
        <w:t>,</w:t>
      </w:r>
      <w:r w:rsidR="000D708A" w:rsidRPr="001E66EF">
        <w:t xml:space="preserve"> outside the transport sector. </w:t>
      </w:r>
    </w:p>
    <w:p w14:paraId="6EF1D9A8" w14:textId="6BE14083" w:rsidR="000D708A" w:rsidRPr="001E66EF" w:rsidRDefault="00124D7E" w:rsidP="00652542">
      <w:r w:rsidRPr="001E66EF">
        <w:t>Other l</w:t>
      </w:r>
      <w:r w:rsidR="000D708A" w:rsidRPr="001E66EF">
        <w:t xml:space="preserve">ife-year measures that have emerged from the health sector, </w:t>
      </w:r>
      <w:r w:rsidR="003640CC" w:rsidRPr="001E66EF">
        <w:t>which focuses</w:t>
      </w:r>
      <w:r w:rsidR="000D708A" w:rsidRPr="001E66EF">
        <w:t xml:space="preserve"> on changes in </w:t>
      </w:r>
      <w:r w:rsidR="003640CC" w:rsidRPr="001E66EF">
        <w:t>longevity</w:t>
      </w:r>
      <w:r w:rsidR="000D708A" w:rsidRPr="001E66EF">
        <w:t xml:space="preserve">, have </w:t>
      </w:r>
      <w:r w:rsidR="003640CC" w:rsidRPr="001E66EF">
        <w:t xml:space="preserve">been gaining </w:t>
      </w:r>
      <w:r w:rsidRPr="001E66EF">
        <w:t>exposure in recent debates</w:t>
      </w:r>
      <w:r w:rsidR="003640CC" w:rsidRPr="001E66EF">
        <w:t>.  These include:</w:t>
      </w:r>
    </w:p>
    <w:p w14:paraId="4F3804A1" w14:textId="77777777" w:rsidR="003640CC" w:rsidRPr="001E66EF" w:rsidRDefault="003640CC" w:rsidP="0024499A">
      <w:pPr>
        <w:pStyle w:val="MEBullet"/>
        <w:ind w:hanging="717"/>
      </w:pPr>
      <w:r w:rsidRPr="001E66EF">
        <w:t>Life years lost (LYL) - a simple measure of changes in expected longevity, which can be assigned an economic value known as the value of statistical life year (VSLY) or the value of a life year lost (VLYL).</w:t>
      </w:r>
    </w:p>
    <w:p w14:paraId="33168568" w14:textId="77777777" w:rsidR="000D708A" w:rsidRPr="00207B3A" w:rsidRDefault="000D708A" w:rsidP="0024499A">
      <w:pPr>
        <w:pStyle w:val="MEBullet"/>
        <w:ind w:hanging="717"/>
        <w:rPr>
          <w:rFonts w:cs="Lucida Sans"/>
          <w:color w:val="000000"/>
        </w:rPr>
      </w:pPr>
      <w:r w:rsidRPr="001E66EF">
        <w:t>Quality adjusted life year</w:t>
      </w:r>
      <w:r w:rsidR="003640CC" w:rsidRPr="001E66EF">
        <w:t>s</w:t>
      </w:r>
      <w:r w:rsidRPr="001E66EF">
        <w:t xml:space="preserve"> (QALY) </w:t>
      </w:r>
      <w:r w:rsidR="003640CC" w:rsidRPr="001E66EF">
        <w:t xml:space="preserve">and Disability adjusted life years (DALY) </w:t>
      </w:r>
      <w:r w:rsidRPr="001E66EF">
        <w:t>–</w:t>
      </w:r>
      <w:r w:rsidR="00AE2A28" w:rsidRPr="001E66EF">
        <w:t xml:space="preserve"> </w:t>
      </w:r>
      <w:r w:rsidRPr="001E66EF">
        <w:t>changes in expected longevity</w:t>
      </w:r>
      <w:r w:rsidR="003640CC" w:rsidRPr="001E66EF">
        <w:t xml:space="preserve"> is </w:t>
      </w:r>
      <w:r w:rsidRPr="001E66EF">
        <w:t>weighted by a</w:t>
      </w:r>
      <w:r w:rsidR="003640CC" w:rsidRPr="001E66EF">
        <w:t>n</w:t>
      </w:r>
      <w:r w:rsidRPr="001E66EF">
        <w:t xml:space="preserve"> </w:t>
      </w:r>
      <w:r w:rsidR="003640CC" w:rsidRPr="001E66EF">
        <w:t xml:space="preserve">index </w:t>
      </w:r>
      <w:r w:rsidRPr="001E66EF">
        <w:t>of quality of life</w:t>
      </w:r>
      <w:r w:rsidR="00AE2A28" w:rsidRPr="001E66EF">
        <w:t xml:space="preserve"> and a disability weighting respectively.  Disability weighting incorporates age weighting, </w:t>
      </w:r>
      <w:r w:rsidR="00E25991" w:rsidRPr="001E66EF">
        <w:t xml:space="preserve">therefore </w:t>
      </w:r>
      <w:r w:rsidR="00E25991" w:rsidRPr="00207B3A">
        <w:t>DALYs</w:t>
      </w:r>
      <w:r w:rsidRPr="00207B3A">
        <w:rPr>
          <w:rFonts w:cs="Lucida Sans"/>
          <w:color w:val="000000"/>
        </w:rPr>
        <w:t xml:space="preserve"> are regarded as less subjective than the quality</w:t>
      </w:r>
      <w:r w:rsidR="00AE2A28" w:rsidRPr="00207B3A">
        <w:rPr>
          <w:rFonts w:cs="Lucida Sans"/>
          <w:color w:val="000000"/>
        </w:rPr>
        <w:t xml:space="preserve"> weighting of QALYs</w:t>
      </w:r>
      <w:r w:rsidRPr="00207B3A">
        <w:rPr>
          <w:rFonts w:cs="Lucida Sans"/>
          <w:color w:val="000000"/>
        </w:rPr>
        <w:t xml:space="preserve">. </w:t>
      </w:r>
    </w:p>
    <w:p w14:paraId="0208B65C" w14:textId="40B244D9" w:rsidR="000D708A" w:rsidRPr="001E66EF" w:rsidRDefault="000D708A" w:rsidP="0024499A">
      <w:pPr>
        <w:pStyle w:val="MEBullet"/>
        <w:ind w:hanging="717"/>
      </w:pPr>
      <w:r w:rsidRPr="001E66EF">
        <w:lastRenderedPageBreak/>
        <w:t xml:space="preserve">Life quality index (LQI) – a method originating in Canada to weight life years by an assessment of </w:t>
      </w:r>
      <w:r w:rsidR="004627C0" w:rsidRPr="001E66EF">
        <w:t>quality but</w:t>
      </w:r>
      <w:r w:rsidRPr="001E66EF">
        <w:t xml:space="preserve"> designed by engineers (rather than medical specialists as in QALY and DALY weightings</w:t>
      </w:r>
      <w:r w:rsidR="006867EB" w:rsidRPr="001E66EF">
        <w:t>).</w:t>
      </w:r>
    </w:p>
    <w:p w14:paraId="23489727" w14:textId="6662068E" w:rsidR="00E25991" w:rsidRPr="002F76F6" w:rsidRDefault="00EB7A14" w:rsidP="002F76F6">
      <w:pPr>
        <w:rPr>
          <w:rFonts w:cs="Arial"/>
          <w:color w:val="222222"/>
          <w:shd w:val="clear" w:color="auto" w:fill="FFFFFF"/>
        </w:rPr>
      </w:pPr>
      <w:r w:rsidRPr="001E66EF">
        <w:t xml:space="preserve">As an alternative method of quantifying the social cost of mortality, the </w:t>
      </w:r>
      <w:r w:rsidR="0026145B" w:rsidRPr="001E66EF">
        <w:t>assessment</w:t>
      </w:r>
      <w:r w:rsidRPr="001E66EF">
        <w:t xml:space="preserve"> include</w:t>
      </w:r>
      <w:r w:rsidR="0026145B" w:rsidRPr="001E66EF">
        <w:t>d</w:t>
      </w:r>
      <w:r w:rsidRPr="001E66EF">
        <w:t xml:space="preserve"> VLYL.</w:t>
      </w:r>
      <w:r w:rsidR="00E25991" w:rsidRPr="001E66EF">
        <w:t xml:space="preserve">  We have assumed that the distribution of mortality per age cohort within the airshed is similar to the distribution of population per age cohort within the airshed.  This is to say that if 5% of the population in a</w:t>
      </w:r>
      <w:r w:rsidR="0000455C" w:rsidRPr="001E66EF">
        <w:t>n</w:t>
      </w:r>
      <w:r w:rsidR="00E25991" w:rsidRPr="001E66EF">
        <w:t xml:space="preserve"> airshed falls in the age group 5-9 years, then 5% o</w:t>
      </w:r>
      <w:r w:rsidR="0024689C" w:rsidRPr="001E66EF">
        <w:t>f</w:t>
      </w:r>
      <w:r w:rsidR="00E25991" w:rsidRPr="001E66EF">
        <w:t xml:space="preserve"> air pollution related</w:t>
      </w:r>
      <w:r w:rsidR="0024689C" w:rsidRPr="001E66EF">
        <w:t xml:space="preserve"> premature</w:t>
      </w:r>
      <w:r w:rsidR="00E25991" w:rsidRPr="001E66EF">
        <w:t xml:space="preserve"> deaths that occur, are 5-9 year olds.</w:t>
      </w:r>
      <w:r w:rsidR="009D5300" w:rsidRPr="001E66EF">
        <w:t xml:space="preserve">  By using the median age in each age group the model estimated the number of life years lost as a result of </w:t>
      </w:r>
      <w:r w:rsidR="0021637C">
        <w:t xml:space="preserve">premature </w:t>
      </w:r>
      <w:r w:rsidR="009D5300" w:rsidRPr="001E66EF">
        <w:t xml:space="preserve">deaths attributable to air pollution.  </w:t>
      </w:r>
      <w:r w:rsidR="008F3B03">
        <w:t xml:space="preserve">The value used in our model, i.e. </w:t>
      </w:r>
      <w:r w:rsidR="008F3B03" w:rsidRPr="001E66EF">
        <w:t>$</w:t>
      </w:r>
      <w:r w:rsidR="008F3B03">
        <w:t>189,104</w:t>
      </w:r>
      <w:r w:rsidR="008F3B03">
        <w:rPr>
          <w:rStyle w:val="FootnoteReference"/>
        </w:rPr>
        <w:footnoteReference w:id="21"/>
      </w:r>
      <w:r w:rsidR="008F3B03">
        <w:t xml:space="preserve">, is consistent with the value used by </w:t>
      </w:r>
      <w:r w:rsidR="008F3B03" w:rsidRPr="001E66EF">
        <w:rPr>
          <w:rFonts w:cs="Arial"/>
          <w:color w:val="222222"/>
          <w:shd w:val="clear" w:color="auto" w:fill="FFFFFF"/>
        </w:rPr>
        <w:t xml:space="preserve">O'Dea &amp; Wren </w:t>
      </w:r>
      <w:r w:rsidR="008F3B03">
        <w:rPr>
          <w:rFonts w:cs="Arial"/>
          <w:color w:val="222222"/>
          <w:shd w:val="clear" w:color="auto" w:fill="FFFFFF"/>
        </w:rPr>
        <w:t>(</w:t>
      </w:r>
      <w:r w:rsidR="008F3B03" w:rsidRPr="001E66EF">
        <w:rPr>
          <w:rFonts w:cs="Arial"/>
          <w:color w:val="222222"/>
          <w:shd w:val="clear" w:color="auto" w:fill="FFFFFF"/>
        </w:rPr>
        <w:t>2012</w:t>
      </w:r>
      <w:r w:rsidR="008F3B03">
        <w:rPr>
          <w:rFonts w:cs="Arial"/>
          <w:color w:val="222222"/>
          <w:shd w:val="clear" w:color="auto" w:fill="FFFFFF"/>
        </w:rPr>
        <w:t xml:space="preserve">), to estimate the human cost of accidents (for ACC).  </w:t>
      </w:r>
      <w:r w:rsidR="0043396F">
        <w:rPr>
          <w:rFonts w:cs="Arial"/>
          <w:color w:val="222222"/>
          <w:shd w:val="clear" w:color="auto" w:fill="FFFFFF"/>
        </w:rPr>
        <w:t xml:space="preserve">  </w:t>
      </w:r>
    </w:p>
    <w:p w14:paraId="77B43A74" w14:textId="499A0943" w:rsidR="00EB7A14" w:rsidRDefault="00EB7A14" w:rsidP="0042131C">
      <w:pPr>
        <w:pStyle w:val="Heading3"/>
        <w:rPr>
          <w:rFonts w:ascii="Calibri Light" w:hAnsi="Calibri Light"/>
        </w:rPr>
      </w:pPr>
      <w:r w:rsidRPr="001E66EF">
        <w:rPr>
          <w:rFonts w:ascii="Calibri Light" w:hAnsi="Calibri Light"/>
        </w:rPr>
        <w:t>Sensitivity analysis</w:t>
      </w:r>
    </w:p>
    <w:p w14:paraId="7984BFA5" w14:textId="521631AF" w:rsidR="00660A91" w:rsidRPr="00B67DA1" w:rsidRDefault="00660A91" w:rsidP="00EB7A14">
      <w:pPr>
        <w:rPr>
          <w:i/>
        </w:rPr>
      </w:pPr>
      <w:r w:rsidRPr="00B67DA1">
        <w:rPr>
          <w:i/>
        </w:rPr>
        <w:t>Re</w:t>
      </w:r>
      <w:r w:rsidR="00405FBE">
        <w:rPr>
          <w:i/>
        </w:rPr>
        <w:t>s</w:t>
      </w:r>
      <w:r w:rsidRPr="00B67DA1">
        <w:rPr>
          <w:i/>
        </w:rPr>
        <w:t>ponse ratios</w:t>
      </w:r>
    </w:p>
    <w:p w14:paraId="583360DC" w14:textId="62C3BC55" w:rsidR="00EB7A14" w:rsidRDefault="00EB7A14" w:rsidP="00196BC2">
      <w:pPr>
        <w:ind w:left="993"/>
      </w:pPr>
      <w:r w:rsidRPr="001E66EF">
        <w:t>NIWA provided a range of res</w:t>
      </w:r>
      <w:r w:rsidR="00E65690">
        <w:t>ponse ratios which was used as</w:t>
      </w:r>
      <w:r w:rsidRPr="001E66EF">
        <w:t xml:space="preserve"> </w:t>
      </w:r>
      <w:r w:rsidR="006035AE" w:rsidRPr="001E66EF">
        <w:t>‘sensitivity settings’ in the model measuring</w:t>
      </w:r>
      <w:r w:rsidRPr="001E66EF">
        <w:t xml:space="preserve"> the sensitivity of health costs to different response ratios</w:t>
      </w:r>
      <w:r w:rsidR="006035AE" w:rsidRPr="001E66EF">
        <w:t xml:space="preserve"> (incidences</w:t>
      </w:r>
      <w:r w:rsidR="004D51D8" w:rsidRPr="001E66EF">
        <w:t xml:space="preserve"> attributable to air pollution) – see </w:t>
      </w:r>
      <w:r w:rsidR="004D51D8" w:rsidRPr="001E66EF">
        <w:fldChar w:fldCharType="begin"/>
      </w:r>
      <w:r w:rsidR="004D51D8" w:rsidRPr="001E66EF">
        <w:instrText xml:space="preserve"> REF _Ref454524341 \h </w:instrText>
      </w:r>
      <w:r w:rsidR="001E66EF">
        <w:instrText xml:space="preserve"> \* MERGEFORMAT </w:instrText>
      </w:r>
      <w:r w:rsidR="004D51D8" w:rsidRPr="001E66EF">
        <w:fldChar w:fldCharType="separate"/>
      </w:r>
      <w:r w:rsidR="00FD114C" w:rsidRPr="001E66EF">
        <w:t xml:space="preserve">Appendix </w:t>
      </w:r>
      <w:r w:rsidR="00FD114C">
        <w:rPr>
          <w:noProof/>
        </w:rPr>
        <w:t>2</w:t>
      </w:r>
      <w:r w:rsidR="004D51D8" w:rsidRPr="001E66EF">
        <w:fldChar w:fldCharType="end"/>
      </w:r>
      <w:r w:rsidR="004D51D8" w:rsidRPr="001E66EF">
        <w:t xml:space="preserve"> for the range of ratios.  </w:t>
      </w:r>
      <w:r w:rsidR="004D51D8" w:rsidRPr="007B335B">
        <w:t>Switching to</w:t>
      </w:r>
      <w:r w:rsidR="00847806" w:rsidRPr="007B335B">
        <w:t xml:space="preserve"> </w:t>
      </w:r>
      <w:r w:rsidR="004D51D8" w:rsidRPr="007B335B">
        <w:t>‘</w:t>
      </w:r>
      <w:r w:rsidR="00847806" w:rsidRPr="007B335B">
        <w:t>L</w:t>
      </w:r>
      <w:r w:rsidR="004D51D8" w:rsidRPr="007B335B">
        <w:t xml:space="preserve">ow’ </w:t>
      </w:r>
      <w:r w:rsidR="00847806" w:rsidRPr="007B335B">
        <w:t xml:space="preserve">(‘High’) </w:t>
      </w:r>
      <w:r w:rsidR="004D51D8" w:rsidRPr="007B335B">
        <w:t>response ratios</w:t>
      </w:r>
      <w:r w:rsidR="00847806" w:rsidRPr="007B335B">
        <w:t xml:space="preserve"> decreased (</w:t>
      </w:r>
      <w:r w:rsidR="004D51D8" w:rsidRPr="007B335B">
        <w:t>increased</w:t>
      </w:r>
      <w:r w:rsidR="00847806" w:rsidRPr="007B335B">
        <w:t xml:space="preserve">) </w:t>
      </w:r>
      <w:r w:rsidR="004D51D8" w:rsidRPr="007B335B">
        <w:t xml:space="preserve">the </w:t>
      </w:r>
      <w:r w:rsidR="00847806" w:rsidRPr="007B335B">
        <w:t xml:space="preserve">health benefits by around </w:t>
      </w:r>
      <w:r w:rsidR="00795034" w:rsidRPr="007B335B">
        <w:t>a third</w:t>
      </w:r>
      <w:r w:rsidR="00E65690" w:rsidRPr="007B335B">
        <w:t>,</w:t>
      </w:r>
      <w:r w:rsidR="00795034" w:rsidRPr="007B335B">
        <w:t xml:space="preserve"> under the </w:t>
      </w:r>
      <w:r w:rsidR="00E65690" w:rsidRPr="007B335B">
        <w:t>policy setting</w:t>
      </w:r>
      <w:r w:rsidR="00795034" w:rsidRPr="001E66EF">
        <w:t>.</w:t>
      </w:r>
      <w:r w:rsidR="00273646" w:rsidRPr="001E66EF">
        <w:t xml:space="preserve"> </w:t>
      </w:r>
      <w:r w:rsidR="00847806" w:rsidRPr="001E66EF">
        <w:t xml:space="preserve"> </w:t>
      </w:r>
    </w:p>
    <w:p w14:paraId="7A302253" w14:textId="1E903F37" w:rsidR="00660A91" w:rsidRPr="00B67DA1" w:rsidRDefault="00660A91" w:rsidP="00EB7A14">
      <w:pPr>
        <w:rPr>
          <w:i/>
        </w:rPr>
      </w:pPr>
      <w:r w:rsidRPr="00B67DA1">
        <w:rPr>
          <w:i/>
        </w:rPr>
        <w:t>Burner costs</w:t>
      </w:r>
    </w:p>
    <w:p w14:paraId="635EF158" w14:textId="6D27DC00" w:rsidR="00013657" w:rsidRPr="001E66EF" w:rsidRDefault="00C271DE" w:rsidP="00196BC2">
      <w:pPr>
        <w:ind w:left="993"/>
      </w:pPr>
      <w:r w:rsidRPr="001E66EF">
        <w:t>Under the current settings</w:t>
      </w:r>
      <w:r w:rsidR="00184033">
        <w:t xml:space="preserve"> </w:t>
      </w:r>
      <w:r w:rsidR="005E3A0C">
        <w:t>in the CBA</w:t>
      </w:r>
      <w:r w:rsidR="00C6004E">
        <w:t>,</w:t>
      </w:r>
      <w:r w:rsidR="005E3A0C">
        <w:t xml:space="preserve"> </w:t>
      </w:r>
      <w:r w:rsidRPr="001E66EF">
        <w:t>there is a cost differential of $1,500 for installing a 0.5g/kg burner, but no differential for other burners</w:t>
      </w:r>
      <w:r w:rsidR="00C6004E">
        <w:t xml:space="preserve"> such as a 1.0g/kg burner</w:t>
      </w:r>
      <w:r w:rsidRPr="001E66EF">
        <w:t xml:space="preserve">.  </w:t>
      </w:r>
      <w:r w:rsidR="00013657" w:rsidRPr="001E66EF">
        <w:t>This implies that the</w:t>
      </w:r>
      <w:r w:rsidR="00013657">
        <w:t>re is very little</w:t>
      </w:r>
      <w:r w:rsidR="001B7E3B">
        <w:t xml:space="preserve"> (additional) </w:t>
      </w:r>
      <w:r w:rsidR="00013657" w:rsidRPr="001E66EF">
        <w:t xml:space="preserve">cost </w:t>
      </w:r>
      <w:r w:rsidR="00013657">
        <w:t xml:space="preserve">being </w:t>
      </w:r>
      <w:r w:rsidR="00013657" w:rsidRPr="001E66EF">
        <w:t>imposed as a result of the emission limits</w:t>
      </w:r>
      <w:r w:rsidR="00013657">
        <w:t xml:space="preserve"> set in the proposed policy</w:t>
      </w:r>
      <w:r w:rsidR="00013657" w:rsidRPr="001E66EF">
        <w:t xml:space="preserve">.  </w:t>
      </w:r>
      <w:r w:rsidR="001B7E3B">
        <w:t>A</w:t>
      </w:r>
      <w:r w:rsidR="00013657">
        <w:t xml:space="preserve">s part of </w:t>
      </w:r>
      <w:r w:rsidR="00013657" w:rsidRPr="001E66EF">
        <w:t>testing the assessment’s sensitivity to the cost differential</w:t>
      </w:r>
      <w:r w:rsidR="00013657">
        <w:t>, we included a $200 cost differential</w:t>
      </w:r>
      <w:r w:rsidR="00013657" w:rsidRPr="001E66EF">
        <w:t xml:space="preserve"> </w:t>
      </w:r>
      <w:r w:rsidR="00013657">
        <w:t>for</w:t>
      </w:r>
      <w:r w:rsidR="00013657" w:rsidRPr="001E66EF">
        <w:t xml:space="preserve"> installing </w:t>
      </w:r>
      <w:r w:rsidR="00013657">
        <w:t>a 1.0g/kg</w:t>
      </w:r>
      <w:r w:rsidR="00013657" w:rsidRPr="001E66EF">
        <w:t xml:space="preserve"> under the policy setting</w:t>
      </w:r>
      <w:r w:rsidR="00013657">
        <w:t>,</w:t>
      </w:r>
      <w:r w:rsidR="00013657" w:rsidRPr="001E66EF">
        <w:t xml:space="preserve"> versus installing a heating appliance in the absence of policy</w:t>
      </w:r>
      <w:r w:rsidR="00013657">
        <w:t xml:space="preserve">.  This brings the CBR down to 2.8 (from 8.4).  </w:t>
      </w:r>
      <w:r w:rsidR="001B7E3B">
        <w:t>Our analysis shows that the</w:t>
      </w:r>
      <w:r w:rsidR="00013657">
        <w:t xml:space="preserve"> CBR is </w:t>
      </w:r>
      <w:r w:rsidR="001B7E3B">
        <w:t xml:space="preserve">highly </w:t>
      </w:r>
      <w:r w:rsidR="00013657">
        <w:t xml:space="preserve">sensitive </w:t>
      </w:r>
      <w:r w:rsidR="001B7E3B">
        <w:t xml:space="preserve">to </w:t>
      </w:r>
      <w:r w:rsidR="00AE5165">
        <w:t xml:space="preserve">adjusting the </w:t>
      </w:r>
      <w:r w:rsidR="00013657">
        <w:t>cost differential.</w:t>
      </w:r>
    </w:p>
    <w:p w14:paraId="5FF0BCCD" w14:textId="2B70EEB9" w:rsidR="00660A91" w:rsidRPr="00B67DA1" w:rsidRDefault="00660A91" w:rsidP="00660A91">
      <w:pPr>
        <w:rPr>
          <w:i/>
        </w:rPr>
      </w:pPr>
      <w:r w:rsidRPr="00B67DA1">
        <w:rPr>
          <w:i/>
        </w:rPr>
        <w:t>Health costs – Value of Life</w:t>
      </w:r>
    </w:p>
    <w:p w14:paraId="4ABAC4DB" w14:textId="1ED06A27" w:rsidR="00B16609" w:rsidRDefault="009A684D" w:rsidP="00196BC2">
      <w:pPr>
        <w:ind w:left="993"/>
      </w:pPr>
      <w:r>
        <w:t xml:space="preserve">The VOSL method of </w:t>
      </w:r>
      <w:r w:rsidR="00184033">
        <w:t>valuing life, is used as the ma</w:t>
      </w:r>
      <w:r w:rsidR="00F2524E">
        <w:t>in measure of reporting on the benefit</w:t>
      </w:r>
      <w:r w:rsidR="00184033">
        <w:t xml:space="preserve"> of </w:t>
      </w:r>
      <w:r w:rsidR="0021637C">
        <w:t>preventing premature mortality</w:t>
      </w:r>
      <w:r w:rsidR="00215C9E">
        <w:t xml:space="preserve"> </w:t>
      </w:r>
      <w:r w:rsidR="00F2524E">
        <w:t>in</w:t>
      </w:r>
      <w:r w:rsidR="00215C9E">
        <w:t xml:space="preserve"> this report</w:t>
      </w:r>
      <w:r w:rsidR="00F2524E">
        <w:t>.  H</w:t>
      </w:r>
      <w:r w:rsidR="00215C9E">
        <w:t>owever</w:t>
      </w:r>
      <w:r w:rsidR="00F2524E">
        <w:t>,</w:t>
      </w:r>
      <w:r w:rsidR="00215C9E">
        <w:t xml:space="preserve"> as an additional method of </w:t>
      </w:r>
      <w:r w:rsidR="005A27A4">
        <w:t>monetising the value of</w:t>
      </w:r>
      <w:r w:rsidR="00215C9E">
        <w:t xml:space="preserve"> life, M.E used the Value of Life Years Lost (VLYL) approach</w:t>
      </w:r>
      <w:r w:rsidR="00184033">
        <w:t>.</w:t>
      </w:r>
      <w:r w:rsidR="005A27A4">
        <w:t xml:space="preserve">  The reasoning and details of both these approaches are discussed in the section above.  </w:t>
      </w:r>
      <w:r>
        <w:t>Responding to feedback regarding the cost of mortality, M.E performed additional sensitivity analyses</w:t>
      </w:r>
      <w:r w:rsidR="000D263A">
        <w:t xml:space="preserve"> by decreasing the value of a statistical life year to $54,707</w:t>
      </w:r>
      <w:r w:rsidR="00E01212">
        <w:t xml:space="preserve"> (as suggested by the peer reviewer</w:t>
      </w:r>
      <w:r w:rsidR="003D61EE">
        <w:rPr>
          <w:rStyle w:val="FootnoteReference"/>
        </w:rPr>
        <w:footnoteReference w:id="22"/>
      </w:r>
      <w:r w:rsidR="00E01212">
        <w:t>)</w:t>
      </w:r>
      <w:r w:rsidR="0033519B">
        <w:t>.</w:t>
      </w:r>
      <w:r w:rsidR="00B16609">
        <w:t xml:space="preserve">  Using this value reduces the </w:t>
      </w:r>
      <w:r w:rsidR="005A27A4">
        <w:t xml:space="preserve">CBR </w:t>
      </w:r>
      <w:r w:rsidR="00660A91">
        <w:t>to</w:t>
      </w:r>
      <w:r w:rsidR="00CB14BC">
        <w:t xml:space="preserve"> </w:t>
      </w:r>
      <w:r w:rsidR="007D7612">
        <w:t>3</w:t>
      </w:r>
      <w:r w:rsidR="0021637C">
        <w:t>.0</w:t>
      </w:r>
      <w:r w:rsidR="00DA49DD">
        <w:t xml:space="preserve"> (from </w:t>
      </w:r>
      <w:r w:rsidR="00013657">
        <w:t>14.0</w:t>
      </w:r>
      <w:r w:rsidR="00DA49DD">
        <w:t xml:space="preserve">).  </w:t>
      </w:r>
      <w:r w:rsidR="0081207A">
        <w:t xml:space="preserve">While applying this cost to </w:t>
      </w:r>
      <w:r w:rsidR="0081207A">
        <w:rPr>
          <w:i/>
        </w:rPr>
        <w:t xml:space="preserve">discounted </w:t>
      </w:r>
      <w:r w:rsidR="0081207A" w:rsidRPr="0081207A">
        <w:rPr>
          <w:i/>
        </w:rPr>
        <w:t>years</w:t>
      </w:r>
      <w:r w:rsidR="0081207A">
        <w:t xml:space="preserve">, marginally decreases the CBR, it still remains greater than one, </w:t>
      </w:r>
      <w:r w:rsidR="00B16609">
        <w:t>suggesting that</w:t>
      </w:r>
      <w:r w:rsidR="0081207A">
        <w:t xml:space="preserve"> the benefits of implementing </w:t>
      </w:r>
      <w:r w:rsidR="007D7612">
        <w:t>the proposed policy</w:t>
      </w:r>
      <w:r w:rsidR="0081207A">
        <w:t>, is greater than the costs of doing so.</w:t>
      </w:r>
      <w:r w:rsidR="000130CE">
        <w:t xml:space="preserve"> </w:t>
      </w:r>
    </w:p>
    <w:p w14:paraId="56955F5F" w14:textId="77777777" w:rsidR="0021637C" w:rsidRDefault="0021637C" w:rsidP="00660A91">
      <w:pPr>
        <w:rPr>
          <w:i/>
        </w:rPr>
      </w:pPr>
    </w:p>
    <w:p w14:paraId="2682F20C" w14:textId="0B444EF2" w:rsidR="00660A91" w:rsidRDefault="00660A91" w:rsidP="00660A91">
      <w:r w:rsidRPr="00BD7B20">
        <w:rPr>
          <w:i/>
        </w:rPr>
        <w:lastRenderedPageBreak/>
        <w:t>Discount Rate</w:t>
      </w:r>
    </w:p>
    <w:p w14:paraId="018A37B5" w14:textId="3779E02D" w:rsidR="000110CA" w:rsidRDefault="00F40222" w:rsidP="00196BC2">
      <w:pPr>
        <w:ind w:left="993"/>
      </w:pPr>
      <w:r>
        <w:t>U</w:t>
      </w:r>
      <w:r w:rsidR="002C35DA">
        <w:t xml:space="preserve">sing a discount rate of 8% for this CBA </w:t>
      </w:r>
      <w:r w:rsidR="00B16609">
        <w:t xml:space="preserve">(as we have done in the analysis) returns a </w:t>
      </w:r>
      <w:r w:rsidR="002C35DA">
        <w:t>conservative</w:t>
      </w:r>
      <w:r w:rsidR="00B16609">
        <w:t xml:space="preserve"> approach (i.e. a higher discount rate reduces the values more than a small discount rate)</w:t>
      </w:r>
      <w:r w:rsidR="00BD7B20">
        <w:t xml:space="preserve">. </w:t>
      </w:r>
      <w:r w:rsidR="00BD7B20" w:rsidRPr="000914AD">
        <w:t xml:space="preserve"> </w:t>
      </w:r>
      <w:r w:rsidR="000914AD" w:rsidRPr="000914AD">
        <w:fldChar w:fldCharType="begin"/>
      </w:r>
      <w:r w:rsidR="000914AD" w:rsidRPr="000914AD">
        <w:instrText xml:space="preserve"> REF _Ref25569281 \h  \* MERGEFORMAT </w:instrText>
      </w:r>
      <w:r w:rsidR="000914AD" w:rsidRPr="000914AD">
        <w:fldChar w:fldCharType="separate"/>
      </w:r>
      <w:r w:rsidR="00FD114C" w:rsidRPr="00FD114C">
        <w:t xml:space="preserve">Table </w:t>
      </w:r>
      <w:r w:rsidR="00FD114C" w:rsidRPr="00FD114C">
        <w:rPr>
          <w:noProof/>
        </w:rPr>
        <w:t>3</w:t>
      </w:r>
      <w:r w:rsidR="00FD114C" w:rsidRPr="00FD114C">
        <w:rPr>
          <w:noProof/>
        </w:rPr>
        <w:noBreakHyphen/>
        <w:t>2</w:t>
      </w:r>
      <w:r w:rsidR="000914AD" w:rsidRPr="000914AD">
        <w:fldChar w:fldCharType="end"/>
      </w:r>
      <w:r w:rsidR="000914AD">
        <w:t xml:space="preserve"> </w:t>
      </w:r>
      <w:r w:rsidR="00BD7B20">
        <w:t xml:space="preserve">shows the </w:t>
      </w:r>
      <w:r w:rsidR="00C929CF">
        <w:t xml:space="preserve">CBRs </w:t>
      </w:r>
      <w:r w:rsidR="00BD7B20">
        <w:t xml:space="preserve">under different discount rates – we used </w:t>
      </w:r>
      <w:r>
        <w:t>rate</w:t>
      </w:r>
      <w:r w:rsidR="0055741B">
        <w:t>s</w:t>
      </w:r>
      <w:r>
        <w:t xml:space="preserve"> of </w:t>
      </w:r>
      <w:r w:rsidR="0055741B">
        <w:t xml:space="preserve">4% and </w:t>
      </w:r>
      <w:r>
        <w:t>6%</w:t>
      </w:r>
      <w:r w:rsidR="00487EF9">
        <w:t>.</w:t>
      </w:r>
      <w:r w:rsidR="00C929CF">
        <w:t xml:space="preserve">  </w:t>
      </w:r>
    </w:p>
    <w:p w14:paraId="366E85C3" w14:textId="7E4A8428" w:rsidR="000110CA" w:rsidRPr="001D4927" w:rsidRDefault="001D4927" w:rsidP="001D4927">
      <w:pPr>
        <w:pStyle w:val="Caption"/>
        <w:rPr>
          <w:b w:val="0"/>
          <w:bCs w:val="0"/>
        </w:rPr>
      </w:pPr>
      <w:bookmarkStart w:id="53" w:name="_Ref25569281"/>
      <w:bookmarkStart w:id="54" w:name="_Toc25569493"/>
      <w:r w:rsidRPr="001D4927">
        <w:rPr>
          <w:b w:val="0"/>
          <w:bCs w:val="0"/>
        </w:rPr>
        <w:t xml:space="preserve">Table </w:t>
      </w:r>
      <w:r>
        <w:rPr>
          <w:b w:val="0"/>
          <w:bCs w:val="0"/>
        </w:rPr>
        <w:fldChar w:fldCharType="begin"/>
      </w:r>
      <w:r>
        <w:rPr>
          <w:b w:val="0"/>
          <w:bCs w:val="0"/>
        </w:rPr>
        <w:instrText xml:space="preserve"> STYLEREF 1 \s </w:instrText>
      </w:r>
      <w:r>
        <w:rPr>
          <w:b w:val="0"/>
          <w:bCs w:val="0"/>
        </w:rPr>
        <w:fldChar w:fldCharType="separate"/>
      </w:r>
      <w:r w:rsidR="00FD114C">
        <w:rPr>
          <w:b w:val="0"/>
          <w:bCs w:val="0"/>
          <w:noProof/>
        </w:rPr>
        <w:t>3</w:t>
      </w:r>
      <w:r>
        <w:rPr>
          <w:b w:val="0"/>
          <w:bCs w:val="0"/>
        </w:rPr>
        <w:fldChar w:fldCharType="end"/>
      </w:r>
      <w:r>
        <w:rPr>
          <w:b w:val="0"/>
          <w:bCs w:val="0"/>
        </w:rPr>
        <w:noBreakHyphen/>
      </w:r>
      <w:r>
        <w:rPr>
          <w:b w:val="0"/>
          <w:bCs w:val="0"/>
        </w:rPr>
        <w:fldChar w:fldCharType="begin"/>
      </w:r>
      <w:r>
        <w:rPr>
          <w:b w:val="0"/>
          <w:bCs w:val="0"/>
        </w:rPr>
        <w:instrText xml:space="preserve"> SEQ Table \* ARABIC \s 1 </w:instrText>
      </w:r>
      <w:r>
        <w:rPr>
          <w:b w:val="0"/>
          <w:bCs w:val="0"/>
        </w:rPr>
        <w:fldChar w:fldCharType="separate"/>
      </w:r>
      <w:r w:rsidR="00FD114C">
        <w:rPr>
          <w:b w:val="0"/>
          <w:bCs w:val="0"/>
          <w:noProof/>
        </w:rPr>
        <w:t>2</w:t>
      </w:r>
      <w:r>
        <w:rPr>
          <w:b w:val="0"/>
          <w:bCs w:val="0"/>
        </w:rPr>
        <w:fldChar w:fldCharType="end"/>
      </w:r>
      <w:bookmarkEnd w:id="53"/>
      <w:r w:rsidRPr="001D4927">
        <w:rPr>
          <w:b w:val="0"/>
          <w:bCs w:val="0"/>
        </w:rPr>
        <w:t>:  Discount rates 4%, 6%, 8%</w:t>
      </w:r>
      <w:bookmarkEnd w:id="54"/>
    </w:p>
    <w:tbl>
      <w:tblPr>
        <w:tblStyle w:val="ListTable2-Accent1"/>
        <w:tblW w:w="9878" w:type="dxa"/>
        <w:tblLayout w:type="fixed"/>
        <w:tblLook w:val="04A0" w:firstRow="1" w:lastRow="0" w:firstColumn="1" w:lastColumn="0" w:noHBand="0" w:noVBand="1"/>
      </w:tblPr>
      <w:tblGrid>
        <w:gridCol w:w="695"/>
        <w:gridCol w:w="2140"/>
        <w:gridCol w:w="1173"/>
        <w:gridCol w:w="1174"/>
        <w:gridCol w:w="1174"/>
        <w:gridCol w:w="1174"/>
        <w:gridCol w:w="1174"/>
        <w:gridCol w:w="1174"/>
      </w:tblGrid>
      <w:tr w:rsidR="00BD7B20" w:rsidRPr="00EA5D9D" w14:paraId="74237749" w14:textId="77777777" w:rsidTr="0082312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4" w:space="0" w:color="B8CCE4" w:themeColor="accent1" w:themeTint="66"/>
              <w:left w:val="single" w:sz="4" w:space="0" w:color="B8CCE4" w:themeColor="accent1" w:themeTint="66"/>
              <w:bottom w:val="single" w:sz="4" w:space="0" w:color="auto"/>
              <w:right w:val="single" w:sz="4" w:space="0" w:color="95B3D7" w:themeColor="accent1" w:themeTint="99"/>
            </w:tcBorders>
            <w:noWrap/>
          </w:tcPr>
          <w:p w14:paraId="1AD78E6E" w14:textId="50D9DA85" w:rsidR="00BD7B20" w:rsidRPr="00BD7B20" w:rsidRDefault="00BD7B20" w:rsidP="000110CA">
            <w:pPr>
              <w:spacing w:after="0" w:line="240" w:lineRule="auto"/>
              <w:ind w:left="0"/>
              <w:jc w:val="left"/>
              <w:rPr>
                <w:rFonts w:eastAsia="Times New Roman" w:cs="Times New Roman"/>
                <w:b w:val="0"/>
                <w:bCs w:val="0"/>
                <w:color w:val="000000"/>
                <w:sz w:val="20"/>
                <w:lang w:eastAsia="en-NZ"/>
              </w:rPr>
            </w:pPr>
          </w:p>
        </w:tc>
        <w:tc>
          <w:tcPr>
            <w:tcW w:w="3521" w:type="dxa"/>
            <w:gridSpan w:val="3"/>
            <w:tcBorders>
              <w:top w:val="single" w:sz="4" w:space="0" w:color="B8CCE4" w:themeColor="accent1" w:themeTint="66"/>
              <w:left w:val="single" w:sz="4" w:space="0" w:color="95B3D7" w:themeColor="accent1" w:themeTint="99"/>
              <w:right w:val="single" w:sz="4" w:space="0" w:color="95B3D7" w:themeColor="accent1" w:themeTint="99"/>
            </w:tcBorders>
            <w:noWrap/>
            <w:vAlign w:val="center"/>
            <w:hideMark/>
          </w:tcPr>
          <w:p w14:paraId="5A7FD4DF" w14:textId="70C00B8A" w:rsidR="00BD7B20" w:rsidRPr="000110CA" w:rsidRDefault="00BD7B20" w:rsidP="000110CA">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r w:rsidRPr="000110CA">
              <w:rPr>
                <w:rFonts w:eastAsia="Times New Roman" w:cs="Times New Roman"/>
                <w:color w:val="000000"/>
                <w:sz w:val="20"/>
                <w:lang w:eastAsia="en-NZ"/>
              </w:rPr>
              <w:t>VOSL Method</w:t>
            </w:r>
          </w:p>
        </w:tc>
        <w:tc>
          <w:tcPr>
            <w:tcW w:w="3522" w:type="dxa"/>
            <w:gridSpan w:val="3"/>
            <w:tcBorders>
              <w:top w:val="single" w:sz="4" w:space="0" w:color="B8CCE4" w:themeColor="accent1" w:themeTint="66"/>
              <w:left w:val="single" w:sz="4" w:space="0" w:color="95B3D7" w:themeColor="accent1" w:themeTint="99"/>
              <w:right w:val="single" w:sz="4" w:space="0" w:color="B8CCE4" w:themeColor="accent1" w:themeTint="66"/>
            </w:tcBorders>
            <w:noWrap/>
            <w:vAlign w:val="center"/>
            <w:hideMark/>
          </w:tcPr>
          <w:p w14:paraId="751650B7" w14:textId="77777777" w:rsidR="00BD7B20" w:rsidRPr="000110CA" w:rsidRDefault="00BD7B20" w:rsidP="000110CA">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r w:rsidRPr="000110CA">
              <w:rPr>
                <w:rFonts w:eastAsia="Times New Roman" w:cs="Times New Roman"/>
                <w:color w:val="000000"/>
                <w:sz w:val="20"/>
                <w:lang w:eastAsia="en-NZ"/>
              </w:rPr>
              <w:t>VLYL Method</w:t>
            </w:r>
          </w:p>
        </w:tc>
      </w:tr>
      <w:tr w:rsidR="00BD7B20" w:rsidRPr="00EA5D9D" w14:paraId="18DA2E9E" w14:textId="77777777" w:rsidTr="0082312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single" w:sz="4" w:space="0" w:color="auto"/>
              <w:left w:val="single" w:sz="4" w:space="0" w:color="B8CCE4" w:themeColor="accent1" w:themeTint="66"/>
              <w:bottom w:val="single" w:sz="4" w:space="0" w:color="B8CCE4" w:themeColor="accent1" w:themeTint="66"/>
              <w:right w:val="single" w:sz="4" w:space="0" w:color="95B3D7" w:themeColor="accent1" w:themeTint="99"/>
            </w:tcBorders>
            <w:noWrap/>
            <w:hideMark/>
          </w:tcPr>
          <w:p w14:paraId="2684BD19" w14:textId="03738771" w:rsidR="00BD7B20" w:rsidRPr="000110CA" w:rsidRDefault="00BD7B20" w:rsidP="000110CA">
            <w:pPr>
              <w:spacing w:after="0" w:line="240" w:lineRule="auto"/>
              <w:ind w:left="0"/>
              <w:jc w:val="left"/>
              <w:rPr>
                <w:rFonts w:eastAsia="Times New Roman" w:cs="Times New Roman"/>
                <w:color w:val="000000"/>
                <w:sz w:val="20"/>
                <w:lang w:eastAsia="en-NZ"/>
              </w:rPr>
            </w:pPr>
          </w:p>
        </w:tc>
        <w:tc>
          <w:tcPr>
            <w:tcW w:w="1173" w:type="dxa"/>
            <w:tcBorders>
              <w:left w:val="single" w:sz="4" w:space="0" w:color="95B3D7" w:themeColor="accent1" w:themeTint="99"/>
              <w:bottom w:val="single" w:sz="4" w:space="0" w:color="B8CCE4" w:themeColor="accent1" w:themeTint="66"/>
            </w:tcBorders>
            <w:noWrap/>
            <w:hideMark/>
          </w:tcPr>
          <w:p w14:paraId="4D571E2E" w14:textId="77777777" w:rsidR="00BD7B20" w:rsidRPr="000110CA" w:rsidRDefault="00BD7B20" w:rsidP="000110C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4%</w:t>
            </w:r>
          </w:p>
        </w:tc>
        <w:tc>
          <w:tcPr>
            <w:tcW w:w="1174" w:type="dxa"/>
            <w:tcBorders>
              <w:bottom w:val="single" w:sz="4" w:space="0" w:color="B8CCE4" w:themeColor="accent1" w:themeTint="66"/>
            </w:tcBorders>
            <w:noWrap/>
            <w:hideMark/>
          </w:tcPr>
          <w:p w14:paraId="222DAA19" w14:textId="77777777" w:rsidR="00BD7B20" w:rsidRPr="000110CA" w:rsidRDefault="00BD7B20" w:rsidP="000110C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6%</w:t>
            </w:r>
          </w:p>
        </w:tc>
        <w:tc>
          <w:tcPr>
            <w:tcW w:w="1174" w:type="dxa"/>
            <w:tcBorders>
              <w:bottom w:val="single" w:sz="4" w:space="0" w:color="B8CCE4" w:themeColor="accent1" w:themeTint="66"/>
              <w:right w:val="single" w:sz="4" w:space="0" w:color="95B3D7" w:themeColor="accent1" w:themeTint="99"/>
            </w:tcBorders>
            <w:noWrap/>
            <w:hideMark/>
          </w:tcPr>
          <w:p w14:paraId="4CE33D53" w14:textId="77777777" w:rsidR="00BD7B20" w:rsidRPr="000110CA" w:rsidRDefault="00BD7B20" w:rsidP="000110C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8%</w:t>
            </w:r>
          </w:p>
        </w:tc>
        <w:tc>
          <w:tcPr>
            <w:tcW w:w="1174" w:type="dxa"/>
            <w:tcBorders>
              <w:left w:val="single" w:sz="4" w:space="0" w:color="95B3D7" w:themeColor="accent1" w:themeTint="99"/>
              <w:bottom w:val="single" w:sz="4" w:space="0" w:color="B8CCE4" w:themeColor="accent1" w:themeTint="66"/>
            </w:tcBorders>
            <w:noWrap/>
            <w:hideMark/>
          </w:tcPr>
          <w:p w14:paraId="44B4747D" w14:textId="77777777" w:rsidR="00BD7B20" w:rsidRPr="000110CA" w:rsidRDefault="00BD7B20" w:rsidP="000110C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4%</w:t>
            </w:r>
          </w:p>
        </w:tc>
        <w:tc>
          <w:tcPr>
            <w:tcW w:w="1174" w:type="dxa"/>
            <w:tcBorders>
              <w:bottom w:val="single" w:sz="4" w:space="0" w:color="B8CCE4" w:themeColor="accent1" w:themeTint="66"/>
            </w:tcBorders>
            <w:noWrap/>
            <w:hideMark/>
          </w:tcPr>
          <w:p w14:paraId="59E5C95C" w14:textId="77777777" w:rsidR="00BD7B20" w:rsidRPr="000110CA" w:rsidRDefault="00BD7B20" w:rsidP="000110C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6%</w:t>
            </w:r>
          </w:p>
        </w:tc>
        <w:tc>
          <w:tcPr>
            <w:tcW w:w="1174" w:type="dxa"/>
            <w:tcBorders>
              <w:bottom w:val="single" w:sz="4" w:space="0" w:color="B8CCE4" w:themeColor="accent1" w:themeTint="66"/>
              <w:right w:val="single" w:sz="4" w:space="0" w:color="B8CCE4" w:themeColor="accent1" w:themeTint="66"/>
            </w:tcBorders>
            <w:noWrap/>
            <w:hideMark/>
          </w:tcPr>
          <w:p w14:paraId="5F6AA21D" w14:textId="77777777" w:rsidR="00BD7B20" w:rsidRPr="000110CA" w:rsidRDefault="00BD7B20" w:rsidP="000110CA">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8%</w:t>
            </w:r>
          </w:p>
        </w:tc>
      </w:tr>
      <w:tr w:rsidR="00066F05" w:rsidRPr="00EA5D9D" w14:paraId="52F10FAE" w14:textId="77777777" w:rsidTr="00066F05">
        <w:trPr>
          <w:trHeight w:val="451"/>
        </w:trPr>
        <w:tc>
          <w:tcPr>
            <w:cnfStyle w:val="001000000000" w:firstRow="0" w:lastRow="0" w:firstColumn="1" w:lastColumn="0" w:oddVBand="0" w:evenVBand="0" w:oddHBand="0" w:evenHBand="0" w:firstRowFirstColumn="0" w:firstRowLastColumn="0" w:lastRowFirstColumn="0" w:lastRowLastColumn="0"/>
            <w:tcW w:w="695" w:type="dxa"/>
            <w:vMerge w:val="restart"/>
            <w:tcBorders>
              <w:top w:val="single" w:sz="4" w:space="0" w:color="B8CCE4" w:themeColor="accent1" w:themeTint="66"/>
              <w:left w:val="single" w:sz="4" w:space="0" w:color="95B3D7" w:themeColor="accent1" w:themeTint="99"/>
              <w:right w:val="single" w:sz="4" w:space="0" w:color="95B3D7" w:themeColor="accent1" w:themeTint="99"/>
            </w:tcBorders>
            <w:vAlign w:val="center"/>
            <w:hideMark/>
          </w:tcPr>
          <w:p w14:paraId="2D205DD7" w14:textId="77777777" w:rsidR="00066F05" w:rsidRPr="000110CA" w:rsidRDefault="00066F05" w:rsidP="00066F05">
            <w:pPr>
              <w:spacing w:after="0" w:line="240" w:lineRule="auto"/>
              <w:ind w:left="0"/>
              <w:jc w:val="left"/>
              <w:rPr>
                <w:rFonts w:eastAsia="Times New Roman" w:cs="Times New Roman"/>
                <w:i/>
                <w:iCs/>
                <w:color w:val="000000"/>
                <w:sz w:val="20"/>
                <w:lang w:eastAsia="en-NZ"/>
              </w:rPr>
            </w:pPr>
            <w:r w:rsidRPr="000110CA">
              <w:rPr>
                <w:rFonts w:eastAsia="Times New Roman" w:cs="Times New Roman"/>
                <w:i/>
                <w:iCs/>
                <w:color w:val="000000"/>
                <w:sz w:val="20"/>
                <w:lang w:eastAsia="en-NZ"/>
              </w:rPr>
              <w:t>NPV</w:t>
            </w:r>
          </w:p>
        </w:tc>
        <w:tc>
          <w:tcPr>
            <w:tcW w:w="2140" w:type="dxa"/>
            <w:tcBorders>
              <w:top w:val="single" w:sz="4" w:space="0" w:color="B8CCE4" w:themeColor="accent1" w:themeTint="66"/>
              <w:left w:val="single" w:sz="4" w:space="0" w:color="95B3D7" w:themeColor="accent1" w:themeTint="99"/>
              <w:right w:val="single" w:sz="4" w:space="0" w:color="95B3D7" w:themeColor="accent1" w:themeTint="99"/>
            </w:tcBorders>
            <w:hideMark/>
          </w:tcPr>
          <w:p w14:paraId="4DBCC211" w14:textId="739C4941" w:rsidR="00066F05" w:rsidRPr="000110CA" w:rsidRDefault="00066F05" w:rsidP="00066F05">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Costs: public and private costs</w:t>
            </w:r>
            <w:r>
              <w:rPr>
                <w:rFonts w:eastAsia="Times New Roman" w:cs="Times New Roman"/>
                <w:i/>
                <w:iCs/>
                <w:color w:val="000000"/>
                <w:sz w:val="20"/>
                <w:lang w:eastAsia="en-NZ"/>
              </w:rPr>
              <w:t xml:space="preserve"> ($’m)</w:t>
            </w:r>
          </w:p>
        </w:tc>
        <w:tc>
          <w:tcPr>
            <w:tcW w:w="1173" w:type="dxa"/>
            <w:tcBorders>
              <w:top w:val="single" w:sz="4" w:space="0" w:color="B8CCE4" w:themeColor="accent1" w:themeTint="66"/>
              <w:left w:val="single" w:sz="4" w:space="0" w:color="95B3D7" w:themeColor="accent1" w:themeTint="99"/>
            </w:tcBorders>
            <w:noWrap/>
            <w:vAlign w:val="center"/>
            <w:hideMark/>
          </w:tcPr>
          <w:p w14:paraId="5D6DF285" w14:textId="7A454BA8" w:rsidR="00066F05" w:rsidRPr="00066F05" w:rsidRDefault="00066F05" w:rsidP="00066F0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$123.</w:t>
            </w:r>
            <w:r>
              <w:rPr>
                <w:sz w:val="18"/>
                <w:szCs w:val="18"/>
              </w:rPr>
              <w:t>4</w:t>
            </w:r>
            <w:r w:rsidRPr="00066F05">
              <w:rPr>
                <w:sz w:val="18"/>
                <w:szCs w:val="18"/>
              </w:rPr>
              <w:t xml:space="preserve"> </w:t>
            </w:r>
          </w:p>
        </w:tc>
        <w:tc>
          <w:tcPr>
            <w:tcW w:w="1174" w:type="dxa"/>
            <w:tcBorders>
              <w:top w:val="single" w:sz="4" w:space="0" w:color="B8CCE4" w:themeColor="accent1" w:themeTint="66"/>
            </w:tcBorders>
            <w:noWrap/>
            <w:vAlign w:val="center"/>
            <w:hideMark/>
          </w:tcPr>
          <w:p w14:paraId="5DFDCB2E" w14:textId="271264C0" w:rsidR="00066F05" w:rsidRPr="00066F05" w:rsidRDefault="00066F05" w:rsidP="00066F0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$109.</w:t>
            </w:r>
            <w:r>
              <w:rPr>
                <w:sz w:val="18"/>
                <w:szCs w:val="18"/>
              </w:rPr>
              <w:t>5</w:t>
            </w:r>
            <w:r w:rsidRPr="00066F05">
              <w:rPr>
                <w:sz w:val="18"/>
                <w:szCs w:val="18"/>
              </w:rPr>
              <w:t xml:space="preserve"> </w:t>
            </w:r>
          </w:p>
        </w:tc>
        <w:tc>
          <w:tcPr>
            <w:tcW w:w="1174" w:type="dxa"/>
            <w:tcBorders>
              <w:top w:val="single" w:sz="4" w:space="0" w:color="B8CCE4" w:themeColor="accent1" w:themeTint="66"/>
              <w:right w:val="single" w:sz="4" w:space="0" w:color="95B3D7" w:themeColor="accent1" w:themeTint="99"/>
            </w:tcBorders>
            <w:noWrap/>
            <w:vAlign w:val="center"/>
            <w:hideMark/>
          </w:tcPr>
          <w:p w14:paraId="6C688F02" w14:textId="591920BA" w:rsidR="00066F05" w:rsidRPr="00066F05" w:rsidRDefault="00066F05" w:rsidP="00066F0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$97.</w:t>
            </w:r>
            <w:r>
              <w:rPr>
                <w:sz w:val="18"/>
                <w:szCs w:val="18"/>
              </w:rPr>
              <w:t>7</w:t>
            </w:r>
            <w:r w:rsidRPr="00066F05">
              <w:rPr>
                <w:sz w:val="18"/>
                <w:szCs w:val="18"/>
              </w:rPr>
              <w:t xml:space="preserve"> </w:t>
            </w:r>
          </w:p>
        </w:tc>
        <w:tc>
          <w:tcPr>
            <w:tcW w:w="1174" w:type="dxa"/>
            <w:tcBorders>
              <w:top w:val="single" w:sz="4" w:space="0" w:color="B8CCE4" w:themeColor="accent1" w:themeTint="66"/>
              <w:left w:val="single" w:sz="4" w:space="0" w:color="95B3D7" w:themeColor="accent1" w:themeTint="99"/>
            </w:tcBorders>
            <w:noWrap/>
            <w:vAlign w:val="center"/>
            <w:hideMark/>
          </w:tcPr>
          <w:p w14:paraId="02431DC4" w14:textId="23ECB14C" w:rsidR="00066F05" w:rsidRPr="00066F05" w:rsidRDefault="00066F05" w:rsidP="00066F0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$123.</w:t>
            </w:r>
            <w:r>
              <w:rPr>
                <w:sz w:val="18"/>
                <w:szCs w:val="18"/>
              </w:rPr>
              <w:t>4</w:t>
            </w:r>
            <w:r w:rsidRPr="00066F05">
              <w:rPr>
                <w:sz w:val="18"/>
                <w:szCs w:val="18"/>
              </w:rPr>
              <w:t xml:space="preserve"> </w:t>
            </w:r>
          </w:p>
        </w:tc>
        <w:tc>
          <w:tcPr>
            <w:tcW w:w="1174" w:type="dxa"/>
            <w:tcBorders>
              <w:top w:val="single" w:sz="4" w:space="0" w:color="B8CCE4" w:themeColor="accent1" w:themeTint="66"/>
            </w:tcBorders>
            <w:noWrap/>
            <w:vAlign w:val="center"/>
            <w:hideMark/>
          </w:tcPr>
          <w:p w14:paraId="63D99A2E" w14:textId="753185E3" w:rsidR="00066F05" w:rsidRPr="00066F05" w:rsidRDefault="00066F05" w:rsidP="00066F0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$109.</w:t>
            </w:r>
            <w:r>
              <w:rPr>
                <w:sz w:val="18"/>
                <w:szCs w:val="18"/>
              </w:rPr>
              <w:t>5</w:t>
            </w:r>
            <w:r w:rsidRPr="00066F05">
              <w:rPr>
                <w:sz w:val="18"/>
                <w:szCs w:val="18"/>
              </w:rPr>
              <w:t xml:space="preserve"> </w:t>
            </w:r>
          </w:p>
        </w:tc>
        <w:tc>
          <w:tcPr>
            <w:tcW w:w="1174" w:type="dxa"/>
            <w:tcBorders>
              <w:top w:val="single" w:sz="4" w:space="0" w:color="B8CCE4" w:themeColor="accent1" w:themeTint="66"/>
              <w:right w:val="single" w:sz="4" w:space="0" w:color="95B3D7" w:themeColor="accent1" w:themeTint="99"/>
            </w:tcBorders>
            <w:noWrap/>
            <w:vAlign w:val="center"/>
            <w:hideMark/>
          </w:tcPr>
          <w:p w14:paraId="2DFCB679" w14:textId="2C73FD01" w:rsidR="00066F05" w:rsidRPr="00066F05" w:rsidRDefault="00066F05" w:rsidP="00066F05">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$97.</w:t>
            </w:r>
            <w:r>
              <w:rPr>
                <w:sz w:val="18"/>
                <w:szCs w:val="18"/>
              </w:rPr>
              <w:t>7</w:t>
            </w:r>
            <w:r w:rsidRPr="00066F05">
              <w:rPr>
                <w:sz w:val="18"/>
                <w:szCs w:val="18"/>
              </w:rPr>
              <w:t xml:space="preserve"> </w:t>
            </w:r>
          </w:p>
        </w:tc>
      </w:tr>
      <w:tr w:rsidR="00066F05" w:rsidRPr="00EA5D9D" w14:paraId="4D04391B" w14:textId="77777777" w:rsidTr="00066F05">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695" w:type="dxa"/>
            <w:vMerge/>
            <w:tcBorders>
              <w:left w:val="single" w:sz="4" w:space="0" w:color="95B3D7" w:themeColor="accent1" w:themeTint="99"/>
              <w:right w:val="single" w:sz="4" w:space="0" w:color="95B3D7" w:themeColor="accent1" w:themeTint="99"/>
            </w:tcBorders>
            <w:hideMark/>
          </w:tcPr>
          <w:p w14:paraId="04F36A3E" w14:textId="77777777" w:rsidR="00066F05" w:rsidRPr="000110CA" w:rsidRDefault="00066F05" w:rsidP="00066F05">
            <w:pPr>
              <w:spacing w:after="0" w:line="240" w:lineRule="auto"/>
              <w:ind w:left="0"/>
              <w:jc w:val="left"/>
              <w:rPr>
                <w:rFonts w:eastAsia="Times New Roman" w:cs="Times New Roman"/>
                <w:i/>
                <w:iCs/>
                <w:color w:val="000000"/>
                <w:sz w:val="20"/>
                <w:lang w:eastAsia="en-NZ"/>
              </w:rPr>
            </w:pPr>
          </w:p>
        </w:tc>
        <w:tc>
          <w:tcPr>
            <w:tcW w:w="2140" w:type="dxa"/>
            <w:tcBorders>
              <w:left w:val="single" w:sz="4" w:space="0" w:color="95B3D7" w:themeColor="accent1" w:themeTint="99"/>
              <w:right w:val="single" w:sz="4" w:space="0" w:color="95B3D7" w:themeColor="accent1" w:themeTint="99"/>
            </w:tcBorders>
            <w:hideMark/>
          </w:tcPr>
          <w:p w14:paraId="093F92CF" w14:textId="59F84EB0" w:rsidR="00066F05" w:rsidRPr="000110CA" w:rsidRDefault="00066F05" w:rsidP="00066F05">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n-NZ"/>
              </w:rPr>
            </w:pPr>
            <w:r w:rsidRPr="000110CA">
              <w:rPr>
                <w:rFonts w:eastAsia="Times New Roman" w:cs="Times New Roman"/>
                <w:i/>
                <w:iCs/>
                <w:color w:val="000000"/>
                <w:sz w:val="20"/>
                <w:lang w:eastAsia="en-NZ"/>
              </w:rPr>
              <w:t>Benefits:  avoided health costs</w:t>
            </w:r>
            <w:r>
              <w:rPr>
                <w:rFonts w:eastAsia="Times New Roman" w:cs="Times New Roman"/>
                <w:i/>
                <w:iCs/>
                <w:color w:val="000000"/>
                <w:sz w:val="20"/>
                <w:lang w:eastAsia="en-NZ"/>
              </w:rPr>
              <w:t xml:space="preserve"> ($’m)</w:t>
            </w:r>
          </w:p>
        </w:tc>
        <w:tc>
          <w:tcPr>
            <w:tcW w:w="1173" w:type="dxa"/>
            <w:tcBorders>
              <w:left w:val="single" w:sz="4" w:space="0" w:color="95B3D7" w:themeColor="accent1" w:themeTint="99"/>
            </w:tcBorders>
            <w:noWrap/>
            <w:vAlign w:val="center"/>
            <w:hideMark/>
          </w:tcPr>
          <w:p w14:paraId="66EFD136" w14:textId="22C7DA76" w:rsidR="00066F05" w:rsidRPr="00066F05" w:rsidRDefault="00066F05" w:rsidP="00066F0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$1,062.8 </w:t>
            </w:r>
          </w:p>
        </w:tc>
        <w:tc>
          <w:tcPr>
            <w:tcW w:w="1174" w:type="dxa"/>
            <w:noWrap/>
            <w:vAlign w:val="center"/>
            <w:hideMark/>
          </w:tcPr>
          <w:p w14:paraId="1939DF6F" w14:textId="6814B90E" w:rsidR="00066F05" w:rsidRPr="00066F05" w:rsidRDefault="00066F05" w:rsidP="00066F0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$931.1 </w:t>
            </w:r>
          </w:p>
        </w:tc>
        <w:tc>
          <w:tcPr>
            <w:tcW w:w="1174" w:type="dxa"/>
            <w:tcBorders>
              <w:right w:val="single" w:sz="4" w:space="0" w:color="95B3D7" w:themeColor="accent1" w:themeTint="99"/>
            </w:tcBorders>
            <w:noWrap/>
            <w:vAlign w:val="center"/>
            <w:hideMark/>
          </w:tcPr>
          <w:p w14:paraId="5C3D5E7E" w14:textId="34095451" w:rsidR="00066F05" w:rsidRPr="00066F05" w:rsidRDefault="00066F05" w:rsidP="00066F0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$820.2 </w:t>
            </w:r>
          </w:p>
        </w:tc>
        <w:tc>
          <w:tcPr>
            <w:tcW w:w="1174" w:type="dxa"/>
            <w:tcBorders>
              <w:left w:val="single" w:sz="4" w:space="0" w:color="95B3D7" w:themeColor="accent1" w:themeTint="99"/>
            </w:tcBorders>
            <w:noWrap/>
            <w:vAlign w:val="center"/>
            <w:hideMark/>
          </w:tcPr>
          <w:p w14:paraId="395EF851" w14:textId="1A0E4547" w:rsidR="00066F05" w:rsidRPr="00066F05" w:rsidRDefault="00066F05" w:rsidP="00066F0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$1,768.</w:t>
            </w:r>
            <w:r>
              <w:rPr>
                <w:sz w:val="18"/>
                <w:szCs w:val="18"/>
              </w:rPr>
              <w:t>1</w:t>
            </w:r>
            <w:r w:rsidRPr="00066F05">
              <w:rPr>
                <w:sz w:val="18"/>
                <w:szCs w:val="18"/>
              </w:rPr>
              <w:t xml:space="preserve"> </w:t>
            </w:r>
          </w:p>
        </w:tc>
        <w:tc>
          <w:tcPr>
            <w:tcW w:w="1174" w:type="dxa"/>
            <w:noWrap/>
            <w:vAlign w:val="center"/>
            <w:hideMark/>
          </w:tcPr>
          <w:p w14:paraId="0B690E86" w14:textId="1C0D988E" w:rsidR="00066F05" w:rsidRPr="00066F05" w:rsidRDefault="00066F05" w:rsidP="00066F0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$1,550.</w:t>
            </w:r>
            <w:r>
              <w:rPr>
                <w:sz w:val="18"/>
                <w:szCs w:val="18"/>
              </w:rPr>
              <w:t>2</w:t>
            </w:r>
            <w:r w:rsidRPr="00066F05">
              <w:rPr>
                <w:sz w:val="18"/>
                <w:szCs w:val="18"/>
              </w:rPr>
              <w:t xml:space="preserve"> </w:t>
            </w:r>
          </w:p>
        </w:tc>
        <w:tc>
          <w:tcPr>
            <w:tcW w:w="1174" w:type="dxa"/>
            <w:tcBorders>
              <w:right w:val="single" w:sz="4" w:space="0" w:color="95B3D7" w:themeColor="accent1" w:themeTint="99"/>
            </w:tcBorders>
            <w:noWrap/>
            <w:vAlign w:val="center"/>
            <w:hideMark/>
          </w:tcPr>
          <w:p w14:paraId="585EEF03" w14:textId="78BDCFE0" w:rsidR="00066F05" w:rsidRPr="00066F05" w:rsidRDefault="00066F05" w:rsidP="00066F05">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18"/>
                <w:szCs w:val="18"/>
                <w:lang w:eastAsia="en-NZ"/>
              </w:rPr>
            </w:pPr>
            <w:r w:rsidRPr="00066F05">
              <w:rPr>
                <w:sz w:val="18"/>
                <w:szCs w:val="18"/>
              </w:rPr>
              <w:t xml:space="preserve"> $1,366.8 </w:t>
            </w:r>
          </w:p>
        </w:tc>
      </w:tr>
      <w:tr w:rsidR="00481C77" w:rsidRPr="00EA5D9D" w14:paraId="25B9738C" w14:textId="77777777" w:rsidTr="00823124">
        <w:trPr>
          <w:trHeight w:val="291"/>
        </w:trPr>
        <w:tc>
          <w:tcPr>
            <w:cnfStyle w:val="001000000000" w:firstRow="0" w:lastRow="0" w:firstColumn="1" w:lastColumn="0" w:oddVBand="0" w:evenVBand="0" w:oddHBand="0" w:evenHBand="0" w:firstRowFirstColumn="0" w:firstRowLastColumn="0" w:lastRowFirstColumn="0" w:lastRowLastColumn="0"/>
            <w:tcW w:w="695" w:type="dxa"/>
            <w:tcBorders>
              <w:left w:val="single" w:sz="4" w:space="0" w:color="95B3D7" w:themeColor="accent1" w:themeTint="99"/>
              <w:right w:val="single" w:sz="4" w:space="0" w:color="95B3D7" w:themeColor="accent1" w:themeTint="99"/>
            </w:tcBorders>
            <w:vAlign w:val="center"/>
          </w:tcPr>
          <w:p w14:paraId="63978C37" w14:textId="77777777" w:rsidR="00481C77" w:rsidRPr="000110CA" w:rsidRDefault="00481C77" w:rsidP="00BD7B20">
            <w:pPr>
              <w:spacing w:after="0" w:line="240" w:lineRule="auto"/>
              <w:ind w:left="0"/>
              <w:jc w:val="center"/>
              <w:rPr>
                <w:rFonts w:eastAsia="Times New Roman" w:cs="Times New Roman"/>
                <w:i/>
                <w:iCs/>
                <w:color w:val="000000"/>
                <w:sz w:val="20"/>
                <w:lang w:eastAsia="en-NZ"/>
              </w:rPr>
            </w:pPr>
          </w:p>
        </w:tc>
        <w:tc>
          <w:tcPr>
            <w:tcW w:w="2140" w:type="dxa"/>
            <w:tcBorders>
              <w:left w:val="single" w:sz="4" w:space="0" w:color="95B3D7" w:themeColor="accent1" w:themeTint="99"/>
              <w:right w:val="single" w:sz="4" w:space="0" w:color="95B3D7" w:themeColor="accent1" w:themeTint="99"/>
            </w:tcBorders>
            <w:vAlign w:val="center"/>
          </w:tcPr>
          <w:p w14:paraId="47EB0A86" w14:textId="781E6F0B" w:rsidR="00481C77" w:rsidRPr="00481C77" w:rsidRDefault="00481C77"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481C77">
              <w:rPr>
                <w:rFonts w:ascii="Calibri" w:hAnsi="Calibri"/>
                <w:b/>
                <w:color w:val="000000"/>
                <w:sz w:val="24"/>
              </w:rPr>
              <w:t>CBR</w:t>
            </w:r>
          </w:p>
        </w:tc>
        <w:tc>
          <w:tcPr>
            <w:tcW w:w="1173" w:type="dxa"/>
            <w:tcBorders>
              <w:left w:val="single" w:sz="4" w:space="0" w:color="95B3D7" w:themeColor="accent1" w:themeTint="99"/>
              <w:bottom w:val="single" w:sz="4" w:space="0" w:color="95B3D7" w:themeColor="accent1" w:themeTint="99"/>
            </w:tcBorders>
            <w:noWrap/>
            <w:vAlign w:val="center"/>
          </w:tcPr>
          <w:p w14:paraId="1EFF89C7" w14:textId="2DEFB8A8" w:rsidR="00481C77" w:rsidRPr="00066F05" w:rsidRDefault="00066F05"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66F05">
              <w:rPr>
                <w:rFonts w:ascii="Calibri" w:hAnsi="Calibri"/>
                <w:b/>
                <w:color w:val="000000"/>
              </w:rPr>
              <w:t>8.6</w:t>
            </w:r>
          </w:p>
        </w:tc>
        <w:tc>
          <w:tcPr>
            <w:tcW w:w="1174" w:type="dxa"/>
            <w:tcBorders>
              <w:bottom w:val="single" w:sz="4" w:space="0" w:color="95B3D7" w:themeColor="accent1" w:themeTint="99"/>
            </w:tcBorders>
            <w:noWrap/>
            <w:vAlign w:val="center"/>
          </w:tcPr>
          <w:p w14:paraId="4C555BA1" w14:textId="53F90FB6" w:rsidR="00481C77" w:rsidRPr="00D12551" w:rsidRDefault="00066F05"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Pr>
                <w:rFonts w:ascii="Calibri" w:hAnsi="Calibri"/>
                <w:b/>
                <w:color w:val="000000"/>
              </w:rPr>
              <w:t>8.5</w:t>
            </w:r>
          </w:p>
        </w:tc>
        <w:tc>
          <w:tcPr>
            <w:tcW w:w="1174" w:type="dxa"/>
            <w:tcBorders>
              <w:bottom w:val="single" w:sz="4" w:space="0" w:color="95B3D7" w:themeColor="accent1" w:themeTint="99"/>
              <w:right w:val="single" w:sz="4" w:space="0" w:color="95B3D7" w:themeColor="accent1" w:themeTint="99"/>
            </w:tcBorders>
            <w:noWrap/>
            <w:vAlign w:val="center"/>
          </w:tcPr>
          <w:p w14:paraId="01A8FC25" w14:textId="3C850F38" w:rsidR="00481C77" w:rsidRPr="00066F05" w:rsidRDefault="00066F05"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066F05">
              <w:rPr>
                <w:rFonts w:ascii="Calibri" w:hAnsi="Calibri"/>
                <w:b/>
                <w:color w:val="000000"/>
              </w:rPr>
              <w:t>8.4</w:t>
            </w:r>
          </w:p>
        </w:tc>
        <w:tc>
          <w:tcPr>
            <w:tcW w:w="1174" w:type="dxa"/>
            <w:tcBorders>
              <w:left w:val="single" w:sz="4" w:space="0" w:color="95B3D7" w:themeColor="accent1" w:themeTint="99"/>
            </w:tcBorders>
            <w:noWrap/>
            <w:vAlign w:val="center"/>
          </w:tcPr>
          <w:p w14:paraId="4ADDC3F3" w14:textId="0EB23CDD" w:rsidR="00481C77" w:rsidRPr="00BD7B20" w:rsidRDefault="00066F05"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i/>
                <w:iCs/>
                <w:color w:val="000000"/>
                <w:sz w:val="20"/>
                <w:lang w:eastAsia="en-NZ"/>
              </w:rPr>
            </w:pPr>
            <w:r>
              <w:rPr>
                <w:rFonts w:ascii="Calibri" w:hAnsi="Calibri"/>
                <w:b/>
                <w:color w:val="000000"/>
              </w:rPr>
              <w:t>14.3</w:t>
            </w:r>
          </w:p>
        </w:tc>
        <w:tc>
          <w:tcPr>
            <w:tcW w:w="1174" w:type="dxa"/>
            <w:noWrap/>
            <w:vAlign w:val="center"/>
          </w:tcPr>
          <w:p w14:paraId="38B31712" w14:textId="29BCC100" w:rsidR="00481C77" w:rsidRPr="00BD7B20" w:rsidRDefault="00066F05"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i/>
                <w:iCs/>
                <w:color w:val="000000"/>
                <w:sz w:val="20"/>
                <w:lang w:eastAsia="en-NZ"/>
              </w:rPr>
            </w:pPr>
            <w:r>
              <w:rPr>
                <w:rFonts w:ascii="Calibri" w:hAnsi="Calibri"/>
                <w:b/>
                <w:color w:val="000000"/>
              </w:rPr>
              <w:t>14.2</w:t>
            </w:r>
          </w:p>
        </w:tc>
        <w:tc>
          <w:tcPr>
            <w:tcW w:w="1174" w:type="dxa"/>
            <w:tcBorders>
              <w:right w:val="single" w:sz="4" w:space="0" w:color="95B3D7" w:themeColor="accent1" w:themeTint="99"/>
            </w:tcBorders>
            <w:noWrap/>
            <w:vAlign w:val="center"/>
          </w:tcPr>
          <w:p w14:paraId="4988F205" w14:textId="37CA691E" w:rsidR="00481C77" w:rsidRPr="00BD7B20" w:rsidRDefault="00066F05" w:rsidP="00BD7B20">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i/>
                <w:iCs/>
                <w:color w:val="000000"/>
                <w:sz w:val="20"/>
                <w:lang w:eastAsia="en-NZ"/>
              </w:rPr>
            </w:pPr>
            <w:r>
              <w:rPr>
                <w:rFonts w:ascii="Calibri" w:hAnsi="Calibri"/>
                <w:b/>
                <w:color w:val="000000"/>
              </w:rPr>
              <w:t>14.0</w:t>
            </w:r>
          </w:p>
        </w:tc>
      </w:tr>
    </w:tbl>
    <w:p w14:paraId="765EB43A" w14:textId="77777777" w:rsidR="00487EF9" w:rsidRPr="00660A91" w:rsidRDefault="00487EF9" w:rsidP="000110CA">
      <w:pPr>
        <w:ind w:left="1440"/>
      </w:pPr>
    </w:p>
    <w:p w14:paraId="5B60367D" w14:textId="77777777" w:rsidR="00652542" w:rsidRPr="001E66EF" w:rsidRDefault="00652542" w:rsidP="00652542">
      <w:pPr>
        <w:pStyle w:val="Heading2"/>
        <w:rPr>
          <w:rFonts w:ascii="Calibri Light" w:hAnsi="Calibri Light"/>
        </w:rPr>
      </w:pPr>
      <w:bookmarkStart w:id="55" w:name="_Toc455044470"/>
      <w:bookmarkStart w:id="56" w:name="_Toc25569515"/>
      <w:r w:rsidRPr="001E66EF">
        <w:rPr>
          <w:rFonts w:ascii="Calibri Light" w:hAnsi="Calibri Light"/>
        </w:rPr>
        <w:t>Private Costs</w:t>
      </w:r>
      <w:bookmarkEnd w:id="55"/>
      <w:bookmarkEnd w:id="56"/>
    </w:p>
    <w:p w14:paraId="292C6281" w14:textId="75E5994F" w:rsidR="00EF03A4" w:rsidRPr="001E66EF" w:rsidRDefault="009E7845" w:rsidP="00823E2F">
      <w:pPr>
        <w:rPr>
          <w:lang w:eastAsia="en-NZ"/>
        </w:rPr>
      </w:pPr>
      <w:r w:rsidRPr="001E66EF">
        <w:rPr>
          <w:lang w:eastAsia="en-NZ"/>
        </w:rPr>
        <w:t>The private costs, i.e. the cost to the homeowner,</w:t>
      </w:r>
      <w:r w:rsidR="009450FE" w:rsidRPr="001E66EF">
        <w:rPr>
          <w:lang w:eastAsia="en-NZ"/>
        </w:rPr>
        <w:t xml:space="preserve"> </w:t>
      </w:r>
      <w:r w:rsidR="00EF03A4" w:rsidRPr="001E66EF">
        <w:rPr>
          <w:lang w:eastAsia="en-NZ"/>
        </w:rPr>
        <w:t>consists of one-off costs as well as ongo</w:t>
      </w:r>
      <w:r w:rsidR="007F6653" w:rsidRPr="001E66EF">
        <w:rPr>
          <w:lang w:eastAsia="en-NZ"/>
        </w:rPr>
        <w:t xml:space="preserve">ing costs.  </w:t>
      </w:r>
      <w:r w:rsidR="0021637C">
        <w:rPr>
          <w:lang w:eastAsia="en-NZ"/>
        </w:rPr>
        <w:t xml:space="preserve">Private </w:t>
      </w:r>
      <w:r w:rsidR="007F6653" w:rsidRPr="001E66EF">
        <w:rPr>
          <w:lang w:eastAsia="en-NZ"/>
        </w:rPr>
        <w:t>costs are listed in</w:t>
      </w:r>
      <w:r w:rsidR="000914AD">
        <w:rPr>
          <w:lang w:eastAsia="en-NZ"/>
        </w:rPr>
        <w:t xml:space="preserve"> </w:t>
      </w:r>
      <w:r w:rsidR="000914AD" w:rsidRPr="000914AD">
        <w:rPr>
          <w:lang w:eastAsia="en-NZ"/>
        </w:rPr>
        <w:fldChar w:fldCharType="begin"/>
      </w:r>
      <w:r w:rsidR="000914AD" w:rsidRPr="000914AD">
        <w:rPr>
          <w:lang w:eastAsia="en-NZ"/>
        </w:rPr>
        <w:instrText xml:space="preserve"> REF _Ref25569299 \h  \* MERGEFORMAT </w:instrText>
      </w:r>
      <w:r w:rsidR="000914AD" w:rsidRPr="000914AD">
        <w:rPr>
          <w:lang w:eastAsia="en-NZ"/>
        </w:rPr>
      </w:r>
      <w:r w:rsidR="000914AD" w:rsidRPr="000914AD">
        <w:rPr>
          <w:lang w:eastAsia="en-NZ"/>
        </w:rPr>
        <w:fldChar w:fldCharType="separate"/>
      </w:r>
      <w:r w:rsidR="00FD114C" w:rsidRPr="00FD114C">
        <w:t xml:space="preserve">Table </w:t>
      </w:r>
      <w:r w:rsidR="00FD114C" w:rsidRPr="00FD114C">
        <w:rPr>
          <w:noProof/>
        </w:rPr>
        <w:t>3</w:t>
      </w:r>
      <w:r w:rsidR="00FD114C" w:rsidRPr="00FD114C">
        <w:rPr>
          <w:noProof/>
        </w:rPr>
        <w:noBreakHyphen/>
        <w:t>3</w:t>
      </w:r>
      <w:r w:rsidR="000914AD" w:rsidRPr="000914AD">
        <w:rPr>
          <w:lang w:eastAsia="en-NZ"/>
        </w:rPr>
        <w:fldChar w:fldCharType="end"/>
      </w:r>
      <w:r w:rsidR="007F6653" w:rsidRPr="001E66EF">
        <w:rPr>
          <w:lang w:eastAsia="en-NZ"/>
        </w:rPr>
        <w:t>.</w:t>
      </w:r>
    </w:p>
    <w:p w14:paraId="0B253084" w14:textId="694941B0" w:rsidR="001237BC" w:rsidRPr="001D4927" w:rsidRDefault="001D4927" w:rsidP="001D4927">
      <w:pPr>
        <w:pStyle w:val="Caption"/>
        <w:rPr>
          <w:b w:val="0"/>
          <w:bCs w:val="0"/>
        </w:rPr>
      </w:pPr>
      <w:bookmarkStart w:id="57" w:name="_Ref25569299"/>
      <w:bookmarkStart w:id="58" w:name="_Toc25569494"/>
      <w:r w:rsidRPr="001D4927">
        <w:rPr>
          <w:b w:val="0"/>
          <w:bCs w:val="0"/>
        </w:rPr>
        <w:t xml:space="preserve">Table </w:t>
      </w:r>
      <w:r>
        <w:rPr>
          <w:b w:val="0"/>
          <w:bCs w:val="0"/>
        </w:rPr>
        <w:fldChar w:fldCharType="begin"/>
      </w:r>
      <w:r>
        <w:rPr>
          <w:b w:val="0"/>
          <w:bCs w:val="0"/>
        </w:rPr>
        <w:instrText xml:space="preserve"> STYLEREF 1 \s </w:instrText>
      </w:r>
      <w:r>
        <w:rPr>
          <w:b w:val="0"/>
          <w:bCs w:val="0"/>
        </w:rPr>
        <w:fldChar w:fldCharType="separate"/>
      </w:r>
      <w:r w:rsidR="00FD114C">
        <w:rPr>
          <w:b w:val="0"/>
          <w:bCs w:val="0"/>
          <w:noProof/>
        </w:rPr>
        <w:t>3</w:t>
      </w:r>
      <w:r>
        <w:rPr>
          <w:b w:val="0"/>
          <w:bCs w:val="0"/>
        </w:rPr>
        <w:fldChar w:fldCharType="end"/>
      </w:r>
      <w:r>
        <w:rPr>
          <w:b w:val="0"/>
          <w:bCs w:val="0"/>
        </w:rPr>
        <w:noBreakHyphen/>
      </w:r>
      <w:r>
        <w:rPr>
          <w:b w:val="0"/>
          <w:bCs w:val="0"/>
        </w:rPr>
        <w:fldChar w:fldCharType="begin"/>
      </w:r>
      <w:r>
        <w:rPr>
          <w:b w:val="0"/>
          <w:bCs w:val="0"/>
        </w:rPr>
        <w:instrText xml:space="preserve"> SEQ Table \* ARABIC \s 1 </w:instrText>
      </w:r>
      <w:r>
        <w:rPr>
          <w:b w:val="0"/>
          <w:bCs w:val="0"/>
        </w:rPr>
        <w:fldChar w:fldCharType="separate"/>
      </w:r>
      <w:r w:rsidR="00FD114C">
        <w:rPr>
          <w:b w:val="0"/>
          <w:bCs w:val="0"/>
          <w:noProof/>
        </w:rPr>
        <w:t>3</w:t>
      </w:r>
      <w:r>
        <w:rPr>
          <w:b w:val="0"/>
          <w:bCs w:val="0"/>
        </w:rPr>
        <w:fldChar w:fldCharType="end"/>
      </w:r>
      <w:bookmarkEnd w:id="57"/>
      <w:r w:rsidRPr="001D4927">
        <w:rPr>
          <w:b w:val="0"/>
          <w:bCs w:val="0"/>
        </w:rPr>
        <w:t>:  Private Costs</w:t>
      </w:r>
      <w:bookmarkEnd w:id="58"/>
    </w:p>
    <w:tbl>
      <w:tblPr>
        <w:tblStyle w:val="ListTable2-Accent1"/>
        <w:tblW w:w="7808" w:type="dxa"/>
        <w:tblInd w:w="1271" w:type="dxa"/>
        <w:tblLook w:val="04A0" w:firstRow="1" w:lastRow="0" w:firstColumn="1" w:lastColumn="0" w:noHBand="0" w:noVBand="1"/>
      </w:tblPr>
      <w:tblGrid>
        <w:gridCol w:w="2207"/>
        <w:gridCol w:w="1200"/>
        <w:gridCol w:w="1843"/>
        <w:gridCol w:w="1059"/>
        <w:gridCol w:w="1499"/>
      </w:tblGrid>
      <w:tr w:rsidR="007F6653" w:rsidRPr="001E66EF" w14:paraId="2321ABA6" w14:textId="77777777" w:rsidTr="00081A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2045CF8" w14:textId="274F7363" w:rsidR="007F6653" w:rsidRPr="001E66EF" w:rsidRDefault="007F6653" w:rsidP="007D3AA9">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One-off costs</w:t>
            </w:r>
          </w:p>
        </w:tc>
        <w:tc>
          <w:tcPr>
            <w:tcW w:w="30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5480168C" w14:textId="415DCBAD" w:rsidR="007F6653" w:rsidRPr="001E66EF" w:rsidRDefault="007F6653" w:rsidP="007D3AA9">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DEA86" w14:textId="6D9D2AA2" w:rsidR="007F6653" w:rsidRPr="001E66EF" w:rsidRDefault="007F6653" w:rsidP="007D3AA9">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Ongoing costs</w:t>
            </w:r>
          </w:p>
        </w:tc>
      </w:tr>
      <w:tr w:rsidR="00860075" w:rsidRPr="001E66EF" w14:paraId="4C49FC8C" w14:textId="77777777" w:rsidTr="007F2C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auto"/>
              <w:left w:val="single" w:sz="4" w:space="0" w:color="auto"/>
              <w:right w:val="single" w:sz="4" w:space="0" w:color="auto"/>
            </w:tcBorders>
            <w:shd w:val="clear" w:color="auto" w:fill="auto"/>
            <w:noWrap/>
          </w:tcPr>
          <w:p w14:paraId="7B82B889" w14:textId="25D0D46A" w:rsidR="00860075" w:rsidRPr="001E66EF" w:rsidRDefault="00860075" w:rsidP="007D3AA9">
            <w:pPr>
              <w:spacing w:after="0" w:line="240" w:lineRule="auto"/>
              <w:ind w:left="0"/>
              <w:jc w:val="left"/>
              <w:rPr>
                <w:rFonts w:eastAsia="Times New Roman" w:cs="Times New Roman"/>
                <w:color w:val="000000"/>
                <w:lang w:eastAsia="en-NZ"/>
              </w:rPr>
            </w:pPr>
          </w:p>
        </w:tc>
        <w:tc>
          <w:tcPr>
            <w:tcW w:w="1200" w:type="dxa"/>
            <w:tcBorders>
              <w:top w:val="single" w:sz="4" w:space="0" w:color="auto"/>
              <w:left w:val="single" w:sz="4" w:space="0" w:color="auto"/>
            </w:tcBorders>
            <w:shd w:val="clear" w:color="auto" w:fill="auto"/>
            <w:noWrap/>
            <w:vAlign w:val="center"/>
          </w:tcPr>
          <w:p w14:paraId="60EE52A2" w14:textId="2C1F89B3" w:rsidR="00860075" w:rsidRPr="001E66EF" w:rsidRDefault="00860075" w:rsidP="00081AD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18"/>
                <w:lang w:eastAsia="en-NZ"/>
              </w:rPr>
            </w:pPr>
            <w:r w:rsidRPr="001E66EF">
              <w:rPr>
                <w:rFonts w:eastAsia="Times New Roman" w:cs="Times New Roman"/>
                <w:b/>
                <w:color w:val="000000"/>
                <w:sz w:val="18"/>
                <w:lang w:eastAsia="en-NZ"/>
              </w:rPr>
              <w:t>0.5 g/kg</w:t>
            </w:r>
          </w:p>
        </w:tc>
        <w:tc>
          <w:tcPr>
            <w:tcW w:w="1843" w:type="dxa"/>
            <w:tcBorders>
              <w:top w:val="single" w:sz="4" w:space="0" w:color="auto"/>
              <w:right w:val="single" w:sz="4" w:space="0" w:color="auto"/>
            </w:tcBorders>
            <w:shd w:val="clear" w:color="auto" w:fill="auto"/>
            <w:noWrap/>
            <w:vAlign w:val="center"/>
          </w:tcPr>
          <w:p w14:paraId="31E4FC3A" w14:textId="6DD3318A" w:rsidR="00860075" w:rsidRPr="001E66EF" w:rsidRDefault="00860075" w:rsidP="00081AD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18"/>
                <w:lang w:eastAsia="en-NZ"/>
              </w:rPr>
            </w:pPr>
            <w:r w:rsidRPr="001E66EF">
              <w:rPr>
                <w:rFonts w:eastAsia="Times New Roman" w:cs="Times New Roman"/>
                <w:b/>
                <w:color w:val="000000"/>
                <w:sz w:val="18"/>
                <w:lang w:eastAsia="en-NZ"/>
              </w:rPr>
              <w:t>1.0 g/kg &amp; 1.5 g/kg</w:t>
            </w:r>
          </w:p>
        </w:tc>
        <w:tc>
          <w:tcPr>
            <w:tcW w:w="1271" w:type="dxa"/>
            <w:tcBorders>
              <w:top w:val="single" w:sz="4" w:space="0" w:color="auto"/>
              <w:left w:val="single" w:sz="4" w:space="0" w:color="auto"/>
              <w:right w:val="single" w:sz="4" w:space="0" w:color="auto"/>
            </w:tcBorders>
            <w:shd w:val="clear" w:color="auto" w:fill="auto"/>
          </w:tcPr>
          <w:p w14:paraId="38ACFBB6" w14:textId="285F8410" w:rsidR="00860075" w:rsidRPr="001E66EF" w:rsidRDefault="00860075" w:rsidP="007D3AA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eastAsia="en-NZ"/>
              </w:rPr>
            </w:pPr>
            <w:r w:rsidRPr="001E66EF">
              <w:rPr>
                <w:rFonts w:eastAsia="Times New Roman" w:cs="Times New Roman"/>
                <w:b/>
                <w:color w:val="000000"/>
                <w:lang w:eastAsia="en-NZ"/>
              </w:rPr>
              <w:t>F</w:t>
            </w:r>
            <w:r w:rsidR="00081AD9">
              <w:rPr>
                <w:rFonts w:eastAsia="Times New Roman" w:cs="Times New Roman"/>
                <w:b/>
                <w:color w:val="000000"/>
                <w:lang w:eastAsia="en-NZ"/>
              </w:rPr>
              <w:t>uel costs*</w:t>
            </w:r>
          </w:p>
        </w:tc>
        <w:tc>
          <w:tcPr>
            <w:tcW w:w="1287" w:type="dxa"/>
            <w:tcBorders>
              <w:top w:val="single" w:sz="4" w:space="0" w:color="auto"/>
              <w:left w:val="single" w:sz="4" w:space="0" w:color="auto"/>
              <w:right w:val="single" w:sz="4" w:space="0" w:color="auto"/>
            </w:tcBorders>
            <w:shd w:val="clear" w:color="auto" w:fill="auto"/>
            <w:noWrap/>
          </w:tcPr>
          <w:p w14:paraId="5F414943" w14:textId="7053378D" w:rsidR="00860075" w:rsidRPr="001E66EF" w:rsidRDefault="00860075" w:rsidP="007D3AA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w:t>
            </w:r>
            <w:proofErr w:type="spellStart"/>
            <w:r w:rsidRPr="001E66EF">
              <w:rPr>
                <w:rFonts w:eastAsia="Times New Roman" w:cs="Times New Roman"/>
                <w:color w:val="000000"/>
                <w:lang w:eastAsia="en-NZ"/>
              </w:rPr>
              <w:t>hhld</w:t>
            </w:r>
            <w:proofErr w:type="spellEnd"/>
            <w:r w:rsidRPr="001E66EF">
              <w:rPr>
                <w:rFonts w:eastAsia="Times New Roman" w:cs="Times New Roman"/>
                <w:color w:val="000000"/>
                <w:lang w:eastAsia="en-NZ"/>
              </w:rPr>
              <w:t>/annum</w:t>
            </w:r>
          </w:p>
        </w:tc>
      </w:tr>
      <w:tr w:rsidR="00860075" w:rsidRPr="001E66EF" w14:paraId="2E03C2B6" w14:textId="77777777" w:rsidTr="007F2C95">
        <w:trPr>
          <w:trHeight w:val="300"/>
        </w:trPr>
        <w:tc>
          <w:tcPr>
            <w:cnfStyle w:val="001000000000" w:firstRow="0" w:lastRow="0" w:firstColumn="1" w:lastColumn="0" w:oddVBand="0" w:evenVBand="0" w:oddHBand="0" w:evenHBand="0" w:firstRowFirstColumn="0" w:firstRowLastColumn="0" w:lastRowFirstColumn="0" w:lastRowLastColumn="0"/>
            <w:tcW w:w="2207" w:type="dxa"/>
            <w:tcBorders>
              <w:left w:val="single" w:sz="4" w:space="0" w:color="auto"/>
              <w:right w:val="single" w:sz="4" w:space="0" w:color="auto"/>
            </w:tcBorders>
            <w:noWrap/>
            <w:hideMark/>
          </w:tcPr>
          <w:p w14:paraId="5DC2D193" w14:textId="06F23538" w:rsidR="00860075" w:rsidRPr="001E66EF" w:rsidRDefault="00860075" w:rsidP="007D3AA9">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Removing a burner</w:t>
            </w:r>
          </w:p>
        </w:tc>
        <w:tc>
          <w:tcPr>
            <w:tcW w:w="1200" w:type="dxa"/>
            <w:tcBorders>
              <w:left w:val="single" w:sz="4" w:space="0" w:color="auto"/>
            </w:tcBorders>
            <w:noWrap/>
            <w:hideMark/>
          </w:tcPr>
          <w:p w14:paraId="15EEDF2E" w14:textId="77777777" w:rsidR="00860075" w:rsidRPr="001E66EF" w:rsidRDefault="00860075" w:rsidP="007D3A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400</w:t>
            </w:r>
          </w:p>
        </w:tc>
        <w:tc>
          <w:tcPr>
            <w:tcW w:w="1843" w:type="dxa"/>
            <w:tcBorders>
              <w:right w:val="single" w:sz="4" w:space="0" w:color="auto"/>
            </w:tcBorders>
            <w:noWrap/>
          </w:tcPr>
          <w:p w14:paraId="07F494F9" w14:textId="4BF1EA48" w:rsidR="00860075" w:rsidRPr="001E66EF" w:rsidRDefault="00860075" w:rsidP="007D3A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400</w:t>
            </w:r>
          </w:p>
        </w:tc>
        <w:tc>
          <w:tcPr>
            <w:tcW w:w="1271" w:type="dxa"/>
            <w:tcBorders>
              <w:left w:val="single" w:sz="4" w:space="0" w:color="auto"/>
              <w:right w:val="single" w:sz="4" w:space="0" w:color="auto"/>
            </w:tcBorders>
          </w:tcPr>
          <w:p w14:paraId="76B2EE5E" w14:textId="0C66B044" w:rsidR="00860075" w:rsidRPr="001E66EF" w:rsidRDefault="00860075" w:rsidP="00860075">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 xml:space="preserve">Coal </w:t>
            </w:r>
          </w:p>
        </w:tc>
        <w:tc>
          <w:tcPr>
            <w:tcW w:w="1287" w:type="dxa"/>
            <w:tcBorders>
              <w:left w:val="single" w:sz="4" w:space="0" w:color="auto"/>
              <w:right w:val="single" w:sz="4" w:space="0" w:color="auto"/>
            </w:tcBorders>
            <w:noWrap/>
          </w:tcPr>
          <w:p w14:paraId="4D03BCD8" w14:textId="56D9A59A" w:rsidR="00860075" w:rsidRPr="001E66EF" w:rsidRDefault="00860075" w:rsidP="007D3A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492</w:t>
            </w:r>
          </w:p>
        </w:tc>
      </w:tr>
      <w:tr w:rsidR="00860075" w:rsidRPr="001E66EF" w14:paraId="6B7F4FA7" w14:textId="77777777" w:rsidTr="007F2C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7" w:type="dxa"/>
            <w:tcBorders>
              <w:left w:val="single" w:sz="4" w:space="0" w:color="auto"/>
              <w:right w:val="single" w:sz="4" w:space="0" w:color="auto"/>
            </w:tcBorders>
            <w:noWrap/>
            <w:hideMark/>
          </w:tcPr>
          <w:p w14:paraId="61517D42" w14:textId="77777777" w:rsidR="00860075" w:rsidRPr="001E66EF" w:rsidRDefault="00860075" w:rsidP="007D3AA9">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Installation</w:t>
            </w:r>
          </w:p>
        </w:tc>
        <w:tc>
          <w:tcPr>
            <w:tcW w:w="1200" w:type="dxa"/>
            <w:tcBorders>
              <w:left w:val="single" w:sz="4" w:space="0" w:color="auto"/>
            </w:tcBorders>
            <w:noWrap/>
            <w:hideMark/>
          </w:tcPr>
          <w:p w14:paraId="0E3F2F36" w14:textId="77777777" w:rsidR="00860075" w:rsidRPr="001E66EF" w:rsidRDefault="00860075" w:rsidP="007D3A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900</w:t>
            </w:r>
          </w:p>
        </w:tc>
        <w:tc>
          <w:tcPr>
            <w:tcW w:w="1843" w:type="dxa"/>
            <w:tcBorders>
              <w:right w:val="single" w:sz="4" w:space="0" w:color="auto"/>
            </w:tcBorders>
            <w:noWrap/>
          </w:tcPr>
          <w:p w14:paraId="2902E31D" w14:textId="1AB5B8F4" w:rsidR="00860075" w:rsidRPr="001E66EF" w:rsidRDefault="00860075" w:rsidP="007D3A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900</w:t>
            </w:r>
          </w:p>
        </w:tc>
        <w:tc>
          <w:tcPr>
            <w:tcW w:w="1271" w:type="dxa"/>
            <w:tcBorders>
              <w:left w:val="single" w:sz="4" w:space="0" w:color="auto"/>
              <w:right w:val="single" w:sz="4" w:space="0" w:color="auto"/>
            </w:tcBorders>
          </w:tcPr>
          <w:p w14:paraId="54ECE719" w14:textId="5A84D97F" w:rsidR="00860075" w:rsidRPr="001E66EF" w:rsidRDefault="00860075" w:rsidP="00860075">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Wood</w:t>
            </w:r>
          </w:p>
        </w:tc>
        <w:tc>
          <w:tcPr>
            <w:tcW w:w="1287" w:type="dxa"/>
            <w:tcBorders>
              <w:left w:val="single" w:sz="4" w:space="0" w:color="auto"/>
              <w:right w:val="single" w:sz="4" w:space="0" w:color="auto"/>
            </w:tcBorders>
            <w:noWrap/>
          </w:tcPr>
          <w:p w14:paraId="6ECFA7B9" w14:textId="496F7BCB" w:rsidR="00860075" w:rsidRPr="001E66EF" w:rsidRDefault="00860075" w:rsidP="007D3A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970</w:t>
            </w:r>
          </w:p>
        </w:tc>
      </w:tr>
      <w:tr w:rsidR="00860075" w:rsidRPr="001E66EF" w14:paraId="29C00CEB" w14:textId="77777777" w:rsidTr="007F2C95">
        <w:trPr>
          <w:trHeight w:val="300"/>
        </w:trPr>
        <w:tc>
          <w:tcPr>
            <w:cnfStyle w:val="001000000000" w:firstRow="0" w:lastRow="0" w:firstColumn="1" w:lastColumn="0" w:oddVBand="0" w:evenVBand="0" w:oddHBand="0" w:evenHBand="0" w:firstRowFirstColumn="0" w:firstRowLastColumn="0" w:lastRowFirstColumn="0" w:lastRowLastColumn="0"/>
            <w:tcW w:w="2207" w:type="dxa"/>
            <w:tcBorders>
              <w:left w:val="single" w:sz="4" w:space="0" w:color="auto"/>
              <w:right w:val="single" w:sz="4" w:space="0" w:color="auto"/>
            </w:tcBorders>
            <w:noWrap/>
            <w:hideMark/>
          </w:tcPr>
          <w:p w14:paraId="0E1FA605" w14:textId="77777777" w:rsidR="00860075" w:rsidRPr="001E66EF" w:rsidRDefault="00860075" w:rsidP="007D3AA9">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New Appliance</w:t>
            </w:r>
          </w:p>
        </w:tc>
        <w:tc>
          <w:tcPr>
            <w:tcW w:w="1200" w:type="dxa"/>
            <w:tcBorders>
              <w:left w:val="single" w:sz="4" w:space="0" w:color="auto"/>
            </w:tcBorders>
            <w:noWrap/>
            <w:hideMark/>
          </w:tcPr>
          <w:p w14:paraId="6F30B41A" w14:textId="7C7DAC0E" w:rsidR="00860075" w:rsidRPr="001E66EF" w:rsidRDefault="00860075" w:rsidP="007D3A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3,500</w:t>
            </w:r>
          </w:p>
        </w:tc>
        <w:tc>
          <w:tcPr>
            <w:tcW w:w="1843" w:type="dxa"/>
            <w:tcBorders>
              <w:right w:val="single" w:sz="4" w:space="0" w:color="auto"/>
            </w:tcBorders>
            <w:noWrap/>
            <w:hideMark/>
          </w:tcPr>
          <w:p w14:paraId="3A7A42AE" w14:textId="3ECAB317" w:rsidR="00860075" w:rsidRPr="001E66EF" w:rsidRDefault="0099422E" w:rsidP="007D3AA9">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2</w:t>
            </w:r>
            <w:r w:rsidR="00860075" w:rsidRPr="001E66EF">
              <w:rPr>
                <w:rFonts w:eastAsia="Times New Roman" w:cs="Times New Roman"/>
                <w:color w:val="000000"/>
                <w:lang w:eastAsia="en-NZ"/>
              </w:rPr>
              <w:t>,</w:t>
            </w:r>
            <w:r w:rsidR="001C4743" w:rsidRPr="001E66EF">
              <w:rPr>
                <w:rFonts w:eastAsia="Times New Roman" w:cs="Times New Roman"/>
                <w:color w:val="000000"/>
                <w:lang w:eastAsia="en-NZ"/>
              </w:rPr>
              <w:t>000</w:t>
            </w:r>
          </w:p>
        </w:tc>
        <w:tc>
          <w:tcPr>
            <w:tcW w:w="1271" w:type="dxa"/>
            <w:tcBorders>
              <w:left w:val="single" w:sz="4" w:space="0" w:color="auto"/>
              <w:right w:val="single" w:sz="4" w:space="0" w:color="auto"/>
            </w:tcBorders>
          </w:tcPr>
          <w:p w14:paraId="54DAE054" w14:textId="77777777" w:rsidR="00860075" w:rsidRPr="001E66EF" w:rsidRDefault="00860075" w:rsidP="007D3AA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NZ"/>
              </w:rPr>
            </w:pPr>
          </w:p>
        </w:tc>
        <w:tc>
          <w:tcPr>
            <w:tcW w:w="1287" w:type="dxa"/>
            <w:tcBorders>
              <w:left w:val="single" w:sz="4" w:space="0" w:color="auto"/>
              <w:right w:val="single" w:sz="4" w:space="0" w:color="auto"/>
            </w:tcBorders>
            <w:noWrap/>
            <w:hideMark/>
          </w:tcPr>
          <w:p w14:paraId="7F5CE326" w14:textId="1F6A8772" w:rsidR="00860075" w:rsidRPr="001E66EF" w:rsidRDefault="00860075" w:rsidP="007D3AA9">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NZ"/>
              </w:rPr>
            </w:pPr>
          </w:p>
        </w:tc>
      </w:tr>
      <w:tr w:rsidR="00860075" w:rsidRPr="001E66EF" w14:paraId="6B69B662" w14:textId="77777777" w:rsidTr="007F2C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7" w:type="dxa"/>
            <w:tcBorders>
              <w:left w:val="single" w:sz="4" w:space="0" w:color="auto"/>
              <w:right w:val="single" w:sz="4" w:space="0" w:color="auto"/>
            </w:tcBorders>
            <w:noWrap/>
          </w:tcPr>
          <w:p w14:paraId="026269BC" w14:textId="27DFADF3" w:rsidR="00860075" w:rsidRPr="001E66EF" w:rsidRDefault="00860075" w:rsidP="007D3AA9">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Council consent</w:t>
            </w:r>
          </w:p>
        </w:tc>
        <w:tc>
          <w:tcPr>
            <w:tcW w:w="1200" w:type="dxa"/>
            <w:tcBorders>
              <w:left w:val="single" w:sz="4" w:space="0" w:color="auto"/>
            </w:tcBorders>
            <w:noWrap/>
          </w:tcPr>
          <w:p w14:paraId="147F0826" w14:textId="4B2110C1" w:rsidR="00860075" w:rsidRPr="001E66EF" w:rsidRDefault="00860075" w:rsidP="007D3A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500</w:t>
            </w:r>
          </w:p>
        </w:tc>
        <w:tc>
          <w:tcPr>
            <w:tcW w:w="1843" w:type="dxa"/>
            <w:tcBorders>
              <w:right w:val="single" w:sz="4" w:space="0" w:color="auto"/>
            </w:tcBorders>
            <w:noWrap/>
          </w:tcPr>
          <w:p w14:paraId="68684BC8" w14:textId="39D8CB6D" w:rsidR="00860075" w:rsidRPr="001E66EF" w:rsidRDefault="00860075" w:rsidP="007D3AA9">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500</w:t>
            </w:r>
          </w:p>
        </w:tc>
        <w:tc>
          <w:tcPr>
            <w:tcW w:w="1271" w:type="dxa"/>
            <w:tcBorders>
              <w:left w:val="single" w:sz="4" w:space="0" w:color="auto"/>
              <w:right w:val="single" w:sz="4" w:space="0" w:color="auto"/>
            </w:tcBorders>
          </w:tcPr>
          <w:p w14:paraId="10D8E8BE" w14:textId="77777777" w:rsidR="00860075" w:rsidRPr="001E66EF" w:rsidRDefault="00860075" w:rsidP="007D3AA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NZ"/>
              </w:rPr>
            </w:pPr>
          </w:p>
        </w:tc>
        <w:tc>
          <w:tcPr>
            <w:tcW w:w="1287" w:type="dxa"/>
            <w:tcBorders>
              <w:left w:val="single" w:sz="4" w:space="0" w:color="auto"/>
              <w:right w:val="single" w:sz="4" w:space="0" w:color="auto"/>
            </w:tcBorders>
            <w:noWrap/>
          </w:tcPr>
          <w:p w14:paraId="04302E6C" w14:textId="6BDCCE08" w:rsidR="00860075" w:rsidRPr="001E66EF" w:rsidRDefault="00860075" w:rsidP="007D3AA9">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en-NZ"/>
              </w:rPr>
            </w:pPr>
          </w:p>
        </w:tc>
      </w:tr>
      <w:tr w:rsidR="007F6653" w:rsidRPr="001E66EF" w14:paraId="4FCC48BD" w14:textId="77777777" w:rsidTr="00081AD9">
        <w:trPr>
          <w:trHeight w:val="300"/>
        </w:trPr>
        <w:tc>
          <w:tcPr>
            <w:cnfStyle w:val="001000000000" w:firstRow="0" w:lastRow="0" w:firstColumn="1" w:lastColumn="0" w:oddVBand="0" w:evenVBand="0" w:oddHBand="0" w:evenHBand="0" w:firstRowFirstColumn="0" w:firstRowLastColumn="0" w:lastRowFirstColumn="0" w:lastRowLastColumn="0"/>
            <w:tcW w:w="7808" w:type="dxa"/>
            <w:gridSpan w:val="5"/>
            <w:tcBorders>
              <w:left w:val="single" w:sz="4" w:space="0" w:color="auto"/>
              <w:bottom w:val="single" w:sz="4" w:space="0" w:color="auto"/>
              <w:right w:val="single" w:sz="4" w:space="0" w:color="auto"/>
            </w:tcBorders>
            <w:noWrap/>
          </w:tcPr>
          <w:p w14:paraId="2299128E" w14:textId="77777777" w:rsidR="007F6653" w:rsidRPr="00B04D46" w:rsidRDefault="007F6653" w:rsidP="007F6653">
            <w:pPr>
              <w:spacing w:after="0" w:line="240" w:lineRule="auto"/>
              <w:ind w:left="0"/>
              <w:jc w:val="right"/>
              <w:rPr>
                <w:b w:val="0"/>
                <w:sz w:val="16"/>
                <w:lang w:eastAsia="en-NZ"/>
              </w:rPr>
            </w:pPr>
            <w:r w:rsidRPr="00B04D46">
              <w:rPr>
                <w:b w:val="0"/>
                <w:sz w:val="16"/>
                <w:lang w:eastAsia="en-NZ"/>
              </w:rPr>
              <w:t>Source: M.E and MfE research.</w:t>
            </w:r>
          </w:p>
          <w:p w14:paraId="7E9907C7" w14:textId="735A2C61" w:rsidR="00B04D46" w:rsidRPr="00B04D46" w:rsidRDefault="00081AD9" w:rsidP="00B04D46">
            <w:pPr>
              <w:spacing w:after="0" w:line="240" w:lineRule="auto"/>
              <w:ind w:left="0"/>
              <w:jc w:val="right"/>
              <w:rPr>
                <w:rFonts w:eastAsia="Times New Roman" w:cs="Times New Roman"/>
                <w:b w:val="0"/>
                <w:sz w:val="16"/>
                <w:szCs w:val="20"/>
                <w:lang w:eastAsia="en-NZ"/>
              </w:rPr>
            </w:pPr>
            <w:r>
              <w:rPr>
                <w:b w:val="0"/>
                <w:sz w:val="16"/>
                <w:lang w:eastAsia="en-NZ"/>
              </w:rPr>
              <w:t>*</w:t>
            </w:r>
            <w:r w:rsidR="00B04D46" w:rsidRPr="00B04D46">
              <w:rPr>
                <w:b w:val="0"/>
                <w:sz w:val="16"/>
                <w:lang w:eastAsia="en-NZ"/>
              </w:rPr>
              <w:t>The fuel costs were used as part of assessing earlier policy options and are included for information purposes.</w:t>
            </w:r>
          </w:p>
        </w:tc>
      </w:tr>
    </w:tbl>
    <w:p w14:paraId="3902F2F5" w14:textId="77777777" w:rsidR="007F6653" w:rsidRPr="001E66EF" w:rsidRDefault="007F6653" w:rsidP="00823E2F">
      <w:pPr>
        <w:rPr>
          <w:lang w:eastAsia="en-NZ"/>
        </w:rPr>
      </w:pPr>
    </w:p>
    <w:p w14:paraId="40D1A8A8" w14:textId="426A49D2" w:rsidR="00107C7A" w:rsidRPr="001E66EF" w:rsidRDefault="003F004F" w:rsidP="00823E2F">
      <w:pPr>
        <w:rPr>
          <w:lang w:eastAsia="en-NZ"/>
        </w:rPr>
      </w:pPr>
      <w:r w:rsidRPr="001E66EF">
        <w:rPr>
          <w:lang w:eastAsia="en-NZ"/>
        </w:rPr>
        <w:t>Commonly</w:t>
      </w:r>
      <w:r w:rsidR="00823E2F" w:rsidRPr="001E66EF">
        <w:rPr>
          <w:lang w:eastAsia="en-NZ"/>
        </w:rPr>
        <w:t xml:space="preserve">, </w:t>
      </w:r>
      <w:r w:rsidRPr="001E66EF">
        <w:rPr>
          <w:lang w:eastAsia="en-NZ"/>
        </w:rPr>
        <w:t xml:space="preserve">ongoing </w:t>
      </w:r>
      <w:r w:rsidR="00823E2F" w:rsidRPr="001E66EF">
        <w:rPr>
          <w:lang w:eastAsia="en-NZ"/>
        </w:rPr>
        <w:t>burner costs relate to a household’s spend</w:t>
      </w:r>
      <w:r w:rsidR="00E864E5" w:rsidRPr="001E66EF">
        <w:rPr>
          <w:lang w:eastAsia="en-NZ"/>
        </w:rPr>
        <w:t xml:space="preserve"> </w:t>
      </w:r>
      <w:r w:rsidR="00823E2F" w:rsidRPr="001E66EF">
        <w:rPr>
          <w:lang w:eastAsia="en-NZ"/>
        </w:rPr>
        <w:t>on the wood burner</w:t>
      </w:r>
      <w:r w:rsidRPr="001E66EF">
        <w:rPr>
          <w:lang w:eastAsia="en-NZ"/>
        </w:rPr>
        <w:t xml:space="preserve"> during the life of the burner, </w:t>
      </w:r>
      <w:r w:rsidR="00823E2F" w:rsidRPr="001E66EF">
        <w:rPr>
          <w:lang w:eastAsia="en-NZ"/>
        </w:rPr>
        <w:t>e.g. fuel</w:t>
      </w:r>
      <w:r w:rsidRPr="001E66EF">
        <w:rPr>
          <w:lang w:eastAsia="en-NZ"/>
        </w:rPr>
        <w:t xml:space="preserve"> and m</w:t>
      </w:r>
      <w:r w:rsidR="00E864E5" w:rsidRPr="001E66EF">
        <w:rPr>
          <w:lang w:eastAsia="en-NZ"/>
        </w:rPr>
        <w:t>aintenance</w:t>
      </w:r>
      <w:r w:rsidR="00823E2F" w:rsidRPr="001E66EF">
        <w:rPr>
          <w:lang w:eastAsia="en-NZ"/>
        </w:rPr>
        <w:t xml:space="preserve">.  </w:t>
      </w:r>
      <w:r w:rsidRPr="001E66EF">
        <w:rPr>
          <w:lang w:eastAsia="en-NZ"/>
        </w:rPr>
        <w:t>In the CBA model</w:t>
      </w:r>
      <w:r w:rsidR="00107C7A" w:rsidRPr="001E66EF">
        <w:rPr>
          <w:lang w:eastAsia="en-NZ"/>
        </w:rPr>
        <w:t xml:space="preserve"> though</w:t>
      </w:r>
      <w:r w:rsidRPr="001E66EF">
        <w:rPr>
          <w:lang w:eastAsia="en-NZ"/>
        </w:rPr>
        <w:t>, p</w:t>
      </w:r>
      <w:r w:rsidR="009450FE" w:rsidRPr="001E66EF">
        <w:rPr>
          <w:lang w:eastAsia="en-NZ"/>
        </w:rPr>
        <w:t xml:space="preserve">rivate </w:t>
      </w:r>
      <w:r w:rsidR="00823E2F" w:rsidRPr="001E66EF">
        <w:rPr>
          <w:lang w:eastAsia="en-NZ"/>
        </w:rPr>
        <w:t xml:space="preserve">costs </w:t>
      </w:r>
      <w:r w:rsidRPr="001E66EF">
        <w:rPr>
          <w:lang w:eastAsia="en-NZ"/>
        </w:rPr>
        <w:t xml:space="preserve">are represented by the amount </w:t>
      </w:r>
      <w:r w:rsidR="00823E2F" w:rsidRPr="001E66EF">
        <w:rPr>
          <w:lang w:eastAsia="en-NZ"/>
        </w:rPr>
        <w:t>households would spend over and above what they would’ve spent anyway</w:t>
      </w:r>
      <w:r w:rsidR="0021637C">
        <w:rPr>
          <w:lang w:eastAsia="en-NZ"/>
        </w:rPr>
        <w:t>.</w:t>
      </w:r>
      <w:r w:rsidR="00823E2F" w:rsidRPr="001E66EF">
        <w:rPr>
          <w:lang w:eastAsia="en-NZ"/>
        </w:rPr>
        <w:t xml:space="preserve"> </w:t>
      </w:r>
      <w:r w:rsidR="0021637C">
        <w:rPr>
          <w:lang w:eastAsia="en-NZ"/>
        </w:rPr>
        <w:t xml:space="preserve"> This implies </w:t>
      </w:r>
      <w:r w:rsidR="00107C7A" w:rsidRPr="001E66EF">
        <w:rPr>
          <w:lang w:eastAsia="en-NZ"/>
        </w:rPr>
        <w:t>that maintenance cost would not be included</w:t>
      </w:r>
      <w:r w:rsidR="0021637C">
        <w:rPr>
          <w:lang w:eastAsia="en-NZ"/>
        </w:rPr>
        <w:t>,</w:t>
      </w:r>
      <w:r w:rsidR="00107C7A" w:rsidRPr="001E66EF">
        <w:rPr>
          <w:lang w:eastAsia="en-NZ"/>
        </w:rPr>
        <w:t xml:space="preserve"> since we assume that the owner would have to pay for maintenance regardless of which appliance is operational. </w:t>
      </w:r>
      <w:r w:rsidR="007F6653" w:rsidRPr="001E66EF">
        <w:rPr>
          <w:lang w:eastAsia="en-NZ"/>
        </w:rPr>
        <w:t xml:space="preserve"> </w:t>
      </w:r>
      <w:r w:rsidR="00107C7A" w:rsidRPr="001E66EF">
        <w:rPr>
          <w:lang w:eastAsia="en-NZ"/>
        </w:rPr>
        <w:t xml:space="preserve">The cost differential between wood and coal, is </w:t>
      </w:r>
      <w:r w:rsidR="001D0B8D" w:rsidRPr="001E66EF">
        <w:rPr>
          <w:lang w:eastAsia="en-NZ"/>
        </w:rPr>
        <w:t>considered</w:t>
      </w:r>
      <w:r w:rsidR="00107C7A" w:rsidRPr="001E66EF">
        <w:rPr>
          <w:lang w:eastAsia="en-NZ"/>
        </w:rPr>
        <w:t xml:space="preserve"> in the analysis.  </w:t>
      </w:r>
    </w:p>
    <w:p w14:paraId="192472C5" w14:textId="69B5D773" w:rsidR="0062469E" w:rsidRPr="001E66EF" w:rsidRDefault="0062469E" w:rsidP="0062469E">
      <w:pPr>
        <w:rPr>
          <w:lang w:eastAsia="en-NZ"/>
        </w:rPr>
      </w:pPr>
      <w:r w:rsidRPr="001E66EF">
        <w:rPr>
          <w:lang w:eastAsia="en-NZ"/>
        </w:rPr>
        <w:t>When a household is prevented</w:t>
      </w:r>
      <w:r w:rsidR="007F6653" w:rsidRPr="001E66EF">
        <w:rPr>
          <w:lang w:eastAsia="en-NZ"/>
        </w:rPr>
        <w:t>/restricted</w:t>
      </w:r>
      <w:r w:rsidRPr="001E66EF">
        <w:rPr>
          <w:lang w:eastAsia="en-NZ"/>
        </w:rPr>
        <w:t xml:space="preserve"> from installing the burner of their choice </w:t>
      </w:r>
      <w:r w:rsidR="00E67B7A" w:rsidRPr="001E66EF">
        <w:rPr>
          <w:lang w:eastAsia="en-NZ"/>
        </w:rPr>
        <w:t>because of</w:t>
      </w:r>
      <w:r w:rsidRPr="001E66EF">
        <w:rPr>
          <w:lang w:eastAsia="en-NZ"/>
        </w:rPr>
        <w:t xml:space="preserve"> policy, the cost being imposed is the difference in appliance cost of the compliant burner, over what they would’ve spent on </w:t>
      </w:r>
      <w:r w:rsidR="00B8480A" w:rsidRPr="001E66EF">
        <w:rPr>
          <w:lang w:eastAsia="en-NZ"/>
        </w:rPr>
        <w:t xml:space="preserve">their preferred (in a ‘no-policy’ situation) </w:t>
      </w:r>
      <w:r w:rsidRPr="001E66EF">
        <w:rPr>
          <w:lang w:eastAsia="en-NZ"/>
        </w:rPr>
        <w:t>heating source</w:t>
      </w:r>
      <w:r w:rsidR="00B8480A" w:rsidRPr="001E66EF">
        <w:rPr>
          <w:lang w:eastAsia="en-NZ"/>
        </w:rPr>
        <w:t xml:space="preserve">.  </w:t>
      </w:r>
    </w:p>
    <w:p w14:paraId="0A5A3A7D" w14:textId="029ED09D" w:rsidR="00D614DE" w:rsidRPr="001E66EF" w:rsidRDefault="00D614DE" w:rsidP="0021637C">
      <w:pPr>
        <w:spacing w:after="120" w:line="240" w:lineRule="auto"/>
      </w:pPr>
      <w:r w:rsidRPr="001E66EF">
        <w:t xml:space="preserve">It is important to note that the air quality modelling (of the policy option) </w:t>
      </w:r>
      <w:r w:rsidR="001D0B8D" w:rsidRPr="001E66EF">
        <w:t>assumes</w:t>
      </w:r>
      <w:r w:rsidRPr="001E66EF">
        <w:t xml:space="preserve"> that households would be </w:t>
      </w:r>
      <w:r w:rsidR="001D0B8D" w:rsidRPr="001E66EF">
        <w:t>able</w:t>
      </w:r>
      <w:r w:rsidRPr="001E66EF">
        <w:t xml:space="preserve"> to exercise their rights to install </w:t>
      </w:r>
      <w:r w:rsidR="00923B7C" w:rsidRPr="001E66EF">
        <w:t xml:space="preserve">a new (or replacement) burner. </w:t>
      </w:r>
      <w:r w:rsidRPr="001E66EF">
        <w:t xml:space="preserve"> </w:t>
      </w:r>
      <w:r w:rsidRPr="001E66EF">
        <w:lastRenderedPageBreak/>
        <w:t xml:space="preserve">However, the probability of </w:t>
      </w:r>
      <w:r w:rsidRPr="001E66EF">
        <w:rPr>
          <w:b/>
        </w:rPr>
        <w:t>all</w:t>
      </w:r>
      <w:r w:rsidR="00923B7C" w:rsidRPr="001E66EF">
        <w:t xml:space="preserve"> (100%)</w:t>
      </w:r>
      <w:r w:rsidRPr="001E66EF">
        <w:t xml:space="preserve"> households taking up this option is low.  Factors limiting the potential uptake include:</w:t>
      </w:r>
    </w:p>
    <w:p w14:paraId="428281A3" w14:textId="77777777" w:rsidR="00D614DE" w:rsidRPr="001E66EF" w:rsidRDefault="00D614DE" w:rsidP="0021637C">
      <w:pPr>
        <w:pStyle w:val="MEBullet"/>
        <w:spacing w:after="120" w:line="240" w:lineRule="auto"/>
        <w:ind w:left="1707" w:hanging="714"/>
      </w:pPr>
      <w:r w:rsidRPr="001E66EF">
        <w:t>The affordability and ability to pay for a new/replacement burner,</w:t>
      </w:r>
    </w:p>
    <w:p w14:paraId="23B414D8" w14:textId="77777777" w:rsidR="00D614DE" w:rsidRPr="001E66EF" w:rsidRDefault="00D614DE" w:rsidP="0021637C">
      <w:pPr>
        <w:pStyle w:val="MEBullet"/>
        <w:spacing w:after="120" w:line="240" w:lineRule="auto"/>
        <w:ind w:left="1707" w:hanging="714"/>
      </w:pPr>
      <w:r w:rsidRPr="001E66EF">
        <w:t>The desirability and attractiveness of a burner relative to other heating measures,</w:t>
      </w:r>
    </w:p>
    <w:p w14:paraId="4E907903" w14:textId="77777777" w:rsidR="00D614DE" w:rsidRPr="001E66EF" w:rsidRDefault="00D614DE" w:rsidP="0021637C">
      <w:pPr>
        <w:pStyle w:val="MEBullet"/>
        <w:spacing w:after="120" w:line="240" w:lineRule="auto"/>
        <w:ind w:left="1707" w:hanging="714"/>
      </w:pPr>
      <w:r w:rsidRPr="001E66EF">
        <w:t>The ongoing costs (perceived or real) of burners, specifically fuel costs, and</w:t>
      </w:r>
    </w:p>
    <w:p w14:paraId="177F3A10" w14:textId="287B796C" w:rsidR="00D614DE" w:rsidRPr="001E66EF" w:rsidRDefault="00D614DE" w:rsidP="0021637C">
      <w:pPr>
        <w:pStyle w:val="MEBullet"/>
        <w:spacing w:after="120" w:line="240" w:lineRule="auto"/>
        <w:ind w:left="1706" w:hanging="714"/>
      </w:pPr>
      <w:r w:rsidRPr="001E66EF">
        <w:t>The ability to install (or replace) a burner in the property</w:t>
      </w:r>
      <w:r w:rsidR="00923B7C" w:rsidRPr="001E66EF">
        <w:t xml:space="preserve"> given the property’s attributes</w:t>
      </w:r>
      <w:r w:rsidRPr="001E66EF">
        <w:t xml:space="preserve">.  </w:t>
      </w:r>
    </w:p>
    <w:p w14:paraId="06E346B7" w14:textId="0EB621F8" w:rsidR="00D614DE" w:rsidRPr="001E66EF" w:rsidRDefault="00D614DE" w:rsidP="00D614DE">
      <w:pPr>
        <w:pStyle w:val="MEBullet"/>
        <w:numPr>
          <w:ilvl w:val="0"/>
          <w:numId w:val="0"/>
        </w:numPr>
        <w:spacing w:before="120"/>
        <w:ind w:left="990"/>
      </w:pPr>
      <w:r w:rsidRPr="001E66EF">
        <w:t xml:space="preserve">This report has not explored the trade-offs that households would make in order to pay for the replacement of a burner.  There are questions around what a household would have to ‘give up’, in order to pay the cost differential between a compliant and non-compliant burner.  </w:t>
      </w:r>
    </w:p>
    <w:p w14:paraId="581C9838" w14:textId="4A89DFD3" w:rsidR="00D614DE" w:rsidRPr="001E66EF" w:rsidRDefault="00D614DE" w:rsidP="00D614DE">
      <w:r w:rsidRPr="001E66EF">
        <w:t>The relative price difference</w:t>
      </w:r>
      <w:r w:rsidR="0021637C">
        <w:rPr>
          <w:rStyle w:val="FootnoteReference"/>
        </w:rPr>
        <w:footnoteReference w:id="23"/>
      </w:r>
      <w:r w:rsidRPr="001E66EF">
        <w:t xml:space="preserve"> between burners and heat pumps suggests that in the short to medium term, heat pumps may be favoured over burners – in total.  This means that the burner numbers modelled in the scenarios might not be fully taken up.  If, for some rea</w:t>
      </w:r>
      <w:r w:rsidR="00B7794E" w:rsidRPr="001E66EF">
        <w:t xml:space="preserve">son, the burner uptake rate is </w:t>
      </w:r>
      <w:r w:rsidRPr="001E66EF">
        <w:t>lower than th</w:t>
      </w:r>
      <w:r w:rsidR="00B7794E" w:rsidRPr="001E66EF">
        <w:t>at modelled</w:t>
      </w:r>
      <w:r w:rsidRPr="001E66EF">
        <w:t>, then the emissions and the health costs will be different from the ones reported here.  Th</w:t>
      </w:r>
      <w:r w:rsidR="00B7794E" w:rsidRPr="001E66EF">
        <w:t xml:space="preserve">is means that the </w:t>
      </w:r>
      <w:r w:rsidRPr="001E66EF">
        <w:t>health cost savings figures in this report are potentially on the conservative side.</w:t>
      </w:r>
    </w:p>
    <w:p w14:paraId="7842A91E" w14:textId="77777777" w:rsidR="00652542" w:rsidRPr="001E66EF" w:rsidRDefault="000A4F08" w:rsidP="00652542">
      <w:pPr>
        <w:pStyle w:val="Heading2"/>
        <w:rPr>
          <w:rFonts w:ascii="Calibri Light" w:hAnsi="Calibri Light"/>
        </w:rPr>
      </w:pPr>
      <w:bookmarkStart w:id="59" w:name="_Toc455044471"/>
      <w:bookmarkStart w:id="60" w:name="_Toc25569516"/>
      <w:r w:rsidRPr="001E66EF">
        <w:rPr>
          <w:rFonts w:ascii="Calibri Light" w:hAnsi="Calibri Light"/>
        </w:rPr>
        <w:t>Local Government (‘C</w:t>
      </w:r>
      <w:r w:rsidR="00652542" w:rsidRPr="001E66EF">
        <w:rPr>
          <w:rFonts w:ascii="Calibri Light" w:hAnsi="Calibri Light"/>
        </w:rPr>
        <w:t>ouncil</w:t>
      </w:r>
      <w:r w:rsidRPr="001E66EF">
        <w:rPr>
          <w:rFonts w:ascii="Calibri Light" w:hAnsi="Calibri Light"/>
        </w:rPr>
        <w:t>’</w:t>
      </w:r>
      <w:r w:rsidR="00652542" w:rsidRPr="001E66EF">
        <w:rPr>
          <w:rFonts w:ascii="Calibri Light" w:hAnsi="Calibri Light"/>
        </w:rPr>
        <w:t>) Costs</w:t>
      </w:r>
      <w:bookmarkEnd w:id="59"/>
      <w:bookmarkEnd w:id="60"/>
    </w:p>
    <w:p w14:paraId="305ED365" w14:textId="06FB0884" w:rsidR="00BA3803" w:rsidRDefault="00BA3803" w:rsidP="009C2DDA">
      <w:pPr>
        <w:rPr>
          <w:lang w:eastAsia="en-NZ"/>
        </w:rPr>
      </w:pPr>
      <w:r w:rsidRPr="001E66EF">
        <w:rPr>
          <w:lang w:eastAsia="en-NZ"/>
        </w:rPr>
        <w:t>In addition to the health and household costs, Council</w:t>
      </w:r>
      <w:r w:rsidR="000A4F08" w:rsidRPr="001E66EF">
        <w:rPr>
          <w:lang w:eastAsia="en-NZ"/>
        </w:rPr>
        <w:t>s</w:t>
      </w:r>
      <w:r w:rsidRPr="001E66EF">
        <w:rPr>
          <w:lang w:eastAsia="en-NZ"/>
        </w:rPr>
        <w:t xml:space="preserve"> </w:t>
      </w:r>
      <w:r w:rsidR="000A4F08" w:rsidRPr="001E66EF">
        <w:rPr>
          <w:lang w:eastAsia="en-NZ"/>
        </w:rPr>
        <w:t>are</w:t>
      </w:r>
      <w:r w:rsidRPr="001E66EF">
        <w:rPr>
          <w:lang w:eastAsia="en-NZ"/>
        </w:rPr>
        <w:t xml:space="preserve"> also expected to incur additional costs</w:t>
      </w:r>
      <w:r w:rsidR="00150688" w:rsidRPr="001E66EF">
        <w:rPr>
          <w:lang w:eastAsia="en-NZ"/>
        </w:rPr>
        <w:t xml:space="preserve"> </w:t>
      </w:r>
      <w:r w:rsidR="0079282C" w:rsidRPr="001E66EF">
        <w:rPr>
          <w:lang w:eastAsia="en-NZ"/>
        </w:rPr>
        <w:t>to</w:t>
      </w:r>
      <w:r w:rsidR="00150688" w:rsidRPr="001E66EF">
        <w:rPr>
          <w:lang w:eastAsia="en-NZ"/>
        </w:rPr>
        <w:t xml:space="preserve"> cover planning, regulatory and enforcement activities.</w:t>
      </w:r>
      <w:r w:rsidRPr="001E66EF">
        <w:rPr>
          <w:lang w:eastAsia="en-NZ"/>
        </w:rPr>
        <w:t xml:space="preserve">  These costs are ‘in addition’ to current spending and will be allocated to the ‘new actions’ associated with the regulatory, enforcement and/or community engagement activities.</w:t>
      </w:r>
      <w:r w:rsidR="00334954">
        <w:rPr>
          <w:lang w:eastAsia="en-NZ"/>
        </w:rPr>
        <w:t xml:space="preserve">  </w:t>
      </w:r>
      <w:r w:rsidRPr="001E66EF">
        <w:rPr>
          <w:lang w:eastAsia="en-NZ"/>
        </w:rPr>
        <w:t xml:space="preserve">  </w:t>
      </w:r>
    </w:p>
    <w:tbl>
      <w:tblPr>
        <w:tblStyle w:val="ListTable2-Accent1"/>
        <w:tblpPr w:leftFromText="180" w:rightFromText="180" w:vertAnchor="text" w:horzAnchor="margin" w:tblpXSpec="right" w:tblpY="489"/>
        <w:tblW w:w="8305" w:type="dxa"/>
        <w:tblLayout w:type="fixed"/>
        <w:tblLook w:val="04A0" w:firstRow="1" w:lastRow="0" w:firstColumn="1" w:lastColumn="0" w:noHBand="0" w:noVBand="1"/>
      </w:tblPr>
      <w:tblGrid>
        <w:gridCol w:w="2822"/>
        <w:gridCol w:w="1574"/>
        <w:gridCol w:w="137"/>
        <w:gridCol w:w="1786"/>
        <w:gridCol w:w="137"/>
        <w:gridCol w:w="1786"/>
        <w:gridCol w:w="63"/>
      </w:tblGrid>
      <w:tr w:rsidR="001D4927" w:rsidRPr="001E66EF" w14:paraId="3312BE25" w14:textId="77777777" w:rsidTr="001D4927">
        <w:trPr>
          <w:gridAfter w:val="1"/>
          <w:cnfStyle w:val="100000000000" w:firstRow="1" w:lastRow="0" w:firstColumn="0" w:lastColumn="0" w:oddVBand="0" w:evenVBand="0" w:oddHBand="0" w:evenHBand="0" w:firstRowFirstColumn="0" w:firstRowLastColumn="0" w:lastRowFirstColumn="0" w:lastRowLastColumn="0"/>
          <w:wAfter w:w="63" w:type="dxa"/>
          <w:trHeight w:val="444"/>
        </w:trPr>
        <w:tc>
          <w:tcPr>
            <w:cnfStyle w:val="001000000000" w:firstRow="0" w:lastRow="0" w:firstColumn="1" w:lastColumn="0" w:oddVBand="0" w:evenVBand="0" w:oddHBand="0" w:evenHBand="0" w:firstRowFirstColumn="0" w:firstRowLastColumn="0" w:lastRowFirstColumn="0" w:lastRowLastColumn="0"/>
            <w:tcW w:w="2822" w:type="dxa"/>
            <w:noWrap/>
            <w:vAlign w:val="center"/>
            <w:hideMark/>
          </w:tcPr>
          <w:p w14:paraId="47545256" w14:textId="77777777" w:rsidR="001D4927" w:rsidRPr="001E66EF" w:rsidRDefault="001D4927" w:rsidP="001D4927">
            <w:pPr>
              <w:spacing w:after="0" w:line="240" w:lineRule="auto"/>
              <w:ind w:left="0"/>
              <w:jc w:val="center"/>
              <w:rPr>
                <w:rFonts w:eastAsia="Times New Roman" w:cs="Times New Roman"/>
                <w:color w:val="000000"/>
                <w:sz w:val="20"/>
                <w:szCs w:val="24"/>
                <w:lang w:eastAsia="en-NZ"/>
              </w:rPr>
            </w:pPr>
            <w:r w:rsidRPr="001E66EF">
              <w:rPr>
                <w:rFonts w:eastAsia="Times New Roman" w:cs="Times New Roman"/>
                <w:color w:val="000000"/>
                <w:sz w:val="20"/>
                <w:lang w:eastAsia="en-NZ"/>
              </w:rPr>
              <w:t>One-off costs</w:t>
            </w:r>
          </w:p>
        </w:tc>
        <w:tc>
          <w:tcPr>
            <w:tcW w:w="1574" w:type="dxa"/>
            <w:noWrap/>
            <w:vAlign w:val="center"/>
            <w:hideMark/>
          </w:tcPr>
          <w:p w14:paraId="08E7958C" w14:textId="77777777" w:rsidR="001D4927" w:rsidRPr="001E66EF" w:rsidRDefault="001D4927" w:rsidP="001D4927">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w:t>
            </w:r>
          </w:p>
        </w:tc>
        <w:tc>
          <w:tcPr>
            <w:tcW w:w="1923" w:type="dxa"/>
            <w:gridSpan w:val="2"/>
            <w:vAlign w:val="center"/>
          </w:tcPr>
          <w:p w14:paraId="3760C957" w14:textId="77777777" w:rsidR="001D4927" w:rsidRPr="001E66EF" w:rsidRDefault="001D4927" w:rsidP="001D4927">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Annual Staff Costs</w:t>
            </w:r>
            <w:r w:rsidRPr="001E66EF">
              <w:rPr>
                <w:rStyle w:val="FootnoteReference"/>
                <w:rFonts w:eastAsia="Times New Roman" w:cs="Times New Roman"/>
                <w:color w:val="000000"/>
                <w:sz w:val="20"/>
                <w:lang w:eastAsia="en-NZ"/>
              </w:rPr>
              <w:footnoteReference w:id="24"/>
            </w:r>
          </w:p>
        </w:tc>
        <w:tc>
          <w:tcPr>
            <w:tcW w:w="1923" w:type="dxa"/>
            <w:gridSpan w:val="2"/>
            <w:vAlign w:val="center"/>
          </w:tcPr>
          <w:p w14:paraId="1718F243" w14:textId="77777777" w:rsidR="001D4927" w:rsidRPr="001E66EF" w:rsidRDefault="001D4927" w:rsidP="001D4927">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w:t>
            </w:r>
          </w:p>
        </w:tc>
      </w:tr>
      <w:tr w:rsidR="001D4927" w:rsidRPr="001E66EF" w14:paraId="2F3D1981" w14:textId="77777777" w:rsidTr="001D492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822" w:type="dxa"/>
            <w:vAlign w:val="center"/>
            <w:hideMark/>
          </w:tcPr>
          <w:p w14:paraId="7115680E" w14:textId="77777777" w:rsidR="001D4927" w:rsidRPr="001E66EF" w:rsidRDefault="001D4927" w:rsidP="001D4927">
            <w:pPr>
              <w:spacing w:after="0" w:line="240" w:lineRule="auto"/>
              <w:ind w:left="0"/>
              <w:rPr>
                <w:rFonts w:eastAsia="Times New Roman" w:cs="Times New Roman"/>
                <w:color w:val="000000"/>
                <w:sz w:val="20"/>
                <w:lang w:eastAsia="en-NZ"/>
              </w:rPr>
            </w:pPr>
            <w:r w:rsidRPr="001E66EF">
              <w:rPr>
                <w:rFonts w:eastAsia="Times New Roman" w:cs="Times New Roman"/>
                <w:color w:val="000000"/>
                <w:sz w:val="20"/>
                <w:lang w:eastAsia="en-NZ"/>
              </w:rPr>
              <w:t>Update Plan, editing, printing</w:t>
            </w:r>
          </w:p>
        </w:tc>
        <w:tc>
          <w:tcPr>
            <w:tcW w:w="1711" w:type="dxa"/>
            <w:gridSpan w:val="2"/>
            <w:vAlign w:val="center"/>
            <w:hideMark/>
          </w:tcPr>
          <w:p w14:paraId="5D45E063" w14:textId="77777777" w:rsidR="001D4927" w:rsidRPr="001E66EF" w:rsidRDefault="001D4927" w:rsidP="001D492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25,000</w:t>
            </w:r>
          </w:p>
        </w:tc>
        <w:tc>
          <w:tcPr>
            <w:tcW w:w="1923" w:type="dxa"/>
            <w:gridSpan w:val="2"/>
            <w:vAlign w:val="center"/>
          </w:tcPr>
          <w:p w14:paraId="5CBE272E" w14:textId="77777777" w:rsidR="001D4927" w:rsidRPr="001E66EF" w:rsidRDefault="001D4927" w:rsidP="001D492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 xml:space="preserve">Evaluation of NESAQ </w:t>
            </w:r>
          </w:p>
        </w:tc>
        <w:tc>
          <w:tcPr>
            <w:tcW w:w="1849" w:type="dxa"/>
            <w:gridSpan w:val="2"/>
            <w:vAlign w:val="center"/>
          </w:tcPr>
          <w:p w14:paraId="05F1FB29" w14:textId="77777777" w:rsidR="001D4927" w:rsidRPr="001E66EF" w:rsidRDefault="001D4927" w:rsidP="001D492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25,000</w:t>
            </w:r>
          </w:p>
        </w:tc>
      </w:tr>
      <w:tr w:rsidR="001D4927" w:rsidRPr="001E66EF" w14:paraId="7C82CB4F" w14:textId="77777777" w:rsidTr="001D4927">
        <w:trPr>
          <w:trHeight w:val="21"/>
        </w:trPr>
        <w:tc>
          <w:tcPr>
            <w:cnfStyle w:val="001000000000" w:firstRow="0" w:lastRow="0" w:firstColumn="1" w:lastColumn="0" w:oddVBand="0" w:evenVBand="0" w:oddHBand="0" w:evenHBand="0" w:firstRowFirstColumn="0" w:firstRowLastColumn="0" w:lastRowFirstColumn="0" w:lastRowLastColumn="0"/>
            <w:tcW w:w="2822" w:type="dxa"/>
            <w:noWrap/>
            <w:vAlign w:val="center"/>
            <w:hideMark/>
          </w:tcPr>
          <w:p w14:paraId="560839E3" w14:textId="77777777" w:rsidR="001D4927" w:rsidRPr="001E66EF" w:rsidRDefault="001D4927" w:rsidP="001D4927">
            <w:pPr>
              <w:spacing w:after="0" w:line="240" w:lineRule="auto"/>
              <w:ind w:left="0"/>
              <w:rPr>
                <w:rFonts w:eastAsia="Times New Roman" w:cs="Times New Roman"/>
                <w:color w:val="000000"/>
                <w:sz w:val="20"/>
                <w:lang w:eastAsia="en-NZ"/>
              </w:rPr>
            </w:pPr>
            <w:r w:rsidRPr="001E66EF">
              <w:rPr>
                <w:rFonts w:eastAsia="Times New Roman" w:cs="Times New Roman"/>
                <w:color w:val="000000"/>
                <w:sz w:val="20"/>
                <w:lang w:eastAsia="en-NZ"/>
              </w:rPr>
              <w:t>Education Cost</w:t>
            </w:r>
          </w:p>
        </w:tc>
        <w:tc>
          <w:tcPr>
            <w:tcW w:w="1711" w:type="dxa"/>
            <w:gridSpan w:val="2"/>
            <w:noWrap/>
            <w:vAlign w:val="center"/>
            <w:hideMark/>
          </w:tcPr>
          <w:p w14:paraId="14A19302" w14:textId="77777777" w:rsidR="001D4927" w:rsidRPr="001E66EF" w:rsidRDefault="001D4927" w:rsidP="001D492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color w:val="000000"/>
                <w:sz w:val="20"/>
                <w:lang w:eastAsia="en-NZ"/>
              </w:rPr>
              <w:t>50,000</w:t>
            </w:r>
          </w:p>
        </w:tc>
        <w:tc>
          <w:tcPr>
            <w:tcW w:w="1923" w:type="dxa"/>
            <w:gridSpan w:val="2"/>
            <w:vAlign w:val="center"/>
          </w:tcPr>
          <w:p w14:paraId="15916987" w14:textId="77777777" w:rsidR="001D4927" w:rsidRPr="001E66EF" w:rsidRDefault="001D4927" w:rsidP="001D492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p>
        </w:tc>
        <w:tc>
          <w:tcPr>
            <w:tcW w:w="1849" w:type="dxa"/>
            <w:gridSpan w:val="2"/>
            <w:vAlign w:val="center"/>
          </w:tcPr>
          <w:p w14:paraId="068A238F" w14:textId="77777777" w:rsidR="001D4927" w:rsidRPr="001E66EF" w:rsidRDefault="001D4927" w:rsidP="001D492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NZ"/>
              </w:rPr>
            </w:pPr>
          </w:p>
        </w:tc>
      </w:tr>
      <w:tr w:rsidR="001D4927" w:rsidRPr="001E66EF" w14:paraId="05E8F17F" w14:textId="77777777" w:rsidTr="001D492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822" w:type="dxa"/>
            <w:noWrap/>
            <w:vAlign w:val="center"/>
          </w:tcPr>
          <w:p w14:paraId="40BE95E7" w14:textId="77777777" w:rsidR="001D4927" w:rsidRPr="001E66EF" w:rsidRDefault="001D4927" w:rsidP="001D4927">
            <w:pPr>
              <w:spacing w:after="0" w:line="240" w:lineRule="auto"/>
              <w:ind w:left="0"/>
              <w:rPr>
                <w:rFonts w:eastAsia="Times New Roman" w:cs="Times New Roman"/>
                <w:color w:val="000000"/>
                <w:sz w:val="20"/>
                <w:lang w:eastAsia="en-NZ"/>
              </w:rPr>
            </w:pPr>
            <w:r w:rsidRPr="001E66EF">
              <w:rPr>
                <w:rFonts w:eastAsia="Times New Roman" w:cs="Times New Roman"/>
                <w:color w:val="000000"/>
                <w:sz w:val="20"/>
                <w:lang w:eastAsia="en-NZ"/>
              </w:rPr>
              <w:t>Monitoring Equipment</w:t>
            </w:r>
          </w:p>
        </w:tc>
        <w:tc>
          <w:tcPr>
            <w:tcW w:w="1711" w:type="dxa"/>
            <w:gridSpan w:val="2"/>
            <w:noWrap/>
            <w:vAlign w:val="center"/>
          </w:tcPr>
          <w:p w14:paraId="6A8990AA" w14:textId="77777777" w:rsidR="001D4927" w:rsidRPr="001E66EF" w:rsidRDefault="001D4927" w:rsidP="001D492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NZ"/>
              </w:rPr>
            </w:pPr>
            <w:r w:rsidRPr="001E66EF">
              <w:rPr>
                <w:rFonts w:eastAsia="Times New Roman" w:cs="Times New Roman"/>
                <w:bCs/>
                <w:color w:val="000000"/>
                <w:sz w:val="20"/>
                <w:lang w:eastAsia="en-NZ"/>
              </w:rPr>
              <w:t>65,000</w:t>
            </w:r>
          </w:p>
        </w:tc>
        <w:tc>
          <w:tcPr>
            <w:tcW w:w="1923" w:type="dxa"/>
            <w:gridSpan w:val="2"/>
            <w:vAlign w:val="center"/>
          </w:tcPr>
          <w:p w14:paraId="3A7FAA1E" w14:textId="77777777" w:rsidR="001D4927" w:rsidRPr="001E66EF" w:rsidRDefault="001D4927" w:rsidP="001D492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NZ"/>
              </w:rPr>
            </w:pPr>
          </w:p>
        </w:tc>
        <w:tc>
          <w:tcPr>
            <w:tcW w:w="1849" w:type="dxa"/>
            <w:gridSpan w:val="2"/>
            <w:vAlign w:val="center"/>
          </w:tcPr>
          <w:p w14:paraId="4EAE0B00" w14:textId="77777777" w:rsidR="001D4927" w:rsidRPr="001E66EF" w:rsidRDefault="001D4927" w:rsidP="001D492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NZ"/>
              </w:rPr>
            </w:pPr>
          </w:p>
        </w:tc>
      </w:tr>
    </w:tbl>
    <w:p w14:paraId="67826214" w14:textId="779DC4E0" w:rsidR="005D22CC" w:rsidRPr="001E66EF" w:rsidRDefault="001D4927" w:rsidP="001D4927">
      <w:pPr>
        <w:pStyle w:val="Caption"/>
        <w:spacing w:before="120" w:after="0" w:line="240" w:lineRule="auto"/>
        <w:ind w:left="992"/>
        <w:rPr>
          <w:lang w:eastAsia="en-NZ"/>
        </w:rPr>
      </w:pPr>
      <w:r>
        <w:t xml:space="preserve"> </w:t>
      </w:r>
      <w:bookmarkStart w:id="61" w:name="_Toc25569495"/>
      <w:r>
        <w:t xml:space="preserve">Table </w:t>
      </w:r>
      <w:r>
        <w:fldChar w:fldCharType="begin"/>
      </w:r>
      <w:r>
        <w:instrText xml:space="preserve"> STYLEREF 1 \s </w:instrText>
      </w:r>
      <w:r>
        <w:fldChar w:fldCharType="separate"/>
      </w:r>
      <w:r w:rsidR="00FD114C">
        <w:rPr>
          <w:noProof/>
        </w:rPr>
        <w:t>3</w:t>
      </w:r>
      <w:r>
        <w:fldChar w:fldCharType="end"/>
      </w:r>
      <w:r>
        <w:noBreakHyphen/>
      </w:r>
      <w:r>
        <w:fldChar w:fldCharType="begin"/>
      </w:r>
      <w:r>
        <w:instrText xml:space="preserve"> SEQ Table \* ARABIC \s 1 </w:instrText>
      </w:r>
      <w:r>
        <w:fldChar w:fldCharType="separate"/>
      </w:r>
      <w:r w:rsidR="00FD114C">
        <w:rPr>
          <w:noProof/>
        </w:rPr>
        <w:t>4</w:t>
      </w:r>
      <w:r>
        <w:fldChar w:fldCharType="end"/>
      </w:r>
      <w:r>
        <w:t xml:space="preserve">:  </w:t>
      </w:r>
      <w:r w:rsidRPr="00806FEA">
        <w:t>Regional Council Additional Costs</w:t>
      </w:r>
      <w:bookmarkEnd w:id="61"/>
    </w:p>
    <w:p w14:paraId="0292D88F" w14:textId="77777777" w:rsidR="00652542" w:rsidRPr="001E66EF" w:rsidRDefault="00652542" w:rsidP="00652542">
      <w:pPr>
        <w:pStyle w:val="Heading2"/>
        <w:rPr>
          <w:rFonts w:ascii="Calibri Light" w:hAnsi="Calibri Light"/>
        </w:rPr>
      </w:pPr>
      <w:bookmarkStart w:id="62" w:name="_Toc455044472"/>
      <w:bookmarkStart w:id="63" w:name="_Toc25569517"/>
      <w:r w:rsidRPr="001E66EF">
        <w:rPr>
          <w:rFonts w:ascii="Calibri Light" w:hAnsi="Calibri Light"/>
        </w:rPr>
        <w:t>Central Government Costs</w:t>
      </w:r>
      <w:bookmarkEnd w:id="62"/>
      <w:bookmarkEnd w:id="63"/>
    </w:p>
    <w:p w14:paraId="4EA6814F" w14:textId="177D2B5C" w:rsidR="00CD4C4B" w:rsidRPr="001E66EF" w:rsidRDefault="00057949" w:rsidP="00CD4C4B">
      <w:r w:rsidRPr="005D22CC">
        <w:t xml:space="preserve">Leading up to the implementation of </w:t>
      </w:r>
      <w:r w:rsidR="00602A2D" w:rsidRPr="005D22CC">
        <w:t>the</w:t>
      </w:r>
      <w:r w:rsidRPr="005D22CC">
        <w:t xml:space="preserve"> new policy, </w:t>
      </w:r>
      <w:r w:rsidR="00602A2D" w:rsidRPr="005D22CC">
        <w:t>‘</w:t>
      </w:r>
      <w:r w:rsidR="00036ED0" w:rsidRPr="005D22CC">
        <w:t>Policy d</w:t>
      </w:r>
      <w:r w:rsidR="00602A2D" w:rsidRPr="005D22CC">
        <w:t xml:space="preserve">evelopment </w:t>
      </w:r>
      <w:r w:rsidRPr="005D22CC">
        <w:t>costs</w:t>
      </w:r>
      <w:r w:rsidR="00602A2D" w:rsidRPr="005D22CC">
        <w:t>’</w:t>
      </w:r>
      <w:r w:rsidRPr="005D22CC">
        <w:t xml:space="preserve"> to C</w:t>
      </w:r>
      <w:r w:rsidR="00B7794E" w:rsidRPr="005D22CC">
        <w:t xml:space="preserve">entral </w:t>
      </w:r>
      <w:r w:rsidRPr="005D22CC">
        <w:t>G</w:t>
      </w:r>
      <w:r w:rsidR="00B7794E" w:rsidRPr="005D22CC">
        <w:t xml:space="preserve">overnment is estimated at </w:t>
      </w:r>
      <w:r w:rsidR="00B31155" w:rsidRPr="005D22CC">
        <w:t>$</w:t>
      </w:r>
      <w:r w:rsidR="005426E4" w:rsidRPr="005D22CC">
        <w:t>200</w:t>
      </w:r>
      <w:r w:rsidR="00CD4C4B" w:rsidRPr="005D22CC">
        <w:t>,000</w:t>
      </w:r>
      <w:r w:rsidR="00B31155" w:rsidRPr="005D22CC">
        <w:t xml:space="preserve">, spread equally over </w:t>
      </w:r>
      <w:r w:rsidR="005426E4" w:rsidRPr="005D22CC">
        <w:t xml:space="preserve">2 </w:t>
      </w:r>
      <w:r w:rsidR="00B31155" w:rsidRPr="005D22CC">
        <w:t>years</w:t>
      </w:r>
      <w:r w:rsidRPr="005D22CC">
        <w:t>.</w:t>
      </w:r>
      <w:r w:rsidR="00B7794E" w:rsidRPr="005D22CC">
        <w:t xml:space="preserve"> </w:t>
      </w:r>
      <w:r w:rsidRPr="005D22CC">
        <w:t xml:space="preserve"> </w:t>
      </w:r>
      <w:r w:rsidR="00B7794E" w:rsidRPr="005D22CC">
        <w:t>This is to cover th</w:t>
      </w:r>
      <w:r w:rsidR="00CD4C4B" w:rsidRPr="005D22CC">
        <w:t xml:space="preserve">e production of written guidance and policy workshops delivered by MfE staff.  </w:t>
      </w:r>
      <w:r w:rsidR="00B31155" w:rsidRPr="005D22CC">
        <w:t>Policy implementation is estimated at an additional $100,000</w:t>
      </w:r>
      <w:r w:rsidR="00E81E4C">
        <w:t xml:space="preserve"> for the year in which the policy is implemented</w:t>
      </w:r>
      <w:r w:rsidR="00B31155" w:rsidRPr="005D22CC">
        <w:t>.</w:t>
      </w:r>
    </w:p>
    <w:p w14:paraId="082AD5D1" w14:textId="77777777" w:rsidR="007241B7" w:rsidRPr="001E66EF" w:rsidRDefault="007241B7" w:rsidP="007241B7">
      <w:pPr>
        <w:pStyle w:val="Heading2"/>
        <w:rPr>
          <w:rFonts w:ascii="Calibri Light" w:hAnsi="Calibri Light"/>
        </w:rPr>
      </w:pPr>
      <w:bookmarkStart w:id="64" w:name="_Toc455044473"/>
      <w:bookmarkStart w:id="65" w:name="_Toc25569518"/>
      <w:r w:rsidRPr="001E66EF">
        <w:rPr>
          <w:rFonts w:ascii="Calibri Light" w:hAnsi="Calibri Light"/>
        </w:rPr>
        <w:lastRenderedPageBreak/>
        <w:t>Burden – Social Deprivation Index</w:t>
      </w:r>
      <w:bookmarkEnd w:id="64"/>
      <w:bookmarkEnd w:id="65"/>
    </w:p>
    <w:p w14:paraId="58C069BE" w14:textId="2CCDEA35" w:rsidR="00EF684E" w:rsidRDefault="00FC7E83" w:rsidP="004B10E3">
      <w:r w:rsidRPr="001E66EF">
        <w:t xml:space="preserve">When designing policy </w:t>
      </w:r>
      <w:r w:rsidR="00A86A26" w:rsidRPr="001E66EF">
        <w:t>any</w:t>
      </w:r>
      <w:r w:rsidRPr="001E66EF">
        <w:t xml:space="preserve"> unintended social impact </w:t>
      </w:r>
      <w:r w:rsidR="00D303EA" w:rsidRPr="001E66EF">
        <w:t>must</w:t>
      </w:r>
      <w:r w:rsidRPr="001E66EF">
        <w:t xml:space="preserve"> be carefully considered.  </w:t>
      </w:r>
      <w:r w:rsidR="00D303EA" w:rsidRPr="001E66EF">
        <w:t>To</w:t>
      </w:r>
      <w:r w:rsidRPr="001E66EF">
        <w:t xml:space="preserve"> </w:t>
      </w:r>
      <w:r w:rsidR="00C5676C" w:rsidRPr="001E66EF">
        <w:t xml:space="preserve">provide some context, </w:t>
      </w:r>
      <w:r w:rsidR="00843A61" w:rsidRPr="001E66EF">
        <w:t>we compare</w:t>
      </w:r>
      <w:r w:rsidR="00C5676C" w:rsidRPr="001E66EF">
        <w:t xml:space="preserve">d the </w:t>
      </w:r>
      <w:r w:rsidR="00843A61" w:rsidRPr="001E66EF">
        <w:t>private cost</w:t>
      </w:r>
      <w:r w:rsidR="00C5676C" w:rsidRPr="001E66EF">
        <w:t>s (in each airshed) with the social deprivation index (associated with the airshed).  This provides a broad indication of the households</w:t>
      </w:r>
      <w:r w:rsidR="00B0240D" w:rsidRPr="001E66EF">
        <w:t>’ ability to pay (</w:t>
      </w:r>
      <w:r w:rsidR="00C5676C" w:rsidRPr="001E66EF">
        <w:t xml:space="preserve">in </w:t>
      </w:r>
      <w:r w:rsidR="00B0240D" w:rsidRPr="001E66EF">
        <w:t xml:space="preserve">the </w:t>
      </w:r>
      <w:r w:rsidR="00C5676C" w:rsidRPr="001E66EF">
        <w:t>airshed</w:t>
      </w:r>
      <w:r w:rsidR="00B0240D" w:rsidRPr="001E66EF">
        <w:t>s).</w:t>
      </w:r>
      <w:r w:rsidR="00843A61" w:rsidRPr="001E66EF">
        <w:t xml:space="preserve"> </w:t>
      </w:r>
      <w:r w:rsidR="00B0240D" w:rsidRPr="001E66EF">
        <w:t xml:space="preserve"> </w:t>
      </w:r>
      <w:r w:rsidR="00843A61" w:rsidRPr="001E66EF">
        <w:t xml:space="preserve">This can be </w:t>
      </w:r>
      <w:r w:rsidR="00B0240D" w:rsidRPr="001E66EF">
        <w:t xml:space="preserve">interpreted as a policy’s cost burden </w:t>
      </w:r>
      <w:r w:rsidR="00865D60" w:rsidRPr="001E66EF">
        <w:t xml:space="preserve">on </w:t>
      </w:r>
      <w:r w:rsidR="000A4A04" w:rsidRPr="001E66EF">
        <w:t>households</w:t>
      </w:r>
      <w:r w:rsidR="00865D60" w:rsidRPr="001E66EF">
        <w:t xml:space="preserve"> </w:t>
      </w:r>
      <w:r w:rsidR="00843A61" w:rsidRPr="001E66EF">
        <w:t>(</w:t>
      </w:r>
      <w:r w:rsidR="00865D60" w:rsidRPr="001E66EF">
        <w:t xml:space="preserve">the </w:t>
      </w:r>
      <w:r w:rsidR="00843A61" w:rsidRPr="001E66EF">
        <w:t>bur</w:t>
      </w:r>
      <w:r w:rsidR="00492DD6" w:rsidRPr="001E66EF">
        <w:t xml:space="preserve">den of improving air quality).  </w:t>
      </w:r>
      <w:r w:rsidR="00843A61" w:rsidRPr="001E66EF">
        <w:t xml:space="preserve">By using the </w:t>
      </w:r>
      <w:r w:rsidR="00C72443" w:rsidRPr="001E66EF">
        <w:t xml:space="preserve">NZ Social Deprivation </w:t>
      </w:r>
      <w:r w:rsidR="00843A61" w:rsidRPr="001E66EF">
        <w:t>score</w:t>
      </w:r>
      <w:r w:rsidR="00C72443" w:rsidRPr="001E66EF">
        <w:t xml:space="preserve"> </w:t>
      </w:r>
      <w:r w:rsidR="00A86A26" w:rsidRPr="001E66EF">
        <w:t>as a proxy for ability to pay</w:t>
      </w:r>
      <w:r w:rsidR="00C72443" w:rsidRPr="001E66EF">
        <w:t xml:space="preserve"> (</w:t>
      </w:r>
      <w:r w:rsidR="002F71E1">
        <w:t>Atkinson et al., 2014</w:t>
      </w:r>
      <w:r w:rsidR="00C72443" w:rsidRPr="001E66EF">
        <w:t xml:space="preserve">) </w:t>
      </w:r>
      <w:r w:rsidR="00135AC8" w:rsidRPr="001E66EF">
        <w:t xml:space="preserve">we </w:t>
      </w:r>
      <w:r w:rsidR="00A86A26" w:rsidRPr="001E66EF">
        <w:t>aggregated</w:t>
      </w:r>
      <w:r w:rsidR="00135AC8" w:rsidRPr="001E66EF">
        <w:t xml:space="preserve"> </w:t>
      </w:r>
      <w:r w:rsidR="002F71E1">
        <w:t>m</w:t>
      </w:r>
      <w:r w:rsidR="00B0240D" w:rsidRPr="001E66EF">
        <w:t xml:space="preserve">eshblock level </w:t>
      </w:r>
      <w:r w:rsidR="00135AC8" w:rsidRPr="001E66EF">
        <w:t>population</w:t>
      </w:r>
      <w:r w:rsidR="00B0240D" w:rsidRPr="001E66EF">
        <w:t xml:space="preserve"> to airsheds</w:t>
      </w:r>
      <w:r w:rsidR="006642DA" w:rsidRPr="001E66EF">
        <w:t xml:space="preserve">.  </w:t>
      </w:r>
    </w:p>
    <w:p w14:paraId="6E59741C" w14:textId="0C46FB7C" w:rsidR="00C72443" w:rsidRPr="001E66EF" w:rsidRDefault="00C46F09" w:rsidP="0089077B">
      <w:pPr>
        <w:spacing w:after="200" w:line="276" w:lineRule="auto"/>
        <w:ind w:left="992"/>
      </w:pPr>
      <w:r>
        <w:fldChar w:fldCharType="begin"/>
      </w:r>
      <w:r>
        <w:instrText xml:space="preserve"> REF _Ref485034629 \h </w:instrText>
      </w:r>
      <w:r>
        <w:fldChar w:fldCharType="separate"/>
      </w:r>
      <w:r w:rsidR="00FD114C" w:rsidRPr="001E66EF">
        <w:t xml:space="preserve">Appendix </w:t>
      </w:r>
      <w:r w:rsidR="00FD114C">
        <w:rPr>
          <w:noProof/>
        </w:rPr>
        <w:t>4</w:t>
      </w:r>
      <w:r>
        <w:fldChar w:fldCharType="end"/>
      </w:r>
      <w:r>
        <w:t xml:space="preserve"> </w:t>
      </w:r>
      <w:r w:rsidR="006642DA" w:rsidRPr="001E66EF">
        <w:t>lists the deprivation</w:t>
      </w:r>
      <w:r w:rsidR="0079289C" w:rsidRPr="001E66EF">
        <w:t xml:space="preserve"> indices across the airsheds and provides some background information around how they are calculated.</w:t>
      </w:r>
    </w:p>
    <w:p w14:paraId="6AB666C7" w14:textId="326D2793" w:rsidR="004D3E59" w:rsidRPr="0032010F" w:rsidRDefault="0079289C" w:rsidP="008C30EB">
      <w:r w:rsidRPr="0032010F">
        <w:t xml:space="preserve">As part of the assessment, we estimated the </w:t>
      </w:r>
      <w:r w:rsidR="00A86A26" w:rsidRPr="0032010F">
        <w:t>p</w:t>
      </w:r>
      <w:r w:rsidR="00E42660" w:rsidRPr="0032010F">
        <w:t>rivate cost</w:t>
      </w:r>
      <w:r w:rsidR="00A86A26" w:rsidRPr="0032010F">
        <w:t>s</w:t>
      </w:r>
      <w:r w:rsidR="0024689C" w:rsidRPr="0032010F">
        <w:t xml:space="preserve"> per capita</w:t>
      </w:r>
      <w:r w:rsidR="0032010F" w:rsidRPr="0032010F">
        <w:rPr>
          <w:rStyle w:val="FootnoteReference"/>
        </w:rPr>
        <w:footnoteReference w:id="25"/>
      </w:r>
      <w:r w:rsidR="0024689C" w:rsidRPr="0032010F">
        <w:t xml:space="preserve"> as well as b</w:t>
      </w:r>
      <w:r w:rsidR="00E42660" w:rsidRPr="0032010F">
        <w:t>enefits per capita</w:t>
      </w:r>
      <w:r w:rsidR="0032010F" w:rsidRPr="0032010F">
        <w:rPr>
          <w:rStyle w:val="FootnoteReference"/>
        </w:rPr>
        <w:footnoteReference w:id="26"/>
      </w:r>
      <w:r w:rsidR="00E42660" w:rsidRPr="0032010F">
        <w:t>.  It is important to note that</w:t>
      </w:r>
      <w:r w:rsidR="008C30EB" w:rsidRPr="0032010F">
        <w:t xml:space="preserve"> in areas where </w:t>
      </w:r>
      <w:r w:rsidR="007707D6" w:rsidRPr="0032010F">
        <w:t xml:space="preserve">policies have a high net cost per capita, </w:t>
      </w:r>
      <w:r w:rsidR="008C30EB" w:rsidRPr="0032010F">
        <w:t>and there is</w:t>
      </w:r>
      <w:r w:rsidR="007707D6" w:rsidRPr="00B80882">
        <w:t xml:space="preserve"> also a</w:t>
      </w:r>
      <w:r w:rsidR="008C30EB" w:rsidRPr="00B80882">
        <w:t xml:space="preserve"> high level of deprivation, a change in </w:t>
      </w:r>
      <w:r w:rsidR="00900541" w:rsidRPr="001C0646">
        <w:rPr>
          <w:rFonts w:cstheme="minorHAnsi"/>
          <w:lang w:eastAsia="en-GB"/>
        </w:rPr>
        <w:t>NESAQ</w:t>
      </w:r>
      <w:r w:rsidR="008C30EB" w:rsidRPr="001C0646">
        <w:t xml:space="preserve"> </w:t>
      </w:r>
      <w:r w:rsidRPr="001C0646">
        <w:t xml:space="preserve">could pose issues </w:t>
      </w:r>
      <w:r w:rsidR="001F3F02" w:rsidRPr="007D495E">
        <w:t>for policy makers</w:t>
      </w:r>
      <w:r w:rsidR="008C30EB" w:rsidRPr="007D495E">
        <w:t>, as the unintended so</w:t>
      </w:r>
      <w:r w:rsidR="008C30EB" w:rsidRPr="00D260F8">
        <w:t xml:space="preserve">cial costs </w:t>
      </w:r>
      <w:r w:rsidR="00A86A26" w:rsidRPr="00D260F8">
        <w:t xml:space="preserve">(not quantified here) </w:t>
      </w:r>
      <w:r w:rsidR="008C30EB" w:rsidRPr="00D260F8">
        <w:t xml:space="preserve">could diminish the net benefits received from improved </w:t>
      </w:r>
      <w:r w:rsidR="0032010F" w:rsidRPr="0032010F">
        <w:t>air quality</w:t>
      </w:r>
      <w:r w:rsidR="008C30EB" w:rsidRPr="0032010F">
        <w:t xml:space="preserve">.  </w:t>
      </w:r>
      <w:r w:rsidR="008956BB" w:rsidRPr="0032010F">
        <w:t xml:space="preserve">For example, if households cannot afford to change the burners but they still remove them, then those households are likely to run into ‘cold home’ issues.  </w:t>
      </w:r>
    </w:p>
    <w:p w14:paraId="537A6FBE" w14:textId="208FE2E7" w:rsidR="00FA0F21" w:rsidRPr="001E66EF" w:rsidRDefault="008956BB" w:rsidP="00036325">
      <w:r w:rsidRPr="00B80882">
        <w:t>Our analysis runs at an airshed level and reports the results at this level.  It is not possible to assess the impacts at a</w:t>
      </w:r>
      <w:r w:rsidRPr="001C0646">
        <w:t>n individual household le</w:t>
      </w:r>
      <w:r w:rsidR="00036325" w:rsidRPr="001C0646">
        <w:t xml:space="preserve">vel.  </w:t>
      </w:r>
      <w:r w:rsidR="00FA0F21" w:rsidRPr="001C0646">
        <w:t xml:space="preserve">Aggregate assessment can </w:t>
      </w:r>
      <w:r w:rsidR="00036325" w:rsidRPr="007D495E">
        <w:t xml:space="preserve">only </w:t>
      </w:r>
      <w:r w:rsidR="00FA0F21" w:rsidRPr="007D495E">
        <w:t xml:space="preserve">guide policy </w:t>
      </w:r>
      <w:r w:rsidR="002F71E1" w:rsidRPr="007D495E">
        <w:t>makers,</w:t>
      </w:r>
      <w:r w:rsidR="00FA0F21" w:rsidRPr="007D495E">
        <w:t xml:space="preserve"> but </w:t>
      </w:r>
      <w:r w:rsidR="00036325" w:rsidRPr="00D260F8">
        <w:t>it would not show the finer, on the ground effects that some individual households might face.</w:t>
      </w:r>
      <w:r w:rsidR="00036325" w:rsidRPr="001E66EF">
        <w:t xml:space="preserve">  </w:t>
      </w:r>
    </w:p>
    <w:p w14:paraId="7833CCAD" w14:textId="77777777" w:rsidR="00285247" w:rsidRPr="001E66EF" w:rsidRDefault="00285247" w:rsidP="00285247">
      <w:pPr>
        <w:pStyle w:val="Heading1"/>
        <w:rPr>
          <w:rFonts w:ascii="Calibri Light" w:hAnsi="Calibri Light"/>
        </w:rPr>
      </w:pPr>
      <w:bookmarkStart w:id="66" w:name="_Toc455044460"/>
      <w:bookmarkStart w:id="67" w:name="_Toc25569519"/>
      <w:bookmarkStart w:id="68" w:name="_Toc455044474"/>
      <w:r w:rsidRPr="001E66EF">
        <w:rPr>
          <w:rFonts w:ascii="Calibri Light" w:hAnsi="Calibri Light"/>
        </w:rPr>
        <w:lastRenderedPageBreak/>
        <w:t>Policy options</w:t>
      </w:r>
      <w:bookmarkEnd w:id="66"/>
      <w:bookmarkEnd w:id="67"/>
    </w:p>
    <w:p w14:paraId="763FF857" w14:textId="14D01719" w:rsidR="00285247" w:rsidRPr="001E66EF" w:rsidRDefault="00285247" w:rsidP="00640E4A">
      <w:r w:rsidRPr="001E66EF">
        <w:t xml:space="preserve">In this Section, the details of the Status Quo, or </w:t>
      </w:r>
      <w:r w:rsidRPr="001E66EF">
        <w:rPr>
          <w:i/>
        </w:rPr>
        <w:t>no change</w:t>
      </w:r>
      <w:r w:rsidRPr="001E66EF">
        <w:t xml:space="preserve"> option </w:t>
      </w:r>
      <w:r w:rsidR="003D61EE">
        <w:t>are</w:t>
      </w:r>
      <w:r w:rsidRPr="001E66EF">
        <w:t xml:space="preserve"> outlined, followed by</w:t>
      </w:r>
      <w:r w:rsidR="0027572A">
        <w:t xml:space="preserve"> details of</w:t>
      </w:r>
      <w:r w:rsidRPr="001E66EF">
        <w:t xml:space="preserve"> the </w:t>
      </w:r>
      <w:r w:rsidR="001B0607">
        <w:t>proposed policy option.</w:t>
      </w:r>
      <w:r w:rsidRPr="001E66EF">
        <w:t xml:space="preserve">  </w:t>
      </w:r>
      <w:r w:rsidR="00BE023F" w:rsidRPr="001E66EF">
        <w:t xml:space="preserve">  </w:t>
      </w:r>
    </w:p>
    <w:p w14:paraId="0F27063D" w14:textId="77777777" w:rsidR="00285247" w:rsidRPr="001E66EF" w:rsidRDefault="00285247" w:rsidP="00285247">
      <w:pPr>
        <w:pStyle w:val="Heading2"/>
        <w:rPr>
          <w:rFonts w:ascii="Calibri Light" w:hAnsi="Calibri Light"/>
        </w:rPr>
      </w:pPr>
      <w:bookmarkStart w:id="69" w:name="_Toc455044462"/>
      <w:bookmarkStart w:id="70" w:name="_Toc25569520"/>
      <w:bookmarkStart w:id="71" w:name="_Ref454532373"/>
      <w:bookmarkStart w:id="72" w:name="_Toc455044461"/>
      <w:r w:rsidRPr="001E66EF">
        <w:rPr>
          <w:rFonts w:ascii="Calibri Light" w:hAnsi="Calibri Light"/>
        </w:rPr>
        <w:t>Status Quo</w:t>
      </w:r>
      <w:bookmarkEnd w:id="69"/>
      <w:bookmarkEnd w:id="70"/>
    </w:p>
    <w:p w14:paraId="67270389" w14:textId="5E69341B" w:rsidR="00285247" w:rsidRPr="001E66EF" w:rsidRDefault="00285247" w:rsidP="00CD6350">
      <w:pPr>
        <w:spacing w:before="120" w:after="0" w:line="240" w:lineRule="auto"/>
      </w:pPr>
      <w:r w:rsidRPr="001E66EF">
        <w:t xml:space="preserve">The current </w:t>
      </w:r>
      <w:r w:rsidRPr="001E66EF">
        <w:rPr>
          <w:rFonts w:cstheme="minorHAnsi"/>
          <w:lang w:eastAsia="en-GB"/>
        </w:rPr>
        <w:t>NESAQ</w:t>
      </w:r>
      <w:r w:rsidRPr="001E66EF">
        <w:t xml:space="preserve"> </w:t>
      </w:r>
      <w:r w:rsidR="00893EDC">
        <w:t>consist of</w:t>
      </w:r>
      <w:r w:rsidRPr="001E66EF">
        <w:t xml:space="preserve"> regulations outlined in section 43 of the Resource Managem</w:t>
      </w:r>
      <w:r w:rsidR="00893EDC">
        <w:t xml:space="preserve">ent Act 1991 (RMA), and </w:t>
      </w:r>
      <w:r w:rsidR="00B834CF">
        <w:t xml:space="preserve">those related to home heating </w:t>
      </w:r>
      <w:r w:rsidR="00893EDC">
        <w:t>include</w:t>
      </w:r>
      <w:r w:rsidRPr="001E66EF">
        <w:t xml:space="preserve">: </w:t>
      </w:r>
    </w:p>
    <w:p w14:paraId="5EBF9382" w14:textId="3928A09D" w:rsidR="00285247" w:rsidRPr="001E66EF" w:rsidRDefault="00285247" w:rsidP="00196BC2">
      <w:pPr>
        <w:pStyle w:val="MEBullet"/>
        <w:spacing w:before="120" w:after="0" w:line="240" w:lineRule="auto"/>
        <w:ind w:hanging="717"/>
        <w:rPr>
          <w:shd w:val="clear" w:color="auto" w:fill="FFFFFF"/>
        </w:rPr>
      </w:pPr>
      <w:r w:rsidRPr="001E66EF">
        <w:t>standards set for ambient (outdoor) air quality – the current PM</w:t>
      </w:r>
      <w:r w:rsidRPr="001E66EF">
        <w:rPr>
          <w:vertAlign w:val="subscript"/>
        </w:rPr>
        <w:t>10</w:t>
      </w:r>
      <w:r w:rsidRPr="001E66EF">
        <w:t xml:space="preserve"> ambient air quality standard is a PM</w:t>
      </w:r>
      <w:r w:rsidRPr="001E66EF">
        <w:rPr>
          <w:vertAlign w:val="subscript"/>
        </w:rPr>
        <w:t>10</w:t>
      </w:r>
      <w:r w:rsidRPr="001E66EF">
        <w:t xml:space="preserve"> daily average of 50 ug/m</w:t>
      </w:r>
      <w:r w:rsidRPr="001E66EF">
        <w:rPr>
          <w:vertAlign w:val="superscript"/>
        </w:rPr>
        <w:t>3</w:t>
      </w:r>
      <w:r w:rsidRPr="001E66EF">
        <w:t xml:space="preserve">, </w:t>
      </w:r>
      <w:r w:rsidR="00B834CF">
        <w:t>and</w:t>
      </w:r>
    </w:p>
    <w:p w14:paraId="4357EA1B" w14:textId="267ABCC4" w:rsidR="00285247" w:rsidRPr="001E66EF" w:rsidRDefault="0027572A" w:rsidP="0027572A">
      <w:pPr>
        <w:pStyle w:val="MEBullet"/>
        <w:spacing w:before="120" w:after="120" w:line="240" w:lineRule="auto"/>
        <w:ind w:left="1706" w:hanging="714"/>
        <w:rPr>
          <w:shd w:val="clear" w:color="auto" w:fill="FFFFFF"/>
        </w:rPr>
      </w:pPr>
      <w:r>
        <w:t xml:space="preserve">emission limits set on </w:t>
      </w:r>
      <w:r w:rsidR="00285247" w:rsidRPr="001E66EF">
        <w:t>wood burners installed on properties less than 2ha in area</w:t>
      </w:r>
      <w:r w:rsidR="00CD6350">
        <w:t>.</w:t>
      </w:r>
    </w:p>
    <w:p w14:paraId="513A8F87" w14:textId="7942EB31" w:rsidR="00285247" w:rsidRPr="0027572A" w:rsidRDefault="00285247" w:rsidP="0027572A">
      <w:r w:rsidRPr="0027572A">
        <w:t xml:space="preserve">MfE views design standards for wood burners as fundamental to improving ambient (outdoor) air quality in urban areas of New Zealand. </w:t>
      </w:r>
      <w:r w:rsidR="001C13A0" w:rsidRPr="0027572A">
        <w:t xml:space="preserve"> </w:t>
      </w:r>
      <w:r w:rsidRPr="0027572A">
        <w:t>The NESAQ</w:t>
      </w:r>
      <w:r w:rsidR="00893EDC" w:rsidRPr="0027572A">
        <w:t xml:space="preserve"> currently require</w:t>
      </w:r>
      <w:r w:rsidRPr="0027572A">
        <w:t xml:space="preserve"> that all wood burners installed on properties less than 2 hectares, have a discharge of less than 1.5 grams of PM10 for each kilogram of dry wood burnt, and a thermal efficiency of at least 65 per cent. </w:t>
      </w:r>
    </w:p>
    <w:p w14:paraId="4EA100D7" w14:textId="77777777" w:rsidR="00285247" w:rsidRPr="001E66EF" w:rsidRDefault="00285247" w:rsidP="00285247">
      <w:r w:rsidRPr="001E66EF">
        <w:t>However, regional and local councils can enforce more stringent rules in an effort to improve air quality, such is the case in Christchurch and Nelson for example.</w:t>
      </w:r>
    </w:p>
    <w:p w14:paraId="7C87A698" w14:textId="0FE7BA4F" w:rsidR="00E745C1" w:rsidRDefault="00A6497D" w:rsidP="00E745C1">
      <w:pPr>
        <w:pStyle w:val="Heading2"/>
        <w:rPr>
          <w:rFonts w:ascii="Calibri Light" w:hAnsi="Calibri Light"/>
        </w:rPr>
      </w:pPr>
      <w:bookmarkStart w:id="73" w:name="_Toc25569521"/>
      <w:bookmarkEnd w:id="71"/>
      <w:bookmarkEnd w:id="72"/>
      <w:r>
        <w:rPr>
          <w:rFonts w:ascii="Calibri Light" w:hAnsi="Calibri Light"/>
        </w:rPr>
        <w:t>Preferred</w:t>
      </w:r>
      <w:r w:rsidR="00E745C1">
        <w:rPr>
          <w:rFonts w:ascii="Calibri Light" w:hAnsi="Calibri Light"/>
        </w:rPr>
        <w:t xml:space="preserve"> Policy</w:t>
      </w:r>
      <w:bookmarkEnd w:id="73"/>
    </w:p>
    <w:p w14:paraId="7B0F1199" w14:textId="1F068708" w:rsidR="00E745C1" w:rsidRDefault="00E745C1" w:rsidP="00E745C1">
      <w:r w:rsidRPr="001E66EF">
        <w:t xml:space="preserve">This policy requires councils to </w:t>
      </w:r>
      <w:r>
        <w:t xml:space="preserve">regulate the heating appliances households can install when their current burner comes to the end of its life. </w:t>
      </w:r>
      <w:r w:rsidRPr="001E66EF">
        <w:t xml:space="preserve"> Existing regional rules are allowed to remain in force (if they support or strengthen the</w:t>
      </w:r>
      <w:r>
        <w:t xml:space="preserve"> new rules</w:t>
      </w:r>
      <w:r w:rsidRPr="001E66EF">
        <w:t>).</w:t>
      </w:r>
      <w:r>
        <w:t xml:space="preserve">  The main components of the proposed policy relevant to this assessment</w:t>
      </w:r>
      <w:r w:rsidR="0027572A">
        <w:t>,</w:t>
      </w:r>
      <w:r>
        <w:t xml:space="preserve"> are as follows:</w:t>
      </w:r>
    </w:p>
    <w:p w14:paraId="0C230881" w14:textId="77777777" w:rsidR="00E745C1" w:rsidRDefault="00E745C1" w:rsidP="00E745C1">
      <w:pPr>
        <w:spacing w:after="0"/>
        <w:ind w:left="1440" w:hanging="448"/>
      </w:pPr>
      <w:r>
        <w:t>1.</w:t>
      </w:r>
      <w:r>
        <w:tab/>
        <w:t>Ambient air quality standards for both short-term and long-term PM</w:t>
      </w:r>
      <w:r w:rsidRPr="00C419B9">
        <w:rPr>
          <w:vertAlign w:val="subscript"/>
        </w:rPr>
        <w:t>2.5</w:t>
      </w:r>
      <w:r>
        <w:t xml:space="preserve"> threshold concentrations. </w:t>
      </w:r>
    </w:p>
    <w:p w14:paraId="370A0253" w14:textId="77777777" w:rsidR="00E745C1" w:rsidRDefault="00E745C1" w:rsidP="0027572A">
      <w:pPr>
        <w:pStyle w:val="MEBullet"/>
        <w:spacing w:before="120" w:after="0" w:line="240" w:lineRule="auto"/>
        <w:ind w:left="1985" w:hanging="567"/>
      </w:pPr>
      <w:r>
        <w:t>Daily PM</w:t>
      </w:r>
      <w:r w:rsidRPr="00353018">
        <w:rPr>
          <w:vertAlign w:val="subscript"/>
        </w:rPr>
        <w:t>2.5</w:t>
      </w:r>
      <w:r>
        <w:t xml:space="preserve"> limit at 25µg/m</w:t>
      </w:r>
      <w:r w:rsidRPr="00353018">
        <w:rPr>
          <w:vertAlign w:val="superscript"/>
        </w:rPr>
        <w:t>3</w:t>
      </w:r>
      <w:r>
        <w:t xml:space="preserve"> </w:t>
      </w:r>
    </w:p>
    <w:p w14:paraId="1607EC3E" w14:textId="0BC1A5E9" w:rsidR="00E745C1" w:rsidRDefault="0027572A" w:rsidP="0027572A">
      <w:pPr>
        <w:pStyle w:val="MEBullet"/>
        <w:spacing w:before="120" w:after="0" w:line="240" w:lineRule="auto"/>
        <w:ind w:left="1985" w:hanging="567"/>
      </w:pPr>
      <w:r>
        <w:t>A</w:t>
      </w:r>
      <w:r w:rsidR="00E745C1">
        <w:t>nnual PM</w:t>
      </w:r>
      <w:r w:rsidR="00E745C1" w:rsidRPr="00353018">
        <w:rPr>
          <w:vertAlign w:val="subscript"/>
        </w:rPr>
        <w:t>2.5</w:t>
      </w:r>
      <w:r w:rsidR="00E745C1">
        <w:t xml:space="preserve"> limit at 10µg/m</w:t>
      </w:r>
      <w:r w:rsidR="00E745C1" w:rsidRPr="00353018">
        <w:rPr>
          <w:vertAlign w:val="superscript"/>
        </w:rPr>
        <w:t>3</w:t>
      </w:r>
      <w:r w:rsidR="00E745C1">
        <w:t xml:space="preserve">. </w:t>
      </w:r>
    </w:p>
    <w:p w14:paraId="48FEC1F1" w14:textId="77777777" w:rsidR="00E745C1" w:rsidRPr="001E66EF" w:rsidRDefault="00E745C1" w:rsidP="0027572A">
      <w:pPr>
        <w:pStyle w:val="MEBullet"/>
        <w:spacing w:before="120" w:after="120" w:line="240" w:lineRule="auto"/>
        <w:ind w:left="1985" w:hanging="567"/>
        <w:rPr>
          <w:lang w:eastAsia="en-NZ"/>
        </w:rPr>
      </w:pPr>
      <w:r>
        <w:t>The daily PM</w:t>
      </w:r>
      <w:r w:rsidRPr="00353018">
        <w:rPr>
          <w:vertAlign w:val="subscript"/>
        </w:rPr>
        <w:t>2.5</w:t>
      </w:r>
      <w:r>
        <w:t xml:space="preserve"> standards are to have the same provisions within the regulations as the existing PM</w:t>
      </w:r>
      <w:r w:rsidRPr="00353018">
        <w:rPr>
          <w:vertAlign w:val="subscript"/>
        </w:rPr>
        <w:t>10</w:t>
      </w:r>
      <w:r>
        <w:t xml:space="preserve"> regulations</w:t>
      </w:r>
      <w:r>
        <w:rPr>
          <w:rStyle w:val="FootnoteReference"/>
        </w:rPr>
        <w:footnoteReference w:id="27"/>
      </w:r>
      <w:r>
        <w:t xml:space="preserve"> </w:t>
      </w:r>
      <w:r w:rsidRPr="001E66EF">
        <w:t xml:space="preserve">  </w:t>
      </w:r>
    </w:p>
    <w:p w14:paraId="706315F6" w14:textId="77777777" w:rsidR="00E745C1" w:rsidRDefault="00E745C1" w:rsidP="00E745C1">
      <w:pPr>
        <w:ind w:left="1350" w:hanging="358"/>
      </w:pPr>
      <w:r>
        <w:t>2.</w:t>
      </w:r>
      <w:r>
        <w:tab/>
        <w:t>An airshed will be classified as ‘polluted’ if t</w:t>
      </w:r>
      <w:r w:rsidRPr="003A233C">
        <w:t>here has been an exceedance of either the daily or the annual PM</w:t>
      </w:r>
      <w:r w:rsidRPr="003A233C">
        <w:rPr>
          <w:vertAlign w:val="subscript"/>
        </w:rPr>
        <w:t>2.5</w:t>
      </w:r>
      <w:r w:rsidRPr="003A233C">
        <w:t xml:space="preserve"> standard within the previous five years</w:t>
      </w:r>
      <w:r>
        <w:t>.  Further, the airshed’s current</w:t>
      </w:r>
      <w:r w:rsidRPr="003A233C">
        <w:t xml:space="preserve"> status existing under the NES PM</w:t>
      </w:r>
      <w:r w:rsidRPr="003A233C">
        <w:rPr>
          <w:vertAlign w:val="subscript"/>
        </w:rPr>
        <w:t>10</w:t>
      </w:r>
      <w:r w:rsidRPr="003A233C">
        <w:t xml:space="preserve"> standard will remain in place for the required 5 years, unless strong evidence can be provided by the council to have polluted status removed.</w:t>
      </w:r>
    </w:p>
    <w:p w14:paraId="244E6F49" w14:textId="67112305" w:rsidR="00E745C1" w:rsidRDefault="00E745C1" w:rsidP="00E745C1">
      <w:pPr>
        <w:ind w:left="1341" w:hanging="351"/>
        <w:rPr>
          <w:shd w:val="clear" w:color="auto" w:fill="FFFFFF"/>
        </w:rPr>
      </w:pPr>
      <w:r>
        <w:lastRenderedPageBreak/>
        <w:t>3.</w:t>
      </w:r>
      <w:r>
        <w:tab/>
      </w:r>
      <w:r w:rsidRPr="001E66EF">
        <w:rPr>
          <w:shd w:val="clear" w:color="auto" w:fill="FFFFFF"/>
        </w:rPr>
        <w:t xml:space="preserve">The </w:t>
      </w:r>
      <w:r>
        <w:rPr>
          <w:rFonts w:cstheme="minorHAnsi"/>
          <w:lang w:eastAsia="en-GB"/>
        </w:rPr>
        <w:t>NES</w:t>
      </w:r>
      <w:r w:rsidR="0027572A">
        <w:rPr>
          <w:rFonts w:cstheme="minorHAnsi"/>
          <w:lang w:eastAsia="en-GB"/>
        </w:rPr>
        <w:t>AQ</w:t>
      </w:r>
      <w:r>
        <w:rPr>
          <w:rFonts w:cstheme="minorHAnsi"/>
          <w:lang w:eastAsia="en-GB"/>
        </w:rPr>
        <w:t xml:space="preserve"> will</w:t>
      </w:r>
      <w:r>
        <w:rPr>
          <w:shd w:val="clear" w:color="auto" w:fill="FFFFFF"/>
        </w:rPr>
        <w:t xml:space="preserve"> require</w:t>
      </w:r>
      <w:r w:rsidRPr="001E66EF">
        <w:rPr>
          <w:shd w:val="clear" w:color="auto" w:fill="FFFFFF"/>
        </w:rPr>
        <w:t xml:space="preserve"> that all wood burners installed on properties </w:t>
      </w:r>
      <w:r>
        <w:rPr>
          <w:shd w:val="clear" w:color="auto" w:fill="FFFFFF"/>
        </w:rPr>
        <w:t>smaller</w:t>
      </w:r>
      <w:r w:rsidRPr="001E66EF">
        <w:rPr>
          <w:shd w:val="clear" w:color="auto" w:fill="FFFFFF"/>
        </w:rPr>
        <w:t xml:space="preserve"> than 2 hectares, have a discharge of less than 1.</w:t>
      </w:r>
      <w:r>
        <w:rPr>
          <w:shd w:val="clear" w:color="auto" w:fill="FFFFFF"/>
        </w:rPr>
        <w:t>0</w:t>
      </w:r>
      <w:r w:rsidRPr="001E66EF">
        <w:rPr>
          <w:shd w:val="clear" w:color="auto" w:fill="FFFFFF"/>
        </w:rPr>
        <w:t xml:space="preserve"> grams of </w:t>
      </w:r>
      <w:r w:rsidRPr="00E23DF0">
        <w:rPr>
          <w:shd w:val="clear" w:color="auto" w:fill="FFFFFF"/>
        </w:rPr>
        <w:t>particles per kilogram</w:t>
      </w:r>
      <w:r w:rsidRPr="001E66EF">
        <w:rPr>
          <w:shd w:val="clear" w:color="auto" w:fill="FFFFFF"/>
        </w:rPr>
        <w:t xml:space="preserve"> of dry wood burnt, and a thermal efficiency of at least 65 per cent. </w:t>
      </w:r>
    </w:p>
    <w:p w14:paraId="5F7A7E94" w14:textId="77777777" w:rsidR="00E745C1" w:rsidRDefault="00E745C1" w:rsidP="00E745C1">
      <w:pPr>
        <w:ind w:left="1341" w:hanging="351"/>
        <w:rPr>
          <w:lang w:eastAsia="en-NZ"/>
        </w:rPr>
      </w:pPr>
      <w:r>
        <w:rPr>
          <w:shd w:val="clear" w:color="auto" w:fill="FFFFFF"/>
        </w:rPr>
        <w:t>4.</w:t>
      </w:r>
      <w:r>
        <w:rPr>
          <w:shd w:val="clear" w:color="auto" w:fill="FFFFFF"/>
        </w:rPr>
        <w:tab/>
        <w:t>A</w:t>
      </w:r>
      <w:r>
        <w:rPr>
          <w:lang w:eastAsia="en-NZ"/>
        </w:rPr>
        <w:t xml:space="preserve">ll types of new domestic solid fuel burners are included under the wood burner standards for emissions limits and thermal efficiency (i.e. coal burners, multi-fuel burners, pellet burners, open fires, cookers, water boilers, etc.). </w:t>
      </w:r>
    </w:p>
    <w:p w14:paraId="2A1A2198" w14:textId="77777777" w:rsidR="0027572A" w:rsidRDefault="00E745C1" w:rsidP="0027572A">
      <w:pPr>
        <w:ind w:left="1341" w:hanging="351"/>
        <w:rPr>
          <w:shd w:val="clear" w:color="auto" w:fill="FFFFFF"/>
        </w:rPr>
      </w:pPr>
      <w:r>
        <w:rPr>
          <w:shd w:val="clear" w:color="auto" w:fill="FFFFFF"/>
        </w:rPr>
        <w:t>5.</w:t>
      </w:r>
      <w:r>
        <w:rPr>
          <w:shd w:val="clear" w:color="auto" w:fill="FFFFFF"/>
        </w:rPr>
        <w:tab/>
      </w:r>
      <w:r w:rsidRPr="00E745C1">
        <w:rPr>
          <w:shd w:val="clear" w:color="auto" w:fill="FFFFFF"/>
        </w:rPr>
        <w:t>Local rules already in place may continue where they are ‘stricter’ than the national rule or standard, and new rules may be established by councils.</w:t>
      </w:r>
      <w:bookmarkStart w:id="74" w:name="_Toc454983319"/>
      <w:bookmarkStart w:id="75" w:name="_Toc455040686"/>
      <w:bookmarkStart w:id="76" w:name="_Toc455044465"/>
      <w:bookmarkStart w:id="77" w:name="_Toc25569522"/>
      <w:bookmarkEnd w:id="74"/>
      <w:bookmarkEnd w:id="75"/>
      <w:bookmarkEnd w:id="76"/>
    </w:p>
    <w:p w14:paraId="63073C24" w14:textId="0276FED0" w:rsidR="0079282C" w:rsidRPr="001E66EF" w:rsidRDefault="0079282C" w:rsidP="0027572A">
      <w:pPr>
        <w:pStyle w:val="Heading1"/>
      </w:pPr>
      <w:r w:rsidRPr="001E66EF">
        <w:lastRenderedPageBreak/>
        <w:t>Key findings/results</w:t>
      </w:r>
      <w:bookmarkEnd w:id="68"/>
      <w:bookmarkEnd w:id="77"/>
    </w:p>
    <w:p w14:paraId="279B2B10" w14:textId="4C666450" w:rsidR="0079282C" w:rsidRPr="001E66EF" w:rsidRDefault="0024689C" w:rsidP="00640E4A">
      <w:r w:rsidRPr="001E66EF">
        <w:t>In this section we</w:t>
      </w:r>
      <w:r w:rsidR="00D736AB" w:rsidRPr="001E66EF">
        <w:t xml:space="preserve"> re</w:t>
      </w:r>
      <w:r w:rsidR="004537E7" w:rsidRPr="001E66EF">
        <w:t>port on the key findings</w:t>
      </w:r>
      <w:r w:rsidR="0070547F" w:rsidRPr="001E66EF">
        <w:t>,</w:t>
      </w:r>
      <w:r w:rsidR="004537E7" w:rsidRPr="001E66EF">
        <w:t xml:space="preserve"> focusing </w:t>
      </w:r>
      <w:r w:rsidR="00D736AB" w:rsidRPr="001E66EF">
        <w:t>at a national level</w:t>
      </w:r>
      <w:r w:rsidR="004537E7" w:rsidRPr="001E66EF">
        <w:t xml:space="preserve">.  Given that there are close to a 100 airsheds, </w:t>
      </w:r>
      <w:r w:rsidR="0070547F" w:rsidRPr="001E66EF">
        <w:t>we did not</w:t>
      </w:r>
      <w:r w:rsidR="004537E7" w:rsidRPr="001E66EF">
        <w:t xml:space="preserve"> prepare a full write up of the</w:t>
      </w:r>
      <w:r w:rsidR="003F48EB" w:rsidRPr="001E66EF">
        <w:t xml:space="preserve"> effects at an airshed level.  Summary figures showing some of the effects at an airshed level are included. </w:t>
      </w:r>
      <w:r w:rsidR="004537E7" w:rsidRPr="001E66EF">
        <w:t xml:space="preserve"> </w:t>
      </w:r>
      <w:r w:rsidR="0076679E" w:rsidRPr="001E66EF">
        <w:t xml:space="preserve">We report on the total cost and total benefits.  </w:t>
      </w:r>
      <w:r w:rsidR="00D736AB" w:rsidRPr="001E66EF">
        <w:t xml:space="preserve">Total costs are made up of private costs and public costs, and benefits </w:t>
      </w:r>
      <w:r w:rsidR="0070547F" w:rsidRPr="001E66EF">
        <w:t xml:space="preserve">are </w:t>
      </w:r>
      <w:r w:rsidR="00D736AB" w:rsidRPr="001E66EF">
        <w:t xml:space="preserve">mainly represented by avoided health costs.  </w:t>
      </w:r>
    </w:p>
    <w:p w14:paraId="7072041C" w14:textId="77777777" w:rsidR="00012A42" w:rsidRPr="001E66EF" w:rsidRDefault="00012A42" w:rsidP="00321CC7">
      <w:pPr>
        <w:pStyle w:val="Heading2"/>
      </w:pPr>
      <w:bookmarkStart w:id="78" w:name="_Toc25569523"/>
      <w:bookmarkStart w:id="79" w:name="_Toc455044475"/>
      <w:r w:rsidRPr="001E66EF">
        <w:t>Overall Result – CBR</w:t>
      </w:r>
      <w:bookmarkEnd w:id="78"/>
    </w:p>
    <w:p w14:paraId="61149BCF" w14:textId="30A54957" w:rsidR="00012A42" w:rsidRPr="001E66EF" w:rsidRDefault="000914AD" w:rsidP="00012A42">
      <w:r w:rsidRPr="000914AD">
        <w:fldChar w:fldCharType="begin"/>
      </w:r>
      <w:r w:rsidRPr="000914AD">
        <w:instrText xml:space="preserve"> REF _Ref25569351 \h  \* MERGEFORMAT </w:instrText>
      </w:r>
      <w:r w:rsidRPr="000914AD">
        <w:fldChar w:fldCharType="separate"/>
      </w:r>
      <w:r w:rsidR="00FD114C" w:rsidRPr="00FD114C">
        <w:t xml:space="preserve">Table </w:t>
      </w:r>
      <w:r w:rsidR="00FD114C" w:rsidRPr="00FD114C">
        <w:rPr>
          <w:noProof/>
        </w:rPr>
        <w:t>5</w:t>
      </w:r>
      <w:r w:rsidR="00FD114C" w:rsidRPr="00FD114C">
        <w:rPr>
          <w:noProof/>
        </w:rPr>
        <w:noBreakHyphen/>
        <w:t>1</w:t>
      </w:r>
      <w:r w:rsidRPr="000914AD">
        <w:fldChar w:fldCharType="end"/>
      </w:r>
      <w:r>
        <w:t xml:space="preserve"> </w:t>
      </w:r>
      <w:r w:rsidR="00012A42" w:rsidRPr="001E66EF">
        <w:t xml:space="preserve">shows that implementing the </w:t>
      </w:r>
      <w:r w:rsidR="00165C74">
        <w:t xml:space="preserve">preferred </w:t>
      </w:r>
      <w:r w:rsidR="00012A42" w:rsidRPr="001E66EF">
        <w:t xml:space="preserve">policy </w:t>
      </w:r>
      <w:r w:rsidR="004B69A1">
        <w:t xml:space="preserve">option </w:t>
      </w:r>
      <w:r w:rsidR="00012A42" w:rsidRPr="001E66EF">
        <w:t xml:space="preserve">is expected to deliver a cost-benefit ratio (CBR) of </w:t>
      </w:r>
      <w:r w:rsidR="00D72ABD">
        <w:t>8.4</w:t>
      </w:r>
      <w:r w:rsidR="00012A42" w:rsidRPr="001E66EF">
        <w:rPr>
          <w:rStyle w:val="FootnoteReference"/>
        </w:rPr>
        <w:footnoteReference w:id="28"/>
      </w:r>
      <w:r w:rsidR="00012A42" w:rsidRPr="001E66EF">
        <w:t xml:space="preserve"> using the VOSL method to value the cost of premature mortality.  Using the VLYL m</w:t>
      </w:r>
      <w:r w:rsidR="00BE1392" w:rsidRPr="001E66EF">
        <w:t xml:space="preserve">ethod, the CBR increases to </w:t>
      </w:r>
      <w:r w:rsidR="00D72ABD">
        <w:t>14.0</w:t>
      </w:r>
      <w:r w:rsidR="00012A42" w:rsidRPr="001E66EF">
        <w:rPr>
          <w:rStyle w:val="FootnoteReference"/>
        </w:rPr>
        <w:footnoteReference w:id="29"/>
      </w:r>
      <w:r w:rsidR="008F5FF4">
        <w:t xml:space="preserve">.  </w:t>
      </w:r>
    </w:p>
    <w:p w14:paraId="6EAA34EE" w14:textId="2F243891" w:rsidR="00012A42" w:rsidRPr="001D4927" w:rsidRDefault="001D4927" w:rsidP="001D4927">
      <w:pPr>
        <w:pStyle w:val="Caption"/>
        <w:rPr>
          <w:b w:val="0"/>
          <w:bCs w:val="0"/>
        </w:rPr>
      </w:pPr>
      <w:bookmarkStart w:id="80" w:name="_Ref25569351"/>
      <w:bookmarkStart w:id="81" w:name="_Toc25569496"/>
      <w:r w:rsidRPr="001D4927">
        <w:rPr>
          <w:b w:val="0"/>
          <w:bCs w:val="0"/>
        </w:rPr>
        <w:t xml:space="preserve">Table </w:t>
      </w:r>
      <w:r>
        <w:rPr>
          <w:b w:val="0"/>
          <w:bCs w:val="0"/>
        </w:rPr>
        <w:fldChar w:fldCharType="begin"/>
      </w:r>
      <w:r>
        <w:rPr>
          <w:b w:val="0"/>
          <w:bCs w:val="0"/>
        </w:rPr>
        <w:instrText xml:space="preserve"> STYLEREF 1 \s </w:instrText>
      </w:r>
      <w:r>
        <w:rPr>
          <w:b w:val="0"/>
          <w:bCs w:val="0"/>
        </w:rPr>
        <w:fldChar w:fldCharType="separate"/>
      </w:r>
      <w:r w:rsidR="00FD114C">
        <w:rPr>
          <w:b w:val="0"/>
          <w:bCs w:val="0"/>
          <w:noProof/>
        </w:rPr>
        <w:t>5</w:t>
      </w:r>
      <w:r>
        <w:rPr>
          <w:b w:val="0"/>
          <w:bCs w:val="0"/>
        </w:rPr>
        <w:fldChar w:fldCharType="end"/>
      </w:r>
      <w:r>
        <w:rPr>
          <w:b w:val="0"/>
          <w:bCs w:val="0"/>
        </w:rPr>
        <w:noBreakHyphen/>
      </w:r>
      <w:r>
        <w:rPr>
          <w:b w:val="0"/>
          <w:bCs w:val="0"/>
        </w:rPr>
        <w:fldChar w:fldCharType="begin"/>
      </w:r>
      <w:r>
        <w:rPr>
          <w:b w:val="0"/>
          <w:bCs w:val="0"/>
        </w:rPr>
        <w:instrText xml:space="preserve"> SEQ Table \* ARABIC \s 1 </w:instrText>
      </w:r>
      <w:r>
        <w:rPr>
          <w:b w:val="0"/>
          <w:bCs w:val="0"/>
        </w:rPr>
        <w:fldChar w:fldCharType="separate"/>
      </w:r>
      <w:r w:rsidR="00FD114C">
        <w:rPr>
          <w:b w:val="0"/>
          <w:bCs w:val="0"/>
          <w:noProof/>
        </w:rPr>
        <w:t>1</w:t>
      </w:r>
      <w:r>
        <w:rPr>
          <w:b w:val="0"/>
          <w:bCs w:val="0"/>
        </w:rPr>
        <w:fldChar w:fldCharType="end"/>
      </w:r>
      <w:bookmarkEnd w:id="80"/>
      <w:r w:rsidRPr="001D4927">
        <w:rPr>
          <w:b w:val="0"/>
          <w:bCs w:val="0"/>
        </w:rPr>
        <w:t>:  Overall Results at a National level (VOSL method)</w:t>
      </w:r>
      <w:bookmarkEnd w:id="81"/>
    </w:p>
    <w:tbl>
      <w:tblPr>
        <w:tblStyle w:val="ListTable2-Accent1"/>
        <w:tblW w:w="8080" w:type="dxa"/>
        <w:jc w:val="right"/>
        <w:tblLook w:val="04A0" w:firstRow="1" w:lastRow="0" w:firstColumn="1" w:lastColumn="0" w:noHBand="0" w:noVBand="1"/>
      </w:tblPr>
      <w:tblGrid>
        <w:gridCol w:w="1418"/>
        <w:gridCol w:w="3057"/>
        <w:gridCol w:w="1904"/>
        <w:gridCol w:w="1701"/>
      </w:tblGrid>
      <w:tr w:rsidR="00012A42" w:rsidRPr="001E66EF" w14:paraId="2ADC9810" w14:textId="77777777" w:rsidTr="00455E21">
        <w:trPr>
          <w:cnfStyle w:val="100000000000" w:firstRow="1" w:lastRow="0" w:firstColumn="0" w:lastColumn="0" w:oddVBand="0" w:evenVBand="0" w:oddHBand="0" w:evenHBand="0" w:firstRowFirstColumn="0" w:firstRowLastColumn="0" w:lastRowFirstColumn="0" w:lastRowLastColumn="0"/>
          <w:trHeight w:val="208"/>
          <w:jc w:val="right"/>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2BD7B69" w14:textId="77777777" w:rsidR="00012A42" w:rsidRPr="001E66EF" w:rsidRDefault="00012A42" w:rsidP="005D5540">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 </w:t>
            </w:r>
          </w:p>
        </w:tc>
        <w:tc>
          <w:tcPr>
            <w:tcW w:w="3057" w:type="dxa"/>
            <w:noWrap/>
            <w:hideMark/>
          </w:tcPr>
          <w:p w14:paraId="0A3422D2" w14:textId="77777777" w:rsidR="00012A42" w:rsidRPr="001E66EF" w:rsidRDefault="00012A42" w:rsidP="005D5540">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 </w:t>
            </w:r>
          </w:p>
        </w:tc>
        <w:tc>
          <w:tcPr>
            <w:tcW w:w="1904" w:type="dxa"/>
            <w:noWrap/>
            <w:hideMark/>
          </w:tcPr>
          <w:p w14:paraId="0D288432" w14:textId="77777777" w:rsidR="00012A42" w:rsidRPr="001E66EF" w:rsidRDefault="00012A42" w:rsidP="008E6783">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$m</w:t>
            </w:r>
          </w:p>
        </w:tc>
        <w:tc>
          <w:tcPr>
            <w:tcW w:w="1701" w:type="dxa"/>
            <w:noWrap/>
            <w:hideMark/>
          </w:tcPr>
          <w:p w14:paraId="66642497" w14:textId="77777777" w:rsidR="00012A42" w:rsidRPr="001E66EF" w:rsidRDefault="00012A42" w:rsidP="008E6783">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CBR</w:t>
            </w:r>
          </w:p>
        </w:tc>
      </w:tr>
      <w:tr w:rsidR="00D72ABD" w:rsidRPr="001E66EF" w14:paraId="69CE46E1" w14:textId="77777777" w:rsidTr="00455E21">
        <w:trPr>
          <w:cnfStyle w:val="000000100000" w:firstRow="0" w:lastRow="0" w:firstColumn="0" w:lastColumn="0" w:oddVBand="0" w:evenVBand="0" w:oddHBand="1" w:evenHBand="0" w:firstRowFirstColumn="0" w:firstRowLastColumn="0" w:lastRowFirstColumn="0" w:lastRowLastColumn="0"/>
          <w:trHeight w:val="208"/>
          <w:jc w:val="right"/>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hideMark/>
          </w:tcPr>
          <w:p w14:paraId="6BC2642B" w14:textId="77777777" w:rsidR="00D72ABD" w:rsidRPr="001E66EF" w:rsidRDefault="00D72ABD" w:rsidP="00D72ABD">
            <w:pPr>
              <w:spacing w:after="0" w:line="240" w:lineRule="auto"/>
              <w:ind w:left="0"/>
              <w:jc w:val="left"/>
              <w:rPr>
                <w:rFonts w:eastAsia="Times New Roman" w:cs="Times New Roman"/>
                <w:color w:val="000000"/>
                <w:lang w:eastAsia="en-NZ"/>
              </w:rPr>
            </w:pPr>
            <w:r w:rsidRPr="001E66EF">
              <w:rPr>
                <w:rFonts w:eastAsia="Times New Roman" w:cs="Times New Roman"/>
                <w:color w:val="000000"/>
                <w:lang w:eastAsia="en-NZ"/>
              </w:rPr>
              <w:t>Total</w:t>
            </w:r>
          </w:p>
        </w:tc>
        <w:tc>
          <w:tcPr>
            <w:tcW w:w="3057" w:type="dxa"/>
            <w:hideMark/>
          </w:tcPr>
          <w:p w14:paraId="1B89B4F8" w14:textId="77777777" w:rsidR="00D72ABD" w:rsidRPr="001E66EF" w:rsidRDefault="00D72ABD" w:rsidP="00D72ABD">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Costs: public and private costs</w:t>
            </w:r>
          </w:p>
        </w:tc>
        <w:tc>
          <w:tcPr>
            <w:tcW w:w="1904" w:type="dxa"/>
            <w:noWrap/>
          </w:tcPr>
          <w:p w14:paraId="0CF03E93" w14:textId="4B7E12EE" w:rsidR="00D72ABD" w:rsidRPr="001E66EF" w:rsidRDefault="00D72ABD" w:rsidP="00D72ABD">
            <w:pPr>
              <w:spacing w:after="0" w:line="240" w:lineRule="auto"/>
              <w:ind w:left="0" w:firstLineChars="200" w:firstLine="4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sidRPr="00A844A4">
              <w:t xml:space="preserve"> $159.</w:t>
            </w:r>
            <w:r>
              <w:t>6</w:t>
            </w:r>
            <w:r w:rsidRPr="00A844A4">
              <w:t xml:space="preserve"> </w:t>
            </w:r>
          </w:p>
        </w:tc>
        <w:tc>
          <w:tcPr>
            <w:tcW w:w="1701" w:type="dxa"/>
            <w:noWrap/>
            <w:hideMark/>
          </w:tcPr>
          <w:p w14:paraId="779D54E2" w14:textId="77777777" w:rsidR="00D72ABD" w:rsidRPr="001E66EF" w:rsidRDefault="00D72ABD" w:rsidP="00D72AB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p>
        </w:tc>
      </w:tr>
      <w:tr w:rsidR="00D72ABD" w:rsidRPr="001E66EF" w14:paraId="05124EB4" w14:textId="77777777" w:rsidTr="00455E21">
        <w:trPr>
          <w:trHeight w:val="208"/>
          <w:jc w:val="right"/>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vAlign w:val="center"/>
            <w:hideMark/>
          </w:tcPr>
          <w:p w14:paraId="29820B6B" w14:textId="77777777" w:rsidR="00D72ABD" w:rsidRPr="001E66EF" w:rsidRDefault="00D72ABD" w:rsidP="00D72ABD">
            <w:pPr>
              <w:spacing w:after="0" w:line="240" w:lineRule="auto"/>
              <w:ind w:left="0"/>
              <w:jc w:val="left"/>
              <w:rPr>
                <w:rFonts w:eastAsia="Times New Roman" w:cs="Times New Roman"/>
                <w:color w:val="000000"/>
                <w:lang w:eastAsia="en-NZ"/>
              </w:rPr>
            </w:pPr>
          </w:p>
        </w:tc>
        <w:tc>
          <w:tcPr>
            <w:tcW w:w="3057" w:type="dxa"/>
            <w:tcBorders>
              <w:bottom w:val="single" w:sz="4" w:space="0" w:color="auto"/>
            </w:tcBorders>
            <w:hideMark/>
          </w:tcPr>
          <w:p w14:paraId="7CFCCE00" w14:textId="77777777" w:rsidR="00D72ABD" w:rsidRPr="001E66EF" w:rsidRDefault="00D72ABD" w:rsidP="00D72ABD">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1E66EF">
              <w:rPr>
                <w:rFonts w:eastAsia="Times New Roman" w:cs="Times New Roman"/>
                <w:color w:val="000000"/>
                <w:lang w:eastAsia="en-NZ"/>
              </w:rPr>
              <w:t>Benefits:  avoided health costs</w:t>
            </w:r>
          </w:p>
        </w:tc>
        <w:tc>
          <w:tcPr>
            <w:tcW w:w="1904" w:type="dxa"/>
            <w:tcBorders>
              <w:bottom w:val="single" w:sz="4" w:space="0" w:color="auto"/>
            </w:tcBorders>
            <w:noWrap/>
          </w:tcPr>
          <w:p w14:paraId="0977D6CE" w14:textId="3DAC47E5" w:rsidR="00D72ABD" w:rsidRPr="001E66EF" w:rsidRDefault="00D72ABD" w:rsidP="00D72ABD">
            <w:pPr>
              <w:spacing w:after="0" w:line="240" w:lineRule="auto"/>
              <w:ind w:left="0" w:firstLineChars="200" w:firstLine="4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r w:rsidRPr="00A844A4">
              <w:t xml:space="preserve"> $1,409.</w:t>
            </w:r>
            <w:r>
              <w:t>4</w:t>
            </w:r>
            <w:r w:rsidRPr="00A844A4">
              <w:t xml:space="preserve"> </w:t>
            </w:r>
          </w:p>
        </w:tc>
        <w:tc>
          <w:tcPr>
            <w:tcW w:w="1701" w:type="dxa"/>
            <w:tcBorders>
              <w:bottom w:val="single" w:sz="4" w:space="0" w:color="auto"/>
            </w:tcBorders>
            <w:noWrap/>
            <w:hideMark/>
          </w:tcPr>
          <w:p w14:paraId="5578599A" w14:textId="77777777" w:rsidR="00D72ABD" w:rsidRPr="001E66EF" w:rsidRDefault="00D72ABD" w:rsidP="00D72AB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NZ"/>
              </w:rPr>
            </w:pPr>
          </w:p>
        </w:tc>
      </w:tr>
      <w:tr w:rsidR="00D303EA" w:rsidRPr="001E66EF" w14:paraId="5D70F336" w14:textId="77777777" w:rsidTr="00455E21">
        <w:trPr>
          <w:cnfStyle w:val="000000100000" w:firstRow="0" w:lastRow="0" w:firstColumn="0" w:lastColumn="0" w:oddVBand="0" w:evenVBand="0" w:oddHBand="1" w:evenHBand="0" w:firstRowFirstColumn="0" w:firstRowLastColumn="0" w:lastRowFirstColumn="0" w:lastRowLastColumn="0"/>
          <w:trHeight w:val="208"/>
          <w:jc w:val="right"/>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vAlign w:val="center"/>
            <w:hideMark/>
          </w:tcPr>
          <w:p w14:paraId="2A61F621" w14:textId="77777777" w:rsidR="00D303EA" w:rsidRPr="001E66EF" w:rsidRDefault="00D303EA" w:rsidP="00D72ABD">
            <w:pPr>
              <w:spacing w:after="0" w:line="240" w:lineRule="auto"/>
              <w:ind w:left="0"/>
              <w:jc w:val="left"/>
              <w:rPr>
                <w:rFonts w:eastAsia="Times New Roman" w:cs="Times New Roman"/>
                <w:i/>
                <w:iCs/>
                <w:color w:val="000000"/>
                <w:lang w:eastAsia="en-NZ"/>
              </w:rPr>
            </w:pPr>
            <w:r w:rsidRPr="001E66EF">
              <w:rPr>
                <w:rFonts w:eastAsia="Times New Roman" w:cs="Times New Roman"/>
                <w:i/>
                <w:iCs/>
                <w:color w:val="000000"/>
                <w:lang w:eastAsia="en-NZ"/>
              </w:rPr>
              <w:t>NPV</w:t>
            </w:r>
          </w:p>
        </w:tc>
        <w:tc>
          <w:tcPr>
            <w:tcW w:w="3057" w:type="dxa"/>
            <w:tcBorders>
              <w:top w:val="single" w:sz="4" w:space="0" w:color="auto"/>
            </w:tcBorders>
            <w:hideMark/>
          </w:tcPr>
          <w:p w14:paraId="0B2C264F" w14:textId="77777777" w:rsidR="00D303EA" w:rsidRPr="001E66EF" w:rsidRDefault="00D303EA" w:rsidP="00D72ABD">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lang w:eastAsia="en-NZ"/>
              </w:rPr>
            </w:pPr>
            <w:r w:rsidRPr="001E66EF">
              <w:rPr>
                <w:rFonts w:eastAsia="Times New Roman" w:cs="Times New Roman"/>
                <w:i/>
                <w:iCs/>
                <w:color w:val="000000"/>
                <w:lang w:eastAsia="en-NZ"/>
              </w:rPr>
              <w:t>Costs: public and private costs</w:t>
            </w:r>
          </w:p>
        </w:tc>
        <w:tc>
          <w:tcPr>
            <w:tcW w:w="1904" w:type="dxa"/>
            <w:tcBorders>
              <w:top w:val="single" w:sz="4" w:space="0" w:color="auto"/>
            </w:tcBorders>
            <w:noWrap/>
          </w:tcPr>
          <w:p w14:paraId="37C661C4" w14:textId="5B9433CE" w:rsidR="00D303EA" w:rsidRPr="001E66EF" w:rsidRDefault="00D303EA" w:rsidP="00D72ABD">
            <w:pPr>
              <w:spacing w:after="0" w:line="240" w:lineRule="auto"/>
              <w:ind w:left="0" w:firstLineChars="200" w:firstLine="4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lang w:eastAsia="en-NZ"/>
              </w:rPr>
            </w:pPr>
            <w:r w:rsidRPr="00A844A4">
              <w:t xml:space="preserve"> $97.</w:t>
            </w:r>
            <w:r>
              <w:t>7</w:t>
            </w:r>
            <w:r w:rsidRPr="00A844A4">
              <w:t xml:space="preserve"> </w:t>
            </w:r>
          </w:p>
        </w:tc>
        <w:tc>
          <w:tcPr>
            <w:tcW w:w="1701" w:type="dxa"/>
            <w:vMerge w:val="restart"/>
            <w:tcBorders>
              <w:top w:val="single" w:sz="4" w:space="0" w:color="auto"/>
            </w:tcBorders>
            <w:noWrap/>
            <w:hideMark/>
          </w:tcPr>
          <w:p w14:paraId="50A17777" w14:textId="0C9FE1F6" w:rsidR="00D303EA" w:rsidRPr="001E66EF" w:rsidRDefault="00D303EA" w:rsidP="00D72AB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NZ"/>
              </w:rPr>
            </w:pPr>
            <w:r>
              <w:rPr>
                <w:b/>
                <w:color w:val="000000"/>
              </w:rPr>
              <w:t>8.4</w:t>
            </w:r>
          </w:p>
        </w:tc>
      </w:tr>
      <w:tr w:rsidR="00D303EA" w:rsidRPr="001E66EF" w14:paraId="75C1C240" w14:textId="77777777" w:rsidTr="00455E21">
        <w:trPr>
          <w:trHeight w:val="208"/>
          <w:jc w:val="right"/>
        </w:trPr>
        <w:tc>
          <w:tcPr>
            <w:cnfStyle w:val="001000000000" w:firstRow="0" w:lastRow="0" w:firstColumn="1" w:lastColumn="0" w:oddVBand="0" w:evenVBand="0" w:oddHBand="0" w:evenHBand="0" w:firstRowFirstColumn="0" w:firstRowLastColumn="0" w:lastRowFirstColumn="0" w:lastRowLastColumn="0"/>
            <w:tcW w:w="1418" w:type="dxa"/>
            <w:vMerge/>
            <w:hideMark/>
          </w:tcPr>
          <w:p w14:paraId="512F366F" w14:textId="77777777" w:rsidR="00D303EA" w:rsidRPr="001E66EF" w:rsidRDefault="00D303EA" w:rsidP="00D72ABD">
            <w:pPr>
              <w:spacing w:after="0" w:line="240" w:lineRule="auto"/>
              <w:ind w:left="0"/>
              <w:jc w:val="left"/>
              <w:rPr>
                <w:rFonts w:eastAsia="Times New Roman" w:cs="Times New Roman"/>
                <w:i/>
                <w:iCs/>
                <w:color w:val="000000"/>
                <w:lang w:eastAsia="en-NZ"/>
              </w:rPr>
            </w:pPr>
          </w:p>
        </w:tc>
        <w:tc>
          <w:tcPr>
            <w:tcW w:w="3057" w:type="dxa"/>
            <w:hideMark/>
          </w:tcPr>
          <w:p w14:paraId="1B4815AC" w14:textId="77777777" w:rsidR="00D303EA" w:rsidRPr="001E66EF" w:rsidRDefault="00D303EA" w:rsidP="00D72ABD">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lang w:eastAsia="en-NZ"/>
              </w:rPr>
            </w:pPr>
            <w:r w:rsidRPr="001E66EF">
              <w:rPr>
                <w:rFonts w:eastAsia="Times New Roman" w:cs="Times New Roman"/>
                <w:i/>
                <w:iCs/>
                <w:color w:val="000000"/>
                <w:lang w:eastAsia="en-NZ"/>
              </w:rPr>
              <w:t>Benefits:  avoided health costs</w:t>
            </w:r>
          </w:p>
        </w:tc>
        <w:tc>
          <w:tcPr>
            <w:tcW w:w="1904" w:type="dxa"/>
            <w:noWrap/>
          </w:tcPr>
          <w:p w14:paraId="377416B1" w14:textId="700C94F2" w:rsidR="00D303EA" w:rsidRPr="001E66EF" w:rsidRDefault="00D303EA" w:rsidP="00D72ABD">
            <w:pPr>
              <w:spacing w:after="0" w:line="240" w:lineRule="auto"/>
              <w:ind w:left="0" w:firstLineChars="200" w:firstLine="4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lang w:eastAsia="en-NZ"/>
              </w:rPr>
            </w:pPr>
            <w:r w:rsidRPr="00A844A4">
              <w:t xml:space="preserve"> $820.</w:t>
            </w:r>
            <w:r>
              <w:t>2</w:t>
            </w:r>
            <w:r w:rsidRPr="00A844A4">
              <w:t xml:space="preserve"> </w:t>
            </w:r>
          </w:p>
        </w:tc>
        <w:tc>
          <w:tcPr>
            <w:tcW w:w="1701" w:type="dxa"/>
            <w:vMerge/>
            <w:noWrap/>
            <w:hideMark/>
          </w:tcPr>
          <w:p w14:paraId="7B974868" w14:textId="3F3FC61B" w:rsidR="00D303EA" w:rsidRPr="001E66EF" w:rsidRDefault="00D303EA" w:rsidP="00D72ABD">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color w:val="000000"/>
              </w:rPr>
            </w:pPr>
          </w:p>
        </w:tc>
      </w:tr>
      <w:tr w:rsidR="00D303EA" w:rsidRPr="001E66EF" w14:paraId="69594627" w14:textId="77777777" w:rsidTr="00455E21">
        <w:trPr>
          <w:cnfStyle w:val="000000100000" w:firstRow="0" w:lastRow="0" w:firstColumn="0" w:lastColumn="0" w:oddVBand="0" w:evenVBand="0" w:oddHBand="1" w:evenHBand="0" w:firstRowFirstColumn="0" w:firstRowLastColumn="0" w:lastRowFirstColumn="0" w:lastRowLastColumn="0"/>
          <w:trHeight w:val="208"/>
          <w:jc w:val="right"/>
        </w:trPr>
        <w:tc>
          <w:tcPr>
            <w:cnfStyle w:val="001000000000" w:firstRow="0" w:lastRow="0" w:firstColumn="1" w:lastColumn="0" w:oddVBand="0" w:evenVBand="0" w:oddHBand="0" w:evenHBand="0" w:firstRowFirstColumn="0" w:firstRowLastColumn="0" w:lastRowFirstColumn="0" w:lastRowLastColumn="0"/>
            <w:tcW w:w="1418" w:type="dxa"/>
          </w:tcPr>
          <w:p w14:paraId="0265EC55" w14:textId="77777777" w:rsidR="00D303EA" w:rsidRPr="001E66EF" w:rsidRDefault="00D303EA" w:rsidP="00D72ABD">
            <w:pPr>
              <w:spacing w:after="0" w:line="240" w:lineRule="auto"/>
              <w:ind w:left="0"/>
              <w:jc w:val="left"/>
              <w:rPr>
                <w:rFonts w:eastAsia="Times New Roman" w:cs="Times New Roman"/>
                <w:i/>
                <w:iCs/>
                <w:color w:val="000000"/>
                <w:lang w:eastAsia="en-NZ"/>
              </w:rPr>
            </w:pPr>
          </w:p>
        </w:tc>
        <w:tc>
          <w:tcPr>
            <w:tcW w:w="3057" w:type="dxa"/>
          </w:tcPr>
          <w:p w14:paraId="1B283CC4" w14:textId="77777777" w:rsidR="00D303EA" w:rsidRPr="001E66EF" w:rsidRDefault="00D303EA" w:rsidP="00D72ABD">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lang w:eastAsia="en-NZ"/>
              </w:rPr>
            </w:pPr>
          </w:p>
        </w:tc>
        <w:tc>
          <w:tcPr>
            <w:tcW w:w="1904" w:type="dxa"/>
            <w:noWrap/>
          </w:tcPr>
          <w:p w14:paraId="71AFF468" w14:textId="77777777" w:rsidR="00D303EA" w:rsidRPr="00A844A4" w:rsidRDefault="00D303EA" w:rsidP="00D72ABD">
            <w:pPr>
              <w:spacing w:after="0" w:line="240" w:lineRule="auto"/>
              <w:ind w:left="0" w:firstLineChars="200" w:firstLine="440"/>
              <w:jc w:val="right"/>
              <w:cnfStyle w:val="000000100000" w:firstRow="0" w:lastRow="0" w:firstColumn="0" w:lastColumn="0" w:oddVBand="0" w:evenVBand="0" w:oddHBand="1" w:evenHBand="0" w:firstRowFirstColumn="0" w:firstRowLastColumn="0" w:lastRowFirstColumn="0" w:lastRowLastColumn="0"/>
            </w:pPr>
          </w:p>
        </w:tc>
        <w:tc>
          <w:tcPr>
            <w:tcW w:w="1701" w:type="dxa"/>
            <w:noWrap/>
          </w:tcPr>
          <w:p w14:paraId="06403C63" w14:textId="77777777" w:rsidR="00D303EA" w:rsidRDefault="00D303EA" w:rsidP="00D72ABD">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color w:val="000000"/>
              </w:rPr>
            </w:pPr>
          </w:p>
        </w:tc>
      </w:tr>
    </w:tbl>
    <w:p w14:paraId="254616D9" w14:textId="77777777" w:rsidR="00012A42" w:rsidRPr="001E66EF" w:rsidRDefault="00012A42" w:rsidP="00012A42"/>
    <w:p w14:paraId="0CE75794" w14:textId="45D2009D" w:rsidR="00012A42" w:rsidRPr="001E66EF" w:rsidRDefault="00012A42" w:rsidP="00012A42">
      <w:r w:rsidRPr="001E66EF">
        <w:fldChar w:fldCharType="begin"/>
      </w:r>
      <w:r w:rsidRPr="001E66EF">
        <w:instrText xml:space="preserve"> REF _Ref455135494 \h </w:instrText>
      </w:r>
      <w:r w:rsidR="001E66EF">
        <w:instrText xml:space="preserve"> \* MERGEFORMAT </w:instrText>
      </w:r>
      <w:r w:rsidRPr="001E66EF">
        <w:fldChar w:fldCharType="separate"/>
      </w:r>
      <w:r w:rsidR="00FD114C" w:rsidRPr="001E66EF">
        <w:t xml:space="preserve">Figure </w:t>
      </w:r>
      <w:r w:rsidR="00FD114C">
        <w:rPr>
          <w:noProof/>
        </w:rPr>
        <w:t>5.1</w:t>
      </w:r>
      <w:r w:rsidRPr="001E66EF">
        <w:fldChar w:fldCharType="end"/>
      </w:r>
      <w:r w:rsidRPr="001E66EF">
        <w:t xml:space="preserve"> is a graphic representation of the table above, and it is clear that the avoided health costs, i.e. the benefits of improving air quality, is greater than the costs to do so under this </w:t>
      </w:r>
      <w:r w:rsidR="00DB5E5C">
        <w:t xml:space="preserve">policy </w:t>
      </w:r>
      <w:r w:rsidR="00455E21" w:rsidRPr="001E66EF">
        <w:t>option</w:t>
      </w:r>
      <w:r w:rsidRPr="001E66EF">
        <w:t>.  A variation in costs might change the CBR, but we do not expect the costs of improving air quality to outweigh the benefits</w:t>
      </w:r>
      <w:r w:rsidR="005F0916" w:rsidRPr="001E66EF">
        <w:t xml:space="preserve"> (health savings)</w:t>
      </w:r>
      <w:r w:rsidRPr="001E66EF">
        <w:t xml:space="preserve">.  </w:t>
      </w:r>
    </w:p>
    <w:p w14:paraId="79297B73" w14:textId="5231952B" w:rsidR="004C2ED3" w:rsidRPr="001E66EF" w:rsidRDefault="006E58C1" w:rsidP="004C2ED3">
      <w:pPr>
        <w:pStyle w:val="Caption"/>
      </w:pPr>
      <w:bookmarkStart w:id="82" w:name="_Ref455135494"/>
      <w:bookmarkStart w:id="83" w:name="_Toc25569485"/>
      <w:r>
        <w:rPr>
          <w:noProof/>
          <w:lang w:eastAsia="en-NZ"/>
        </w:rPr>
        <w:lastRenderedPageBreak/>
        <w:drawing>
          <wp:anchor distT="0" distB="0" distL="114300" distR="114300" simplePos="0" relativeHeight="251688960" behindDoc="0" locked="0" layoutInCell="1" allowOverlap="1" wp14:anchorId="2AD81941" wp14:editId="0F32B512">
            <wp:simplePos x="0" y="0"/>
            <wp:positionH relativeFrom="column">
              <wp:posOffset>657860</wp:posOffset>
            </wp:positionH>
            <wp:positionV relativeFrom="paragraph">
              <wp:posOffset>384810</wp:posOffset>
            </wp:positionV>
            <wp:extent cx="5228590" cy="2903855"/>
            <wp:effectExtent l="0" t="0" r="0" b="0"/>
            <wp:wrapThrough wrapText="bothSides">
              <wp:wrapPolygon edited="0">
                <wp:start x="0" y="0"/>
                <wp:lineTo x="0" y="21397"/>
                <wp:lineTo x="21485" y="21397"/>
                <wp:lineTo x="214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8590" cy="2903855"/>
                    </a:xfrm>
                    <a:prstGeom prst="rect">
                      <a:avLst/>
                    </a:prstGeom>
                    <a:noFill/>
                  </pic:spPr>
                </pic:pic>
              </a:graphicData>
            </a:graphic>
            <wp14:sizeRelH relativeFrom="margin">
              <wp14:pctWidth>0</wp14:pctWidth>
            </wp14:sizeRelH>
            <wp14:sizeRelV relativeFrom="margin">
              <wp14:pctHeight>0</wp14:pctHeight>
            </wp14:sizeRelV>
          </wp:anchor>
        </w:drawing>
      </w:r>
      <w:r w:rsidR="004C2ED3" w:rsidRPr="001E66EF">
        <w:t xml:space="preserve">Figure </w:t>
      </w:r>
      <w:r w:rsidR="00487EF9">
        <w:fldChar w:fldCharType="begin"/>
      </w:r>
      <w:r w:rsidR="00487EF9">
        <w:instrText xml:space="preserve"> STYLEREF 1 \s </w:instrText>
      </w:r>
      <w:r w:rsidR="00487EF9">
        <w:fldChar w:fldCharType="separate"/>
      </w:r>
      <w:r w:rsidR="00FD114C">
        <w:rPr>
          <w:noProof/>
        </w:rPr>
        <w:t>5</w:t>
      </w:r>
      <w:r w:rsidR="00487EF9">
        <w:fldChar w:fldCharType="end"/>
      </w:r>
      <w:r w:rsidR="00487EF9">
        <w:t>.</w:t>
      </w:r>
      <w:r w:rsidR="00487EF9">
        <w:fldChar w:fldCharType="begin"/>
      </w:r>
      <w:r w:rsidR="00487EF9">
        <w:instrText xml:space="preserve"> SEQ Figure \* ARABIC \s 1 </w:instrText>
      </w:r>
      <w:r w:rsidR="00487EF9">
        <w:fldChar w:fldCharType="separate"/>
      </w:r>
      <w:r w:rsidR="00FD114C">
        <w:rPr>
          <w:noProof/>
        </w:rPr>
        <w:t>1</w:t>
      </w:r>
      <w:r w:rsidR="00487EF9">
        <w:fldChar w:fldCharType="end"/>
      </w:r>
      <w:bookmarkEnd w:id="82"/>
      <w:r w:rsidR="004C2ED3" w:rsidRPr="001E66EF">
        <w:t>:  Costs vs Benefits at the National level (VOSL method)</w:t>
      </w:r>
      <w:bookmarkEnd w:id="83"/>
    </w:p>
    <w:p w14:paraId="16225838" w14:textId="05DAC6EB" w:rsidR="004C2ED3" w:rsidRPr="001E66EF" w:rsidRDefault="004C2ED3" w:rsidP="004C2ED3"/>
    <w:p w14:paraId="68971D2B" w14:textId="009E43BF" w:rsidR="00012A42" w:rsidRPr="001E66EF" w:rsidRDefault="00012A42" w:rsidP="00321CC7">
      <w:pPr>
        <w:pStyle w:val="Heading2"/>
      </w:pPr>
      <w:bookmarkStart w:id="84" w:name="_Toc25569524"/>
      <w:r w:rsidRPr="001E66EF">
        <w:t>PM</w:t>
      </w:r>
      <w:r w:rsidRPr="001E66EF">
        <w:rPr>
          <w:vertAlign w:val="subscript"/>
        </w:rPr>
        <w:t>2.5</w:t>
      </w:r>
      <w:r w:rsidRPr="001E66EF">
        <w:t xml:space="preserve"> Concentration by Airshed</w:t>
      </w:r>
      <w:bookmarkEnd w:id="84"/>
    </w:p>
    <w:p w14:paraId="0846F608" w14:textId="6D4CC488" w:rsidR="00012A42" w:rsidRPr="001E66EF" w:rsidRDefault="00012A42" w:rsidP="00012A42">
      <w:r w:rsidRPr="001E66EF">
        <w:t xml:space="preserve">In </w:t>
      </w:r>
      <w:r w:rsidR="00162D07" w:rsidRPr="001E66EF">
        <w:rPr>
          <w:highlight w:val="yellow"/>
        </w:rPr>
        <w:fldChar w:fldCharType="begin"/>
      </w:r>
      <w:r w:rsidR="00162D07" w:rsidRPr="001E66EF">
        <w:instrText xml:space="preserve"> REF _Ref455742116 \h </w:instrText>
      </w:r>
      <w:r w:rsidR="001E66EF">
        <w:rPr>
          <w:highlight w:val="yellow"/>
        </w:rPr>
        <w:instrText xml:space="preserve"> \* MERGEFORMAT </w:instrText>
      </w:r>
      <w:r w:rsidR="00162D07" w:rsidRPr="001E66EF">
        <w:rPr>
          <w:highlight w:val="yellow"/>
        </w:rPr>
      </w:r>
      <w:r w:rsidR="00162D07" w:rsidRPr="001E66EF">
        <w:rPr>
          <w:highlight w:val="yellow"/>
        </w:rPr>
        <w:fldChar w:fldCharType="separate"/>
      </w:r>
      <w:r w:rsidR="00FD114C" w:rsidRPr="001E66EF">
        <w:t xml:space="preserve">Figure </w:t>
      </w:r>
      <w:r w:rsidR="00FD114C">
        <w:rPr>
          <w:noProof/>
        </w:rPr>
        <w:t>5.2</w:t>
      </w:r>
      <w:r w:rsidR="00162D07" w:rsidRPr="001E66EF">
        <w:rPr>
          <w:highlight w:val="yellow"/>
        </w:rPr>
        <w:fldChar w:fldCharType="end"/>
      </w:r>
      <w:r w:rsidR="001A50E6" w:rsidRPr="001E66EF">
        <w:t>,</w:t>
      </w:r>
      <w:r w:rsidR="00162D07" w:rsidRPr="001E66EF">
        <w:t xml:space="preserve"> ea</w:t>
      </w:r>
      <w:r w:rsidRPr="001E66EF">
        <w:t>ch bar represents the average annual concentration of PM</w:t>
      </w:r>
      <w:r w:rsidRPr="001E66EF">
        <w:rPr>
          <w:vertAlign w:val="subscript"/>
        </w:rPr>
        <w:t>2.5</w:t>
      </w:r>
      <w:r w:rsidRPr="001E66EF">
        <w:t xml:space="preserve"> in each of the 96 </w:t>
      </w:r>
      <w:proofErr w:type="spellStart"/>
      <w:r w:rsidRPr="001E66EF">
        <w:t>airsheds</w:t>
      </w:r>
      <w:proofErr w:type="spellEnd"/>
      <w:r w:rsidRPr="001E66EF">
        <w:t xml:space="preserve"> (</w:t>
      </w:r>
      <w:r w:rsidR="00162D07" w:rsidRPr="001E66EF">
        <w:rPr>
          <w:highlight w:val="yellow"/>
        </w:rPr>
        <w:fldChar w:fldCharType="begin"/>
      </w:r>
      <w:r w:rsidR="00162D07" w:rsidRPr="001E66EF">
        <w:instrText xml:space="preserve"> REF _Ref455135997 \h </w:instrText>
      </w:r>
      <w:r w:rsidR="001E66EF">
        <w:rPr>
          <w:highlight w:val="yellow"/>
        </w:rPr>
        <w:instrText xml:space="preserve"> \* MERGEFORMAT </w:instrText>
      </w:r>
      <w:r w:rsidR="00162D07" w:rsidRPr="001E66EF">
        <w:rPr>
          <w:highlight w:val="yellow"/>
        </w:rPr>
      </w:r>
      <w:r w:rsidR="00162D07" w:rsidRPr="001E66EF">
        <w:rPr>
          <w:highlight w:val="yellow"/>
        </w:rPr>
        <w:fldChar w:fldCharType="separate"/>
      </w:r>
      <w:r w:rsidR="00FD114C" w:rsidRPr="001E66EF">
        <w:t xml:space="preserve">Appendix </w:t>
      </w:r>
      <w:r w:rsidR="00FD114C">
        <w:rPr>
          <w:noProof/>
        </w:rPr>
        <w:t>3</w:t>
      </w:r>
      <w:r w:rsidR="00162D07" w:rsidRPr="001E66EF">
        <w:rPr>
          <w:highlight w:val="yellow"/>
        </w:rPr>
        <w:fldChar w:fldCharType="end"/>
      </w:r>
      <w:r w:rsidR="004A01CE">
        <w:t xml:space="preserve"> provides a larger version of this figure</w:t>
      </w:r>
      <w:r w:rsidRPr="001E66EF">
        <w:t>)</w:t>
      </w:r>
      <w:r w:rsidR="00602A2D">
        <w:t xml:space="preserve"> in 201</w:t>
      </w:r>
      <w:r w:rsidR="00E84F1A">
        <w:t>8</w:t>
      </w:r>
      <w:r w:rsidR="00602A2D">
        <w:t xml:space="preserve"> and 2028 </w:t>
      </w:r>
      <w:r w:rsidR="00EA0179" w:rsidRPr="001E66EF">
        <w:t>(so it is possible to compare the trends over time</w:t>
      </w:r>
      <w:r w:rsidR="00F504C1" w:rsidRPr="001E66EF">
        <w:t xml:space="preserve">).  </w:t>
      </w:r>
    </w:p>
    <w:p w14:paraId="4059ECBF" w14:textId="6023072C" w:rsidR="00012A42" w:rsidRDefault="00321CC7" w:rsidP="00012A42">
      <w:pPr>
        <w:pStyle w:val="Caption"/>
      </w:pPr>
      <w:bookmarkStart w:id="85" w:name="_Ref455742116"/>
      <w:bookmarkStart w:id="86" w:name="_Ref485034896"/>
      <w:bookmarkStart w:id="87" w:name="_Toc25569486"/>
      <w:r>
        <w:rPr>
          <w:noProof/>
          <w:lang w:eastAsia="en-NZ"/>
        </w:rPr>
        <w:drawing>
          <wp:anchor distT="0" distB="0" distL="114300" distR="114300" simplePos="0" relativeHeight="251689984" behindDoc="0" locked="0" layoutInCell="1" allowOverlap="1" wp14:anchorId="51B30260" wp14:editId="72E84890">
            <wp:simplePos x="0" y="0"/>
            <wp:positionH relativeFrom="column">
              <wp:posOffset>566117</wp:posOffset>
            </wp:positionH>
            <wp:positionV relativeFrom="paragraph">
              <wp:posOffset>361296</wp:posOffset>
            </wp:positionV>
            <wp:extent cx="5402580" cy="3159125"/>
            <wp:effectExtent l="0" t="0" r="762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2580" cy="3159125"/>
                    </a:xfrm>
                    <a:prstGeom prst="rect">
                      <a:avLst/>
                    </a:prstGeom>
                    <a:noFill/>
                  </pic:spPr>
                </pic:pic>
              </a:graphicData>
            </a:graphic>
            <wp14:sizeRelH relativeFrom="page">
              <wp14:pctWidth>0</wp14:pctWidth>
            </wp14:sizeRelH>
            <wp14:sizeRelV relativeFrom="page">
              <wp14:pctHeight>0</wp14:pctHeight>
            </wp14:sizeRelV>
          </wp:anchor>
        </w:drawing>
      </w:r>
      <w:r w:rsidR="00012A42" w:rsidRPr="001E66EF">
        <w:t xml:space="preserve">Figure </w:t>
      </w:r>
      <w:r w:rsidR="00487EF9">
        <w:fldChar w:fldCharType="begin"/>
      </w:r>
      <w:r w:rsidR="00487EF9">
        <w:instrText xml:space="preserve"> STYLEREF 1 \s </w:instrText>
      </w:r>
      <w:r w:rsidR="00487EF9">
        <w:fldChar w:fldCharType="separate"/>
      </w:r>
      <w:r w:rsidR="00FD114C">
        <w:rPr>
          <w:noProof/>
        </w:rPr>
        <w:t>5</w:t>
      </w:r>
      <w:r w:rsidR="00487EF9">
        <w:fldChar w:fldCharType="end"/>
      </w:r>
      <w:r w:rsidR="00487EF9">
        <w:t>.</w:t>
      </w:r>
      <w:r w:rsidR="00487EF9">
        <w:fldChar w:fldCharType="begin"/>
      </w:r>
      <w:r w:rsidR="00487EF9">
        <w:instrText xml:space="preserve"> SEQ Figure \* ARABIC \s 1 </w:instrText>
      </w:r>
      <w:r w:rsidR="00487EF9">
        <w:fldChar w:fldCharType="separate"/>
      </w:r>
      <w:r w:rsidR="00FD114C">
        <w:rPr>
          <w:noProof/>
        </w:rPr>
        <w:t>2</w:t>
      </w:r>
      <w:r w:rsidR="00487EF9">
        <w:fldChar w:fldCharType="end"/>
      </w:r>
      <w:bookmarkEnd w:id="85"/>
      <w:r w:rsidR="00012A42" w:rsidRPr="001E66EF">
        <w:t>:  Concentration of PM</w:t>
      </w:r>
      <w:r w:rsidR="00012A42" w:rsidRPr="001E66EF">
        <w:rPr>
          <w:vertAlign w:val="subscript"/>
        </w:rPr>
        <w:t>2.5</w:t>
      </w:r>
      <w:r w:rsidR="00012A42" w:rsidRPr="001E66EF">
        <w:t xml:space="preserve"> by Airshed (ug/m3), 201</w:t>
      </w:r>
      <w:bookmarkEnd w:id="86"/>
      <w:r w:rsidR="00496C1B">
        <w:t>8</w:t>
      </w:r>
      <w:bookmarkEnd w:id="87"/>
    </w:p>
    <w:p w14:paraId="3354445E" w14:textId="72FD538E" w:rsidR="00321CC7" w:rsidRDefault="00B74C46" w:rsidP="00F504C1">
      <w:r>
        <w:rPr>
          <w:noProof/>
          <w:lang w:eastAsia="en-NZ"/>
        </w:rPr>
        <mc:AlternateContent>
          <mc:Choice Requires="wps">
            <w:drawing>
              <wp:anchor distT="0" distB="0" distL="114300" distR="114300" simplePos="0" relativeHeight="251691008" behindDoc="0" locked="0" layoutInCell="1" allowOverlap="1" wp14:anchorId="357C5532" wp14:editId="453D8D1C">
                <wp:simplePos x="0" y="0"/>
                <wp:positionH relativeFrom="column">
                  <wp:posOffset>1051421</wp:posOffset>
                </wp:positionH>
                <wp:positionV relativeFrom="paragraph">
                  <wp:posOffset>54113</wp:posOffset>
                </wp:positionV>
                <wp:extent cx="4018271" cy="491282"/>
                <wp:effectExtent l="0" t="0" r="1905" b="4445"/>
                <wp:wrapNone/>
                <wp:docPr id="4" name="Text Box 4"/>
                <wp:cNvGraphicFramePr/>
                <a:graphic xmlns:a="http://schemas.openxmlformats.org/drawingml/2006/main">
                  <a:graphicData uri="http://schemas.microsoft.com/office/word/2010/wordprocessingShape">
                    <wps:wsp>
                      <wps:cNvSpPr txBox="1"/>
                      <wps:spPr>
                        <a:xfrm>
                          <a:off x="0" y="0"/>
                          <a:ext cx="4018271" cy="491282"/>
                        </a:xfrm>
                        <a:prstGeom prst="roundRect">
                          <a:avLst>
                            <a:gd name="adj" fmla="val 35925"/>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9EC64" w14:textId="3761B927" w:rsidR="00620C24" w:rsidRPr="002C1EA0" w:rsidRDefault="00620C24" w:rsidP="002C1EA0">
                            <w:pPr>
                              <w:spacing w:after="0" w:line="240" w:lineRule="auto"/>
                              <w:ind w:left="0"/>
                              <w:jc w:val="center"/>
                              <w:rPr>
                                <w:sz w:val="12"/>
                              </w:rPr>
                            </w:pPr>
                            <w:r w:rsidRPr="002C1EA0">
                              <w:rPr>
                                <w:sz w:val="12"/>
                              </w:rPr>
                              <w:t>The top of the blue bar is the current concentration and the top of the green bar is the estimated concentration in 2028.</w:t>
                            </w:r>
                          </w:p>
                          <w:p w14:paraId="2A049294" w14:textId="2F935DB5" w:rsidR="00620C24" w:rsidRPr="002C1EA0" w:rsidRDefault="00620C24" w:rsidP="002C1EA0">
                            <w:pPr>
                              <w:spacing w:after="0" w:line="240" w:lineRule="auto"/>
                              <w:ind w:left="0"/>
                              <w:jc w:val="center"/>
                              <w:rPr>
                                <w:sz w:val="12"/>
                              </w:rPr>
                            </w:pPr>
                            <w:r w:rsidRPr="002C1EA0">
                              <w:rPr>
                                <w:sz w:val="12"/>
                              </w:rPr>
                              <w:t xml:space="preserve">The difference is the ‘change’ (including all drivers of change, natural attrition, the policy, as well as the shifts in non-domestic </w:t>
                            </w:r>
                            <w:r w:rsidRPr="00F15A76">
                              <w:rPr>
                                <w:sz w:val="12"/>
                              </w:rPr>
                              <w:t>sources of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7C5532" id="Text Box 4" o:spid="_x0000_s1029" style="position:absolute;left:0;text-align:left;margin-left:82.8pt;margin-top:4.25pt;width:316.4pt;height:3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3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" fillcolor="white [3201]" stroked="f" strokeweight=".5pt">
                <v:textbox>
                  <w:txbxContent>
                    <w:p w14:paraId="7B29EC64" w14:textId="3761B927" w:rsidR="00620C24" w:rsidRPr="002C1EA0" w:rsidRDefault="00620C24" w:rsidP="002C1EA0">
                      <w:pPr>
                        <w:spacing w:after="0" w:line="240" w:lineRule="auto"/>
                        <w:ind w:left="0"/>
                        <w:jc w:val="center"/>
                        <w:rPr>
                          <w:sz w:val="12"/>
                        </w:rPr>
                      </w:pPr>
                      <w:r w:rsidRPr="002C1EA0">
                        <w:rPr>
                          <w:sz w:val="12"/>
                        </w:rPr>
                        <w:t>The top of the blue bar is the current concentration and the top of the green bar is the estimated concentration in 2028.</w:t>
                      </w:r>
                    </w:p>
                    <w:p w14:paraId="2A049294" w14:textId="2F935DB5" w:rsidR="00620C24" w:rsidRPr="002C1EA0" w:rsidRDefault="00620C24" w:rsidP="002C1EA0">
                      <w:pPr>
                        <w:spacing w:after="0" w:line="240" w:lineRule="auto"/>
                        <w:ind w:left="0"/>
                        <w:jc w:val="center"/>
                        <w:rPr>
                          <w:sz w:val="12"/>
                        </w:rPr>
                      </w:pPr>
                      <w:r w:rsidRPr="002C1EA0">
                        <w:rPr>
                          <w:sz w:val="12"/>
                        </w:rPr>
                        <w:t xml:space="preserve">The difference is the ‘change’ (including all drivers of change, natural attrition, the policy, as well as the shifts in non-domestic </w:t>
                      </w:r>
                      <w:r w:rsidRPr="00F15A76">
                        <w:rPr>
                          <w:sz w:val="12"/>
                        </w:rPr>
                        <w:t>sources of emissions</w:t>
                      </w:r>
                    </w:p>
                  </w:txbxContent>
                </v:textbox>
              </v:roundrect>
            </w:pict>
          </mc:Fallback>
        </mc:AlternateContent>
      </w:r>
    </w:p>
    <w:p w14:paraId="2F0FFDE8" w14:textId="5EB1F18B" w:rsidR="00321CC7" w:rsidRDefault="00321CC7" w:rsidP="00F504C1"/>
    <w:p w14:paraId="1103239E" w14:textId="410400E5" w:rsidR="00321CC7" w:rsidRDefault="00321CC7" w:rsidP="00F504C1"/>
    <w:p w14:paraId="29290492" w14:textId="6B4433DC" w:rsidR="00321CC7" w:rsidRDefault="00321CC7" w:rsidP="00F504C1"/>
    <w:p w14:paraId="32906AEC" w14:textId="6936C3D3" w:rsidR="00321CC7" w:rsidRDefault="00321CC7" w:rsidP="00F504C1"/>
    <w:p w14:paraId="08DE0BF4" w14:textId="0B165667" w:rsidR="00321CC7" w:rsidRDefault="00321CC7" w:rsidP="00F504C1"/>
    <w:p w14:paraId="646254A1" w14:textId="467A1C34" w:rsidR="00321CC7" w:rsidRDefault="00321CC7" w:rsidP="00F504C1"/>
    <w:p w14:paraId="0EAD56B6" w14:textId="36FA0F40" w:rsidR="00321CC7" w:rsidRDefault="00321CC7" w:rsidP="00F504C1"/>
    <w:p w14:paraId="0FA8BA3B" w14:textId="77777777" w:rsidR="00321CC7" w:rsidRDefault="00321CC7" w:rsidP="00F504C1"/>
    <w:p w14:paraId="48BDB7A2" w14:textId="639B5674" w:rsidR="00321CC7" w:rsidRDefault="00321CC7" w:rsidP="00F504C1"/>
    <w:p w14:paraId="134D440A" w14:textId="0757CD38" w:rsidR="00F504C1" w:rsidRPr="001E66EF" w:rsidRDefault="00F504C1" w:rsidP="00F504C1">
      <w:r w:rsidRPr="001E66EF">
        <w:lastRenderedPageBreak/>
        <w:t xml:space="preserve">It is clear that a key benefit of this policy is </w:t>
      </w:r>
      <w:r>
        <w:t>the</w:t>
      </w:r>
      <w:r w:rsidRPr="001E66EF">
        <w:t xml:space="preserve"> nationwide improvement in air quality, to overall lower concentration of PM</w:t>
      </w:r>
      <w:r w:rsidRPr="0027572A">
        <w:rPr>
          <w:vertAlign w:val="subscript"/>
        </w:rPr>
        <w:t>2.5</w:t>
      </w:r>
      <w:r w:rsidR="00F15A76">
        <w:t>.</w:t>
      </w:r>
      <w:r w:rsidRPr="001E66EF">
        <w:t xml:space="preserve">  The lower concentrations of PM</w:t>
      </w:r>
      <w:r w:rsidRPr="0027572A">
        <w:t>2.5</w:t>
      </w:r>
      <w:r w:rsidRPr="001E66EF">
        <w:t xml:space="preserve"> are expected to lead to in fewer health incidences, resulting in societal benefit.  Of the </w:t>
      </w:r>
      <w:r w:rsidR="00496C1B">
        <w:t>12</w:t>
      </w:r>
      <w:r w:rsidRPr="001E66EF">
        <w:t xml:space="preserve"> airsheds that are classified as polluted in 201</w:t>
      </w:r>
      <w:r w:rsidR="00F15A76">
        <w:t>8</w:t>
      </w:r>
      <w:r w:rsidRPr="001E66EF">
        <w:t>, only four remain so by 2028</w:t>
      </w:r>
      <w:r w:rsidR="003A1BCC">
        <w:rPr>
          <w:rStyle w:val="FootnoteReference"/>
        </w:rPr>
        <w:footnoteReference w:id="30"/>
      </w:r>
      <w:r w:rsidRPr="001E66EF">
        <w:t xml:space="preserve">.  </w:t>
      </w:r>
    </w:p>
    <w:p w14:paraId="248FB719" w14:textId="69A46344" w:rsidR="00012A42" w:rsidRPr="001E66EF" w:rsidRDefault="00012A42" w:rsidP="00321CC7">
      <w:pPr>
        <w:pStyle w:val="Heading2"/>
      </w:pPr>
      <w:bookmarkStart w:id="88" w:name="_Toc25569525"/>
      <w:r w:rsidRPr="001E66EF">
        <w:t>Health Cost Savings</w:t>
      </w:r>
      <w:bookmarkEnd w:id="88"/>
    </w:p>
    <w:p w14:paraId="65594D18" w14:textId="408C4DDA" w:rsidR="00A6497D" w:rsidRPr="0027572A" w:rsidRDefault="003D4F0A" w:rsidP="0027572A">
      <w:r w:rsidRPr="001E66EF">
        <w:t>I</w:t>
      </w:r>
      <w:r w:rsidR="00012A42" w:rsidRPr="001E66EF">
        <w:t xml:space="preserve">t is anticipated that implementing </w:t>
      </w:r>
      <w:r w:rsidR="00496C1B">
        <w:t>the proposed policy</w:t>
      </w:r>
      <w:r w:rsidR="00012A42" w:rsidRPr="001E66EF">
        <w:t>, will deliver a total</w:t>
      </w:r>
      <w:r w:rsidRPr="001E66EF">
        <w:t>, NZ-wide</w:t>
      </w:r>
      <w:r w:rsidR="00012A42" w:rsidRPr="001E66EF">
        <w:t xml:space="preserve"> health cost saving of $</w:t>
      </w:r>
      <w:r w:rsidR="00F15A76">
        <w:t>820</w:t>
      </w:r>
      <w:r w:rsidR="00FB39C7" w:rsidRPr="001E66EF">
        <w:t xml:space="preserve"> m</w:t>
      </w:r>
      <w:r w:rsidR="00012A42" w:rsidRPr="001E66EF">
        <w:t xml:space="preserve">illion, with </w:t>
      </w:r>
      <w:r w:rsidR="00F15A76">
        <w:t>Auckland</w:t>
      </w:r>
      <w:r w:rsidR="00F15A76" w:rsidRPr="001E66EF">
        <w:t xml:space="preserve"> </w:t>
      </w:r>
      <w:r w:rsidR="00012A42" w:rsidRPr="001E66EF">
        <w:t>region responsible for the greatest savings - $</w:t>
      </w:r>
      <w:r w:rsidR="00F15A76">
        <w:t>158</w:t>
      </w:r>
      <w:r w:rsidR="00496C1B" w:rsidRPr="001E66EF">
        <w:t>m</w:t>
      </w:r>
      <w:r w:rsidR="00012A42" w:rsidRPr="001E66EF">
        <w:t xml:space="preserve">, and the </w:t>
      </w:r>
      <w:r w:rsidR="00F15A76">
        <w:t>Waikato</w:t>
      </w:r>
      <w:r w:rsidR="00012A42" w:rsidRPr="001E66EF">
        <w:t xml:space="preserve"> region contributing some $</w:t>
      </w:r>
      <w:r w:rsidR="00B834CF">
        <w:t>126</w:t>
      </w:r>
      <w:r w:rsidR="00496C1B" w:rsidRPr="001E66EF">
        <w:t xml:space="preserve">m </w:t>
      </w:r>
      <w:r w:rsidR="00012A42" w:rsidRPr="001E66EF">
        <w:t xml:space="preserve">of health cost savings.  All of these dollar values are reported in NPV terms.  </w:t>
      </w:r>
      <w:r w:rsidR="000914AD" w:rsidRPr="000914AD">
        <w:fldChar w:fldCharType="begin"/>
      </w:r>
      <w:r w:rsidR="000914AD" w:rsidRPr="000914AD">
        <w:instrText xml:space="preserve"> REF _Ref25569420 \h  \* MERGEFORMAT </w:instrText>
      </w:r>
      <w:r w:rsidR="000914AD" w:rsidRPr="000914AD">
        <w:fldChar w:fldCharType="separate"/>
      </w:r>
      <w:r w:rsidR="00FD114C" w:rsidRPr="00FD114C">
        <w:t>Table 5</w:t>
      </w:r>
      <w:r w:rsidR="00FD114C" w:rsidRPr="00FD114C">
        <w:noBreakHyphen/>
        <w:t>2</w:t>
      </w:r>
      <w:r w:rsidR="000914AD" w:rsidRPr="000914AD">
        <w:fldChar w:fldCharType="end"/>
      </w:r>
      <w:r w:rsidR="000914AD">
        <w:t xml:space="preserve"> </w:t>
      </w:r>
      <w:r w:rsidR="00012A42" w:rsidRPr="001E66EF">
        <w:t xml:space="preserve">shows the private costs incurred by households at the </w:t>
      </w:r>
      <w:r w:rsidR="0027572A">
        <w:t>regional</w:t>
      </w:r>
      <w:r w:rsidR="00012A42" w:rsidRPr="001E66EF">
        <w:t xml:space="preserve"> level.  </w:t>
      </w:r>
      <w:r w:rsidR="00F15A76">
        <w:t>Auckland and Wellington</w:t>
      </w:r>
      <w:r w:rsidR="00012A42" w:rsidRPr="001E66EF">
        <w:t xml:space="preserve"> households are shown to have the highest private costs when</w:t>
      </w:r>
      <w:r w:rsidR="00FC149D" w:rsidRPr="001E66EF">
        <w:t xml:space="preserve"> this policy is implemented.  </w:t>
      </w:r>
      <w:bookmarkStart w:id="89" w:name="_Hlk25567351"/>
      <w:r w:rsidR="006241F8" w:rsidRPr="00695441">
        <w:t xml:space="preserve">The modelling suggests that the biggest reduction in premature mortality will be in </w:t>
      </w:r>
      <w:r w:rsidR="00F15A76" w:rsidRPr="00695441">
        <w:t xml:space="preserve">Auckland </w:t>
      </w:r>
      <w:r w:rsidR="006241F8" w:rsidRPr="00695441">
        <w:t xml:space="preserve">– </w:t>
      </w:r>
      <w:r w:rsidR="00F15A76" w:rsidRPr="00695441">
        <w:t xml:space="preserve">91 </w:t>
      </w:r>
      <w:r w:rsidR="006241F8" w:rsidRPr="00695441">
        <w:t>premature deaths attributable to PM</w:t>
      </w:r>
      <w:r w:rsidR="006241F8" w:rsidRPr="0027572A">
        <w:rPr>
          <w:vertAlign w:val="subscript"/>
        </w:rPr>
        <w:t>2.5</w:t>
      </w:r>
      <w:r w:rsidR="006241F8" w:rsidRPr="00695441">
        <w:t xml:space="preserve"> exposure</w:t>
      </w:r>
      <w:r w:rsidR="007B77D3">
        <w:t>,</w:t>
      </w:r>
      <w:r w:rsidR="006241F8" w:rsidRPr="00695441">
        <w:t xml:space="preserve"> avoided.</w:t>
      </w:r>
      <w:r w:rsidR="006241F8" w:rsidRPr="001E66EF">
        <w:t xml:space="preserve">  </w:t>
      </w:r>
      <w:r w:rsidR="006241F8" w:rsidRPr="00695441">
        <w:t xml:space="preserve">Nationally, a total of </w:t>
      </w:r>
      <w:r w:rsidR="00F15A76" w:rsidRPr="00695441">
        <w:t xml:space="preserve">468 </w:t>
      </w:r>
      <w:r w:rsidR="006241F8" w:rsidRPr="00695441">
        <w:t>premature deaths attributable to PM</w:t>
      </w:r>
      <w:r w:rsidR="006241F8" w:rsidRPr="0027572A">
        <w:rPr>
          <w:vertAlign w:val="subscript"/>
        </w:rPr>
        <w:t>2.5</w:t>
      </w:r>
      <w:r w:rsidR="006241F8" w:rsidRPr="00695441">
        <w:t xml:space="preserve"> exposure, are expected to be prevented</w:t>
      </w:r>
      <w:r w:rsidR="006241F8" w:rsidRPr="001E66EF">
        <w:t xml:space="preserve"> over the period between 201</w:t>
      </w:r>
      <w:r w:rsidR="00F15A76">
        <w:t>8</w:t>
      </w:r>
      <w:r w:rsidR="006241F8" w:rsidRPr="001E66EF">
        <w:t xml:space="preserve"> and 2028.</w:t>
      </w:r>
      <w:bookmarkEnd w:id="89"/>
      <w:r w:rsidR="006241F8" w:rsidRPr="001E66EF">
        <w:t xml:space="preserve">  </w:t>
      </w:r>
      <w:r w:rsidR="00A6497D" w:rsidRPr="0027572A">
        <w:rPr>
          <w:b/>
          <w:bCs/>
        </w:rPr>
        <w:t>Note</w:t>
      </w:r>
      <w:r w:rsidR="00A6497D" w:rsidRPr="0027572A">
        <w:t>,</w:t>
      </w:r>
      <w:r w:rsidR="00A6497D" w:rsidRPr="0027572A">
        <w:rPr>
          <w:i/>
          <w:iCs/>
        </w:rPr>
        <w:t xml:space="preserve"> in Canterbury the current rules governing home heating, are stricter than those proposed by the policy, so no additional benefit or cost would result from implementation of the new policy.</w:t>
      </w:r>
    </w:p>
    <w:p w14:paraId="6658E327" w14:textId="3CBB34D4" w:rsidR="006241F8" w:rsidRPr="001D4927" w:rsidRDefault="001D4927" w:rsidP="001D4927">
      <w:pPr>
        <w:pStyle w:val="Caption"/>
        <w:rPr>
          <w:b w:val="0"/>
          <w:bCs w:val="0"/>
        </w:rPr>
      </w:pPr>
      <w:bookmarkStart w:id="90" w:name="_Ref25569420"/>
      <w:bookmarkStart w:id="91" w:name="_Toc25569497"/>
      <w:r w:rsidRPr="001D4927">
        <w:rPr>
          <w:b w:val="0"/>
          <w:bCs w:val="0"/>
        </w:rPr>
        <w:t xml:space="preserve">Table </w:t>
      </w:r>
      <w:r w:rsidRPr="001D4927">
        <w:rPr>
          <w:b w:val="0"/>
          <w:bCs w:val="0"/>
        </w:rPr>
        <w:fldChar w:fldCharType="begin"/>
      </w:r>
      <w:r w:rsidRPr="001D4927">
        <w:rPr>
          <w:b w:val="0"/>
          <w:bCs w:val="0"/>
        </w:rPr>
        <w:instrText xml:space="preserve"> STYLEREF 1 \s </w:instrText>
      </w:r>
      <w:r w:rsidRPr="001D4927">
        <w:rPr>
          <w:b w:val="0"/>
          <w:bCs w:val="0"/>
        </w:rPr>
        <w:fldChar w:fldCharType="separate"/>
      </w:r>
      <w:r w:rsidR="00FD114C">
        <w:rPr>
          <w:b w:val="0"/>
          <w:bCs w:val="0"/>
          <w:noProof/>
        </w:rPr>
        <w:t>5</w:t>
      </w:r>
      <w:r w:rsidRPr="001D4927">
        <w:rPr>
          <w:b w:val="0"/>
          <w:bCs w:val="0"/>
        </w:rPr>
        <w:fldChar w:fldCharType="end"/>
      </w:r>
      <w:r w:rsidRPr="001D4927">
        <w:rPr>
          <w:b w:val="0"/>
          <w:bCs w:val="0"/>
        </w:rPr>
        <w:noBreakHyphen/>
      </w:r>
      <w:r w:rsidRPr="001D4927">
        <w:rPr>
          <w:b w:val="0"/>
          <w:bCs w:val="0"/>
        </w:rPr>
        <w:fldChar w:fldCharType="begin"/>
      </w:r>
      <w:r w:rsidRPr="001D4927">
        <w:rPr>
          <w:b w:val="0"/>
          <w:bCs w:val="0"/>
        </w:rPr>
        <w:instrText xml:space="preserve"> SEQ Table \* ARABIC \s 1 </w:instrText>
      </w:r>
      <w:r w:rsidRPr="001D4927">
        <w:rPr>
          <w:b w:val="0"/>
          <w:bCs w:val="0"/>
        </w:rPr>
        <w:fldChar w:fldCharType="separate"/>
      </w:r>
      <w:r w:rsidR="00FD114C">
        <w:rPr>
          <w:b w:val="0"/>
          <w:bCs w:val="0"/>
          <w:noProof/>
        </w:rPr>
        <w:t>2</w:t>
      </w:r>
      <w:r w:rsidRPr="001D4927">
        <w:rPr>
          <w:b w:val="0"/>
          <w:bCs w:val="0"/>
        </w:rPr>
        <w:fldChar w:fldCharType="end"/>
      </w:r>
      <w:bookmarkEnd w:id="90"/>
      <w:r w:rsidRPr="001D4927">
        <w:rPr>
          <w:b w:val="0"/>
          <w:bCs w:val="0"/>
        </w:rPr>
        <w:t>: Regional Net Health Cost Savings 2017 - 2028 ($m)</w:t>
      </w:r>
      <w:bookmarkEnd w:id="91"/>
    </w:p>
    <w:tbl>
      <w:tblPr>
        <w:tblW w:w="9415" w:type="dxa"/>
        <w:tblInd w:w="227" w:type="dxa"/>
        <w:tblLook w:val="04A0" w:firstRow="1" w:lastRow="0" w:firstColumn="1" w:lastColumn="0" w:noHBand="0" w:noVBand="1"/>
      </w:tblPr>
      <w:tblGrid>
        <w:gridCol w:w="2280"/>
        <w:gridCol w:w="1321"/>
        <w:gridCol w:w="1417"/>
        <w:gridCol w:w="1843"/>
        <w:gridCol w:w="1276"/>
        <w:gridCol w:w="1278"/>
      </w:tblGrid>
      <w:tr w:rsidR="006241F8" w:rsidRPr="001E66EF" w14:paraId="2EBFB765" w14:textId="77777777" w:rsidTr="00B04D46">
        <w:trPr>
          <w:trHeight w:val="113"/>
        </w:trPr>
        <w:tc>
          <w:tcPr>
            <w:tcW w:w="2280" w:type="dxa"/>
            <w:vMerge w:val="restart"/>
            <w:tcBorders>
              <w:top w:val="single" w:sz="8" w:space="0" w:color="95B3D7"/>
              <w:left w:val="nil"/>
              <w:bottom w:val="single" w:sz="8" w:space="0" w:color="95B3D7"/>
              <w:right w:val="nil"/>
            </w:tcBorders>
            <w:shd w:val="clear" w:color="auto" w:fill="auto"/>
            <w:noWrap/>
            <w:vAlign w:val="center"/>
            <w:hideMark/>
          </w:tcPr>
          <w:p w14:paraId="1D708EAB" w14:textId="77777777" w:rsidR="006241F8" w:rsidRPr="00B04D46" w:rsidRDefault="006241F8" w:rsidP="006241F8">
            <w:pPr>
              <w:spacing w:after="0" w:line="240" w:lineRule="auto"/>
              <w:ind w:left="0"/>
              <w:jc w:val="left"/>
              <w:rPr>
                <w:rFonts w:eastAsia="Times New Roman" w:cs="Times New Roman"/>
                <w:b/>
                <w:bCs/>
                <w:color w:val="000000"/>
                <w:sz w:val="18"/>
                <w:lang w:eastAsia="en-NZ"/>
              </w:rPr>
            </w:pPr>
            <w:r w:rsidRPr="00B04D46">
              <w:rPr>
                <w:rFonts w:eastAsia="Times New Roman" w:cs="Times New Roman"/>
                <w:b/>
                <w:bCs/>
                <w:color w:val="000000"/>
                <w:sz w:val="18"/>
                <w:lang w:eastAsia="en-NZ"/>
              </w:rPr>
              <w:t>Regional Council</w:t>
            </w:r>
          </w:p>
        </w:tc>
        <w:tc>
          <w:tcPr>
            <w:tcW w:w="2738" w:type="dxa"/>
            <w:gridSpan w:val="2"/>
            <w:tcBorders>
              <w:top w:val="single" w:sz="8" w:space="0" w:color="95B3D7"/>
              <w:left w:val="nil"/>
              <w:bottom w:val="single" w:sz="8" w:space="0" w:color="auto"/>
              <w:right w:val="nil"/>
            </w:tcBorders>
            <w:shd w:val="clear" w:color="auto" w:fill="auto"/>
            <w:noWrap/>
            <w:vAlign w:val="center"/>
            <w:hideMark/>
          </w:tcPr>
          <w:p w14:paraId="021DF956" w14:textId="5FC2CE9D" w:rsidR="006241F8" w:rsidRPr="00B04D46" w:rsidRDefault="006241F8" w:rsidP="006241F8">
            <w:pPr>
              <w:spacing w:after="0" w:line="240" w:lineRule="auto"/>
              <w:ind w:left="0"/>
              <w:jc w:val="center"/>
              <w:rPr>
                <w:rFonts w:eastAsia="Times New Roman" w:cs="Times New Roman"/>
                <w:b/>
                <w:bCs/>
                <w:color w:val="000000"/>
                <w:sz w:val="18"/>
                <w:lang w:eastAsia="en-NZ"/>
              </w:rPr>
            </w:pPr>
            <w:r w:rsidRPr="00B04D46">
              <w:rPr>
                <w:rFonts w:eastAsia="Times New Roman" w:cs="Times New Roman"/>
                <w:b/>
                <w:bCs/>
                <w:color w:val="000000"/>
                <w:sz w:val="18"/>
                <w:lang w:eastAsia="en-NZ"/>
              </w:rPr>
              <w:t>Cost Avoided*</w:t>
            </w:r>
          </w:p>
        </w:tc>
        <w:tc>
          <w:tcPr>
            <w:tcW w:w="1843" w:type="dxa"/>
            <w:vMerge w:val="restart"/>
            <w:tcBorders>
              <w:top w:val="single" w:sz="8" w:space="0" w:color="95B3D7"/>
              <w:left w:val="nil"/>
              <w:right w:val="nil"/>
            </w:tcBorders>
            <w:shd w:val="clear" w:color="auto" w:fill="auto"/>
            <w:vAlign w:val="center"/>
            <w:hideMark/>
          </w:tcPr>
          <w:p w14:paraId="3A0D21F8" w14:textId="77777777" w:rsidR="006241F8" w:rsidRPr="00B04D46" w:rsidRDefault="006241F8" w:rsidP="006241F8">
            <w:pPr>
              <w:spacing w:after="0" w:line="240" w:lineRule="auto"/>
              <w:ind w:left="0"/>
              <w:jc w:val="center"/>
              <w:rPr>
                <w:rFonts w:eastAsia="Times New Roman" w:cs="Times New Roman"/>
                <w:b/>
                <w:bCs/>
                <w:color w:val="000000"/>
                <w:sz w:val="18"/>
                <w:lang w:eastAsia="en-NZ"/>
              </w:rPr>
            </w:pPr>
            <w:r w:rsidRPr="00B04D46">
              <w:rPr>
                <w:rFonts w:eastAsia="Times New Roman" w:cs="Times New Roman"/>
                <w:b/>
                <w:bCs/>
                <w:color w:val="000000"/>
                <w:sz w:val="18"/>
                <w:lang w:eastAsia="en-NZ"/>
              </w:rPr>
              <w:t>Private Cost</w:t>
            </w:r>
          </w:p>
          <w:p w14:paraId="52F30918" w14:textId="24DCF266" w:rsidR="006241F8" w:rsidRPr="00B04D46" w:rsidRDefault="006241F8" w:rsidP="006241F8">
            <w:pPr>
              <w:spacing w:after="0" w:line="240" w:lineRule="auto"/>
              <w:ind w:left="0"/>
              <w:jc w:val="center"/>
              <w:rPr>
                <w:rFonts w:eastAsia="Times New Roman" w:cs="Times New Roman"/>
                <w:b/>
                <w:bCs/>
                <w:color w:val="000000"/>
                <w:sz w:val="18"/>
                <w:lang w:eastAsia="en-NZ"/>
              </w:rPr>
            </w:pPr>
            <w:r w:rsidRPr="00B04D46">
              <w:rPr>
                <w:rFonts w:eastAsia="Times New Roman" w:cs="Times New Roman"/>
                <w:b/>
                <w:bCs/>
                <w:color w:val="000000"/>
                <w:sz w:val="18"/>
                <w:lang w:eastAsia="en-NZ"/>
              </w:rPr>
              <w:t>(Household)</w:t>
            </w:r>
          </w:p>
        </w:tc>
        <w:tc>
          <w:tcPr>
            <w:tcW w:w="1276" w:type="dxa"/>
            <w:vMerge w:val="restart"/>
            <w:tcBorders>
              <w:top w:val="single" w:sz="8" w:space="0" w:color="95B3D7"/>
              <w:left w:val="nil"/>
              <w:bottom w:val="single" w:sz="8" w:space="0" w:color="95B3D7"/>
              <w:right w:val="nil"/>
            </w:tcBorders>
            <w:shd w:val="clear" w:color="auto" w:fill="auto"/>
            <w:vAlign w:val="center"/>
            <w:hideMark/>
          </w:tcPr>
          <w:p w14:paraId="50B0C80B" w14:textId="77777777" w:rsidR="006241F8" w:rsidRPr="00B04D46" w:rsidRDefault="006241F8" w:rsidP="006241F8">
            <w:pPr>
              <w:spacing w:after="0" w:line="240" w:lineRule="auto"/>
              <w:ind w:left="0"/>
              <w:jc w:val="center"/>
              <w:rPr>
                <w:rFonts w:eastAsia="Times New Roman" w:cs="Times New Roman"/>
                <w:b/>
                <w:bCs/>
                <w:color w:val="000000"/>
                <w:sz w:val="18"/>
                <w:lang w:eastAsia="en-NZ"/>
              </w:rPr>
            </w:pPr>
            <w:r w:rsidRPr="00B04D46">
              <w:rPr>
                <w:rFonts w:eastAsia="Times New Roman" w:cs="Times New Roman"/>
                <w:b/>
                <w:bCs/>
                <w:color w:val="000000"/>
                <w:sz w:val="18"/>
                <w:lang w:eastAsia="en-NZ"/>
              </w:rPr>
              <w:t>Reduction in Mortality (lives)</w:t>
            </w:r>
          </w:p>
        </w:tc>
        <w:tc>
          <w:tcPr>
            <w:tcW w:w="1278" w:type="dxa"/>
            <w:vMerge w:val="restart"/>
            <w:tcBorders>
              <w:top w:val="single" w:sz="8" w:space="0" w:color="95B3D7"/>
              <w:left w:val="nil"/>
              <w:bottom w:val="single" w:sz="8" w:space="0" w:color="95B3D7"/>
              <w:right w:val="nil"/>
            </w:tcBorders>
            <w:shd w:val="clear" w:color="auto" w:fill="auto"/>
            <w:vAlign w:val="center"/>
            <w:hideMark/>
          </w:tcPr>
          <w:p w14:paraId="28F7352D" w14:textId="77777777" w:rsidR="006241F8" w:rsidRPr="00B04D46" w:rsidRDefault="006241F8" w:rsidP="006241F8">
            <w:pPr>
              <w:spacing w:after="0" w:line="240" w:lineRule="auto"/>
              <w:ind w:left="0"/>
              <w:jc w:val="center"/>
              <w:rPr>
                <w:rFonts w:eastAsia="Times New Roman" w:cs="Times New Roman"/>
                <w:b/>
                <w:bCs/>
                <w:color w:val="000000"/>
                <w:sz w:val="18"/>
                <w:lang w:eastAsia="en-NZ"/>
              </w:rPr>
            </w:pPr>
            <w:r w:rsidRPr="00B04D46">
              <w:rPr>
                <w:rFonts w:eastAsia="Times New Roman" w:cs="Times New Roman"/>
                <w:b/>
                <w:bCs/>
                <w:color w:val="000000"/>
                <w:sz w:val="18"/>
                <w:lang w:eastAsia="en-NZ"/>
              </w:rPr>
              <w:t>Cost Benefit Ratio</w:t>
            </w:r>
          </w:p>
        </w:tc>
      </w:tr>
      <w:tr w:rsidR="006241F8" w:rsidRPr="001E66EF" w14:paraId="6F152A05" w14:textId="77777777" w:rsidTr="00B04D46">
        <w:trPr>
          <w:trHeight w:val="148"/>
        </w:trPr>
        <w:tc>
          <w:tcPr>
            <w:tcW w:w="2280" w:type="dxa"/>
            <w:vMerge/>
            <w:tcBorders>
              <w:top w:val="single" w:sz="8" w:space="0" w:color="95B3D7"/>
              <w:left w:val="nil"/>
              <w:bottom w:val="single" w:sz="8" w:space="0" w:color="95B3D7"/>
              <w:right w:val="nil"/>
            </w:tcBorders>
            <w:vAlign w:val="center"/>
            <w:hideMark/>
          </w:tcPr>
          <w:p w14:paraId="0BEB7270" w14:textId="77777777" w:rsidR="006241F8" w:rsidRPr="00B04D46" w:rsidRDefault="006241F8" w:rsidP="006241F8">
            <w:pPr>
              <w:spacing w:after="0" w:line="240" w:lineRule="auto"/>
              <w:ind w:left="0"/>
              <w:jc w:val="left"/>
              <w:rPr>
                <w:rFonts w:eastAsia="Times New Roman" w:cs="Times New Roman"/>
                <w:b/>
                <w:bCs/>
                <w:color w:val="000000"/>
                <w:sz w:val="18"/>
                <w:lang w:eastAsia="en-NZ"/>
              </w:rPr>
            </w:pPr>
          </w:p>
        </w:tc>
        <w:tc>
          <w:tcPr>
            <w:tcW w:w="1321" w:type="dxa"/>
            <w:tcBorders>
              <w:top w:val="nil"/>
              <w:left w:val="nil"/>
              <w:bottom w:val="single" w:sz="8" w:space="0" w:color="95B3D7"/>
              <w:right w:val="nil"/>
            </w:tcBorders>
            <w:shd w:val="clear" w:color="000000" w:fill="DBE5F1"/>
            <w:noWrap/>
            <w:vAlign w:val="center"/>
            <w:hideMark/>
          </w:tcPr>
          <w:p w14:paraId="6291F6DF" w14:textId="6B20D125" w:rsidR="006241F8" w:rsidRPr="00B04D46" w:rsidRDefault="006241F8" w:rsidP="006241F8">
            <w:pPr>
              <w:spacing w:after="0" w:line="240" w:lineRule="auto"/>
              <w:ind w:left="0"/>
              <w:jc w:val="center"/>
              <w:rPr>
                <w:rFonts w:eastAsia="Times New Roman" w:cs="Times New Roman"/>
                <w:color w:val="000000"/>
                <w:sz w:val="18"/>
                <w:lang w:eastAsia="en-NZ"/>
              </w:rPr>
            </w:pPr>
            <w:r w:rsidRPr="00B04D46">
              <w:rPr>
                <w:rFonts w:eastAsia="Times New Roman" w:cs="Times New Roman"/>
                <w:color w:val="000000"/>
                <w:sz w:val="18"/>
                <w:lang w:eastAsia="en-NZ"/>
              </w:rPr>
              <w:t>NPV</w:t>
            </w:r>
          </w:p>
        </w:tc>
        <w:tc>
          <w:tcPr>
            <w:tcW w:w="1417" w:type="dxa"/>
            <w:tcBorders>
              <w:top w:val="nil"/>
              <w:left w:val="nil"/>
              <w:bottom w:val="single" w:sz="8" w:space="0" w:color="95B3D7"/>
              <w:right w:val="nil"/>
            </w:tcBorders>
            <w:shd w:val="clear" w:color="000000" w:fill="DBE5F1"/>
            <w:noWrap/>
            <w:vAlign w:val="center"/>
            <w:hideMark/>
          </w:tcPr>
          <w:p w14:paraId="14B8AE18" w14:textId="77777777" w:rsidR="006241F8" w:rsidRPr="00B04D46" w:rsidRDefault="006241F8" w:rsidP="006241F8">
            <w:pPr>
              <w:spacing w:after="0" w:line="240" w:lineRule="auto"/>
              <w:ind w:left="0"/>
              <w:jc w:val="center"/>
              <w:rPr>
                <w:rFonts w:eastAsia="Times New Roman" w:cs="Times New Roman"/>
                <w:color w:val="000000"/>
                <w:sz w:val="18"/>
                <w:lang w:eastAsia="en-NZ"/>
              </w:rPr>
            </w:pPr>
            <w:r w:rsidRPr="00B04D46">
              <w:rPr>
                <w:rFonts w:eastAsia="Times New Roman" w:cs="Times New Roman"/>
                <w:color w:val="000000"/>
                <w:sz w:val="18"/>
                <w:lang w:eastAsia="en-NZ"/>
              </w:rPr>
              <w:t>Undiscounted</w:t>
            </w:r>
          </w:p>
        </w:tc>
        <w:tc>
          <w:tcPr>
            <w:tcW w:w="1843" w:type="dxa"/>
            <w:vMerge/>
            <w:tcBorders>
              <w:left w:val="nil"/>
              <w:bottom w:val="single" w:sz="8" w:space="0" w:color="95B3D7"/>
              <w:right w:val="nil"/>
            </w:tcBorders>
            <w:shd w:val="clear" w:color="auto" w:fill="auto"/>
            <w:vAlign w:val="center"/>
            <w:hideMark/>
          </w:tcPr>
          <w:p w14:paraId="0BFB8379" w14:textId="549D853C" w:rsidR="006241F8" w:rsidRPr="006241F8" w:rsidRDefault="006241F8" w:rsidP="006241F8">
            <w:pPr>
              <w:spacing w:after="0" w:line="240" w:lineRule="auto"/>
              <w:ind w:left="0"/>
              <w:jc w:val="center"/>
              <w:rPr>
                <w:rFonts w:eastAsia="Times New Roman" w:cs="Times New Roman"/>
                <w:b/>
                <w:bCs/>
                <w:color w:val="000000"/>
                <w:lang w:eastAsia="en-NZ"/>
              </w:rPr>
            </w:pPr>
          </w:p>
        </w:tc>
        <w:tc>
          <w:tcPr>
            <w:tcW w:w="1276" w:type="dxa"/>
            <w:vMerge/>
            <w:tcBorders>
              <w:top w:val="single" w:sz="8" w:space="0" w:color="95B3D7"/>
              <w:left w:val="nil"/>
              <w:bottom w:val="single" w:sz="8" w:space="0" w:color="95B3D7"/>
              <w:right w:val="nil"/>
            </w:tcBorders>
            <w:vAlign w:val="center"/>
            <w:hideMark/>
          </w:tcPr>
          <w:p w14:paraId="4AEF67A3" w14:textId="77777777" w:rsidR="006241F8" w:rsidRPr="006241F8" w:rsidRDefault="006241F8" w:rsidP="006241F8">
            <w:pPr>
              <w:spacing w:after="0" w:line="240" w:lineRule="auto"/>
              <w:ind w:left="0"/>
              <w:jc w:val="left"/>
              <w:rPr>
                <w:rFonts w:eastAsia="Times New Roman" w:cs="Times New Roman"/>
                <w:b/>
                <w:bCs/>
                <w:color w:val="000000"/>
                <w:lang w:eastAsia="en-NZ"/>
              </w:rPr>
            </w:pPr>
          </w:p>
        </w:tc>
        <w:tc>
          <w:tcPr>
            <w:tcW w:w="1278" w:type="dxa"/>
            <w:vMerge/>
            <w:tcBorders>
              <w:top w:val="single" w:sz="8" w:space="0" w:color="95B3D7"/>
              <w:left w:val="nil"/>
              <w:bottom w:val="single" w:sz="8" w:space="0" w:color="95B3D7"/>
              <w:right w:val="nil"/>
            </w:tcBorders>
            <w:vAlign w:val="center"/>
            <w:hideMark/>
          </w:tcPr>
          <w:p w14:paraId="5D67B845" w14:textId="77777777" w:rsidR="006241F8" w:rsidRPr="006241F8" w:rsidRDefault="006241F8" w:rsidP="006241F8">
            <w:pPr>
              <w:spacing w:after="0" w:line="240" w:lineRule="auto"/>
              <w:ind w:left="0"/>
              <w:jc w:val="left"/>
              <w:rPr>
                <w:rFonts w:eastAsia="Times New Roman" w:cs="Times New Roman"/>
                <w:b/>
                <w:bCs/>
                <w:color w:val="000000"/>
                <w:lang w:eastAsia="en-NZ"/>
              </w:rPr>
            </w:pPr>
          </w:p>
        </w:tc>
      </w:tr>
      <w:tr w:rsidR="00FB7492" w:rsidRPr="006241F8" w14:paraId="297A1073"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19FA04CB"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Northland</w:t>
            </w:r>
          </w:p>
        </w:tc>
        <w:tc>
          <w:tcPr>
            <w:tcW w:w="1321" w:type="dxa"/>
            <w:tcBorders>
              <w:top w:val="nil"/>
              <w:left w:val="nil"/>
              <w:bottom w:val="single" w:sz="8" w:space="0" w:color="95B3D7"/>
              <w:right w:val="nil"/>
            </w:tcBorders>
            <w:shd w:val="clear" w:color="auto" w:fill="auto"/>
            <w:noWrap/>
            <w:vAlign w:val="center"/>
            <w:hideMark/>
          </w:tcPr>
          <w:p w14:paraId="2796A6B4" w14:textId="46FD0330"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-$3.6 </w:t>
            </w:r>
          </w:p>
        </w:tc>
        <w:tc>
          <w:tcPr>
            <w:tcW w:w="1417" w:type="dxa"/>
            <w:tcBorders>
              <w:top w:val="nil"/>
              <w:left w:val="nil"/>
              <w:bottom w:val="single" w:sz="8" w:space="0" w:color="95B3D7"/>
              <w:right w:val="nil"/>
            </w:tcBorders>
            <w:shd w:val="clear" w:color="auto" w:fill="auto"/>
            <w:noWrap/>
            <w:vAlign w:val="center"/>
            <w:hideMark/>
          </w:tcPr>
          <w:p w14:paraId="598621C1" w14:textId="2D870A7F"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-$6.2 </w:t>
            </w:r>
          </w:p>
        </w:tc>
        <w:tc>
          <w:tcPr>
            <w:tcW w:w="1843" w:type="dxa"/>
            <w:tcBorders>
              <w:top w:val="nil"/>
              <w:left w:val="nil"/>
              <w:bottom w:val="single" w:sz="8" w:space="0" w:color="95B3D7"/>
              <w:right w:val="nil"/>
            </w:tcBorders>
            <w:shd w:val="clear" w:color="auto" w:fill="auto"/>
            <w:noWrap/>
            <w:vAlign w:val="center"/>
            <w:hideMark/>
          </w:tcPr>
          <w:p w14:paraId="09C9C534" w14:textId="6F4A68CF"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$5.7</w:t>
            </w:r>
          </w:p>
        </w:tc>
        <w:tc>
          <w:tcPr>
            <w:tcW w:w="1276" w:type="dxa"/>
            <w:tcBorders>
              <w:top w:val="nil"/>
              <w:left w:val="nil"/>
              <w:bottom w:val="single" w:sz="8" w:space="0" w:color="95B3D7"/>
              <w:right w:val="nil"/>
            </w:tcBorders>
            <w:shd w:val="clear" w:color="auto" w:fill="auto"/>
            <w:noWrap/>
            <w:vAlign w:val="center"/>
            <w:hideMark/>
          </w:tcPr>
          <w:p w14:paraId="1C9F186F" w14:textId="5069857E"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w:t>
            </w:r>
          </w:p>
        </w:tc>
        <w:tc>
          <w:tcPr>
            <w:tcW w:w="1278" w:type="dxa"/>
            <w:tcBorders>
              <w:top w:val="nil"/>
              <w:left w:val="nil"/>
              <w:bottom w:val="single" w:sz="8" w:space="0" w:color="95B3D7"/>
              <w:right w:val="nil"/>
            </w:tcBorders>
            <w:shd w:val="clear" w:color="auto" w:fill="auto"/>
            <w:noWrap/>
            <w:vAlign w:val="center"/>
            <w:hideMark/>
          </w:tcPr>
          <w:p w14:paraId="1E792B2D" w14:textId="67C45FED"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1.1</w:t>
            </w:r>
          </w:p>
        </w:tc>
      </w:tr>
      <w:tr w:rsidR="00FB7492" w:rsidRPr="001E66EF" w14:paraId="29564B1A"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4AD5E0F8"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Auckland</w:t>
            </w:r>
          </w:p>
        </w:tc>
        <w:tc>
          <w:tcPr>
            <w:tcW w:w="1321" w:type="dxa"/>
            <w:tcBorders>
              <w:top w:val="nil"/>
              <w:left w:val="nil"/>
              <w:bottom w:val="single" w:sz="8" w:space="0" w:color="95B3D7"/>
              <w:right w:val="nil"/>
            </w:tcBorders>
            <w:shd w:val="clear" w:color="000000" w:fill="DBE5F1"/>
            <w:noWrap/>
            <w:vAlign w:val="center"/>
            <w:hideMark/>
          </w:tcPr>
          <w:p w14:paraId="0A247818" w14:textId="6FD0FC35"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-$158.3 </w:t>
            </w:r>
          </w:p>
        </w:tc>
        <w:tc>
          <w:tcPr>
            <w:tcW w:w="1417" w:type="dxa"/>
            <w:tcBorders>
              <w:top w:val="nil"/>
              <w:left w:val="nil"/>
              <w:bottom w:val="single" w:sz="8" w:space="0" w:color="95B3D7"/>
              <w:right w:val="nil"/>
            </w:tcBorders>
            <w:shd w:val="clear" w:color="000000" w:fill="DBE5F1"/>
            <w:noWrap/>
            <w:vAlign w:val="center"/>
            <w:hideMark/>
          </w:tcPr>
          <w:p w14:paraId="341FD6B5" w14:textId="2223F6FC"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-$273.2 </w:t>
            </w:r>
          </w:p>
        </w:tc>
        <w:tc>
          <w:tcPr>
            <w:tcW w:w="1843" w:type="dxa"/>
            <w:tcBorders>
              <w:top w:val="nil"/>
              <w:left w:val="nil"/>
              <w:bottom w:val="single" w:sz="8" w:space="0" w:color="95B3D7"/>
              <w:right w:val="nil"/>
            </w:tcBorders>
            <w:shd w:val="clear" w:color="000000" w:fill="DBE5F1"/>
            <w:noWrap/>
            <w:vAlign w:val="center"/>
            <w:hideMark/>
          </w:tcPr>
          <w:p w14:paraId="447CBB1D" w14:textId="00F8A54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$36.0</w:t>
            </w:r>
          </w:p>
        </w:tc>
        <w:tc>
          <w:tcPr>
            <w:tcW w:w="1276" w:type="dxa"/>
            <w:tcBorders>
              <w:top w:val="nil"/>
              <w:left w:val="nil"/>
              <w:bottom w:val="single" w:sz="8" w:space="0" w:color="95B3D7"/>
              <w:right w:val="nil"/>
            </w:tcBorders>
            <w:shd w:val="clear" w:color="000000" w:fill="DBE5F1"/>
            <w:noWrap/>
            <w:vAlign w:val="center"/>
            <w:hideMark/>
          </w:tcPr>
          <w:p w14:paraId="00232DD1" w14:textId="2E98531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91</w:t>
            </w:r>
          </w:p>
        </w:tc>
        <w:tc>
          <w:tcPr>
            <w:tcW w:w="1278" w:type="dxa"/>
            <w:tcBorders>
              <w:top w:val="nil"/>
              <w:left w:val="nil"/>
              <w:bottom w:val="single" w:sz="8" w:space="0" w:color="95B3D7"/>
              <w:right w:val="nil"/>
            </w:tcBorders>
            <w:shd w:val="clear" w:color="000000" w:fill="DBE5F1"/>
            <w:noWrap/>
            <w:vAlign w:val="center"/>
            <w:hideMark/>
          </w:tcPr>
          <w:p w14:paraId="60A15C14" w14:textId="78DA27EB"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7.3</w:t>
            </w:r>
          </w:p>
        </w:tc>
      </w:tr>
      <w:tr w:rsidR="00FB7492" w:rsidRPr="006241F8" w14:paraId="0AA5F8B6"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6E8BF285"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Waikato</w:t>
            </w:r>
          </w:p>
        </w:tc>
        <w:tc>
          <w:tcPr>
            <w:tcW w:w="1321" w:type="dxa"/>
            <w:tcBorders>
              <w:top w:val="nil"/>
              <w:left w:val="nil"/>
              <w:bottom w:val="single" w:sz="8" w:space="0" w:color="95B3D7"/>
              <w:right w:val="nil"/>
            </w:tcBorders>
            <w:shd w:val="clear" w:color="auto" w:fill="auto"/>
            <w:noWrap/>
            <w:vAlign w:val="center"/>
            <w:hideMark/>
          </w:tcPr>
          <w:p w14:paraId="09E3BC80" w14:textId="765301C9"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-$125.5 </w:t>
            </w:r>
          </w:p>
        </w:tc>
        <w:tc>
          <w:tcPr>
            <w:tcW w:w="1417" w:type="dxa"/>
            <w:tcBorders>
              <w:top w:val="nil"/>
              <w:left w:val="nil"/>
              <w:bottom w:val="single" w:sz="8" w:space="0" w:color="95B3D7"/>
              <w:right w:val="nil"/>
            </w:tcBorders>
            <w:shd w:val="clear" w:color="auto" w:fill="auto"/>
            <w:noWrap/>
            <w:vAlign w:val="center"/>
            <w:hideMark/>
          </w:tcPr>
          <w:p w14:paraId="00C3286F" w14:textId="4BA1C6B7"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-$215.5 </w:t>
            </w:r>
          </w:p>
        </w:tc>
        <w:tc>
          <w:tcPr>
            <w:tcW w:w="1843" w:type="dxa"/>
            <w:tcBorders>
              <w:top w:val="nil"/>
              <w:left w:val="nil"/>
              <w:bottom w:val="single" w:sz="8" w:space="0" w:color="95B3D7"/>
              <w:right w:val="nil"/>
            </w:tcBorders>
            <w:shd w:val="clear" w:color="auto" w:fill="auto"/>
            <w:noWrap/>
            <w:vAlign w:val="center"/>
            <w:hideMark/>
          </w:tcPr>
          <w:p w14:paraId="59F2EB10" w14:textId="2C7A6EE1"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$16.9</w:t>
            </w:r>
          </w:p>
        </w:tc>
        <w:tc>
          <w:tcPr>
            <w:tcW w:w="1276" w:type="dxa"/>
            <w:tcBorders>
              <w:top w:val="nil"/>
              <w:left w:val="nil"/>
              <w:bottom w:val="single" w:sz="8" w:space="0" w:color="95B3D7"/>
              <w:right w:val="nil"/>
            </w:tcBorders>
            <w:shd w:val="clear" w:color="auto" w:fill="auto"/>
            <w:noWrap/>
            <w:vAlign w:val="center"/>
            <w:hideMark/>
          </w:tcPr>
          <w:p w14:paraId="57309C41" w14:textId="3E06810A"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72</w:t>
            </w:r>
          </w:p>
        </w:tc>
        <w:tc>
          <w:tcPr>
            <w:tcW w:w="1278" w:type="dxa"/>
            <w:tcBorders>
              <w:top w:val="nil"/>
              <w:left w:val="nil"/>
              <w:bottom w:val="single" w:sz="8" w:space="0" w:color="95B3D7"/>
              <w:right w:val="nil"/>
            </w:tcBorders>
            <w:shd w:val="clear" w:color="auto" w:fill="auto"/>
            <w:noWrap/>
            <w:vAlign w:val="center"/>
            <w:hideMark/>
          </w:tcPr>
          <w:p w14:paraId="7EE74DF0" w14:textId="4665A4E0"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12.3</w:t>
            </w:r>
          </w:p>
        </w:tc>
      </w:tr>
      <w:tr w:rsidR="00FB7492" w:rsidRPr="001E66EF" w14:paraId="26B13C62"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1C430FCC"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Bay of Plenty</w:t>
            </w:r>
          </w:p>
        </w:tc>
        <w:tc>
          <w:tcPr>
            <w:tcW w:w="1321" w:type="dxa"/>
            <w:tcBorders>
              <w:top w:val="nil"/>
              <w:left w:val="nil"/>
              <w:bottom w:val="single" w:sz="8" w:space="0" w:color="95B3D7"/>
              <w:right w:val="nil"/>
            </w:tcBorders>
            <w:shd w:val="clear" w:color="000000" w:fill="DBE5F1"/>
            <w:noWrap/>
            <w:vAlign w:val="center"/>
            <w:hideMark/>
          </w:tcPr>
          <w:p w14:paraId="53C1C8FE" w14:textId="4D73CDB1"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-$51.2 </w:t>
            </w:r>
          </w:p>
        </w:tc>
        <w:tc>
          <w:tcPr>
            <w:tcW w:w="1417" w:type="dxa"/>
            <w:tcBorders>
              <w:top w:val="nil"/>
              <w:left w:val="nil"/>
              <w:bottom w:val="single" w:sz="8" w:space="0" w:color="95B3D7"/>
              <w:right w:val="nil"/>
            </w:tcBorders>
            <w:shd w:val="clear" w:color="000000" w:fill="DBE5F1"/>
            <w:noWrap/>
            <w:vAlign w:val="center"/>
            <w:hideMark/>
          </w:tcPr>
          <w:p w14:paraId="4C48A7D7" w14:textId="139CD7F7"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-$87.7 </w:t>
            </w:r>
          </w:p>
        </w:tc>
        <w:tc>
          <w:tcPr>
            <w:tcW w:w="1843" w:type="dxa"/>
            <w:tcBorders>
              <w:top w:val="nil"/>
              <w:left w:val="nil"/>
              <w:bottom w:val="single" w:sz="8" w:space="0" w:color="95B3D7"/>
              <w:right w:val="nil"/>
            </w:tcBorders>
            <w:shd w:val="clear" w:color="000000" w:fill="DBE5F1"/>
            <w:noWrap/>
            <w:vAlign w:val="center"/>
            <w:hideMark/>
          </w:tcPr>
          <w:p w14:paraId="1A5BCEB5" w14:textId="0CD7DA15"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$3.9</w:t>
            </w:r>
          </w:p>
        </w:tc>
        <w:tc>
          <w:tcPr>
            <w:tcW w:w="1276" w:type="dxa"/>
            <w:tcBorders>
              <w:top w:val="nil"/>
              <w:left w:val="nil"/>
              <w:bottom w:val="single" w:sz="8" w:space="0" w:color="95B3D7"/>
              <w:right w:val="nil"/>
            </w:tcBorders>
            <w:shd w:val="clear" w:color="000000" w:fill="DBE5F1"/>
            <w:noWrap/>
            <w:vAlign w:val="center"/>
            <w:hideMark/>
          </w:tcPr>
          <w:p w14:paraId="4F15A2EF" w14:textId="582BCF39"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29</w:t>
            </w:r>
          </w:p>
        </w:tc>
        <w:tc>
          <w:tcPr>
            <w:tcW w:w="1278" w:type="dxa"/>
            <w:tcBorders>
              <w:top w:val="nil"/>
              <w:left w:val="nil"/>
              <w:bottom w:val="single" w:sz="8" w:space="0" w:color="95B3D7"/>
              <w:right w:val="nil"/>
            </w:tcBorders>
            <w:shd w:val="clear" w:color="000000" w:fill="DBE5F1"/>
            <w:noWrap/>
            <w:vAlign w:val="center"/>
            <w:hideMark/>
          </w:tcPr>
          <w:p w14:paraId="0C1898F9" w14:textId="64C7B633"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21.5</w:t>
            </w:r>
          </w:p>
        </w:tc>
      </w:tr>
      <w:tr w:rsidR="00FB7492" w:rsidRPr="006241F8" w14:paraId="3F77BDEB"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786650B8"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Gisborne</w:t>
            </w:r>
          </w:p>
        </w:tc>
        <w:tc>
          <w:tcPr>
            <w:tcW w:w="1321" w:type="dxa"/>
            <w:tcBorders>
              <w:top w:val="nil"/>
              <w:left w:val="nil"/>
              <w:bottom w:val="single" w:sz="8" w:space="0" w:color="95B3D7"/>
              <w:right w:val="nil"/>
            </w:tcBorders>
            <w:shd w:val="clear" w:color="auto" w:fill="auto"/>
            <w:noWrap/>
            <w:vAlign w:val="center"/>
            <w:hideMark/>
          </w:tcPr>
          <w:p w14:paraId="083389E0" w14:textId="23D7B1F0"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-$19.7 </w:t>
            </w:r>
          </w:p>
        </w:tc>
        <w:tc>
          <w:tcPr>
            <w:tcW w:w="1417" w:type="dxa"/>
            <w:tcBorders>
              <w:top w:val="nil"/>
              <w:left w:val="nil"/>
              <w:bottom w:val="single" w:sz="8" w:space="0" w:color="95B3D7"/>
              <w:right w:val="nil"/>
            </w:tcBorders>
            <w:shd w:val="clear" w:color="auto" w:fill="auto"/>
            <w:noWrap/>
            <w:vAlign w:val="center"/>
            <w:hideMark/>
          </w:tcPr>
          <w:p w14:paraId="3C3D008F" w14:textId="265EE333"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-$33.8 </w:t>
            </w:r>
          </w:p>
        </w:tc>
        <w:tc>
          <w:tcPr>
            <w:tcW w:w="1843" w:type="dxa"/>
            <w:tcBorders>
              <w:top w:val="nil"/>
              <w:left w:val="nil"/>
              <w:bottom w:val="single" w:sz="8" w:space="0" w:color="95B3D7"/>
              <w:right w:val="nil"/>
            </w:tcBorders>
            <w:shd w:val="clear" w:color="auto" w:fill="auto"/>
            <w:noWrap/>
            <w:vAlign w:val="center"/>
            <w:hideMark/>
          </w:tcPr>
          <w:p w14:paraId="0B4B51E8" w14:textId="59864725"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$3.1</w:t>
            </w:r>
          </w:p>
        </w:tc>
        <w:tc>
          <w:tcPr>
            <w:tcW w:w="1276" w:type="dxa"/>
            <w:tcBorders>
              <w:top w:val="nil"/>
              <w:left w:val="nil"/>
              <w:bottom w:val="single" w:sz="8" w:space="0" w:color="95B3D7"/>
              <w:right w:val="nil"/>
            </w:tcBorders>
            <w:shd w:val="clear" w:color="auto" w:fill="auto"/>
            <w:noWrap/>
            <w:vAlign w:val="center"/>
            <w:hideMark/>
          </w:tcPr>
          <w:p w14:paraId="6391F098" w14:textId="37279E0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11</w:t>
            </w:r>
          </w:p>
        </w:tc>
        <w:tc>
          <w:tcPr>
            <w:tcW w:w="1278" w:type="dxa"/>
            <w:tcBorders>
              <w:top w:val="nil"/>
              <w:left w:val="nil"/>
              <w:bottom w:val="single" w:sz="8" w:space="0" w:color="95B3D7"/>
              <w:right w:val="nil"/>
            </w:tcBorders>
            <w:shd w:val="clear" w:color="auto" w:fill="auto"/>
            <w:noWrap/>
            <w:vAlign w:val="center"/>
            <w:hideMark/>
          </w:tcPr>
          <w:p w14:paraId="70C7E3B6" w14:textId="14436D4F"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10.7</w:t>
            </w:r>
          </w:p>
        </w:tc>
      </w:tr>
      <w:tr w:rsidR="00FB7492" w:rsidRPr="001E66EF" w14:paraId="2E02D969"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6FBDC380"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Hawke's Bay</w:t>
            </w:r>
          </w:p>
        </w:tc>
        <w:tc>
          <w:tcPr>
            <w:tcW w:w="1321" w:type="dxa"/>
            <w:tcBorders>
              <w:top w:val="nil"/>
              <w:left w:val="nil"/>
              <w:bottom w:val="single" w:sz="8" w:space="0" w:color="95B3D7"/>
              <w:right w:val="nil"/>
            </w:tcBorders>
            <w:shd w:val="clear" w:color="000000" w:fill="DBE5F1"/>
            <w:noWrap/>
            <w:vAlign w:val="center"/>
            <w:hideMark/>
          </w:tcPr>
          <w:p w14:paraId="5E01EB40" w14:textId="0E1ED76F"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-$74.9 </w:t>
            </w:r>
          </w:p>
        </w:tc>
        <w:tc>
          <w:tcPr>
            <w:tcW w:w="1417" w:type="dxa"/>
            <w:tcBorders>
              <w:top w:val="nil"/>
              <w:left w:val="nil"/>
              <w:bottom w:val="single" w:sz="8" w:space="0" w:color="95B3D7"/>
              <w:right w:val="nil"/>
            </w:tcBorders>
            <w:shd w:val="clear" w:color="000000" w:fill="DBE5F1"/>
            <w:noWrap/>
            <w:vAlign w:val="center"/>
            <w:hideMark/>
          </w:tcPr>
          <w:p w14:paraId="0AAAE9DE" w14:textId="11F62A92"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-$128.5 </w:t>
            </w:r>
          </w:p>
        </w:tc>
        <w:tc>
          <w:tcPr>
            <w:tcW w:w="1843" w:type="dxa"/>
            <w:tcBorders>
              <w:top w:val="nil"/>
              <w:left w:val="nil"/>
              <w:bottom w:val="single" w:sz="8" w:space="0" w:color="95B3D7"/>
              <w:right w:val="nil"/>
            </w:tcBorders>
            <w:shd w:val="clear" w:color="000000" w:fill="DBE5F1"/>
            <w:noWrap/>
            <w:vAlign w:val="center"/>
            <w:hideMark/>
          </w:tcPr>
          <w:p w14:paraId="59DAA78A" w14:textId="1E8C5CD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$6.8</w:t>
            </w:r>
          </w:p>
        </w:tc>
        <w:tc>
          <w:tcPr>
            <w:tcW w:w="1276" w:type="dxa"/>
            <w:tcBorders>
              <w:top w:val="nil"/>
              <w:left w:val="nil"/>
              <w:bottom w:val="single" w:sz="8" w:space="0" w:color="95B3D7"/>
              <w:right w:val="nil"/>
            </w:tcBorders>
            <w:shd w:val="clear" w:color="000000" w:fill="DBE5F1"/>
            <w:noWrap/>
            <w:vAlign w:val="center"/>
            <w:hideMark/>
          </w:tcPr>
          <w:p w14:paraId="345A3452" w14:textId="18D4BDA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43</w:t>
            </w:r>
          </w:p>
        </w:tc>
        <w:tc>
          <w:tcPr>
            <w:tcW w:w="1278" w:type="dxa"/>
            <w:tcBorders>
              <w:top w:val="nil"/>
              <w:left w:val="nil"/>
              <w:bottom w:val="single" w:sz="8" w:space="0" w:color="95B3D7"/>
              <w:right w:val="nil"/>
            </w:tcBorders>
            <w:shd w:val="clear" w:color="000000" w:fill="DBE5F1"/>
            <w:noWrap/>
            <w:vAlign w:val="center"/>
            <w:hideMark/>
          </w:tcPr>
          <w:p w14:paraId="039609CE" w14:textId="07C73596"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18.4</w:t>
            </w:r>
          </w:p>
        </w:tc>
      </w:tr>
      <w:tr w:rsidR="00FB7492" w:rsidRPr="006241F8" w14:paraId="2E5470D1"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3E5B661D"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Taranaki</w:t>
            </w:r>
          </w:p>
        </w:tc>
        <w:tc>
          <w:tcPr>
            <w:tcW w:w="1321" w:type="dxa"/>
            <w:tcBorders>
              <w:top w:val="nil"/>
              <w:left w:val="nil"/>
              <w:bottom w:val="single" w:sz="8" w:space="0" w:color="95B3D7"/>
              <w:right w:val="nil"/>
            </w:tcBorders>
            <w:shd w:val="clear" w:color="auto" w:fill="auto"/>
            <w:noWrap/>
            <w:vAlign w:val="center"/>
            <w:hideMark/>
          </w:tcPr>
          <w:p w14:paraId="53693FA0" w14:textId="455BC7DC"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-$0.6 </w:t>
            </w:r>
          </w:p>
        </w:tc>
        <w:tc>
          <w:tcPr>
            <w:tcW w:w="1417" w:type="dxa"/>
            <w:tcBorders>
              <w:top w:val="nil"/>
              <w:left w:val="nil"/>
              <w:bottom w:val="single" w:sz="8" w:space="0" w:color="95B3D7"/>
              <w:right w:val="nil"/>
            </w:tcBorders>
            <w:shd w:val="clear" w:color="auto" w:fill="auto"/>
            <w:noWrap/>
            <w:vAlign w:val="center"/>
            <w:hideMark/>
          </w:tcPr>
          <w:p w14:paraId="07BAB5D8" w14:textId="76EF0099"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-$1.1 </w:t>
            </w:r>
          </w:p>
        </w:tc>
        <w:tc>
          <w:tcPr>
            <w:tcW w:w="1843" w:type="dxa"/>
            <w:tcBorders>
              <w:top w:val="nil"/>
              <w:left w:val="nil"/>
              <w:bottom w:val="single" w:sz="8" w:space="0" w:color="95B3D7"/>
              <w:right w:val="nil"/>
            </w:tcBorders>
            <w:shd w:val="clear" w:color="auto" w:fill="auto"/>
            <w:noWrap/>
            <w:vAlign w:val="center"/>
            <w:hideMark/>
          </w:tcPr>
          <w:p w14:paraId="20DED558" w14:textId="6681C52A"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$4.6</w:t>
            </w:r>
          </w:p>
        </w:tc>
        <w:tc>
          <w:tcPr>
            <w:tcW w:w="1276" w:type="dxa"/>
            <w:tcBorders>
              <w:top w:val="nil"/>
              <w:left w:val="nil"/>
              <w:bottom w:val="single" w:sz="8" w:space="0" w:color="95B3D7"/>
              <w:right w:val="nil"/>
            </w:tcBorders>
            <w:shd w:val="clear" w:color="auto" w:fill="auto"/>
            <w:noWrap/>
            <w:vAlign w:val="center"/>
            <w:hideMark/>
          </w:tcPr>
          <w:p w14:paraId="1FAB5B73" w14:textId="5C20D0B8"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0</w:t>
            </w:r>
          </w:p>
        </w:tc>
        <w:tc>
          <w:tcPr>
            <w:tcW w:w="1278" w:type="dxa"/>
            <w:tcBorders>
              <w:top w:val="nil"/>
              <w:left w:val="nil"/>
              <w:bottom w:val="single" w:sz="8" w:space="0" w:color="95B3D7"/>
              <w:right w:val="nil"/>
            </w:tcBorders>
            <w:shd w:val="clear" w:color="auto" w:fill="auto"/>
            <w:noWrap/>
            <w:vAlign w:val="center"/>
            <w:hideMark/>
          </w:tcPr>
          <w:p w14:paraId="0BE01363" w14:textId="0E6D366B"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0.2</w:t>
            </w:r>
          </w:p>
        </w:tc>
      </w:tr>
      <w:tr w:rsidR="00FB7492" w:rsidRPr="001E66EF" w14:paraId="0BA334E7"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7878D013"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Manawatu-Wanganui</w:t>
            </w:r>
          </w:p>
        </w:tc>
        <w:tc>
          <w:tcPr>
            <w:tcW w:w="1321" w:type="dxa"/>
            <w:tcBorders>
              <w:top w:val="nil"/>
              <w:left w:val="nil"/>
              <w:bottom w:val="single" w:sz="8" w:space="0" w:color="95B3D7"/>
              <w:right w:val="nil"/>
            </w:tcBorders>
            <w:shd w:val="clear" w:color="000000" w:fill="DBE5F1"/>
            <w:noWrap/>
            <w:vAlign w:val="center"/>
            <w:hideMark/>
          </w:tcPr>
          <w:p w14:paraId="4DD3540D" w14:textId="3A6ABDA4"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-$2.9 </w:t>
            </w:r>
          </w:p>
        </w:tc>
        <w:tc>
          <w:tcPr>
            <w:tcW w:w="1417" w:type="dxa"/>
            <w:tcBorders>
              <w:top w:val="nil"/>
              <w:left w:val="nil"/>
              <w:bottom w:val="single" w:sz="8" w:space="0" w:color="95B3D7"/>
              <w:right w:val="nil"/>
            </w:tcBorders>
            <w:shd w:val="clear" w:color="000000" w:fill="DBE5F1"/>
            <w:noWrap/>
            <w:vAlign w:val="center"/>
            <w:hideMark/>
          </w:tcPr>
          <w:p w14:paraId="3F4C46F9" w14:textId="329CEB2B"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-$5.0 </w:t>
            </w:r>
          </w:p>
        </w:tc>
        <w:tc>
          <w:tcPr>
            <w:tcW w:w="1843" w:type="dxa"/>
            <w:tcBorders>
              <w:top w:val="nil"/>
              <w:left w:val="nil"/>
              <w:bottom w:val="single" w:sz="8" w:space="0" w:color="95B3D7"/>
              <w:right w:val="nil"/>
            </w:tcBorders>
            <w:shd w:val="clear" w:color="000000" w:fill="DBE5F1"/>
            <w:noWrap/>
            <w:vAlign w:val="center"/>
            <w:hideMark/>
          </w:tcPr>
          <w:p w14:paraId="6C4B8689" w14:textId="78A807A3"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$2.0</w:t>
            </w:r>
          </w:p>
        </w:tc>
        <w:tc>
          <w:tcPr>
            <w:tcW w:w="1276" w:type="dxa"/>
            <w:tcBorders>
              <w:top w:val="nil"/>
              <w:left w:val="nil"/>
              <w:bottom w:val="single" w:sz="8" w:space="0" w:color="95B3D7"/>
              <w:right w:val="nil"/>
            </w:tcBorders>
            <w:shd w:val="clear" w:color="000000" w:fill="DBE5F1"/>
            <w:noWrap/>
            <w:vAlign w:val="center"/>
            <w:hideMark/>
          </w:tcPr>
          <w:p w14:paraId="28752BEF" w14:textId="6A8DA789"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w:t>
            </w:r>
          </w:p>
        </w:tc>
        <w:tc>
          <w:tcPr>
            <w:tcW w:w="1278" w:type="dxa"/>
            <w:tcBorders>
              <w:top w:val="nil"/>
              <w:left w:val="nil"/>
              <w:bottom w:val="single" w:sz="8" w:space="0" w:color="95B3D7"/>
              <w:right w:val="nil"/>
            </w:tcBorders>
            <w:shd w:val="clear" w:color="000000" w:fill="DBE5F1"/>
            <w:noWrap/>
            <w:vAlign w:val="center"/>
            <w:hideMark/>
          </w:tcPr>
          <w:p w14:paraId="32233489" w14:textId="06750436"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2.5</w:t>
            </w:r>
          </w:p>
        </w:tc>
      </w:tr>
      <w:tr w:rsidR="00FB7492" w:rsidRPr="006241F8" w14:paraId="09BB1F73"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0F314030"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Wellington</w:t>
            </w:r>
          </w:p>
        </w:tc>
        <w:tc>
          <w:tcPr>
            <w:tcW w:w="1321" w:type="dxa"/>
            <w:tcBorders>
              <w:top w:val="nil"/>
              <w:left w:val="nil"/>
              <w:bottom w:val="single" w:sz="8" w:space="0" w:color="95B3D7"/>
              <w:right w:val="nil"/>
            </w:tcBorders>
            <w:shd w:val="clear" w:color="auto" w:fill="auto"/>
            <w:noWrap/>
            <w:vAlign w:val="center"/>
            <w:hideMark/>
          </w:tcPr>
          <w:p w14:paraId="6F7822BD" w14:textId="421383FF"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-$110.6 </w:t>
            </w:r>
          </w:p>
        </w:tc>
        <w:tc>
          <w:tcPr>
            <w:tcW w:w="1417" w:type="dxa"/>
            <w:tcBorders>
              <w:top w:val="nil"/>
              <w:left w:val="nil"/>
              <w:bottom w:val="single" w:sz="8" w:space="0" w:color="95B3D7"/>
              <w:right w:val="nil"/>
            </w:tcBorders>
            <w:shd w:val="clear" w:color="auto" w:fill="auto"/>
            <w:noWrap/>
            <w:vAlign w:val="center"/>
            <w:hideMark/>
          </w:tcPr>
          <w:p w14:paraId="6ED99A6D" w14:textId="19596ADF"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-$189.6 </w:t>
            </w:r>
          </w:p>
        </w:tc>
        <w:tc>
          <w:tcPr>
            <w:tcW w:w="1843" w:type="dxa"/>
            <w:tcBorders>
              <w:top w:val="nil"/>
              <w:left w:val="nil"/>
              <w:bottom w:val="single" w:sz="8" w:space="0" w:color="95B3D7"/>
              <w:right w:val="nil"/>
            </w:tcBorders>
            <w:shd w:val="clear" w:color="auto" w:fill="auto"/>
            <w:noWrap/>
            <w:vAlign w:val="center"/>
            <w:hideMark/>
          </w:tcPr>
          <w:p w14:paraId="2D064BD9" w14:textId="784F7C00"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$27.1</w:t>
            </w:r>
          </w:p>
        </w:tc>
        <w:tc>
          <w:tcPr>
            <w:tcW w:w="1276" w:type="dxa"/>
            <w:tcBorders>
              <w:top w:val="nil"/>
              <w:left w:val="nil"/>
              <w:bottom w:val="single" w:sz="8" w:space="0" w:color="95B3D7"/>
              <w:right w:val="nil"/>
            </w:tcBorders>
            <w:shd w:val="clear" w:color="auto" w:fill="auto"/>
            <w:noWrap/>
            <w:vAlign w:val="center"/>
            <w:hideMark/>
          </w:tcPr>
          <w:p w14:paraId="65988E3C" w14:textId="7521607B"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63</w:t>
            </w:r>
          </w:p>
        </w:tc>
        <w:tc>
          <w:tcPr>
            <w:tcW w:w="1278" w:type="dxa"/>
            <w:tcBorders>
              <w:top w:val="nil"/>
              <w:left w:val="nil"/>
              <w:bottom w:val="single" w:sz="8" w:space="0" w:color="95B3D7"/>
              <w:right w:val="nil"/>
            </w:tcBorders>
            <w:shd w:val="clear" w:color="auto" w:fill="auto"/>
            <w:noWrap/>
            <w:vAlign w:val="center"/>
            <w:hideMark/>
          </w:tcPr>
          <w:p w14:paraId="28957BCD" w14:textId="067CD029"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6.8</w:t>
            </w:r>
          </w:p>
        </w:tc>
      </w:tr>
      <w:tr w:rsidR="00FB7492" w:rsidRPr="001E66EF" w14:paraId="5FC6E7B9"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6AB22630"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West Coast</w:t>
            </w:r>
          </w:p>
        </w:tc>
        <w:tc>
          <w:tcPr>
            <w:tcW w:w="1321" w:type="dxa"/>
            <w:tcBorders>
              <w:top w:val="nil"/>
              <w:left w:val="nil"/>
              <w:bottom w:val="single" w:sz="8" w:space="0" w:color="95B3D7"/>
              <w:right w:val="nil"/>
            </w:tcBorders>
            <w:shd w:val="clear" w:color="000000" w:fill="DBE5F1"/>
            <w:noWrap/>
            <w:vAlign w:val="center"/>
            <w:hideMark/>
          </w:tcPr>
          <w:p w14:paraId="4F6FEE1B" w14:textId="5B444950"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-$0.3 </w:t>
            </w:r>
          </w:p>
        </w:tc>
        <w:tc>
          <w:tcPr>
            <w:tcW w:w="1417" w:type="dxa"/>
            <w:tcBorders>
              <w:top w:val="nil"/>
              <w:left w:val="nil"/>
              <w:bottom w:val="single" w:sz="8" w:space="0" w:color="95B3D7"/>
              <w:right w:val="nil"/>
            </w:tcBorders>
            <w:shd w:val="clear" w:color="000000" w:fill="DBE5F1"/>
            <w:noWrap/>
            <w:vAlign w:val="center"/>
            <w:hideMark/>
          </w:tcPr>
          <w:p w14:paraId="140E6684" w14:textId="2BCC267B"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-$0.6 </w:t>
            </w:r>
          </w:p>
        </w:tc>
        <w:tc>
          <w:tcPr>
            <w:tcW w:w="1843" w:type="dxa"/>
            <w:tcBorders>
              <w:top w:val="nil"/>
              <w:left w:val="nil"/>
              <w:bottom w:val="single" w:sz="8" w:space="0" w:color="95B3D7"/>
              <w:right w:val="nil"/>
            </w:tcBorders>
            <w:shd w:val="clear" w:color="000000" w:fill="DBE5F1"/>
            <w:noWrap/>
            <w:vAlign w:val="center"/>
            <w:hideMark/>
          </w:tcPr>
          <w:p w14:paraId="077F8E3A" w14:textId="2A9B75CC"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$0.2</w:t>
            </w:r>
          </w:p>
        </w:tc>
        <w:tc>
          <w:tcPr>
            <w:tcW w:w="1276" w:type="dxa"/>
            <w:tcBorders>
              <w:top w:val="nil"/>
              <w:left w:val="nil"/>
              <w:bottom w:val="single" w:sz="8" w:space="0" w:color="95B3D7"/>
              <w:right w:val="nil"/>
            </w:tcBorders>
            <w:shd w:val="clear" w:color="000000" w:fill="DBE5F1"/>
            <w:noWrap/>
            <w:vAlign w:val="center"/>
            <w:hideMark/>
          </w:tcPr>
          <w:p w14:paraId="43800A5B" w14:textId="7ACBBC90"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0</w:t>
            </w:r>
          </w:p>
        </w:tc>
        <w:tc>
          <w:tcPr>
            <w:tcW w:w="1278" w:type="dxa"/>
            <w:tcBorders>
              <w:top w:val="nil"/>
              <w:left w:val="nil"/>
              <w:bottom w:val="single" w:sz="8" w:space="0" w:color="95B3D7"/>
              <w:right w:val="nil"/>
            </w:tcBorders>
            <w:shd w:val="clear" w:color="000000" w:fill="DBE5F1"/>
            <w:noWrap/>
            <w:vAlign w:val="center"/>
            <w:hideMark/>
          </w:tcPr>
          <w:p w14:paraId="221A233F" w14:textId="6E604DEF"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2.7</w:t>
            </w:r>
          </w:p>
        </w:tc>
      </w:tr>
      <w:tr w:rsidR="00FB7492" w:rsidRPr="006241F8" w14:paraId="14D0E1F5"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6CB49B1E" w14:textId="24C9061C"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Canterbury</w:t>
            </w:r>
          </w:p>
        </w:tc>
        <w:tc>
          <w:tcPr>
            <w:tcW w:w="1321" w:type="dxa"/>
            <w:tcBorders>
              <w:top w:val="nil"/>
              <w:left w:val="nil"/>
              <w:bottom w:val="single" w:sz="8" w:space="0" w:color="95B3D7"/>
              <w:right w:val="nil"/>
            </w:tcBorders>
            <w:shd w:val="clear" w:color="auto" w:fill="auto"/>
            <w:noWrap/>
            <w:vAlign w:val="center"/>
            <w:hideMark/>
          </w:tcPr>
          <w:p w14:paraId="67AFB1DA" w14:textId="3198CC0C"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 $0.0 </w:t>
            </w:r>
          </w:p>
        </w:tc>
        <w:tc>
          <w:tcPr>
            <w:tcW w:w="1417" w:type="dxa"/>
            <w:tcBorders>
              <w:top w:val="nil"/>
              <w:left w:val="nil"/>
              <w:bottom w:val="single" w:sz="8" w:space="0" w:color="95B3D7"/>
              <w:right w:val="nil"/>
            </w:tcBorders>
            <w:shd w:val="clear" w:color="auto" w:fill="auto"/>
            <w:noWrap/>
            <w:vAlign w:val="center"/>
            <w:hideMark/>
          </w:tcPr>
          <w:p w14:paraId="5A46DE06" w14:textId="0DF58358"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 $0.0 </w:t>
            </w:r>
          </w:p>
        </w:tc>
        <w:tc>
          <w:tcPr>
            <w:tcW w:w="1843" w:type="dxa"/>
            <w:tcBorders>
              <w:top w:val="nil"/>
              <w:left w:val="nil"/>
              <w:bottom w:val="single" w:sz="8" w:space="0" w:color="95B3D7"/>
              <w:right w:val="nil"/>
            </w:tcBorders>
            <w:shd w:val="clear" w:color="auto" w:fill="auto"/>
            <w:noWrap/>
            <w:vAlign w:val="center"/>
            <w:hideMark/>
          </w:tcPr>
          <w:p w14:paraId="6BC0603F" w14:textId="6BF571F3"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w:t>
            </w:r>
          </w:p>
        </w:tc>
        <w:tc>
          <w:tcPr>
            <w:tcW w:w="1276" w:type="dxa"/>
            <w:tcBorders>
              <w:top w:val="nil"/>
              <w:left w:val="nil"/>
              <w:bottom w:val="single" w:sz="8" w:space="0" w:color="95B3D7"/>
              <w:right w:val="nil"/>
            </w:tcBorders>
            <w:shd w:val="clear" w:color="auto" w:fill="auto"/>
            <w:noWrap/>
            <w:vAlign w:val="center"/>
            <w:hideMark/>
          </w:tcPr>
          <w:p w14:paraId="4E394972" w14:textId="34308411"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0</w:t>
            </w:r>
          </w:p>
        </w:tc>
        <w:tc>
          <w:tcPr>
            <w:tcW w:w="1278" w:type="dxa"/>
            <w:tcBorders>
              <w:top w:val="nil"/>
              <w:left w:val="nil"/>
              <w:bottom w:val="single" w:sz="8" w:space="0" w:color="95B3D7"/>
              <w:right w:val="nil"/>
            </w:tcBorders>
            <w:shd w:val="clear" w:color="auto" w:fill="auto"/>
            <w:noWrap/>
            <w:vAlign w:val="center"/>
            <w:hideMark/>
          </w:tcPr>
          <w:p w14:paraId="06C37E4C" w14:textId="159EA1B7"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w:t>
            </w:r>
          </w:p>
        </w:tc>
      </w:tr>
      <w:tr w:rsidR="00FB7492" w:rsidRPr="001E66EF" w14:paraId="26B97A83"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2C793E42"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Otago</w:t>
            </w:r>
          </w:p>
        </w:tc>
        <w:tc>
          <w:tcPr>
            <w:tcW w:w="1321" w:type="dxa"/>
            <w:tcBorders>
              <w:top w:val="nil"/>
              <w:left w:val="nil"/>
              <w:bottom w:val="single" w:sz="8" w:space="0" w:color="95B3D7"/>
              <w:right w:val="nil"/>
            </w:tcBorders>
            <w:shd w:val="clear" w:color="000000" w:fill="DBE5F1"/>
            <w:noWrap/>
            <w:vAlign w:val="center"/>
            <w:hideMark/>
          </w:tcPr>
          <w:p w14:paraId="4256440A" w14:textId="0015DFF9"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-$110.0 </w:t>
            </w:r>
          </w:p>
        </w:tc>
        <w:tc>
          <w:tcPr>
            <w:tcW w:w="1417" w:type="dxa"/>
            <w:tcBorders>
              <w:top w:val="nil"/>
              <w:left w:val="nil"/>
              <w:bottom w:val="single" w:sz="8" w:space="0" w:color="95B3D7"/>
              <w:right w:val="nil"/>
            </w:tcBorders>
            <w:shd w:val="clear" w:color="000000" w:fill="DBE5F1"/>
            <w:noWrap/>
            <w:vAlign w:val="center"/>
            <w:hideMark/>
          </w:tcPr>
          <w:p w14:paraId="027D1A37" w14:textId="02A23939"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-$188.7 </w:t>
            </w:r>
          </w:p>
        </w:tc>
        <w:tc>
          <w:tcPr>
            <w:tcW w:w="1843" w:type="dxa"/>
            <w:tcBorders>
              <w:top w:val="nil"/>
              <w:left w:val="nil"/>
              <w:bottom w:val="single" w:sz="8" w:space="0" w:color="95B3D7"/>
              <w:right w:val="nil"/>
            </w:tcBorders>
            <w:shd w:val="clear" w:color="000000" w:fill="DBE5F1"/>
            <w:noWrap/>
            <w:vAlign w:val="center"/>
            <w:hideMark/>
          </w:tcPr>
          <w:p w14:paraId="146356A5" w14:textId="229756E0"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$22.2</w:t>
            </w:r>
          </w:p>
        </w:tc>
        <w:tc>
          <w:tcPr>
            <w:tcW w:w="1276" w:type="dxa"/>
            <w:tcBorders>
              <w:top w:val="nil"/>
              <w:left w:val="nil"/>
              <w:bottom w:val="single" w:sz="8" w:space="0" w:color="95B3D7"/>
              <w:right w:val="nil"/>
            </w:tcBorders>
            <w:shd w:val="clear" w:color="000000" w:fill="DBE5F1"/>
            <w:noWrap/>
            <w:vAlign w:val="center"/>
            <w:hideMark/>
          </w:tcPr>
          <w:p w14:paraId="41FFC74B" w14:textId="06EC6CA1"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62</w:t>
            </w:r>
          </w:p>
        </w:tc>
        <w:tc>
          <w:tcPr>
            <w:tcW w:w="1278" w:type="dxa"/>
            <w:tcBorders>
              <w:top w:val="nil"/>
              <w:left w:val="nil"/>
              <w:bottom w:val="single" w:sz="8" w:space="0" w:color="95B3D7"/>
              <w:right w:val="nil"/>
            </w:tcBorders>
            <w:shd w:val="clear" w:color="000000" w:fill="DBE5F1"/>
            <w:noWrap/>
            <w:vAlign w:val="center"/>
            <w:hideMark/>
          </w:tcPr>
          <w:p w14:paraId="0C8D6071" w14:textId="6B1377F0"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8.2</w:t>
            </w:r>
          </w:p>
        </w:tc>
      </w:tr>
      <w:tr w:rsidR="00FB7492" w:rsidRPr="006241F8" w14:paraId="496244B5"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349DB48E"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Southland</w:t>
            </w:r>
          </w:p>
        </w:tc>
        <w:tc>
          <w:tcPr>
            <w:tcW w:w="1321" w:type="dxa"/>
            <w:tcBorders>
              <w:top w:val="nil"/>
              <w:left w:val="nil"/>
              <w:bottom w:val="single" w:sz="8" w:space="0" w:color="95B3D7"/>
              <w:right w:val="nil"/>
            </w:tcBorders>
            <w:shd w:val="clear" w:color="auto" w:fill="auto"/>
            <w:noWrap/>
            <w:vAlign w:val="center"/>
            <w:hideMark/>
          </w:tcPr>
          <w:p w14:paraId="21247192" w14:textId="7FE7D563"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-$39.9 </w:t>
            </w:r>
          </w:p>
        </w:tc>
        <w:tc>
          <w:tcPr>
            <w:tcW w:w="1417" w:type="dxa"/>
            <w:tcBorders>
              <w:top w:val="nil"/>
              <w:left w:val="nil"/>
              <w:bottom w:val="single" w:sz="8" w:space="0" w:color="95B3D7"/>
              <w:right w:val="nil"/>
            </w:tcBorders>
            <w:shd w:val="clear" w:color="auto" w:fill="auto"/>
            <w:noWrap/>
            <w:vAlign w:val="center"/>
            <w:hideMark/>
          </w:tcPr>
          <w:p w14:paraId="0E25BA8B" w14:textId="175D913C"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-$68.6 </w:t>
            </w:r>
          </w:p>
        </w:tc>
        <w:tc>
          <w:tcPr>
            <w:tcW w:w="1843" w:type="dxa"/>
            <w:tcBorders>
              <w:top w:val="nil"/>
              <w:left w:val="nil"/>
              <w:bottom w:val="single" w:sz="8" w:space="0" w:color="95B3D7"/>
              <w:right w:val="nil"/>
            </w:tcBorders>
            <w:shd w:val="clear" w:color="auto" w:fill="auto"/>
            <w:noWrap/>
            <w:vAlign w:val="center"/>
            <w:hideMark/>
          </w:tcPr>
          <w:p w14:paraId="58722B6E" w14:textId="7A73BAEB"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$10.3</w:t>
            </w:r>
          </w:p>
        </w:tc>
        <w:tc>
          <w:tcPr>
            <w:tcW w:w="1276" w:type="dxa"/>
            <w:tcBorders>
              <w:top w:val="nil"/>
              <w:left w:val="nil"/>
              <w:bottom w:val="single" w:sz="8" w:space="0" w:color="95B3D7"/>
              <w:right w:val="nil"/>
            </w:tcBorders>
            <w:shd w:val="clear" w:color="auto" w:fill="auto"/>
            <w:noWrap/>
            <w:vAlign w:val="center"/>
            <w:hideMark/>
          </w:tcPr>
          <w:p w14:paraId="2EF8F8FF" w14:textId="7B01114E"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23</w:t>
            </w:r>
          </w:p>
        </w:tc>
        <w:tc>
          <w:tcPr>
            <w:tcW w:w="1278" w:type="dxa"/>
            <w:tcBorders>
              <w:top w:val="nil"/>
              <w:left w:val="nil"/>
              <w:bottom w:val="single" w:sz="8" w:space="0" w:color="95B3D7"/>
              <w:right w:val="nil"/>
            </w:tcBorders>
            <w:shd w:val="clear" w:color="auto" w:fill="auto"/>
            <w:noWrap/>
            <w:vAlign w:val="center"/>
            <w:hideMark/>
          </w:tcPr>
          <w:p w14:paraId="207526E8" w14:textId="7C50DCFB"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6.5</w:t>
            </w:r>
          </w:p>
        </w:tc>
      </w:tr>
      <w:tr w:rsidR="00FB7492" w:rsidRPr="001E66EF" w14:paraId="78F1C6EC"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59F2B6F5"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Tasman</w:t>
            </w:r>
          </w:p>
        </w:tc>
        <w:tc>
          <w:tcPr>
            <w:tcW w:w="1321" w:type="dxa"/>
            <w:tcBorders>
              <w:top w:val="nil"/>
              <w:left w:val="nil"/>
              <w:bottom w:val="single" w:sz="8" w:space="0" w:color="95B3D7"/>
              <w:right w:val="nil"/>
            </w:tcBorders>
            <w:shd w:val="clear" w:color="000000" w:fill="DBE5F1"/>
            <w:noWrap/>
            <w:vAlign w:val="center"/>
            <w:hideMark/>
          </w:tcPr>
          <w:p w14:paraId="4F61C1B9" w14:textId="2883158E"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-$35.3 </w:t>
            </w:r>
          </w:p>
        </w:tc>
        <w:tc>
          <w:tcPr>
            <w:tcW w:w="1417" w:type="dxa"/>
            <w:tcBorders>
              <w:top w:val="nil"/>
              <w:left w:val="nil"/>
              <w:bottom w:val="single" w:sz="8" w:space="0" w:color="95B3D7"/>
              <w:right w:val="nil"/>
            </w:tcBorders>
            <w:shd w:val="clear" w:color="000000" w:fill="DBE5F1"/>
            <w:noWrap/>
            <w:vAlign w:val="center"/>
            <w:hideMark/>
          </w:tcPr>
          <w:p w14:paraId="7451C58C" w14:textId="461AF530"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-$60.6 </w:t>
            </w:r>
          </w:p>
        </w:tc>
        <w:tc>
          <w:tcPr>
            <w:tcW w:w="1843" w:type="dxa"/>
            <w:tcBorders>
              <w:top w:val="nil"/>
              <w:left w:val="nil"/>
              <w:bottom w:val="single" w:sz="8" w:space="0" w:color="95B3D7"/>
              <w:right w:val="nil"/>
            </w:tcBorders>
            <w:shd w:val="clear" w:color="000000" w:fill="DBE5F1"/>
            <w:noWrap/>
            <w:vAlign w:val="center"/>
            <w:hideMark/>
          </w:tcPr>
          <w:p w14:paraId="001488EB" w14:textId="6FC42328"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$1.2</w:t>
            </w:r>
          </w:p>
        </w:tc>
        <w:tc>
          <w:tcPr>
            <w:tcW w:w="1276" w:type="dxa"/>
            <w:tcBorders>
              <w:top w:val="nil"/>
              <w:left w:val="nil"/>
              <w:bottom w:val="single" w:sz="8" w:space="0" w:color="95B3D7"/>
              <w:right w:val="nil"/>
            </w:tcBorders>
            <w:shd w:val="clear" w:color="000000" w:fill="DBE5F1"/>
            <w:noWrap/>
            <w:vAlign w:val="center"/>
            <w:hideMark/>
          </w:tcPr>
          <w:p w14:paraId="2ED558FE" w14:textId="42EFC053"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20</w:t>
            </w:r>
          </w:p>
        </w:tc>
        <w:tc>
          <w:tcPr>
            <w:tcW w:w="1278" w:type="dxa"/>
            <w:tcBorders>
              <w:top w:val="nil"/>
              <w:left w:val="nil"/>
              <w:bottom w:val="single" w:sz="8" w:space="0" w:color="95B3D7"/>
              <w:right w:val="nil"/>
            </w:tcBorders>
            <w:shd w:val="clear" w:color="000000" w:fill="DBE5F1"/>
            <w:noWrap/>
            <w:vAlign w:val="center"/>
            <w:hideMark/>
          </w:tcPr>
          <w:p w14:paraId="49C3D5E6" w14:textId="6E3AE362"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50.4</w:t>
            </w:r>
          </w:p>
        </w:tc>
      </w:tr>
      <w:tr w:rsidR="00FB7492" w:rsidRPr="006241F8" w14:paraId="18B8E6FE"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6E693AED"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Nelson</w:t>
            </w:r>
          </w:p>
        </w:tc>
        <w:tc>
          <w:tcPr>
            <w:tcW w:w="1321" w:type="dxa"/>
            <w:tcBorders>
              <w:top w:val="nil"/>
              <w:left w:val="nil"/>
              <w:bottom w:val="single" w:sz="8" w:space="0" w:color="95B3D7"/>
              <w:right w:val="nil"/>
            </w:tcBorders>
            <w:shd w:val="clear" w:color="auto" w:fill="auto"/>
            <w:noWrap/>
            <w:vAlign w:val="center"/>
            <w:hideMark/>
          </w:tcPr>
          <w:p w14:paraId="56068537" w14:textId="0147BD32"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-$59.3 </w:t>
            </w:r>
          </w:p>
        </w:tc>
        <w:tc>
          <w:tcPr>
            <w:tcW w:w="1417" w:type="dxa"/>
            <w:tcBorders>
              <w:top w:val="nil"/>
              <w:left w:val="nil"/>
              <w:bottom w:val="single" w:sz="8" w:space="0" w:color="95B3D7"/>
              <w:right w:val="nil"/>
            </w:tcBorders>
            <w:shd w:val="clear" w:color="auto" w:fill="auto"/>
            <w:noWrap/>
            <w:vAlign w:val="center"/>
            <w:hideMark/>
          </w:tcPr>
          <w:p w14:paraId="53317734" w14:textId="688A11AE"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-$101.9 </w:t>
            </w:r>
          </w:p>
        </w:tc>
        <w:tc>
          <w:tcPr>
            <w:tcW w:w="1843" w:type="dxa"/>
            <w:tcBorders>
              <w:top w:val="nil"/>
              <w:left w:val="nil"/>
              <w:bottom w:val="single" w:sz="8" w:space="0" w:color="95B3D7"/>
              <w:right w:val="nil"/>
            </w:tcBorders>
            <w:shd w:val="clear" w:color="auto" w:fill="auto"/>
            <w:noWrap/>
            <w:vAlign w:val="center"/>
            <w:hideMark/>
          </w:tcPr>
          <w:p w14:paraId="2BB6F922" w14:textId="726F2582"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$3.5</w:t>
            </w:r>
          </w:p>
        </w:tc>
        <w:tc>
          <w:tcPr>
            <w:tcW w:w="1276" w:type="dxa"/>
            <w:tcBorders>
              <w:top w:val="nil"/>
              <w:left w:val="nil"/>
              <w:bottom w:val="single" w:sz="8" w:space="0" w:color="95B3D7"/>
              <w:right w:val="nil"/>
            </w:tcBorders>
            <w:shd w:val="clear" w:color="auto" w:fill="auto"/>
            <w:noWrap/>
            <w:vAlign w:val="center"/>
            <w:hideMark/>
          </w:tcPr>
          <w:p w14:paraId="25804EC4" w14:textId="53562D4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33</w:t>
            </w:r>
          </w:p>
        </w:tc>
        <w:tc>
          <w:tcPr>
            <w:tcW w:w="1278" w:type="dxa"/>
            <w:tcBorders>
              <w:top w:val="nil"/>
              <w:left w:val="nil"/>
              <w:bottom w:val="single" w:sz="8" w:space="0" w:color="95B3D7"/>
              <w:right w:val="nil"/>
            </w:tcBorders>
            <w:shd w:val="clear" w:color="auto" w:fill="auto"/>
            <w:noWrap/>
            <w:vAlign w:val="center"/>
            <w:hideMark/>
          </w:tcPr>
          <w:p w14:paraId="465A7EA2" w14:textId="4B0326CF"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28.0</w:t>
            </w:r>
          </w:p>
        </w:tc>
      </w:tr>
      <w:tr w:rsidR="00FB7492" w:rsidRPr="001E66EF" w14:paraId="4E0A6C9E"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08826576"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Marlborough</w:t>
            </w:r>
          </w:p>
        </w:tc>
        <w:tc>
          <w:tcPr>
            <w:tcW w:w="1321" w:type="dxa"/>
            <w:tcBorders>
              <w:top w:val="nil"/>
              <w:left w:val="nil"/>
              <w:bottom w:val="single" w:sz="8" w:space="0" w:color="95B3D7"/>
              <w:right w:val="nil"/>
            </w:tcBorders>
            <w:shd w:val="clear" w:color="000000" w:fill="DBE5F1"/>
            <w:noWrap/>
            <w:vAlign w:val="center"/>
            <w:hideMark/>
          </w:tcPr>
          <w:p w14:paraId="0D7B026A" w14:textId="357F0800"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-$28.2 </w:t>
            </w:r>
          </w:p>
        </w:tc>
        <w:tc>
          <w:tcPr>
            <w:tcW w:w="1417" w:type="dxa"/>
            <w:tcBorders>
              <w:top w:val="nil"/>
              <w:left w:val="nil"/>
              <w:bottom w:val="single" w:sz="8" w:space="0" w:color="95B3D7"/>
              <w:right w:val="nil"/>
            </w:tcBorders>
            <w:shd w:val="clear" w:color="000000" w:fill="DBE5F1"/>
            <w:noWrap/>
            <w:vAlign w:val="center"/>
            <w:hideMark/>
          </w:tcPr>
          <w:p w14:paraId="431845DE" w14:textId="1523EFC7"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-$48.4 </w:t>
            </w:r>
          </w:p>
        </w:tc>
        <w:tc>
          <w:tcPr>
            <w:tcW w:w="1843" w:type="dxa"/>
            <w:tcBorders>
              <w:top w:val="nil"/>
              <w:left w:val="nil"/>
              <w:bottom w:val="single" w:sz="8" w:space="0" w:color="95B3D7"/>
              <w:right w:val="nil"/>
            </w:tcBorders>
            <w:shd w:val="clear" w:color="000000" w:fill="DBE5F1"/>
            <w:noWrap/>
            <w:vAlign w:val="center"/>
            <w:hideMark/>
          </w:tcPr>
          <w:p w14:paraId="153D39AE" w14:textId="0EEFD232"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$2.5</w:t>
            </w:r>
          </w:p>
        </w:tc>
        <w:tc>
          <w:tcPr>
            <w:tcW w:w="1276" w:type="dxa"/>
            <w:tcBorders>
              <w:top w:val="nil"/>
              <w:left w:val="nil"/>
              <w:bottom w:val="single" w:sz="8" w:space="0" w:color="95B3D7"/>
              <w:right w:val="nil"/>
            </w:tcBorders>
            <w:shd w:val="clear" w:color="000000" w:fill="DBE5F1"/>
            <w:noWrap/>
            <w:vAlign w:val="center"/>
            <w:hideMark/>
          </w:tcPr>
          <w:p w14:paraId="68DA8E7E" w14:textId="6A33506D"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16</w:t>
            </w:r>
          </w:p>
        </w:tc>
        <w:tc>
          <w:tcPr>
            <w:tcW w:w="1278" w:type="dxa"/>
            <w:tcBorders>
              <w:top w:val="nil"/>
              <w:left w:val="nil"/>
              <w:bottom w:val="single" w:sz="8" w:space="0" w:color="95B3D7"/>
              <w:right w:val="nil"/>
            </w:tcBorders>
            <w:shd w:val="clear" w:color="000000" w:fill="DBE5F1"/>
            <w:noWrap/>
            <w:vAlign w:val="center"/>
            <w:hideMark/>
          </w:tcPr>
          <w:p w14:paraId="23996027" w14:textId="3F618DF8" w:rsidR="00FB7492" w:rsidRPr="00FB7492" w:rsidRDefault="00FB7492" w:rsidP="00F2088F">
            <w:pPr>
              <w:spacing w:after="0" w:line="240" w:lineRule="auto"/>
              <w:ind w:left="0"/>
              <w:jc w:val="center"/>
              <w:rPr>
                <w:rFonts w:eastAsia="Times New Roman" w:cs="Calibri Light"/>
                <w:i/>
                <w:iCs/>
                <w:sz w:val="16"/>
                <w:szCs w:val="16"/>
                <w:lang w:eastAsia="en-NZ"/>
              </w:rPr>
            </w:pPr>
            <w:r w:rsidRPr="00FB7492">
              <w:rPr>
                <w:sz w:val="16"/>
                <w:szCs w:val="16"/>
              </w:rPr>
              <w:t>18.7</w:t>
            </w:r>
          </w:p>
        </w:tc>
      </w:tr>
      <w:tr w:rsidR="00FB7492" w:rsidRPr="006241F8" w14:paraId="06834460" w14:textId="77777777" w:rsidTr="00FB7492">
        <w:trPr>
          <w:trHeight w:val="113"/>
        </w:trPr>
        <w:tc>
          <w:tcPr>
            <w:tcW w:w="2280" w:type="dxa"/>
            <w:tcBorders>
              <w:top w:val="nil"/>
              <w:left w:val="nil"/>
              <w:bottom w:val="single" w:sz="8" w:space="0" w:color="95B3D7"/>
              <w:right w:val="nil"/>
            </w:tcBorders>
            <w:shd w:val="clear" w:color="auto" w:fill="auto"/>
            <w:noWrap/>
            <w:vAlign w:val="center"/>
            <w:hideMark/>
          </w:tcPr>
          <w:p w14:paraId="00F5C8F0"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Area Outside</w:t>
            </w:r>
          </w:p>
        </w:tc>
        <w:tc>
          <w:tcPr>
            <w:tcW w:w="1321" w:type="dxa"/>
            <w:tcBorders>
              <w:top w:val="nil"/>
              <w:left w:val="nil"/>
              <w:bottom w:val="single" w:sz="8" w:space="0" w:color="95B3D7"/>
              <w:right w:val="nil"/>
            </w:tcBorders>
            <w:shd w:val="clear" w:color="auto" w:fill="auto"/>
            <w:noWrap/>
            <w:vAlign w:val="center"/>
            <w:hideMark/>
          </w:tcPr>
          <w:p w14:paraId="702A4300" w14:textId="0CF24C6C" w:rsidR="00FB7492" w:rsidRPr="00FB7492" w:rsidRDefault="00FB7492" w:rsidP="00FB7492">
            <w:pPr>
              <w:spacing w:after="0" w:line="240" w:lineRule="auto"/>
              <w:ind w:left="0"/>
              <w:jc w:val="center"/>
              <w:rPr>
                <w:rFonts w:eastAsia="Times New Roman" w:cs="Calibri Light"/>
                <w:sz w:val="16"/>
                <w:szCs w:val="16"/>
                <w:lang w:eastAsia="en-NZ"/>
              </w:rPr>
            </w:pPr>
            <w:r w:rsidRPr="00FB7492">
              <w:rPr>
                <w:rFonts w:cs="Calibri Light"/>
                <w:sz w:val="16"/>
                <w:szCs w:val="16"/>
              </w:rPr>
              <w:t xml:space="preserve"> $-   </w:t>
            </w:r>
          </w:p>
        </w:tc>
        <w:tc>
          <w:tcPr>
            <w:tcW w:w="1417" w:type="dxa"/>
            <w:tcBorders>
              <w:top w:val="nil"/>
              <w:left w:val="nil"/>
              <w:bottom w:val="single" w:sz="8" w:space="0" w:color="95B3D7"/>
              <w:right w:val="nil"/>
            </w:tcBorders>
            <w:shd w:val="clear" w:color="auto" w:fill="auto"/>
            <w:noWrap/>
            <w:vAlign w:val="center"/>
            <w:hideMark/>
          </w:tcPr>
          <w:p w14:paraId="20595076" w14:textId="7FC24FD1" w:rsidR="00FB7492" w:rsidRPr="00FB7492" w:rsidRDefault="00FB7492" w:rsidP="00FB7492">
            <w:pPr>
              <w:spacing w:after="0" w:line="240" w:lineRule="auto"/>
              <w:ind w:left="0"/>
              <w:jc w:val="center"/>
              <w:rPr>
                <w:rFonts w:eastAsia="Times New Roman" w:cs="Calibri Light"/>
                <w:i/>
                <w:iCs/>
                <w:sz w:val="16"/>
                <w:szCs w:val="16"/>
                <w:lang w:eastAsia="en-NZ"/>
              </w:rPr>
            </w:pPr>
            <w:r w:rsidRPr="00FB7492">
              <w:rPr>
                <w:rFonts w:cs="Calibri Light"/>
                <w:sz w:val="16"/>
                <w:szCs w:val="16"/>
              </w:rPr>
              <w:t xml:space="preserve"> $-   </w:t>
            </w:r>
          </w:p>
        </w:tc>
        <w:tc>
          <w:tcPr>
            <w:tcW w:w="1843" w:type="dxa"/>
            <w:tcBorders>
              <w:top w:val="nil"/>
              <w:left w:val="nil"/>
              <w:bottom w:val="single" w:sz="8" w:space="0" w:color="95B3D7"/>
              <w:right w:val="nil"/>
            </w:tcBorders>
            <w:shd w:val="clear" w:color="auto" w:fill="auto"/>
            <w:noWrap/>
            <w:vAlign w:val="center"/>
            <w:hideMark/>
          </w:tcPr>
          <w:p w14:paraId="1D708ED1" w14:textId="65AC40EA"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w:t>
            </w:r>
          </w:p>
        </w:tc>
        <w:tc>
          <w:tcPr>
            <w:tcW w:w="1276" w:type="dxa"/>
            <w:tcBorders>
              <w:top w:val="nil"/>
              <w:left w:val="nil"/>
              <w:bottom w:val="single" w:sz="8" w:space="0" w:color="95B3D7"/>
              <w:right w:val="nil"/>
            </w:tcBorders>
            <w:shd w:val="clear" w:color="auto" w:fill="auto"/>
            <w:noWrap/>
            <w:vAlign w:val="center"/>
            <w:hideMark/>
          </w:tcPr>
          <w:p w14:paraId="0223BA80" w14:textId="121F8F49" w:rsidR="00FB7492" w:rsidRPr="00FB7492" w:rsidRDefault="00FB7492" w:rsidP="00F2088F">
            <w:pPr>
              <w:spacing w:after="0" w:line="240" w:lineRule="auto"/>
              <w:ind w:left="0"/>
              <w:jc w:val="center"/>
              <w:rPr>
                <w:rFonts w:eastAsia="Times New Roman" w:cs="Calibri Light"/>
                <w:sz w:val="16"/>
                <w:szCs w:val="16"/>
                <w:lang w:eastAsia="en-NZ"/>
              </w:rPr>
            </w:pPr>
            <w:r w:rsidRPr="00FB7492">
              <w:rPr>
                <w:rFonts w:cs="Calibri Light"/>
                <w:sz w:val="16"/>
                <w:szCs w:val="16"/>
              </w:rPr>
              <w:t>0.0</w:t>
            </w:r>
          </w:p>
        </w:tc>
        <w:tc>
          <w:tcPr>
            <w:tcW w:w="1278" w:type="dxa"/>
            <w:tcBorders>
              <w:top w:val="nil"/>
              <w:left w:val="nil"/>
              <w:bottom w:val="single" w:sz="8" w:space="0" w:color="95B3D7"/>
              <w:right w:val="nil"/>
            </w:tcBorders>
            <w:shd w:val="clear" w:color="auto" w:fill="auto"/>
            <w:noWrap/>
            <w:hideMark/>
          </w:tcPr>
          <w:p w14:paraId="2FB67A6C" w14:textId="5BE3098F" w:rsidR="00FB7492" w:rsidRPr="00CA5D70" w:rsidRDefault="00FB7492" w:rsidP="00F2088F">
            <w:pPr>
              <w:spacing w:after="0" w:line="240" w:lineRule="auto"/>
              <w:ind w:left="0"/>
              <w:jc w:val="center"/>
              <w:rPr>
                <w:rFonts w:eastAsia="Times New Roman" w:cs="Calibri Light"/>
                <w:i/>
                <w:iCs/>
                <w:sz w:val="16"/>
                <w:szCs w:val="16"/>
                <w:lang w:eastAsia="en-NZ"/>
              </w:rPr>
            </w:pPr>
            <w:r w:rsidRPr="00CA5D70">
              <w:rPr>
                <w:rFonts w:cs="Calibri Light"/>
                <w:sz w:val="16"/>
                <w:szCs w:val="16"/>
              </w:rPr>
              <w:t>-</w:t>
            </w:r>
          </w:p>
        </w:tc>
      </w:tr>
      <w:tr w:rsidR="00FB7492" w:rsidRPr="001E66EF" w14:paraId="49471E0D" w14:textId="77777777" w:rsidTr="00FB7492">
        <w:trPr>
          <w:trHeight w:val="113"/>
        </w:trPr>
        <w:tc>
          <w:tcPr>
            <w:tcW w:w="2280" w:type="dxa"/>
            <w:tcBorders>
              <w:top w:val="nil"/>
              <w:left w:val="nil"/>
              <w:bottom w:val="single" w:sz="8" w:space="0" w:color="95B3D7"/>
              <w:right w:val="nil"/>
            </w:tcBorders>
            <w:shd w:val="clear" w:color="000000" w:fill="DBE5F1"/>
            <w:noWrap/>
            <w:vAlign w:val="center"/>
            <w:hideMark/>
          </w:tcPr>
          <w:p w14:paraId="74E2D7C3" w14:textId="77777777" w:rsidR="00FB7492" w:rsidRPr="006241F8" w:rsidRDefault="00FB7492" w:rsidP="00FB7492">
            <w:pPr>
              <w:spacing w:after="0" w:line="240" w:lineRule="auto"/>
              <w:ind w:left="0"/>
              <w:jc w:val="left"/>
              <w:rPr>
                <w:rFonts w:eastAsia="Times New Roman" w:cs="Times New Roman"/>
                <w:b/>
                <w:bCs/>
                <w:color w:val="000000"/>
                <w:lang w:eastAsia="en-NZ"/>
              </w:rPr>
            </w:pPr>
            <w:r w:rsidRPr="006241F8">
              <w:rPr>
                <w:rFonts w:eastAsia="Times New Roman" w:cs="Times New Roman"/>
                <w:b/>
                <w:bCs/>
                <w:color w:val="000000"/>
                <w:lang w:eastAsia="en-NZ"/>
              </w:rPr>
              <w:t>TOTAL NZ</w:t>
            </w:r>
          </w:p>
        </w:tc>
        <w:tc>
          <w:tcPr>
            <w:tcW w:w="1321" w:type="dxa"/>
            <w:tcBorders>
              <w:top w:val="nil"/>
              <w:left w:val="nil"/>
              <w:bottom w:val="single" w:sz="8" w:space="0" w:color="95B3D7"/>
              <w:right w:val="nil"/>
            </w:tcBorders>
            <w:shd w:val="clear" w:color="000000" w:fill="DBE5F1"/>
            <w:noWrap/>
            <w:vAlign w:val="center"/>
            <w:hideMark/>
          </w:tcPr>
          <w:p w14:paraId="3D7C3938" w14:textId="30048767" w:rsidR="00FB7492" w:rsidRPr="00FB7492" w:rsidRDefault="00FB7492" w:rsidP="00FB7492">
            <w:pPr>
              <w:spacing w:after="0" w:line="240" w:lineRule="auto"/>
              <w:ind w:left="0"/>
              <w:jc w:val="center"/>
              <w:rPr>
                <w:rFonts w:eastAsia="Times New Roman" w:cs="Calibri Light"/>
                <w:b/>
                <w:bCs/>
                <w:sz w:val="16"/>
                <w:szCs w:val="16"/>
                <w:lang w:eastAsia="en-NZ"/>
              </w:rPr>
            </w:pPr>
            <w:r w:rsidRPr="00FB7492">
              <w:rPr>
                <w:rFonts w:cs="Calibri Light"/>
                <w:b/>
                <w:bCs/>
                <w:sz w:val="16"/>
                <w:szCs w:val="16"/>
              </w:rPr>
              <w:t xml:space="preserve">-$820 </w:t>
            </w:r>
          </w:p>
        </w:tc>
        <w:tc>
          <w:tcPr>
            <w:tcW w:w="1417" w:type="dxa"/>
            <w:tcBorders>
              <w:top w:val="nil"/>
              <w:left w:val="nil"/>
              <w:bottom w:val="single" w:sz="8" w:space="0" w:color="95B3D7"/>
              <w:right w:val="nil"/>
            </w:tcBorders>
            <w:shd w:val="clear" w:color="000000" w:fill="DBE5F1"/>
            <w:noWrap/>
            <w:vAlign w:val="center"/>
            <w:hideMark/>
          </w:tcPr>
          <w:p w14:paraId="61ABEA0A" w14:textId="677B470A" w:rsidR="00FB7492" w:rsidRPr="00FB7492" w:rsidRDefault="00FB7492" w:rsidP="00FB7492">
            <w:pPr>
              <w:spacing w:after="0" w:line="240" w:lineRule="auto"/>
              <w:ind w:left="0"/>
              <w:jc w:val="center"/>
              <w:rPr>
                <w:rFonts w:eastAsia="Times New Roman" w:cs="Calibri Light"/>
                <w:b/>
                <w:bCs/>
                <w:i/>
                <w:iCs/>
                <w:sz w:val="16"/>
                <w:szCs w:val="16"/>
                <w:lang w:eastAsia="en-NZ"/>
              </w:rPr>
            </w:pPr>
            <w:r w:rsidRPr="00FB7492">
              <w:rPr>
                <w:rFonts w:cs="Calibri Light"/>
                <w:b/>
                <w:bCs/>
                <w:sz w:val="16"/>
                <w:szCs w:val="16"/>
              </w:rPr>
              <w:t xml:space="preserve">-$1,409.4 </w:t>
            </w:r>
          </w:p>
        </w:tc>
        <w:tc>
          <w:tcPr>
            <w:tcW w:w="1843" w:type="dxa"/>
            <w:tcBorders>
              <w:top w:val="nil"/>
              <w:left w:val="nil"/>
              <w:bottom w:val="single" w:sz="8" w:space="0" w:color="95B3D7"/>
              <w:right w:val="nil"/>
            </w:tcBorders>
            <w:shd w:val="clear" w:color="000000" w:fill="DBE5F1"/>
            <w:noWrap/>
            <w:vAlign w:val="center"/>
            <w:hideMark/>
          </w:tcPr>
          <w:p w14:paraId="1B3E7387" w14:textId="07075372" w:rsidR="00FB7492" w:rsidRPr="00FB7492" w:rsidRDefault="00FB7492" w:rsidP="00F2088F">
            <w:pPr>
              <w:spacing w:after="0" w:line="240" w:lineRule="auto"/>
              <w:ind w:left="0"/>
              <w:jc w:val="center"/>
              <w:rPr>
                <w:rFonts w:eastAsia="Times New Roman" w:cs="Calibri Light"/>
                <w:b/>
                <w:bCs/>
                <w:sz w:val="16"/>
                <w:szCs w:val="16"/>
                <w:lang w:eastAsia="en-NZ"/>
              </w:rPr>
            </w:pPr>
            <w:r w:rsidRPr="00FB7492">
              <w:rPr>
                <w:rFonts w:cs="Calibri Light"/>
                <w:b/>
                <w:bCs/>
                <w:sz w:val="16"/>
                <w:szCs w:val="16"/>
              </w:rPr>
              <w:t>$145.8</w:t>
            </w:r>
          </w:p>
        </w:tc>
        <w:tc>
          <w:tcPr>
            <w:tcW w:w="1276" w:type="dxa"/>
            <w:tcBorders>
              <w:top w:val="nil"/>
              <w:left w:val="nil"/>
              <w:bottom w:val="single" w:sz="8" w:space="0" w:color="95B3D7"/>
              <w:right w:val="nil"/>
            </w:tcBorders>
            <w:shd w:val="clear" w:color="000000" w:fill="DBE5F1"/>
            <w:noWrap/>
            <w:vAlign w:val="center"/>
            <w:hideMark/>
          </w:tcPr>
          <w:p w14:paraId="45E2B91D" w14:textId="062291D2" w:rsidR="00FB7492" w:rsidRPr="00FB7492" w:rsidRDefault="00FB7492" w:rsidP="00F2088F">
            <w:pPr>
              <w:spacing w:after="0" w:line="240" w:lineRule="auto"/>
              <w:ind w:left="0"/>
              <w:jc w:val="center"/>
              <w:rPr>
                <w:rFonts w:eastAsia="Times New Roman" w:cs="Calibri Light"/>
                <w:b/>
                <w:bCs/>
                <w:sz w:val="16"/>
                <w:szCs w:val="16"/>
                <w:lang w:eastAsia="en-NZ"/>
              </w:rPr>
            </w:pPr>
            <w:r w:rsidRPr="00FB7492">
              <w:rPr>
                <w:rFonts w:cs="Calibri Light"/>
                <w:b/>
                <w:bCs/>
                <w:sz w:val="16"/>
                <w:szCs w:val="16"/>
              </w:rPr>
              <w:t>468</w:t>
            </w:r>
          </w:p>
        </w:tc>
        <w:tc>
          <w:tcPr>
            <w:tcW w:w="1278" w:type="dxa"/>
            <w:tcBorders>
              <w:top w:val="nil"/>
              <w:left w:val="nil"/>
              <w:bottom w:val="single" w:sz="8" w:space="0" w:color="95B3D7"/>
              <w:right w:val="nil"/>
            </w:tcBorders>
            <w:shd w:val="clear" w:color="000000" w:fill="DBE5F1"/>
            <w:noWrap/>
            <w:hideMark/>
          </w:tcPr>
          <w:p w14:paraId="25E47AC8" w14:textId="64543AF3" w:rsidR="00FB7492" w:rsidRPr="00CA5D70" w:rsidRDefault="00FB7492" w:rsidP="00F2088F">
            <w:pPr>
              <w:spacing w:after="0" w:line="240" w:lineRule="auto"/>
              <w:ind w:left="0"/>
              <w:jc w:val="center"/>
              <w:rPr>
                <w:rFonts w:eastAsia="Times New Roman" w:cs="Calibri Light"/>
                <w:i/>
                <w:iCs/>
                <w:sz w:val="16"/>
                <w:szCs w:val="16"/>
                <w:lang w:eastAsia="en-NZ"/>
              </w:rPr>
            </w:pPr>
          </w:p>
        </w:tc>
      </w:tr>
      <w:tr w:rsidR="006241F8" w:rsidRPr="006241F8" w14:paraId="0EBB64FF" w14:textId="77777777" w:rsidTr="00B04D46">
        <w:trPr>
          <w:trHeight w:val="113"/>
        </w:trPr>
        <w:tc>
          <w:tcPr>
            <w:tcW w:w="9415" w:type="dxa"/>
            <w:gridSpan w:val="6"/>
            <w:tcBorders>
              <w:top w:val="single" w:sz="8" w:space="0" w:color="95B3D7"/>
              <w:left w:val="nil"/>
              <w:bottom w:val="single" w:sz="8" w:space="0" w:color="95B3D7"/>
              <w:right w:val="nil"/>
            </w:tcBorders>
            <w:shd w:val="clear" w:color="auto" w:fill="auto"/>
            <w:noWrap/>
            <w:vAlign w:val="center"/>
            <w:hideMark/>
          </w:tcPr>
          <w:p w14:paraId="4858B8EE" w14:textId="318F9641" w:rsidR="009A4589" w:rsidRPr="006241F8" w:rsidRDefault="006241F8" w:rsidP="00655727">
            <w:pPr>
              <w:spacing w:after="0" w:line="240" w:lineRule="auto"/>
              <w:ind w:left="0"/>
              <w:jc w:val="left"/>
              <w:rPr>
                <w:rFonts w:eastAsia="Times New Roman" w:cs="Times New Roman"/>
                <w:i/>
                <w:iCs/>
                <w:color w:val="000000"/>
                <w:sz w:val="18"/>
                <w:szCs w:val="18"/>
                <w:lang w:eastAsia="en-NZ"/>
              </w:rPr>
            </w:pPr>
            <w:r w:rsidRPr="006241F8">
              <w:rPr>
                <w:rFonts w:eastAsia="Times New Roman" w:cs="Times New Roman"/>
                <w:i/>
                <w:iCs/>
                <w:color w:val="000000"/>
                <w:sz w:val="18"/>
                <w:szCs w:val="18"/>
                <w:lang w:eastAsia="en-NZ"/>
              </w:rPr>
              <w:t>*The cost avoided (benefits) show how much ‘less’ is spent due to the health effects</w:t>
            </w:r>
          </w:p>
        </w:tc>
      </w:tr>
    </w:tbl>
    <w:p w14:paraId="6251FB3D" w14:textId="6C8415F9" w:rsidR="00FB39C7" w:rsidRDefault="00FB39C7" w:rsidP="009A4589">
      <w:pPr>
        <w:ind w:left="0"/>
      </w:pPr>
    </w:p>
    <w:p w14:paraId="6D8BA065" w14:textId="13D197F4" w:rsidR="00335186" w:rsidRPr="001D1120" w:rsidRDefault="00335186" w:rsidP="00335186">
      <w:r w:rsidRPr="001D1120">
        <w:t>The greatest areas of imbalance between benefits received (reduced health costs) and private costs</w:t>
      </w:r>
      <w:r w:rsidR="008377BB">
        <w:t>,</w:t>
      </w:r>
      <w:r w:rsidRPr="001D1120">
        <w:t xml:space="preserve"> occur in the following airsheds, under this policy option:</w:t>
      </w:r>
    </w:p>
    <w:p w14:paraId="2095419F" w14:textId="571837D6" w:rsidR="00335186" w:rsidRPr="001D1120" w:rsidRDefault="00335186" w:rsidP="00196BC2">
      <w:pPr>
        <w:pStyle w:val="MEBullet"/>
        <w:ind w:hanging="717"/>
      </w:pPr>
      <w:proofErr w:type="spellStart"/>
      <w:r w:rsidRPr="001D1120">
        <w:t>Ng</w:t>
      </w:r>
      <w:r w:rsidR="004B69A1">
        <w:t>ā</w:t>
      </w:r>
      <w:r w:rsidRPr="001D1120">
        <w:t>ruaw</w:t>
      </w:r>
      <w:r w:rsidR="004B69A1">
        <w:t>ā</w:t>
      </w:r>
      <w:r w:rsidRPr="001D1120">
        <w:t>hia</w:t>
      </w:r>
      <w:proofErr w:type="spellEnd"/>
      <w:r w:rsidRPr="001D1120">
        <w:t>: over 70% of the population in the top 3 most deprived categories, a very high cost per capita measure</w:t>
      </w:r>
      <w:r w:rsidRPr="001D1120">
        <w:rPr>
          <w:rStyle w:val="FootnoteReference"/>
        </w:rPr>
        <w:footnoteReference w:id="31"/>
      </w:r>
      <w:r w:rsidRPr="001D1120">
        <w:t xml:space="preserve"> (ranked 6 out of 96), and a relatively low benefit per capita (ranked 53 out of 96) implies a large imbalance.</w:t>
      </w:r>
    </w:p>
    <w:p w14:paraId="19033F37" w14:textId="4ABED9C4" w:rsidR="00335186" w:rsidRPr="001D1120" w:rsidRDefault="00335186" w:rsidP="00196BC2">
      <w:pPr>
        <w:pStyle w:val="MEBullet"/>
        <w:ind w:hanging="717"/>
      </w:pPr>
      <w:r w:rsidRPr="001D1120">
        <w:t xml:space="preserve">Taihape: more than half of </w:t>
      </w:r>
      <w:r w:rsidR="008377BB">
        <w:t xml:space="preserve">the </w:t>
      </w:r>
      <w:r w:rsidRPr="001D1120">
        <w:t>population in the 3 highest deprivation classes and a very high total private cost indicator, means a large imbalance between their cost per capita (highest of all the airsheds), and the benefits they receive (rank</w:t>
      </w:r>
      <w:r w:rsidR="008377BB">
        <w:t>ed</w:t>
      </w:r>
      <w:r w:rsidRPr="001D1120">
        <w:t xml:space="preserve"> 56 out of 96 airsheds).</w:t>
      </w:r>
    </w:p>
    <w:p w14:paraId="2C9CDB47" w14:textId="1067972C" w:rsidR="00335186" w:rsidRDefault="00335186" w:rsidP="00335186">
      <w:r>
        <w:t xml:space="preserve">This </w:t>
      </w:r>
      <w:r w:rsidRPr="001E66EF">
        <w:t>highlight</w:t>
      </w:r>
      <w:r>
        <w:t>s</w:t>
      </w:r>
      <w:r w:rsidRPr="001E66EF">
        <w:t xml:space="preserve"> the need for policy makers to look beyond the CBA ratios to also consider aspects such as households’ ability to pay for the change.  </w:t>
      </w:r>
    </w:p>
    <w:p w14:paraId="1894F269" w14:textId="77777777" w:rsidR="00335186" w:rsidRDefault="00335186" w:rsidP="00335186"/>
    <w:p w14:paraId="5A293471" w14:textId="77777777" w:rsidR="00335186" w:rsidRPr="001E66EF" w:rsidRDefault="00335186" w:rsidP="00012A42"/>
    <w:p w14:paraId="4ADB9CAD" w14:textId="38BC040C" w:rsidR="0079282C" w:rsidRPr="001E66EF" w:rsidRDefault="004C21FD" w:rsidP="009F41B2">
      <w:pPr>
        <w:pStyle w:val="Heading1"/>
        <w:rPr>
          <w:rFonts w:ascii="Calibri Light" w:hAnsi="Calibri Light"/>
        </w:rPr>
      </w:pPr>
      <w:bookmarkStart w:id="92" w:name="_Toc455737441"/>
      <w:bookmarkStart w:id="93" w:name="_Toc456097313"/>
      <w:bookmarkStart w:id="94" w:name="_Toc455737442"/>
      <w:bookmarkStart w:id="95" w:name="_Toc456097314"/>
      <w:bookmarkStart w:id="96" w:name="_Toc455737443"/>
      <w:bookmarkStart w:id="97" w:name="_Toc456097315"/>
      <w:bookmarkStart w:id="98" w:name="_Toc455737444"/>
      <w:bookmarkStart w:id="99" w:name="_Toc456097316"/>
      <w:bookmarkStart w:id="100" w:name="_Toc455737445"/>
      <w:bookmarkStart w:id="101" w:name="_Toc456097317"/>
      <w:bookmarkStart w:id="102" w:name="_Toc455737446"/>
      <w:bookmarkStart w:id="103" w:name="_Toc456097318"/>
      <w:bookmarkStart w:id="104" w:name="_Toc455737447"/>
      <w:bookmarkStart w:id="105" w:name="_Toc456097319"/>
      <w:bookmarkStart w:id="106" w:name="_Toc25569526"/>
      <w:bookmarkEnd w:id="79"/>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Calibri Light" w:hAnsi="Calibri Light"/>
        </w:rPr>
        <w:lastRenderedPageBreak/>
        <w:t>Summary</w:t>
      </w:r>
      <w:bookmarkEnd w:id="106"/>
    </w:p>
    <w:p w14:paraId="69F6F945" w14:textId="0426A3A6" w:rsidR="004C21FD" w:rsidRPr="001E66EF" w:rsidRDefault="00A44F14" w:rsidP="004C21FD">
      <w:r w:rsidRPr="001E66EF">
        <w:t xml:space="preserve">While it is not known what the </w:t>
      </w:r>
      <w:r w:rsidR="00AF3A79" w:rsidRPr="001E66EF">
        <w:t xml:space="preserve">‘final’ </w:t>
      </w:r>
      <w:r w:rsidRPr="001E66EF">
        <w:t>policy settings will be, this report present</w:t>
      </w:r>
      <w:r w:rsidR="00A92D9F">
        <w:t>s</w:t>
      </w:r>
      <w:r w:rsidRPr="001E66EF">
        <w:t xml:space="preserve"> </w:t>
      </w:r>
      <w:r w:rsidR="00A92D9F">
        <w:t xml:space="preserve">the </w:t>
      </w:r>
      <w:r w:rsidR="00E745C1">
        <w:t>proposed</w:t>
      </w:r>
      <w:r w:rsidR="00A92D9F">
        <w:t xml:space="preserve"> </w:t>
      </w:r>
      <w:r w:rsidRPr="001E66EF">
        <w:t xml:space="preserve">policy option, relative to the status quo.  </w:t>
      </w:r>
      <w:r w:rsidR="00226231" w:rsidRPr="001E66EF">
        <w:t xml:space="preserve">The cost-benefit analysis (CBA) examines the costs (and benefits, i.e. reduced costs) of </w:t>
      </w:r>
      <w:r w:rsidR="008377BB">
        <w:t xml:space="preserve">the </w:t>
      </w:r>
      <w:r w:rsidR="00226231" w:rsidRPr="001E66EF">
        <w:t xml:space="preserve">policy </w:t>
      </w:r>
      <w:r w:rsidR="00226231" w:rsidRPr="001E66EF">
        <w:rPr>
          <w:b/>
        </w:rPr>
        <w:t>relative</w:t>
      </w:r>
      <w:r w:rsidR="00226231" w:rsidRPr="001E66EF">
        <w:t xml:space="preserve"> to the costs</w:t>
      </w:r>
      <w:r w:rsidR="008377BB">
        <w:t xml:space="preserve"> (and benefits)</w:t>
      </w:r>
      <w:r w:rsidR="00226231" w:rsidRPr="001E66EF">
        <w:t xml:space="preserve"> under status quo.  </w:t>
      </w:r>
      <w:r w:rsidR="0074647A" w:rsidRPr="001E66EF">
        <w:t>A reduction in cost</w:t>
      </w:r>
      <w:r w:rsidRPr="001E66EF">
        <w:t xml:space="preserve"> under the implementation of policy, is interpreted as a benefit, e.g. avoidan</w:t>
      </w:r>
      <w:r w:rsidR="00226231" w:rsidRPr="001E66EF">
        <w:t>ce of health costs.</w:t>
      </w:r>
      <w:r w:rsidR="000C2143">
        <w:t xml:space="preserve">  Some of the key findings are su</w:t>
      </w:r>
      <w:r w:rsidR="005C5888">
        <w:t>mmarised as follow</w:t>
      </w:r>
      <w:r w:rsidR="000C2143">
        <w:t>:</w:t>
      </w:r>
      <w:r w:rsidR="00226231" w:rsidRPr="001E66EF">
        <w:t xml:space="preserve">  </w:t>
      </w:r>
    </w:p>
    <w:p w14:paraId="3D3F13E1" w14:textId="5CD63A16" w:rsidR="00854512" w:rsidRDefault="00854512" w:rsidP="00196BC2">
      <w:pPr>
        <w:pStyle w:val="MEBullet"/>
        <w:ind w:hanging="717"/>
      </w:pPr>
      <w:r>
        <w:t>I</w:t>
      </w:r>
      <w:r w:rsidRPr="001E66EF">
        <w:t>mplementing th</w:t>
      </w:r>
      <w:r w:rsidR="00E745C1">
        <w:t>is policy</w:t>
      </w:r>
      <w:r w:rsidR="00321CC7">
        <w:t xml:space="preserve"> </w:t>
      </w:r>
      <w:r w:rsidRPr="001E66EF">
        <w:t xml:space="preserve">is expected to deliver a cost-benefit ratio (CBR) of </w:t>
      </w:r>
      <w:r w:rsidR="00E745C1">
        <w:t>8.4</w:t>
      </w:r>
      <w:r w:rsidRPr="001E66EF">
        <w:rPr>
          <w:rStyle w:val="FootnoteReference"/>
        </w:rPr>
        <w:footnoteReference w:id="32"/>
      </w:r>
      <w:r w:rsidRPr="001E66EF">
        <w:t xml:space="preserve"> using the VOSL method to value the cost of premature mortality.  </w:t>
      </w:r>
    </w:p>
    <w:p w14:paraId="432EFC35" w14:textId="537043FF" w:rsidR="009F5662" w:rsidRDefault="009F5662" w:rsidP="00196BC2">
      <w:pPr>
        <w:pStyle w:val="MEBullet"/>
        <w:ind w:hanging="717"/>
      </w:pPr>
      <w:r>
        <w:t xml:space="preserve">A </w:t>
      </w:r>
      <w:r w:rsidRPr="001E66EF">
        <w:t>nationwide improvement in air quality, to lower concentration</w:t>
      </w:r>
      <w:r>
        <w:t>s</w:t>
      </w:r>
      <w:r w:rsidRPr="001E66EF">
        <w:t xml:space="preserve"> of PM</w:t>
      </w:r>
      <w:r w:rsidRPr="001E66EF">
        <w:rPr>
          <w:vertAlign w:val="subscript"/>
        </w:rPr>
        <w:t>2.5</w:t>
      </w:r>
      <w:r w:rsidRPr="001E66EF">
        <w:t xml:space="preserve"> </w:t>
      </w:r>
      <w:r>
        <w:t xml:space="preserve">is observed.  </w:t>
      </w:r>
      <w:r w:rsidRPr="001E66EF">
        <w:t xml:space="preserve">Of the </w:t>
      </w:r>
      <w:r w:rsidR="00E745C1">
        <w:t>12</w:t>
      </w:r>
      <w:r w:rsidR="00E745C1" w:rsidRPr="001E66EF">
        <w:t xml:space="preserve"> </w:t>
      </w:r>
      <w:r w:rsidRPr="001E66EF">
        <w:t>airsheds</w:t>
      </w:r>
      <w:r w:rsidR="00655727">
        <w:rPr>
          <w:rStyle w:val="FootnoteReference"/>
        </w:rPr>
        <w:footnoteReference w:id="33"/>
      </w:r>
      <w:r w:rsidRPr="001E66EF">
        <w:t xml:space="preserve"> that are classified as </w:t>
      </w:r>
      <w:r w:rsidR="00E745C1">
        <w:t>‘</w:t>
      </w:r>
      <w:r w:rsidRPr="001E66EF">
        <w:t>polluted</w:t>
      </w:r>
      <w:r>
        <w:t>’</w:t>
      </w:r>
      <w:r w:rsidRPr="001E66EF">
        <w:t xml:space="preserve"> in 201</w:t>
      </w:r>
      <w:r w:rsidR="00E745C1">
        <w:t>8</w:t>
      </w:r>
      <w:r w:rsidRPr="001E66EF">
        <w:t>, only four</w:t>
      </w:r>
      <w:r w:rsidR="00DA6FE9">
        <w:t xml:space="preserve"> would</w:t>
      </w:r>
      <w:r w:rsidRPr="001E66EF">
        <w:t xml:space="preserve"> remain so by 2028</w:t>
      </w:r>
      <w:r>
        <w:t>.</w:t>
      </w:r>
      <w:r w:rsidR="00655727">
        <w:t xml:space="preserve">  </w:t>
      </w:r>
    </w:p>
    <w:p w14:paraId="447A41CB" w14:textId="298C1604" w:rsidR="000C2143" w:rsidRPr="0064674D" w:rsidRDefault="000C2143" w:rsidP="00196BC2">
      <w:pPr>
        <w:pStyle w:val="MEBullet"/>
        <w:ind w:hanging="717"/>
      </w:pPr>
      <w:r w:rsidRPr="0064674D">
        <w:t xml:space="preserve">It is anticipated that implementing </w:t>
      </w:r>
      <w:r w:rsidR="00E745C1">
        <w:t>the proposed policy</w:t>
      </w:r>
      <w:r w:rsidRPr="0064674D">
        <w:t>, will deliver a total, NZ-wide health cost saving of $</w:t>
      </w:r>
      <w:r w:rsidR="00E745C1">
        <w:t>820</w:t>
      </w:r>
      <w:r w:rsidR="00E745C1" w:rsidRPr="0064674D">
        <w:t>m</w:t>
      </w:r>
      <w:r w:rsidR="00854512" w:rsidRPr="0064674D">
        <w:rPr>
          <w:rStyle w:val="FootnoteReference"/>
        </w:rPr>
        <w:footnoteReference w:id="34"/>
      </w:r>
      <w:r w:rsidRPr="0064674D">
        <w:t xml:space="preserve">, with the </w:t>
      </w:r>
      <w:r w:rsidR="00E745C1">
        <w:t>Auckland</w:t>
      </w:r>
      <w:r w:rsidR="00E745C1" w:rsidRPr="0064674D">
        <w:t xml:space="preserve"> </w:t>
      </w:r>
      <w:r w:rsidRPr="0064674D">
        <w:t>region responsible for the greatest savings - $</w:t>
      </w:r>
      <w:r w:rsidR="00E745C1">
        <w:t>158</w:t>
      </w:r>
      <w:r w:rsidR="00E745C1" w:rsidRPr="0064674D">
        <w:t>m</w:t>
      </w:r>
      <w:r w:rsidRPr="0064674D">
        <w:t xml:space="preserve">, and the </w:t>
      </w:r>
      <w:r w:rsidR="00E745C1">
        <w:t>Waikato</w:t>
      </w:r>
      <w:r w:rsidR="00E745C1" w:rsidRPr="0064674D">
        <w:t xml:space="preserve"> </w:t>
      </w:r>
      <w:r w:rsidRPr="0064674D">
        <w:t>region contributing some $</w:t>
      </w:r>
      <w:r w:rsidR="00E745C1">
        <w:t>125</w:t>
      </w:r>
      <w:r w:rsidR="00E745C1" w:rsidRPr="0064674D">
        <w:t xml:space="preserve">m </w:t>
      </w:r>
      <w:r w:rsidRPr="0064674D">
        <w:t xml:space="preserve">of health cost savings.  </w:t>
      </w:r>
    </w:p>
    <w:p w14:paraId="0A65882A" w14:textId="5EA7D133" w:rsidR="009D4440" w:rsidRPr="001E66EF" w:rsidRDefault="009D4440" w:rsidP="00196BC2">
      <w:pPr>
        <w:pStyle w:val="MEBullet"/>
        <w:ind w:hanging="717"/>
      </w:pPr>
      <w:r w:rsidRPr="001E66EF">
        <w:t>Of particular interest to policy makers</w:t>
      </w:r>
      <w:r w:rsidR="0064674D">
        <w:t>,</w:t>
      </w:r>
      <w:r w:rsidRPr="001E66EF">
        <w:t xml:space="preserve"> is the relationship between the populations being affected and the costs likely to be imposed upon them.  A group’s ability to pay or to meet the costs of burner upgrades is a strong indicator of a policy’s potential success.  While this study does not address directly the issue of ability to pay, it utilises Statistics New Zealand’s Social Deprivation Index to profile the airsheds such that costs can be viewed in the context of the overall airshed</w:t>
      </w:r>
      <w:r w:rsidR="0064674D">
        <w:t>’</w:t>
      </w:r>
      <w:r w:rsidRPr="001E66EF">
        <w:t>s economic indicators.</w:t>
      </w:r>
      <w:r w:rsidR="001A32FC" w:rsidRPr="001E66EF">
        <w:t xml:space="preserve">  It is </w:t>
      </w:r>
      <w:r w:rsidR="005D68B2">
        <w:t>possible</w:t>
      </w:r>
      <w:r w:rsidR="001A32FC" w:rsidRPr="001E66EF">
        <w:t xml:space="preserve"> that airsheds classified as </w:t>
      </w:r>
      <w:r w:rsidR="00E745C1">
        <w:t>’Polluted’</w:t>
      </w:r>
      <w:r w:rsidR="001A32FC" w:rsidRPr="001E66EF">
        <w:t xml:space="preserve"> has a large proportion of old burners</w:t>
      </w:r>
      <w:r w:rsidR="00D416C7" w:rsidRPr="001E66EF">
        <w:t>, and low ability to pay for upgrades</w:t>
      </w:r>
      <w:r w:rsidR="001A32FC" w:rsidRPr="001E66EF">
        <w:t>.</w:t>
      </w:r>
      <w:r w:rsidR="00D416C7" w:rsidRPr="001E66EF">
        <w:t xml:space="preserve">  </w:t>
      </w:r>
    </w:p>
    <w:p w14:paraId="3CBA54E7" w14:textId="77A590E7" w:rsidR="00DF3478" w:rsidRPr="001E66EF" w:rsidRDefault="00236D63" w:rsidP="00196BC2">
      <w:pPr>
        <w:pStyle w:val="MEBullet"/>
        <w:ind w:hanging="717"/>
      </w:pPr>
      <w:r w:rsidRPr="001E66EF">
        <w:t xml:space="preserve">While the assumption is that most households would replace their current burner with a (compliant) solid fuel burner when required to replace their heating appliance, a change in this preference will influence the results of the assessment.  The relative price difference between burners and heat pumps suggests that in the short to medium term, heat pumps may be favoured over burners.  This means that the burner numbers modelled in the scenarios might not be fully taken up.  If, for some reason, the burner uptake rate is slower than the rate modelled in the scenarios, then the emissions and the health costs will be different from the ones reported here.  </w:t>
      </w:r>
    </w:p>
    <w:p w14:paraId="63DDC0E9" w14:textId="57B050E1" w:rsidR="00B77A6B" w:rsidRPr="001E66EF" w:rsidRDefault="00B77A6B" w:rsidP="00B77A6B">
      <w:pPr>
        <w:pStyle w:val="MEBullet"/>
        <w:numPr>
          <w:ilvl w:val="0"/>
          <w:numId w:val="0"/>
        </w:numPr>
        <w:ind w:left="993"/>
      </w:pPr>
      <w:r w:rsidRPr="001E66EF">
        <w:t>As with all modelling and assessments of this nature, the conclusions are subject to the inputs i.e. the policy settings and the assumptions.  In addition to this, the timeframe over which any policy comes fully into effect</w:t>
      </w:r>
      <w:r w:rsidR="005D68B2">
        <w:t>,</w:t>
      </w:r>
      <w:r w:rsidRPr="001E66EF">
        <w:t xml:space="preserve"> is critical in determining that policy’s net position.  This </w:t>
      </w:r>
      <w:r w:rsidR="001D1120">
        <w:t>update</w:t>
      </w:r>
      <w:r w:rsidRPr="001E66EF">
        <w:t xml:space="preserve"> was undertaken using available information and in some instances the availability and quality </w:t>
      </w:r>
      <w:r w:rsidRPr="001E66EF">
        <w:lastRenderedPageBreak/>
        <w:t xml:space="preserve">of information, was limited.  Using more recent or more detailed information will change the results.  </w:t>
      </w:r>
    </w:p>
    <w:p w14:paraId="7F8DA1CE" w14:textId="77777777" w:rsidR="00401484" w:rsidRPr="001E66EF" w:rsidRDefault="00401484" w:rsidP="005B703C"/>
    <w:p w14:paraId="3B932D19" w14:textId="77777777" w:rsidR="002F67E7" w:rsidRPr="001E66EF" w:rsidRDefault="002F67E7" w:rsidP="002F67E7"/>
    <w:p w14:paraId="53418554" w14:textId="77777777" w:rsidR="00C40C42" w:rsidRPr="001E66EF" w:rsidRDefault="00C40C42" w:rsidP="00BA6D65"/>
    <w:p w14:paraId="08A46B0D" w14:textId="77777777" w:rsidR="0091764B" w:rsidRPr="001E66EF" w:rsidRDefault="0091764B" w:rsidP="0091764B">
      <w:pPr>
        <w:pStyle w:val="Heading1"/>
        <w:rPr>
          <w:rFonts w:ascii="Calibri Light" w:hAnsi="Calibri Light"/>
        </w:rPr>
      </w:pPr>
      <w:bookmarkStart w:id="107" w:name="_Toc455044480"/>
      <w:bookmarkStart w:id="108" w:name="_Toc25569527"/>
      <w:r w:rsidRPr="001E66EF">
        <w:rPr>
          <w:rFonts w:ascii="Calibri Light" w:hAnsi="Calibri Light"/>
        </w:rPr>
        <w:lastRenderedPageBreak/>
        <w:t>References</w:t>
      </w:r>
      <w:bookmarkEnd w:id="107"/>
      <w:bookmarkEnd w:id="108"/>
    </w:p>
    <w:p w14:paraId="2272C26E" w14:textId="77777777" w:rsidR="00F9131B" w:rsidRPr="001E66EF" w:rsidRDefault="00F9131B" w:rsidP="00EE2150">
      <w:pPr>
        <w:ind w:left="1712" w:hanging="720"/>
        <w:rPr>
          <w:i/>
        </w:rPr>
      </w:pPr>
      <w:r w:rsidRPr="001E66EF">
        <w:t xml:space="preserve">Atkinson, J., Salmond, C., &amp; Crampton, P. (2014). NZDep2013 index of deprivation. </w:t>
      </w:r>
      <w:r w:rsidRPr="001E66EF">
        <w:rPr>
          <w:i/>
        </w:rPr>
        <w:t>Department of Public Health, ed. University of Otago</w:t>
      </w:r>
    </w:p>
    <w:p w14:paraId="22916D15" w14:textId="473DD819" w:rsidR="00EE2150" w:rsidRPr="001E66EF" w:rsidRDefault="00EE2150" w:rsidP="00EE2150">
      <w:pPr>
        <w:ind w:left="1712" w:hanging="720"/>
        <w:jc w:val="left"/>
      </w:pPr>
      <w:r w:rsidRPr="001E66EF">
        <w:t xml:space="preserve">COMEAP. 2010. The Mortality Effects of Long-Term Exposure to Particulate Air Pollution in the United Kingdom. </w:t>
      </w:r>
      <w:r w:rsidRPr="001E66EF">
        <w:rPr>
          <w:i/>
        </w:rPr>
        <w:t xml:space="preserve">Retrieved from </w:t>
      </w:r>
      <w:hyperlink r:id="rId15" w:history="1">
        <w:r w:rsidRPr="001E66EF">
          <w:rPr>
            <w:rStyle w:val="Hyperlink"/>
          </w:rPr>
          <w:t>https://www.gov.uk/government/uploads/system/uploads/attachment_data/file/304641/COMEAP_mortality_effects_of_long_term_exposure.pdf</w:t>
        </w:r>
      </w:hyperlink>
    </w:p>
    <w:p w14:paraId="1A0849FD" w14:textId="259FC16E" w:rsidR="00EE2150" w:rsidRPr="001E66EF" w:rsidRDefault="00EE2150" w:rsidP="00EE2150">
      <w:pPr>
        <w:ind w:left="1712" w:hanging="720"/>
        <w:rPr>
          <w:lang w:eastAsia="en-NZ"/>
        </w:rPr>
      </w:pPr>
      <w:r w:rsidRPr="001E66EF">
        <w:rPr>
          <w:lang w:eastAsia="en-NZ"/>
        </w:rPr>
        <w:t xml:space="preserve">Henschel, S., Chan, G. 2013. WHO Health risks of air pollution in Europe - HRAPIE project. New emerging risks from air pollution – results from the survey of experts. </w:t>
      </w:r>
      <w:r w:rsidRPr="001E66EF">
        <w:rPr>
          <w:i/>
          <w:lang w:eastAsia="en-NZ"/>
        </w:rPr>
        <w:t xml:space="preserve">Retrieved from </w:t>
      </w:r>
      <w:hyperlink r:id="rId16" w:history="1">
        <w:r w:rsidRPr="001E66EF">
          <w:rPr>
            <w:rStyle w:val="Hyperlink"/>
            <w:lang w:eastAsia="en-NZ"/>
          </w:rPr>
          <w:t>http://www.euro.who.int/__data/assets/pdf_file/0017/234026/e96933.pdf?ua=1</w:t>
        </w:r>
      </w:hyperlink>
    </w:p>
    <w:p w14:paraId="26AB8400" w14:textId="3C341F08" w:rsidR="0091764B" w:rsidRPr="001E66EF" w:rsidRDefault="0091764B" w:rsidP="00EE2150">
      <w:pPr>
        <w:ind w:left="1712" w:hanging="720"/>
      </w:pPr>
      <w:proofErr w:type="spellStart"/>
      <w:r w:rsidRPr="001E66EF">
        <w:t>Kuschel</w:t>
      </w:r>
      <w:proofErr w:type="spellEnd"/>
      <w:r w:rsidRPr="001E66EF">
        <w:t xml:space="preserve"> G, Metcalfe J, Wilton E, </w:t>
      </w:r>
      <w:proofErr w:type="spellStart"/>
      <w:r w:rsidRPr="001E66EF">
        <w:t>Guria</w:t>
      </w:r>
      <w:proofErr w:type="spellEnd"/>
      <w:r w:rsidRPr="001E66EF">
        <w:t xml:space="preserve"> J, Hales S, Rolfe K &amp; Woodward</w:t>
      </w:r>
      <w:r w:rsidR="00620C24">
        <w:t>.</w:t>
      </w:r>
      <w:r w:rsidRPr="001E66EF">
        <w:t xml:space="preserve"> A 2012. Updated Health and Air Pollution in New Zealand Study. Report prepared for Health Research Council of New Zealand, Ministry of Transport, Ministry for the Environment and New Zealand Transport Agency, March 2012. </w:t>
      </w:r>
    </w:p>
    <w:p w14:paraId="285C5D72" w14:textId="63B663EC" w:rsidR="00985A6F" w:rsidRPr="008377BB" w:rsidRDefault="00985A6F" w:rsidP="00EE2150">
      <w:pPr>
        <w:ind w:left="1712" w:hanging="720"/>
        <w:rPr>
          <w:rFonts w:cs="Arial"/>
          <w:shd w:val="clear" w:color="auto" w:fill="FFFFFF"/>
        </w:rPr>
      </w:pPr>
      <w:r w:rsidRPr="008377BB">
        <w:rPr>
          <w:rFonts w:cs="Arial"/>
          <w:shd w:val="clear" w:color="auto" w:fill="FFFFFF"/>
        </w:rPr>
        <w:t>O'Dea, D., Wren, J. 2012. New Zealand estimates of the total social and economic cost of injuries.</w:t>
      </w:r>
      <w:r w:rsidR="008377BB">
        <w:rPr>
          <w:rStyle w:val="apple-converted-space"/>
          <w:rFonts w:cs="Arial"/>
          <w:shd w:val="clear" w:color="auto" w:fill="FFFFFF"/>
        </w:rPr>
        <w:t xml:space="preserve"> </w:t>
      </w:r>
      <w:r w:rsidRPr="008377BB">
        <w:rPr>
          <w:rStyle w:val="apple-converted-space"/>
          <w:rFonts w:cs="Arial"/>
          <w:shd w:val="clear" w:color="auto" w:fill="FFFFFF"/>
        </w:rPr>
        <w:t xml:space="preserve">New Zealand </w:t>
      </w:r>
      <w:r w:rsidRPr="008377BB">
        <w:rPr>
          <w:rFonts w:cs="Arial"/>
          <w:i/>
          <w:iCs/>
          <w:shd w:val="clear" w:color="auto" w:fill="FFFFFF"/>
        </w:rPr>
        <w:t>Injury Prevention Strategy</w:t>
      </w:r>
      <w:r w:rsidRPr="008377BB">
        <w:rPr>
          <w:rFonts w:cs="Arial"/>
          <w:shd w:val="clear" w:color="auto" w:fill="FFFFFF"/>
        </w:rPr>
        <w:t>.</w:t>
      </w:r>
    </w:p>
    <w:p w14:paraId="2C7DD147" w14:textId="3AFF2F26" w:rsidR="007E4183" w:rsidRDefault="007E4183" w:rsidP="00EE2150">
      <w:pPr>
        <w:ind w:left="1712" w:hanging="720"/>
      </w:pPr>
      <w:r w:rsidRPr="007E4183">
        <w:t>Ministry for the Environment and Statistics New Zealand</w:t>
      </w:r>
      <w:r>
        <w:t>.</w:t>
      </w:r>
      <w:r w:rsidRPr="007E4183">
        <w:t xml:space="preserve"> 2014.  New Zealand’s Environmental Reporting Series: 2014 Air domain report.  Available from http://www.mfe.govt.nz/publications/air-environmental-reporting/new-zealand%E2%80%99s-environmental-reporting-series-2014-air. Accessed 29 June 2016.</w:t>
      </w:r>
    </w:p>
    <w:p w14:paraId="6D031116" w14:textId="5E2DF7FA" w:rsidR="007E4183" w:rsidRPr="001E66EF" w:rsidRDefault="007E4183" w:rsidP="007E4183">
      <w:pPr>
        <w:ind w:left="1712" w:hanging="720"/>
      </w:pPr>
      <w:r w:rsidRPr="007E4183">
        <w:t>Ministry for the Environment and Statistics New Zealand</w:t>
      </w:r>
      <w:r>
        <w:t xml:space="preserve">. 2018. </w:t>
      </w:r>
      <w:r w:rsidRPr="007E4183">
        <w:t>Our Air 2018: Data to 2017. Available from</w:t>
      </w:r>
      <w:r>
        <w:t xml:space="preserve"> </w:t>
      </w:r>
      <w:r w:rsidRPr="007E4183">
        <w:t>https://www.mfe.govt.nz/sites/default/files/media/Air/our-air-2018.pdf</w:t>
      </w:r>
    </w:p>
    <w:p w14:paraId="5B3BCDD9" w14:textId="2054EBC1" w:rsidR="007E4183" w:rsidRDefault="007E4183" w:rsidP="00EE2150">
      <w:pPr>
        <w:ind w:left="1712" w:hanging="720"/>
        <w:rPr>
          <w:rFonts w:cs="Arial"/>
          <w:noProof/>
        </w:rPr>
      </w:pPr>
      <w:r w:rsidRPr="00655727">
        <w:rPr>
          <w:szCs w:val="18"/>
        </w:rPr>
        <w:t>NIWA 2014.  Indicators for Environmental Domain Reporting. NIWA Client Report No: AKL2014-006. Available from https://www.mfe.govt.nz/publications/air-environmental-reporting/indicators-environmental-domain-reporting.  Accessed 29 June 2016.</w:t>
      </w:r>
    </w:p>
    <w:p w14:paraId="07247ABF" w14:textId="5A1B0FD9" w:rsidR="005F03D2" w:rsidRDefault="005F03D2" w:rsidP="00EE2150">
      <w:pPr>
        <w:ind w:left="1712" w:hanging="720"/>
        <w:rPr>
          <w:rFonts w:cs="Arial"/>
          <w:noProof/>
        </w:rPr>
      </w:pPr>
      <w:r w:rsidRPr="009A4589">
        <w:rPr>
          <w:rFonts w:cs="Arial"/>
          <w:noProof/>
        </w:rPr>
        <w:t>NIWA 2016. PM</w:t>
      </w:r>
      <w:r w:rsidRPr="009A4589">
        <w:rPr>
          <w:rFonts w:cs="Arial"/>
          <w:noProof/>
          <w:vertAlign w:val="subscript"/>
        </w:rPr>
        <w:t>2.5</w:t>
      </w:r>
      <w:r w:rsidRPr="009A4589">
        <w:rPr>
          <w:rFonts w:cs="Arial"/>
          <w:noProof/>
        </w:rPr>
        <w:t xml:space="preserve"> in New Zealand - Modelling of current state. Report prepared by NIWA for Ministry for the Environment, June 2016</w:t>
      </w:r>
    </w:p>
    <w:p w14:paraId="33186F42" w14:textId="68DF2CAC" w:rsidR="006C65D7" w:rsidRDefault="006C65D7" w:rsidP="006C65D7">
      <w:pPr>
        <w:ind w:left="1712" w:hanging="720"/>
      </w:pPr>
      <w:r>
        <w:t xml:space="preserve">Wilton, E., </w:t>
      </w:r>
      <w:proofErr w:type="spellStart"/>
      <w:r>
        <w:t>Iseli</w:t>
      </w:r>
      <w:proofErr w:type="spellEnd"/>
      <w:r>
        <w:t>, J., &amp; Anderson, B. 2007.  Cost effectiveness of policy options for boilers - Christchurch.  Environment Canterbury.</w:t>
      </w:r>
    </w:p>
    <w:p w14:paraId="5ECDA894" w14:textId="1DAB1CD4" w:rsidR="007E4183" w:rsidRPr="001E66EF" w:rsidRDefault="006C65D7" w:rsidP="006C65D7">
      <w:pPr>
        <w:ind w:left="1712" w:hanging="720"/>
      </w:pPr>
      <w:r>
        <w:t xml:space="preserve">Wilton, E., </w:t>
      </w:r>
      <w:proofErr w:type="spellStart"/>
      <w:r>
        <w:t>Baynes</w:t>
      </w:r>
      <w:proofErr w:type="spellEnd"/>
      <w:r>
        <w:t>, M. (2010).  Improving PM10 Emission Factors from Industrial Boilers in New Zealand – Stage 2.  Report prepared for the Foundation of Research, Science and Technology.</w:t>
      </w:r>
    </w:p>
    <w:p w14:paraId="1CF3C945" w14:textId="06B1B7C5" w:rsidR="0091764B" w:rsidRDefault="0091764B" w:rsidP="00EE2150">
      <w:pPr>
        <w:ind w:left="1712" w:hanging="720"/>
      </w:pPr>
      <w:r w:rsidRPr="001E66EF">
        <w:lastRenderedPageBreak/>
        <w:t xml:space="preserve">Wilton E, Bluett J &amp; Chilton R 2015. Home heating emission inventory and other sources evaluation. Report prepared for Ministry for the Environment and Statistics New Zealand. </w:t>
      </w:r>
    </w:p>
    <w:p w14:paraId="13A4B7EB" w14:textId="7413C3B5" w:rsidR="00DF54BD" w:rsidRPr="001E66EF" w:rsidRDefault="00DF54BD">
      <w:pPr>
        <w:spacing w:after="200" w:line="276" w:lineRule="auto"/>
        <w:ind w:left="0"/>
        <w:jc w:val="left"/>
      </w:pPr>
      <w:r w:rsidRPr="001E66EF">
        <w:br w:type="page"/>
      </w:r>
    </w:p>
    <w:p w14:paraId="31306207" w14:textId="573401F9" w:rsidR="00652542" w:rsidRPr="001E66EF" w:rsidRDefault="00DF54BD" w:rsidP="00DF54BD">
      <w:pPr>
        <w:pStyle w:val="Caption"/>
      </w:pPr>
      <w:bookmarkStart w:id="109" w:name="_Ref451415790"/>
      <w:r w:rsidRPr="001E66EF">
        <w:lastRenderedPageBreak/>
        <w:t xml:space="preserve">Appendix </w:t>
      </w:r>
      <w:r w:rsidR="001669B3" w:rsidRPr="001E66EF">
        <w:fldChar w:fldCharType="begin"/>
      </w:r>
      <w:r w:rsidR="001669B3" w:rsidRPr="001E66EF">
        <w:instrText xml:space="preserve"> SEQ Appendix \* ARABIC </w:instrText>
      </w:r>
      <w:r w:rsidR="001669B3" w:rsidRPr="001E66EF">
        <w:fldChar w:fldCharType="separate"/>
      </w:r>
      <w:r w:rsidR="00FD114C">
        <w:rPr>
          <w:noProof/>
        </w:rPr>
        <w:t>1</w:t>
      </w:r>
      <w:r w:rsidR="001669B3" w:rsidRPr="001E66EF">
        <w:fldChar w:fldCharType="end"/>
      </w:r>
      <w:bookmarkEnd w:id="109"/>
      <w:r w:rsidR="00AF611C" w:rsidRPr="001E66EF">
        <w:t xml:space="preserve"> – Airsheds </w:t>
      </w:r>
    </w:p>
    <w:tbl>
      <w:tblPr>
        <w:tblW w:w="5000" w:type="pct"/>
        <w:tblLook w:val="04A0" w:firstRow="1" w:lastRow="0" w:firstColumn="1" w:lastColumn="0" w:noHBand="0" w:noVBand="1"/>
      </w:tblPr>
      <w:tblGrid>
        <w:gridCol w:w="1094"/>
        <w:gridCol w:w="1465"/>
        <w:gridCol w:w="1446"/>
        <w:gridCol w:w="4978"/>
        <w:gridCol w:w="322"/>
      </w:tblGrid>
      <w:tr w:rsidR="00192E3F" w:rsidRPr="001E66EF" w14:paraId="0B2E6C74" w14:textId="77777777" w:rsidTr="00927ED5">
        <w:trPr>
          <w:trHeight w:val="57"/>
        </w:trPr>
        <w:tc>
          <w:tcPr>
            <w:tcW w:w="588"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82D6E1A" w14:textId="77777777" w:rsidR="00192E3F" w:rsidRPr="001E66EF" w:rsidRDefault="00192E3F" w:rsidP="00192E3F">
            <w:pPr>
              <w:spacing w:after="0" w:line="240" w:lineRule="auto"/>
              <w:ind w:left="0"/>
              <w:jc w:val="center"/>
              <w:rPr>
                <w:rFonts w:eastAsia="Times New Roman" w:cs="Times New Roman"/>
                <w:b/>
                <w:bCs/>
                <w:color w:val="000000"/>
                <w:sz w:val="16"/>
                <w:szCs w:val="16"/>
                <w:lang w:eastAsia="en-NZ"/>
              </w:rPr>
            </w:pPr>
            <w:r w:rsidRPr="001E66EF">
              <w:rPr>
                <w:rFonts w:eastAsia="Times New Roman" w:cs="Times New Roman"/>
                <w:b/>
                <w:bCs/>
                <w:color w:val="000000"/>
                <w:sz w:val="16"/>
                <w:szCs w:val="16"/>
                <w:lang w:eastAsia="en-NZ"/>
              </w:rPr>
              <w:t>RC2013</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5A0D4" w14:textId="77777777" w:rsidR="00192E3F" w:rsidRPr="001E66EF" w:rsidRDefault="00192E3F" w:rsidP="00192E3F">
            <w:pPr>
              <w:spacing w:after="0" w:line="240" w:lineRule="auto"/>
              <w:ind w:left="0"/>
              <w:jc w:val="center"/>
              <w:rPr>
                <w:rFonts w:eastAsia="Times New Roman" w:cs="Times New Roman"/>
                <w:b/>
                <w:bCs/>
                <w:color w:val="000000"/>
                <w:sz w:val="16"/>
                <w:szCs w:val="16"/>
                <w:lang w:eastAsia="en-NZ"/>
              </w:rPr>
            </w:pPr>
            <w:r w:rsidRPr="001E66EF">
              <w:rPr>
                <w:rFonts w:eastAsia="Times New Roman" w:cs="Times New Roman"/>
                <w:b/>
                <w:bCs/>
                <w:color w:val="000000"/>
                <w:sz w:val="16"/>
                <w:szCs w:val="16"/>
                <w:lang w:eastAsia="en-NZ"/>
              </w:rPr>
              <w:t>Airshed # (GOLDER)</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7C680" w14:textId="77777777" w:rsidR="00192E3F" w:rsidRPr="001E66EF" w:rsidRDefault="00192E3F" w:rsidP="00192E3F">
            <w:pPr>
              <w:spacing w:after="0" w:line="240" w:lineRule="auto"/>
              <w:ind w:left="0"/>
              <w:jc w:val="center"/>
              <w:rPr>
                <w:rFonts w:eastAsia="Times New Roman" w:cs="Times New Roman"/>
                <w:b/>
                <w:bCs/>
                <w:color w:val="000000"/>
                <w:sz w:val="16"/>
                <w:szCs w:val="16"/>
                <w:lang w:eastAsia="en-NZ"/>
              </w:rPr>
            </w:pPr>
            <w:r w:rsidRPr="001E66EF">
              <w:rPr>
                <w:rFonts w:eastAsia="Times New Roman" w:cs="Times New Roman"/>
                <w:b/>
                <w:bCs/>
                <w:color w:val="000000"/>
                <w:sz w:val="16"/>
                <w:szCs w:val="16"/>
                <w:lang w:eastAsia="en-NZ"/>
              </w:rPr>
              <w:t>Airshed # (M.E)</w:t>
            </w:r>
          </w:p>
        </w:tc>
        <w:tc>
          <w:tcPr>
            <w:tcW w:w="2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6DC1D" w14:textId="77777777" w:rsidR="00192E3F" w:rsidRPr="001E66EF" w:rsidRDefault="00192E3F" w:rsidP="00192E3F">
            <w:pPr>
              <w:spacing w:after="0" w:line="240" w:lineRule="auto"/>
              <w:ind w:left="0"/>
              <w:jc w:val="center"/>
              <w:rPr>
                <w:rFonts w:eastAsia="Times New Roman" w:cs="Times New Roman"/>
                <w:b/>
                <w:bCs/>
                <w:color w:val="000000"/>
                <w:sz w:val="16"/>
                <w:szCs w:val="16"/>
                <w:lang w:eastAsia="en-NZ"/>
              </w:rPr>
            </w:pPr>
            <w:r w:rsidRPr="001E66EF">
              <w:rPr>
                <w:rFonts w:eastAsia="Times New Roman" w:cs="Times New Roman"/>
                <w:b/>
                <w:bCs/>
                <w:color w:val="000000"/>
                <w:sz w:val="16"/>
                <w:szCs w:val="16"/>
                <w:lang w:eastAsia="en-NZ"/>
              </w:rPr>
              <w:t>Airshed Name</w:t>
            </w:r>
          </w:p>
        </w:tc>
        <w:tc>
          <w:tcPr>
            <w:tcW w:w="173" w:type="pct"/>
            <w:tcBorders>
              <w:top w:val="nil"/>
              <w:left w:val="single" w:sz="4" w:space="0" w:color="auto"/>
              <w:bottom w:val="nil"/>
              <w:right w:val="nil"/>
            </w:tcBorders>
            <w:shd w:val="clear" w:color="auto" w:fill="auto"/>
            <w:noWrap/>
            <w:vAlign w:val="bottom"/>
            <w:hideMark/>
          </w:tcPr>
          <w:p w14:paraId="5817268A" w14:textId="77777777" w:rsidR="00192E3F" w:rsidRPr="001E66EF" w:rsidRDefault="00192E3F" w:rsidP="00192E3F">
            <w:pPr>
              <w:spacing w:after="0" w:line="240" w:lineRule="auto"/>
              <w:ind w:left="0"/>
              <w:jc w:val="left"/>
              <w:rPr>
                <w:rFonts w:eastAsia="Times New Roman" w:cs="Times New Roman"/>
                <w:sz w:val="16"/>
                <w:szCs w:val="16"/>
                <w:lang w:eastAsia="en-NZ"/>
              </w:rPr>
            </w:pPr>
          </w:p>
        </w:tc>
      </w:tr>
      <w:tr w:rsidR="00192E3F" w:rsidRPr="001E66EF" w14:paraId="3BE1EBE6" w14:textId="77777777" w:rsidTr="00927ED5">
        <w:trPr>
          <w:trHeight w:val="57"/>
        </w:trPr>
        <w:tc>
          <w:tcPr>
            <w:tcW w:w="588" w:type="pct"/>
            <w:tcBorders>
              <w:top w:val="nil"/>
              <w:left w:val="nil"/>
              <w:bottom w:val="nil"/>
              <w:right w:val="nil"/>
            </w:tcBorders>
            <w:shd w:val="clear" w:color="auto" w:fill="auto"/>
            <w:noWrap/>
            <w:vAlign w:val="bottom"/>
            <w:hideMark/>
          </w:tcPr>
          <w:p w14:paraId="0F035C5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87" w:type="pct"/>
            <w:tcBorders>
              <w:top w:val="single" w:sz="4" w:space="0" w:color="auto"/>
              <w:left w:val="nil"/>
              <w:bottom w:val="nil"/>
              <w:right w:val="nil"/>
            </w:tcBorders>
            <w:shd w:val="clear" w:color="auto" w:fill="auto"/>
            <w:noWrap/>
            <w:vAlign w:val="bottom"/>
            <w:hideMark/>
          </w:tcPr>
          <w:p w14:paraId="0EF9F99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21</w:t>
            </w:r>
          </w:p>
        </w:tc>
        <w:tc>
          <w:tcPr>
            <w:tcW w:w="777" w:type="pct"/>
            <w:tcBorders>
              <w:top w:val="nil"/>
              <w:left w:val="nil"/>
              <w:bottom w:val="nil"/>
              <w:right w:val="nil"/>
            </w:tcBorders>
            <w:shd w:val="clear" w:color="auto" w:fill="auto"/>
            <w:noWrap/>
            <w:vAlign w:val="bottom"/>
            <w:hideMark/>
          </w:tcPr>
          <w:p w14:paraId="26E86E4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2675" w:type="pct"/>
            <w:tcBorders>
              <w:top w:val="nil"/>
              <w:left w:val="nil"/>
              <w:bottom w:val="nil"/>
              <w:right w:val="nil"/>
            </w:tcBorders>
            <w:shd w:val="clear" w:color="auto" w:fill="auto"/>
            <w:noWrap/>
            <w:vAlign w:val="bottom"/>
            <w:hideMark/>
          </w:tcPr>
          <w:p w14:paraId="3DDC10A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Kaitaia</w:t>
            </w:r>
          </w:p>
        </w:tc>
        <w:tc>
          <w:tcPr>
            <w:tcW w:w="173" w:type="pct"/>
            <w:tcBorders>
              <w:top w:val="nil"/>
              <w:left w:val="nil"/>
              <w:bottom w:val="nil"/>
              <w:right w:val="nil"/>
            </w:tcBorders>
            <w:shd w:val="clear" w:color="auto" w:fill="auto"/>
            <w:noWrap/>
            <w:vAlign w:val="bottom"/>
            <w:hideMark/>
          </w:tcPr>
          <w:p w14:paraId="3E78D075"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88AA58E" w14:textId="77777777" w:rsidTr="00927ED5">
        <w:trPr>
          <w:trHeight w:val="57"/>
        </w:trPr>
        <w:tc>
          <w:tcPr>
            <w:tcW w:w="588" w:type="pct"/>
            <w:tcBorders>
              <w:top w:val="nil"/>
              <w:left w:val="nil"/>
              <w:bottom w:val="nil"/>
              <w:right w:val="nil"/>
            </w:tcBorders>
            <w:shd w:val="clear" w:color="auto" w:fill="auto"/>
            <w:noWrap/>
            <w:vAlign w:val="bottom"/>
            <w:hideMark/>
          </w:tcPr>
          <w:p w14:paraId="6523B6C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87" w:type="pct"/>
            <w:tcBorders>
              <w:top w:val="nil"/>
              <w:left w:val="nil"/>
              <w:bottom w:val="nil"/>
              <w:right w:val="nil"/>
            </w:tcBorders>
            <w:shd w:val="clear" w:color="auto" w:fill="auto"/>
            <w:noWrap/>
            <w:vAlign w:val="bottom"/>
            <w:hideMark/>
          </w:tcPr>
          <w:p w14:paraId="2627395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24</w:t>
            </w:r>
          </w:p>
        </w:tc>
        <w:tc>
          <w:tcPr>
            <w:tcW w:w="777" w:type="pct"/>
            <w:tcBorders>
              <w:top w:val="nil"/>
              <w:left w:val="nil"/>
              <w:bottom w:val="nil"/>
              <w:right w:val="nil"/>
            </w:tcBorders>
            <w:shd w:val="clear" w:color="auto" w:fill="auto"/>
            <w:noWrap/>
            <w:vAlign w:val="bottom"/>
            <w:hideMark/>
          </w:tcPr>
          <w:p w14:paraId="49D0C5E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2675" w:type="pct"/>
            <w:tcBorders>
              <w:top w:val="nil"/>
              <w:left w:val="nil"/>
              <w:bottom w:val="nil"/>
              <w:right w:val="nil"/>
            </w:tcBorders>
            <w:shd w:val="clear" w:color="auto" w:fill="auto"/>
            <w:noWrap/>
            <w:vAlign w:val="bottom"/>
            <w:hideMark/>
          </w:tcPr>
          <w:p w14:paraId="694436CE"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Kerikeri</w:t>
            </w:r>
          </w:p>
        </w:tc>
        <w:tc>
          <w:tcPr>
            <w:tcW w:w="173" w:type="pct"/>
            <w:tcBorders>
              <w:top w:val="nil"/>
              <w:left w:val="nil"/>
              <w:bottom w:val="nil"/>
              <w:right w:val="nil"/>
            </w:tcBorders>
            <w:shd w:val="clear" w:color="auto" w:fill="auto"/>
            <w:noWrap/>
            <w:vAlign w:val="bottom"/>
            <w:hideMark/>
          </w:tcPr>
          <w:p w14:paraId="78F7768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25EC806" w14:textId="77777777" w:rsidTr="00927ED5">
        <w:trPr>
          <w:trHeight w:val="57"/>
        </w:trPr>
        <w:tc>
          <w:tcPr>
            <w:tcW w:w="588" w:type="pct"/>
            <w:tcBorders>
              <w:top w:val="nil"/>
              <w:left w:val="nil"/>
              <w:bottom w:val="nil"/>
              <w:right w:val="nil"/>
            </w:tcBorders>
            <w:shd w:val="clear" w:color="auto" w:fill="auto"/>
            <w:noWrap/>
            <w:vAlign w:val="bottom"/>
            <w:hideMark/>
          </w:tcPr>
          <w:p w14:paraId="09FE1F5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87" w:type="pct"/>
            <w:tcBorders>
              <w:top w:val="nil"/>
              <w:left w:val="nil"/>
              <w:bottom w:val="nil"/>
              <w:right w:val="nil"/>
            </w:tcBorders>
            <w:shd w:val="clear" w:color="auto" w:fill="auto"/>
            <w:noWrap/>
            <w:vAlign w:val="bottom"/>
            <w:hideMark/>
          </w:tcPr>
          <w:p w14:paraId="75041B0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78</w:t>
            </w:r>
          </w:p>
        </w:tc>
        <w:tc>
          <w:tcPr>
            <w:tcW w:w="777" w:type="pct"/>
            <w:tcBorders>
              <w:top w:val="nil"/>
              <w:left w:val="nil"/>
              <w:bottom w:val="nil"/>
              <w:right w:val="nil"/>
            </w:tcBorders>
            <w:shd w:val="clear" w:color="auto" w:fill="auto"/>
            <w:noWrap/>
            <w:vAlign w:val="bottom"/>
            <w:hideMark/>
          </w:tcPr>
          <w:p w14:paraId="398DA2A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2848" w:type="pct"/>
            <w:gridSpan w:val="2"/>
            <w:tcBorders>
              <w:top w:val="nil"/>
              <w:left w:val="nil"/>
              <w:bottom w:val="nil"/>
              <w:right w:val="nil"/>
            </w:tcBorders>
            <w:shd w:val="clear" w:color="auto" w:fill="auto"/>
            <w:noWrap/>
            <w:vAlign w:val="bottom"/>
            <w:hideMark/>
          </w:tcPr>
          <w:p w14:paraId="09A5A2A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Whangarei</w:t>
            </w:r>
          </w:p>
        </w:tc>
      </w:tr>
      <w:tr w:rsidR="00192E3F" w:rsidRPr="001E66EF" w14:paraId="3ADC019B" w14:textId="77777777" w:rsidTr="00927ED5">
        <w:trPr>
          <w:trHeight w:val="57"/>
        </w:trPr>
        <w:tc>
          <w:tcPr>
            <w:tcW w:w="588" w:type="pct"/>
            <w:tcBorders>
              <w:top w:val="nil"/>
              <w:left w:val="nil"/>
              <w:bottom w:val="nil"/>
              <w:right w:val="nil"/>
            </w:tcBorders>
            <w:shd w:val="clear" w:color="auto" w:fill="auto"/>
            <w:noWrap/>
            <w:vAlign w:val="bottom"/>
            <w:hideMark/>
          </w:tcPr>
          <w:p w14:paraId="792C6DB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87" w:type="pct"/>
            <w:tcBorders>
              <w:top w:val="nil"/>
              <w:left w:val="nil"/>
              <w:bottom w:val="nil"/>
              <w:right w:val="nil"/>
            </w:tcBorders>
            <w:shd w:val="clear" w:color="auto" w:fill="auto"/>
            <w:noWrap/>
            <w:vAlign w:val="bottom"/>
            <w:hideMark/>
          </w:tcPr>
          <w:p w14:paraId="3879CFA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28</w:t>
            </w:r>
          </w:p>
        </w:tc>
        <w:tc>
          <w:tcPr>
            <w:tcW w:w="777" w:type="pct"/>
            <w:tcBorders>
              <w:top w:val="nil"/>
              <w:left w:val="nil"/>
              <w:bottom w:val="nil"/>
              <w:right w:val="nil"/>
            </w:tcBorders>
            <w:shd w:val="clear" w:color="auto" w:fill="auto"/>
            <w:noWrap/>
            <w:vAlign w:val="bottom"/>
            <w:hideMark/>
          </w:tcPr>
          <w:p w14:paraId="342059A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w:t>
            </w:r>
          </w:p>
        </w:tc>
        <w:tc>
          <w:tcPr>
            <w:tcW w:w="2848" w:type="pct"/>
            <w:gridSpan w:val="2"/>
            <w:tcBorders>
              <w:top w:val="nil"/>
              <w:left w:val="nil"/>
              <w:bottom w:val="nil"/>
              <w:right w:val="nil"/>
            </w:tcBorders>
            <w:shd w:val="clear" w:color="auto" w:fill="auto"/>
            <w:noWrap/>
            <w:vAlign w:val="bottom"/>
            <w:hideMark/>
          </w:tcPr>
          <w:p w14:paraId="581BBAD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Marsden_Point</w:t>
            </w:r>
            <w:proofErr w:type="spellEnd"/>
          </w:p>
        </w:tc>
      </w:tr>
      <w:tr w:rsidR="00192E3F" w:rsidRPr="001E66EF" w14:paraId="0AE72519" w14:textId="77777777" w:rsidTr="00927ED5">
        <w:trPr>
          <w:trHeight w:val="57"/>
        </w:trPr>
        <w:tc>
          <w:tcPr>
            <w:tcW w:w="588" w:type="pct"/>
            <w:tcBorders>
              <w:top w:val="nil"/>
              <w:left w:val="nil"/>
              <w:bottom w:val="nil"/>
              <w:right w:val="nil"/>
            </w:tcBorders>
            <w:shd w:val="clear" w:color="auto" w:fill="auto"/>
            <w:noWrap/>
            <w:vAlign w:val="bottom"/>
            <w:hideMark/>
          </w:tcPr>
          <w:p w14:paraId="25366AE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87" w:type="pct"/>
            <w:tcBorders>
              <w:top w:val="nil"/>
              <w:left w:val="nil"/>
              <w:bottom w:val="nil"/>
              <w:right w:val="nil"/>
            </w:tcBorders>
            <w:shd w:val="clear" w:color="auto" w:fill="auto"/>
            <w:noWrap/>
            <w:vAlign w:val="bottom"/>
            <w:hideMark/>
          </w:tcPr>
          <w:p w14:paraId="33B0FB3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77" w:type="pct"/>
            <w:tcBorders>
              <w:top w:val="nil"/>
              <w:left w:val="nil"/>
              <w:bottom w:val="nil"/>
              <w:right w:val="nil"/>
            </w:tcBorders>
            <w:shd w:val="clear" w:color="auto" w:fill="auto"/>
            <w:noWrap/>
            <w:vAlign w:val="bottom"/>
            <w:hideMark/>
          </w:tcPr>
          <w:p w14:paraId="27A21CC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w:t>
            </w:r>
          </w:p>
        </w:tc>
        <w:tc>
          <w:tcPr>
            <w:tcW w:w="2848" w:type="pct"/>
            <w:gridSpan w:val="2"/>
            <w:tcBorders>
              <w:top w:val="nil"/>
              <w:left w:val="nil"/>
              <w:bottom w:val="nil"/>
              <w:right w:val="nil"/>
            </w:tcBorders>
            <w:shd w:val="clear" w:color="auto" w:fill="auto"/>
            <w:noWrap/>
            <w:vAlign w:val="bottom"/>
            <w:hideMark/>
          </w:tcPr>
          <w:p w14:paraId="1137208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Dargaville</w:t>
            </w:r>
          </w:p>
        </w:tc>
      </w:tr>
      <w:tr w:rsidR="00192E3F" w:rsidRPr="001E66EF" w14:paraId="3BC0D8C6" w14:textId="77777777" w:rsidTr="00927ED5">
        <w:trPr>
          <w:trHeight w:val="57"/>
        </w:trPr>
        <w:tc>
          <w:tcPr>
            <w:tcW w:w="588" w:type="pct"/>
            <w:tcBorders>
              <w:top w:val="nil"/>
              <w:left w:val="nil"/>
              <w:bottom w:val="nil"/>
              <w:right w:val="nil"/>
            </w:tcBorders>
            <w:shd w:val="clear" w:color="auto" w:fill="auto"/>
            <w:noWrap/>
            <w:vAlign w:val="bottom"/>
            <w:hideMark/>
          </w:tcPr>
          <w:p w14:paraId="6086EBF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3316A82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52</w:t>
            </w:r>
          </w:p>
        </w:tc>
        <w:tc>
          <w:tcPr>
            <w:tcW w:w="777" w:type="pct"/>
            <w:tcBorders>
              <w:top w:val="nil"/>
              <w:left w:val="nil"/>
              <w:bottom w:val="nil"/>
              <w:right w:val="nil"/>
            </w:tcBorders>
            <w:shd w:val="clear" w:color="auto" w:fill="auto"/>
            <w:noWrap/>
            <w:vAlign w:val="bottom"/>
            <w:hideMark/>
          </w:tcPr>
          <w:p w14:paraId="073D1EE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2848" w:type="pct"/>
            <w:gridSpan w:val="2"/>
            <w:tcBorders>
              <w:top w:val="nil"/>
              <w:left w:val="nil"/>
              <w:bottom w:val="nil"/>
              <w:right w:val="nil"/>
            </w:tcBorders>
            <w:shd w:val="clear" w:color="auto" w:fill="auto"/>
            <w:noWrap/>
            <w:vAlign w:val="bottom"/>
            <w:hideMark/>
          </w:tcPr>
          <w:p w14:paraId="4ED77C1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Snells Beach</w:t>
            </w:r>
          </w:p>
        </w:tc>
      </w:tr>
      <w:tr w:rsidR="00192E3F" w:rsidRPr="001E66EF" w14:paraId="4EED38A3" w14:textId="77777777" w:rsidTr="00927ED5">
        <w:trPr>
          <w:trHeight w:val="57"/>
        </w:trPr>
        <w:tc>
          <w:tcPr>
            <w:tcW w:w="588" w:type="pct"/>
            <w:tcBorders>
              <w:top w:val="nil"/>
              <w:left w:val="nil"/>
              <w:bottom w:val="nil"/>
              <w:right w:val="nil"/>
            </w:tcBorders>
            <w:shd w:val="clear" w:color="auto" w:fill="auto"/>
            <w:noWrap/>
            <w:vAlign w:val="bottom"/>
            <w:hideMark/>
          </w:tcPr>
          <w:p w14:paraId="7048E9E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3842828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73</w:t>
            </w:r>
          </w:p>
        </w:tc>
        <w:tc>
          <w:tcPr>
            <w:tcW w:w="777" w:type="pct"/>
            <w:tcBorders>
              <w:top w:val="nil"/>
              <w:left w:val="nil"/>
              <w:bottom w:val="nil"/>
              <w:right w:val="nil"/>
            </w:tcBorders>
            <w:shd w:val="clear" w:color="auto" w:fill="auto"/>
            <w:noWrap/>
            <w:vAlign w:val="bottom"/>
            <w:hideMark/>
          </w:tcPr>
          <w:p w14:paraId="6A95A09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2848" w:type="pct"/>
            <w:gridSpan w:val="2"/>
            <w:tcBorders>
              <w:top w:val="nil"/>
              <w:left w:val="nil"/>
              <w:bottom w:val="nil"/>
              <w:right w:val="nil"/>
            </w:tcBorders>
            <w:shd w:val="clear" w:color="auto" w:fill="auto"/>
            <w:noWrap/>
            <w:vAlign w:val="bottom"/>
            <w:hideMark/>
          </w:tcPr>
          <w:p w14:paraId="093EF297"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Warkworth</w:t>
            </w:r>
          </w:p>
        </w:tc>
      </w:tr>
      <w:tr w:rsidR="00192E3F" w:rsidRPr="001E66EF" w14:paraId="0B75A2B3" w14:textId="77777777" w:rsidTr="00927ED5">
        <w:trPr>
          <w:trHeight w:val="57"/>
        </w:trPr>
        <w:tc>
          <w:tcPr>
            <w:tcW w:w="588" w:type="pct"/>
            <w:tcBorders>
              <w:top w:val="nil"/>
              <w:left w:val="nil"/>
              <w:bottom w:val="nil"/>
              <w:right w:val="nil"/>
            </w:tcBorders>
            <w:shd w:val="clear" w:color="auto" w:fill="auto"/>
            <w:noWrap/>
            <w:vAlign w:val="bottom"/>
            <w:hideMark/>
          </w:tcPr>
          <w:p w14:paraId="7DA29E6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62A2CEE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75</w:t>
            </w:r>
          </w:p>
        </w:tc>
        <w:tc>
          <w:tcPr>
            <w:tcW w:w="777" w:type="pct"/>
            <w:tcBorders>
              <w:top w:val="nil"/>
              <w:left w:val="nil"/>
              <w:bottom w:val="nil"/>
              <w:right w:val="nil"/>
            </w:tcBorders>
            <w:shd w:val="clear" w:color="auto" w:fill="auto"/>
            <w:noWrap/>
            <w:vAlign w:val="bottom"/>
            <w:hideMark/>
          </w:tcPr>
          <w:p w14:paraId="1AE90BE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w:t>
            </w:r>
          </w:p>
        </w:tc>
        <w:tc>
          <w:tcPr>
            <w:tcW w:w="2848" w:type="pct"/>
            <w:gridSpan w:val="2"/>
            <w:tcBorders>
              <w:top w:val="nil"/>
              <w:left w:val="nil"/>
              <w:bottom w:val="nil"/>
              <w:right w:val="nil"/>
            </w:tcBorders>
            <w:shd w:val="clear" w:color="auto" w:fill="auto"/>
            <w:noWrap/>
            <w:vAlign w:val="bottom"/>
            <w:hideMark/>
          </w:tcPr>
          <w:p w14:paraId="797B54E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Wellsford</w:t>
            </w:r>
          </w:p>
        </w:tc>
      </w:tr>
      <w:tr w:rsidR="00192E3F" w:rsidRPr="001E66EF" w14:paraId="6206A286" w14:textId="77777777" w:rsidTr="00927ED5">
        <w:trPr>
          <w:trHeight w:val="57"/>
        </w:trPr>
        <w:tc>
          <w:tcPr>
            <w:tcW w:w="588" w:type="pct"/>
            <w:tcBorders>
              <w:top w:val="nil"/>
              <w:left w:val="nil"/>
              <w:bottom w:val="nil"/>
              <w:right w:val="nil"/>
            </w:tcBorders>
            <w:shd w:val="clear" w:color="auto" w:fill="auto"/>
            <w:noWrap/>
            <w:vAlign w:val="bottom"/>
            <w:hideMark/>
          </w:tcPr>
          <w:p w14:paraId="3AEF731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0F1EE67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37</w:t>
            </w:r>
          </w:p>
        </w:tc>
        <w:tc>
          <w:tcPr>
            <w:tcW w:w="777" w:type="pct"/>
            <w:tcBorders>
              <w:top w:val="nil"/>
              <w:left w:val="nil"/>
              <w:bottom w:val="nil"/>
              <w:right w:val="nil"/>
            </w:tcBorders>
            <w:shd w:val="clear" w:color="auto" w:fill="auto"/>
            <w:noWrap/>
            <w:vAlign w:val="bottom"/>
            <w:hideMark/>
          </w:tcPr>
          <w:p w14:paraId="2F7C240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2848" w:type="pct"/>
            <w:gridSpan w:val="2"/>
            <w:tcBorders>
              <w:top w:val="nil"/>
              <w:left w:val="nil"/>
              <w:bottom w:val="nil"/>
              <w:right w:val="nil"/>
            </w:tcBorders>
            <w:shd w:val="clear" w:color="auto" w:fill="auto"/>
            <w:noWrap/>
            <w:vAlign w:val="bottom"/>
            <w:hideMark/>
          </w:tcPr>
          <w:p w14:paraId="487F986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North Shore</w:t>
            </w:r>
          </w:p>
        </w:tc>
      </w:tr>
      <w:tr w:rsidR="00192E3F" w:rsidRPr="001E66EF" w14:paraId="12862192" w14:textId="77777777" w:rsidTr="00927ED5">
        <w:trPr>
          <w:trHeight w:val="57"/>
        </w:trPr>
        <w:tc>
          <w:tcPr>
            <w:tcW w:w="588" w:type="pct"/>
            <w:tcBorders>
              <w:top w:val="nil"/>
              <w:left w:val="nil"/>
              <w:bottom w:val="nil"/>
              <w:right w:val="nil"/>
            </w:tcBorders>
            <w:shd w:val="clear" w:color="auto" w:fill="auto"/>
            <w:noWrap/>
            <w:vAlign w:val="bottom"/>
            <w:hideMark/>
          </w:tcPr>
          <w:p w14:paraId="3395D93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16BB6B2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77</w:t>
            </w:r>
          </w:p>
        </w:tc>
        <w:tc>
          <w:tcPr>
            <w:tcW w:w="777" w:type="pct"/>
            <w:tcBorders>
              <w:top w:val="nil"/>
              <w:left w:val="nil"/>
              <w:bottom w:val="nil"/>
              <w:right w:val="nil"/>
            </w:tcBorders>
            <w:shd w:val="clear" w:color="auto" w:fill="auto"/>
            <w:noWrap/>
            <w:vAlign w:val="bottom"/>
            <w:hideMark/>
          </w:tcPr>
          <w:p w14:paraId="2F0A6BE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10</w:t>
            </w:r>
          </w:p>
        </w:tc>
        <w:tc>
          <w:tcPr>
            <w:tcW w:w="2848" w:type="pct"/>
            <w:gridSpan w:val="2"/>
            <w:tcBorders>
              <w:top w:val="nil"/>
              <w:left w:val="nil"/>
              <w:bottom w:val="nil"/>
              <w:right w:val="nil"/>
            </w:tcBorders>
            <w:shd w:val="clear" w:color="auto" w:fill="auto"/>
            <w:noWrap/>
            <w:vAlign w:val="bottom"/>
            <w:hideMark/>
          </w:tcPr>
          <w:p w14:paraId="3DDAEB6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Whangaparoa</w:t>
            </w:r>
            <w:proofErr w:type="spellEnd"/>
          </w:p>
        </w:tc>
      </w:tr>
      <w:tr w:rsidR="00192E3F" w:rsidRPr="001E66EF" w14:paraId="283E53A3" w14:textId="77777777" w:rsidTr="00927ED5">
        <w:trPr>
          <w:trHeight w:val="57"/>
        </w:trPr>
        <w:tc>
          <w:tcPr>
            <w:tcW w:w="588" w:type="pct"/>
            <w:tcBorders>
              <w:top w:val="nil"/>
              <w:left w:val="nil"/>
              <w:bottom w:val="nil"/>
              <w:right w:val="nil"/>
            </w:tcBorders>
            <w:shd w:val="clear" w:color="auto" w:fill="auto"/>
            <w:noWrap/>
            <w:vAlign w:val="bottom"/>
            <w:hideMark/>
          </w:tcPr>
          <w:p w14:paraId="3EC28C4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488C0FA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777" w:type="pct"/>
            <w:tcBorders>
              <w:top w:val="nil"/>
              <w:left w:val="nil"/>
              <w:bottom w:val="nil"/>
              <w:right w:val="nil"/>
            </w:tcBorders>
            <w:shd w:val="clear" w:color="auto" w:fill="auto"/>
            <w:noWrap/>
            <w:vAlign w:val="bottom"/>
            <w:hideMark/>
          </w:tcPr>
          <w:p w14:paraId="40424D2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11</w:t>
            </w:r>
          </w:p>
        </w:tc>
        <w:tc>
          <w:tcPr>
            <w:tcW w:w="2848" w:type="pct"/>
            <w:gridSpan w:val="2"/>
            <w:tcBorders>
              <w:top w:val="nil"/>
              <w:left w:val="nil"/>
              <w:bottom w:val="nil"/>
              <w:right w:val="nil"/>
            </w:tcBorders>
            <w:shd w:val="clear" w:color="auto" w:fill="auto"/>
            <w:noWrap/>
            <w:vAlign w:val="bottom"/>
            <w:hideMark/>
          </w:tcPr>
          <w:p w14:paraId="4A9744F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Helensville</w:t>
            </w:r>
          </w:p>
        </w:tc>
      </w:tr>
      <w:tr w:rsidR="00192E3F" w:rsidRPr="001E66EF" w14:paraId="415E42BE" w14:textId="77777777" w:rsidTr="00927ED5">
        <w:trPr>
          <w:trHeight w:val="57"/>
        </w:trPr>
        <w:tc>
          <w:tcPr>
            <w:tcW w:w="588" w:type="pct"/>
            <w:tcBorders>
              <w:top w:val="nil"/>
              <w:left w:val="nil"/>
              <w:bottom w:val="nil"/>
              <w:right w:val="nil"/>
            </w:tcBorders>
            <w:shd w:val="clear" w:color="auto" w:fill="auto"/>
            <w:noWrap/>
            <w:vAlign w:val="bottom"/>
            <w:hideMark/>
          </w:tcPr>
          <w:p w14:paraId="7A1B50C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04F5F35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50</w:t>
            </w:r>
          </w:p>
        </w:tc>
        <w:tc>
          <w:tcPr>
            <w:tcW w:w="777" w:type="pct"/>
            <w:tcBorders>
              <w:top w:val="nil"/>
              <w:left w:val="nil"/>
              <w:bottom w:val="nil"/>
              <w:right w:val="nil"/>
            </w:tcBorders>
            <w:shd w:val="clear" w:color="auto" w:fill="auto"/>
            <w:noWrap/>
            <w:vAlign w:val="bottom"/>
            <w:hideMark/>
          </w:tcPr>
          <w:p w14:paraId="6A8490B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12</w:t>
            </w:r>
          </w:p>
        </w:tc>
        <w:tc>
          <w:tcPr>
            <w:tcW w:w="2848" w:type="pct"/>
            <w:gridSpan w:val="2"/>
            <w:tcBorders>
              <w:top w:val="nil"/>
              <w:left w:val="nil"/>
              <w:bottom w:val="nil"/>
              <w:right w:val="nil"/>
            </w:tcBorders>
            <w:shd w:val="clear" w:color="auto" w:fill="auto"/>
            <w:noWrap/>
            <w:vAlign w:val="bottom"/>
            <w:hideMark/>
          </w:tcPr>
          <w:p w14:paraId="7AAFB276"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Riverhead</w:t>
            </w:r>
          </w:p>
        </w:tc>
      </w:tr>
      <w:tr w:rsidR="00192E3F" w:rsidRPr="001E66EF" w14:paraId="5700EFE1" w14:textId="77777777" w:rsidTr="00927ED5">
        <w:trPr>
          <w:trHeight w:val="57"/>
        </w:trPr>
        <w:tc>
          <w:tcPr>
            <w:tcW w:w="588" w:type="pct"/>
            <w:tcBorders>
              <w:top w:val="nil"/>
              <w:left w:val="nil"/>
              <w:bottom w:val="nil"/>
              <w:right w:val="nil"/>
            </w:tcBorders>
            <w:shd w:val="clear" w:color="auto" w:fill="auto"/>
            <w:noWrap/>
            <w:vAlign w:val="bottom"/>
            <w:hideMark/>
          </w:tcPr>
          <w:p w14:paraId="58333FD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4124627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26</w:t>
            </w:r>
          </w:p>
        </w:tc>
        <w:tc>
          <w:tcPr>
            <w:tcW w:w="777" w:type="pct"/>
            <w:tcBorders>
              <w:top w:val="nil"/>
              <w:left w:val="nil"/>
              <w:bottom w:val="nil"/>
              <w:right w:val="nil"/>
            </w:tcBorders>
            <w:shd w:val="clear" w:color="auto" w:fill="auto"/>
            <w:noWrap/>
            <w:vAlign w:val="bottom"/>
            <w:hideMark/>
          </w:tcPr>
          <w:p w14:paraId="2BE2166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2675" w:type="pct"/>
            <w:tcBorders>
              <w:top w:val="nil"/>
              <w:left w:val="nil"/>
              <w:bottom w:val="nil"/>
              <w:right w:val="nil"/>
            </w:tcBorders>
            <w:shd w:val="clear" w:color="auto" w:fill="auto"/>
            <w:noWrap/>
            <w:vAlign w:val="bottom"/>
            <w:hideMark/>
          </w:tcPr>
          <w:p w14:paraId="1B82E0A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Kumeu</w:t>
            </w:r>
          </w:p>
        </w:tc>
        <w:tc>
          <w:tcPr>
            <w:tcW w:w="173" w:type="pct"/>
            <w:tcBorders>
              <w:top w:val="nil"/>
              <w:left w:val="nil"/>
              <w:bottom w:val="nil"/>
              <w:right w:val="nil"/>
            </w:tcBorders>
            <w:shd w:val="clear" w:color="auto" w:fill="auto"/>
            <w:noWrap/>
            <w:vAlign w:val="bottom"/>
            <w:hideMark/>
          </w:tcPr>
          <w:p w14:paraId="06F097E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4F5196A" w14:textId="77777777" w:rsidTr="00927ED5">
        <w:trPr>
          <w:trHeight w:val="57"/>
        </w:trPr>
        <w:tc>
          <w:tcPr>
            <w:tcW w:w="588" w:type="pct"/>
            <w:tcBorders>
              <w:top w:val="nil"/>
              <w:left w:val="nil"/>
              <w:bottom w:val="nil"/>
              <w:right w:val="nil"/>
            </w:tcBorders>
            <w:shd w:val="clear" w:color="auto" w:fill="auto"/>
            <w:noWrap/>
            <w:vAlign w:val="bottom"/>
            <w:hideMark/>
          </w:tcPr>
          <w:p w14:paraId="59FF7EF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39B625E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77" w:type="pct"/>
            <w:tcBorders>
              <w:top w:val="nil"/>
              <w:left w:val="nil"/>
              <w:bottom w:val="nil"/>
              <w:right w:val="nil"/>
            </w:tcBorders>
            <w:shd w:val="clear" w:color="auto" w:fill="auto"/>
            <w:noWrap/>
            <w:vAlign w:val="bottom"/>
            <w:hideMark/>
          </w:tcPr>
          <w:p w14:paraId="1BD9629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2848" w:type="pct"/>
            <w:gridSpan w:val="2"/>
            <w:tcBorders>
              <w:top w:val="nil"/>
              <w:left w:val="nil"/>
              <w:bottom w:val="nil"/>
              <w:right w:val="nil"/>
            </w:tcBorders>
            <w:shd w:val="clear" w:color="auto" w:fill="auto"/>
            <w:noWrap/>
            <w:vAlign w:val="bottom"/>
            <w:hideMark/>
          </w:tcPr>
          <w:p w14:paraId="7DA819D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Auckland Urban</w:t>
            </w:r>
          </w:p>
        </w:tc>
      </w:tr>
      <w:tr w:rsidR="00192E3F" w:rsidRPr="001E66EF" w14:paraId="4DC04FA8" w14:textId="77777777" w:rsidTr="00927ED5">
        <w:trPr>
          <w:trHeight w:val="57"/>
        </w:trPr>
        <w:tc>
          <w:tcPr>
            <w:tcW w:w="588" w:type="pct"/>
            <w:tcBorders>
              <w:top w:val="nil"/>
              <w:left w:val="nil"/>
              <w:bottom w:val="nil"/>
              <w:right w:val="nil"/>
            </w:tcBorders>
            <w:shd w:val="clear" w:color="auto" w:fill="auto"/>
            <w:noWrap/>
            <w:vAlign w:val="bottom"/>
            <w:hideMark/>
          </w:tcPr>
          <w:p w14:paraId="39DCC12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64EB30F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66</w:t>
            </w:r>
          </w:p>
        </w:tc>
        <w:tc>
          <w:tcPr>
            <w:tcW w:w="777" w:type="pct"/>
            <w:tcBorders>
              <w:top w:val="nil"/>
              <w:left w:val="nil"/>
              <w:bottom w:val="nil"/>
              <w:right w:val="nil"/>
            </w:tcBorders>
            <w:shd w:val="clear" w:color="auto" w:fill="auto"/>
            <w:noWrap/>
            <w:vAlign w:val="bottom"/>
            <w:hideMark/>
          </w:tcPr>
          <w:p w14:paraId="2DC1485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15</w:t>
            </w:r>
          </w:p>
        </w:tc>
        <w:tc>
          <w:tcPr>
            <w:tcW w:w="2848" w:type="pct"/>
            <w:gridSpan w:val="2"/>
            <w:tcBorders>
              <w:top w:val="nil"/>
              <w:left w:val="nil"/>
              <w:bottom w:val="nil"/>
              <w:right w:val="nil"/>
            </w:tcBorders>
            <w:shd w:val="clear" w:color="auto" w:fill="auto"/>
            <w:noWrap/>
            <w:vAlign w:val="bottom"/>
            <w:hideMark/>
          </w:tcPr>
          <w:p w14:paraId="6B022E8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Waiheke Island</w:t>
            </w:r>
          </w:p>
        </w:tc>
      </w:tr>
      <w:tr w:rsidR="00192E3F" w:rsidRPr="001E66EF" w14:paraId="22FCB5D1" w14:textId="77777777" w:rsidTr="00927ED5">
        <w:trPr>
          <w:trHeight w:val="57"/>
        </w:trPr>
        <w:tc>
          <w:tcPr>
            <w:tcW w:w="588" w:type="pct"/>
            <w:tcBorders>
              <w:top w:val="nil"/>
              <w:left w:val="nil"/>
              <w:bottom w:val="nil"/>
              <w:right w:val="nil"/>
            </w:tcBorders>
            <w:shd w:val="clear" w:color="auto" w:fill="auto"/>
            <w:noWrap/>
            <w:vAlign w:val="bottom"/>
            <w:hideMark/>
          </w:tcPr>
          <w:p w14:paraId="65BCACA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1239887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w:t>
            </w:r>
          </w:p>
        </w:tc>
        <w:tc>
          <w:tcPr>
            <w:tcW w:w="777" w:type="pct"/>
            <w:tcBorders>
              <w:top w:val="nil"/>
              <w:left w:val="nil"/>
              <w:bottom w:val="nil"/>
              <w:right w:val="nil"/>
            </w:tcBorders>
            <w:shd w:val="clear" w:color="auto" w:fill="auto"/>
            <w:noWrap/>
            <w:vAlign w:val="bottom"/>
            <w:hideMark/>
          </w:tcPr>
          <w:p w14:paraId="4434533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16</w:t>
            </w:r>
          </w:p>
        </w:tc>
        <w:tc>
          <w:tcPr>
            <w:tcW w:w="2848" w:type="pct"/>
            <w:gridSpan w:val="2"/>
            <w:tcBorders>
              <w:top w:val="nil"/>
              <w:left w:val="nil"/>
              <w:bottom w:val="nil"/>
              <w:right w:val="nil"/>
            </w:tcBorders>
            <w:shd w:val="clear" w:color="auto" w:fill="auto"/>
            <w:noWrap/>
            <w:vAlign w:val="bottom"/>
            <w:hideMark/>
          </w:tcPr>
          <w:p w14:paraId="2668F145"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BeachlandsMaraetai</w:t>
            </w:r>
            <w:proofErr w:type="spellEnd"/>
          </w:p>
        </w:tc>
      </w:tr>
      <w:tr w:rsidR="00192E3F" w:rsidRPr="001E66EF" w14:paraId="4D59EAF7" w14:textId="77777777" w:rsidTr="00927ED5">
        <w:trPr>
          <w:trHeight w:val="57"/>
        </w:trPr>
        <w:tc>
          <w:tcPr>
            <w:tcW w:w="588" w:type="pct"/>
            <w:tcBorders>
              <w:top w:val="nil"/>
              <w:left w:val="nil"/>
              <w:bottom w:val="nil"/>
              <w:right w:val="nil"/>
            </w:tcBorders>
            <w:shd w:val="clear" w:color="auto" w:fill="auto"/>
            <w:noWrap/>
            <w:vAlign w:val="bottom"/>
            <w:hideMark/>
          </w:tcPr>
          <w:p w14:paraId="53D7CCE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18DD43D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44</w:t>
            </w:r>
          </w:p>
        </w:tc>
        <w:tc>
          <w:tcPr>
            <w:tcW w:w="777" w:type="pct"/>
            <w:tcBorders>
              <w:top w:val="nil"/>
              <w:left w:val="nil"/>
              <w:bottom w:val="nil"/>
              <w:right w:val="nil"/>
            </w:tcBorders>
            <w:shd w:val="clear" w:color="auto" w:fill="auto"/>
            <w:noWrap/>
            <w:vAlign w:val="bottom"/>
            <w:hideMark/>
          </w:tcPr>
          <w:p w14:paraId="7B805B3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2848" w:type="pct"/>
            <w:gridSpan w:val="2"/>
            <w:tcBorders>
              <w:top w:val="nil"/>
              <w:left w:val="nil"/>
              <w:bottom w:val="nil"/>
              <w:right w:val="nil"/>
            </w:tcBorders>
            <w:shd w:val="clear" w:color="auto" w:fill="auto"/>
            <w:noWrap/>
            <w:vAlign w:val="bottom"/>
            <w:hideMark/>
          </w:tcPr>
          <w:p w14:paraId="0638D542"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Pukekohe</w:t>
            </w:r>
          </w:p>
        </w:tc>
      </w:tr>
      <w:tr w:rsidR="00192E3F" w:rsidRPr="001E66EF" w14:paraId="4D276FEC" w14:textId="77777777" w:rsidTr="00927ED5">
        <w:trPr>
          <w:trHeight w:val="57"/>
        </w:trPr>
        <w:tc>
          <w:tcPr>
            <w:tcW w:w="588" w:type="pct"/>
            <w:tcBorders>
              <w:top w:val="nil"/>
              <w:left w:val="nil"/>
              <w:bottom w:val="nil"/>
              <w:right w:val="nil"/>
            </w:tcBorders>
            <w:shd w:val="clear" w:color="auto" w:fill="auto"/>
            <w:noWrap/>
            <w:vAlign w:val="bottom"/>
            <w:hideMark/>
          </w:tcPr>
          <w:p w14:paraId="0D97E31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16EFCFA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71</w:t>
            </w:r>
          </w:p>
        </w:tc>
        <w:tc>
          <w:tcPr>
            <w:tcW w:w="777" w:type="pct"/>
            <w:tcBorders>
              <w:top w:val="nil"/>
              <w:left w:val="nil"/>
              <w:bottom w:val="nil"/>
              <w:right w:val="nil"/>
            </w:tcBorders>
            <w:shd w:val="clear" w:color="auto" w:fill="auto"/>
            <w:noWrap/>
            <w:vAlign w:val="bottom"/>
            <w:hideMark/>
          </w:tcPr>
          <w:p w14:paraId="08FD515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18</w:t>
            </w:r>
          </w:p>
        </w:tc>
        <w:tc>
          <w:tcPr>
            <w:tcW w:w="2675" w:type="pct"/>
            <w:tcBorders>
              <w:top w:val="nil"/>
              <w:left w:val="nil"/>
              <w:bottom w:val="nil"/>
              <w:right w:val="nil"/>
            </w:tcBorders>
            <w:shd w:val="clear" w:color="auto" w:fill="auto"/>
            <w:noWrap/>
            <w:vAlign w:val="bottom"/>
            <w:hideMark/>
          </w:tcPr>
          <w:p w14:paraId="792762F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Waiuku</w:t>
            </w:r>
          </w:p>
        </w:tc>
        <w:tc>
          <w:tcPr>
            <w:tcW w:w="173" w:type="pct"/>
            <w:tcBorders>
              <w:top w:val="nil"/>
              <w:left w:val="nil"/>
              <w:bottom w:val="nil"/>
              <w:right w:val="nil"/>
            </w:tcBorders>
            <w:shd w:val="clear" w:color="auto" w:fill="auto"/>
            <w:noWrap/>
            <w:vAlign w:val="bottom"/>
            <w:hideMark/>
          </w:tcPr>
          <w:p w14:paraId="770D1D3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2F6CAACD" w14:textId="77777777" w:rsidTr="00927ED5">
        <w:trPr>
          <w:trHeight w:val="57"/>
        </w:trPr>
        <w:tc>
          <w:tcPr>
            <w:tcW w:w="588" w:type="pct"/>
            <w:tcBorders>
              <w:top w:val="nil"/>
              <w:left w:val="nil"/>
              <w:bottom w:val="nil"/>
              <w:right w:val="nil"/>
            </w:tcBorders>
            <w:shd w:val="clear" w:color="auto" w:fill="auto"/>
            <w:noWrap/>
            <w:vAlign w:val="bottom"/>
            <w:hideMark/>
          </w:tcPr>
          <w:p w14:paraId="7CFD849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24D4056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63</w:t>
            </w:r>
          </w:p>
        </w:tc>
        <w:tc>
          <w:tcPr>
            <w:tcW w:w="777" w:type="pct"/>
            <w:tcBorders>
              <w:top w:val="nil"/>
              <w:left w:val="nil"/>
              <w:bottom w:val="nil"/>
              <w:right w:val="nil"/>
            </w:tcBorders>
            <w:shd w:val="clear" w:color="auto" w:fill="auto"/>
            <w:noWrap/>
            <w:vAlign w:val="bottom"/>
            <w:hideMark/>
          </w:tcPr>
          <w:p w14:paraId="74E0CA3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19</w:t>
            </w:r>
          </w:p>
        </w:tc>
        <w:tc>
          <w:tcPr>
            <w:tcW w:w="2675" w:type="pct"/>
            <w:tcBorders>
              <w:top w:val="nil"/>
              <w:left w:val="nil"/>
              <w:bottom w:val="nil"/>
              <w:right w:val="nil"/>
            </w:tcBorders>
            <w:shd w:val="clear" w:color="auto" w:fill="auto"/>
            <w:noWrap/>
            <w:vAlign w:val="bottom"/>
            <w:hideMark/>
          </w:tcPr>
          <w:p w14:paraId="6EB977F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Tuakau</w:t>
            </w:r>
          </w:p>
        </w:tc>
        <w:tc>
          <w:tcPr>
            <w:tcW w:w="173" w:type="pct"/>
            <w:tcBorders>
              <w:top w:val="nil"/>
              <w:left w:val="nil"/>
              <w:bottom w:val="nil"/>
              <w:right w:val="nil"/>
            </w:tcBorders>
            <w:shd w:val="clear" w:color="auto" w:fill="auto"/>
            <w:noWrap/>
            <w:vAlign w:val="bottom"/>
            <w:hideMark/>
          </w:tcPr>
          <w:p w14:paraId="5C3D1C1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BF02D5F" w14:textId="77777777" w:rsidTr="00927ED5">
        <w:trPr>
          <w:trHeight w:val="57"/>
        </w:trPr>
        <w:tc>
          <w:tcPr>
            <w:tcW w:w="588" w:type="pct"/>
            <w:tcBorders>
              <w:top w:val="nil"/>
              <w:left w:val="nil"/>
              <w:bottom w:val="nil"/>
              <w:right w:val="nil"/>
            </w:tcBorders>
            <w:shd w:val="clear" w:color="auto" w:fill="auto"/>
            <w:noWrap/>
            <w:vAlign w:val="bottom"/>
            <w:hideMark/>
          </w:tcPr>
          <w:p w14:paraId="76E156A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3DC56EB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18</w:t>
            </w:r>
          </w:p>
        </w:tc>
        <w:tc>
          <w:tcPr>
            <w:tcW w:w="777" w:type="pct"/>
            <w:tcBorders>
              <w:top w:val="nil"/>
              <w:left w:val="nil"/>
              <w:bottom w:val="nil"/>
              <w:right w:val="nil"/>
            </w:tcBorders>
            <w:shd w:val="clear" w:color="auto" w:fill="auto"/>
            <w:noWrap/>
            <w:vAlign w:val="bottom"/>
            <w:hideMark/>
          </w:tcPr>
          <w:p w14:paraId="5A35A25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20</w:t>
            </w:r>
          </w:p>
        </w:tc>
        <w:tc>
          <w:tcPr>
            <w:tcW w:w="2675" w:type="pct"/>
            <w:tcBorders>
              <w:top w:val="nil"/>
              <w:left w:val="nil"/>
              <w:bottom w:val="nil"/>
              <w:right w:val="nil"/>
            </w:tcBorders>
            <w:shd w:val="clear" w:color="auto" w:fill="auto"/>
            <w:noWrap/>
            <w:vAlign w:val="bottom"/>
            <w:hideMark/>
          </w:tcPr>
          <w:p w14:paraId="56A2F75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Huntly</w:t>
            </w:r>
          </w:p>
        </w:tc>
        <w:tc>
          <w:tcPr>
            <w:tcW w:w="173" w:type="pct"/>
            <w:tcBorders>
              <w:top w:val="nil"/>
              <w:left w:val="nil"/>
              <w:bottom w:val="nil"/>
              <w:right w:val="nil"/>
            </w:tcBorders>
            <w:shd w:val="clear" w:color="auto" w:fill="auto"/>
            <w:noWrap/>
            <w:vAlign w:val="bottom"/>
            <w:hideMark/>
          </w:tcPr>
          <w:p w14:paraId="44F6D257"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192E5C83" w14:textId="77777777" w:rsidTr="00927ED5">
        <w:trPr>
          <w:trHeight w:val="57"/>
        </w:trPr>
        <w:tc>
          <w:tcPr>
            <w:tcW w:w="588" w:type="pct"/>
            <w:tcBorders>
              <w:top w:val="nil"/>
              <w:left w:val="nil"/>
              <w:bottom w:val="nil"/>
              <w:right w:val="nil"/>
            </w:tcBorders>
            <w:shd w:val="clear" w:color="auto" w:fill="auto"/>
            <w:noWrap/>
            <w:vAlign w:val="bottom"/>
            <w:hideMark/>
          </w:tcPr>
          <w:p w14:paraId="5809603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7ABCFB7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36</w:t>
            </w:r>
          </w:p>
        </w:tc>
        <w:tc>
          <w:tcPr>
            <w:tcW w:w="777" w:type="pct"/>
            <w:tcBorders>
              <w:top w:val="nil"/>
              <w:left w:val="nil"/>
              <w:bottom w:val="nil"/>
              <w:right w:val="nil"/>
            </w:tcBorders>
            <w:shd w:val="clear" w:color="auto" w:fill="auto"/>
            <w:noWrap/>
            <w:vAlign w:val="bottom"/>
            <w:hideMark/>
          </w:tcPr>
          <w:p w14:paraId="3F08DEA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21</w:t>
            </w:r>
          </w:p>
        </w:tc>
        <w:tc>
          <w:tcPr>
            <w:tcW w:w="2848" w:type="pct"/>
            <w:gridSpan w:val="2"/>
            <w:tcBorders>
              <w:top w:val="nil"/>
              <w:left w:val="nil"/>
              <w:bottom w:val="nil"/>
              <w:right w:val="nil"/>
            </w:tcBorders>
            <w:shd w:val="clear" w:color="auto" w:fill="auto"/>
            <w:noWrap/>
            <w:vAlign w:val="bottom"/>
            <w:hideMark/>
          </w:tcPr>
          <w:p w14:paraId="52516F7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Ngaruawahia</w:t>
            </w:r>
          </w:p>
        </w:tc>
      </w:tr>
      <w:tr w:rsidR="00192E3F" w:rsidRPr="001E66EF" w14:paraId="4ADA8BBE" w14:textId="77777777" w:rsidTr="00927ED5">
        <w:trPr>
          <w:trHeight w:val="57"/>
        </w:trPr>
        <w:tc>
          <w:tcPr>
            <w:tcW w:w="588" w:type="pct"/>
            <w:tcBorders>
              <w:top w:val="nil"/>
              <w:left w:val="nil"/>
              <w:bottom w:val="nil"/>
              <w:right w:val="nil"/>
            </w:tcBorders>
            <w:shd w:val="clear" w:color="auto" w:fill="auto"/>
            <w:noWrap/>
            <w:vAlign w:val="bottom"/>
            <w:hideMark/>
          </w:tcPr>
          <w:p w14:paraId="229FC21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65E6B90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77" w:type="pct"/>
            <w:tcBorders>
              <w:top w:val="nil"/>
              <w:left w:val="nil"/>
              <w:bottom w:val="nil"/>
              <w:right w:val="nil"/>
            </w:tcBorders>
            <w:shd w:val="clear" w:color="auto" w:fill="auto"/>
            <w:noWrap/>
            <w:vAlign w:val="bottom"/>
            <w:hideMark/>
          </w:tcPr>
          <w:p w14:paraId="5F557AB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22</w:t>
            </w:r>
          </w:p>
        </w:tc>
        <w:tc>
          <w:tcPr>
            <w:tcW w:w="2848" w:type="pct"/>
            <w:gridSpan w:val="2"/>
            <w:tcBorders>
              <w:top w:val="nil"/>
              <w:left w:val="nil"/>
              <w:bottom w:val="nil"/>
              <w:right w:val="nil"/>
            </w:tcBorders>
            <w:shd w:val="clear" w:color="auto" w:fill="auto"/>
            <w:noWrap/>
            <w:vAlign w:val="bottom"/>
            <w:hideMark/>
          </w:tcPr>
          <w:p w14:paraId="6D50ABC5"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Hamilton City</w:t>
            </w:r>
          </w:p>
        </w:tc>
      </w:tr>
      <w:tr w:rsidR="00192E3F" w:rsidRPr="001E66EF" w14:paraId="4EE597DF" w14:textId="77777777" w:rsidTr="00927ED5">
        <w:trPr>
          <w:trHeight w:val="57"/>
        </w:trPr>
        <w:tc>
          <w:tcPr>
            <w:tcW w:w="588" w:type="pct"/>
            <w:tcBorders>
              <w:top w:val="nil"/>
              <w:left w:val="nil"/>
              <w:bottom w:val="nil"/>
              <w:right w:val="nil"/>
            </w:tcBorders>
            <w:shd w:val="clear" w:color="auto" w:fill="auto"/>
            <w:noWrap/>
            <w:vAlign w:val="bottom"/>
            <w:hideMark/>
          </w:tcPr>
          <w:p w14:paraId="3D2FD68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6F4514F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777" w:type="pct"/>
            <w:tcBorders>
              <w:top w:val="nil"/>
              <w:left w:val="nil"/>
              <w:bottom w:val="nil"/>
              <w:right w:val="nil"/>
            </w:tcBorders>
            <w:shd w:val="clear" w:color="auto" w:fill="auto"/>
            <w:noWrap/>
            <w:vAlign w:val="bottom"/>
            <w:hideMark/>
          </w:tcPr>
          <w:p w14:paraId="4841219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23</w:t>
            </w:r>
          </w:p>
        </w:tc>
        <w:tc>
          <w:tcPr>
            <w:tcW w:w="2848" w:type="pct"/>
            <w:gridSpan w:val="2"/>
            <w:tcBorders>
              <w:top w:val="nil"/>
              <w:left w:val="nil"/>
              <w:bottom w:val="nil"/>
              <w:right w:val="nil"/>
            </w:tcBorders>
            <w:shd w:val="clear" w:color="auto" w:fill="auto"/>
            <w:noWrap/>
            <w:vAlign w:val="bottom"/>
            <w:hideMark/>
          </w:tcPr>
          <w:p w14:paraId="05B3699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Cambridge</w:t>
            </w:r>
          </w:p>
        </w:tc>
      </w:tr>
      <w:tr w:rsidR="00192E3F" w:rsidRPr="001E66EF" w14:paraId="3CA52B16" w14:textId="77777777" w:rsidTr="00927ED5">
        <w:trPr>
          <w:trHeight w:val="57"/>
        </w:trPr>
        <w:tc>
          <w:tcPr>
            <w:tcW w:w="588" w:type="pct"/>
            <w:tcBorders>
              <w:top w:val="nil"/>
              <w:left w:val="nil"/>
              <w:bottom w:val="nil"/>
              <w:right w:val="nil"/>
            </w:tcBorders>
            <w:shd w:val="clear" w:color="auto" w:fill="auto"/>
            <w:noWrap/>
            <w:vAlign w:val="bottom"/>
            <w:hideMark/>
          </w:tcPr>
          <w:p w14:paraId="590028B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7625F09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58</w:t>
            </w:r>
          </w:p>
        </w:tc>
        <w:tc>
          <w:tcPr>
            <w:tcW w:w="777" w:type="pct"/>
            <w:tcBorders>
              <w:top w:val="nil"/>
              <w:left w:val="nil"/>
              <w:bottom w:val="nil"/>
              <w:right w:val="nil"/>
            </w:tcBorders>
            <w:shd w:val="clear" w:color="auto" w:fill="auto"/>
            <w:noWrap/>
            <w:vAlign w:val="bottom"/>
            <w:hideMark/>
          </w:tcPr>
          <w:p w14:paraId="288C502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24</w:t>
            </w:r>
          </w:p>
        </w:tc>
        <w:tc>
          <w:tcPr>
            <w:tcW w:w="2848" w:type="pct"/>
            <w:gridSpan w:val="2"/>
            <w:tcBorders>
              <w:top w:val="nil"/>
              <w:left w:val="nil"/>
              <w:bottom w:val="nil"/>
              <w:right w:val="nil"/>
            </w:tcBorders>
            <w:shd w:val="clear" w:color="auto" w:fill="auto"/>
            <w:noWrap/>
            <w:vAlign w:val="bottom"/>
            <w:hideMark/>
          </w:tcPr>
          <w:p w14:paraId="29EB22D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Te Awamutu and Kihikihi</w:t>
            </w:r>
          </w:p>
        </w:tc>
      </w:tr>
      <w:tr w:rsidR="00192E3F" w:rsidRPr="001E66EF" w14:paraId="045D3240" w14:textId="77777777" w:rsidTr="00927ED5">
        <w:trPr>
          <w:trHeight w:val="57"/>
        </w:trPr>
        <w:tc>
          <w:tcPr>
            <w:tcW w:w="588" w:type="pct"/>
            <w:tcBorders>
              <w:top w:val="nil"/>
              <w:left w:val="nil"/>
              <w:bottom w:val="nil"/>
              <w:right w:val="nil"/>
            </w:tcBorders>
            <w:shd w:val="clear" w:color="auto" w:fill="auto"/>
            <w:noWrap/>
            <w:vAlign w:val="bottom"/>
            <w:hideMark/>
          </w:tcPr>
          <w:p w14:paraId="2772CAA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79D626F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41</w:t>
            </w:r>
          </w:p>
        </w:tc>
        <w:tc>
          <w:tcPr>
            <w:tcW w:w="777" w:type="pct"/>
            <w:tcBorders>
              <w:top w:val="nil"/>
              <w:left w:val="nil"/>
              <w:bottom w:val="nil"/>
              <w:right w:val="nil"/>
            </w:tcBorders>
            <w:shd w:val="clear" w:color="auto" w:fill="auto"/>
            <w:noWrap/>
            <w:vAlign w:val="bottom"/>
            <w:hideMark/>
          </w:tcPr>
          <w:p w14:paraId="27A19C9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25</w:t>
            </w:r>
          </w:p>
        </w:tc>
        <w:tc>
          <w:tcPr>
            <w:tcW w:w="2848" w:type="pct"/>
            <w:gridSpan w:val="2"/>
            <w:tcBorders>
              <w:top w:val="nil"/>
              <w:left w:val="nil"/>
              <w:bottom w:val="nil"/>
              <w:right w:val="nil"/>
            </w:tcBorders>
            <w:shd w:val="clear" w:color="auto" w:fill="auto"/>
            <w:noWrap/>
            <w:vAlign w:val="bottom"/>
            <w:hideMark/>
          </w:tcPr>
          <w:p w14:paraId="7E00EBA6"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Otorohanga</w:t>
            </w:r>
          </w:p>
        </w:tc>
      </w:tr>
      <w:tr w:rsidR="00192E3F" w:rsidRPr="001E66EF" w14:paraId="6A85866A" w14:textId="77777777" w:rsidTr="00927ED5">
        <w:trPr>
          <w:trHeight w:val="57"/>
        </w:trPr>
        <w:tc>
          <w:tcPr>
            <w:tcW w:w="588" w:type="pct"/>
            <w:tcBorders>
              <w:top w:val="nil"/>
              <w:left w:val="nil"/>
              <w:bottom w:val="nil"/>
              <w:right w:val="nil"/>
            </w:tcBorders>
            <w:shd w:val="clear" w:color="auto" w:fill="auto"/>
            <w:noWrap/>
            <w:vAlign w:val="bottom"/>
            <w:hideMark/>
          </w:tcPr>
          <w:p w14:paraId="065D66F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4842ED0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59</w:t>
            </w:r>
          </w:p>
        </w:tc>
        <w:tc>
          <w:tcPr>
            <w:tcW w:w="777" w:type="pct"/>
            <w:tcBorders>
              <w:top w:val="nil"/>
              <w:left w:val="nil"/>
              <w:bottom w:val="nil"/>
              <w:right w:val="nil"/>
            </w:tcBorders>
            <w:shd w:val="clear" w:color="auto" w:fill="auto"/>
            <w:noWrap/>
            <w:vAlign w:val="bottom"/>
            <w:hideMark/>
          </w:tcPr>
          <w:p w14:paraId="4A8C690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26</w:t>
            </w:r>
          </w:p>
        </w:tc>
        <w:tc>
          <w:tcPr>
            <w:tcW w:w="2675" w:type="pct"/>
            <w:tcBorders>
              <w:top w:val="nil"/>
              <w:left w:val="nil"/>
              <w:bottom w:val="nil"/>
              <w:right w:val="nil"/>
            </w:tcBorders>
            <w:shd w:val="clear" w:color="auto" w:fill="auto"/>
            <w:noWrap/>
            <w:vAlign w:val="bottom"/>
            <w:hideMark/>
          </w:tcPr>
          <w:p w14:paraId="07A62DE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Te Kuiti</w:t>
            </w:r>
          </w:p>
        </w:tc>
        <w:tc>
          <w:tcPr>
            <w:tcW w:w="173" w:type="pct"/>
            <w:tcBorders>
              <w:top w:val="nil"/>
              <w:left w:val="nil"/>
              <w:bottom w:val="nil"/>
              <w:right w:val="nil"/>
            </w:tcBorders>
            <w:shd w:val="clear" w:color="auto" w:fill="auto"/>
            <w:noWrap/>
            <w:vAlign w:val="bottom"/>
            <w:hideMark/>
          </w:tcPr>
          <w:p w14:paraId="0D3CA4A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64CBFFF" w14:textId="77777777" w:rsidTr="00927ED5">
        <w:trPr>
          <w:trHeight w:val="57"/>
        </w:trPr>
        <w:tc>
          <w:tcPr>
            <w:tcW w:w="588" w:type="pct"/>
            <w:tcBorders>
              <w:top w:val="nil"/>
              <w:left w:val="nil"/>
              <w:bottom w:val="nil"/>
              <w:right w:val="nil"/>
            </w:tcBorders>
            <w:shd w:val="clear" w:color="auto" w:fill="auto"/>
            <w:noWrap/>
            <w:vAlign w:val="bottom"/>
            <w:hideMark/>
          </w:tcPr>
          <w:p w14:paraId="1F8271F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w:t>
            </w:r>
          </w:p>
        </w:tc>
        <w:tc>
          <w:tcPr>
            <w:tcW w:w="787" w:type="pct"/>
            <w:tcBorders>
              <w:top w:val="nil"/>
              <w:left w:val="nil"/>
              <w:bottom w:val="nil"/>
              <w:right w:val="nil"/>
            </w:tcBorders>
            <w:shd w:val="clear" w:color="auto" w:fill="auto"/>
            <w:noWrap/>
            <w:vAlign w:val="bottom"/>
            <w:hideMark/>
          </w:tcPr>
          <w:p w14:paraId="6A5BDCC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55</w:t>
            </w:r>
          </w:p>
        </w:tc>
        <w:tc>
          <w:tcPr>
            <w:tcW w:w="777" w:type="pct"/>
            <w:tcBorders>
              <w:top w:val="nil"/>
              <w:left w:val="nil"/>
              <w:bottom w:val="nil"/>
              <w:right w:val="nil"/>
            </w:tcBorders>
            <w:shd w:val="clear" w:color="auto" w:fill="auto"/>
            <w:noWrap/>
            <w:vAlign w:val="bottom"/>
            <w:hideMark/>
          </w:tcPr>
          <w:p w14:paraId="6132F29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27</w:t>
            </w:r>
          </w:p>
        </w:tc>
        <w:tc>
          <w:tcPr>
            <w:tcW w:w="2848" w:type="pct"/>
            <w:gridSpan w:val="2"/>
            <w:tcBorders>
              <w:top w:val="nil"/>
              <w:left w:val="nil"/>
              <w:bottom w:val="nil"/>
              <w:right w:val="nil"/>
            </w:tcBorders>
            <w:shd w:val="clear" w:color="auto" w:fill="auto"/>
            <w:noWrap/>
            <w:vAlign w:val="bottom"/>
            <w:hideMark/>
          </w:tcPr>
          <w:p w14:paraId="7A91CC0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Taumarunui</w:t>
            </w:r>
          </w:p>
        </w:tc>
      </w:tr>
      <w:tr w:rsidR="00192E3F" w:rsidRPr="001E66EF" w14:paraId="75BB49F0" w14:textId="77777777" w:rsidTr="00927ED5">
        <w:trPr>
          <w:trHeight w:val="57"/>
        </w:trPr>
        <w:tc>
          <w:tcPr>
            <w:tcW w:w="588" w:type="pct"/>
            <w:tcBorders>
              <w:top w:val="nil"/>
              <w:left w:val="nil"/>
              <w:bottom w:val="nil"/>
              <w:right w:val="nil"/>
            </w:tcBorders>
            <w:shd w:val="clear" w:color="auto" w:fill="auto"/>
            <w:noWrap/>
            <w:vAlign w:val="bottom"/>
            <w:hideMark/>
          </w:tcPr>
          <w:p w14:paraId="096E6DE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6C7C2A8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79</w:t>
            </w:r>
          </w:p>
        </w:tc>
        <w:tc>
          <w:tcPr>
            <w:tcW w:w="777" w:type="pct"/>
            <w:tcBorders>
              <w:top w:val="nil"/>
              <w:left w:val="nil"/>
              <w:bottom w:val="nil"/>
              <w:right w:val="nil"/>
            </w:tcBorders>
            <w:shd w:val="clear" w:color="auto" w:fill="auto"/>
            <w:noWrap/>
            <w:vAlign w:val="bottom"/>
            <w:hideMark/>
          </w:tcPr>
          <w:p w14:paraId="7279ADC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28</w:t>
            </w:r>
          </w:p>
        </w:tc>
        <w:tc>
          <w:tcPr>
            <w:tcW w:w="2848" w:type="pct"/>
            <w:gridSpan w:val="2"/>
            <w:tcBorders>
              <w:top w:val="nil"/>
              <w:left w:val="nil"/>
              <w:bottom w:val="nil"/>
              <w:right w:val="nil"/>
            </w:tcBorders>
            <w:shd w:val="clear" w:color="auto" w:fill="auto"/>
            <w:noWrap/>
            <w:vAlign w:val="bottom"/>
            <w:hideMark/>
          </w:tcPr>
          <w:p w14:paraId="410B9E0E"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Whitianga</w:t>
            </w:r>
          </w:p>
        </w:tc>
      </w:tr>
      <w:tr w:rsidR="00192E3F" w:rsidRPr="001E66EF" w14:paraId="578BD73C" w14:textId="77777777" w:rsidTr="00927ED5">
        <w:trPr>
          <w:trHeight w:val="57"/>
        </w:trPr>
        <w:tc>
          <w:tcPr>
            <w:tcW w:w="588" w:type="pct"/>
            <w:tcBorders>
              <w:top w:val="nil"/>
              <w:left w:val="nil"/>
              <w:bottom w:val="nil"/>
              <w:right w:val="nil"/>
            </w:tcBorders>
            <w:shd w:val="clear" w:color="auto" w:fill="auto"/>
            <w:noWrap/>
            <w:vAlign w:val="bottom"/>
            <w:hideMark/>
          </w:tcPr>
          <w:p w14:paraId="2D1067A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69649DF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60</w:t>
            </w:r>
          </w:p>
        </w:tc>
        <w:tc>
          <w:tcPr>
            <w:tcW w:w="777" w:type="pct"/>
            <w:tcBorders>
              <w:top w:val="nil"/>
              <w:left w:val="nil"/>
              <w:bottom w:val="nil"/>
              <w:right w:val="nil"/>
            </w:tcBorders>
            <w:shd w:val="clear" w:color="auto" w:fill="auto"/>
            <w:noWrap/>
            <w:vAlign w:val="bottom"/>
            <w:hideMark/>
          </w:tcPr>
          <w:p w14:paraId="540D376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29</w:t>
            </w:r>
          </w:p>
        </w:tc>
        <w:tc>
          <w:tcPr>
            <w:tcW w:w="2675" w:type="pct"/>
            <w:tcBorders>
              <w:top w:val="nil"/>
              <w:left w:val="nil"/>
              <w:bottom w:val="nil"/>
              <w:right w:val="nil"/>
            </w:tcBorders>
            <w:shd w:val="clear" w:color="auto" w:fill="auto"/>
            <w:noWrap/>
            <w:vAlign w:val="bottom"/>
            <w:hideMark/>
          </w:tcPr>
          <w:p w14:paraId="1A13D52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Thames</w:t>
            </w:r>
          </w:p>
        </w:tc>
        <w:tc>
          <w:tcPr>
            <w:tcW w:w="173" w:type="pct"/>
            <w:tcBorders>
              <w:top w:val="nil"/>
              <w:left w:val="nil"/>
              <w:bottom w:val="nil"/>
              <w:right w:val="nil"/>
            </w:tcBorders>
            <w:shd w:val="clear" w:color="auto" w:fill="auto"/>
            <w:noWrap/>
            <w:vAlign w:val="bottom"/>
            <w:hideMark/>
          </w:tcPr>
          <w:p w14:paraId="05E5AF8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301861A" w14:textId="77777777" w:rsidTr="00927ED5">
        <w:trPr>
          <w:trHeight w:val="57"/>
        </w:trPr>
        <w:tc>
          <w:tcPr>
            <w:tcW w:w="588" w:type="pct"/>
            <w:tcBorders>
              <w:top w:val="nil"/>
              <w:left w:val="nil"/>
              <w:bottom w:val="nil"/>
              <w:right w:val="nil"/>
            </w:tcBorders>
            <w:shd w:val="clear" w:color="auto" w:fill="auto"/>
            <w:noWrap/>
            <w:vAlign w:val="bottom"/>
            <w:hideMark/>
          </w:tcPr>
          <w:p w14:paraId="2ACD090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16E0A23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76</w:t>
            </w:r>
          </w:p>
        </w:tc>
        <w:tc>
          <w:tcPr>
            <w:tcW w:w="777" w:type="pct"/>
            <w:tcBorders>
              <w:top w:val="nil"/>
              <w:left w:val="nil"/>
              <w:bottom w:val="nil"/>
              <w:right w:val="nil"/>
            </w:tcBorders>
            <w:shd w:val="clear" w:color="auto" w:fill="auto"/>
            <w:noWrap/>
            <w:vAlign w:val="bottom"/>
            <w:hideMark/>
          </w:tcPr>
          <w:p w14:paraId="42BC132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30</w:t>
            </w:r>
          </w:p>
        </w:tc>
        <w:tc>
          <w:tcPr>
            <w:tcW w:w="2848" w:type="pct"/>
            <w:gridSpan w:val="2"/>
            <w:tcBorders>
              <w:top w:val="nil"/>
              <w:left w:val="nil"/>
              <w:bottom w:val="nil"/>
              <w:right w:val="nil"/>
            </w:tcBorders>
            <w:shd w:val="clear" w:color="auto" w:fill="auto"/>
            <w:noWrap/>
            <w:vAlign w:val="bottom"/>
            <w:hideMark/>
          </w:tcPr>
          <w:p w14:paraId="4437FD6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Whangamata</w:t>
            </w:r>
          </w:p>
        </w:tc>
      </w:tr>
      <w:tr w:rsidR="00192E3F" w:rsidRPr="001E66EF" w14:paraId="53C47D87" w14:textId="77777777" w:rsidTr="00927ED5">
        <w:trPr>
          <w:trHeight w:val="57"/>
        </w:trPr>
        <w:tc>
          <w:tcPr>
            <w:tcW w:w="588" w:type="pct"/>
            <w:tcBorders>
              <w:top w:val="nil"/>
              <w:left w:val="nil"/>
              <w:bottom w:val="nil"/>
              <w:right w:val="nil"/>
            </w:tcBorders>
            <w:shd w:val="clear" w:color="auto" w:fill="auto"/>
            <w:noWrap/>
            <w:vAlign w:val="bottom"/>
            <w:hideMark/>
          </w:tcPr>
          <w:p w14:paraId="5C826EE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12E6985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42</w:t>
            </w:r>
          </w:p>
        </w:tc>
        <w:tc>
          <w:tcPr>
            <w:tcW w:w="777" w:type="pct"/>
            <w:tcBorders>
              <w:top w:val="nil"/>
              <w:left w:val="nil"/>
              <w:bottom w:val="nil"/>
              <w:right w:val="nil"/>
            </w:tcBorders>
            <w:shd w:val="clear" w:color="auto" w:fill="auto"/>
            <w:noWrap/>
            <w:vAlign w:val="bottom"/>
            <w:hideMark/>
          </w:tcPr>
          <w:p w14:paraId="336F59C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31</w:t>
            </w:r>
          </w:p>
        </w:tc>
        <w:tc>
          <w:tcPr>
            <w:tcW w:w="2675" w:type="pct"/>
            <w:tcBorders>
              <w:top w:val="nil"/>
              <w:left w:val="nil"/>
              <w:bottom w:val="nil"/>
              <w:right w:val="nil"/>
            </w:tcBorders>
            <w:shd w:val="clear" w:color="auto" w:fill="auto"/>
            <w:noWrap/>
            <w:vAlign w:val="bottom"/>
            <w:hideMark/>
          </w:tcPr>
          <w:p w14:paraId="51D44A7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Paeroa</w:t>
            </w:r>
          </w:p>
        </w:tc>
        <w:tc>
          <w:tcPr>
            <w:tcW w:w="173" w:type="pct"/>
            <w:tcBorders>
              <w:top w:val="nil"/>
              <w:left w:val="nil"/>
              <w:bottom w:val="nil"/>
              <w:right w:val="nil"/>
            </w:tcBorders>
            <w:shd w:val="clear" w:color="auto" w:fill="auto"/>
            <w:noWrap/>
            <w:vAlign w:val="bottom"/>
            <w:hideMark/>
          </w:tcPr>
          <w:p w14:paraId="583A686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61AF60C5" w14:textId="77777777" w:rsidTr="00927ED5">
        <w:trPr>
          <w:trHeight w:val="57"/>
        </w:trPr>
        <w:tc>
          <w:tcPr>
            <w:tcW w:w="588" w:type="pct"/>
            <w:tcBorders>
              <w:top w:val="nil"/>
              <w:left w:val="nil"/>
              <w:bottom w:val="nil"/>
              <w:right w:val="nil"/>
            </w:tcBorders>
            <w:shd w:val="clear" w:color="auto" w:fill="auto"/>
            <w:noWrap/>
            <w:vAlign w:val="bottom"/>
            <w:hideMark/>
          </w:tcPr>
          <w:p w14:paraId="341087C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793587B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67</w:t>
            </w:r>
          </w:p>
        </w:tc>
        <w:tc>
          <w:tcPr>
            <w:tcW w:w="777" w:type="pct"/>
            <w:tcBorders>
              <w:top w:val="nil"/>
              <w:left w:val="nil"/>
              <w:bottom w:val="nil"/>
              <w:right w:val="nil"/>
            </w:tcBorders>
            <w:shd w:val="clear" w:color="auto" w:fill="auto"/>
            <w:noWrap/>
            <w:vAlign w:val="bottom"/>
            <w:hideMark/>
          </w:tcPr>
          <w:p w14:paraId="15A3D6E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32</w:t>
            </w:r>
          </w:p>
        </w:tc>
        <w:tc>
          <w:tcPr>
            <w:tcW w:w="2675" w:type="pct"/>
            <w:tcBorders>
              <w:top w:val="nil"/>
              <w:left w:val="nil"/>
              <w:bottom w:val="nil"/>
              <w:right w:val="nil"/>
            </w:tcBorders>
            <w:shd w:val="clear" w:color="auto" w:fill="auto"/>
            <w:noWrap/>
            <w:vAlign w:val="bottom"/>
            <w:hideMark/>
          </w:tcPr>
          <w:p w14:paraId="49779BD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Waihi</w:t>
            </w:r>
          </w:p>
        </w:tc>
        <w:tc>
          <w:tcPr>
            <w:tcW w:w="173" w:type="pct"/>
            <w:tcBorders>
              <w:top w:val="nil"/>
              <w:left w:val="nil"/>
              <w:bottom w:val="nil"/>
              <w:right w:val="nil"/>
            </w:tcBorders>
            <w:shd w:val="clear" w:color="auto" w:fill="auto"/>
            <w:noWrap/>
            <w:vAlign w:val="bottom"/>
            <w:hideMark/>
          </w:tcPr>
          <w:p w14:paraId="0CA2EEC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2C9E0444" w14:textId="77777777" w:rsidTr="00927ED5">
        <w:trPr>
          <w:trHeight w:val="57"/>
        </w:trPr>
        <w:tc>
          <w:tcPr>
            <w:tcW w:w="588" w:type="pct"/>
            <w:tcBorders>
              <w:top w:val="nil"/>
              <w:left w:val="nil"/>
              <w:bottom w:val="nil"/>
              <w:right w:val="nil"/>
            </w:tcBorders>
            <w:shd w:val="clear" w:color="auto" w:fill="auto"/>
            <w:noWrap/>
            <w:vAlign w:val="bottom"/>
            <w:hideMark/>
          </w:tcPr>
          <w:p w14:paraId="202057E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13D9402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30</w:t>
            </w:r>
          </w:p>
        </w:tc>
        <w:tc>
          <w:tcPr>
            <w:tcW w:w="777" w:type="pct"/>
            <w:tcBorders>
              <w:top w:val="nil"/>
              <w:left w:val="nil"/>
              <w:bottom w:val="nil"/>
              <w:right w:val="nil"/>
            </w:tcBorders>
            <w:shd w:val="clear" w:color="auto" w:fill="auto"/>
            <w:noWrap/>
            <w:vAlign w:val="bottom"/>
            <w:hideMark/>
          </w:tcPr>
          <w:p w14:paraId="107F5FC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33</w:t>
            </w:r>
          </w:p>
        </w:tc>
        <w:tc>
          <w:tcPr>
            <w:tcW w:w="2848" w:type="pct"/>
            <w:gridSpan w:val="2"/>
            <w:tcBorders>
              <w:top w:val="nil"/>
              <w:left w:val="nil"/>
              <w:bottom w:val="nil"/>
              <w:right w:val="nil"/>
            </w:tcBorders>
            <w:shd w:val="clear" w:color="auto" w:fill="auto"/>
            <w:noWrap/>
            <w:vAlign w:val="bottom"/>
            <w:hideMark/>
          </w:tcPr>
          <w:p w14:paraId="018A2AF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Morrinsville</w:t>
            </w:r>
          </w:p>
        </w:tc>
      </w:tr>
      <w:tr w:rsidR="00192E3F" w:rsidRPr="001E66EF" w14:paraId="6E2EB08A" w14:textId="77777777" w:rsidTr="00927ED5">
        <w:trPr>
          <w:trHeight w:val="57"/>
        </w:trPr>
        <w:tc>
          <w:tcPr>
            <w:tcW w:w="588" w:type="pct"/>
            <w:tcBorders>
              <w:top w:val="nil"/>
              <w:left w:val="nil"/>
              <w:bottom w:val="nil"/>
              <w:right w:val="nil"/>
            </w:tcBorders>
            <w:shd w:val="clear" w:color="auto" w:fill="auto"/>
            <w:noWrap/>
            <w:vAlign w:val="bottom"/>
            <w:hideMark/>
          </w:tcPr>
          <w:p w14:paraId="45167EB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0B07376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57</w:t>
            </w:r>
          </w:p>
        </w:tc>
        <w:tc>
          <w:tcPr>
            <w:tcW w:w="777" w:type="pct"/>
            <w:tcBorders>
              <w:top w:val="nil"/>
              <w:left w:val="nil"/>
              <w:bottom w:val="nil"/>
              <w:right w:val="nil"/>
            </w:tcBorders>
            <w:shd w:val="clear" w:color="auto" w:fill="auto"/>
            <w:noWrap/>
            <w:vAlign w:val="bottom"/>
            <w:hideMark/>
          </w:tcPr>
          <w:p w14:paraId="2EE596E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34</w:t>
            </w:r>
          </w:p>
        </w:tc>
        <w:tc>
          <w:tcPr>
            <w:tcW w:w="2675" w:type="pct"/>
            <w:tcBorders>
              <w:top w:val="nil"/>
              <w:left w:val="nil"/>
              <w:bottom w:val="nil"/>
              <w:right w:val="nil"/>
            </w:tcBorders>
            <w:shd w:val="clear" w:color="auto" w:fill="auto"/>
            <w:noWrap/>
            <w:vAlign w:val="bottom"/>
            <w:hideMark/>
          </w:tcPr>
          <w:p w14:paraId="38DAFB0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Te Aroha</w:t>
            </w:r>
          </w:p>
        </w:tc>
        <w:tc>
          <w:tcPr>
            <w:tcW w:w="173" w:type="pct"/>
            <w:tcBorders>
              <w:top w:val="nil"/>
              <w:left w:val="nil"/>
              <w:bottom w:val="nil"/>
              <w:right w:val="nil"/>
            </w:tcBorders>
            <w:shd w:val="clear" w:color="auto" w:fill="auto"/>
            <w:noWrap/>
            <w:vAlign w:val="bottom"/>
            <w:hideMark/>
          </w:tcPr>
          <w:p w14:paraId="43DC1C1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159F1D58" w14:textId="77777777" w:rsidTr="00927ED5">
        <w:trPr>
          <w:trHeight w:val="57"/>
        </w:trPr>
        <w:tc>
          <w:tcPr>
            <w:tcW w:w="588" w:type="pct"/>
            <w:tcBorders>
              <w:top w:val="nil"/>
              <w:left w:val="nil"/>
              <w:bottom w:val="nil"/>
              <w:right w:val="nil"/>
            </w:tcBorders>
            <w:shd w:val="clear" w:color="auto" w:fill="auto"/>
            <w:noWrap/>
            <w:vAlign w:val="bottom"/>
            <w:hideMark/>
          </w:tcPr>
          <w:p w14:paraId="1037869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3D32E41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29</w:t>
            </w:r>
          </w:p>
        </w:tc>
        <w:tc>
          <w:tcPr>
            <w:tcW w:w="777" w:type="pct"/>
            <w:tcBorders>
              <w:top w:val="nil"/>
              <w:left w:val="nil"/>
              <w:bottom w:val="nil"/>
              <w:right w:val="nil"/>
            </w:tcBorders>
            <w:shd w:val="clear" w:color="auto" w:fill="auto"/>
            <w:noWrap/>
            <w:vAlign w:val="bottom"/>
            <w:hideMark/>
          </w:tcPr>
          <w:p w14:paraId="6463FCC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35</w:t>
            </w:r>
          </w:p>
        </w:tc>
        <w:tc>
          <w:tcPr>
            <w:tcW w:w="2848" w:type="pct"/>
            <w:gridSpan w:val="2"/>
            <w:tcBorders>
              <w:top w:val="nil"/>
              <w:left w:val="nil"/>
              <w:bottom w:val="nil"/>
              <w:right w:val="nil"/>
            </w:tcBorders>
            <w:shd w:val="clear" w:color="auto" w:fill="auto"/>
            <w:noWrap/>
            <w:vAlign w:val="bottom"/>
            <w:hideMark/>
          </w:tcPr>
          <w:p w14:paraId="6AE606C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Matamata</w:t>
            </w:r>
          </w:p>
        </w:tc>
      </w:tr>
      <w:tr w:rsidR="00192E3F" w:rsidRPr="001E66EF" w14:paraId="08F14031" w14:textId="77777777" w:rsidTr="00927ED5">
        <w:trPr>
          <w:trHeight w:val="57"/>
        </w:trPr>
        <w:tc>
          <w:tcPr>
            <w:tcW w:w="588" w:type="pct"/>
            <w:tcBorders>
              <w:top w:val="nil"/>
              <w:left w:val="nil"/>
              <w:bottom w:val="nil"/>
              <w:right w:val="nil"/>
            </w:tcBorders>
            <w:shd w:val="clear" w:color="auto" w:fill="auto"/>
            <w:noWrap/>
            <w:vAlign w:val="bottom"/>
            <w:hideMark/>
          </w:tcPr>
          <w:p w14:paraId="1435880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64AFF37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45</w:t>
            </w:r>
          </w:p>
        </w:tc>
        <w:tc>
          <w:tcPr>
            <w:tcW w:w="777" w:type="pct"/>
            <w:tcBorders>
              <w:top w:val="nil"/>
              <w:left w:val="nil"/>
              <w:bottom w:val="nil"/>
              <w:right w:val="nil"/>
            </w:tcBorders>
            <w:shd w:val="clear" w:color="auto" w:fill="auto"/>
            <w:noWrap/>
            <w:vAlign w:val="bottom"/>
            <w:hideMark/>
          </w:tcPr>
          <w:p w14:paraId="4D1D142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36</w:t>
            </w:r>
          </w:p>
        </w:tc>
        <w:tc>
          <w:tcPr>
            <w:tcW w:w="2675" w:type="pct"/>
            <w:tcBorders>
              <w:top w:val="nil"/>
              <w:left w:val="nil"/>
              <w:bottom w:val="nil"/>
              <w:right w:val="nil"/>
            </w:tcBorders>
            <w:shd w:val="clear" w:color="auto" w:fill="auto"/>
            <w:noWrap/>
            <w:vAlign w:val="bottom"/>
            <w:hideMark/>
          </w:tcPr>
          <w:p w14:paraId="6F9AB47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Putaruru</w:t>
            </w:r>
          </w:p>
        </w:tc>
        <w:tc>
          <w:tcPr>
            <w:tcW w:w="173" w:type="pct"/>
            <w:tcBorders>
              <w:top w:val="nil"/>
              <w:left w:val="nil"/>
              <w:bottom w:val="nil"/>
              <w:right w:val="nil"/>
            </w:tcBorders>
            <w:shd w:val="clear" w:color="auto" w:fill="auto"/>
            <w:noWrap/>
            <w:vAlign w:val="bottom"/>
            <w:hideMark/>
          </w:tcPr>
          <w:p w14:paraId="1D094D90"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58527ABC" w14:textId="77777777" w:rsidTr="00927ED5">
        <w:trPr>
          <w:trHeight w:val="57"/>
        </w:trPr>
        <w:tc>
          <w:tcPr>
            <w:tcW w:w="588" w:type="pct"/>
            <w:tcBorders>
              <w:top w:val="nil"/>
              <w:left w:val="nil"/>
              <w:bottom w:val="nil"/>
              <w:right w:val="nil"/>
            </w:tcBorders>
            <w:shd w:val="clear" w:color="auto" w:fill="auto"/>
            <w:noWrap/>
            <w:vAlign w:val="bottom"/>
            <w:hideMark/>
          </w:tcPr>
          <w:p w14:paraId="2A38581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4E983E5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62</w:t>
            </w:r>
          </w:p>
        </w:tc>
        <w:tc>
          <w:tcPr>
            <w:tcW w:w="777" w:type="pct"/>
            <w:tcBorders>
              <w:top w:val="nil"/>
              <w:left w:val="nil"/>
              <w:bottom w:val="nil"/>
              <w:right w:val="nil"/>
            </w:tcBorders>
            <w:shd w:val="clear" w:color="auto" w:fill="auto"/>
            <w:noWrap/>
            <w:vAlign w:val="bottom"/>
            <w:hideMark/>
          </w:tcPr>
          <w:p w14:paraId="419CCDE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37</w:t>
            </w:r>
          </w:p>
        </w:tc>
        <w:tc>
          <w:tcPr>
            <w:tcW w:w="2675" w:type="pct"/>
            <w:tcBorders>
              <w:top w:val="nil"/>
              <w:left w:val="nil"/>
              <w:bottom w:val="nil"/>
              <w:right w:val="nil"/>
            </w:tcBorders>
            <w:shd w:val="clear" w:color="auto" w:fill="auto"/>
            <w:noWrap/>
            <w:vAlign w:val="bottom"/>
            <w:hideMark/>
          </w:tcPr>
          <w:p w14:paraId="3794BEA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Tokoroa</w:t>
            </w:r>
          </w:p>
        </w:tc>
        <w:tc>
          <w:tcPr>
            <w:tcW w:w="173" w:type="pct"/>
            <w:tcBorders>
              <w:top w:val="nil"/>
              <w:left w:val="nil"/>
              <w:bottom w:val="nil"/>
              <w:right w:val="nil"/>
            </w:tcBorders>
            <w:shd w:val="clear" w:color="auto" w:fill="auto"/>
            <w:noWrap/>
            <w:vAlign w:val="bottom"/>
            <w:hideMark/>
          </w:tcPr>
          <w:p w14:paraId="606330C2"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6F29EB11" w14:textId="77777777" w:rsidTr="00927ED5">
        <w:trPr>
          <w:trHeight w:val="57"/>
        </w:trPr>
        <w:tc>
          <w:tcPr>
            <w:tcW w:w="588" w:type="pct"/>
            <w:tcBorders>
              <w:top w:val="nil"/>
              <w:left w:val="nil"/>
              <w:bottom w:val="nil"/>
              <w:right w:val="nil"/>
            </w:tcBorders>
            <w:shd w:val="clear" w:color="auto" w:fill="auto"/>
            <w:noWrap/>
            <w:vAlign w:val="bottom"/>
            <w:hideMark/>
          </w:tcPr>
          <w:p w14:paraId="6F3B6C9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w:t>
            </w:r>
          </w:p>
        </w:tc>
        <w:tc>
          <w:tcPr>
            <w:tcW w:w="787" w:type="pct"/>
            <w:tcBorders>
              <w:top w:val="nil"/>
              <w:left w:val="nil"/>
              <w:bottom w:val="nil"/>
              <w:right w:val="nil"/>
            </w:tcBorders>
            <w:shd w:val="clear" w:color="auto" w:fill="auto"/>
            <w:noWrap/>
            <w:vAlign w:val="bottom"/>
            <w:hideMark/>
          </w:tcPr>
          <w:p w14:paraId="55C1C51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51</w:t>
            </w:r>
          </w:p>
        </w:tc>
        <w:tc>
          <w:tcPr>
            <w:tcW w:w="777" w:type="pct"/>
            <w:tcBorders>
              <w:top w:val="nil"/>
              <w:left w:val="nil"/>
              <w:bottom w:val="nil"/>
              <w:right w:val="nil"/>
            </w:tcBorders>
            <w:shd w:val="clear" w:color="auto" w:fill="auto"/>
            <w:noWrap/>
            <w:vAlign w:val="bottom"/>
            <w:hideMark/>
          </w:tcPr>
          <w:p w14:paraId="05B2839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38</w:t>
            </w:r>
          </w:p>
        </w:tc>
        <w:tc>
          <w:tcPr>
            <w:tcW w:w="2675" w:type="pct"/>
            <w:tcBorders>
              <w:top w:val="nil"/>
              <w:left w:val="nil"/>
              <w:bottom w:val="nil"/>
              <w:right w:val="nil"/>
            </w:tcBorders>
            <w:shd w:val="clear" w:color="auto" w:fill="auto"/>
            <w:noWrap/>
            <w:vAlign w:val="bottom"/>
            <w:hideMark/>
          </w:tcPr>
          <w:p w14:paraId="2C6EB38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Rotorua</w:t>
            </w:r>
          </w:p>
        </w:tc>
        <w:tc>
          <w:tcPr>
            <w:tcW w:w="173" w:type="pct"/>
            <w:tcBorders>
              <w:top w:val="nil"/>
              <w:left w:val="nil"/>
              <w:bottom w:val="nil"/>
              <w:right w:val="nil"/>
            </w:tcBorders>
            <w:shd w:val="clear" w:color="auto" w:fill="auto"/>
            <w:noWrap/>
            <w:vAlign w:val="bottom"/>
            <w:hideMark/>
          </w:tcPr>
          <w:p w14:paraId="2DE96DE6"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23194DE" w14:textId="77777777" w:rsidTr="00927ED5">
        <w:trPr>
          <w:trHeight w:val="57"/>
        </w:trPr>
        <w:tc>
          <w:tcPr>
            <w:tcW w:w="588" w:type="pct"/>
            <w:tcBorders>
              <w:top w:val="nil"/>
              <w:left w:val="nil"/>
              <w:bottom w:val="nil"/>
              <w:right w:val="nil"/>
            </w:tcBorders>
            <w:shd w:val="clear" w:color="auto" w:fill="auto"/>
            <w:noWrap/>
            <w:vAlign w:val="bottom"/>
            <w:hideMark/>
          </w:tcPr>
          <w:p w14:paraId="362BD53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4A9EE04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56</w:t>
            </w:r>
          </w:p>
        </w:tc>
        <w:tc>
          <w:tcPr>
            <w:tcW w:w="777" w:type="pct"/>
            <w:tcBorders>
              <w:top w:val="nil"/>
              <w:left w:val="nil"/>
              <w:bottom w:val="nil"/>
              <w:right w:val="nil"/>
            </w:tcBorders>
            <w:shd w:val="clear" w:color="auto" w:fill="auto"/>
            <w:noWrap/>
            <w:vAlign w:val="bottom"/>
            <w:hideMark/>
          </w:tcPr>
          <w:p w14:paraId="4C0E694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39</w:t>
            </w:r>
          </w:p>
        </w:tc>
        <w:tc>
          <w:tcPr>
            <w:tcW w:w="2675" w:type="pct"/>
            <w:tcBorders>
              <w:top w:val="nil"/>
              <w:left w:val="nil"/>
              <w:bottom w:val="nil"/>
              <w:right w:val="nil"/>
            </w:tcBorders>
            <w:shd w:val="clear" w:color="auto" w:fill="auto"/>
            <w:noWrap/>
            <w:vAlign w:val="bottom"/>
            <w:hideMark/>
          </w:tcPr>
          <w:p w14:paraId="5FE94A5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Taupo</w:t>
            </w:r>
          </w:p>
        </w:tc>
        <w:tc>
          <w:tcPr>
            <w:tcW w:w="173" w:type="pct"/>
            <w:tcBorders>
              <w:top w:val="nil"/>
              <w:left w:val="nil"/>
              <w:bottom w:val="nil"/>
              <w:right w:val="nil"/>
            </w:tcBorders>
            <w:shd w:val="clear" w:color="auto" w:fill="auto"/>
            <w:noWrap/>
            <w:vAlign w:val="bottom"/>
            <w:hideMark/>
          </w:tcPr>
          <w:p w14:paraId="13D6CAD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6E0B4E76" w14:textId="77777777" w:rsidTr="00927ED5">
        <w:trPr>
          <w:trHeight w:val="57"/>
        </w:trPr>
        <w:tc>
          <w:tcPr>
            <w:tcW w:w="588" w:type="pct"/>
            <w:tcBorders>
              <w:top w:val="nil"/>
              <w:left w:val="nil"/>
              <w:bottom w:val="nil"/>
              <w:right w:val="nil"/>
            </w:tcBorders>
            <w:shd w:val="clear" w:color="auto" w:fill="auto"/>
            <w:noWrap/>
            <w:vAlign w:val="bottom"/>
            <w:hideMark/>
          </w:tcPr>
          <w:p w14:paraId="3328E9E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43A23A4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64</w:t>
            </w:r>
          </w:p>
        </w:tc>
        <w:tc>
          <w:tcPr>
            <w:tcW w:w="777" w:type="pct"/>
            <w:tcBorders>
              <w:top w:val="nil"/>
              <w:left w:val="nil"/>
              <w:bottom w:val="nil"/>
              <w:right w:val="nil"/>
            </w:tcBorders>
            <w:shd w:val="clear" w:color="auto" w:fill="auto"/>
            <w:noWrap/>
            <w:vAlign w:val="bottom"/>
            <w:hideMark/>
          </w:tcPr>
          <w:p w14:paraId="41A29D3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40</w:t>
            </w:r>
          </w:p>
        </w:tc>
        <w:tc>
          <w:tcPr>
            <w:tcW w:w="2675" w:type="pct"/>
            <w:tcBorders>
              <w:top w:val="nil"/>
              <w:left w:val="nil"/>
              <w:bottom w:val="nil"/>
              <w:right w:val="nil"/>
            </w:tcBorders>
            <w:shd w:val="clear" w:color="auto" w:fill="auto"/>
            <w:noWrap/>
            <w:vAlign w:val="bottom"/>
            <w:hideMark/>
          </w:tcPr>
          <w:p w14:paraId="1675541E"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Turangi</w:t>
            </w:r>
          </w:p>
        </w:tc>
        <w:tc>
          <w:tcPr>
            <w:tcW w:w="173" w:type="pct"/>
            <w:tcBorders>
              <w:top w:val="nil"/>
              <w:left w:val="nil"/>
              <w:bottom w:val="nil"/>
              <w:right w:val="nil"/>
            </w:tcBorders>
            <w:shd w:val="clear" w:color="auto" w:fill="auto"/>
            <w:noWrap/>
            <w:vAlign w:val="bottom"/>
            <w:hideMark/>
          </w:tcPr>
          <w:p w14:paraId="2E28CB4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6E310C9B" w14:textId="77777777" w:rsidTr="00927ED5">
        <w:trPr>
          <w:trHeight w:val="57"/>
        </w:trPr>
        <w:tc>
          <w:tcPr>
            <w:tcW w:w="588" w:type="pct"/>
            <w:tcBorders>
              <w:top w:val="nil"/>
              <w:left w:val="nil"/>
              <w:bottom w:val="nil"/>
              <w:right w:val="nil"/>
            </w:tcBorders>
            <w:shd w:val="clear" w:color="auto" w:fill="auto"/>
            <w:noWrap/>
            <w:vAlign w:val="bottom"/>
            <w:hideMark/>
          </w:tcPr>
          <w:p w14:paraId="42CE05B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787" w:type="pct"/>
            <w:tcBorders>
              <w:top w:val="nil"/>
              <w:left w:val="nil"/>
              <w:bottom w:val="nil"/>
              <w:right w:val="nil"/>
            </w:tcBorders>
            <w:shd w:val="clear" w:color="auto" w:fill="auto"/>
            <w:noWrap/>
            <w:vAlign w:val="bottom"/>
            <w:hideMark/>
          </w:tcPr>
          <w:p w14:paraId="74BF340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77" w:type="pct"/>
            <w:tcBorders>
              <w:top w:val="nil"/>
              <w:left w:val="nil"/>
              <w:bottom w:val="nil"/>
              <w:right w:val="nil"/>
            </w:tcBorders>
            <w:shd w:val="clear" w:color="auto" w:fill="auto"/>
            <w:noWrap/>
            <w:vAlign w:val="bottom"/>
            <w:hideMark/>
          </w:tcPr>
          <w:p w14:paraId="663C8B0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41</w:t>
            </w:r>
          </w:p>
        </w:tc>
        <w:tc>
          <w:tcPr>
            <w:tcW w:w="2675" w:type="pct"/>
            <w:tcBorders>
              <w:top w:val="nil"/>
              <w:left w:val="nil"/>
              <w:bottom w:val="nil"/>
              <w:right w:val="nil"/>
            </w:tcBorders>
            <w:shd w:val="clear" w:color="auto" w:fill="auto"/>
            <w:noWrap/>
            <w:vAlign w:val="bottom"/>
            <w:hideMark/>
          </w:tcPr>
          <w:p w14:paraId="3BAE36E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Awatoto</w:t>
            </w:r>
          </w:p>
        </w:tc>
        <w:tc>
          <w:tcPr>
            <w:tcW w:w="173" w:type="pct"/>
            <w:tcBorders>
              <w:top w:val="nil"/>
              <w:left w:val="nil"/>
              <w:bottom w:val="nil"/>
              <w:right w:val="nil"/>
            </w:tcBorders>
            <w:shd w:val="clear" w:color="auto" w:fill="auto"/>
            <w:noWrap/>
            <w:vAlign w:val="bottom"/>
            <w:hideMark/>
          </w:tcPr>
          <w:p w14:paraId="257E0275"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858AC67" w14:textId="77777777" w:rsidTr="00927ED5">
        <w:trPr>
          <w:trHeight w:val="57"/>
        </w:trPr>
        <w:tc>
          <w:tcPr>
            <w:tcW w:w="588" w:type="pct"/>
            <w:tcBorders>
              <w:top w:val="nil"/>
              <w:left w:val="nil"/>
              <w:bottom w:val="nil"/>
              <w:right w:val="nil"/>
            </w:tcBorders>
            <w:shd w:val="clear" w:color="auto" w:fill="auto"/>
            <w:noWrap/>
            <w:vAlign w:val="bottom"/>
            <w:hideMark/>
          </w:tcPr>
          <w:p w14:paraId="6ABD88C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787" w:type="pct"/>
            <w:tcBorders>
              <w:top w:val="nil"/>
              <w:left w:val="nil"/>
              <w:bottom w:val="nil"/>
              <w:right w:val="nil"/>
            </w:tcBorders>
            <w:shd w:val="clear" w:color="auto" w:fill="auto"/>
            <w:noWrap/>
            <w:vAlign w:val="bottom"/>
            <w:hideMark/>
          </w:tcPr>
          <w:p w14:paraId="0435E8E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31</w:t>
            </w:r>
          </w:p>
        </w:tc>
        <w:tc>
          <w:tcPr>
            <w:tcW w:w="777" w:type="pct"/>
            <w:tcBorders>
              <w:top w:val="nil"/>
              <w:left w:val="nil"/>
              <w:bottom w:val="nil"/>
              <w:right w:val="nil"/>
            </w:tcBorders>
            <w:shd w:val="clear" w:color="auto" w:fill="auto"/>
            <w:noWrap/>
            <w:vAlign w:val="bottom"/>
            <w:hideMark/>
          </w:tcPr>
          <w:p w14:paraId="2335BEB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42</w:t>
            </w:r>
          </w:p>
        </w:tc>
        <w:tc>
          <w:tcPr>
            <w:tcW w:w="2675" w:type="pct"/>
            <w:tcBorders>
              <w:top w:val="nil"/>
              <w:left w:val="nil"/>
              <w:bottom w:val="nil"/>
              <w:right w:val="nil"/>
            </w:tcBorders>
            <w:shd w:val="clear" w:color="auto" w:fill="auto"/>
            <w:noWrap/>
            <w:vAlign w:val="bottom"/>
            <w:hideMark/>
          </w:tcPr>
          <w:p w14:paraId="5FE32F0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Napier</w:t>
            </w:r>
          </w:p>
        </w:tc>
        <w:tc>
          <w:tcPr>
            <w:tcW w:w="173" w:type="pct"/>
            <w:tcBorders>
              <w:top w:val="nil"/>
              <w:left w:val="nil"/>
              <w:bottom w:val="nil"/>
              <w:right w:val="nil"/>
            </w:tcBorders>
            <w:shd w:val="clear" w:color="auto" w:fill="auto"/>
            <w:noWrap/>
            <w:vAlign w:val="bottom"/>
            <w:hideMark/>
          </w:tcPr>
          <w:p w14:paraId="2990F01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1C583C3A" w14:textId="77777777" w:rsidTr="00927ED5">
        <w:trPr>
          <w:trHeight w:val="57"/>
        </w:trPr>
        <w:tc>
          <w:tcPr>
            <w:tcW w:w="588" w:type="pct"/>
            <w:tcBorders>
              <w:top w:val="nil"/>
              <w:left w:val="nil"/>
              <w:bottom w:val="nil"/>
              <w:right w:val="nil"/>
            </w:tcBorders>
            <w:shd w:val="clear" w:color="auto" w:fill="auto"/>
            <w:noWrap/>
            <w:vAlign w:val="bottom"/>
            <w:hideMark/>
          </w:tcPr>
          <w:p w14:paraId="3CDACEC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787" w:type="pct"/>
            <w:tcBorders>
              <w:top w:val="nil"/>
              <w:left w:val="nil"/>
              <w:bottom w:val="nil"/>
              <w:right w:val="nil"/>
            </w:tcBorders>
            <w:shd w:val="clear" w:color="auto" w:fill="auto"/>
            <w:noWrap/>
            <w:vAlign w:val="bottom"/>
            <w:hideMark/>
          </w:tcPr>
          <w:p w14:paraId="313B563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77" w:type="pct"/>
            <w:tcBorders>
              <w:top w:val="nil"/>
              <w:left w:val="nil"/>
              <w:bottom w:val="nil"/>
              <w:right w:val="nil"/>
            </w:tcBorders>
            <w:shd w:val="clear" w:color="auto" w:fill="auto"/>
            <w:noWrap/>
            <w:vAlign w:val="bottom"/>
            <w:hideMark/>
          </w:tcPr>
          <w:p w14:paraId="4C67AFC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43</w:t>
            </w:r>
          </w:p>
        </w:tc>
        <w:tc>
          <w:tcPr>
            <w:tcW w:w="2675" w:type="pct"/>
            <w:tcBorders>
              <w:top w:val="nil"/>
              <w:left w:val="nil"/>
              <w:bottom w:val="nil"/>
              <w:right w:val="nil"/>
            </w:tcBorders>
            <w:shd w:val="clear" w:color="auto" w:fill="auto"/>
            <w:noWrap/>
            <w:vAlign w:val="bottom"/>
            <w:hideMark/>
          </w:tcPr>
          <w:p w14:paraId="40D06FA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Hastings</w:t>
            </w:r>
          </w:p>
        </w:tc>
        <w:tc>
          <w:tcPr>
            <w:tcW w:w="173" w:type="pct"/>
            <w:tcBorders>
              <w:top w:val="nil"/>
              <w:left w:val="nil"/>
              <w:bottom w:val="nil"/>
              <w:right w:val="nil"/>
            </w:tcBorders>
            <w:shd w:val="clear" w:color="auto" w:fill="auto"/>
            <w:noWrap/>
            <w:vAlign w:val="bottom"/>
            <w:hideMark/>
          </w:tcPr>
          <w:p w14:paraId="1757BF72"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74A5B27" w14:textId="77777777" w:rsidTr="00927ED5">
        <w:trPr>
          <w:trHeight w:val="57"/>
        </w:trPr>
        <w:tc>
          <w:tcPr>
            <w:tcW w:w="588" w:type="pct"/>
            <w:tcBorders>
              <w:top w:val="nil"/>
              <w:left w:val="nil"/>
              <w:bottom w:val="nil"/>
              <w:right w:val="nil"/>
            </w:tcBorders>
            <w:shd w:val="clear" w:color="auto" w:fill="auto"/>
            <w:noWrap/>
            <w:vAlign w:val="bottom"/>
            <w:hideMark/>
          </w:tcPr>
          <w:p w14:paraId="000B3F5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w:t>
            </w:r>
          </w:p>
        </w:tc>
        <w:tc>
          <w:tcPr>
            <w:tcW w:w="787" w:type="pct"/>
            <w:tcBorders>
              <w:top w:val="nil"/>
              <w:left w:val="nil"/>
              <w:bottom w:val="nil"/>
              <w:right w:val="nil"/>
            </w:tcBorders>
            <w:shd w:val="clear" w:color="auto" w:fill="auto"/>
            <w:noWrap/>
            <w:vAlign w:val="bottom"/>
            <w:hideMark/>
          </w:tcPr>
          <w:p w14:paraId="4A88830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54</w:t>
            </w:r>
          </w:p>
        </w:tc>
        <w:tc>
          <w:tcPr>
            <w:tcW w:w="777" w:type="pct"/>
            <w:tcBorders>
              <w:top w:val="nil"/>
              <w:left w:val="nil"/>
              <w:bottom w:val="nil"/>
              <w:right w:val="nil"/>
            </w:tcBorders>
            <w:shd w:val="clear" w:color="auto" w:fill="auto"/>
            <w:noWrap/>
            <w:vAlign w:val="bottom"/>
            <w:hideMark/>
          </w:tcPr>
          <w:p w14:paraId="7218834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44</w:t>
            </w:r>
          </w:p>
        </w:tc>
        <w:tc>
          <w:tcPr>
            <w:tcW w:w="2675" w:type="pct"/>
            <w:tcBorders>
              <w:top w:val="nil"/>
              <w:left w:val="nil"/>
              <w:bottom w:val="nil"/>
              <w:right w:val="nil"/>
            </w:tcBorders>
            <w:shd w:val="clear" w:color="auto" w:fill="auto"/>
            <w:noWrap/>
            <w:vAlign w:val="bottom"/>
            <w:hideMark/>
          </w:tcPr>
          <w:p w14:paraId="317053E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Taihape</w:t>
            </w:r>
          </w:p>
        </w:tc>
        <w:tc>
          <w:tcPr>
            <w:tcW w:w="173" w:type="pct"/>
            <w:tcBorders>
              <w:top w:val="nil"/>
              <w:left w:val="nil"/>
              <w:bottom w:val="nil"/>
              <w:right w:val="nil"/>
            </w:tcBorders>
            <w:shd w:val="clear" w:color="auto" w:fill="auto"/>
            <w:noWrap/>
            <w:vAlign w:val="bottom"/>
            <w:hideMark/>
          </w:tcPr>
          <w:p w14:paraId="3D50293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6A2F2692" w14:textId="77777777" w:rsidTr="00927ED5">
        <w:trPr>
          <w:trHeight w:val="57"/>
        </w:trPr>
        <w:tc>
          <w:tcPr>
            <w:tcW w:w="588" w:type="pct"/>
            <w:tcBorders>
              <w:top w:val="nil"/>
              <w:left w:val="nil"/>
              <w:bottom w:val="nil"/>
              <w:right w:val="nil"/>
            </w:tcBorders>
            <w:shd w:val="clear" w:color="auto" w:fill="auto"/>
            <w:noWrap/>
            <w:vAlign w:val="bottom"/>
            <w:hideMark/>
          </w:tcPr>
          <w:p w14:paraId="0A97D32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7D8BDC1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22</w:t>
            </w:r>
          </w:p>
        </w:tc>
        <w:tc>
          <w:tcPr>
            <w:tcW w:w="777" w:type="pct"/>
            <w:tcBorders>
              <w:top w:val="nil"/>
              <w:left w:val="nil"/>
              <w:bottom w:val="nil"/>
              <w:right w:val="nil"/>
            </w:tcBorders>
            <w:shd w:val="clear" w:color="auto" w:fill="auto"/>
            <w:noWrap/>
            <w:vAlign w:val="bottom"/>
            <w:hideMark/>
          </w:tcPr>
          <w:p w14:paraId="7987AAF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45</w:t>
            </w:r>
          </w:p>
        </w:tc>
        <w:tc>
          <w:tcPr>
            <w:tcW w:w="2848" w:type="pct"/>
            <w:gridSpan w:val="2"/>
            <w:tcBorders>
              <w:top w:val="nil"/>
              <w:left w:val="nil"/>
              <w:bottom w:val="nil"/>
              <w:right w:val="nil"/>
            </w:tcBorders>
            <w:shd w:val="clear" w:color="auto" w:fill="auto"/>
            <w:noWrap/>
            <w:vAlign w:val="bottom"/>
            <w:hideMark/>
          </w:tcPr>
          <w:p w14:paraId="64B761C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Kapiti Coast</w:t>
            </w:r>
          </w:p>
        </w:tc>
      </w:tr>
      <w:tr w:rsidR="00192E3F" w:rsidRPr="001E66EF" w14:paraId="1CA910C4" w14:textId="77777777" w:rsidTr="00927ED5">
        <w:trPr>
          <w:trHeight w:val="57"/>
        </w:trPr>
        <w:tc>
          <w:tcPr>
            <w:tcW w:w="588" w:type="pct"/>
            <w:tcBorders>
              <w:top w:val="nil"/>
              <w:left w:val="nil"/>
              <w:bottom w:val="nil"/>
              <w:right w:val="nil"/>
            </w:tcBorders>
            <w:shd w:val="clear" w:color="auto" w:fill="auto"/>
            <w:noWrap/>
            <w:vAlign w:val="bottom"/>
            <w:hideMark/>
          </w:tcPr>
          <w:p w14:paraId="2DE7A4F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2AB0E0E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65</w:t>
            </w:r>
          </w:p>
        </w:tc>
        <w:tc>
          <w:tcPr>
            <w:tcW w:w="777" w:type="pct"/>
            <w:tcBorders>
              <w:top w:val="nil"/>
              <w:left w:val="nil"/>
              <w:bottom w:val="nil"/>
              <w:right w:val="nil"/>
            </w:tcBorders>
            <w:shd w:val="clear" w:color="auto" w:fill="auto"/>
            <w:noWrap/>
            <w:vAlign w:val="bottom"/>
            <w:hideMark/>
          </w:tcPr>
          <w:p w14:paraId="5EB13F8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46</w:t>
            </w:r>
          </w:p>
        </w:tc>
        <w:tc>
          <w:tcPr>
            <w:tcW w:w="2848" w:type="pct"/>
            <w:gridSpan w:val="2"/>
            <w:tcBorders>
              <w:top w:val="nil"/>
              <w:left w:val="nil"/>
              <w:bottom w:val="nil"/>
              <w:right w:val="nil"/>
            </w:tcBorders>
            <w:shd w:val="clear" w:color="auto" w:fill="auto"/>
            <w:noWrap/>
            <w:vAlign w:val="bottom"/>
            <w:hideMark/>
          </w:tcPr>
          <w:p w14:paraId="50DF2C0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Upper Hutt</w:t>
            </w:r>
          </w:p>
        </w:tc>
      </w:tr>
      <w:tr w:rsidR="00192E3F" w:rsidRPr="001E66EF" w14:paraId="3BD828C4" w14:textId="77777777" w:rsidTr="00927ED5">
        <w:trPr>
          <w:trHeight w:val="57"/>
        </w:trPr>
        <w:tc>
          <w:tcPr>
            <w:tcW w:w="588" w:type="pct"/>
            <w:tcBorders>
              <w:top w:val="nil"/>
              <w:left w:val="nil"/>
              <w:bottom w:val="nil"/>
              <w:right w:val="nil"/>
            </w:tcBorders>
            <w:shd w:val="clear" w:color="auto" w:fill="auto"/>
            <w:noWrap/>
            <w:vAlign w:val="bottom"/>
            <w:hideMark/>
          </w:tcPr>
          <w:p w14:paraId="1CF4EB3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7AF0B02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27</w:t>
            </w:r>
          </w:p>
        </w:tc>
        <w:tc>
          <w:tcPr>
            <w:tcW w:w="777" w:type="pct"/>
            <w:tcBorders>
              <w:top w:val="nil"/>
              <w:left w:val="nil"/>
              <w:bottom w:val="nil"/>
              <w:right w:val="nil"/>
            </w:tcBorders>
            <w:shd w:val="clear" w:color="auto" w:fill="auto"/>
            <w:noWrap/>
            <w:vAlign w:val="bottom"/>
            <w:hideMark/>
          </w:tcPr>
          <w:p w14:paraId="7EA2250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47</w:t>
            </w:r>
          </w:p>
        </w:tc>
        <w:tc>
          <w:tcPr>
            <w:tcW w:w="2848" w:type="pct"/>
            <w:gridSpan w:val="2"/>
            <w:tcBorders>
              <w:top w:val="nil"/>
              <w:left w:val="nil"/>
              <w:bottom w:val="nil"/>
              <w:right w:val="nil"/>
            </w:tcBorders>
            <w:shd w:val="clear" w:color="auto" w:fill="auto"/>
            <w:noWrap/>
            <w:vAlign w:val="bottom"/>
            <w:hideMark/>
          </w:tcPr>
          <w:p w14:paraId="2D73503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Lower Hutt</w:t>
            </w:r>
          </w:p>
        </w:tc>
      </w:tr>
      <w:tr w:rsidR="00192E3F" w:rsidRPr="001E66EF" w14:paraId="67DDCE2F" w14:textId="77777777" w:rsidTr="00927ED5">
        <w:trPr>
          <w:trHeight w:val="57"/>
        </w:trPr>
        <w:tc>
          <w:tcPr>
            <w:tcW w:w="588" w:type="pct"/>
            <w:tcBorders>
              <w:top w:val="nil"/>
              <w:left w:val="nil"/>
              <w:bottom w:val="nil"/>
              <w:right w:val="nil"/>
            </w:tcBorders>
            <w:shd w:val="clear" w:color="auto" w:fill="auto"/>
            <w:noWrap/>
            <w:vAlign w:val="bottom"/>
            <w:hideMark/>
          </w:tcPr>
          <w:p w14:paraId="6EA0AD2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2520D6F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43</w:t>
            </w:r>
          </w:p>
        </w:tc>
        <w:tc>
          <w:tcPr>
            <w:tcW w:w="777" w:type="pct"/>
            <w:tcBorders>
              <w:top w:val="nil"/>
              <w:left w:val="nil"/>
              <w:bottom w:val="nil"/>
              <w:right w:val="nil"/>
            </w:tcBorders>
            <w:shd w:val="clear" w:color="auto" w:fill="auto"/>
            <w:noWrap/>
            <w:vAlign w:val="bottom"/>
            <w:hideMark/>
          </w:tcPr>
          <w:p w14:paraId="77E2A08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48</w:t>
            </w:r>
          </w:p>
        </w:tc>
        <w:tc>
          <w:tcPr>
            <w:tcW w:w="2675" w:type="pct"/>
            <w:tcBorders>
              <w:top w:val="nil"/>
              <w:left w:val="nil"/>
              <w:bottom w:val="nil"/>
              <w:right w:val="nil"/>
            </w:tcBorders>
            <w:shd w:val="clear" w:color="auto" w:fill="auto"/>
            <w:noWrap/>
            <w:vAlign w:val="bottom"/>
            <w:hideMark/>
          </w:tcPr>
          <w:p w14:paraId="4C3672F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Porirua</w:t>
            </w:r>
          </w:p>
        </w:tc>
        <w:tc>
          <w:tcPr>
            <w:tcW w:w="173" w:type="pct"/>
            <w:tcBorders>
              <w:top w:val="nil"/>
              <w:left w:val="nil"/>
              <w:bottom w:val="nil"/>
              <w:right w:val="nil"/>
            </w:tcBorders>
            <w:shd w:val="clear" w:color="auto" w:fill="auto"/>
            <w:noWrap/>
            <w:vAlign w:val="bottom"/>
            <w:hideMark/>
          </w:tcPr>
          <w:p w14:paraId="5FE4CEC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538DAC85" w14:textId="77777777" w:rsidTr="00927ED5">
        <w:trPr>
          <w:trHeight w:val="57"/>
        </w:trPr>
        <w:tc>
          <w:tcPr>
            <w:tcW w:w="588" w:type="pct"/>
            <w:tcBorders>
              <w:top w:val="nil"/>
              <w:left w:val="nil"/>
              <w:bottom w:val="nil"/>
              <w:right w:val="nil"/>
            </w:tcBorders>
            <w:shd w:val="clear" w:color="auto" w:fill="auto"/>
            <w:noWrap/>
            <w:vAlign w:val="bottom"/>
            <w:hideMark/>
          </w:tcPr>
          <w:p w14:paraId="433BC0C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665EAA9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69</w:t>
            </w:r>
          </w:p>
        </w:tc>
        <w:tc>
          <w:tcPr>
            <w:tcW w:w="777" w:type="pct"/>
            <w:tcBorders>
              <w:top w:val="nil"/>
              <w:left w:val="nil"/>
              <w:bottom w:val="nil"/>
              <w:right w:val="nil"/>
            </w:tcBorders>
            <w:shd w:val="clear" w:color="auto" w:fill="auto"/>
            <w:noWrap/>
            <w:vAlign w:val="bottom"/>
            <w:hideMark/>
          </w:tcPr>
          <w:p w14:paraId="58C3541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49</w:t>
            </w:r>
          </w:p>
        </w:tc>
        <w:tc>
          <w:tcPr>
            <w:tcW w:w="2848" w:type="pct"/>
            <w:gridSpan w:val="2"/>
            <w:tcBorders>
              <w:top w:val="nil"/>
              <w:left w:val="nil"/>
              <w:bottom w:val="nil"/>
              <w:right w:val="nil"/>
            </w:tcBorders>
            <w:shd w:val="clear" w:color="auto" w:fill="auto"/>
            <w:noWrap/>
            <w:vAlign w:val="bottom"/>
            <w:hideMark/>
          </w:tcPr>
          <w:p w14:paraId="587D21F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Wainuiomata</w:t>
            </w:r>
          </w:p>
        </w:tc>
      </w:tr>
      <w:tr w:rsidR="00192E3F" w:rsidRPr="001E66EF" w14:paraId="26103FE9" w14:textId="77777777" w:rsidTr="00927ED5">
        <w:trPr>
          <w:trHeight w:val="57"/>
        </w:trPr>
        <w:tc>
          <w:tcPr>
            <w:tcW w:w="588" w:type="pct"/>
            <w:tcBorders>
              <w:top w:val="nil"/>
              <w:left w:val="nil"/>
              <w:bottom w:val="nil"/>
              <w:right w:val="nil"/>
            </w:tcBorders>
            <w:shd w:val="clear" w:color="auto" w:fill="auto"/>
            <w:noWrap/>
            <w:vAlign w:val="bottom"/>
            <w:hideMark/>
          </w:tcPr>
          <w:p w14:paraId="7D203A5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586AF52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74</w:t>
            </w:r>
          </w:p>
        </w:tc>
        <w:tc>
          <w:tcPr>
            <w:tcW w:w="777" w:type="pct"/>
            <w:tcBorders>
              <w:top w:val="nil"/>
              <w:left w:val="nil"/>
              <w:bottom w:val="nil"/>
              <w:right w:val="nil"/>
            </w:tcBorders>
            <w:shd w:val="clear" w:color="auto" w:fill="auto"/>
            <w:noWrap/>
            <w:vAlign w:val="bottom"/>
            <w:hideMark/>
          </w:tcPr>
          <w:p w14:paraId="1A4B68A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50</w:t>
            </w:r>
          </w:p>
        </w:tc>
        <w:tc>
          <w:tcPr>
            <w:tcW w:w="2848" w:type="pct"/>
            <w:gridSpan w:val="2"/>
            <w:tcBorders>
              <w:top w:val="nil"/>
              <w:left w:val="nil"/>
              <w:bottom w:val="nil"/>
              <w:right w:val="nil"/>
            </w:tcBorders>
            <w:shd w:val="clear" w:color="auto" w:fill="auto"/>
            <w:noWrap/>
            <w:vAlign w:val="bottom"/>
            <w:hideMark/>
          </w:tcPr>
          <w:p w14:paraId="59FBA5B0"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Wellington City</w:t>
            </w:r>
          </w:p>
        </w:tc>
      </w:tr>
      <w:tr w:rsidR="00192E3F" w:rsidRPr="001E66EF" w14:paraId="44F744E3" w14:textId="77777777" w:rsidTr="00927ED5">
        <w:trPr>
          <w:trHeight w:val="57"/>
        </w:trPr>
        <w:tc>
          <w:tcPr>
            <w:tcW w:w="588" w:type="pct"/>
            <w:tcBorders>
              <w:top w:val="nil"/>
              <w:left w:val="nil"/>
              <w:bottom w:val="nil"/>
              <w:right w:val="nil"/>
            </w:tcBorders>
            <w:shd w:val="clear" w:color="auto" w:fill="auto"/>
            <w:noWrap/>
            <w:vAlign w:val="bottom"/>
            <w:hideMark/>
          </w:tcPr>
          <w:p w14:paraId="5870817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6F24B34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23</w:t>
            </w:r>
          </w:p>
        </w:tc>
        <w:tc>
          <w:tcPr>
            <w:tcW w:w="777" w:type="pct"/>
            <w:tcBorders>
              <w:top w:val="nil"/>
              <w:left w:val="nil"/>
              <w:bottom w:val="nil"/>
              <w:right w:val="nil"/>
            </w:tcBorders>
            <w:shd w:val="clear" w:color="auto" w:fill="auto"/>
            <w:noWrap/>
            <w:vAlign w:val="bottom"/>
            <w:hideMark/>
          </w:tcPr>
          <w:p w14:paraId="6DFEE2A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51</w:t>
            </w:r>
          </w:p>
        </w:tc>
        <w:tc>
          <w:tcPr>
            <w:tcW w:w="2675" w:type="pct"/>
            <w:tcBorders>
              <w:top w:val="nil"/>
              <w:left w:val="nil"/>
              <w:bottom w:val="nil"/>
              <w:right w:val="nil"/>
            </w:tcBorders>
            <w:shd w:val="clear" w:color="auto" w:fill="auto"/>
            <w:noWrap/>
            <w:vAlign w:val="bottom"/>
            <w:hideMark/>
          </w:tcPr>
          <w:p w14:paraId="664A8A5E"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Karori</w:t>
            </w:r>
          </w:p>
        </w:tc>
        <w:tc>
          <w:tcPr>
            <w:tcW w:w="173" w:type="pct"/>
            <w:tcBorders>
              <w:top w:val="nil"/>
              <w:left w:val="nil"/>
              <w:bottom w:val="nil"/>
              <w:right w:val="nil"/>
            </w:tcBorders>
            <w:shd w:val="clear" w:color="auto" w:fill="auto"/>
            <w:noWrap/>
            <w:vAlign w:val="bottom"/>
            <w:hideMark/>
          </w:tcPr>
          <w:p w14:paraId="54AB26A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15F58496" w14:textId="77777777" w:rsidTr="00927ED5">
        <w:trPr>
          <w:trHeight w:val="57"/>
        </w:trPr>
        <w:tc>
          <w:tcPr>
            <w:tcW w:w="588" w:type="pct"/>
            <w:tcBorders>
              <w:top w:val="nil"/>
              <w:left w:val="nil"/>
              <w:bottom w:val="nil"/>
              <w:right w:val="nil"/>
            </w:tcBorders>
            <w:shd w:val="clear" w:color="auto" w:fill="auto"/>
            <w:noWrap/>
            <w:vAlign w:val="bottom"/>
            <w:hideMark/>
          </w:tcPr>
          <w:p w14:paraId="5D1A9F5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615FB58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70</w:t>
            </w:r>
          </w:p>
        </w:tc>
        <w:tc>
          <w:tcPr>
            <w:tcW w:w="777" w:type="pct"/>
            <w:tcBorders>
              <w:top w:val="nil"/>
              <w:left w:val="nil"/>
              <w:bottom w:val="nil"/>
              <w:right w:val="nil"/>
            </w:tcBorders>
            <w:shd w:val="clear" w:color="auto" w:fill="auto"/>
            <w:noWrap/>
            <w:vAlign w:val="bottom"/>
            <w:hideMark/>
          </w:tcPr>
          <w:p w14:paraId="2FC2FB1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52</w:t>
            </w:r>
          </w:p>
        </w:tc>
        <w:tc>
          <w:tcPr>
            <w:tcW w:w="2848" w:type="pct"/>
            <w:gridSpan w:val="2"/>
            <w:tcBorders>
              <w:top w:val="nil"/>
              <w:left w:val="nil"/>
              <w:bottom w:val="nil"/>
              <w:right w:val="nil"/>
            </w:tcBorders>
            <w:shd w:val="clear" w:color="auto" w:fill="auto"/>
            <w:noWrap/>
            <w:vAlign w:val="bottom"/>
            <w:hideMark/>
          </w:tcPr>
          <w:p w14:paraId="66278A67"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Wairarapa</w:t>
            </w:r>
          </w:p>
        </w:tc>
      </w:tr>
      <w:tr w:rsidR="00192E3F" w:rsidRPr="001E66EF" w14:paraId="2C350F7C" w14:textId="77777777" w:rsidTr="00927ED5">
        <w:trPr>
          <w:trHeight w:val="57"/>
        </w:trPr>
        <w:tc>
          <w:tcPr>
            <w:tcW w:w="588" w:type="pct"/>
            <w:tcBorders>
              <w:top w:val="nil"/>
              <w:left w:val="nil"/>
              <w:bottom w:val="nil"/>
              <w:right w:val="nil"/>
            </w:tcBorders>
            <w:shd w:val="clear" w:color="auto" w:fill="auto"/>
            <w:noWrap/>
            <w:vAlign w:val="bottom"/>
            <w:hideMark/>
          </w:tcPr>
          <w:p w14:paraId="06EC28F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18</w:t>
            </w:r>
          </w:p>
        </w:tc>
        <w:tc>
          <w:tcPr>
            <w:tcW w:w="787" w:type="pct"/>
            <w:tcBorders>
              <w:top w:val="nil"/>
              <w:left w:val="nil"/>
              <w:bottom w:val="nil"/>
              <w:right w:val="nil"/>
            </w:tcBorders>
            <w:shd w:val="clear" w:color="auto" w:fill="auto"/>
            <w:noWrap/>
            <w:vAlign w:val="bottom"/>
            <w:hideMark/>
          </w:tcPr>
          <w:p w14:paraId="2CEB4CB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777" w:type="pct"/>
            <w:tcBorders>
              <w:top w:val="nil"/>
              <w:left w:val="nil"/>
              <w:bottom w:val="nil"/>
              <w:right w:val="nil"/>
            </w:tcBorders>
            <w:shd w:val="clear" w:color="auto" w:fill="auto"/>
            <w:noWrap/>
            <w:vAlign w:val="bottom"/>
            <w:hideMark/>
          </w:tcPr>
          <w:p w14:paraId="59EBC86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53</w:t>
            </w:r>
          </w:p>
        </w:tc>
        <w:tc>
          <w:tcPr>
            <w:tcW w:w="2848" w:type="pct"/>
            <w:gridSpan w:val="2"/>
            <w:tcBorders>
              <w:top w:val="nil"/>
              <w:left w:val="nil"/>
              <w:bottom w:val="nil"/>
              <w:right w:val="nil"/>
            </w:tcBorders>
            <w:shd w:val="clear" w:color="auto" w:fill="auto"/>
            <w:noWrap/>
            <w:vAlign w:val="bottom"/>
            <w:hideMark/>
          </w:tcPr>
          <w:p w14:paraId="4574C84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Blenheim</w:t>
            </w:r>
          </w:p>
        </w:tc>
      </w:tr>
      <w:tr w:rsidR="00192E3F" w:rsidRPr="001E66EF" w14:paraId="08A2F721" w14:textId="77777777" w:rsidTr="00927ED5">
        <w:trPr>
          <w:trHeight w:val="57"/>
        </w:trPr>
        <w:tc>
          <w:tcPr>
            <w:tcW w:w="588" w:type="pct"/>
            <w:tcBorders>
              <w:top w:val="nil"/>
              <w:left w:val="nil"/>
              <w:bottom w:val="nil"/>
              <w:right w:val="nil"/>
            </w:tcBorders>
            <w:shd w:val="clear" w:color="auto" w:fill="auto"/>
            <w:noWrap/>
            <w:vAlign w:val="bottom"/>
            <w:hideMark/>
          </w:tcPr>
          <w:p w14:paraId="0A9FD5E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787" w:type="pct"/>
            <w:tcBorders>
              <w:top w:val="nil"/>
              <w:left w:val="nil"/>
              <w:bottom w:val="nil"/>
              <w:right w:val="nil"/>
            </w:tcBorders>
            <w:shd w:val="clear" w:color="auto" w:fill="auto"/>
            <w:noWrap/>
            <w:vAlign w:val="bottom"/>
            <w:hideMark/>
          </w:tcPr>
          <w:p w14:paraId="30DDA7D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34</w:t>
            </w:r>
          </w:p>
        </w:tc>
        <w:tc>
          <w:tcPr>
            <w:tcW w:w="777" w:type="pct"/>
            <w:tcBorders>
              <w:top w:val="nil"/>
              <w:left w:val="nil"/>
              <w:bottom w:val="nil"/>
              <w:right w:val="nil"/>
            </w:tcBorders>
            <w:shd w:val="clear" w:color="auto" w:fill="auto"/>
            <w:noWrap/>
            <w:vAlign w:val="bottom"/>
            <w:hideMark/>
          </w:tcPr>
          <w:p w14:paraId="427C509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54</w:t>
            </w:r>
          </w:p>
        </w:tc>
        <w:tc>
          <w:tcPr>
            <w:tcW w:w="2675" w:type="pct"/>
            <w:tcBorders>
              <w:top w:val="nil"/>
              <w:left w:val="nil"/>
              <w:bottom w:val="nil"/>
              <w:right w:val="nil"/>
            </w:tcBorders>
            <w:shd w:val="clear" w:color="auto" w:fill="auto"/>
            <w:noWrap/>
            <w:vAlign w:val="bottom"/>
            <w:hideMark/>
          </w:tcPr>
          <w:p w14:paraId="362CDC98"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Nelson C</w:t>
            </w:r>
          </w:p>
        </w:tc>
        <w:tc>
          <w:tcPr>
            <w:tcW w:w="173" w:type="pct"/>
            <w:tcBorders>
              <w:top w:val="nil"/>
              <w:left w:val="nil"/>
              <w:bottom w:val="nil"/>
              <w:right w:val="nil"/>
            </w:tcBorders>
            <w:shd w:val="clear" w:color="auto" w:fill="auto"/>
            <w:noWrap/>
            <w:vAlign w:val="bottom"/>
            <w:hideMark/>
          </w:tcPr>
          <w:p w14:paraId="721772F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6542DF81" w14:textId="77777777" w:rsidTr="00927ED5">
        <w:trPr>
          <w:trHeight w:val="57"/>
        </w:trPr>
        <w:tc>
          <w:tcPr>
            <w:tcW w:w="588" w:type="pct"/>
            <w:tcBorders>
              <w:top w:val="nil"/>
              <w:left w:val="nil"/>
              <w:bottom w:val="nil"/>
              <w:right w:val="nil"/>
            </w:tcBorders>
            <w:shd w:val="clear" w:color="auto" w:fill="auto"/>
            <w:noWrap/>
            <w:vAlign w:val="bottom"/>
            <w:hideMark/>
          </w:tcPr>
          <w:p w14:paraId="6EEF6ED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787" w:type="pct"/>
            <w:tcBorders>
              <w:top w:val="nil"/>
              <w:left w:val="nil"/>
              <w:bottom w:val="nil"/>
              <w:right w:val="nil"/>
            </w:tcBorders>
            <w:shd w:val="clear" w:color="auto" w:fill="auto"/>
            <w:noWrap/>
            <w:vAlign w:val="bottom"/>
            <w:hideMark/>
          </w:tcPr>
          <w:p w14:paraId="727C6E1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32</w:t>
            </w:r>
          </w:p>
        </w:tc>
        <w:tc>
          <w:tcPr>
            <w:tcW w:w="777" w:type="pct"/>
            <w:tcBorders>
              <w:top w:val="nil"/>
              <w:left w:val="nil"/>
              <w:bottom w:val="nil"/>
              <w:right w:val="nil"/>
            </w:tcBorders>
            <w:shd w:val="clear" w:color="auto" w:fill="auto"/>
            <w:noWrap/>
            <w:vAlign w:val="bottom"/>
            <w:hideMark/>
          </w:tcPr>
          <w:p w14:paraId="2A97907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55</w:t>
            </w:r>
          </w:p>
        </w:tc>
        <w:tc>
          <w:tcPr>
            <w:tcW w:w="2675" w:type="pct"/>
            <w:tcBorders>
              <w:top w:val="nil"/>
              <w:left w:val="nil"/>
              <w:bottom w:val="nil"/>
              <w:right w:val="nil"/>
            </w:tcBorders>
            <w:shd w:val="clear" w:color="auto" w:fill="auto"/>
            <w:noWrap/>
            <w:vAlign w:val="bottom"/>
            <w:hideMark/>
          </w:tcPr>
          <w:p w14:paraId="138DFCA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Nelson A</w:t>
            </w:r>
          </w:p>
        </w:tc>
        <w:tc>
          <w:tcPr>
            <w:tcW w:w="173" w:type="pct"/>
            <w:tcBorders>
              <w:top w:val="nil"/>
              <w:left w:val="nil"/>
              <w:bottom w:val="nil"/>
              <w:right w:val="nil"/>
            </w:tcBorders>
            <w:shd w:val="clear" w:color="auto" w:fill="auto"/>
            <w:noWrap/>
            <w:vAlign w:val="bottom"/>
            <w:hideMark/>
          </w:tcPr>
          <w:p w14:paraId="49232B5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5B3FCDD3" w14:textId="77777777" w:rsidTr="00927ED5">
        <w:trPr>
          <w:trHeight w:val="57"/>
        </w:trPr>
        <w:tc>
          <w:tcPr>
            <w:tcW w:w="588" w:type="pct"/>
            <w:tcBorders>
              <w:top w:val="nil"/>
              <w:left w:val="nil"/>
              <w:bottom w:val="nil"/>
              <w:right w:val="nil"/>
            </w:tcBorders>
            <w:shd w:val="clear" w:color="auto" w:fill="auto"/>
            <w:noWrap/>
            <w:vAlign w:val="bottom"/>
            <w:hideMark/>
          </w:tcPr>
          <w:p w14:paraId="5185407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787" w:type="pct"/>
            <w:tcBorders>
              <w:top w:val="nil"/>
              <w:left w:val="nil"/>
              <w:bottom w:val="nil"/>
              <w:right w:val="nil"/>
            </w:tcBorders>
            <w:shd w:val="clear" w:color="auto" w:fill="auto"/>
            <w:noWrap/>
            <w:vAlign w:val="bottom"/>
            <w:hideMark/>
          </w:tcPr>
          <w:p w14:paraId="0006DE9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33</w:t>
            </w:r>
          </w:p>
        </w:tc>
        <w:tc>
          <w:tcPr>
            <w:tcW w:w="777" w:type="pct"/>
            <w:tcBorders>
              <w:top w:val="nil"/>
              <w:left w:val="nil"/>
              <w:bottom w:val="nil"/>
              <w:right w:val="nil"/>
            </w:tcBorders>
            <w:shd w:val="clear" w:color="auto" w:fill="auto"/>
            <w:noWrap/>
            <w:vAlign w:val="bottom"/>
            <w:hideMark/>
          </w:tcPr>
          <w:p w14:paraId="2295F3A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56</w:t>
            </w:r>
          </w:p>
        </w:tc>
        <w:tc>
          <w:tcPr>
            <w:tcW w:w="2675" w:type="pct"/>
            <w:tcBorders>
              <w:top w:val="nil"/>
              <w:left w:val="nil"/>
              <w:bottom w:val="nil"/>
              <w:right w:val="nil"/>
            </w:tcBorders>
            <w:shd w:val="clear" w:color="auto" w:fill="auto"/>
            <w:noWrap/>
            <w:vAlign w:val="bottom"/>
            <w:hideMark/>
          </w:tcPr>
          <w:p w14:paraId="6DB18C0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Nelson B</w:t>
            </w:r>
          </w:p>
        </w:tc>
        <w:tc>
          <w:tcPr>
            <w:tcW w:w="173" w:type="pct"/>
            <w:tcBorders>
              <w:top w:val="nil"/>
              <w:left w:val="nil"/>
              <w:bottom w:val="nil"/>
              <w:right w:val="nil"/>
            </w:tcBorders>
            <w:shd w:val="clear" w:color="auto" w:fill="auto"/>
            <w:noWrap/>
            <w:vAlign w:val="bottom"/>
            <w:hideMark/>
          </w:tcPr>
          <w:p w14:paraId="4F5717F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256329CD" w14:textId="77777777" w:rsidTr="00927ED5">
        <w:trPr>
          <w:trHeight w:val="57"/>
        </w:trPr>
        <w:tc>
          <w:tcPr>
            <w:tcW w:w="588" w:type="pct"/>
            <w:tcBorders>
              <w:top w:val="nil"/>
              <w:left w:val="nil"/>
              <w:bottom w:val="nil"/>
              <w:right w:val="nil"/>
            </w:tcBorders>
            <w:shd w:val="clear" w:color="auto" w:fill="auto"/>
            <w:noWrap/>
            <w:vAlign w:val="bottom"/>
            <w:hideMark/>
          </w:tcPr>
          <w:p w14:paraId="39C8091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16</w:t>
            </w:r>
          </w:p>
        </w:tc>
        <w:tc>
          <w:tcPr>
            <w:tcW w:w="787" w:type="pct"/>
            <w:tcBorders>
              <w:top w:val="nil"/>
              <w:left w:val="nil"/>
              <w:bottom w:val="nil"/>
              <w:right w:val="nil"/>
            </w:tcBorders>
            <w:shd w:val="clear" w:color="auto" w:fill="auto"/>
            <w:noWrap/>
            <w:vAlign w:val="bottom"/>
            <w:hideMark/>
          </w:tcPr>
          <w:p w14:paraId="4A11B7B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49</w:t>
            </w:r>
          </w:p>
        </w:tc>
        <w:tc>
          <w:tcPr>
            <w:tcW w:w="777" w:type="pct"/>
            <w:tcBorders>
              <w:top w:val="nil"/>
              <w:left w:val="nil"/>
              <w:bottom w:val="nil"/>
              <w:right w:val="nil"/>
            </w:tcBorders>
            <w:shd w:val="clear" w:color="auto" w:fill="auto"/>
            <w:noWrap/>
            <w:vAlign w:val="bottom"/>
            <w:hideMark/>
          </w:tcPr>
          <w:p w14:paraId="24C17A5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57</w:t>
            </w:r>
          </w:p>
        </w:tc>
        <w:tc>
          <w:tcPr>
            <w:tcW w:w="2848" w:type="pct"/>
            <w:gridSpan w:val="2"/>
            <w:tcBorders>
              <w:top w:val="nil"/>
              <w:left w:val="nil"/>
              <w:bottom w:val="nil"/>
              <w:right w:val="nil"/>
            </w:tcBorders>
            <w:shd w:val="clear" w:color="auto" w:fill="auto"/>
            <w:noWrap/>
            <w:vAlign w:val="bottom"/>
            <w:hideMark/>
          </w:tcPr>
          <w:p w14:paraId="2D8012E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Richmond</w:t>
            </w:r>
          </w:p>
        </w:tc>
      </w:tr>
      <w:tr w:rsidR="00192E3F" w:rsidRPr="001E66EF" w14:paraId="0ADE7674" w14:textId="77777777" w:rsidTr="00927ED5">
        <w:trPr>
          <w:trHeight w:val="57"/>
        </w:trPr>
        <w:tc>
          <w:tcPr>
            <w:tcW w:w="588" w:type="pct"/>
            <w:tcBorders>
              <w:top w:val="nil"/>
              <w:left w:val="nil"/>
              <w:bottom w:val="nil"/>
              <w:right w:val="nil"/>
            </w:tcBorders>
            <w:shd w:val="clear" w:color="auto" w:fill="auto"/>
            <w:noWrap/>
            <w:vAlign w:val="bottom"/>
            <w:hideMark/>
          </w:tcPr>
          <w:p w14:paraId="6847622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12</w:t>
            </w:r>
          </w:p>
        </w:tc>
        <w:tc>
          <w:tcPr>
            <w:tcW w:w="787" w:type="pct"/>
            <w:tcBorders>
              <w:top w:val="nil"/>
              <w:left w:val="nil"/>
              <w:bottom w:val="nil"/>
              <w:right w:val="nil"/>
            </w:tcBorders>
            <w:shd w:val="clear" w:color="auto" w:fill="auto"/>
            <w:noWrap/>
            <w:vAlign w:val="bottom"/>
            <w:hideMark/>
          </w:tcPr>
          <w:p w14:paraId="158E6E3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48</w:t>
            </w:r>
          </w:p>
        </w:tc>
        <w:tc>
          <w:tcPr>
            <w:tcW w:w="777" w:type="pct"/>
            <w:tcBorders>
              <w:top w:val="nil"/>
              <w:left w:val="nil"/>
              <w:bottom w:val="nil"/>
              <w:right w:val="nil"/>
            </w:tcBorders>
            <w:shd w:val="clear" w:color="auto" w:fill="auto"/>
            <w:noWrap/>
            <w:vAlign w:val="bottom"/>
            <w:hideMark/>
          </w:tcPr>
          <w:p w14:paraId="1426A58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58</w:t>
            </w:r>
          </w:p>
        </w:tc>
        <w:tc>
          <w:tcPr>
            <w:tcW w:w="2675" w:type="pct"/>
            <w:tcBorders>
              <w:top w:val="nil"/>
              <w:left w:val="nil"/>
              <w:bottom w:val="nil"/>
              <w:right w:val="nil"/>
            </w:tcBorders>
            <w:shd w:val="clear" w:color="auto" w:fill="auto"/>
            <w:noWrap/>
            <w:vAlign w:val="bottom"/>
            <w:hideMark/>
          </w:tcPr>
          <w:p w14:paraId="29A8B6F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Reefton</w:t>
            </w:r>
          </w:p>
        </w:tc>
        <w:tc>
          <w:tcPr>
            <w:tcW w:w="173" w:type="pct"/>
            <w:tcBorders>
              <w:top w:val="nil"/>
              <w:left w:val="nil"/>
              <w:bottom w:val="nil"/>
              <w:right w:val="nil"/>
            </w:tcBorders>
            <w:shd w:val="clear" w:color="auto" w:fill="auto"/>
            <w:noWrap/>
            <w:vAlign w:val="bottom"/>
            <w:hideMark/>
          </w:tcPr>
          <w:p w14:paraId="4880A8F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51241EEB" w14:textId="77777777" w:rsidTr="00927ED5">
        <w:trPr>
          <w:trHeight w:val="57"/>
        </w:trPr>
        <w:tc>
          <w:tcPr>
            <w:tcW w:w="588" w:type="pct"/>
            <w:tcBorders>
              <w:top w:val="nil"/>
              <w:left w:val="nil"/>
              <w:bottom w:val="nil"/>
              <w:right w:val="nil"/>
            </w:tcBorders>
            <w:shd w:val="clear" w:color="auto" w:fill="auto"/>
            <w:noWrap/>
            <w:vAlign w:val="bottom"/>
            <w:hideMark/>
          </w:tcPr>
          <w:p w14:paraId="1373038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3E5A2AA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47</w:t>
            </w:r>
          </w:p>
        </w:tc>
        <w:tc>
          <w:tcPr>
            <w:tcW w:w="777" w:type="pct"/>
            <w:tcBorders>
              <w:top w:val="nil"/>
              <w:left w:val="nil"/>
              <w:bottom w:val="nil"/>
              <w:right w:val="nil"/>
            </w:tcBorders>
            <w:shd w:val="clear" w:color="auto" w:fill="auto"/>
            <w:noWrap/>
            <w:vAlign w:val="bottom"/>
            <w:hideMark/>
          </w:tcPr>
          <w:p w14:paraId="24232AC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59</w:t>
            </w:r>
          </w:p>
        </w:tc>
        <w:tc>
          <w:tcPr>
            <w:tcW w:w="2848" w:type="pct"/>
            <w:gridSpan w:val="2"/>
            <w:tcBorders>
              <w:top w:val="nil"/>
              <w:left w:val="nil"/>
              <w:bottom w:val="nil"/>
              <w:right w:val="nil"/>
            </w:tcBorders>
            <w:shd w:val="clear" w:color="auto" w:fill="auto"/>
            <w:noWrap/>
            <w:vAlign w:val="bottom"/>
            <w:hideMark/>
          </w:tcPr>
          <w:p w14:paraId="742BD8A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Rangiora Airshed</w:t>
            </w:r>
          </w:p>
        </w:tc>
      </w:tr>
      <w:tr w:rsidR="00192E3F" w:rsidRPr="001E66EF" w14:paraId="5F6218C3" w14:textId="77777777" w:rsidTr="00927ED5">
        <w:trPr>
          <w:trHeight w:val="57"/>
        </w:trPr>
        <w:tc>
          <w:tcPr>
            <w:tcW w:w="588" w:type="pct"/>
            <w:tcBorders>
              <w:top w:val="nil"/>
              <w:left w:val="nil"/>
              <w:bottom w:val="nil"/>
              <w:right w:val="nil"/>
            </w:tcBorders>
            <w:shd w:val="clear" w:color="auto" w:fill="auto"/>
            <w:noWrap/>
            <w:vAlign w:val="bottom"/>
            <w:hideMark/>
          </w:tcPr>
          <w:p w14:paraId="71C2EE8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5E45334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20</w:t>
            </w:r>
          </w:p>
        </w:tc>
        <w:tc>
          <w:tcPr>
            <w:tcW w:w="777" w:type="pct"/>
            <w:tcBorders>
              <w:top w:val="nil"/>
              <w:left w:val="nil"/>
              <w:bottom w:val="nil"/>
              <w:right w:val="nil"/>
            </w:tcBorders>
            <w:shd w:val="clear" w:color="auto" w:fill="auto"/>
            <w:noWrap/>
            <w:vAlign w:val="bottom"/>
            <w:hideMark/>
          </w:tcPr>
          <w:p w14:paraId="1FCD891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60</w:t>
            </w:r>
          </w:p>
        </w:tc>
        <w:tc>
          <w:tcPr>
            <w:tcW w:w="2848" w:type="pct"/>
            <w:gridSpan w:val="2"/>
            <w:tcBorders>
              <w:top w:val="nil"/>
              <w:left w:val="nil"/>
              <w:bottom w:val="nil"/>
              <w:right w:val="nil"/>
            </w:tcBorders>
            <w:shd w:val="clear" w:color="auto" w:fill="auto"/>
            <w:noWrap/>
            <w:vAlign w:val="bottom"/>
            <w:hideMark/>
          </w:tcPr>
          <w:p w14:paraId="2B11A7E0"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Kaiapoi Airshed</w:t>
            </w:r>
          </w:p>
        </w:tc>
      </w:tr>
      <w:tr w:rsidR="00192E3F" w:rsidRPr="001E66EF" w14:paraId="61778C7B" w14:textId="77777777" w:rsidTr="00927ED5">
        <w:trPr>
          <w:trHeight w:val="57"/>
        </w:trPr>
        <w:tc>
          <w:tcPr>
            <w:tcW w:w="588" w:type="pct"/>
            <w:tcBorders>
              <w:top w:val="nil"/>
              <w:left w:val="nil"/>
              <w:bottom w:val="nil"/>
              <w:right w:val="nil"/>
            </w:tcBorders>
            <w:shd w:val="clear" w:color="auto" w:fill="auto"/>
            <w:noWrap/>
            <w:vAlign w:val="bottom"/>
            <w:hideMark/>
          </w:tcPr>
          <w:p w14:paraId="515CC94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6FA1A95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w:t>
            </w:r>
          </w:p>
        </w:tc>
        <w:tc>
          <w:tcPr>
            <w:tcW w:w="777" w:type="pct"/>
            <w:tcBorders>
              <w:top w:val="nil"/>
              <w:left w:val="nil"/>
              <w:bottom w:val="nil"/>
              <w:right w:val="nil"/>
            </w:tcBorders>
            <w:shd w:val="clear" w:color="auto" w:fill="auto"/>
            <w:noWrap/>
            <w:vAlign w:val="bottom"/>
            <w:hideMark/>
          </w:tcPr>
          <w:p w14:paraId="27EA499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61</w:t>
            </w:r>
          </w:p>
        </w:tc>
        <w:tc>
          <w:tcPr>
            <w:tcW w:w="2848" w:type="pct"/>
            <w:gridSpan w:val="2"/>
            <w:tcBorders>
              <w:top w:val="nil"/>
              <w:left w:val="nil"/>
              <w:bottom w:val="nil"/>
              <w:right w:val="nil"/>
            </w:tcBorders>
            <w:shd w:val="clear" w:color="auto" w:fill="auto"/>
            <w:noWrap/>
            <w:vAlign w:val="bottom"/>
            <w:hideMark/>
          </w:tcPr>
          <w:p w14:paraId="62152D4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Christchurch</w:t>
            </w:r>
          </w:p>
        </w:tc>
      </w:tr>
      <w:tr w:rsidR="00192E3F" w:rsidRPr="001E66EF" w14:paraId="4397EEEA" w14:textId="77777777" w:rsidTr="00927ED5">
        <w:trPr>
          <w:trHeight w:val="57"/>
        </w:trPr>
        <w:tc>
          <w:tcPr>
            <w:tcW w:w="588" w:type="pct"/>
            <w:tcBorders>
              <w:top w:val="nil"/>
              <w:left w:val="nil"/>
              <w:bottom w:val="nil"/>
              <w:right w:val="nil"/>
            </w:tcBorders>
            <w:shd w:val="clear" w:color="auto" w:fill="auto"/>
            <w:noWrap/>
            <w:vAlign w:val="bottom"/>
            <w:hideMark/>
          </w:tcPr>
          <w:p w14:paraId="42553CA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5B0490B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77" w:type="pct"/>
            <w:tcBorders>
              <w:top w:val="nil"/>
              <w:left w:val="nil"/>
              <w:bottom w:val="nil"/>
              <w:right w:val="nil"/>
            </w:tcBorders>
            <w:shd w:val="clear" w:color="auto" w:fill="auto"/>
            <w:noWrap/>
            <w:vAlign w:val="bottom"/>
            <w:hideMark/>
          </w:tcPr>
          <w:p w14:paraId="593058E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62</w:t>
            </w:r>
          </w:p>
        </w:tc>
        <w:tc>
          <w:tcPr>
            <w:tcW w:w="2848" w:type="pct"/>
            <w:gridSpan w:val="2"/>
            <w:tcBorders>
              <w:top w:val="nil"/>
              <w:left w:val="nil"/>
              <w:bottom w:val="nil"/>
              <w:right w:val="nil"/>
            </w:tcBorders>
            <w:shd w:val="clear" w:color="auto" w:fill="auto"/>
            <w:noWrap/>
            <w:vAlign w:val="bottom"/>
            <w:hideMark/>
          </w:tcPr>
          <w:p w14:paraId="2ECE8382"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Ashburton Airshed</w:t>
            </w:r>
          </w:p>
        </w:tc>
      </w:tr>
      <w:tr w:rsidR="00192E3F" w:rsidRPr="001E66EF" w14:paraId="0619EB31" w14:textId="77777777" w:rsidTr="00927ED5">
        <w:trPr>
          <w:trHeight w:val="57"/>
        </w:trPr>
        <w:tc>
          <w:tcPr>
            <w:tcW w:w="588" w:type="pct"/>
            <w:tcBorders>
              <w:top w:val="nil"/>
              <w:left w:val="nil"/>
              <w:bottom w:val="nil"/>
              <w:right w:val="nil"/>
            </w:tcBorders>
            <w:shd w:val="clear" w:color="auto" w:fill="auto"/>
            <w:noWrap/>
            <w:vAlign w:val="bottom"/>
            <w:hideMark/>
          </w:tcPr>
          <w:p w14:paraId="36B554E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65882B1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10</w:t>
            </w:r>
          </w:p>
        </w:tc>
        <w:tc>
          <w:tcPr>
            <w:tcW w:w="777" w:type="pct"/>
            <w:tcBorders>
              <w:top w:val="nil"/>
              <w:left w:val="nil"/>
              <w:bottom w:val="nil"/>
              <w:right w:val="nil"/>
            </w:tcBorders>
            <w:shd w:val="clear" w:color="auto" w:fill="auto"/>
            <w:noWrap/>
            <w:vAlign w:val="bottom"/>
            <w:hideMark/>
          </w:tcPr>
          <w:p w14:paraId="33E907A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63</w:t>
            </w:r>
          </w:p>
        </w:tc>
        <w:tc>
          <w:tcPr>
            <w:tcW w:w="2848" w:type="pct"/>
            <w:gridSpan w:val="2"/>
            <w:tcBorders>
              <w:top w:val="nil"/>
              <w:left w:val="nil"/>
              <w:bottom w:val="nil"/>
              <w:right w:val="nil"/>
            </w:tcBorders>
            <w:shd w:val="clear" w:color="auto" w:fill="auto"/>
            <w:noWrap/>
            <w:vAlign w:val="bottom"/>
            <w:hideMark/>
          </w:tcPr>
          <w:p w14:paraId="0DD6D79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Geraldine Airshed</w:t>
            </w:r>
          </w:p>
        </w:tc>
      </w:tr>
      <w:tr w:rsidR="00192E3F" w:rsidRPr="001E66EF" w14:paraId="6DBE770A" w14:textId="77777777" w:rsidTr="00927ED5">
        <w:trPr>
          <w:trHeight w:val="57"/>
        </w:trPr>
        <w:tc>
          <w:tcPr>
            <w:tcW w:w="588" w:type="pct"/>
            <w:tcBorders>
              <w:top w:val="nil"/>
              <w:left w:val="nil"/>
              <w:bottom w:val="nil"/>
              <w:right w:val="nil"/>
            </w:tcBorders>
            <w:shd w:val="clear" w:color="auto" w:fill="auto"/>
            <w:noWrap/>
            <w:vAlign w:val="bottom"/>
            <w:hideMark/>
          </w:tcPr>
          <w:p w14:paraId="2B606BC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2D1374E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61</w:t>
            </w:r>
          </w:p>
        </w:tc>
        <w:tc>
          <w:tcPr>
            <w:tcW w:w="777" w:type="pct"/>
            <w:tcBorders>
              <w:top w:val="nil"/>
              <w:left w:val="nil"/>
              <w:bottom w:val="nil"/>
              <w:right w:val="nil"/>
            </w:tcBorders>
            <w:shd w:val="clear" w:color="auto" w:fill="auto"/>
            <w:noWrap/>
            <w:vAlign w:val="bottom"/>
            <w:hideMark/>
          </w:tcPr>
          <w:p w14:paraId="5E77AF6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64</w:t>
            </w:r>
          </w:p>
        </w:tc>
        <w:tc>
          <w:tcPr>
            <w:tcW w:w="2848" w:type="pct"/>
            <w:gridSpan w:val="2"/>
            <w:tcBorders>
              <w:top w:val="nil"/>
              <w:left w:val="nil"/>
              <w:bottom w:val="nil"/>
              <w:right w:val="nil"/>
            </w:tcBorders>
            <w:shd w:val="clear" w:color="auto" w:fill="auto"/>
            <w:noWrap/>
            <w:vAlign w:val="bottom"/>
            <w:hideMark/>
          </w:tcPr>
          <w:p w14:paraId="30920B0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Timaru Airshed</w:t>
            </w:r>
          </w:p>
        </w:tc>
      </w:tr>
      <w:tr w:rsidR="00192E3F" w:rsidRPr="001E66EF" w14:paraId="045DFB43" w14:textId="77777777" w:rsidTr="00927ED5">
        <w:trPr>
          <w:trHeight w:val="57"/>
        </w:trPr>
        <w:tc>
          <w:tcPr>
            <w:tcW w:w="588" w:type="pct"/>
            <w:tcBorders>
              <w:top w:val="nil"/>
              <w:left w:val="nil"/>
              <w:bottom w:val="nil"/>
              <w:right w:val="nil"/>
            </w:tcBorders>
            <w:shd w:val="clear" w:color="auto" w:fill="auto"/>
            <w:noWrap/>
            <w:vAlign w:val="bottom"/>
            <w:hideMark/>
          </w:tcPr>
          <w:p w14:paraId="3EE9B6D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27191C6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68</w:t>
            </w:r>
          </w:p>
        </w:tc>
        <w:tc>
          <w:tcPr>
            <w:tcW w:w="777" w:type="pct"/>
            <w:tcBorders>
              <w:top w:val="nil"/>
              <w:left w:val="nil"/>
              <w:bottom w:val="nil"/>
              <w:right w:val="nil"/>
            </w:tcBorders>
            <w:shd w:val="clear" w:color="auto" w:fill="auto"/>
            <w:noWrap/>
            <w:vAlign w:val="bottom"/>
            <w:hideMark/>
          </w:tcPr>
          <w:p w14:paraId="0964107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65</w:t>
            </w:r>
          </w:p>
        </w:tc>
        <w:tc>
          <w:tcPr>
            <w:tcW w:w="2848" w:type="pct"/>
            <w:gridSpan w:val="2"/>
            <w:tcBorders>
              <w:top w:val="nil"/>
              <w:left w:val="nil"/>
              <w:bottom w:val="nil"/>
              <w:right w:val="nil"/>
            </w:tcBorders>
            <w:shd w:val="clear" w:color="auto" w:fill="auto"/>
            <w:noWrap/>
            <w:vAlign w:val="bottom"/>
            <w:hideMark/>
          </w:tcPr>
          <w:p w14:paraId="5ED74AD0"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Waimate Airshed</w:t>
            </w:r>
          </w:p>
        </w:tc>
      </w:tr>
      <w:tr w:rsidR="00192E3F" w:rsidRPr="001E66EF" w14:paraId="1A003A3D" w14:textId="77777777" w:rsidTr="00927ED5">
        <w:trPr>
          <w:trHeight w:val="57"/>
        </w:trPr>
        <w:tc>
          <w:tcPr>
            <w:tcW w:w="588" w:type="pct"/>
            <w:tcBorders>
              <w:top w:val="nil"/>
              <w:left w:val="nil"/>
              <w:bottom w:val="nil"/>
              <w:right w:val="nil"/>
            </w:tcBorders>
            <w:shd w:val="clear" w:color="auto" w:fill="auto"/>
            <w:noWrap/>
            <w:vAlign w:val="bottom"/>
            <w:hideMark/>
          </w:tcPr>
          <w:p w14:paraId="247CE9D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6722E4C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40</w:t>
            </w:r>
          </w:p>
        </w:tc>
        <w:tc>
          <w:tcPr>
            <w:tcW w:w="777" w:type="pct"/>
            <w:tcBorders>
              <w:top w:val="nil"/>
              <w:left w:val="nil"/>
              <w:bottom w:val="nil"/>
              <w:right w:val="nil"/>
            </w:tcBorders>
            <w:shd w:val="clear" w:color="auto" w:fill="auto"/>
            <w:noWrap/>
            <w:vAlign w:val="bottom"/>
            <w:hideMark/>
          </w:tcPr>
          <w:p w14:paraId="40AF3E5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66</w:t>
            </w:r>
          </w:p>
        </w:tc>
        <w:tc>
          <w:tcPr>
            <w:tcW w:w="2675" w:type="pct"/>
            <w:tcBorders>
              <w:top w:val="nil"/>
              <w:left w:val="nil"/>
              <w:bottom w:val="nil"/>
              <w:right w:val="nil"/>
            </w:tcBorders>
            <w:shd w:val="clear" w:color="auto" w:fill="auto"/>
            <w:noWrap/>
            <w:vAlign w:val="bottom"/>
            <w:hideMark/>
          </w:tcPr>
          <w:p w14:paraId="1DF79B9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Otago 3</w:t>
            </w:r>
          </w:p>
        </w:tc>
        <w:tc>
          <w:tcPr>
            <w:tcW w:w="173" w:type="pct"/>
            <w:tcBorders>
              <w:top w:val="nil"/>
              <w:left w:val="nil"/>
              <w:bottom w:val="nil"/>
              <w:right w:val="nil"/>
            </w:tcBorders>
            <w:shd w:val="clear" w:color="auto" w:fill="auto"/>
            <w:noWrap/>
            <w:vAlign w:val="bottom"/>
            <w:hideMark/>
          </w:tcPr>
          <w:p w14:paraId="3F18159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2902CBDE" w14:textId="77777777" w:rsidTr="00927ED5">
        <w:trPr>
          <w:trHeight w:val="57"/>
        </w:trPr>
        <w:tc>
          <w:tcPr>
            <w:tcW w:w="588" w:type="pct"/>
            <w:tcBorders>
              <w:top w:val="nil"/>
              <w:left w:val="nil"/>
              <w:bottom w:val="nil"/>
              <w:right w:val="nil"/>
            </w:tcBorders>
            <w:shd w:val="clear" w:color="auto" w:fill="auto"/>
            <w:noWrap/>
            <w:vAlign w:val="bottom"/>
            <w:hideMark/>
          </w:tcPr>
          <w:p w14:paraId="15C6F27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lastRenderedPageBreak/>
              <w:t>14</w:t>
            </w:r>
          </w:p>
        </w:tc>
        <w:tc>
          <w:tcPr>
            <w:tcW w:w="787" w:type="pct"/>
            <w:tcBorders>
              <w:top w:val="nil"/>
              <w:left w:val="nil"/>
              <w:bottom w:val="nil"/>
              <w:right w:val="nil"/>
            </w:tcBorders>
            <w:shd w:val="clear" w:color="auto" w:fill="auto"/>
            <w:noWrap/>
            <w:vAlign w:val="bottom"/>
            <w:hideMark/>
          </w:tcPr>
          <w:p w14:paraId="0C5114A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39</w:t>
            </w:r>
          </w:p>
        </w:tc>
        <w:tc>
          <w:tcPr>
            <w:tcW w:w="777" w:type="pct"/>
            <w:tcBorders>
              <w:top w:val="nil"/>
              <w:left w:val="nil"/>
              <w:bottom w:val="nil"/>
              <w:right w:val="nil"/>
            </w:tcBorders>
            <w:shd w:val="clear" w:color="auto" w:fill="auto"/>
            <w:noWrap/>
            <w:vAlign w:val="bottom"/>
            <w:hideMark/>
          </w:tcPr>
          <w:p w14:paraId="1D9123F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67</w:t>
            </w:r>
          </w:p>
        </w:tc>
        <w:tc>
          <w:tcPr>
            <w:tcW w:w="2675" w:type="pct"/>
            <w:tcBorders>
              <w:top w:val="nil"/>
              <w:left w:val="nil"/>
              <w:bottom w:val="nil"/>
              <w:right w:val="nil"/>
            </w:tcBorders>
            <w:shd w:val="clear" w:color="auto" w:fill="auto"/>
            <w:noWrap/>
            <w:vAlign w:val="bottom"/>
            <w:hideMark/>
          </w:tcPr>
          <w:p w14:paraId="641D1BB5"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Otago 2</w:t>
            </w:r>
          </w:p>
        </w:tc>
        <w:tc>
          <w:tcPr>
            <w:tcW w:w="173" w:type="pct"/>
            <w:tcBorders>
              <w:top w:val="nil"/>
              <w:left w:val="nil"/>
              <w:bottom w:val="nil"/>
              <w:right w:val="nil"/>
            </w:tcBorders>
            <w:shd w:val="clear" w:color="auto" w:fill="auto"/>
            <w:noWrap/>
            <w:vAlign w:val="bottom"/>
            <w:hideMark/>
          </w:tcPr>
          <w:p w14:paraId="4BBCE750"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4071CC1" w14:textId="77777777" w:rsidTr="00927ED5">
        <w:trPr>
          <w:trHeight w:val="57"/>
        </w:trPr>
        <w:tc>
          <w:tcPr>
            <w:tcW w:w="588" w:type="pct"/>
            <w:tcBorders>
              <w:top w:val="nil"/>
              <w:left w:val="nil"/>
              <w:bottom w:val="nil"/>
              <w:right w:val="nil"/>
            </w:tcBorders>
            <w:shd w:val="clear" w:color="auto" w:fill="auto"/>
            <w:noWrap/>
            <w:vAlign w:val="bottom"/>
            <w:hideMark/>
          </w:tcPr>
          <w:p w14:paraId="6B53DB6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0B1459B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w:t>
            </w:r>
          </w:p>
        </w:tc>
        <w:tc>
          <w:tcPr>
            <w:tcW w:w="777" w:type="pct"/>
            <w:tcBorders>
              <w:top w:val="nil"/>
              <w:left w:val="nil"/>
              <w:bottom w:val="nil"/>
              <w:right w:val="nil"/>
            </w:tcBorders>
            <w:shd w:val="clear" w:color="auto" w:fill="auto"/>
            <w:noWrap/>
            <w:vAlign w:val="bottom"/>
            <w:hideMark/>
          </w:tcPr>
          <w:p w14:paraId="26C2283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68</w:t>
            </w:r>
          </w:p>
        </w:tc>
        <w:tc>
          <w:tcPr>
            <w:tcW w:w="2675" w:type="pct"/>
            <w:tcBorders>
              <w:top w:val="nil"/>
              <w:left w:val="nil"/>
              <w:bottom w:val="nil"/>
              <w:right w:val="nil"/>
            </w:tcBorders>
            <w:shd w:val="clear" w:color="auto" w:fill="auto"/>
            <w:noWrap/>
            <w:vAlign w:val="bottom"/>
            <w:hideMark/>
          </w:tcPr>
          <w:p w14:paraId="018E311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Balclutha</w:t>
            </w:r>
          </w:p>
        </w:tc>
        <w:tc>
          <w:tcPr>
            <w:tcW w:w="173" w:type="pct"/>
            <w:tcBorders>
              <w:top w:val="nil"/>
              <w:left w:val="nil"/>
              <w:bottom w:val="nil"/>
              <w:right w:val="nil"/>
            </w:tcBorders>
            <w:shd w:val="clear" w:color="auto" w:fill="auto"/>
            <w:noWrap/>
            <w:vAlign w:val="bottom"/>
            <w:hideMark/>
          </w:tcPr>
          <w:p w14:paraId="46FEB23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1B5FE2C" w14:textId="77777777" w:rsidTr="00927ED5">
        <w:trPr>
          <w:trHeight w:val="57"/>
        </w:trPr>
        <w:tc>
          <w:tcPr>
            <w:tcW w:w="588" w:type="pct"/>
            <w:tcBorders>
              <w:top w:val="nil"/>
              <w:left w:val="nil"/>
              <w:bottom w:val="nil"/>
              <w:right w:val="nil"/>
            </w:tcBorders>
            <w:shd w:val="clear" w:color="auto" w:fill="auto"/>
            <w:noWrap/>
            <w:vAlign w:val="bottom"/>
            <w:hideMark/>
          </w:tcPr>
          <w:p w14:paraId="0FE6EF5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297853D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38</w:t>
            </w:r>
          </w:p>
        </w:tc>
        <w:tc>
          <w:tcPr>
            <w:tcW w:w="777" w:type="pct"/>
            <w:tcBorders>
              <w:top w:val="nil"/>
              <w:left w:val="nil"/>
              <w:bottom w:val="nil"/>
              <w:right w:val="nil"/>
            </w:tcBorders>
            <w:shd w:val="clear" w:color="auto" w:fill="auto"/>
            <w:noWrap/>
            <w:vAlign w:val="bottom"/>
            <w:hideMark/>
          </w:tcPr>
          <w:p w14:paraId="08352F4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69</w:t>
            </w:r>
          </w:p>
        </w:tc>
        <w:tc>
          <w:tcPr>
            <w:tcW w:w="2675" w:type="pct"/>
            <w:tcBorders>
              <w:top w:val="nil"/>
              <w:left w:val="nil"/>
              <w:bottom w:val="nil"/>
              <w:right w:val="nil"/>
            </w:tcBorders>
            <w:shd w:val="clear" w:color="auto" w:fill="auto"/>
            <w:noWrap/>
            <w:vAlign w:val="bottom"/>
            <w:hideMark/>
          </w:tcPr>
          <w:p w14:paraId="7B639E4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Otago 1</w:t>
            </w:r>
          </w:p>
        </w:tc>
        <w:tc>
          <w:tcPr>
            <w:tcW w:w="173" w:type="pct"/>
            <w:tcBorders>
              <w:top w:val="nil"/>
              <w:left w:val="nil"/>
              <w:bottom w:val="nil"/>
              <w:right w:val="nil"/>
            </w:tcBorders>
            <w:shd w:val="clear" w:color="auto" w:fill="auto"/>
            <w:noWrap/>
            <w:vAlign w:val="bottom"/>
            <w:hideMark/>
          </w:tcPr>
          <w:p w14:paraId="37BB90F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20EC983" w14:textId="77777777" w:rsidTr="00927ED5">
        <w:trPr>
          <w:trHeight w:val="57"/>
        </w:trPr>
        <w:tc>
          <w:tcPr>
            <w:tcW w:w="588" w:type="pct"/>
            <w:tcBorders>
              <w:top w:val="nil"/>
              <w:left w:val="nil"/>
              <w:bottom w:val="nil"/>
              <w:right w:val="nil"/>
            </w:tcBorders>
            <w:shd w:val="clear" w:color="auto" w:fill="auto"/>
            <w:noWrap/>
            <w:vAlign w:val="bottom"/>
            <w:hideMark/>
          </w:tcPr>
          <w:p w14:paraId="2DE4A3A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3767AE1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15</w:t>
            </w:r>
          </w:p>
        </w:tc>
        <w:tc>
          <w:tcPr>
            <w:tcW w:w="777" w:type="pct"/>
            <w:tcBorders>
              <w:top w:val="nil"/>
              <w:left w:val="nil"/>
              <w:bottom w:val="nil"/>
              <w:right w:val="nil"/>
            </w:tcBorders>
            <w:shd w:val="clear" w:color="auto" w:fill="auto"/>
            <w:noWrap/>
            <w:vAlign w:val="bottom"/>
            <w:hideMark/>
          </w:tcPr>
          <w:p w14:paraId="1F8F63F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70</w:t>
            </w:r>
          </w:p>
        </w:tc>
        <w:tc>
          <w:tcPr>
            <w:tcW w:w="2675" w:type="pct"/>
            <w:tcBorders>
              <w:top w:val="nil"/>
              <w:left w:val="nil"/>
              <w:bottom w:val="nil"/>
              <w:right w:val="nil"/>
            </w:tcBorders>
            <w:shd w:val="clear" w:color="auto" w:fill="auto"/>
            <w:noWrap/>
            <w:vAlign w:val="bottom"/>
            <w:hideMark/>
          </w:tcPr>
          <w:p w14:paraId="5AFA642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Hawea</w:t>
            </w:r>
            <w:proofErr w:type="spellEnd"/>
          </w:p>
        </w:tc>
        <w:tc>
          <w:tcPr>
            <w:tcW w:w="173" w:type="pct"/>
            <w:tcBorders>
              <w:top w:val="nil"/>
              <w:left w:val="nil"/>
              <w:bottom w:val="nil"/>
              <w:right w:val="nil"/>
            </w:tcBorders>
            <w:shd w:val="clear" w:color="auto" w:fill="auto"/>
            <w:noWrap/>
            <w:vAlign w:val="bottom"/>
            <w:hideMark/>
          </w:tcPr>
          <w:p w14:paraId="52E1F8B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134372BB" w14:textId="77777777" w:rsidTr="00927ED5">
        <w:trPr>
          <w:trHeight w:val="57"/>
        </w:trPr>
        <w:tc>
          <w:tcPr>
            <w:tcW w:w="588" w:type="pct"/>
            <w:tcBorders>
              <w:top w:val="nil"/>
              <w:left w:val="nil"/>
              <w:bottom w:val="nil"/>
              <w:right w:val="nil"/>
            </w:tcBorders>
            <w:shd w:val="clear" w:color="auto" w:fill="auto"/>
            <w:noWrap/>
            <w:vAlign w:val="bottom"/>
            <w:hideMark/>
          </w:tcPr>
          <w:p w14:paraId="4C55824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0774AA6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46</w:t>
            </w:r>
          </w:p>
        </w:tc>
        <w:tc>
          <w:tcPr>
            <w:tcW w:w="777" w:type="pct"/>
            <w:tcBorders>
              <w:top w:val="nil"/>
              <w:left w:val="nil"/>
              <w:bottom w:val="nil"/>
              <w:right w:val="nil"/>
            </w:tcBorders>
            <w:shd w:val="clear" w:color="auto" w:fill="auto"/>
            <w:noWrap/>
            <w:vAlign w:val="bottom"/>
            <w:hideMark/>
          </w:tcPr>
          <w:p w14:paraId="21B9F08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71</w:t>
            </w:r>
          </w:p>
        </w:tc>
        <w:tc>
          <w:tcPr>
            <w:tcW w:w="2848" w:type="pct"/>
            <w:gridSpan w:val="2"/>
            <w:tcBorders>
              <w:top w:val="nil"/>
              <w:left w:val="nil"/>
              <w:bottom w:val="nil"/>
              <w:right w:val="nil"/>
            </w:tcBorders>
            <w:shd w:val="clear" w:color="auto" w:fill="auto"/>
            <w:noWrap/>
            <w:vAlign w:val="bottom"/>
            <w:hideMark/>
          </w:tcPr>
          <w:p w14:paraId="754C82D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Queenstown</w:t>
            </w:r>
          </w:p>
        </w:tc>
      </w:tr>
      <w:tr w:rsidR="00192E3F" w:rsidRPr="001E66EF" w14:paraId="7A377CFF" w14:textId="77777777" w:rsidTr="00927ED5">
        <w:trPr>
          <w:trHeight w:val="57"/>
        </w:trPr>
        <w:tc>
          <w:tcPr>
            <w:tcW w:w="588" w:type="pct"/>
            <w:tcBorders>
              <w:top w:val="nil"/>
              <w:left w:val="nil"/>
              <w:bottom w:val="nil"/>
              <w:right w:val="nil"/>
            </w:tcBorders>
            <w:shd w:val="clear" w:color="auto" w:fill="auto"/>
            <w:noWrap/>
            <w:vAlign w:val="bottom"/>
            <w:hideMark/>
          </w:tcPr>
          <w:p w14:paraId="1D952B8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7EB2B6D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72</w:t>
            </w:r>
          </w:p>
        </w:tc>
        <w:tc>
          <w:tcPr>
            <w:tcW w:w="777" w:type="pct"/>
            <w:tcBorders>
              <w:top w:val="nil"/>
              <w:left w:val="nil"/>
              <w:bottom w:val="nil"/>
              <w:right w:val="nil"/>
            </w:tcBorders>
            <w:shd w:val="clear" w:color="auto" w:fill="auto"/>
            <w:noWrap/>
            <w:vAlign w:val="bottom"/>
            <w:hideMark/>
          </w:tcPr>
          <w:p w14:paraId="291D8B8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72</w:t>
            </w:r>
          </w:p>
        </w:tc>
        <w:tc>
          <w:tcPr>
            <w:tcW w:w="2675" w:type="pct"/>
            <w:tcBorders>
              <w:top w:val="nil"/>
              <w:left w:val="nil"/>
              <w:bottom w:val="nil"/>
              <w:right w:val="nil"/>
            </w:tcBorders>
            <w:shd w:val="clear" w:color="auto" w:fill="auto"/>
            <w:noWrap/>
            <w:vAlign w:val="bottom"/>
            <w:hideMark/>
          </w:tcPr>
          <w:p w14:paraId="6D7DCA9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Wanaka</w:t>
            </w:r>
          </w:p>
        </w:tc>
        <w:tc>
          <w:tcPr>
            <w:tcW w:w="173" w:type="pct"/>
            <w:tcBorders>
              <w:top w:val="nil"/>
              <w:left w:val="nil"/>
              <w:bottom w:val="nil"/>
              <w:right w:val="nil"/>
            </w:tcBorders>
            <w:shd w:val="clear" w:color="auto" w:fill="auto"/>
            <w:noWrap/>
            <w:vAlign w:val="bottom"/>
            <w:hideMark/>
          </w:tcPr>
          <w:p w14:paraId="0DD33225"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D8FEF33" w14:textId="77777777" w:rsidTr="00927ED5">
        <w:trPr>
          <w:trHeight w:val="57"/>
        </w:trPr>
        <w:tc>
          <w:tcPr>
            <w:tcW w:w="588" w:type="pct"/>
            <w:tcBorders>
              <w:top w:val="nil"/>
              <w:left w:val="nil"/>
              <w:bottom w:val="nil"/>
              <w:right w:val="nil"/>
            </w:tcBorders>
            <w:shd w:val="clear" w:color="auto" w:fill="auto"/>
            <w:noWrap/>
            <w:vAlign w:val="bottom"/>
            <w:hideMark/>
          </w:tcPr>
          <w:p w14:paraId="3DC32E6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15</w:t>
            </w:r>
          </w:p>
        </w:tc>
        <w:tc>
          <w:tcPr>
            <w:tcW w:w="787" w:type="pct"/>
            <w:tcBorders>
              <w:top w:val="nil"/>
              <w:left w:val="nil"/>
              <w:bottom w:val="nil"/>
              <w:right w:val="nil"/>
            </w:tcBorders>
            <w:shd w:val="clear" w:color="auto" w:fill="auto"/>
            <w:noWrap/>
            <w:vAlign w:val="bottom"/>
            <w:hideMark/>
          </w:tcPr>
          <w:p w14:paraId="03D7473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12</w:t>
            </w:r>
          </w:p>
        </w:tc>
        <w:tc>
          <w:tcPr>
            <w:tcW w:w="777" w:type="pct"/>
            <w:tcBorders>
              <w:top w:val="nil"/>
              <w:left w:val="nil"/>
              <w:bottom w:val="nil"/>
              <w:right w:val="nil"/>
            </w:tcBorders>
            <w:shd w:val="clear" w:color="auto" w:fill="auto"/>
            <w:noWrap/>
            <w:vAlign w:val="bottom"/>
            <w:hideMark/>
          </w:tcPr>
          <w:p w14:paraId="74D4964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73</w:t>
            </w:r>
          </w:p>
        </w:tc>
        <w:tc>
          <w:tcPr>
            <w:tcW w:w="2675" w:type="pct"/>
            <w:tcBorders>
              <w:top w:val="nil"/>
              <w:left w:val="nil"/>
              <w:bottom w:val="nil"/>
              <w:right w:val="nil"/>
            </w:tcBorders>
            <w:shd w:val="clear" w:color="auto" w:fill="auto"/>
            <w:noWrap/>
            <w:vAlign w:val="bottom"/>
            <w:hideMark/>
          </w:tcPr>
          <w:p w14:paraId="1A95CE3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Gore</w:t>
            </w:r>
          </w:p>
        </w:tc>
        <w:tc>
          <w:tcPr>
            <w:tcW w:w="173" w:type="pct"/>
            <w:tcBorders>
              <w:top w:val="nil"/>
              <w:left w:val="nil"/>
              <w:bottom w:val="nil"/>
              <w:right w:val="nil"/>
            </w:tcBorders>
            <w:shd w:val="clear" w:color="auto" w:fill="auto"/>
            <w:noWrap/>
            <w:vAlign w:val="bottom"/>
            <w:hideMark/>
          </w:tcPr>
          <w:p w14:paraId="001555F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8221D4C" w14:textId="77777777" w:rsidTr="00927ED5">
        <w:trPr>
          <w:trHeight w:val="57"/>
        </w:trPr>
        <w:tc>
          <w:tcPr>
            <w:tcW w:w="588" w:type="pct"/>
            <w:tcBorders>
              <w:top w:val="nil"/>
              <w:left w:val="nil"/>
              <w:bottom w:val="nil"/>
              <w:right w:val="nil"/>
            </w:tcBorders>
            <w:shd w:val="clear" w:color="auto" w:fill="auto"/>
            <w:noWrap/>
            <w:vAlign w:val="bottom"/>
            <w:hideMark/>
          </w:tcPr>
          <w:p w14:paraId="25D844C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15</w:t>
            </w:r>
          </w:p>
        </w:tc>
        <w:tc>
          <w:tcPr>
            <w:tcW w:w="787" w:type="pct"/>
            <w:tcBorders>
              <w:top w:val="nil"/>
              <w:left w:val="nil"/>
              <w:bottom w:val="nil"/>
              <w:right w:val="nil"/>
            </w:tcBorders>
            <w:shd w:val="clear" w:color="auto" w:fill="auto"/>
            <w:noWrap/>
            <w:vAlign w:val="bottom"/>
            <w:hideMark/>
          </w:tcPr>
          <w:p w14:paraId="74D3782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19</w:t>
            </w:r>
          </w:p>
        </w:tc>
        <w:tc>
          <w:tcPr>
            <w:tcW w:w="777" w:type="pct"/>
            <w:tcBorders>
              <w:top w:val="nil"/>
              <w:left w:val="nil"/>
              <w:bottom w:val="nil"/>
              <w:right w:val="nil"/>
            </w:tcBorders>
            <w:shd w:val="clear" w:color="auto" w:fill="auto"/>
            <w:noWrap/>
            <w:vAlign w:val="bottom"/>
            <w:hideMark/>
          </w:tcPr>
          <w:p w14:paraId="6FB6808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74</w:t>
            </w:r>
          </w:p>
        </w:tc>
        <w:tc>
          <w:tcPr>
            <w:tcW w:w="2848" w:type="pct"/>
            <w:gridSpan w:val="2"/>
            <w:tcBorders>
              <w:top w:val="nil"/>
              <w:left w:val="nil"/>
              <w:bottom w:val="nil"/>
              <w:right w:val="nil"/>
            </w:tcBorders>
            <w:shd w:val="clear" w:color="auto" w:fill="auto"/>
            <w:noWrap/>
            <w:vAlign w:val="bottom"/>
            <w:hideMark/>
          </w:tcPr>
          <w:p w14:paraId="476CE88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Invercargill</w:t>
            </w:r>
          </w:p>
        </w:tc>
      </w:tr>
      <w:tr w:rsidR="00192E3F" w:rsidRPr="001E66EF" w14:paraId="441E46F6" w14:textId="77777777" w:rsidTr="00927ED5">
        <w:trPr>
          <w:trHeight w:val="57"/>
        </w:trPr>
        <w:tc>
          <w:tcPr>
            <w:tcW w:w="588" w:type="pct"/>
            <w:tcBorders>
              <w:top w:val="nil"/>
              <w:left w:val="nil"/>
              <w:bottom w:val="nil"/>
              <w:right w:val="nil"/>
            </w:tcBorders>
            <w:shd w:val="clear" w:color="auto" w:fill="auto"/>
            <w:noWrap/>
            <w:vAlign w:val="bottom"/>
            <w:hideMark/>
          </w:tcPr>
          <w:p w14:paraId="0FCACFA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728D8B8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25</w:t>
            </w:r>
          </w:p>
        </w:tc>
        <w:tc>
          <w:tcPr>
            <w:tcW w:w="777" w:type="pct"/>
            <w:tcBorders>
              <w:top w:val="nil"/>
              <w:left w:val="nil"/>
              <w:bottom w:val="nil"/>
              <w:right w:val="nil"/>
            </w:tcBorders>
            <w:shd w:val="clear" w:color="auto" w:fill="auto"/>
            <w:noWrap/>
            <w:vAlign w:val="bottom"/>
            <w:hideMark/>
          </w:tcPr>
          <w:p w14:paraId="3B2F24B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75</w:t>
            </w:r>
          </w:p>
        </w:tc>
        <w:tc>
          <w:tcPr>
            <w:tcW w:w="2675" w:type="pct"/>
            <w:tcBorders>
              <w:top w:val="nil"/>
              <w:left w:val="nil"/>
              <w:bottom w:val="nil"/>
              <w:right w:val="nil"/>
            </w:tcBorders>
            <w:shd w:val="clear" w:color="auto" w:fill="auto"/>
            <w:noWrap/>
            <w:vAlign w:val="bottom"/>
            <w:hideMark/>
          </w:tcPr>
          <w:p w14:paraId="1AA07CCA"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Kingston</w:t>
            </w:r>
          </w:p>
        </w:tc>
        <w:tc>
          <w:tcPr>
            <w:tcW w:w="173" w:type="pct"/>
            <w:tcBorders>
              <w:top w:val="nil"/>
              <w:left w:val="nil"/>
              <w:bottom w:val="nil"/>
              <w:right w:val="nil"/>
            </w:tcBorders>
            <w:shd w:val="clear" w:color="auto" w:fill="auto"/>
            <w:noWrap/>
            <w:vAlign w:val="bottom"/>
            <w:hideMark/>
          </w:tcPr>
          <w:p w14:paraId="19E011F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30275C81" w14:textId="77777777" w:rsidTr="00927ED5">
        <w:trPr>
          <w:trHeight w:val="57"/>
        </w:trPr>
        <w:tc>
          <w:tcPr>
            <w:tcW w:w="588" w:type="pct"/>
            <w:tcBorders>
              <w:top w:val="nil"/>
              <w:left w:val="nil"/>
              <w:bottom w:val="nil"/>
              <w:right w:val="nil"/>
            </w:tcBorders>
            <w:shd w:val="clear" w:color="auto" w:fill="auto"/>
            <w:noWrap/>
            <w:vAlign w:val="bottom"/>
            <w:hideMark/>
          </w:tcPr>
          <w:p w14:paraId="58952C7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w:t>
            </w:r>
          </w:p>
        </w:tc>
        <w:tc>
          <w:tcPr>
            <w:tcW w:w="787" w:type="pct"/>
            <w:tcBorders>
              <w:top w:val="nil"/>
              <w:left w:val="nil"/>
              <w:bottom w:val="nil"/>
              <w:right w:val="nil"/>
            </w:tcBorders>
            <w:shd w:val="clear" w:color="auto" w:fill="auto"/>
            <w:noWrap/>
            <w:vAlign w:val="bottom"/>
            <w:hideMark/>
          </w:tcPr>
          <w:p w14:paraId="6DD8076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11</w:t>
            </w:r>
          </w:p>
        </w:tc>
        <w:tc>
          <w:tcPr>
            <w:tcW w:w="777" w:type="pct"/>
            <w:tcBorders>
              <w:top w:val="nil"/>
              <w:left w:val="nil"/>
              <w:bottom w:val="nil"/>
              <w:right w:val="nil"/>
            </w:tcBorders>
            <w:shd w:val="clear" w:color="auto" w:fill="auto"/>
            <w:noWrap/>
            <w:vAlign w:val="bottom"/>
            <w:hideMark/>
          </w:tcPr>
          <w:p w14:paraId="13A003E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76</w:t>
            </w:r>
          </w:p>
        </w:tc>
        <w:tc>
          <w:tcPr>
            <w:tcW w:w="2848" w:type="pct"/>
            <w:gridSpan w:val="2"/>
            <w:tcBorders>
              <w:top w:val="nil"/>
              <w:left w:val="nil"/>
              <w:bottom w:val="nil"/>
              <w:right w:val="nil"/>
            </w:tcBorders>
            <w:shd w:val="clear" w:color="auto" w:fill="auto"/>
            <w:noWrap/>
            <w:vAlign w:val="bottom"/>
            <w:hideMark/>
          </w:tcPr>
          <w:p w14:paraId="7CC1C17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Gisborne Urban Area</w:t>
            </w:r>
          </w:p>
        </w:tc>
      </w:tr>
      <w:tr w:rsidR="00192E3F" w:rsidRPr="001E66EF" w14:paraId="4150747F" w14:textId="77777777" w:rsidTr="00927ED5">
        <w:trPr>
          <w:trHeight w:val="57"/>
        </w:trPr>
        <w:tc>
          <w:tcPr>
            <w:tcW w:w="588" w:type="pct"/>
            <w:tcBorders>
              <w:top w:val="nil"/>
              <w:left w:val="nil"/>
              <w:bottom w:val="nil"/>
              <w:right w:val="nil"/>
            </w:tcBorders>
            <w:shd w:val="clear" w:color="auto" w:fill="auto"/>
            <w:noWrap/>
            <w:vAlign w:val="bottom"/>
            <w:hideMark/>
          </w:tcPr>
          <w:p w14:paraId="711480E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787" w:type="pct"/>
            <w:tcBorders>
              <w:top w:val="nil"/>
              <w:left w:val="nil"/>
              <w:bottom w:val="nil"/>
              <w:right w:val="nil"/>
            </w:tcBorders>
            <w:shd w:val="clear" w:color="auto" w:fill="auto"/>
            <w:noWrap/>
            <w:vAlign w:val="bottom"/>
            <w:hideMark/>
          </w:tcPr>
          <w:p w14:paraId="3AA2E98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35</w:t>
            </w:r>
          </w:p>
        </w:tc>
        <w:tc>
          <w:tcPr>
            <w:tcW w:w="777" w:type="pct"/>
            <w:tcBorders>
              <w:top w:val="nil"/>
              <w:left w:val="nil"/>
              <w:bottom w:val="nil"/>
              <w:right w:val="nil"/>
            </w:tcBorders>
            <w:shd w:val="clear" w:color="auto" w:fill="auto"/>
            <w:noWrap/>
            <w:vAlign w:val="bottom"/>
            <w:hideMark/>
          </w:tcPr>
          <w:p w14:paraId="16E69DF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77</w:t>
            </w:r>
          </w:p>
        </w:tc>
        <w:tc>
          <w:tcPr>
            <w:tcW w:w="2848" w:type="pct"/>
            <w:gridSpan w:val="2"/>
            <w:tcBorders>
              <w:top w:val="nil"/>
              <w:left w:val="nil"/>
              <w:bottom w:val="nil"/>
              <w:right w:val="nil"/>
            </w:tcBorders>
            <w:shd w:val="clear" w:color="auto" w:fill="auto"/>
            <w:noWrap/>
            <w:vAlign w:val="bottom"/>
            <w:hideMark/>
          </w:tcPr>
          <w:p w14:paraId="2846DB1B"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 xml:space="preserve">New </w:t>
            </w:r>
            <w:proofErr w:type="spellStart"/>
            <w:r w:rsidRPr="001E66EF">
              <w:rPr>
                <w:rFonts w:eastAsia="Times New Roman" w:cs="Times New Roman"/>
                <w:color w:val="000000"/>
                <w:sz w:val="16"/>
                <w:szCs w:val="16"/>
                <w:lang w:eastAsia="en-NZ"/>
              </w:rPr>
              <w:t>plymouth</w:t>
            </w:r>
            <w:proofErr w:type="spellEnd"/>
          </w:p>
        </w:tc>
      </w:tr>
      <w:tr w:rsidR="00192E3F" w:rsidRPr="001E66EF" w14:paraId="34169FEE" w14:textId="77777777" w:rsidTr="00927ED5">
        <w:trPr>
          <w:trHeight w:val="57"/>
        </w:trPr>
        <w:tc>
          <w:tcPr>
            <w:tcW w:w="588" w:type="pct"/>
            <w:tcBorders>
              <w:top w:val="nil"/>
              <w:left w:val="nil"/>
              <w:bottom w:val="nil"/>
              <w:right w:val="nil"/>
            </w:tcBorders>
            <w:shd w:val="clear" w:color="auto" w:fill="auto"/>
            <w:noWrap/>
            <w:vAlign w:val="bottom"/>
            <w:hideMark/>
          </w:tcPr>
          <w:p w14:paraId="4692163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787" w:type="pct"/>
            <w:tcBorders>
              <w:top w:val="nil"/>
              <w:left w:val="nil"/>
              <w:bottom w:val="nil"/>
              <w:right w:val="nil"/>
            </w:tcBorders>
            <w:shd w:val="clear" w:color="auto" w:fill="auto"/>
            <w:noWrap/>
            <w:vAlign w:val="bottom"/>
            <w:hideMark/>
          </w:tcPr>
          <w:p w14:paraId="6D6BDD6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53</w:t>
            </w:r>
          </w:p>
        </w:tc>
        <w:tc>
          <w:tcPr>
            <w:tcW w:w="777" w:type="pct"/>
            <w:tcBorders>
              <w:top w:val="nil"/>
              <w:left w:val="nil"/>
              <w:bottom w:val="nil"/>
              <w:right w:val="nil"/>
            </w:tcBorders>
            <w:shd w:val="clear" w:color="auto" w:fill="auto"/>
            <w:noWrap/>
            <w:vAlign w:val="bottom"/>
            <w:hideMark/>
          </w:tcPr>
          <w:p w14:paraId="5E1A926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78</w:t>
            </w:r>
          </w:p>
        </w:tc>
        <w:tc>
          <w:tcPr>
            <w:tcW w:w="2675" w:type="pct"/>
            <w:tcBorders>
              <w:top w:val="nil"/>
              <w:left w:val="nil"/>
              <w:bottom w:val="nil"/>
              <w:right w:val="nil"/>
            </w:tcBorders>
            <w:shd w:val="clear" w:color="auto" w:fill="auto"/>
            <w:noWrap/>
            <w:vAlign w:val="bottom"/>
            <w:hideMark/>
          </w:tcPr>
          <w:p w14:paraId="3C70A5A2"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Stratford</w:t>
            </w:r>
          </w:p>
        </w:tc>
        <w:tc>
          <w:tcPr>
            <w:tcW w:w="173" w:type="pct"/>
            <w:tcBorders>
              <w:top w:val="nil"/>
              <w:left w:val="nil"/>
              <w:bottom w:val="nil"/>
              <w:right w:val="nil"/>
            </w:tcBorders>
            <w:shd w:val="clear" w:color="auto" w:fill="auto"/>
            <w:noWrap/>
            <w:vAlign w:val="bottom"/>
            <w:hideMark/>
          </w:tcPr>
          <w:p w14:paraId="488F149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150597EE" w14:textId="77777777" w:rsidTr="00927ED5">
        <w:trPr>
          <w:trHeight w:val="57"/>
        </w:trPr>
        <w:tc>
          <w:tcPr>
            <w:tcW w:w="588" w:type="pct"/>
            <w:tcBorders>
              <w:top w:val="nil"/>
              <w:left w:val="nil"/>
              <w:bottom w:val="nil"/>
              <w:right w:val="nil"/>
            </w:tcBorders>
            <w:shd w:val="clear" w:color="auto" w:fill="auto"/>
            <w:noWrap/>
            <w:vAlign w:val="bottom"/>
            <w:hideMark/>
          </w:tcPr>
          <w:p w14:paraId="63023F9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787" w:type="pct"/>
            <w:tcBorders>
              <w:top w:val="nil"/>
              <w:left w:val="nil"/>
              <w:bottom w:val="nil"/>
              <w:right w:val="nil"/>
            </w:tcBorders>
            <w:shd w:val="clear" w:color="auto" w:fill="auto"/>
            <w:noWrap/>
            <w:vAlign w:val="bottom"/>
            <w:hideMark/>
          </w:tcPr>
          <w:p w14:paraId="684E13F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16</w:t>
            </w:r>
          </w:p>
        </w:tc>
        <w:tc>
          <w:tcPr>
            <w:tcW w:w="777" w:type="pct"/>
            <w:tcBorders>
              <w:top w:val="nil"/>
              <w:left w:val="nil"/>
              <w:bottom w:val="nil"/>
              <w:right w:val="nil"/>
            </w:tcBorders>
            <w:shd w:val="clear" w:color="auto" w:fill="auto"/>
            <w:noWrap/>
            <w:vAlign w:val="bottom"/>
            <w:hideMark/>
          </w:tcPr>
          <w:p w14:paraId="1660C69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79</w:t>
            </w:r>
          </w:p>
        </w:tc>
        <w:tc>
          <w:tcPr>
            <w:tcW w:w="2675" w:type="pct"/>
            <w:tcBorders>
              <w:top w:val="nil"/>
              <w:left w:val="nil"/>
              <w:bottom w:val="nil"/>
              <w:right w:val="nil"/>
            </w:tcBorders>
            <w:shd w:val="clear" w:color="auto" w:fill="auto"/>
            <w:noWrap/>
            <w:vAlign w:val="bottom"/>
            <w:hideMark/>
          </w:tcPr>
          <w:p w14:paraId="19AF833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Hawera</w:t>
            </w:r>
          </w:p>
        </w:tc>
        <w:tc>
          <w:tcPr>
            <w:tcW w:w="173" w:type="pct"/>
            <w:tcBorders>
              <w:top w:val="nil"/>
              <w:left w:val="nil"/>
              <w:bottom w:val="nil"/>
              <w:right w:val="nil"/>
            </w:tcBorders>
            <w:shd w:val="clear" w:color="auto" w:fill="auto"/>
            <w:noWrap/>
            <w:vAlign w:val="bottom"/>
            <w:hideMark/>
          </w:tcPr>
          <w:p w14:paraId="7D49D88D"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
        </w:tc>
      </w:tr>
      <w:tr w:rsidR="00192E3F" w:rsidRPr="001E66EF" w14:paraId="43F38807" w14:textId="77777777" w:rsidTr="00927ED5">
        <w:trPr>
          <w:trHeight w:val="57"/>
        </w:trPr>
        <w:tc>
          <w:tcPr>
            <w:tcW w:w="588" w:type="pct"/>
            <w:tcBorders>
              <w:top w:val="nil"/>
              <w:left w:val="nil"/>
              <w:bottom w:val="nil"/>
              <w:right w:val="nil"/>
            </w:tcBorders>
            <w:shd w:val="clear" w:color="auto" w:fill="auto"/>
            <w:noWrap/>
            <w:vAlign w:val="bottom"/>
            <w:hideMark/>
          </w:tcPr>
          <w:p w14:paraId="12A23EE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99</w:t>
            </w:r>
          </w:p>
        </w:tc>
        <w:tc>
          <w:tcPr>
            <w:tcW w:w="787" w:type="pct"/>
            <w:tcBorders>
              <w:top w:val="nil"/>
              <w:left w:val="nil"/>
              <w:bottom w:val="nil"/>
              <w:right w:val="nil"/>
            </w:tcBorders>
            <w:shd w:val="clear" w:color="auto" w:fill="auto"/>
            <w:noWrap/>
            <w:vAlign w:val="bottom"/>
            <w:hideMark/>
          </w:tcPr>
          <w:p w14:paraId="7555168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80</w:t>
            </w:r>
          </w:p>
        </w:tc>
        <w:tc>
          <w:tcPr>
            <w:tcW w:w="777" w:type="pct"/>
            <w:tcBorders>
              <w:top w:val="nil"/>
              <w:left w:val="nil"/>
              <w:bottom w:val="nil"/>
              <w:right w:val="nil"/>
            </w:tcBorders>
            <w:shd w:val="clear" w:color="auto" w:fill="auto"/>
            <w:noWrap/>
            <w:vAlign w:val="bottom"/>
            <w:hideMark/>
          </w:tcPr>
          <w:p w14:paraId="5C4D889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80</w:t>
            </w:r>
          </w:p>
        </w:tc>
        <w:tc>
          <w:tcPr>
            <w:tcW w:w="2848" w:type="pct"/>
            <w:gridSpan w:val="2"/>
            <w:tcBorders>
              <w:top w:val="nil"/>
              <w:left w:val="nil"/>
              <w:bottom w:val="nil"/>
              <w:right w:val="nil"/>
            </w:tcBorders>
            <w:shd w:val="clear" w:color="auto" w:fill="auto"/>
            <w:noWrap/>
            <w:vAlign w:val="bottom"/>
            <w:hideMark/>
          </w:tcPr>
          <w:p w14:paraId="257CE896"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Area Outside Region</w:t>
            </w:r>
          </w:p>
        </w:tc>
      </w:tr>
      <w:tr w:rsidR="00192E3F" w:rsidRPr="001E66EF" w14:paraId="3BC41BD5" w14:textId="77777777" w:rsidTr="00927ED5">
        <w:trPr>
          <w:trHeight w:val="57"/>
        </w:trPr>
        <w:tc>
          <w:tcPr>
            <w:tcW w:w="588" w:type="pct"/>
            <w:tcBorders>
              <w:top w:val="nil"/>
              <w:left w:val="nil"/>
              <w:bottom w:val="nil"/>
              <w:right w:val="nil"/>
            </w:tcBorders>
            <w:shd w:val="clear" w:color="auto" w:fill="auto"/>
            <w:noWrap/>
            <w:vAlign w:val="bottom"/>
            <w:hideMark/>
          </w:tcPr>
          <w:p w14:paraId="70B63D9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787" w:type="pct"/>
            <w:tcBorders>
              <w:top w:val="nil"/>
              <w:left w:val="nil"/>
              <w:bottom w:val="nil"/>
              <w:right w:val="nil"/>
            </w:tcBorders>
            <w:shd w:val="clear" w:color="auto" w:fill="auto"/>
            <w:noWrap/>
            <w:vAlign w:val="bottom"/>
            <w:hideMark/>
          </w:tcPr>
          <w:p w14:paraId="1A65F43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81</w:t>
            </w:r>
          </w:p>
        </w:tc>
        <w:tc>
          <w:tcPr>
            <w:tcW w:w="777" w:type="pct"/>
            <w:tcBorders>
              <w:top w:val="nil"/>
              <w:left w:val="nil"/>
              <w:bottom w:val="nil"/>
              <w:right w:val="nil"/>
            </w:tcBorders>
            <w:shd w:val="clear" w:color="auto" w:fill="auto"/>
            <w:noWrap/>
            <w:vAlign w:val="bottom"/>
            <w:hideMark/>
          </w:tcPr>
          <w:p w14:paraId="5457CA7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81</w:t>
            </w:r>
          </w:p>
        </w:tc>
        <w:tc>
          <w:tcPr>
            <w:tcW w:w="2848" w:type="pct"/>
            <w:gridSpan w:val="2"/>
            <w:tcBorders>
              <w:top w:val="nil"/>
              <w:left w:val="nil"/>
              <w:bottom w:val="nil"/>
              <w:right w:val="nil"/>
            </w:tcBorders>
            <w:shd w:val="clear" w:color="auto" w:fill="auto"/>
            <w:noWrap/>
            <w:vAlign w:val="bottom"/>
            <w:hideMark/>
          </w:tcPr>
          <w:p w14:paraId="46FEE5D6"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Auckland Region</w:t>
            </w:r>
          </w:p>
        </w:tc>
      </w:tr>
      <w:tr w:rsidR="00192E3F" w:rsidRPr="001E66EF" w14:paraId="137883A5" w14:textId="77777777" w:rsidTr="00927ED5">
        <w:trPr>
          <w:trHeight w:val="57"/>
        </w:trPr>
        <w:tc>
          <w:tcPr>
            <w:tcW w:w="588" w:type="pct"/>
            <w:tcBorders>
              <w:top w:val="nil"/>
              <w:left w:val="nil"/>
              <w:bottom w:val="nil"/>
              <w:right w:val="nil"/>
            </w:tcBorders>
            <w:shd w:val="clear" w:color="auto" w:fill="auto"/>
            <w:noWrap/>
            <w:vAlign w:val="bottom"/>
            <w:hideMark/>
          </w:tcPr>
          <w:p w14:paraId="6D6C931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4</w:t>
            </w:r>
          </w:p>
        </w:tc>
        <w:tc>
          <w:tcPr>
            <w:tcW w:w="787" w:type="pct"/>
            <w:tcBorders>
              <w:top w:val="nil"/>
              <w:left w:val="nil"/>
              <w:bottom w:val="nil"/>
              <w:right w:val="nil"/>
            </w:tcBorders>
            <w:shd w:val="clear" w:color="auto" w:fill="auto"/>
            <w:noWrap/>
            <w:vAlign w:val="bottom"/>
            <w:hideMark/>
          </w:tcPr>
          <w:p w14:paraId="7953DBF4"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82</w:t>
            </w:r>
          </w:p>
        </w:tc>
        <w:tc>
          <w:tcPr>
            <w:tcW w:w="777" w:type="pct"/>
            <w:tcBorders>
              <w:top w:val="nil"/>
              <w:left w:val="nil"/>
              <w:bottom w:val="nil"/>
              <w:right w:val="nil"/>
            </w:tcBorders>
            <w:shd w:val="clear" w:color="auto" w:fill="auto"/>
            <w:noWrap/>
            <w:vAlign w:val="bottom"/>
            <w:hideMark/>
          </w:tcPr>
          <w:p w14:paraId="212A108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82</w:t>
            </w:r>
          </w:p>
        </w:tc>
        <w:tc>
          <w:tcPr>
            <w:tcW w:w="2848" w:type="pct"/>
            <w:gridSpan w:val="2"/>
            <w:tcBorders>
              <w:top w:val="nil"/>
              <w:left w:val="nil"/>
              <w:bottom w:val="nil"/>
              <w:right w:val="nil"/>
            </w:tcBorders>
            <w:shd w:val="clear" w:color="auto" w:fill="auto"/>
            <w:noWrap/>
            <w:vAlign w:val="bottom"/>
            <w:hideMark/>
          </w:tcPr>
          <w:p w14:paraId="65CA0D99"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Bay of Plenty Region</w:t>
            </w:r>
          </w:p>
        </w:tc>
      </w:tr>
      <w:tr w:rsidR="00192E3F" w:rsidRPr="001E66EF" w14:paraId="40CF65F7" w14:textId="77777777" w:rsidTr="00927ED5">
        <w:trPr>
          <w:trHeight w:val="57"/>
        </w:trPr>
        <w:tc>
          <w:tcPr>
            <w:tcW w:w="588" w:type="pct"/>
            <w:tcBorders>
              <w:top w:val="nil"/>
              <w:left w:val="nil"/>
              <w:bottom w:val="nil"/>
              <w:right w:val="nil"/>
            </w:tcBorders>
            <w:shd w:val="clear" w:color="auto" w:fill="auto"/>
            <w:noWrap/>
            <w:vAlign w:val="bottom"/>
            <w:hideMark/>
          </w:tcPr>
          <w:p w14:paraId="115F1B5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787" w:type="pct"/>
            <w:tcBorders>
              <w:top w:val="nil"/>
              <w:left w:val="nil"/>
              <w:bottom w:val="nil"/>
              <w:right w:val="nil"/>
            </w:tcBorders>
            <w:shd w:val="clear" w:color="auto" w:fill="auto"/>
            <w:noWrap/>
            <w:vAlign w:val="bottom"/>
            <w:hideMark/>
          </w:tcPr>
          <w:p w14:paraId="08A8E6F9"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83</w:t>
            </w:r>
          </w:p>
        </w:tc>
        <w:tc>
          <w:tcPr>
            <w:tcW w:w="777" w:type="pct"/>
            <w:tcBorders>
              <w:top w:val="nil"/>
              <w:left w:val="nil"/>
              <w:bottom w:val="nil"/>
              <w:right w:val="nil"/>
            </w:tcBorders>
            <w:shd w:val="clear" w:color="auto" w:fill="auto"/>
            <w:noWrap/>
            <w:vAlign w:val="bottom"/>
            <w:hideMark/>
          </w:tcPr>
          <w:p w14:paraId="52B1966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83</w:t>
            </w:r>
          </w:p>
        </w:tc>
        <w:tc>
          <w:tcPr>
            <w:tcW w:w="2848" w:type="pct"/>
            <w:gridSpan w:val="2"/>
            <w:tcBorders>
              <w:top w:val="nil"/>
              <w:left w:val="nil"/>
              <w:bottom w:val="nil"/>
              <w:right w:val="nil"/>
            </w:tcBorders>
            <w:shd w:val="clear" w:color="auto" w:fill="auto"/>
            <w:noWrap/>
            <w:vAlign w:val="bottom"/>
            <w:hideMark/>
          </w:tcPr>
          <w:p w14:paraId="01E4C7BE"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Canterbury Region</w:t>
            </w:r>
          </w:p>
        </w:tc>
      </w:tr>
      <w:tr w:rsidR="00192E3F" w:rsidRPr="001E66EF" w14:paraId="15C7706E" w14:textId="77777777" w:rsidTr="00927ED5">
        <w:trPr>
          <w:trHeight w:val="57"/>
        </w:trPr>
        <w:tc>
          <w:tcPr>
            <w:tcW w:w="588" w:type="pct"/>
            <w:tcBorders>
              <w:top w:val="nil"/>
              <w:left w:val="nil"/>
              <w:bottom w:val="nil"/>
              <w:right w:val="nil"/>
            </w:tcBorders>
            <w:shd w:val="clear" w:color="auto" w:fill="auto"/>
            <w:noWrap/>
            <w:vAlign w:val="bottom"/>
            <w:hideMark/>
          </w:tcPr>
          <w:p w14:paraId="6F87996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5</w:t>
            </w:r>
          </w:p>
        </w:tc>
        <w:tc>
          <w:tcPr>
            <w:tcW w:w="787" w:type="pct"/>
            <w:tcBorders>
              <w:top w:val="nil"/>
              <w:left w:val="nil"/>
              <w:bottom w:val="nil"/>
              <w:right w:val="nil"/>
            </w:tcBorders>
            <w:shd w:val="clear" w:color="auto" w:fill="auto"/>
            <w:noWrap/>
            <w:vAlign w:val="bottom"/>
            <w:hideMark/>
          </w:tcPr>
          <w:p w14:paraId="40162CF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84</w:t>
            </w:r>
          </w:p>
        </w:tc>
        <w:tc>
          <w:tcPr>
            <w:tcW w:w="777" w:type="pct"/>
            <w:tcBorders>
              <w:top w:val="nil"/>
              <w:left w:val="nil"/>
              <w:bottom w:val="nil"/>
              <w:right w:val="nil"/>
            </w:tcBorders>
            <w:shd w:val="clear" w:color="auto" w:fill="auto"/>
            <w:noWrap/>
            <w:vAlign w:val="bottom"/>
            <w:hideMark/>
          </w:tcPr>
          <w:p w14:paraId="2DC7BA1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84</w:t>
            </w:r>
          </w:p>
        </w:tc>
        <w:tc>
          <w:tcPr>
            <w:tcW w:w="2848" w:type="pct"/>
            <w:gridSpan w:val="2"/>
            <w:tcBorders>
              <w:top w:val="nil"/>
              <w:left w:val="nil"/>
              <w:bottom w:val="nil"/>
              <w:right w:val="nil"/>
            </w:tcBorders>
            <w:shd w:val="clear" w:color="auto" w:fill="auto"/>
            <w:noWrap/>
            <w:vAlign w:val="bottom"/>
            <w:hideMark/>
          </w:tcPr>
          <w:p w14:paraId="623B3E07"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Gisborne Region</w:t>
            </w:r>
          </w:p>
        </w:tc>
      </w:tr>
      <w:tr w:rsidR="00192E3F" w:rsidRPr="001E66EF" w14:paraId="4CC160AE" w14:textId="77777777" w:rsidTr="00927ED5">
        <w:trPr>
          <w:trHeight w:val="57"/>
        </w:trPr>
        <w:tc>
          <w:tcPr>
            <w:tcW w:w="588" w:type="pct"/>
            <w:tcBorders>
              <w:top w:val="nil"/>
              <w:left w:val="nil"/>
              <w:bottom w:val="nil"/>
              <w:right w:val="nil"/>
            </w:tcBorders>
            <w:shd w:val="clear" w:color="auto" w:fill="auto"/>
            <w:noWrap/>
            <w:vAlign w:val="bottom"/>
            <w:hideMark/>
          </w:tcPr>
          <w:p w14:paraId="1F30F64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787" w:type="pct"/>
            <w:tcBorders>
              <w:top w:val="nil"/>
              <w:left w:val="nil"/>
              <w:bottom w:val="nil"/>
              <w:right w:val="nil"/>
            </w:tcBorders>
            <w:shd w:val="clear" w:color="auto" w:fill="auto"/>
            <w:noWrap/>
            <w:vAlign w:val="bottom"/>
            <w:hideMark/>
          </w:tcPr>
          <w:p w14:paraId="346555E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85</w:t>
            </w:r>
          </w:p>
        </w:tc>
        <w:tc>
          <w:tcPr>
            <w:tcW w:w="777" w:type="pct"/>
            <w:tcBorders>
              <w:top w:val="nil"/>
              <w:left w:val="nil"/>
              <w:bottom w:val="nil"/>
              <w:right w:val="nil"/>
            </w:tcBorders>
            <w:shd w:val="clear" w:color="auto" w:fill="auto"/>
            <w:noWrap/>
            <w:vAlign w:val="bottom"/>
            <w:hideMark/>
          </w:tcPr>
          <w:p w14:paraId="2E9DD47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85</w:t>
            </w:r>
          </w:p>
        </w:tc>
        <w:tc>
          <w:tcPr>
            <w:tcW w:w="2848" w:type="pct"/>
            <w:gridSpan w:val="2"/>
            <w:tcBorders>
              <w:top w:val="nil"/>
              <w:left w:val="nil"/>
              <w:bottom w:val="nil"/>
              <w:right w:val="nil"/>
            </w:tcBorders>
            <w:shd w:val="clear" w:color="auto" w:fill="auto"/>
            <w:noWrap/>
            <w:vAlign w:val="bottom"/>
            <w:hideMark/>
          </w:tcPr>
          <w:p w14:paraId="77ECA6A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Hawke's Bay Region</w:t>
            </w:r>
          </w:p>
        </w:tc>
      </w:tr>
      <w:tr w:rsidR="00192E3F" w:rsidRPr="001E66EF" w14:paraId="44548B5D" w14:textId="77777777" w:rsidTr="00927ED5">
        <w:trPr>
          <w:trHeight w:val="57"/>
        </w:trPr>
        <w:tc>
          <w:tcPr>
            <w:tcW w:w="588" w:type="pct"/>
            <w:tcBorders>
              <w:top w:val="nil"/>
              <w:left w:val="nil"/>
              <w:bottom w:val="nil"/>
              <w:right w:val="nil"/>
            </w:tcBorders>
            <w:shd w:val="clear" w:color="auto" w:fill="auto"/>
            <w:noWrap/>
            <w:vAlign w:val="bottom"/>
            <w:hideMark/>
          </w:tcPr>
          <w:p w14:paraId="31A6C62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w:t>
            </w:r>
          </w:p>
        </w:tc>
        <w:tc>
          <w:tcPr>
            <w:tcW w:w="787" w:type="pct"/>
            <w:tcBorders>
              <w:top w:val="nil"/>
              <w:left w:val="nil"/>
              <w:bottom w:val="nil"/>
              <w:right w:val="nil"/>
            </w:tcBorders>
            <w:shd w:val="clear" w:color="auto" w:fill="auto"/>
            <w:noWrap/>
            <w:vAlign w:val="bottom"/>
            <w:hideMark/>
          </w:tcPr>
          <w:p w14:paraId="660CC94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86</w:t>
            </w:r>
          </w:p>
        </w:tc>
        <w:tc>
          <w:tcPr>
            <w:tcW w:w="777" w:type="pct"/>
            <w:tcBorders>
              <w:top w:val="nil"/>
              <w:left w:val="nil"/>
              <w:bottom w:val="nil"/>
              <w:right w:val="nil"/>
            </w:tcBorders>
            <w:shd w:val="clear" w:color="auto" w:fill="auto"/>
            <w:noWrap/>
            <w:vAlign w:val="bottom"/>
            <w:hideMark/>
          </w:tcPr>
          <w:p w14:paraId="1393172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86</w:t>
            </w:r>
          </w:p>
        </w:tc>
        <w:tc>
          <w:tcPr>
            <w:tcW w:w="2848" w:type="pct"/>
            <w:gridSpan w:val="2"/>
            <w:tcBorders>
              <w:top w:val="nil"/>
              <w:left w:val="nil"/>
              <w:bottom w:val="nil"/>
              <w:right w:val="nil"/>
            </w:tcBorders>
            <w:shd w:val="clear" w:color="auto" w:fill="auto"/>
            <w:noWrap/>
            <w:vAlign w:val="bottom"/>
            <w:hideMark/>
          </w:tcPr>
          <w:p w14:paraId="0CEB923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w:t>
            </w:r>
            <w:proofErr w:type="spellStart"/>
            <w:r w:rsidRPr="001E66EF">
              <w:rPr>
                <w:rFonts w:eastAsia="Times New Roman" w:cs="Times New Roman"/>
                <w:color w:val="000000"/>
                <w:sz w:val="16"/>
                <w:szCs w:val="16"/>
                <w:lang w:eastAsia="en-NZ"/>
              </w:rPr>
              <w:t>Manawatu</w:t>
            </w:r>
            <w:proofErr w:type="spellEnd"/>
            <w:r w:rsidRPr="001E66EF">
              <w:rPr>
                <w:rFonts w:eastAsia="Times New Roman" w:cs="Times New Roman"/>
                <w:color w:val="000000"/>
                <w:sz w:val="16"/>
                <w:szCs w:val="16"/>
                <w:lang w:eastAsia="en-NZ"/>
              </w:rPr>
              <w:t>-Wanganui Region</w:t>
            </w:r>
          </w:p>
        </w:tc>
      </w:tr>
      <w:tr w:rsidR="00192E3F" w:rsidRPr="001E66EF" w14:paraId="7FE81A2C" w14:textId="77777777" w:rsidTr="00927ED5">
        <w:trPr>
          <w:trHeight w:val="57"/>
        </w:trPr>
        <w:tc>
          <w:tcPr>
            <w:tcW w:w="588" w:type="pct"/>
            <w:tcBorders>
              <w:top w:val="nil"/>
              <w:left w:val="nil"/>
              <w:bottom w:val="nil"/>
              <w:right w:val="nil"/>
            </w:tcBorders>
            <w:shd w:val="clear" w:color="auto" w:fill="auto"/>
            <w:noWrap/>
            <w:vAlign w:val="bottom"/>
            <w:hideMark/>
          </w:tcPr>
          <w:p w14:paraId="7A734AA5"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18</w:t>
            </w:r>
          </w:p>
        </w:tc>
        <w:tc>
          <w:tcPr>
            <w:tcW w:w="787" w:type="pct"/>
            <w:tcBorders>
              <w:top w:val="nil"/>
              <w:left w:val="nil"/>
              <w:bottom w:val="nil"/>
              <w:right w:val="nil"/>
            </w:tcBorders>
            <w:shd w:val="clear" w:color="auto" w:fill="auto"/>
            <w:noWrap/>
            <w:vAlign w:val="bottom"/>
            <w:hideMark/>
          </w:tcPr>
          <w:p w14:paraId="3403904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87</w:t>
            </w:r>
          </w:p>
        </w:tc>
        <w:tc>
          <w:tcPr>
            <w:tcW w:w="777" w:type="pct"/>
            <w:tcBorders>
              <w:top w:val="nil"/>
              <w:left w:val="nil"/>
              <w:bottom w:val="nil"/>
              <w:right w:val="nil"/>
            </w:tcBorders>
            <w:shd w:val="clear" w:color="auto" w:fill="auto"/>
            <w:noWrap/>
            <w:vAlign w:val="bottom"/>
            <w:hideMark/>
          </w:tcPr>
          <w:p w14:paraId="07C3DDA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87</w:t>
            </w:r>
          </w:p>
        </w:tc>
        <w:tc>
          <w:tcPr>
            <w:tcW w:w="2848" w:type="pct"/>
            <w:gridSpan w:val="2"/>
            <w:tcBorders>
              <w:top w:val="nil"/>
              <w:left w:val="nil"/>
              <w:bottom w:val="nil"/>
              <w:right w:val="nil"/>
            </w:tcBorders>
            <w:shd w:val="clear" w:color="auto" w:fill="auto"/>
            <w:noWrap/>
            <w:vAlign w:val="bottom"/>
            <w:hideMark/>
          </w:tcPr>
          <w:p w14:paraId="0019FC1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Marlborough Region</w:t>
            </w:r>
          </w:p>
        </w:tc>
      </w:tr>
      <w:tr w:rsidR="00192E3F" w:rsidRPr="001E66EF" w14:paraId="147FADDF" w14:textId="77777777" w:rsidTr="00927ED5">
        <w:trPr>
          <w:trHeight w:val="57"/>
        </w:trPr>
        <w:tc>
          <w:tcPr>
            <w:tcW w:w="588" w:type="pct"/>
            <w:tcBorders>
              <w:top w:val="nil"/>
              <w:left w:val="nil"/>
              <w:bottom w:val="nil"/>
              <w:right w:val="nil"/>
            </w:tcBorders>
            <w:shd w:val="clear" w:color="auto" w:fill="auto"/>
            <w:noWrap/>
            <w:vAlign w:val="bottom"/>
            <w:hideMark/>
          </w:tcPr>
          <w:p w14:paraId="06410FD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787" w:type="pct"/>
            <w:tcBorders>
              <w:top w:val="nil"/>
              <w:left w:val="nil"/>
              <w:bottom w:val="nil"/>
              <w:right w:val="nil"/>
            </w:tcBorders>
            <w:shd w:val="clear" w:color="auto" w:fill="auto"/>
            <w:noWrap/>
            <w:vAlign w:val="bottom"/>
            <w:hideMark/>
          </w:tcPr>
          <w:p w14:paraId="0908493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88</w:t>
            </w:r>
          </w:p>
        </w:tc>
        <w:tc>
          <w:tcPr>
            <w:tcW w:w="777" w:type="pct"/>
            <w:tcBorders>
              <w:top w:val="nil"/>
              <w:left w:val="nil"/>
              <w:bottom w:val="nil"/>
              <w:right w:val="nil"/>
            </w:tcBorders>
            <w:shd w:val="clear" w:color="auto" w:fill="auto"/>
            <w:noWrap/>
            <w:vAlign w:val="bottom"/>
            <w:hideMark/>
          </w:tcPr>
          <w:p w14:paraId="1DECEA9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88</w:t>
            </w:r>
          </w:p>
        </w:tc>
        <w:tc>
          <w:tcPr>
            <w:tcW w:w="2848" w:type="pct"/>
            <w:gridSpan w:val="2"/>
            <w:tcBorders>
              <w:top w:val="nil"/>
              <w:left w:val="nil"/>
              <w:bottom w:val="nil"/>
              <w:right w:val="nil"/>
            </w:tcBorders>
            <w:shd w:val="clear" w:color="auto" w:fill="auto"/>
            <w:noWrap/>
            <w:vAlign w:val="bottom"/>
            <w:hideMark/>
          </w:tcPr>
          <w:p w14:paraId="24EF89A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Nelson Region</w:t>
            </w:r>
          </w:p>
        </w:tc>
      </w:tr>
      <w:tr w:rsidR="00192E3F" w:rsidRPr="001E66EF" w14:paraId="23DEACC9" w14:textId="77777777" w:rsidTr="00927ED5">
        <w:trPr>
          <w:trHeight w:val="57"/>
        </w:trPr>
        <w:tc>
          <w:tcPr>
            <w:tcW w:w="588" w:type="pct"/>
            <w:tcBorders>
              <w:top w:val="nil"/>
              <w:left w:val="nil"/>
              <w:bottom w:val="nil"/>
              <w:right w:val="nil"/>
            </w:tcBorders>
            <w:shd w:val="clear" w:color="auto" w:fill="auto"/>
            <w:noWrap/>
            <w:vAlign w:val="bottom"/>
            <w:hideMark/>
          </w:tcPr>
          <w:p w14:paraId="013E095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787" w:type="pct"/>
            <w:tcBorders>
              <w:top w:val="nil"/>
              <w:left w:val="nil"/>
              <w:bottom w:val="nil"/>
              <w:right w:val="nil"/>
            </w:tcBorders>
            <w:shd w:val="clear" w:color="auto" w:fill="auto"/>
            <w:noWrap/>
            <w:vAlign w:val="bottom"/>
            <w:hideMark/>
          </w:tcPr>
          <w:p w14:paraId="43F8694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89</w:t>
            </w:r>
          </w:p>
        </w:tc>
        <w:tc>
          <w:tcPr>
            <w:tcW w:w="777" w:type="pct"/>
            <w:tcBorders>
              <w:top w:val="nil"/>
              <w:left w:val="nil"/>
              <w:bottom w:val="nil"/>
              <w:right w:val="nil"/>
            </w:tcBorders>
            <w:shd w:val="clear" w:color="auto" w:fill="auto"/>
            <w:noWrap/>
            <w:vAlign w:val="bottom"/>
            <w:hideMark/>
          </w:tcPr>
          <w:p w14:paraId="2BEC9900"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89</w:t>
            </w:r>
          </w:p>
        </w:tc>
        <w:tc>
          <w:tcPr>
            <w:tcW w:w="2848" w:type="pct"/>
            <w:gridSpan w:val="2"/>
            <w:tcBorders>
              <w:top w:val="nil"/>
              <w:left w:val="nil"/>
              <w:bottom w:val="nil"/>
              <w:right w:val="nil"/>
            </w:tcBorders>
            <w:shd w:val="clear" w:color="auto" w:fill="auto"/>
            <w:noWrap/>
            <w:vAlign w:val="bottom"/>
            <w:hideMark/>
          </w:tcPr>
          <w:p w14:paraId="2EB654C4"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Northland Region</w:t>
            </w:r>
          </w:p>
        </w:tc>
      </w:tr>
      <w:tr w:rsidR="00192E3F" w:rsidRPr="001E66EF" w14:paraId="0F30557E" w14:textId="77777777" w:rsidTr="00927ED5">
        <w:trPr>
          <w:trHeight w:val="57"/>
        </w:trPr>
        <w:tc>
          <w:tcPr>
            <w:tcW w:w="588" w:type="pct"/>
            <w:tcBorders>
              <w:top w:val="nil"/>
              <w:left w:val="nil"/>
              <w:bottom w:val="nil"/>
              <w:right w:val="nil"/>
            </w:tcBorders>
            <w:shd w:val="clear" w:color="auto" w:fill="auto"/>
            <w:noWrap/>
            <w:vAlign w:val="bottom"/>
            <w:hideMark/>
          </w:tcPr>
          <w:p w14:paraId="30975CB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787" w:type="pct"/>
            <w:tcBorders>
              <w:top w:val="nil"/>
              <w:left w:val="nil"/>
              <w:bottom w:val="nil"/>
              <w:right w:val="nil"/>
            </w:tcBorders>
            <w:shd w:val="clear" w:color="auto" w:fill="auto"/>
            <w:noWrap/>
            <w:vAlign w:val="bottom"/>
            <w:hideMark/>
          </w:tcPr>
          <w:p w14:paraId="39CD573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90</w:t>
            </w:r>
          </w:p>
        </w:tc>
        <w:tc>
          <w:tcPr>
            <w:tcW w:w="777" w:type="pct"/>
            <w:tcBorders>
              <w:top w:val="nil"/>
              <w:left w:val="nil"/>
              <w:bottom w:val="nil"/>
              <w:right w:val="nil"/>
            </w:tcBorders>
            <w:shd w:val="clear" w:color="auto" w:fill="auto"/>
            <w:noWrap/>
            <w:vAlign w:val="bottom"/>
            <w:hideMark/>
          </w:tcPr>
          <w:p w14:paraId="159888D1"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90</w:t>
            </w:r>
          </w:p>
        </w:tc>
        <w:tc>
          <w:tcPr>
            <w:tcW w:w="2848" w:type="pct"/>
            <w:gridSpan w:val="2"/>
            <w:tcBorders>
              <w:top w:val="nil"/>
              <w:left w:val="nil"/>
              <w:bottom w:val="nil"/>
              <w:right w:val="nil"/>
            </w:tcBorders>
            <w:shd w:val="clear" w:color="auto" w:fill="auto"/>
            <w:noWrap/>
            <w:vAlign w:val="bottom"/>
            <w:hideMark/>
          </w:tcPr>
          <w:p w14:paraId="17C5829C"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Otago Region</w:t>
            </w:r>
          </w:p>
        </w:tc>
      </w:tr>
      <w:tr w:rsidR="00192E3F" w:rsidRPr="001E66EF" w14:paraId="6171D304" w14:textId="77777777" w:rsidTr="00927ED5">
        <w:trPr>
          <w:trHeight w:val="57"/>
        </w:trPr>
        <w:tc>
          <w:tcPr>
            <w:tcW w:w="588" w:type="pct"/>
            <w:tcBorders>
              <w:top w:val="nil"/>
              <w:left w:val="nil"/>
              <w:bottom w:val="nil"/>
              <w:right w:val="nil"/>
            </w:tcBorders>
            <w:shd w:val="clear" w:color="auto" w:fill="auto"/>
            <w:noWrap/>
            <w:vAlign w:val="bottom"/>
            <w:hideMark/>
          </w:tcPr>
          <w:p w14:paraId="4C4C8CC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15</w:t>
            </w:r>
          </w:p>
        </w:tc>
        <w:tc>
          <w:tcPr>
            <w:tcW w:w="787" w:type="pct"/>
            <w:tcBorders>
              <w:top w:val="nil"/>
              <w:left w:val="nil"/>
              <w:bottom w:val="nil"/>
              <w:right w:val="nil"/>
            </w:tcBorders>
            <w:shd w:val="clear" w:color="auto" w:fill="auto"/>
            <w:noWrap/>
            <w:vAlign w:val="bottom"/>
            <w:hideMark/>
          </w:tcPr>
          <w:p w14:paraId="2FC27FFF"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91</w:t>
            </w:r>
          </w:p>
        </w:tc>
        <w:tc>
          <w:tcPr>
            <w:tcW w:w="777" w:type="pct"/>
            <w:tcBorders>
              <w:top w:val="nil"/>
              <w:left w:val="nil"/>
              <w:bottom w:val="nil"/>
              <w:right w:val="nil"/>
            </w:tcBorders>
            <w:shd w:val="clear" w:color="auto" w:fill="auto"/>
            <w:noWrap/>
            <w:vAlign w:val="bottom"/>
            <w:hideMark/>
          </w:tcPr>
          <w:p w14:paraId="53B52636"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91</w:t>
            </w:r>
          </w:p>
        </w:tc>
        <w:tc>
          <w:tcPr>
            <w:tcW w:w="2848" w:type="pct"/>
            <w:gridSpan w:val="2"/>
            <w:tcBorders>
              <w:top w:val="nil"/>
              <w:left w:val="nil"/>
              <w:bottom w:val="nil"/>
              <w:right w:val="nil"/>
            </w:tcBorders>
            <w:shd w:val="clear" w:color="auto" w:fill="auto"/>
            <w:noWrap/>
            <w:vAlign w:val="bottom"/>
            <w:hideMark/>
          </w:tcPr>
          <w:p w14:paraId="6787D7E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Southland Region</w:t>
            </w:r>
          </w:p>
        </w:tc>
      </w:tr>
      <w:tr w:rsidR="00192E3F" w:rsidRPr="001E66EF" w14:paraId="03D97D07" w14:textId="77777777" w:rsidTr="00927ED5">
        <w:trPr>
          <w:trHeight w:val="57"/>
        </w:trPr>
        <w:tc>
          <w:tcPr>
            <w:tcW w:w="588" w:type="pct"/>
            <w:tcBorders>
              <w:top w:val="nil"/>
              <w:left w:val="nil"/>
              <w:bottom w:val="nil"/>
              <w:right w:val="nil"/>
            </w:tcBorders>
            <w:shd w:val="clear" w:color="auto" w:fill="auto"/>
            <w:noWrap/>
            <w:vAlign w:val="bottom"/>
            <w:hideMark/>
          </w:tcPr>
          <w:p w14:paraId="66B91917"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787" w:type="pct"/>
            <w:tcBorders>
              <w:top w:val="nil"/>
              <w:left w:val="nil"/>
              <w:bottom w:val="nil"/>
              <w:right w:val="nil"/>
            </w:tcBorders>
            <w:shd w:val="clear" w:color="auto" w:fill="auto"/>
            <w:noWrap/>
            <w:vAlign w:val="bottom"/>
            <w:hideMark/>
          </w:tcPr>
          <w:p w14:paraId="660482FC"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92</w:t>
            </w:r>
          </w:p>
        </w:tc>
        <w:tc>
          <w:tcPr>
            <w:tcW w:w="777" w:type="pct"/>
            <w:tcBorders>
              <w:top w:val="nil"/>
              <w:left w:val="nil"/>
              <w:bottom w:val="nil"/>
              <w:right w:val="nil"/>
            </w:tcBorders>
            <w:shd w:val="clear" w:color="auto" w:fill="auto"/>
            <w:noWrap/>
            <w:vAlign w:val="bottom"/>
            <w:hideMark/>
          </w:tcPr>
          <w:p w14:paraId="5621F282"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92</w:t>
            </w:r>
          </w:p>
        </w:tc>
        <w:tc>
          <w:tcPr>
            <w:tcW w:w="2848" w:type="pct"/>
            <w:gridSpan w:val="2"/>
            <w:tcBorders>
              <w:top w:val="nil"/>
              <w:left w:val="nil"/>
              <w:bottom w:val="nil"/>
              <w:right w:val="nil"/>
            </w:tcBorders>
            <w:shd w:val="clear" w:color="auto" w:fill="auto"/>
            <w:noWrap/>
            <w:vAlign w:val="bottom"/>
            <w:hideMark/>
          </w:tcPr>
          <w:p w14:paraId="6F6153D1"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Taranaki Region</w:t>
            </w:r>
          </w:p>
        </w:tc>
      </w:tr>
      <w:tr w:rsidR="00192E3F" w:rsidRPr="001E66EF" w14:paraId="1379C310" w14:textId="77777777" w:rsidTr="00927ED5">
        <w:trPr>
          <w:trHeight w:val="57"/>
        </w:trPr>
        <w:tc>
          <w:tcPr>
            <w:tcW w:w="588" w:type="pct"/>
            <w:tcBorders>
              <w:top w:val="nil"/>
              <w:left w:val="nil"/>
              <w:bottom w:val="nil"/>
              <w:right w:val="nil"/>
            </w:tcBorders>
            <w:shd w:val="clear" w:color="auto" w:fill="auto"/>
            <w:noWrap/>
            <w:vAlign w:val="bottom"/>
            <w:hideMark/>
          </w:tcPr>
          <w:p w14:paraId="499E320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16</w:t>
            </w:r>
          </w:p>
        </w:tc>
        <w:tc>
          <w:tcPr>
            <w:tcW w:w="787" w:type="pct"/>
            <w:tcBorders>
              <w:top w:val="nil"/>
              <w:left w:val="nil"/>
              <w:bottom w:val="nil"/>
              <w:right w:val="nil"/>
            </w:tcBorders>
            <w:shd w:val="clear" w:color="auto" w:fill="auto"/>
            <w:noWrap/>
            <w:vAlign w:val="bottom"/>
            <w:hideMark/>
          </w:tcPr>
          <w:p w14:paraId="54F166F8"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93</w:t>
            </w:r>
          </w:p>
        </w:tc>
        <w:tc>
          <w:tcPr>
            <w:tcW w:w="777" w:type="pct"/>
            <w:tcBorders>
              <w:top w:val="nil"/>
              <w:left w:val="nil"/>
              <w:bottom w:val="nil"/>
              <w:right w:val="nil"/>
            </w:tcBorders>
            <w:shd w:val="clear" w:color="auto" w:fill="auto"/>
            <w:noWrap/>
            <w:vAlign w:val="bottom"/>
            <w:hideMark/>
          </w:tcPr>
          <w:p w14:paraId="4C0815A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93</w:t>
            </w:r>
          </w:p>
        </w:tc>
        <w:tc>
          <w:tcPr>
            <w:tcW w:w="2848" w:type="pct"/>
            <w:gridSpan w:val="2"/>
            <w:tcBorders>
              <w:top w:val="nil"/>
              <w:left w:val="nil"/>
              <w:bottom w:val="nil"/>
              <w:right w:val="nil"/>
            </w:tcBorders>
            <w:shd w:val="clear" w:color="auto" w:fill="auto"/>
            <w:noWrap/>
            <w:vAlign w:val="bottom"/>
            <w:hideMark/>
          </w:tcPr>
          <w:p w14:paraId="6D348907"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Tasman Region</w:t>
            </w:r>
          </w:p>
        </w:tc>
      </w:tr>
      <w:tr w:rsidR="00192E3F" w:rsidRPr="001E66EF" w14:paraId="0253048A" w14:textId="77777777" w:rsidTr="00927ED5">
        <w:trPr>
          <w:trHeight w:val="57"/>
        </w:trPr>
        <w:tc>
          <w:tcPr>
            <w:tcW w:w="588" w:type="pct"/>
            <w:tcBorders>
              <w:top w:val="nil"/>
              <w:left w:val="nil"/>
              <w:bottom w:val="nil"/>
              <w:right w:val="nil"/>
            </w:tcBorders>
            <w:shd w:val="clear" w:color="auto" w:fill="auto"/>
            <w:noWrap/>
            <w:vAlign w:val="bottom"/>
            <w:hideMark/>
          </w:tcPr>
          <w:p w14:paraId="413CF77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787" w:type="pct"/>
            <w:tcBorders>
              <w:top w:val="nil"/>
              <w:left w:val="nil"/>
              <w:bottom w:val="nil"/>
              <w:right w:val="nil"/>
            </w:tcBorders>
            <w:shd w:val="clear" w:color="auto" w:fill="auto"/>
            <w:noWrap/>
            <w:vAlign w:val="bottom"/>
            <w:hideMark/>
          </w:tcPr>
          <w:p w14:paraId="5AEF0C2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94</w:t>
            </w:r>
          </w:p>
        </w:tc>
        <w:tc>
          <w:tcPr>
            <w:tcW w:w="777" w:type="pct"/>
            <w:tcBorders>
              <w:top w:val="nil"/>
              <w:left w:val="nil"/>
              <w:bottom w:val="nil"/>
              <w:right w:val="nil"/>
            </w:tcBorders>
            <w:shd w:val="clear" w:color="auto" w:fill="auto"/>
            <w:noWrap/>
            <w:vAlign w:val="bottom"/>
            <w:hideMark/>
          </w:tcPr>
          <w:p w14:paraId="1FB18E7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94</w:t>
            </w:r>
          </w:p>
        </w:tc>
        <w:tc>
          <w:tcPr>
            <w:tcW w:w="2848" w:type="pct"/>
            <w:gridSpan w:val="2"/>
            <w:tcBorders>
              <w:top w:val="nil"/>
              <w:left w:val="nil"/>
              <w:bottom w:val="nil"/>
              <w:right w:val="nil"/>
            </w:tcBorders>
            <w:shd w:val="clear" w:color="auto" w:fill="auto"/>
            <w:noWrap/>
            <w:vAlign w:val="bottom"/>
            <w:hideMark/>
          </w:tcPr>
          <w:p w14:paraId="79B3D082"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Waikato Region</w:t>
            </w:r>
          </w:p>
        </w:tc>
      </w:tr>
      <w:tr w:rsidR="00192E3F" w:rsidRPr="001E66EF" w14:paraId="73B81A3F" w14:textId="77777777" w:rsidTr="00927ED5">
        <w:trPr>
          <w:trHeight w:val="57"/>
        </w:trPr>
        <w:tc>
          <w:tcPr>
            <w:tcW w:w="588" w:type="pct"/>
            <w:tcBorders>
              <w:top w:val="nil"/>
              <w:left w:val="nil"/>
              <w:bottom w:val="nil"/>
              <w:right w:val="nil"/>
            </w:tcBorders>
            <w:shd w:val="clear" w:color="auto" w:fill="auto"/>
            <w:noWrap/>
            <w:vAlign w:val="bottom"/>
            <w:hideMark/>
          </w:tcPr>
          <w:p w14:paraId="45E1D89B"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787" w:type="pct"/>
            <w:tcBorders>
              <w:top w:val="nil"/>
              <w:left w:val="nil"/>
              <w:bottom w:val="nil"/>
              <w:right w:val="nil"/>
            </w:tcBorders>
            <w:shd w:val="clear" w:color="auto" w:fill="auto"/>
            <w:noWrap/>
            <w:vAlign w:val="bottom"/>
            <w:hideMark/>
          </w:tcPr>
          <w:p w14:paraId="043F8E2D"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95</w:t>
            </w:r>
          </w:p>
        </w:tc>
        <w:tc>
          <w:tcPr>
            <w:tcW w:w="777" w:type="pct"/>
            <w:tcBorders>
              <w:top w:val="nil"/>
              <w:left w:val="nil"/>
              <w:bottom w:val="nil"/>
              <w:right w:val="nil"/>
            </w:tcBorders>
            <w:shd w:val="clear" w:color="auto" w:fill="auto"/>
            <w:noWrap/>
            <w:vAlign w:val="bottom"/>
            <w:hideMark/>
          </w:tcPr>
          <w:p w14:paraId="153E12F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95</w:t>
            </w:r>
          </w:p>
        </w:tc>
        <w:tc>
          <w:tcPr>
            <w:tcW w:w="2848" w:type="pct"/>
            <w:gridSpan w:val="2"/>
            <w:tcBorders>
              <w:top w:val="nil"/>
              <w:left w:val="nil"/>
              <w:bottom w:val="nil"/>
              <w:right w:val="nil"/>
            </w:tcBorders>
            <w:shd w:val="clear" w:color="auto" w:fill="auto"/>
            <w:noWrap/>
            <w:vAlign w:val="bottom"/>
            <w:hideMark/>
          </w:tcPr>
          <w:p w14:paraId="096B480F"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Wellington Region</w:t>
            </w:r>
          </w:p>
        </w:tc>
      </w:tr>
      <w:tr w:rsidR="00192E3F" w:rsidRPr="001E66EF" w14:paraId="12A62E39" w14:textId="77777777" w:rsidTr="00927ED5">
        <w:trPr>
          <w:trHeight w:val="57"/>
        </w:trPr>
        <w:tc>
          <w:tcPr>
            <w:tcW w:w="588" w:type="pct"/>
            <w:tcBorders>
              <w:top w:val="nil"/>
              <w:left w:val="nil"/>
              <w:bottom w:val="nil"/>
              <w:right w:val="nil"/>
            </w:tcBorders>
            <w:shd w:val="clear" w:color="auto" w:fill="auto"/>
            <w:noWrap/>
            <w:vAlign w:val="bottom"/>
            <w:hideMark/>
          </w:tcPr>
          <w:p w14:paraId="78D3E8EE"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12</w:t>
            </w:r>
          </w:p>
        </w:tc>
        <w:tc>
          <w:tcPr>
            <w:tcW w:w="787" w:type="pct"/>
            <w:tcBorders>
              <w:top w:val="nil"/>
              <w:left w:val="nil"/>
              <w:bottom w:val="nil"/>
              <w:right w:val="nil"/>
            </w:tcBorders>
            <w:shd w:val="clear" w:color="auto" w:fill="auto"/>
            <w:noWrap/>
            <w:vAlign w:val="bottom"/>
            <w:hideMark/>
          </w:tcPr>
          <w:p w14:paraId="749BF103"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96</w:t>
            </w:r>
          </w:p>
        </w:tc>
        <w:tc>
          <w:tcPr>
            <w:tcW w:w="777" w:type="pct"/>
            <w:tcBorders>
              <w:top w:val="nil"/>
              <w:left w:val="nil"/>
              <w:bottom w:val="nil"/>
              <w:right w:val="nil"/>
            </w:tcBorders>
            <w:shd w:val="clear" w:color="auto" w:fill="auto"/>
            <w:noWrap/>
            <w:vAlign w:val="bottom"/>
            <w:hideMark/>
          </w:tcPr>
          <w:p w14:paraId="1D79F85A" w14:textId="77777777" w:rsidR="00192E3F" w:rsidRPr="001E66EF" w:rsidRDefault="00192E3F" w:rsidP="00192E3F">
            <w:pPr>
              <w:spacing w:after="0" w:line="240" w:lineRule="auto"/>
              <w:ind w:left="0"/>
              <w:jc w:val="right"/>
              <w:rPr>
                <w:rFonts w:eastAsia="Times New Roman" w:cs="Times New Roman"/>
                <w:color w:val="000000"/>
                <w:sz w:val="16"/>
                <w:szCs w:val="16"/>
                <w:lang w:eastAsia="en-NZ"/>
              </w:rPr>
            </w:pPr>
            <w:r w:rsidRPr="001E66EF">
              <w:rPr>
                <w:rFonts w:eastAsia="Times New Roman" w:cs="Times New Roman"/>
                <w:color w:val="000000"/>
                <w:sz w:val="16"/>
                <w:szCs w:val="16"/>
                <w:lang w:eastAsia="en-NZ"/>
              </w:rPr>
              <w:t>96</w:t>
            </w:r>
          </w:p>
        </w:tc>
        <w:tc>
          <w:tcPr>
            <w:tcW w:w="2848" w:type="pct"/>
            <w:gridSpan w:val="2"/>
            <w:tcBorders>
              <w:top w:val="nil"/>
              <w:left w:val="nil"/>
              <w:bottom w:val="nil"/>
              <w:right w:val="nil"/>
            </w:tcBorders>
            <w:shd w:val="clear" w:color="auto" w:fill="auto"/>
            <w:noWrap/>
            <w:vAlign w:val="bottom"/>
            <w:hideMark/>
          </w:tcPr>
          <w:p w14:paraId="6B395CB3" w14:textId="77777777" w:rsidR="00192E3F" w:rsidRPr="001E66EF" w:rsidRDefault="00192E3F" w:rsidP="00192E3F">
            <w:pPr>
              <w:spacing w:after="0" w:line="240" w:lineRule="auto"/>
              <w:ind w:left="0"/>
              <w:jc w:val="left"/>
              <w:rPr>
                <w:rFonts w:eastAsia="Times New Roman" w:cs="Times New Roman"/>
                <w:color w:val="000000"/>
                <w:sz w:val="16"/>
                <w:szCs w:val="16"/>
                <w:lang w:eastAsia="en-NZ"/>
              </w:rPr>
            </w:pPr>
            <w:proofErr w:type="spellStart"/>
            <w:r w:rsidRPr="001E66EF">
              <w:rPr>
                <w:rFonts w:eastAsia="Times New Roman" w:cs="Times New Roman"/>
                <w:color w:val="000000"/>
                <w:sz w:val="16"/>
                <w:szCs w:val="16"/>
                <w:lang w:eastAsia="en-NZ"/>
              </w:rPr>
              <w:t>X_Rest</w:t>
            </w:r>
            <w:proofErr w:type="spellEnd"/>
            <w:r w:rsidRPr="001E66EF">
              <w:rPr>
                <w:rFonts w:eastAsia="Times New Roman" w:cs="Times New Roman"/>
                <w:color w:val="000000"/>
                <w:sz w:val="16"/>
                <w:szCs w:val="16"/>
                <w:lang w:eastAsia="en-NZ"/>
              </w:rPr>
              <w:t xml:space="preserve"> of West Coast Region</w:t>
            </w:r>
          </w:p>
        </w:tc>
      </w:tr>
    </w:tbl>
    <w:p w14:paraId="0C480977" w14:textId="77777777" w:rsidR="00DF54BD" w:rsidRPr="001E66EF" w:rsidRDefault="00DF54BD" w:rsidP="00192E3F">
      <w:pPr>
        <w:pStyle w:val="Graphicpaste"/>
        <w:jc w:val="both"/>
      </w:pPr>
    </w:p>
    <w:tbl>
      <w:tblPr>
        <w:tblW w:w="7495" w:type="dxa"/>
        <w:tblInd w:w="585" w:type="dxa"/>
        <w:tblLook w:val="04A0" w:firstRow="1" w:lastRow="0" w:firstColumn="1" w:lastColumn="0" w:noHBand="0" w:noVBand="1"/>
      </w:tblPr>
      <w:tblGrid>
        <w:gridCol w:w="965"/>
        <w:gridCol w:w="222"/>
        <w:gridCol w:w="6308"/>
      </w:tblGrid>
      <w:tr w:rsidR="00D7485E" w:rsidRPr="001E66EF" w14:paraId="7A207EDC" w14:textId="77777777" w:rsidTr="00927ED5">
        <w:trPr>
          <w:trHeight w:val="57"/>
        </w:trPr>
        <w:tc>
          <w:tcPr>
            <w:tcW w:w="965" w:type="dxa"/>
            <w:tcBorders>
              <w:top w:val="nil"/>
              <w:left w:val="nil"/>
              <w:bottom w:val="nil"/>
              <w:right w:val="nil"/>
            </w:tcBorders>
            <w:shd w:val="clear" w:color="auto" w:fill="auto"/>
            <w:vAlign w:val="center"/>
            <w:hideMark/>
          </w:tcPr>
          <w:p w14:paraId="429FDC05" w14:textId="77777777" w:rsidR="00D7485E" w:rsidRPr="001E66EF" w:rsidRDefault="00D7485E" w:rsidP="000F30F1">
            <w:pPr>
              <w:spacing w:after="0" w:line="240" w:lineRule="auto"/>
              <w:ind w:left="0"/>
              <w:jc w:val="center"/>
              <w:rPr>
                <w:rFonts w:eastAsia="Times New Roman" w:cs="Times New Roman"/>
                <w:b/>
                <w:bCs/>
                <w:color w:val="000000"/>
                <w:sz w:val="16"/>
                <w:szCs w:val="16"/>
                <w:lang w:eastAsia="en-NZ"/>
              </w:rPr>
            </w:pPr>
            <w:r w:rsidRPr="001E66EF">
              <w:rPr>
                <w:rFonts w:eastAsia="Times New Roman" w:cs="Times New Roman"/>
                <w:b/>
                <w:bCs/>
                <w:color w:val="000000"/>
                <w:sz w:val="16"/>
                <w:szCs w:val="16"/>
                <w:lang w:eastAsia="en-NZ"/>
              </w:rPr>
              <w:t>RC2013</w:t>
            </w:r>
          </w:p>
        </w:tc>
        <w:tc>
          <w:tcPr>
            <w:tcW w:w="222" w:type="dxa"/>
            <w:tcBorders>
              <w:top w:val="nil"/>
              <w:left w:val="nil"/>
              <w:bottom w:val="nil"/>
              <w:right w:val="nil"/>
            </w:tcBorders>
          </w:tcPr>
          <w:p w14:paraId="09C871BA" w14:textId="77777777" w:rsidR="00D7485E" w:rsidRPr="001E66EF" w:rsidRDefault="00D7485E" w:rsidP="00D7485E">
            <w:pPr>
              <w:spacing w:after="0" w:line="240" w:lineRule="auto"/>
              <w:ind w:left="0"/>
              <w:jc w:val="left"/>
              <w:rPr>
                <w:rFonts w:eastAsia="Times New Roman" w:cs="Times New Roman"/>
                <w:b/>
                <w:bCs/>
                <w:color w:val="000000"/>
                <w:sz w:val="16"/>
                <w:szCs w:val="16"/>
                <w:lang w:eastAsia="en-NZ"/>
              </w:rPr>
            </w:pPr>
          </w:p>
        </w:tc>
        <w:tc>
          <w:tcPr>
            <w:tcW w:w="6308" w:type="dxa"/>
            <w:tcBorders>
              <w:top w:val="nil"/>
              <w:left w:val="nil"/>
              <w:bottom w:val="nil"/>
              <w:right w:val="nil"/>
            </w:tcBorders>
            <w:shd w:val="clear" w:color="auto" w:fill="auto"/>
            <w:vAlign w:val="center"/>
            <w:hideMark/>
          </w:tcPr>
          <w:p w14:paraId="69BFB21A" w14:textId="77777777" w:rsidR="00D7485E" w:rsidRPr="001E66EF" w:rsidRDefault="00D7485E" w:rsidP="00D7485E">
            <w:pPr>
              <w:spacing w:after="0" w:line="240" w:lineRule="auto"/>
              <w:ind w:left="0"/>
              <w:jc w:val="left"/>
              <w:rPr>
                <w:rFonts w:eastAsia="Times New Roman" w:cs="Times New Roman"/>
                <w:b/>
                <w:bCs/>
                <w:color w:val="000000"/>
                <w:sz w:val="16"/>
                <w:szCs w:val="16"/>
                <w:lang w:eastAsia="en-NZ"/>
              </w:rPr>
            </w:pPr>
            <w:r w:rsidRPr="001E66EF">
              <w:rPr>
                <w:rFonts w:eastAsia="Times New Roman" w:cs="Times New Roman"/>
                <w:b/>
                <w:bCs/>
                <w:color w:val="000000"/>
                <w:sz w:val="16"/>
                <w:szCs w:val="16"/>
                <w:lang w:eastAsia="en-NZ"/>
              </w:rPr>
              <w:t>Regional Council</w:t>
            </w:r>
          </w:p>
        </w:tc>
      </w:tr>
      <w:tr w:rsidR="00D7485E" w:rsidRPr="001E66EF" w14:paraId="5645C059" w14:textId="77777777" w:rsidTr="00927ED5">
        <w:trPr>
          <w:trHeight w:val="57"/>
        </w:trPr>
        <w:tc>
          <w:tcPr>
            <w:tcW w:w="965" w:type="dxa"/>
            <w:tcBorders>
              <w:top w:val="nil"/>
              <w:left w:val="nil"/>
              <w:bottom w:val="nil"/>
              <w:right w:val="nil"/>
            </w:tcBorders>
            <w:shd w:val="clear" w:color="auto" w:fill="auto"/>
            <w:noWrap/>
            <w:vAlign w:val="bottom"/>
            <w:hideMark/>
          </w:tcPr>
          <w:p w14:paraId="4BAFC1F2"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w:t>
            </w:r>
          </w:p>
        </w:tc>
        <w:tc>
          <w:tcPr>
            <w:tcW w:w="222" w:type="dxa"/>
            <w:tcBorders>
              <w:top w:val="nil"/>
              <w:left w:val="nil"/>
              <w:bottom w:val="nil"/>
              <w:right w:val="nil"/>
            </w:tcBorders>
          </w:tcPr>
          <w:p w14:paraId="30B03CDA"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741B4C29"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Northland Region</w:t>
            </w:r>
          </w:p>
        </w:tc>
      </w:tr>
      <w:tr w:rsidR="00D7485E" w:rsidRPr="001E66EF" w14:paraId="689BE99E" w14:textId="77777777" w:rsidTr="00927ED5">
        <w:trPr>
          <w:trHeight w:val="57"/>
        </w:trPr>
        <w:tc>
          <w:tcPr>
            <w:tcW w:w="965" w:type="dxa"/>
            <w:tcBorders>
              <w:top w:val="nil"/>
              <w:left w:val="nil"/>
              <w:bottom w:val="nil"/>
              <w:right w:val="nil"/>
            </w:tcBorders>
            <w:shd w:val="clear" w:color="auto" w:fill="auto"/>
            <w:noWrap/>
            <w:vAlign w:val="bottom"/>
            <w:hideMark/>
          </w:tcPr>
          <w:p w14:paraId="4CF0EF1F"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2</w:t>
            </w:r>
          </w:p>
        </w:tc>
        <w:tc>
          <w:tcPr>
            <w:tcW w:w="222" w:type="dxa"/>
            <w:tcBorders>
              <w:top w:val="nil"/>
              <w:left w:val="nil"/>
              <w:bottom w:val="nil"/>
              <w:right w:val="nil"/>
            </w:tcBorders>
          </w:tcPr>
          <w:p w14:paraId="52125B77"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254BD0F4"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Auckland Region</w:t>
            </w:r>
          </w:p>
        </w:tc>
      </w:tr>
      <w:tr w:rsidR="00D7485E" w:rsidRPr="001E66EF" w14:paraId="0AF6002C" w14:textId="77777777" w:rsidTr="00927ED5">
        <w:trPr>
          <w:trHeight w:val="57"/>
        </w:trPr>
        <w:tc>
          <w:tcPr>
            <w:tcW w:w="965" w:type="dxa"/>
            <w:tcBorders>
              <w:top w:val="nil"/>
              <w:left w:val="nil"/>
              <w:bottom w:val="nil"/>
              <w:right w:val="nil"/>
            </w:tcBorders>
            <w:shd w:val="clear" w:color="auto" w:fill="auto"/>
            <w:noWrap/>
            <w:vAlign w:val="bottom"/>
            <w:hideMark/>
          </w:tcPr>
          <w:p w14:paraId="405E4F74"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3</w:t>
            </w:r>
          </w:p>
        </w:tc>
        <w:tc>
          <w:tcPr>
            <w:tcW w:w="222" w:type="dxa"/>
            <w:tcBorders>
              <w:top w:val="nil"/>
              <w:left w:val="nil"/>
              <w:bottom w:val="nil"/>
              <w:right w:val="nil"/>
            </w:tcBorders>
          </w:tcPr>
          <w:p w14:paraId="7D1AF50C"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0E37BA62"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Waikato Region</w:t>
            </w:r>
          </w:p>
        </w:tc>
      </w:tr>
      <w:tr w:rsidR="00D7485E" w:rsidRPr="001E66EF" w14:paraId="6A38F2A3" w14:textId="77777777" w:rsidTr="00927ED5">
        <w:trPr>
          <w:trHeight w:val="57"/>
        </w:trPr>
        <w:tc>
          <w:tcPr>
            <w:tcW w:w="965" w:type="dxa"/>
            <w:tcBorders>
              <w:top w:val="nil"/>
              <w:left w:val="nil"/>
              <w:bottom w:val="nil"/>
              <w:right w:val="nil"/>
            </w:tcBorders>
            <w:shd w:val="clear" w:color="auto" w:fill="auto"/>
            <w:noWrap/>
            <w:vAlign w:val="bottom"/>
            <w:hideMark/>
          </w:tcPr>
          <w:p w14:paraId="1A713ECD"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4</w:t>
            </w:r>
          </w:p>
        </w:tc>
        <w:tc>
          <w:tcPr>
            <w:tcW w:w="222" w:type="dxa"/>
            <w:tcBorders>
              <w:top w:val="nil"/>
              <w:left w:val="nil"/>
              <w:bottom w:val="nil"/>
              <w:right w:val="nil"/>
            </w:tcBorders>
          </w:tcPr>
          <w:p w14:paraId="0582F566"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0C0D0301"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Bay of Plenty Region</w:t>
            </w:r>
          </w:p>
        </w:tc>
      </w:tr>
      <w:tr w:rsidR="00D7485E" w:rsidRPr="001E66EF" w14:paraId="0F2BA016" w14:textId="77777777" w:rsidTr="00927ED5">
        <w:trPr>
          <w:trHeight w:val="57"/>
        </w:trPr>
        <w:tc>
          <w:tcPr>
            <w:tcW w:w="965" w:type="dxa"/>
            <w:tcBorders>
              <w:top w:val="nil"/>
              <w:left w:val="nil"/>
              <w:bottom w:val="nil"/>
              <w:right w:val="nil"/>
            </w:tcBorders>
            <w:shd w:val="clear" w:color="auto" w:fill="auto"/>
            <w:noWrap/>
            <w:vAlign w:val="bottom"/>
            <w:hideMark/>
          </w:tcPr>
          <w:p w14:paraId="25C136AD"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5</w:t>
            </w:r>
          </w:p>
        </w:tc>
        <w:tc>
          <w:tcPr>
            <w:tcW w:w="222" w:type="dxa"/>
            <w:tcBorders>
              <w:top w:val="nil"/>
              <w:left w:val="nil"/>
              <w:bottom w:val="nil"/>
              <w:right w:val="nil"/>
            </w:tcBorders>
          </w:tcPr>
          <w:p w14:paraId="005B4E10"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49CE6CAA"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Gisborne Region</w:t>
            </w:r>
          </w:p>
        </w:tc>
      </w:tr>
      <w:tr w:rsidR="00D7485E" w:rsidRPr="001E66EF" w14:paraId="4CC055B8" w14:textId="77777777" w:rsidTr="00927ED5">
        <w:trPr>
          <w:trHeight w:val="57"/>
        </w:trPr>
        <w:tc>
          <w:tcPr>
            <w:tcW w:w="965" w:type="dxa"/>
            <w:tcBorders>
              <w:top w:val="nil"/>
              <w:left w:val="nil"/>
              <w:bottom w:val="nil"/>
              <w:right w:val="nil"/>
            </w:tcBorders>
            <w:shd w:val="clear" w:color="auto" w:fill="auto"/>
            <w:noWrap/>
            <w:vAlign w:val="bottom"/>
            <w:hideMark/>
          </w:tcPr>
          <w:p w14:paraId="17A92431"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6</w:t>
            </w:r>
          </w:p>
        </w:tc>
        <w:tc>
          <w:tcPr>
            <w:tcW w:w="222" w:type="dxa"/>
            <w:tcBorders>
              <w:top w:val="nil"/>
              <w:left w:val="nil"/>
              <w:bottom w:val="nil"/>
              <w:right w:val="nil"/>
            </w:tcBorders>
          </w:tcPr>
          <w:p w14:paraId="4EDE281E"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3BB5E934"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Hawke's Bay Region</w:t>
            </w:r>
          </w:p>
        </w:tc>
      </w:tr>
      <w:tr w:rsidR="00D7485E" w:rsidRPr="001E66EF" w14:paraId="68615867" w14:textId="77777777" w:rsidTr="00927ED5">
        <w:trPr>
          <w:trHeight w:val="57"/>
        </w:trPr>
        <w:tc>
          <w:tcPr>
            <w:tcW w:w="965" w:type="dxa"/>
            <w:tcBorders>
              <w:top w:val="nil"/>
              <w:left w:val="nil"/>
              <w:bottom w:val="nil"/>
              <w:right w:val="nil"/>
            </w:tcBorders>
            <w:shd w:val="clear" w:color="auto" w:fill="auto"/>
            <w:noWrap/>
            <w:vAlign w:val="bottom"/>
            <w:hideMark/>
          </w:tcPr>
          <w:p w14:paraId="09A547EB"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7</w:t>
            </w:r>
          </w:p>
        </w:tc>
        <w:tc>
          <w:tcPr>
            <w:tcW w:w="222" w:type="dxa"/>
            <w:tcBorders>
              <w:top w:val="nil"/>
              <w:left w:val="nil"/>
              <w:bottom w:val="nil"/>
              <w:right w:val="nil"/>
            </w:tcBorders>
          </w:tcPr>
          <w:p w14:paraId="24C4AE35"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285BE4B2"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Taranaki Region</w:t>
            </w:r>
          </w:p>
        </w:tc>
      </w:tr>
      <w:tr w:rsidR="00D7485E" w:rsidRPr="001E66EF" w14:paraId="72446A8D" w14:textId="77777777" w:rsidTr="00927ED5">
        <w:trPr>
          <w:trHeight w:val="57"/>
        </w:trPr>
        <w:tc>
          <w:tcPr>
            <w:tcW w:w="965" w:type="dxa"/>
            <w:tcBorders>
              <w:top w:val="nil"/>
              <w:left w:val="nil"/>
              <w:bottom w:val="nil"/>
              <w:right w:val="nil"/>
            </w:tcBorders>
            <w:shd w:val="clear" w:color="auto" w:fill="auto"/>
            <w:noWrap/>
            <w:vAlign w:val="bottom"/>
            <w:hideMark/>
          </w:tcPr>
          <w:p w14:paraId="79895C27"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8</w:t>
            </w:r>
          </w:p>
        </w:tc>
        <w:tc>
          <w:tcPr>
            <w:tcW w:w="222" w:type="dxa"/>
            <w:tcBorders>
              <w:top w:val="nil"/>
              <w:left w:val="nil"/>
              <w:bottom w:val="nil"/>
              <w:right w:val="nil"/>
            </w:tcBorders>
          </w:tcPr>
          <w:p w14:paraId="25A14439"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36C30285"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Manawatu-Wanganui Region</w:t>
            </w:r>
          </w:p>
        </w:tc>
      </w:tr>
      <w:tr w:rsidR="00D7485E" w:rsidRPr="001E66EF" w14:paraId="59FE1203" w14:textId="77777777" w:rsidTr="00927ED5">
        <w:trPr>
          <w:trHeight w:val="57"/>
        </w:trPr>
        <w:tc>
          <w:tcPr>
            <w:tcW w:w="965" w:type="dxa"/>
            <w:tcBorders>
              <w:top w:val="nil"/>
              <w:left w:val="nil"/>
              <w:bottom w:val="nil"/>
              <w:right w:val="nil"/>
            </w:tcBorders>
            <w:shd w:val="clear" w:color="auto" w:fill="auto"/>
            <w:noWrap/>
            <w:vAlign w:val="bottom"/>
            <w:hideMark/>
          </w:tcPr>
          <w:p w14:paraId="45B892F1"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9</w:t>
            </w:r>
          </w:p>
        </w:tc>
        <w:tc>
          <w:tcPr>
            <w:tcW w:w="222" w:type="dxa"/>
            <w:tcBorders>
              <w:top w:val="nil"/>
              <w:left w:val="nil"/>
              <w:bottom w:val="nil"/>
              <w:right w:val="nil"/>
            </w:tcBorders>
          </w:tcPr>
          <w:p w14:paraId="54E9FACC"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2F473662"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Wellington Region</w:t>
            </w:r>
          </w:p>
        </w:tc>
      </w:tr>
      <w:tr w:rsidR="00D7485E" w:rsidRPr="001E66EF" w14:paraId="31A0746C" w14:textId="77777777" w:rsidTr="00927ED5">
        <w:trPr>
          <w:trHeight w:val="57"/>
        </w:trPr>
        <w:tc>
          <w:tcPr>
            <w:tcW w:w="965" w:type="dxa"/>
            <w:tcBorders>
              <w:top w:val="nil"/>
              <w:left w:val="nil"/>
              <w:bottom w:val="nil"/>
              <w:right w:val="nil"/>
            </w:tcBorders>
            <w:shd w:val="clear" w:color="auto" w:fill="auto"/>
            <w:noWrap/>
            <w:vAlign w:val="bottom"/>
            <w:hideMark/>
          </w:tcPr>
          <w:p w14:paraId="0305D0B7"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12</w:t>
            </w:r>
          </w:p>
        </w:tc>
        <w:tc>
          <w:tcPr>
            <w:tcW w:w="222" w:type="dxa"/>
            <w:tcBorders>
              <w:top w:val="nil"/>
              <w:left w:val="nil"/>
              <w:bottom w:val="nil"/>
              <w:right w:val="nil"/>
            </w:tcBorders>
          </w:tcPr>
          <w:p w14:paraId="1124A4DF"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45D5AED1"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West Coast Region</w:t>
            </w:r>
          </w:p>
        </w:tc>
      </w:tr>
      <w:tr w:rsidR="00D7485E" w:rsidRPr="001E66EF" w14:paraId="18913656" w14:textId="77777777" w:rsidTr="00927ED5">
        <w:trPr>
          <w:trHeight w:val="57"/>
        </w:trPr>
        <w:tc>
          <w:tcPr>
            <w:tcW w:w="965" w:type="dxa"/>
            <w:tcBorders>
              <w:top w:val="nil"/>
              <w:left w:val="nil"/>
              <w:bottom w:val="nil"/>
              <w:right w:val="nil"/>
            </w:tcBorders>
            <w:shd w:val="clear" w:color="auto" w:fill="auto"/>
            <w:noWrap/>
            <w:vAlign w:val="bottom"/>
            <w:hideMark/>
          </w:tcPr>
          <w:p w14:paraId="739F2DAC"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13</w:t>
            </w:r>
          </w:p>
        </w:tc>
        <w:tc>
          <w:tcPr>
            <w:tcW w:w="222" w:type="dxa"/>
            <w:tcBorders>
              <w:top w:val="nil"/>
              <w:left w:val="nil"/>
              <w:bottom w:val="nil"/>
              <w:right w:val="nil"/>
            </w:tcBorders>
          </w:tcPr>
          <w:p w14:paraId="3CA8028A"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14764712"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Canterbury Region</w:t>
            </w:r>
          </w:p>
        </w:tc>
      </w:tr>
      <w:tr w:rsidR="00D7485E" w:rsidRPr="001E66EF" w14:paraId="72B1AA29" w14:textId="77777777" w:rsidTr="00927ED5">
        <w:trPr>
          <w:trHeight w:val="57"/>
        </w:trPr>
        <w:tc>
          <w:tcPr>
            <w:tcW w:w="965" w:type="dxa"/>
            <w:tcBorders>
              <w:top w:val="nil"/>
              <w:left w:val="nil"/>
              <w:bottom w:val="nil"/>
              <w:right w:val="nil"/>
            </w:tcBorders>
            <w:shd w:val="clear" w:color="auto" w:fill="auto"/>
            <w:noWrap/>
            <w:vAlign w:val="bottom"/>
            <w:hideMark/>
          </w:tcPr>
          <w:p w14:paraId="15DE4EF2"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14</w:t>
            </w:r>
          </w:p>
        </w:tc>
        <w:tc>
          <w:tcPr>
            <w:tcW w:w="222" w:type="dxa"/>
            <w:tcBorders>
              <w:top w:val="nil"/>
              <w:left w:val="nil"/>
              <w:bottom w:val="nil"/>
              <w:right w:val="nil"/>
            </w:tcBorders>
          </w:tcPr>
          <w:p w14:paraId="0C875B41"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3FC48F13"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Otago Region</w:t>
            </w:r>
          </w:p>
        </w:tc>
      </w:tr>
      <w:tr w:rsidR="00D7485E" w:rsidRPr="001E66EF" w14:paraId="19241D7B" w14:textId="77777777" w:rsidTr="00927ED5">
        <w:trPr>
          <w:trHeight w:val="57"/>
        </w:trPr>
        <w:tc>
          <w:tcPr>
            <w:tcW w:w="965" w:type="dxa"/>
            <w:tcBorders>
              <w:top w:val="nil"/>
              <w:left w:val="nil"/>
              <w:bottom w:val="nil"/>
              <w:right w:val="nil"/>
            </w:tcBorders>
            <w:shd w:val="clear" w:color="auto" w:fill="auto"/>
            <w:noWrap/>
            <w:vAlign w:val="bottom"/>
            <w:hideMark/>
          </w:tcPr>
          <w:p w14:paraId="24D9D411"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15</w:t>
            </w:r>
          </w:p>
        </w:tc>
        <w:tc>
          <w:tcPr>
            <w:tcW w:w="222" w:type="dxa"/>
            <w:tcBorders>
              <w:top w:val="nil"/>
              <w:left w:val="nil"/>
              <w:bottom w:val="nil"/>
              <w:right w:val="nil"/>
            </w:tcBorders>
          </w:tcPr>
          <w:p w14:paraId="53A95CAD"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23554426"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Southland Region</w:t>
            </w:r>
          </w:p>
        </w:tc>
      </w:tr>
      <w:tr w:rsidR="00D7485E" w:rsidRPr="001E66EF" w14:paraId="2D280725" w14:textId="77777777" w:rsidTr="00927ED5">
        <w:trPr>
          <w:trHeight w:val="57"/>
        </w:trPr>
        <w:tc>
          <w:tcPr>
            <w:tcW w:w="965" w:type="dxa"/>
            <w:tcBorders>
              <w:top w:val="nil"/>
              <w:left w:val="nil"/>
              <w:bottom w:val="nil"/>
              <w:right w:val="nil"/>
            </w:tcBorders>
            <w:shd w:val="clear" w:color="auto" w:fill="auto"/>
            <w:noWrap/>
            <w:vAlign w:val="bottom"/>
            <w:hideMark/>
          </w:tcPr>
          <w:p w14:paraId="198BA997"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16</w:t>
            </w:r>
          </w:p>
        </w:tc>
        <w:tc>
          <w:tcPr>
            <w:tcW w:w="222" w:type="dxa"/>
            <w:tcBorders>
              <w:top w:val="nil"/>
              <w:left w:val="nil"/>
              <w:bottom w:val="nil"/>
              <w:right w:val="nil"/>
            </w:tcBorders>
          </w:tcPr>
          <w:p w14:paraId="1DF5B849"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76AB855C"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Tasman Region</w:t>
            </w:r>
          </w:p>
        </w:tc>
      </w:tr>
      <w:tr w:rsidR="00D7485E" w:rsidRPr="001E66EF" w14:paraId="0CBFBF55" w14:textId="77777777" w:rsidTr="00927ED5">
        <w:trPr>
          <w:trHeight w:val="57"/>
        </w:trPr>
        <w:tc>
          <w:tcPr>
            <w:tcW w:w="965" w:type="dxa"/>
            <w:tcBorders>
              <w:top w:val="nil"/>
              <w:left w:val="nil"/>
              <w:bottom w:val="nil"/>
              <w:right w:val="nil"/>
            </w:tcBorders>
            <w:shd w:val="clear" w:color="auto" w:fill="auto"/>
            <w:noWrap/>
            <w:vAlign w:val="bottom"/>
            <w:hideMark/>
          </w:tcPr>
          <w:p w14:paraId="73A6DF7E"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17</w:t>
            </w:r>
          </w:p>
        </w:tc>
        <w:tc>
          <w:tcPr>
            <w:tcW w:w="222" w:type="dxa"/>
            <w:tcBorders>
              <w:top w:val="nil"/>
              <w:left w:val="nil"/>
              <w:bottom w:val="nil"/>
              <w:right w:val="nil"/>
            </w:tcBorders>
          </w:tcPr>
          <w:p w14:paraId="63D8E8CC"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1367B60D"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Nelson Region</w:t>
            </w:r>
          </w:p>
        </w:tc>
      </w:tr>
      <w:tr w:rsidR="00D7485E" w:rsidRPr="001E66EF" w14:paraId="69DD5259" w14:textId="77777777" w:rsidTr="00927ED5">
        <w:trPr>
          <w:trHeight w:val="57"/>
        </w:trPr>
        <w:tc>
          <w:tcPr>
            <w:tcW w:w="965" w:type="dxa"/>
            <w:tcBorders>
              <w:top w:val="nil"/>
              <w:left w:val="nil"/>
              <w:bottom w:val="nil"/>
              <w:right w:val="nil"/>
            </w:tcBorders>
            <w:shd w:val="clear" w:color="auto" w:fill="auto"/>
            <w:noWrap/>
            <w:vAlign w:val="bottom"/>
            <w:hideMark/>
          </w:tcPr>
          <w:p w14:paraId="331BD29B"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18</w:t>
            </w:r>
          </w:p>
        </w:tc>
        <w:tc>
          <w:tcPr>
            <w:tcW w:w="222" w:type="dxa"/>
            <w:tcBorders>
              <w:top w:val="nil"/>
              <w:left w:val="nil"/>
              <w:bottom w:val="nil"/>
              <w:right w:val="nil"/>
            </w:tcBorders>
          </w:tcPr>
          <w:p w14:paraId="4D6B5D06"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2ADC8B6B"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Marlborough Region</w:t>
            </w:r>
          </w:p>
        </w:tc>
      </w:tr>
      <w:tr w:rsidR="00D7485E" w:rsidRPr="001E66EF" w14:paraId="7354D7A3" w14:textId="77777777" w:rsidTr="00927ED5">
        <w:trPr>
          <w:trHeight w:val="57"/>
        </w:trPr>
        <w:tc>
          <w:tcPr>
            <w:tcW w:w="965" w:type="dxa"/>
            <w:tcBorders>
              <w:top w:val="nil"/>
              <w:left w:val="nil"/>
              <w:bottom w:val="nil"/>
              <w:right w:val="nil"/>
            </w:tcBorders>
            <w:shd w:val="clear" w:color="auto" w:fill="auto"/>
            <w:noWrap/>
            <w:vAlign w:val="bottom"/>
            <w:hideMark/>
          </w:tcPr>
          <w:p w14:paraId="6AAD0F4C" w14:textId="77777777" w:rsidR="00D7485E" w:rsidRPr="001E66EF" w:rsidRDefault="00D7485E" w:rsidP="00D7485E">
            <w:pPr>
              <w:spacing w:after="0" w:line="240" w:lineRule="auto"/>
              <w:ind w:left="0"/>
              <w:jc w:val="center"/>
              <w:rPr>
                <w:rFonts w:eastAsia="Times New Roman" w:cs="Times New Roman"/>
                <w:color w:val="000000"/>
                <w:sz w:val="16"/>
                <w:szCs w:val="16"/>
                <w:lang w:eastAsia="en-NZ"/>
              </w:rPr>
            </w:pPr>
            <w:r w:rsidRPr="001E66EF">
              <w:rPr>
                <w:rFonts w:eastAsia="Times New Roman" w:cs="Times New Roman"/>
                <w:color w:val="000000"/>
                <w:sz w:val="16"/>
                <w:szCs w:val="16"/>
                <w:lang w:eastAsia="en-NZ"/>
              </w:rPr>
              <w:t>99</w:t>
            </w:r>
          </w:p>
        </w:tc>
        <w:tc>
          <w:tcPr>
            <w:tcW w:w="222" w:type="dxa"/>
            <w:tcBorders>
              <w:top w:val="nil"/>
              <w:left w:val="nil"/>
              <w:bottom w:val="nil"/>
              <w:right w:val="nil"/>
            </w:tcBorders>
          </w:tcPr>
          <w:p w14:paraId="0C30D731"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p>
        </w:tc>
        <w:tc>
          <w:tcPr>
            <w:tcW w:w="6308" w:type="dxa"/>
            <w:tcBorders>
              <w:top w:val="nil"/>
              <w:left w:val="nil"/>
              <w:bottom w:val="nil"/>
              <w:right w:val="nil"/>
            </w:tcBorders>
            <w:shd w:val="clear" w:color="auto" w:fill="auto"/>
            <w:noWrap/>
            <w:vAlign w:val="bottom"/>
            <w:hideMark/>
          </w:tcPr>
          <w:p w14:paraId="48BC1A96" w14:textId="77777777" w:rsidR="00D7485E" w:rsidRPr="001E66EF" w:rsidRDefault="00D7485E" w:rsidP="000F30F1">
            <w:pPr>
              <w:spacing w:after="0" w:line="240" w:lineRule="auto"/>
              <w:ind w:left="0"/>
              <w:jc w:val="left"/>
              <w:rPr>
                <w:rFonts w:eastAsia="Times New Roman" w:cs="Times New Roman"/>
                <w:color w:val="000000"/>
                <w:sz w:val="16"/>
                <w:szCs w:val="16"/>
                <w:lang w:eastAsia="en-NZ"/>
              </w:rPr>
            </w:pPr>
            <w:r w:rsidRPr="001E66EF">
              <w:rPr>
                <w:rFonts w:eastAsia="Times New Roman" w:cs="Times New Roman"/>
                <w:color w:val="000000"/>
                <w:sz w:val="16"/>
                <w:szCs w:val="16"/>
                <w:lang w:eastAsia="en-NZ"/>
              </w:rPr>
              <w:t>Area Outside Region</w:t>
            </w:r>
          </w:p>
        </w:tc>
      </w:tr>
    </w:tbl>
    <w:p w14:paraId="18E17EAE" w14:textId="200BADA9" w:rsidR="00F5252D" w:rsidRPr="001E66EF" w:rsidRDefault="00F5252D" w:rsidP="000F30F1"/>
    <w:p w14:paraId="7B11EBB5" w14:textId="77777777" w:rsidR="00F5252D" w:rsidRPr="001E66EF" w:rsidRDefault="00F5252D">
      <w:pPr>
        <w:spacing w:after="200" w:line="276" w:lineRule="auto"/>
        <w:ind w:left="0"/>
        <w:jc w:val="left"/>
      </w:pPr>
      <w:r w:rsidRPr="001E66EF">
        <w:br w:type="page"/>
      </w:r>
    </w:p>
    <w:p w14:paraId="5F2B6D44" w14:textId="170E18B3" w:rsidR="000F30F1" w:rsidRPr="001E66EF" w:rsidRDefault="00F5252D" w:rsidP="00F5252D">
      <w:pPr>
        <w:pStyle w:val="Caption"/>
      </w:pPr>
      <w:bookmarkStart w:id="110" w:name="_Ref454524341"/>
      <w:r w:rsidRPr="001E66EF">
        <w:lastRenderedPageBreak/>
        <w:t xml:space="preserve">Appendix </w:t>
      </w:r>
      <w:r w:rsidR="001669B3" w:rsidRPr="001E66EF">
        <w:fldChar w:fldCharType="begin"/>
      </w:r>
      <w:r w:rsidR="001669B3" w:rsidRPr="001E66EF">
        <w:instrText xml:space="preserve"> SEQ Appendix \* ARABIC </w:instrText>
      </w:r>
      <w:r w:rsidR="001669B3" w:rsidRPr="001E66EF">
        <w:fldChar w:fldCharType="separate"/>
      </w:r>
      <w:r w:rsidR="00FD114C">
        <w:rPr>
          <w:noProof/>
        </w:rPr>
        <w:t>2</w:t>
      </w:r>
      <w:r w:rsidR="001669B3" w:rsidRPr="001E66EF">
        <w:fldChar w:fldCharType="end"/>
      </w:r>
      <w:bookmarkEnd w:id="110"/>
      <w:r w:rsidR="00DA2F7A" w:rsidRPr="001E66EF">
        <w:t>:</w:t>
      </w:r>
      <w:r w:rsidRPr="001E66EF">
        <w:t xml:space="preserve"> </w:t>
      </w:r>
      <w:r w:rsidR="00DA2F7A" w:rsidRPr="001E66EF">
        <w:t xml:space="preserve"> </w:t>
      </w:r>
      <w:r w:rsidRPr="001E66EF">
        <w:t>Exposure-response ratios</w:t>
      </w:r>
    </w:p>
    <w:tbl>
      <w:tblPr>
        <w:tblW w:w="8641" w:type="dxa"/>
        <w:tblLook w:val="04A0" w:firstRow="1" w:lastRow="0" w:firstColumn="1" w:lastColumn="0" w:noHBand="0" w:noVBand="1"/>
      </w:tblPr>
      <w:tblGrid>
        <w:gridCol w:w="722"/>
        <w:gridCol w:w="3668"/>
        <w:gridCol w:w="1417"/>
        <w:gridCol w:w="1417"/>
        <w:gridCol w:w="1417"/>
      </w:tblGrid>
      <w:tr w:rsidR="00CC6907" w:rsidRPr="001E66EF" w14:paraId="3865B001" w14:textId="1F1770AD" w:rsidTr="00927ED5">
        <w:trPr>
          <w:trHeight w:val="57"/>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F7FB05" w14:textId="77777777" w:rsidR="00CC6907" w:rsidRPr="001E66EF" w:rsidRDefault="00CC6907" w:rsidP="00927ED5">
            <w:pPr>
              <w:spacing w:after="0" w:line="240" w:lineRule="auto"/>
              <w:ind w:left="0"/>
              <w:jc w:val="left"/>
              <w:rPr>
                <w:rFonts w:eastAsia="Times New Roman" w:cs="Times New Roman"/>
                <w:b/>
                <w:bCs/>
                <w:color w:val="000000"/>
                <w:sz w:val="18"/>
                <w:lang w:eastAsia="en-NZ"/>
              </w:rPr>
            </w:pPr>
            <w:r w:rsidRPr="001E66EF">
              <w:rPr>
                <w:rFonts w:eastAsia="Times New Roman" w:cs="Times New Roman"/>
                <w:b/>
                <w:bCs/>
                <w:color w:val="000000"/>
                <w:sz w:val="18"/>
                <w:lang w:eastAsia="en-NZ"/>
              </w:rPr>
              <w:t xml:space="preserve">Morbidity &amp; Mortality, exposure-response relationship, per 10 </w:t>
            </w:r>
            <w:proofErr w:type="spellStart"/>
            <w:r w:rsidRPr="001E66EF">
              <w:rPr>
                <w:rFonts w:eastAsia="Times New Roman" w:cs="Times New Roman"/>
                <w:b/>
                <w:bCs/>
                <w:color w:val="000000"/>
                <w:sz w:val="18"/>
                <w:lang w:eastAsia="en-NZ"/>
              </w:rPr>
              <w:t>μg</w:t>
            </w:r>
            <w:proofErr w:type="spellEnd"/>
            <w:r w:rsidRPr="001E66EF">
              <w:rPr>
                <w:rFonts w:eastAsia="Times New Roman" w:cs="Times New Roman"/>
                <w:b/>
                <w:bCs/>
                <w:color w:val="000000"/>
                <w:sz w:val="18"/>
                <w:lang w:eastAsia="en-NZ"/>
              </w:rPr>
              <w:t>/m</w:t>
            </w:r>
            <w:r w:rsidRPr="001D4927">
              <w:rPr>
                <w:rFonts w:eastAsia="Times New Roman" w:cs="Times New Roman"/>
                <w:b/>
                <w:bCs/>
                <w:color w:val="000000"/>
                <w:sz w:val="18"/>
                <w:vertAlign w:val="superscript"/>
                <w:lang w:eastAsia="en-NZ"/>
              </w:rPr>
              <w:t>3</w:t>
            </w:r>
            <w:r w:rsidRPr="001E66EF">
              <w:rPr>
                <w:rFonts w:eastAsia="Times New Roman" w:cs="Times New Roman"/>
                <w:b/>
                <w:bCs/>
                <w:color w:val="000000"/>
                <w:sz w:val="18"/>
                <w:lang w:eastAsia="en-NZ"/>
              </w:rPr>
              <w:t xml:space="preserve"> PM</w:t>
            </w:r>
            <w:r w:rsidRPr="001E66EF">
              <w:rPr>
                <w:rFonts w:eastAsia="Times New Roman" w:cs="Times New Roman"/>
                <w:b/>
                <w:bCs/>
                <w:color w:val="000000"/>
                <w:sz w:val="18"/>
                <w:vertAlign w:val="subscript"/>
                <w:lang w:eastAsia="en-NZ"/>
              </w:rPr>
              <w:t>10</w:t>
            </w:r>
            <w:r w:rsidRPr="001E66EF">
              <w:rPr>
                <w:rFonts w:eastAsia="Times New Roman" w:cs="Times New Roman"/>
                <w:b/>
                <w:bCs/>
                <w:color w:val="000000"/>
                <w:sz w:val="18"/>
                <w:lang w:eastAsia="en-NZ"/>
              </w:rPr>
              <w:t xml:space="preserve"> </w:t>
            </w:r>
          </w:p>
        </w:tc>
        <w:tc>
          <w:tcPr>
            <w:tcW w:w="4251" w:type="dxa"/>
            <w:gridSpan w:val="3"/>
            <w:tcBorders>
              <w:top w:val="single" w:sz="4" w:space="0" w:color="auto"/>
              <w:left w:val="single" w:sz="4" w:space="0" w:color="auto"/>
              <w:bottom w:val="single" w:sz="4" w:space="0" w:color="auto"/>
              <w:right w:val="single" w:sz="4" w:space="0" w:color="000000"/>
            </w:tcBorders>
            <w:vAlign w:val="center"/>
          </w:tcPr>
          <w:p w14:paraId="614A6AC5" w14:textId="0C660201" w:rsidR="00CC6907" w:rsidRPr="001E66EF" w:rsidRDefault="00CC6907" w:rsidP="00927ED5">
            <w:pPr>
              <w:spacing w:after="0" w:line="240" w:lineRule="auto"/>
              <w:ind w:left="0"/>
              <w:jc w:val="center"/>
              <w:rPr>
                <w:rFonts w:eastAsia="Times New Roman" w:cs="Times New Roman"/>
                <w:b/>
                <w:bCs/>
                <w:color w:val="000000"/>
                <w:sz w:val="18"/>
                <w:lang w:eastAsia="en-NZ"/>
              </w:rPr>
            </w:pPr>
            <w:r w:rsidRPr="001E66EF">
              <w:rPr>
                <w:rFonts w:eastAsia="Times New Roman" w:cs="Times New Roman"/>
                <w:b/>
                <w:bCs/>
                <w:color w:val="000000"/>
                <w:sz w:val="18"/>
                <w:lang w:eastAsia="en-NZ"/>
              </w:rPr>
              <w:t>PM</w:t>
            </w:r>
            <w:r w:rsidRPr="001E66EF">
              <w:rPr>
                <w:rFonts w:eastAsia="Times New Roman" w:cs="Times New Roman"/>
                <w:b/>
                <w:bCs/>
                <w:color w:val="000000"/>
                <w:sz w:val="18"/>
                <w:vertAlign w:val="subscript"/>
                <w:lang w:eastAsia="en-NZ"/>
              </w:rPr>
              <w:t>2.5</w:t>
            </w:r>
          </w:p>
        </w:tc>
      </w:tr>
      <w:tr w:rsidR="00CC6907" w:rsidRPr="001E66EF" w14:paraId="7A52542B" w14:textId="7EEF042B" w:rsidTr="00927ED5">
        <w:trPr>
          <w:trHeight w:val="57"/>
        </w:trPr>
        <w:tc>
          <w:tcPr>
            <w:tcW w:w="722" w:type="dxa"/>
            <w:tcBorders>
              <w:top w:val="nil"/>
              <w:left w:val="single" w:sz="4" w:space="0" w:color="auto"/>
              <w:bottom w:val="nil"/>
              <w:right w:val="single" w:sz="4" w:space="0" w:color="auto"/>
            </w:tcBorders>
            <w:shd w:val="clear" w:color="auto" w:fill="auto"/>
            <w:noWrap/>
            <w:vAlign w:val="bottom"/>
            <w:hideMark/>
          </w:tcPr>
          <w:p w14:paraId="301DF141" w14:textId="77777777" w:rsidR="00CC6907" w:rsidRPr="001E66EF" w:rsidRDefault="00CC6907" w:rsidP="00927ED5">
            <w:pPr>
              <w:spacing w:after="0" w:line="240" w:lineRule="auto"/>
              <w:ind w:left="0"/>
              <w:jc w:val="right"/>
              <w:rPr>
                <w:rFonts w:eastAsia="Times New Roman" w:cs="Times New Roman"/>
                <w:color w:val="000000"/>
                <w:sz w:val="18"/>
                <w:lang w:eastAsia="en-NZ"/>
              </w:rPr>
            </w:pPr>
            <w:r w:rsidRPr="001E66EF">
              <w:rPr>
                <w:rFonts w:eastAsia="Times New Roman" w:cs="Times New Roman"/>
                <w:color w:val="000000"/>
                <w:sz w:val="18"/>
                <w:lang w:eastAsia="en-NZ"/>
              </w:rPr>
              <w:t>1</w:t>
            </w:r>
          </w:p>
        </w:tc>
        <w:tc>
          <w:tcPr>
            <w:tcW w:w="3668" w:type="dxa"/>
            <w:tcBorders>
              <w:top w:val="nil"/>
              <w:left w:val="nil"/>
              <w:bottom w:val="nil"/>
              <w:right w:val="single" w:sz="4" w:space="0" w:color="auto"/>
            </w:tcBorders>
            <w:shd w:val="clear" w:color="auto" w:fill="auto"/>
            <w:noWrap/>
            <w:vAlign w:val="bottom"/>
            <w:hideMark/>
          </w:tcPr>
          <w:p w14:paraId="07BD0AC1" w14:textId="583ECEF5" w:rsidR="00CC6907" w:rsidRPr="001E66EF" w:rsidRDefault="004F70BA" w:rsidP="00927ED5">
            <w:pPr>
              <w:spacing w:after="0" w:line="240" w:lineRule="auto"/>
              <w:ind w:left="0"/>
              <w:jc w:val="left"/>
              <w:rPr>
                <w:rFonts w:eastAsia="Times New Roman" w:cs="Times New Roman"/>
                <w:color w:val="000000"/>
                <w:sz w:val="18"/>
                <w:lang w:eastAsia="en-NZ"/>
              </w:rPr>
            </w:pPr>
            <w:r>
              <w:rPr>
                <w:rFonts w:eastAsia="Times New Roman" w:cs="Times New Roman"/>
                <w:color w:val="000000"/>
                <w:sz w:val="18"/>
                <w:lang w:eastAsia="en-NZ"/>
              </w:rPr>
              <w:t>Mortality</w:t>
            </w:r>
          </w:p>
        </w:tc>
        <w:tc>
          <w:tcPr>
            <w:tcW w:w="1417" w:type="dxa"/>
            <w:tcBorders>
              <w:top w:val="nil"/>
              <w:left w:val="nil"/>
              <w:bottom w:val="nil"/>
              <w:right w:val="single" w:sz="4" w:space="0" w:color="auto"/>
            </w:tcBorders>
          </w:tcPr>
          <w:p w14:paraId="7A5A7E46" w14:textId="3C89C5E2"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0.04</w:t>
            </w:r>
          </w:p>
        </w:tc>
        <w:tc>
          <w:tcPr>
            <w:tcW w:w="1417" w:type="dxa"/>
            <w:tcBorders>
              <w:top w:val="nil"/>
              <w:left w:val="nil"/>
              <w:bottom w:val="nil"/>
              <w:right w:val="single" w:sz="4" w:space="0" w:color="auto"/>
            </w:tcBorders>
          </w:tcPr>
          <w:p w14:paraId="17771234" w14:textId="3720B3C0"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0.06</w:t>
            </w:r>
            <w:r w:rsidR="00B640DD" w:rsidRPr="001E66EF">
              <w:rPr>
                <w:rFonts w:eastAsia="Times New Roman" w:cs="Times New Roman"/>
                <w:color w:val="000000"/>
                <w:sz w:val="18"/>
                <w:lang w:eastAsia="en-NZ"/>
              </w:rPr>
              <w:t>2</w:t>
            </w:r>
          </w:p>
        </w:tc>
        <w:tc>
          <w:tcPr>
            <w:tcW w:w="1417" w:type="dxa"/>
            <w:tcBorders>
              <w:top w:val="nil"/>
              <w:left w:val="nil"/>
              <w:bottom w:val="nil"/>
              <w:right w:val="single" w:sz="4" w:space="0" w:color="auto"/>
            </w:tcBorders>
          </w:tcPr>
          <w:p w14:paraId="327FE872" w14:textId="2201AD78"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0.083</w:t>
            </w:r>
          </w:p>
        </w:tc>
      </w:tr>
      <w:tr w:rsidR="00CC6907" w:rsidRPr="001E66EF" w14:paraId="23F4F509" w14:textId="5F1E5BBF" w:rsidTr="00927ED5">
        <w:trPr>
          <w:trHeight w:val="57"/>
        </w:trPr>
        <w:tc>
          <w:tcPr>
            <w:tcW w:w="722" w:type="dxa"/>
            <w:tcBorders>
              <w:top w:val="nil"/>
              <w:left w:val="single" w:sz="4" w:space="0" w:color="auto"/>
              <w:bottom w:val="nil"/>
              <w:right w:val="single" w:sz="4" w:space="0" w:color="auto"/>
            </w:tcBorders>
            <w:shd w:val="clear" w:color="auto" w:fill="auto"/>
            <w:noWrap/>
            <w:vAlign w:val="bottom"/>
            <w:hideMark/>
          </w:tcPr>
          <w:p w14:paraId="049D1345" w14:textId="77777777" w:rsidR="00CC6907" w:rsidRPr="001E66EF" w:rsidRDefault="00CC6907" w:rsidP="00927ED5">
            <w:pPr>
              <w:spacing w:after="0" w:line="240" w:lineRule="auto"/>
              <w:ind w:left="0"/>
              <w:jc w:val="right"/>
              <w:rPr>
                <w:rFonts w:eastAsia="Times New Roman" w:cs="Times New Roman"/>
                <w:color w:val="000000"/>
                <w:sz w:val="18"/>
                <w:lang w:eastAsia="en-NZ"/>
              </w:rPr>
            </w:pPr>
            <w:r w:rsidRPr="001E66EF">
              <w:rPr>
                <w:rFonts w:eastAsia="Times New Roman" w:cs="Times New Roman"/>
                <w:color w:val="000000"/>
                <w:sz w:val="18"/>
                <w:lang w:eastAsia="en-NZ"/>
              </w:rPr>
              <w:t>4</w:t>
            </w:r>
          </w:p>
        </w:tc>
        <w:tc>
          <w:tcPr>
            <w:tcW w:w="3668" w:type="dxa"/>
            <w:tcBorders>
              <w:top w:val="nil"/>
              <w:left w:val="nil"/>
              <w:bottom w:val="nil"/>
              <w:right w:val="single" w:sz="4" w:space="0" w:color="auto"/>
            </w:tcBorders>
            <w:shd w:val="clear" w:color="auto" w:fill="auto"/>
            <w:noWrap/>
            <w:vAlign w:val="bottom"/>
            <w:hideMark/>
          </w:tcPr>
          <w:p w14:paraId="18F90301" w14:textId="308FA2AB" w:rsidR="00CC6907" w:rsidRPr="001E66EF" w:rsidRDefault="004F70BA" w:rsidP="00927ED5">
            <w:pPr>
              <w:spacing w:after="0" w:line="240" w:lineRule="auto"/>
              <w:ind w:left="0"/>
              <w:jc w:val="left"/>
              <w:rPr>
                <w:rFonts w:eastAsia="Times New Roman" w:cs="Times New Roman"/>
                <w:color w:val="000000"/>
                <w:sz w:val="18"/>
                <w:lang w:eastAsia="en-NZ"/>
              </w:rPr>
            </w:pPr>
            <w:r>
              <w:rPr>
                <w:rFonts w:eastAsia="Times New Roman" w:cs="Times New Roman"/>
                <w:color w:val="000000"/>
                <w:sz w:val="18"/>
                <w:lang w:eastAsia="en-NZ"/>
              </w:rPr>
              <w:t>Cardiac Hospitalisation</w:t>
            </w:r>
          </w:p>
        </w:tc>
        <w:tc>
          <w:tcPr>
            <w:tcW w:w="1417" w:type="dxa"/>
            <w:tcBorders>
              <w:top w:val="nil"/>
              <w:left w:val="nil"/>
              <w:bottom w:val="nil"/>
              <w:right w:val="single" w:sz="4" w:space="0" w:color="auto"/>
            </w:tcBorders>
          </w:tcPr>
          <w:p w14:paraId="51D336EF" w14:textId="356899E7"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0.0017</w:t>
            </w:r>
          </w:p>
        </w:tc>
        <w:tc>
          <w:tcPr>
            <w:tcW w:w="1417" w:type="dxa"/>
            <w:tcBorders>
              <w:top w:val="nil"/>
              <w:left w:val="nil"/>
              <w:bottom w:val="nil"/>
              <w:right w:val="single" w:sz="4" w:space="0" w:color="auto"/>
            </w:tcBorders>
          </w:tcPr>
          <w:p w14:paraId="08C9B9E7" w14:textId="08E50D6F"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0.0091</w:t>
            </w:r>
          </w:p>
        </w:tc>
        <w:tc>
          <w:tcPr>
            <w:tcW w:w="1417" w:type="dxa"/>
            <w:tcBorders>
              <w:top w:val="nil"/>
              <w:left w:val="nil"/>
              <w:bottom w:val="nil"/>
              <w:right w:val="single" w:sz="4" w:space="0" w:color="auto"/>
            </w:tcBorders>
          </w:tcPr>
          <w:p w14:paraId="2AB2A706" w14:textId="56411EFC"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0.0166</w:t>
            </w:r>
          </w:p>
        </w:tc>
      </w:tr>
      <w:tr w:rsidR="00CC6907" w:rsidRPr="001E66EF" w14:paraId="34047328" w14:textId="22BE5597" w:rsidTr="00927ED5">
        <w:trPr>
          <w:trHeight w:val="57"/>
        </w:trPr>
        <w:tc>
          <w:tcPr>
            <w:tcW w:w="722" w:type="dxa"/>
            <w:tcBorders>
              <w:top w:val="nil"/>
              <w:left w:val="single" w:sz="4" w:space="0" w:color="auto"/>
              <w:bottom w:val="nil"/>
              <w:right w:val="single" w:sz="4" w:space="0" w:color="auto"/>
            </w:tcBorders>
            <w:shd w:val="clear" w:color="auto" w:fill="auto"/>
            <w:noWrap/>
            <w:vAlign w:val="bottom"/>
            <w:hideMark/>
          </w:tcPr>
          <w:p w14:paraId="0769328A" w14:textId="77777777" w:rsidR="00CC6907" w:rsidRPr="001E66EF" w:rsidRDefault="00CC6907" w:rsidP="00927ED5">
            <w:pPr>
              <w:spacing w:after="0" w:line="240" w:lineRule="auto"/>
              <w:ind w:left="0"/>
              <w:jc w:val="right"/>
              <w:rPr>
                <w:rFonts w:eastAsia="Times New Roman" w:cs="Times New Roman"/>
                <w:color w:val="000000"/>
                <w:sz w:val="18"/>
                <w:lang w:eastAsia="en-NZ"/>
              </w:rPr>
            </w:pPr>
            <w:r w:rsidRPr="001E66EF">
              <w:rPr>
                <w:rFonts w:eastAsia="Times New Roman" w:cs="Times New Roman"/>
                <w:color w:val="000000"/>
                <w:sz w:val="18"/>
                <w:lang w:eastAsia="en-NZ"/>
              </w:rPr>
              <w:t>5</w:t>
            </w:r>
          </w:p>
        </w:tc>
        <w:tc>
          <w:tcPr>
            <w:tcW w:w="3668" w:type="dxa"/>
            <w:tcBorders>
              <w:top w:val="nil"/>
              <w:left w:val="nil"/>
              <w:bottom w:val="nil"/>
              <w:right w:val="single" w:sz="4" w:space="0" w:color="auto"/>
            </w:tcBorders>
            <w:shd w:val="clear" w:color="auto" w:fill="auto"/>
            <w:noWrap/>
            <w:vAlign w:val="bottom"/>
            <w:hideMark/>
          </w:tcPr>
          <w:p w14:paraId="69C48A8F" w14:textId="3611E698" w:rsidR="00CC6907" w:rsidRPr="001E66EF" w:rsidRDefault="004F70BA" w:rsidP="00927ED5">
            <w:pPr>
              <w:spacing w:after="0" w:line="240" w:lineRule="auto"/>
              <w:ind w:left="0"/>
              <w:jc w:val="left"/>
              <w:rPr>
                <w:rFonts w:eastAsia="Times New Roman" w:cs="Times New Roman"/>
                <w:color w:val="000000"/>
                <w:sz w:val="18"/>
                <w:lang w:eastAsia="en-NZ"/>
              </w:rPr>
            </w:pPr>
            <w:r>
              <w:rPr>
                <w:rFonts w:eastAsia="Times New Roman" w:cs="Times New Roman"/>
                <w:color w:val="000000"/>
                <w:sz w:val="18"/>
                <w:lang w:eastAsia="en-NZ"/>
              </w:rPr>
              <w:t>Respiratory Hospitalisation</w:t>
            </w:r>
          </w:p>
        </w:tc>
        <w:tc>
          <w:tcPr>
            <w:tcW w:w="1417" w:type="dxa"/>
            <w:tcBorders>
              <w:top w:val="nil"/>
              <w:left w:val="nil"/>
              <w:bottom w:val="nil"/>
              <w:right w:val="single" w:sz="4" w:space="0" w:color="auto"/>
            </w:tcBorders>
          </w:tcPr>
          <w:p w14:paraId="2FF98E72" w14:textId="1B4E8436"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-0.0018</w:t>
            </w:r>
          </w:p>
        </w:tc>
        <w:tc>
          <w:tcPr>
            <w:tcW w:w="1417" w:type="dxa"/>
            <w:tcBorders>
              <w:top w:val="nil"/>
              <w:left w:val="nil"/>
              <w:bottom w:val="nil"/>
              <w:right w:val="single" w:sz="4" w:space="0" w:color="auto"/>
            </w:tcBorders>
          </w:tcPr>
          <w:p w14:paraId="5A107BF8" w14:textId="2E32DD37"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0.019</w:t>
            </w:r>
          </w:p>
        </w:tc>
        <w:tc>
          <w:tcPr>
            <w:tcW w:w="1417" w:type="dxa"/>
            <w:tcBorders>
              <w:top w:val="nil"/>
              <w:left w:val="nil"/>
              <w:bottom w:val="nil"/>
              <w:right w:val="single" w:sz="4" w:space="0" w:color="auto"/>
            </w:tcBorders>
          </w:tcPr>
          <w:p w14:paraId="7AE65579" w14:textId="705D5966"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0.0402</w:t>
            </w:r>
          </w:p>
        </w:tc>
      </w:tr>
      <w:tr w:rsidR="00CC6907" w:rsidRPr="001E66EF" w14:paraId="1296C3BD" w14:textId="4D5C99A7" w:rsidTr="00927ED5">
        <w:trPr>
          <w:trHeight w:val="57"/>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14:paraId="6099A05D" w14:textId="77777777" w:rsidR="00CC6907" w:rsidRPr="001E66EF" w:rsidRDefault="00CC6907" w:rsidP="00927ED5">
            <w:pPr>
              <w:spacing w:after="0" w:line="240" w:lineRule="auto"/>
              <w:ind w:left="0"/>
              <w:jc w:val="right"/>
              <w:rPr>
                <w:rFonts w:eastAsia="Times New Roman" w:cs="Times New Roman"/>
                <w:color w:val="000000"/>
                <w:sz w:val="18"/>
                <w:lang w:eastAsia="en-NZ"/>
              </w:rPr>
            </w:pPr>
            <w:r w:rsidRPr="001E66EF">
              <w:rPr>
                <w:rFonts w:eastAsia="Times New Roman" w:cs="Times New Roman"/>
                <w:color w:val="000000"/>
                <w:sz w:val="18"/>
                <w:lang w:eastAsia="en-NZ"/>
              </w:rPr>
              <w:t>7</w:t>
            </w:r>
          </w:p>
        </w:tc>
        <w:tc>
          <w:tcPr>
            <w:tcW w:w="3668" w:type="dxa"/>
            <w:tcBorders>
              <w:top w:val="nil"/>
              <w:left w:val="nil"/>
              <w:bottom w:val="single" w:sz="4" w:space="0" w:color="auto"/>
              <w:right w:val="single" w:sz="4" w:space="0" w:color="auto"/>
            </w:tcBorders>
            <w:shd w:val="clear" w:color="auto" w:fill="auto"/>
            <w:noWrap/>
            <w:vAlign w:val="bottom"/>
            <w:hideMark/>
          </w:tcPr>
          <w:p w14:paraId="00A9F132" w14:textId="0440F574" w:rsidR="00CC6907" w:rsidRPr="001E66EF" w:rsidRDefault="004F70BA" w:rsidP="00927ED5">
            <w:pPr>
              <w:spacing w:after="0" w:line="240" w:lineRule="auto"/>
              <w:ind w:left="0"/>
              <w:jc w:val="left"/>
              <w:rPr>
                <w:rFonts w:eastAsia="Times New Roman" w:cs="Times New Roman"/>
                <w:color w:val="000000"/>
                <w:sz w:val="18"/>
                <w:lang w:eastAsia="en-NZ"/>
              </w:rPr>
            </w:pPr>
            <w:r>
              <w:rPr>
                <w:rFonts w:eastAsia="Times New Roman" w:cs="Times New Roman"/>
                <w:color w:val="000000"/>
                <w:sz w:val="18"/>
                <w:lang w:eastAsia="en-NZ"/>
              </w:rPr>
              <w:t>Restricted Activity Days</w:t>
            </w:r>
          </w:p>
        </w:tc>
        <w:tc>
          <w:tcPr>
            <w:tcW w:w="1417" w:type="dxa"/>
            <w:tcBorders>
              <w:top w:val="nil"/>
              <w:left w:val="nil"/>
              <w:bottom w:val="single" w:sz="4" w:space="0" w:color="auto"/>
              <w:right w:val="single" w:sz="4" w:space="0" w:color="auto"/>
            </w:tcBorders>
          </w:tcPr>
          <w:p w14:paraId="7580C96E" w14:textId="483B96C4"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0.5</w:t>
            </w:r>
          </w:p>
        </w:tc>
        <w:tc>
          <w:tcPr>
            <w:tcW w:w="1417" w:type="dxa"/>
            <w:tcBorders>
              <w:top w:val="nil"/>
              <w:left w:val="nil"/>
              <w:bottom w:val="single" w:sz="4" w:space="0" w:color="auto"/>
              <w:right w:val="single" w:sz="4" w:space="0" w:color="auto"/>
            </w:tcBorders>
          </w:tcPr>
          <w:p w14:paraId="0C459FEC" w14:textId="3113A8A8"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0.9</w:t>
            </w:r>
          </w:p>
        </w:tc>
        <w:tc>
          <w:tcPr>
            <w:tcW w:w="1417" w:type="dxa"/>
            <w:tcBorders>
              <w:top w:val="nil"/>
              <w:left w:val="nil"/>
              <w:bottom w:val="single" w:sz="4" w:space="0" w:color="auto"/>
              <w:right w:val="single" w:sz="4" w:space="0" w:color="auto"/>
            </w:tcBorders>
          </w:tcPr>
          <w:p w14:paraId="747F7774" w14:textId="5A3A0B7F" w:rsidR="00CC6907" w:rsidRPr="001E66EF" w:rsidRDefault="00CC6907" w:rsidP="00927ED5">
            <w:pPr>
              <w:spacing w:after="0" w:line="240" w:lineRule="auto"/>
              <w:ind w:left="0"/>
              <w:jc w:val="center"/>
              <w:rPr>
                <w:rFonts w:eastAsia="Times New Roman" w:cs="Times New Roman"/>
                <w:color w:val="000000"/>
                <w:sz w:val="18"/>
                <w:lang w:eastAsia="en-NZ"/>
              </w:rPr>
            </w:pPr>
            <w:r w:rsidRPr="001E66EF">
              <w:rPr>
                <w:rFonts w:eastAsia="Times New Roman" w:cs="Times New Roman"/>
                <w:color w:val="000000"/>
                <w:sz w:val="18"/>
                <w:lang w:eastAsia="en-NZ"/>
              </w:rPr>
              <w:t>1.7</w:t>
            </w:r>
          </w:p>
        </w:tc>
      </w:tr>
    </w:tbl>
    <w:p w14:paraId="038A8753" w14:textId="1A605FEA" w:rsidR="00F5252D" w:rsidRPr="001E66EF" w:rsidRDefault="00F5252D" w:rsidP="00F5252D">
      <w:pPr>
        <w:pStyle w:val="Graphicpaste"/>
      </w:pPr>
    </w:p>
    <w:tbl>
      <w:tblPr>
        <w:tblW w:w="8641" w:type="dxa"/>
        <w:tblLook w:val="04A0" w:firstRow="1" w:lastRow="0" w:firstColumn="1" w:lastColumn="0" w:noHBand="0" w:noVBand="1"/>
      </w:tblPr>
      <w:tblGrid>
        <w:gridCol w:w="722"/>
        <w:gridCol w:w="3668"/>
        <w:gridCol w:w="1417"/>
        <w:gridCol w:w="1417"/>
        <w:gridCol w:w="1417"/>
      </w:tblGrid>
      <w:tr w:rsidR="00CC6907" w:rsidRPr="001E66EF" w14:paraId="2E2945FF" w14:textId="77777777" w:rsidTr="00927ED5">
        <w:trPr>
          <w:trHeight w:val="57"/>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5E1F4" w14:textId="77777777" w:rsidR="00CC6907" w:rsidRPr="001D4927" w:rsidRDefault="00CC6907" w:rsidP="00927ED5">
            <w:pPr>
              <w:spacing w:after="0" w:line="240" w:lineRule="auto"/>
              <w:ind w:left="0"/>
              <w:jc w:val="left"/>
              <w:rPr>
                <w:rFonts w:eastAsia="Times New Roman" w:cs="Times New Roman"/>
                <w:b/>
                <w:bCs/>
                <w:color w:val="000000"/>
                <w:sz w:val="18"/>
                <w:lang w:eastAsia="en-NZ"/>
              </w:rPr>
            </w:pPr>
            <w:r w:rsidRPr="001D4927">
              <w:rPr>
                <w:rFonts w:eastAsia="Times New Roman" w:cs="Times New Roman"/>
                <w:b/>
                <w:bCs/>
                <w:color w:val="000000"/>
                <w:sz w:val="18"/>
                <w:lang w:eastAsia="en-NZ"/>
              </w:rPr>
              <w:t xml:space="preserve">Morbidity &amp; Mortality, exposure-response relationship, per 10 </w:t>
            </w:r>
            <w:proofErr w:type="spellStart"/>
            <w:r w:rsidRPr="001D4927">
              <w:rPr>
                <w:rFonts w:eastAsia="Times New Roman" w:cs="Times New Roman"/>
                <w:b/>
                <w:bCs/>
                <w:color w:val="000000"/>
                <w:sz w:val="18"/>
                <w:lang w:eastAsia="en-NZ"/>
              </w:rPr>
              <w:t>μg</w:t>
            </w:r>
            <w:proofErr w:type="spellEnd"/>
            <w:r w:rsidRPr="001D4927">
              <w:rPr>
                <w:rFonts w:eastAsia="Times New Roman" w:cs="Times New Roman"/>
                <w:b/>
                <w:bCs/>
                <w:color w:val="000000"/>
                <w:sz w:val="18"/>
                <w:lang w:eastAsia="en-NZ"/>
              </w:rPr>
              <w:t>/m</w:t>
            </w:r>
            <w:r w:rsidRPr="001D4927">
              <w:rPr>
                <w:rFonts w:eastAsia="Times New Roman" w:cs="Times New Roman"/>
                <w:b/>
                <w:bCs/>
                <w:color w:val="000000"/>
                <w:sz w:val="18"/>
                <w:vertAlign w:val="superscript"/>
                <w:lang w:eastAsia="en-NZ"/>
              </w:rPr>
              <w:t>3</w:t>
            </w:r>
            <w:r w:rsidRPr="001D4927">
              <w:rPr>
                <w:rFonts w:eastAsia="Times New Roman" w:cs="Times New Roman"/>
                <w:b/>
                <w:bCs/>
                <w:color w:val="000000"/>
                <w:sz w:val="18"/>
                <w:lang w:eastAsia="en-NZ"/>
              </w:rPr>
              <w:t xml:space="preserve"> PM</w:t>
            </w:r>
            <w:r w:rsidRPr="001D4927">
              <w:rPr>
                <w:rFonts w:eastAsia="Times New Roman" w:cs="Times New Roman"/>
                <w:b/>
                <w:bCs/>
                <w:color w:val="000000"/>
                <w:sz w:val="18"/>
                <w:vertAlign w:val="subscript"/>
                <w:lang w:eastAsia="en-NZ"/>
              </w:rPr>
              <w:t>10</w:t>
            </w:r>
            <w:r w:rsidRPr="001D4927">
              <w:rPr>
                <w:rFonts w:eastAsia="Times New Roman" w:cs="Times New Roman"/>
                <w:b/>
                <w:bCs/>
                <w:color w:val="000000"/>
                <w:sz w:val="18"/>
                <w:lang w:eastAsia="en-NZ"/>
              </w:rPr>
              <w:t xml:space="preserve"> </w:t>
            </w:r>
          </w:p>
        </w:tc>
        <w:tc>
          <w:tcPr>
            <w:tcW w:w="4251" w:type="dxa"/>
            <w:gridSpan w:val="3"/>
            <w:tcBorders>
              <w:top w:val="single" w:sz="4" w:space="0" w:color="auto"/>
              <w:left w:val="single" w:sz="4" w:space="0" w:color="auto"/>
              <w:bottom w:val="single" w:sz="4" w:space="0" w:color="auto"/>
              <w:right w:val="single" w:sz="4" w:space="0" w:color="000000"/>
            </w:tcBorders>
            <w:vAlign w:val="center"/>
          </w:tcPr>
          <w:p w14:paraId="116A180C" w14:textId="11E508B7" w:rsidR="00CC6907" w:rsidRPr="001E66EF" w:rsidRDefault="00CC6907" w:rsidP="00927ED5">
            <w:pPr>
              <w:spacing w:after="0" w:line="240" w:lineRule="auto"/>
              <w:ind w:left="0"/>
              <w:jc w:val="center"/>
              <w:rPr>
                <w:rFonts w:eastAsia="Times New Roman" w:cs="Times New Roman"/>
                <w:b/>
                <w:bCs/>
                <w:color w:val="000000"/>
                <w:sz w:val="16"/>
                <w:lang w:eastAsia="en-NZ"/>
              </w:rPr>
            </w:pPr>
            <w:r w:rsidRPr="001D4927">
              <w:rPr>
                <w:rFonts w:eastAsia="Times New Roman" w:cs="Times New Roman"/>
                <w:b/>
                <w:bCs/>
                <w:color w:val="000000"/>
                <w:sz w:val="18"/>
                <w:lang w:eastAsia="en-NZ"/>
              </w:rPr>
              <w:t>PM</w:t>
            </w:r>
            <w:r w:rsidRPr="001D4927">
              <w:rPr>
                <w:rFonts w:eastAsia="Times New Roman" w:cs="Times New Roman"/>
                <w:b/>
                <w:bCs/>
                <w:color w:val="000000"/>
                <w:sz w:val="18"/>
                <w:vertAlign w:val="subscript"/>
                <w:lang w:eastAsia="en-NZ"/>
              </w:rPr>
              <w:t>10</w:t>
            </w:r>
          </w:p>
        </w:tc>
      </w:tr>
      <w:tr w:rsidR="004F70BA" w:rsidRPr="001E66EF" w14:paraId="7BCF627A" w14:textId="77777777" w:rsidTr="00927ED5">
        <w:trPr>
          <w:trHeight w:val="57"/>
        </w:trPr>
        <w:tc>
          <w:tcPr>
            <w:tcW w:w="722" w:type="dxa"/>
            <w:tcBorders>
              <w:top w:val="nil"/>
              <w:left w:val="single" w:sz="4" w:space="0" w:color="auto"/>
              <w:bottom w:val="nil"/>
              <w:right w:val="single" w:sz="4" w:space="0" w:color="auto"/>
            </w:tcBorders>
            <w:shd w:val="clear" w:color="auto" w:fill="auto"/>
            <w:noWrap/>
            <w:vAlign w:val="bottom"/>
            <w:hideMark/>
          </w:tcPr>
          <w:p w14:paraId="006F25FA" w14:textId="77777777" w:rsidR="004F70BA" w:rsidRPr="001D4927" w:rsidRDefault="004F70BA" w:rsidP="004F70BA">
            <w:pPr>
              <w:spacing w:after="0" w:line="240" w:lineRule="auto"/>
              <w:ind w:left="0"/>
              <w:jc w:val="right"/>
              <w:rPr>
                <w:rFonts w:eastAsia="Times New Roman" w:cs="Times New Roman"/>
                <w:color w:val="000000"/>
                <w:sz w:val="18"/>
                <w:szCs w:val="24"/>
                <w:lang w:eastAsia="en-NZ"/>
              </w:rPr>
            </w:pPr>
            <w:r w:rsidRPr="001D4927">
              <w:rPr>
                <w:rFonts w:eastAsia="Times New Roman" w:cs="Times New Roman"/>
                <w:color w:val="000000"/>
                <w:sz w:val="18"/>
                <w:szCs w:val="24"/>
                <w:lang w:eastAsia="en-NZ"/>
              </w:rPr>
              <w:t>1</w:t>
            </w:r>
          </w:p>
        </w:tc>
        <w:tc>
          <w:tcPr>
            <w:tcW w:w="3668" w:type="dxa"/>
            <w:tcBorders>
              <w:top w:val="nil"/>
              <w:left w:val="nil"/>
              <w:bottom w:val="nil"/>
              <w:right w:val="single" w:sz="4" w:space="0" w:color="auto"/>
            </w:tcBorders>
            <w:shd w:val="clear" w:color="auto" w:fill="auto"/>
            <w:noWrap/>
            <w:vAlign w:val="bottom"/>
            <w:hideMark/>
          </w:tcPr>
          <w:p w14:paraId="43108F3C" w14:textId="62FA925B" w:rsidR="004F70BA" w:rsidRPr="001D4927" w:rsidRDefault="004F70BA" w:rsidP="004F70BA">
            <w:pPr>
              <w:spacing w:after="0" w:line="240" w:lineRule="auto"/>
              <w:ind w:left="0"/>
              <w:jc w:val="left"/>
              <w:rPr>
                <w:rFonts w:eastAsia="Times New Roman" w:cs="Times New Roman"/>
                <w:color w:val="000000"/>
                <w:sz w:val="18"/>
                <w:szCs w:val="24"/>
                <w:lang w:eastAsia="en-NZ"/>
              </w:rPr>
            </w:pPr>
            <w:r w:rsidRPr="001D4927">
              <w:rPr>
                <w:rFonts w:eastAsia="Times New Roman" w:cs="Times New Roman"/>
                <w:color w:val="000000"/>
                <w:sz w:val="18"/>
                <w:szCs w:val="24"/>
                <w:lang w:eastAsia="en-NZ"/>
              </w:rPr>
              <w:t>Mortality</w:t>
            </w:r>
          </w:p>
        </w:tc>
        <w:tc>
          <w:tcPr>
            <w:tcW w:w="1417" w:type="dxa"/>
            <w:tcBorders>
              <w:top w:val="nil"/>
              <w:left w:val="nil"/>
              <w:bottom w:val="nil"/>
              <w:right w:val="single" w:sz="4" w:space="0" w:color="auto"/>
            </w:tcBorders>
          </w:tcPr>
          <w:p w14:paraId="6D53B91A" w14:textId="78F5C9CE"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0.03</w:t>
            </w:r>
          </w:p>
        </w:tc>
        <w:tc>
          <w:tcPr>
            <w:tcW w:w="1417" w:type="dxa"/>
            <w:tcBorders>
              <w:top w:val="nil"/>
              <w:left w:val="nil"/>
              <w:bottom w:val="nil"/>
              <w:right w:val="single" w:sz="4" w:space="0" w:color="auto"/>
            </w:tcBorders>
          </w:tcPr>
          <w:p w14:paraId="3FF10A9D" w14:textId="084BDF9F"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0.043</w:t>
            </w:r>
          </w:p>
        </w:tc>
        <w:tc>
          <w:tcPr>
            <w:tcW w:w="1417" w:type="dxa"/>
            <w:tcBorders>
              <w:top w:val="nil"/>
              <w:left w:val="nil"/>
              <w:bottom w:val="nil"/>
              <w:right w:val="single" w:sz="4" w:space="0" w:color="auto"/>
            </w:tcBorders>
          </w:tcPr>
          <w:p w14:paraId="1D30FFBB" w14:textId="61CE8CEF"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0.1</w:t>
            </w:r>
          </w:p>
        </w:tc>
      </w:tr>
      <w:tr w:rsidR="004F70BA" w:rsidRPr="001E66EF" w14:paraId="4A362A81" w14:textId="77777777" w:rsidTr="00927ED5">
        <w:trPr>
          <w:trHeight w:val="57"/>
        </w:trPr>
        <w:tc>
          <w:tcPr>
            <w:tcW w:w="722" w:type="dxa"/>
            <w:tcBorders>
              <w:top w:val="nil"/>
              <w:left w:val="single" w:sz="4" w:space="0" w:color="auto"/>
              <w:bottom w:val="nil"/>
              <w:right w:val="single" w:sz="4" w:space="0" w:color="auto"/>
            </w:tcBorders>
            <w:shd w:val="clear" w:color="auto" w:fill="auto"/>
            <w:noWrap/>
            <w:vAlign w:val="bottom"/>
            <w:hideMark/>
          </w:tcPr>
          <w:p w14:paraId="0D5322B3" w14:textId="77777777" w:rsidR="004F70BA" w:rsidRPr="001D4927" w:rsidRDefault="004F70BA" w:rsidP="004F70BA">
            <w:pPr>
              <w:spacing w:after="0" w:line="240" w:lineRule="auto"/>
              <w:ind w:left="0"/>
              <w:jc w:val="right"/>
              <w:rPr>
                <w:rFonts w:eastAsia="Times New Roman" w:cs="Times New Roman"/>
                <w:color w:val="000000"/>
                <w:sz w:val="18"/>
                <w:szCs w:val="24"/>
                <w:lang w:eastAsia="en-NZ"/>
              </w:rPr>
            </w:pPr>
            <w:r w:rsidRPr="001D4927">
              <w:rPr>
                <w:rFonts w:eastAsia="Times New Roman" w:cs="Times New Roman"/>
                <w:color w:val="000000"/>
                <w:sz w:val="18"/>
                <w:szCs w:val="24"/>
                <w:lang w:eastAsia="en-NZ"/>
              </w:rPr>
              <w:t>4</w:t>
            </w:r>
          </w:p>
        </w:tc>
        <w:tc>
          <w:tcPr>
            <w:tcW w:w="3668" w:type="dxa"/>
            <w:tcBorders>
              <w:top w:val="nil"/>
              <w:left w:val="nil"/>
              <w:bottom w:val="nil"/>
              <w:right w:val="single" w:sz="4" w:space="0" w:color="auto"/>
            </w:tcBorders>
            <w:shd w:val="clear" w:color="auto" w:fill="auto"/>
            <w:noWrap/>
            <w:vAlign w:val="bottom"/>
            <w:hideMark/>
          </w:tcPr>
          <w:p w14:paraId="4966F03D" w14:textId="077497EF" w:rsidR="004F70BA" w:rsidRPr="001D4927" w:rsidRDefault="004F70BA" w:rsidP="004F70BA">
            <w:pPr>
              <w:spacing w:after="0" w:line="240" w:lineRule="auto"/>
              <w:ind w:left="0"/>
              <w:jc w:val="left"/>
              <w:rPr>
                <w:rFonts w:eastAsia="Times New Roman" w:cs="Times New Roman"/>
                <w:color w:val="000000"/>
                <w:sz w:val="18"/>
                <w:szCs w:val="24"/>
                <w:lang w:eastAsia="en-NZ"/>
              </w:rPr>
            </w:pPr>
            <w:r w:rsidRPr="001D4927">
              <w:rPr>
                <w:rFonts w:eastAsia="Times New Roman" w:cs="Times New Roman"/>
                <w:color w:val="000000"/>
                <w:sz w:val="18"/>
                <w:szCs w:val="24"/>
                <w:lang w:eastAsia="en-NZ"/>
              </w:rPr>
              <w:t>Cardiac Hospitalisation</w:t>
            </w:r>
          </w:p>
        </w:tc>
        <w:tc>
          <w:tcPr>
            <w:tcW w:w="1417" w:type="dxa"/>
            <w:tcBorders>
              <w:top w:val="nil"/>
              <w:left w:val="nil"/>
              <w:bottom w:val="nil"/>
              <w:right w:val="single" w:sz="4" w:space="0" w:color="auto"/>
            </w:tcBorders>
          </w:tcPr>
          <w:p w14:paraId="0D1B2B61" w14:textId="4C01932D"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0.003</w:t>
            </w:r>
          </w:p>
        </w:tc>
        <w:tc>
          <w:tcPr>
            <w:tcW w:w="1417" w:type="dxa"/>
            <w:tcBorders>
              <w:top w:val="nil"/>
              <w:left w:val="nil"/>
              <w:bottom w:val="nil"/>
              <w:right w:val="single" w:sz="4" w:space="0" w:color="auto"/>
            </w:tcBorders>
          </w:tcPr>
          <w:p w14:paraId="665BEC32" w14:textId="737803D4"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0.006</w:t>
            </w:r>
          </w:p>
        </w:tc>
        <w:tc>
          <w:tcPr>
            <w:tcW w:w="1417" w:type="dxa"/>
            <w:tcBorders>
              <w:top w:val="nil"/>
              <w:left w:val="nil"/>
              <w:bottom w:val="nil"/>
              <w:right w:val="single" w:sz="4" w:space="0" w:color="auto"/>
            </w:tcBorders>
          </w:tcPr>
          <w:p w14:paraId="6F8130B3" w14:textId="5E37DE17"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0.009</w:t>
            </w:r>
          </w:p>
        </w:tc>
      </w:tr>
      <w:tr w:rsidR="004F70BA" w:rsidRPr="001E66EF" w14:paraId="130D18F2" w14:textId="77777777" w:rsidTr="00927ED5">
        <w:trPr>
          <w:trHeight w:val="57"/>
        </w:trPr>
        <w:tc>
          <w:tcPr>
            <w:tcW w:w="722" w:type="dxa"/>
            <w:tcBorders>
              <w:top w:val="nil"/>
              <w:left w:val="single" w:sz="4" w:space="0" w:color="auto"/>
              <w:bottom w:val="nil"/>
              <w:right w:val="single" w:sz="4" w:space="0" w:color="auto"/>
            </w:tcBorders>
            <w:shd w:val="clear" w:color="auto" w:fill="auto"/>
            <w:noWrap/>
            <w:vAlign w:val="bottom"/>
            <w:hideMark/>
          </w:tcPr>
          <w:p w14:paraId="1B096ADC" w14:textId="77777777" w:rsidR="004F70BA" w:rsidRPr="001D4927" w:rsidRDefault="004F70BA" w:rsidP="004F70BA">
            <w:pPr>
              <w:spacing w:after="0" w:line="240" w:lineRule="auto"/>
              <w:ind w:left="0"/>
              <w:jc w:val="right"/>
              <w:rPr>
                <w:rFonts w:eastAsia="Times New Roman" w:cs="Times New Roman"/>
                <w:color w:val="000000"/>
                <w:sz w:val="18"/>
                <w:szCs w:val="24"/>
                <w:lang w:eastAsia="en-NZ"/>
              </w:rPr>
            </w:pPr>
            <w:r w:rsidRPr="001D4927">
              <w:rPr>
                <w:rFonts w:eastAsia="Times New Roman" w:cs="Times New Roman"/>
                <w:color w:val="000000"/>
                <w:sz w:val="18"/>
                <w:szCs w:val="24"/>
                <w:lang w:eastAsia="en-NZ"/>
              </w:rPr>
              <w:t>5</w:t>
            </w:r>
          </w:p>
        </w:tc>
        <w:tc>
          <w:tcPr>
            <w:tcW w:w="3668" w:type="dxa"/>
            <w:tcBorders>
              <w:top w:val="nil"/>
              <w:left w:val="nil"/>
              <w:bottom w:val="nil"/>
              <w:right w:val="single" w:sz="4" w:space="0" w:color="auto"/>
            </w:tcBorders>
            <w:shd w:val="clear" w:color="auto" w:fill="auto"/>
            <w:noWrap/>
            <w:vAlign w:val="bottom"/>
            <w:hideMark/>
          </w:tcPr>
          <w:p w14:paraId="53554526" w14:textId="464A5F29" w:rsidR="004F70BA" w:rsidRPr="001D4927" w:rsidRDefault="004F70BA" w:rsidP="004F70BA">
            <w:pPr>
              <w:spacing w:after="0" w:line="240" w:lineRule="auto"/>
              <w:ind w:left="0"/>
              <w:jc w:val="left"/>
              <w:rPr>
                <w:rFonts w:eastAsia="Times New Roman" w:cs="Times New Roman"/>
                <w:color w:val="000000"/>
                <w:sz w:val="18"/>
                <w:szCs w:val="24"/>
                <w:lang w:eastAsia="en-NZ"/>
              </w:rPr>
            </w:pPr>
            <w:r w:rsidRPr="001D4927">
              <w:rPr>
                <w:rFonts w:eastAsia="Times New Roman" w:cs="Times New Roman"/>
                <w:color w:val="000000"/>
                <w:sz w:val="18"/>
                <w:szCs w:val="24"/>
                <w:lang w:eastAsia="en-NZ"/>
              </w:rPr>
              <w:t>Respiratory Hospitalisation</w:t>
            </w:r>
          </w:p>
        </w:tc>
        <w:tc>
          <w:tcPr>
            <w:tcW w:w="1417" w:type="dxa"/>
            <w:tcBorders>
              <w:top w:val="nil"/>
              <w:left w:val="nil"/>
              <w:bottom w:val="nil"/>
              <w:right w:val="single" w:sz="4" w:space="0" w:color="auto"/>
            </w:tcBorders>
          </w:tcPr>
          <w:p w14:paraId="094AAABC" w14:textId="204FFEC9"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0.006</w:t>
            </w:r>
          </w:p>
        </w:tc>
        <w:tc>
          <w:tcPr>
            <w:tcW w:w="1417" w:type="dxa"/>
            <w:tcBorders>
              <w:top w:val="nil"/>
              <w:left w:val="nil"/>
              <w:bottom w:val="nil"/>
              <w:right w:val="single" w:sz="4" w:space="0" w:color="auto"/>
            </w:tcBorders>
          </w:tcPr>
          <w:p w14:paraId="10849F4E" w14:textId="37EE241C"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0.01</w:t>
            </w:r>
          </w:p>
        </w:tc>
        <w:tc>
          <w:tcPr>
            <w:tcW w:w="1417" w:type="dxa"/>
            <w:tcBorders>
              <w:top w:val="nil"/>
              <w:left w:val="nil"/>
              <w:bottom w:val="nil"/>
              <w:right w:val="single" w:sz="4" w:space="0" w:color="auto"/>
            </w:tcBorders>
          </w:tcPr>
          <w:p w14:paraId="4AE01EDE" w14:textId="45EC1DC3" w:rsidR="004F70BA" w:rsidRPr="001D4927" w:rsidRDefault="004F70BA" w:rsidP="004F70BA">
            <w:pPr>
              <w:spacing w:after="0" w:line="240" w:lineRule="auto"/>
              <w:ind w:left="0"/>
              <w:jc w:val="center"/>
              <w:rPr>
                <w:rFonts w:eastAsia="Times New Roman" w:cs="Times New Roman"/>
                <w:color w:val="000000"/>
                <w:sz w:val="18"/>
                <w:szCs w:val="24"/>
                <w:lang w:eastAsia="en-NZ"/>
              </w:rPr>
            </w:pPr>
            <w:r w:rsidRPr="001D4927">
              <w:rPr>
                <w:rFonts w:eastAsia="Times New Roman" w:cs="Times New Roman"/>
                <w:color w:val="000000"/>
                <w:sz w:val="18"/>
                <w:szCs w:val="24"/>
                <w:lang w:eastAsia="en-NZ"/>
              </w:rPr>
              <w:t>0.017</w:t>
            </w:r>
          </w:p>
        </w:tc>
      </w:tr>
      <w:tr w:rsidR="004F70BA" w:rsidRPr="001E66EF" w14:paraId="6AF3C62B" w14:textId="77777777" w:rsidTr="00927ED5">
        <w:trPr>
          <w:trHeight w:val="57"/>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14:paraId="01FCE082" w14:textId="77777777" w:rsidR="004F70BA" w:rsidRPr="001D4927" w:rsidRDefault="004F70BA" w:rsidP="004F70BA">
            <w:pPr>
              <w:spacing w:after="0" w:line="240" w:lineRule="auto"/>
              <w:ind w:left="0"/>
              <w:jc w:val="right"/>
              <w:rPr>
                <w:rFonts w:eastAsia="Times New Roman" w:cs="Times New Roman"/>
                <w:color w:val="000000"/>
                <w:sz w:val="18"/>
                <w:szCs w:val="24"/>
                <w:lang w:eastAsia="en-NZ"/>
              </w:rPr>
            </w:pPr>
            <w:r w:rsidRPr="001D4927">
              <w:rPr>
                <w:rFonts w:eastAsia="Times New Roman" w:cs="Times New Roman"/>
                <w:color w:val="000000"/>
                <w:sz w:val="18"/>
                <w:szCs w:val="24"/>
                <w:lang w:eastAsia="en-NZ"/>
              </w:rPr>
              <w:t>7</w:t>
            </w:r>
          </w:p>
        </w:tc>
        <w:tc>
          <w:tcPr>
            <w:tcW w:w="3668" w:type="dxa"/>
            <w:tcBorders>
              <w:top w:val="nil"/>
              <w:left w:val="nil"/>
              <w:bottom w:val="single" w:sz="4" w:space="0" w:color="auto"/>
              <w:right w:val="single" w:sz="4" w:space="0" w:color="auto"/>
            </w:tcBorders>
            <w:shd w:val="clear" w:color="auto" w:fill="auto"/>
            <w:noWrap/>
            <w:vAlign w:val="bottom"/>
            <w:hideMark/>
          </w:tcPr>
          <w:p w14:paraId="5D3D8C14" w14:textId="3EB1FF4B" w:rsidR="004F70BA" w:rsidRPr="001D4927" w:rsidRDefault="004F70BA" w:rsidP="004F70BA">
            <w:pPr>
              <w:spacing w:after="0" w:line="240" w:lineRule="auto"/>
              <w:ind w:left="0"/>
              <w:jc w:val="left"/>
              <w:rPr>
                <w:rFonts w:eastAsia="Times New Roman" w:cs="Times New Roman"/>
                <w:color w:val="000000"/>
                <w:sz w:val="18"/>
                <w:szCs w:val="24"/>
                <w:lang w:eastAsia="en-NZ"/>
              </w:rPr>
            </w:pPr>
            <w:r w:rsidRPr="001D4927">
              <w:rPr>
                <w:rFonts w:eastAsia="Times New Roman" w:cs="Times New Roman"/>
                <w:color w:val="000000"/>
                <w:sz w:val="18"/>
                <w:szCs w:val="24"/>
                <w:lang w:eastAsia="en-NZ"/>
              </w:rPr>
              <w:t>Restricted Activity Days</w:t>
            </w:r>
          </w:p>
        </w:tc>
        <w:tc>
          <w:tcPr>
            <w:tcW w:w="1417" w:type="dxa"/>
            <w:tcBorders>
              <w:top w:val="nil"/>
              <w:left w:val="nil"/>
              <w:bottom w:val="single" w:sz="4" w:space="0" w:color="auto"/>
              <w:right w:val="single" w:sz="4" w:space="0" w:color="auto"/>
            </w:tcBorders>
          </w:tcPr>
          <w:p w14:paraId="1D33C598" w14:textId="4BF47F18" w:rsidR="004F70BA" w:rsidRPr="001D4927" w:rsidRDefault="004F70BA" w:rsidP="004F70BA">
            <w:pPr>
              <w:spacing w:after="0" w:line="240" w:lineRule="auto"/>
              <w:ind w:left="0"/>
              <w:jc w:val="center"/>
              <w:rPr>
                <w:rFonts w:eastAsia="Times New Roman" w:cs="Times New Roman"/>
                <w:color w:val="000000"/>
                <w:sz w:val="18"/>
                <w:szCs w:val="24"/>
                <w:lang w:eastAsia="en-NZ"/>
              </w:rPr>
            </w:pPr>
          </w:p>
        </w:tc>
        <w:tc>
          <w:tcPr>
            <w:tcW w:w="1417" w:type="dxa"/>
            <w:tcBorders>
              <w:top w:val="nil"/>
              <w:left w:val="nil"/>
              <w:bottom w:val="single" w:sz="4" w:space="0" w:color="auto"/>
              <w:right w:val="single" w:sz="4" w:space="0" w:color="auto"/>
            </w:tcBorders>
          </w:tcPr>
          <w:p w14:paraId="66301908" w14:textId="3B47C8F0" w:rsidR="004F70BA" w:rsidRPr="001D4927" w:rsidRDefault="004F70BA" w:rsidP="004F70BA">
            <w:pPr>
              <w:spacing w:after="0" w:line="240" w:lineRule="auto"/>
              <w:ind w:left="0"/>
              <w:jc w:val="center"/>
              <w:rPr>
                <w:rFonts w:eastAsia="Times New Roman" w:cs="Times New Roman"/>
                <w:color w:val="000000"/>
                <w:sz w:val="18"/>
                <w:szCs w:val="24"/>
                <w:lang w:eastAsia="en-NZ"/>
              </w:rPr>
            </w:pPr>
          </w:p>
        </w:tc>
        <w:tc>
          <w:tcPr>
            <w:tcW w:w="1417" w:type="dxa"/>
            <w:tcBorders>
              <w:top w:val="nil"/>
              <w:left w:val="nil"/>
              <w:bottom w:val="single" w:sz="4" w:space="0" w:color="auto"/>
              <w:right w:val="single" w:sz="4" w:space="0" w:color="auto"/>
            </w:tcBorders>
          </w:tcPr>
          <w:p w14:paraId="5E3D2650" w14:textId="11E9394C" w:rsidR="004F70BA" w:rsidRPr="001D4927" w:rsidRDefault="004F70BA" w:rsidP="004F70BA">
            <w:pPr>
              <w:spacing w:after="0" w:line="240" w:lineRule="auto"/>
              <w:ind w:left="0"/>
              <w:jc w:val="center"/>
              <w:rPr>
                <w:rFonts w:eastAsia="Times New Roman" w:cs="Times New Roman"/>
                <w:color w:val="000000"/>
                <w:sz w:val="18"/>
                <w:szCs w:val="24"/>
                <w:lang w:eastAsia="en-NZ"/>
              </w:rPr>
            </w:pPr>
          </w:p>
        </w:tc>
      </w:tr>
    </w:tbl>
    <w:p w14:paraId="6B8DB060" w14:textId="77777777" w:rsidR="009D5762" w:rsidRDefault="009D5762" w:rsidP="00CC6907"/>
    <w:p w14:paraId="5F17407A" w14:textId="77777777" w:rsidR="004B10E3" w:rsidRDefault="004B10E3" w:rsidP="00CC6907"/>
    <w:p w14:paraId="5DDDF5A7" w14:textId="77777777" w:rsidR="004B10E3" w:rsidRDefault="004B10E3" w:rsidP="00CC6907"/>
    <w:p w14:paraId="43E124A7" w14:textId="77777777" w:rsidR="004B10E3" w:rsidRDefault="004B10E3" w:rsidP="00CC6907"/>
    <w:p w14:paraId="1187B9D4" w14:textId="77777777" w:rsidR="004B10E3" w:rsidRPr="001E66EF" w:rsidRDefault="004B10E3" w:rsidP="00CC6907">
      <w:pPr>
        <w:sectPr w:rsidR="004B10E3" w:rsidRPr="001E66EF" w:rsidSect="00EA5D9D">
          <w:footerReference w:type="default" r:id="rId17"/>
          <w:pgSz w:w="11907" w:h="16839" w:code="9"/>
          <w:pgMar w:top="851" w:right="1152" w:bottom="1728" w:left="1440" w:header="720" w:footer="0" w:gutter="0"/>
          <w:pgNumType w:start="1"/>
          <w:cols w:space="720"/>
          <w:docGrid w:linePitch="360"/>
        </w:sectPr>
      </w:pPr>
    </w:p>
    <w:p w14:paraId="43C00056" w14:textId="679A6BC5" w:rsidR="00D81BB0" w:rsidRDefault="009D5762" w:rsidP="008779E8">
      <w:pPr>
        <w:pStyle w:val="Caption"/>
        <w:ind w:left="284"/>
      </w:pPr>
      <w:bookmarkStart w:id="111" w:name="_Ref455135997"/>
      <w:r w:rsidRPr="001E66EF">
        <w:lastRenderedPageBreak/>
        <w:t>A</w:t>
      </w:r>
      <w:r w:rsidR="00D81BB0" w:rsidRPr="001E66EF">
        <w:t xml:space="preserve">ppendix </w:t>
      </w:r>
      <w:r w:rsidR="001669B3" w:rsidRPr="001E66EF">
        <w:fldChar w:fldCharType="begin"/>
      </w:r>
      <w:r w:rsidR="001669B3" w:rsidRPr="001E66EF">
        <w:instrText xml:space="preserve"> SEQ Appendix \* ARABIC </w:instrText>
      </w:r>
      <w:r w:rsidR="001669B3" w:rsidRPr="001E66EF">
        <w:fldChar w:fldCharType="separate"/>
      </w:r>
      <w:r w:rsidR="00FD114C">
        <w:rPr>
          <w:noProof/>
        </w:rPr>
        <w:t>3</w:t>
      </w:r>
      <w:r w:rsidR="001669B3" w:rsidRPr="001E66EF">
        <w:fldChar w:fldCharType="end"/>
      </w:r>
      <w:bookmarkEnd w:id="111"/>
      <w:r w:rsidR="00D81BB0" w:rsidRPr="001E66EF">
        <w:t>:  PM</w:t>
      </w:r>
      <w:r w:rsidR="00D81BB0" w:rsidRPr="001E66EF">
        <w:rPr>
          <w:vertAlign w:val="subscript"/>
        </w:rPr>
        <w:t>2.5</w:t>
      </w:r>
      <w:r w:rsidR="00D81BB0" w:rsidRPr="001E66EF">
        <w:t xml:space="preserve"> </w:t>
      </w:r>
      <w:r w:rsidR="004C4119">
        <w:t>Annual Average C</w:t>
      </w:r>
      <w:r w:rsidR="00D81BB0" w:rsidRPr="001E66EF">
        <w:t>oncentration (ug/m3)</w:t>
      </w:r>
      <w:r w:rsidR="004C4119">
        <w:t xml:space="preserve"> under</w:t>
      </w:r>
      <w:r w:rsidR="00D81BB0" w:rsidRPr="001E66EF">
        <w:t xml:space="preserve"> </w:t>
      </w:r>
      <w:r w:rsidR="00E84F1A">
        <w:t>the proposed policy</w:t>
      </w:r>
      <w:r w:rsidR="004C4119">
        <w:t xml:space="preserve"> </w:t>
      </w:r>
    </w:p>
    <w:p w14:paraId="6D8F3175" w14:textId="63558E52" w:rsidR="004B10E3" w:rsidRDefault="001D1120" w:rsidP="001D1120">
      <w:pPr>
        <w:pStyle w:val="Graphicpaste"/>
        <w:ind w:left="0"/>
        <w:jc w:val="both"/>
      </w:pPr>
      <w:r>
        <w:rPr>
          <w:noProof/>
          <w:lang w:eastAsia="en-NZ"/>
        </w:rPr>
        <w:drawing>
          <wp:inline distT="0" distB="0" distL="0" distR="0" wp14:anchorId="506548E2" wp14:editId="1C8632BF">
            <wp:extent cx="9031968" cy="5281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6055" cy="5290093"/>
                    </a:xfrm>
                    <a:prstGeom prst="rect">
                      <a:avLst/>
                    </a:prstGeom>
                    <a:noFill/>
                  </pic:spPr>
                </pic:pic>
              </a:graphicData>
            </a:graphic>
          </wp:inline>
        </w:drawing>
      </w:r>
    </w:p>
    <w:p w14:paraId="52353AA2" w14:textId="77777777" w:rsidR="004B10E3" w:rsidRDefault="004B10E3" w:rsidP="004B10E3">
      <w:pPr>
        <w:sectPr w:rsidR="004B10E3" w:rsidSect="004B10E3">
          <w:footerReference w:type="default" r:id="rId18"/>
          <w:pgSz w:w="16839" w:h="11907" w:orient="landscape" w:code="9"/>
          <w:pgMar w:top="1440" w:right="1008" w:bottom="1152" w:left="1728" w:header="720" w:footer="0" w:gutter="0"/>
          <w:cols w:space="720"/>
          <w:docGrid w:linePitch="360"/>
        </w:sectPr>
      </w:pPr>
    </w:p>
    <w:p w14:paraId="5CF6D327" w14:textId="25FADEED" w:rsidR="00B93B86" w:rsidRPr="001E66EF" w:rsidRDefault="00B93B86" w:rsidP="004B10E3">
      <w:pPr>
        <w:pStyle w:val="Caption"/>
        <w:ind w:left="0"/>
      </w:pPr>
      <w:bookmarkStart w:id="112" w:name="_Ref454546678"/>
      <w:bookmarkStart w:id="113" w:name="_Ref485034629"/>
      <w:r w:rsidRPr="001E66EF">
        <w:lastRenderedPageBreak/>
        <w:t xml:space="preserve">Appendix </w:t>
      </w:r>
      <w:r w:rsidR="001669B3" w:rsidRPr="001E66EF">
        <w:fldChar w:fldCharType="begin"/>
      </w:r>
      <w:r w:rsidR="001669B3" w:rsidRPr="001E66EF">
        <w:instrText xml:space="preserve"> SEQ Appendix \* ARABIC </w:instrText>
      </w:r>
      <w:r w:rsidR="001669B3" w:rsidRPr="001E66EF">
        <w:fldChar w:fldCharType="separate"/>
      </w:r>
      <w:r w:rsidR="00FD114C">
        <w:rPr>
          <w:noProof/>
        </w:rPr>
        <w:t>4</w:t>
      </w:r>
      <w:r w:rsidR="001669B3" w:rsidRPr="001E66EF">
        <w:fldChar w:fldCharType="end"/>
      </w:r>
      <w:bookmarkEnd w:id="112"/>
      <w:bookmarkEnd w:id="113"/>
      <w:r w:rsidR="008779E8" w:rsidRPr="001E66EF">
        <w:t xml:space="preserve"> - NZ Social Deprivation Scor</w:t>
      </w:r>
      <w:r w:rsidR="001F1019" w:rsidRPr="001E66EF">
        <w:t>e</w:t>
      </w:r>
    </w:p>
    <w:p w14:paraId="7EDC05AE" w14:textId="03C09521" w:rsidR="006642DA" w:rsidRPr="001E66EF" w:rsidRDefault="006642DA" w:rsidP="006642DA">
      <w:r w:rsidRPr="001E66EF">
        <w:t>Details on the methodology and variables used to construct the NZDep2013 score can be found in the original report</w:t>
      </w:r>
      <w:r w:rsidRPr="001E66EF">
        <w:rPr>
          <w:vertAlign w:val="superscript"/>
        </w:rPr>
        <w:t xml:space="preserve"> </w:t>
      </w:r>
      <w:r w:rsidRPr="001E66EF">
        <w:t>(Atkinson et al, 2014).  Scores are available by meshblock</w:t>
      </w:r>
      <w:r w:rsidRPr="001E66EF">
        <w:rPr>
          <w:rStyle w:val="FootnoteReference"/>
        </w:rPr>
        <w:footnoteReference w:id="35"/>
      </w:r>
      <w:r w:rsidRPr="001E66EF">
        <w:t xml:space="preserve"> for the whole of NZ, which are then aggregated to provide a score for each airshed.  </w:t>
      </w:r>
      <w:r w:rsidR="00FB6DA6">
        <w:t>The table below shows</w:t>
      </w:r>
      <w:r w:rsidRPr="001E66EF">
        <w:t xml:space="preserve"> the distribution of population in each airshed across the scale is shown.  By using colours to represent bands, we present a first glance picture of socioeconomic position in each airshed.  Percentages are colour coded in a graded colour scale from dark green, through light green and yellow to red.  The lower the </w:t>
      </w:r>
      <w:r w:rsidR="00FB6DA6">
        <w:t>share</w:t>
      </w:r>
      <w:r w:rsidRPr="001E66EF">
        <w:t xml:space="preserve"> of population with a particular </w:t>
      </w:r>
      <w:proofErr w:type="spellStart"/>
      <w:r w:rsidRPr="001E66EF">
        <w:t>NZDep</w:t>
      </w:r>
      <w:proofErr w:type="spellEnd"/>
      <w:r w:rsidRPr="001E66EF">
        <w:t xml:space="preserve"> score (1-10), the greener the cell will appear, and the higher the portion of the population in a particular category, the closer to </w:t>
      </w:r>
      <w:proofErr w:type="spellStart"/>
      <w:r w:rsidRPr="001E66EF">
        <w:t>red</w:t>
      </w:r>
      <w:proofErr w:type="spellEnd"/>
      <w:r w:rsidRPr="001E66EF">
        <w:t xml:space="preserve"> the cell will appear.  If a particular airshed has mainly red or orange cells on the high end of the spectrum (i.e. high deprivation scores), it is likely that, that airshed will find it harder to bear the burden of improving air quality.  Conversely, if an airshed has a large portion of its population on the lower end of the spectrum (i.e. a number of orange cells on the left hand side of the table), it is to be expected that they will not find the burden as great.</w:t>
      </w:r>
    </w:p>
    <w:p w14:paraId="59D2F232" w14:textId="2774DFEA" w:rsidR="006642DA" w:rsidRDefault="006642DA" w:rsidP="006642DA">
      <w:r w:rsidRPr="001E66EF">
        <w:t>It is also likely that the airsheds wherein a large portion of the population falls between 8 and 10 on the scale, such as Kaitaia and Huntly, will have a larger proportion of older or non-compliant burners</w:t>
      </w:r>
      <w:r w:rsidR="005D00E4">
        <w:t>.</w:t>
      </w:r>
      <w:r w:rsidRPr="001E66EF">
        <w:t xml:space="preserve"> </w:t>
      </w:r>
    </w:p>
    <w:p w14:paraId="49BEE71A" w14:textId="3E8228DF" w:rsidR="002F76F6" w:rsidRPr="001E66EF" w:rsidRDefault="002F76F6" w:rsidP="006642DA">
      <w:r>
        <w:t xml:space="preserve">The table is ordered </w:t>
      </w:r>
      <w:r w:rsidR="00D303EA">
        <w:t>based on deprivation</w:t>
      </w:r>
      <w:r w:rsidR="00FB6DA6">
        <w:t xml:space="preserve">, meaning </w:t>
      </w:r>
      <w:r w:rsidR="00D303EA">
        <w:t xml:space="preserve">the </w:t>
      </w:r>
      <w:r>
        <w:t xml:space="preserve">gazetted airsheds with the </w:t>
      </w:r>
      <w:r w:rsidR="00D303EA">
        <w:t xml:space="preserve">highest </w:t>
      </w:r>
      <w:r>
        <w:t xml:space="preserve">deprivation </w:t>
      </w:r>
      <w:r w:rsidR="00FB6DA6">
        <w:t xml:space="preserve">are </w:t>
      </w:r>
      <w:r w:rsidR="00D303EA">
        <w:t xml:space="preserve">listed </w:t>
      </w:r>
      <w:r w:rsidR="00FB6DA6">
        <w:t>at the top of the table.  Gazetted airsheds are sorted separately from ‘Rest of Region’ airsheds.</w:t>
      </w:r>
    </w:p>
    <w:p w14:paraId="51B4F0BE" w14:textId="26D17197" w:rsidR="006642DA" w:rsidRPr="001E66EF" w:rsidRDefault="006642DA" w:rsidP="006642DA"/>
    <w:p w14:paraId="2584990B" w14:textId="77777777" w:rsidR="006642DA" w:rsidRPr="001E66EF" w:rsidRDefault="006642DA" w:rsidP="006642DA"/>
    <w:p w14:paraId="1E612A3A" w14:textId="77777777" w:rsidR="006642DA" w:rsidRPr="001E66EF" w:rsidRDefault="006642DA" w:rsidP="006642DA"/>
    <w:p w14:paraId="6963AC6D" w14:textId="2FDACEE1" w:rsidR="004627C0" w:rsidRDefault="004627C0" w:rsidP="006642DA"/>
    <w:p w14:paraId="783F5C2F" w14:textId="77777777" w:rsidR="004627C0" w:rsidRPr="001E66EF" w:rsidRDefault="004627C0" w:rsidP="006642DA"/>
    <w:p w14:paraId="6AF003AD" w14:textId="6C067587" w:rsidR="006642DA" w:rsidRPr="001E66EF" w:rsidRDefault="006642DA" w:rsidP="006642DA"/>
    <w:p w14:paraId="14C9E508" w14:textId="097C5210" w:rsidR="006642DA" w:rsidRPr="001E66EF" w:rsidRDefault="006642DA" w:rsidP="006642DA">
      <w:pPr>
        <w:tabs>
          <w:tab w:val="left" w:pos="6620"/>
        </w:tabs>
      </w:pPr>
    </w:p>
    <w:p w14:paraId="20642E03" w14:textId="77777777" w:rsidR="006642DA" w:rsidRPr="001E66EF" w:rsidRDefault="006642DA" w:rsidP="006642DA"/>
    <w:p w14:paraId="3E45F538" w14:textId="77777777" w:rsidR="006642DA" w:rsidRPr="001E66EF" w:rsidRDefault="006642DA" w:rsidP="006642DA"/>
    <w:p w14:paraId="6C32DDBF" w14:textId="77777777" w:rsidR="006642DA" w:rsidRPr="001E66EF" w:rsidRDefault="006642DA" w:rsidP="006642DA"/>
    <w:p w14:paraId="7671E524" w14:textId="77777777" w:rsidR="006642DA" w:rsidRPr="001E66EF" w:rsidRDefault="006642DA" w:rsidP="006642DA"/>
    <w:p w14:paraId="0A70808E" w14:textId="1895DB7A" w:rsidR="006642DA" w:rsidRPr="001E66EF" w:rsidRDefault="004C6125" w:rsidP="006642DA">
      <w:r w:rsidRPr="005D00E4">
        <w:rPr>
          <w:noProof/>
          <w:lang w:eastAsia="en-NZ"/>
        </w:rPr>
        <w:drawing>
          <wp:anchor distT="0" distB="0" distL="114300" distR="114300" simplePos="0" relativeHeight="251692032" behindDoc="0" locked="0" layoutInCell="1" allowOverlap="1" wp14:anchorId="773DD5EB" wp14:editId="786D5CAC">
            <wp:simplePos x="0" y="0"/>
            <wp:positionH relativeFrom="column">
              <wp:posOffset>-152712</wp:posOffset>
            </wp:positionH>
            <wp:positionV relativeFrom="paragraph">
              <wp:posOffset>15576</wp:posOffset>
            </wp:positionV>
            <wp:extent cx="6157159" cy="934040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7159" cy="9340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CEF15" w14:textId="505CF0FC" w:rsidR="00A87E8C" w:rsidRDefault="00A87E8C" w:rsidP="006642DA">
      <w:pPr>
        <w:pStyle w:val="Graphicpaste"/>
      </w:pPr>
    </w:p>
    <w:p w14:paraId="7515EF91" w14:textId="42A97803" w:rsidR="0033519B" w:rsidRDefault="0033519B" w:rsidP="006642DA"/>
    <w:p w14:paraId="145F5003" w14:textId="6B390664" w:rsidR="0033519B" w:rsidRDefault="0033519B">
      <w:pPr>
        <w:spacing w:after="200" w:line="276" w:lineRule="auto"/>
        <w:ind w:left="0"/>
        <w:jc w:val="left"/>
      </w:pPr>
    </w:p>
    <w:sectPr w:rsidR="0033519B" w:rsidSect="00EA5D9D">
      <w:pgSz w:w="11907" w:h="16839" w:code="9"/>
      <w:pgMar w:top="1008" w:right="1152" w:bottom="172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2014F" w14:textId="77777777" w:rsidR="00620C24" w:rsidRDefault="00620C24" w:rsidP="00236641">
      <w:r>
        <w:separator/>
      </w:r>
    </w:p>
    <w:p w14:paraId="694909B7" w14:textId="77777777" w:rsidR="00620C24" w:rsidRDefault="00620C24" w:rsidP="00236641"/>
    <w:p w14:paraId="32069F67" w14:textId="77777777" w:rsidR="00620C24" w:rsidRDefault="00620C24" w:rsidP="00236641"/>
  </w:endnote>
  <w:endnote w:type="continuationSeparator" w:id="0">
    <w:p w14:paraId="6FB854F4" w14:textId="77777777" w:rsidR="00620C24" w:rsidRDefault="00620C24" w:rsidP="00236641">
      <w:r>
        <w:continuationSeparator/>
      </w:r>
    </w:p>
    <w:p w14:paraId="0D9FFA8C" w14:textId="77777777" w:rsidR="00620C24" w:rsidRDefault="00620C24" w:rsidP="00236641"/>
    <w:p w14:paraId="4D5B8189" w14:textId="77777777" w:rsidR="00620C24" w:rsidRDefault="00620C24" w:rsidP="00236641"/>
  </w:endnote>
  <w:endnote w:type="continuationNotice" w:id="1">
    <w:p w14:paraId="72FC6CA5" w14:textId="77777777" w:rsidR="00620C24" w:rsidRDefault="00620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0298" w14:textId="77777777" w:rsidR="00620C24" w:rsidRDefault="00620C24" w:rsidP="0023664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121851"/>
      <w:docPartObj>
        <w:docPartGallery w:val="Page Numbers (Bottom of Page)"/>
        <w:docPartUnique/>
      </w:docPartObj>
    </w:sdtPr>
    <w:sdtEndPr>
      <w:rPr>
        <w:noProof/>
      </w:rPr>
    </w:sdtEndPr>
    <w:sdtContent>
      <w:p w14:paraId="64389544" w14:textId="6AE20D78" w:rsidR="00620C24" w:rsidRDefault="00620C24">
        <w:pPr>
          <w:pStyle w:val="Footer"/>
          <w:jc w:val="right"/>
        </w:pPr>
        <w:r>
          <w:fldChar w:fldCharType="begin"/>
        </w:r>
        <w:r>
          <w:instrText xml:space="preserve"> PAGE   \* MERGEFORMAT </w:instrText>
        </w:r>
        <w:r>
          <w:fldChar w:fldCharType="separate"/>
        </w:r>
        <w:r w:rsidR="00516C2F">
          <w:rPr>
            <w:noProof/>
          </w:rPr>
          <w:t>v</w:t>
        </w:r>
        <w:r>
          <w:rPr>
            <w:noProof/>
          </w:rPr>
          <w:fldChar w:fldCharType="end"/>
        </w:r>
      </w:p>
    </w:sdtContent>
  </w:sdt>
  <w:p w14:paraId="69C33595" w14:textId="77777777" w:rsidR="00620C24" w:rsidRDefault="00620C24">
    <w:pPr>
      <w:rPr>
        <w:rFonts w:asciiTheme="majorHAnsi" w:eastAsiaTheme="majorEastAsia" w:hAnsiTheme="majorHAns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0853" w14:textId="4DDE5A90" w:rsidR="00620C24" w:rsidRPr="00681E76" w:rsidRDefault="00620C24" w:rsidP="00681E76">
    <w:pPr>
      <w:ind w:left="0"/>
      <w:jc w:val="right"/>
      <w:rPr>
        <w:rFonts w:eastAsiaTheme="majorEastAsia" w:cs="Calibri Light"/>
        <w:noProof/>
      </w:rPr>
    </w:pPr>
    <w:r w:rsidRPr="00681E76">
      <w:rPr>
        <w:rFonts w:eastAsiaTheme="majorEastAsia" w:cs="Calibri Light"/>
      </w:rPr>
      <w:fldChar w:fldCharType="begin"/>
    </w:r>
    <w:r w:rsidRPr="00681E76">
      <w:rPr>
        <w:rFonts w:eastAsiaTheme="majorEastAsia" w:cs="Calibri Light"/>
      </w:rPr>
      <w:instrText xml:space="preserve"> PAGE   \* MERGEFORMAT </w:instrText>
    </w:r>
    <w:r w:rsidRPr="00681E76">
      <w:rPr>
        <w:rFonts w:eastAsiaTheme="majorEastAsia" w:cs="Calibri Light"/>
      </w:rPr>
      <w:fldChar w:fldCharType="separate"/>
    </w:r>
    <w:r w:rsidR="00516C2F">
      <w:rPr>
        <w:rFonts w:eastAsiaTheme="majorEastAsia" w:cs="Calibri Light"/>
        <w:noProof/>
      </w:rPr>
      <w:t>16</w:t>
    </w:r>
    <w:r w:rsidRPr="00681E76">
      <w:rPr>
        <w:rFonts w:eastAsiaTheme="majorEastAsia" w:cs="Calibri Light"/>
        <w:noProof/>
      </w:rPr>
      <w:fldChar w:fldCharType="end"/>
    </w:r>
  </w:p>
  <w:p w14:paraId="69C1969E" w14:textId="77777777" w:rsidR="00620C24" w:rsidRDefault="00620C24" w:rsidP="00681E76">
    <w:pPr>
      <w:ind w:left="0"/>
      <w:jc w:val="right"/>
      <w:rPr>
        <w:rFonts w:asciiTheme="majorHAnsi" w:eastAsiaTheme="majorEastAsia" w:hAnsiTheme="majorHAnsi" w:cstheme="majorBidi"/>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354F" w14:textId="223028E6" w:rsidR="00620C24" w:rsidRDefault="00620C24">
    <w:pPr>
      <w:pStyle w:val="Footer"/>
      <w:jc w:val="right"/>
    </w:pPr>
    <w:r>
      <w:fldChar w:fldCharType="begin"/>
    </w:r>
    <w:r>
      <w:instrText xml:space="preserve"> PAGE   \* MERGEFORMAT </w:instrText>
    </w:r>
    <w:r>
      <w:fldChar w:fldCharType="separate"/>
    </w:r>
    <w:r w:rsidR="00516C2F">
      <w:rPr>
        <w:noProof/>
      </w:rPr>
      <w:t>38</w:t>
    </w:r>
    <w:r>
      <w:rPr>
        <w:noProof/>
      </w:rPr>
      <w:fldChar w:fldCharType="end"/>
    </w:r>
  </w:p>
  <w:p w14:paraId="3610E76D" w14:textId="77777777" w:rsidR="00620C24" w:rsidRDefault="00620C24">
    <w:pP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3FFE" w14:textId="77777777" w:rsidR="00620C24" w:rsidRDefault="00620C24" w:rsidP="00F21955">
      <w:pPr>
        <w:spacing w:after="0" w:line="260" w:lineRule="atLeast"/>
        <w:ind w:left="994"/>
      </w:pPr>
      <w:r>
        <w:separator/>
      </w:r>
    </w:p>
  </w:footnote>
  <w:footnote w:type="continuationSeparator" w:id="0">
    <w:p w14:paraId="799AA01A" w14:textId="77777777" w:rsidR="00620C24" w:rsidRDefault="00620C24" w:rsidP="00236641">
      <w:r>
        <w:continuationSeparator/>
      </w:r>
    </w:p>
    <w:p w14:paraId="3BFCEF05" w14:textId="77777777" w:rsidR="00620C24" w:rsidRDefault="00620C24" w:rsidP="00236641"/>
    <w:p w14:paraId="716A6A1B" w14:textId="77777777" w:rsidR="00620C24" w:rsidRDefault="00620C24" w:rsidP="00236641"/>
  </w:footnote>
  <w:footnote w:type="continuationNotice" w:id="1">
    <w:p w14:paraId="2899D480" w14:textId="77777777" w:rsidR="00620C24" w:rsidRDefault="00620C24">
      <w:pPr>
        <w:spacing w:after="0" w:line="240" w:lineRule="auto"/>
      </w:pPr>
    </w:p>
  </w:footnote>
  <w:footnote w:id="2">
    <w:p w14:paraId="51D92393" w14:textId="324A6A46" w:rsidR="00620C24" w:rsidRDefault="00620C24" w:rsidP="00DE36F0">
      <w:pPr>
        <w:pStyle w:val="FootnoteText"/>
        <w:spacing w:line="240" w:lineRule="auto"/>
        <w:ind w:left="992"/>
      </w:pPr>
      <w:r>
        <w:rPr>
          <w:rStyle w:val="FootnoteReference"/>
        </w:rPr>
        <w:footnoteRef/>
      </w:r>
      <w:r>
        <w:t xml:space="preserve"> This was part of a project for the MfE that was undertaken in during 2016/17.</w:t>
      </w:r>
    </w:p>
  </w:footnote>
  <w:footnote w:id="3">
    <w:p w14:paraId="6973C2A9" w14:textId="6CEF012B" w:rsidR="00620C24" w:rsidRDefault="00620C24" w:rsidP="00DE36F0">
      <w:pPr>
        <w:pStyle w:val="FootnoteText"/>
        <w:spacing w:line="240" w:lineRule="auto"/>
        <w:ind w:left="992"/>
      </w:pPr>
      <w:r>
        <w:rPr>
          <w:rStyle w:val="FootnoteReference"/>
        </w:rPr>
        <w:footnoteRef/>
      </w:r>
      <w:r>
        <w:t xml:space="preserve"> PM – particulate matter</w:t>
      </w:r>
    </w:p>
  </w:footnote>
  <w:footnote w:id="4">
    <w:p w14:paraId="252703B0" w14:textId="3145D76B" w:rsidR="00620C24" w:rsidRPr="001E66EF" w:rsidRDefault="00620C24" w:rsidP="00A6497D">
      <w:pPr>
        <w:pStyle w:val="FootnoteText"/>
        <w:spacing w:line="240" w:lineRule="auto"/>
        <w:ind w:left="992"/>
      </w:pPr>
      <w:r w:rsidRPr="001E66EF">
        <w:rPr>
          <w:rStyle w:val="FootnoteReference"/>
        </w:rPr>
        <w:footnoteRef/>
      </w:r>
      <w:r w:rsidRPr="001E66EF">
        <w:t xml:space="preserve"> Referring to ‘one off’ appliance cost rather than the cost-effectiveness of running the appliance.</w:t>
      </w:r>
    </w:p>
  </w:footnote>
  <w:footnote w:id="5">
    <w:p w14:paraId="536A1BA1" w14:textId="5BE66D46" w:rsidR="00620C24" w:rsidRPr="001E66EF" w:rsidRDefault="00620C24" w:rsidP="001E66EF">
      <w:pPr>
        <w:pStyle w:val="FootnoteText"/>
        <w:spacing w:line="240" w:lineRule="auto"/>
        <w:ind w:left="992"/>
      </w:pPr>
      <w:r w:rsidRPr="001E66EF">
        <w:rPr>
          <w:rStyle w:val="FootnoteReference"/>
        </w:rPr>
        <w:footnoteRef/>
      </w:r>
      <w:r w:rsidRPr="001E66EF">
        <w:t xml:space="preserve"> Private and public costs.</w:t>
      </w:r>
    </w:p>
  </w:footnote>
  <w:footnote w:id="6">
    <w:p w14:paraId="496B7BC4" w14:textId="1700B68C" w:rsidR="00620C24" w:rsidRDefault="00620C24" w:rsidP="00A6497D">
      <w:pPr>
        <w:pStyle w:val="FootnoteText"/>
        <w:spacing w:line="240" w:lineRule="auto"/>
      </w:pPr>
      <w:r>
        <w:rPr>
          <w:rStyle w:val="FootnoteReference"/>
        </w:rPr>
        <w:footnoteRef/>
      </w:r>
      <w:r>
        <w:t xml:space="preserve"> The update did not consider other councils that might have unique rules governing their air quality policies.</w:t>
      </w:r>
    </w:p>
  </w:footnote>
  <w:footnote w:id="7">
    <w:p w14:paraId="36E92491" w14:textId="2A149A0A" w:rsidR="00620C24" w:rsidRPr="001E66EF" w:rsidRDefault="00620C24" w:rsidP="00A6497D">
      <w:pPr>
        <w:pStyle w:val="FootnoteText"/>
        <w:spacing w:line="240" w:lineRule="auto"/>
        <w:ind w:left="992"/>
      </w:pPr>
      <w:r w:rsidRPr="001E66EF">
        <w:rPr>
          <w:rStyle w:val="FootnoteReference"/>
        </w:rPr>
        <w:footnoteRef/>
      </w:r>
      <w:r w:rsidRPr="001E66EF">
        <w:t xml:space="preserve"> Or ‘other’ heating device such as electric or gas heater.</w:t>
      </w:r>
    </w:p>
  </w:footnote>
  <w:footnote w:id="8">
    <w:p w14:paraId="538BF5EA" w14:textId="57416BD7" w:rsidR="00620C24" w:rsidRPr="001E66EF" w:rsidRDefault="00620C24" w:rsidP="00640E4A">
      <w:pPr>
        <w:pStyle w:val="FootnoteText"/>
        <w:spacing w:line="240" w:lineRule="auto"/>
        <w:ind w:left="992"/>
      </w:pPr>
      <w:r w:rsidRPr="001E66EF">
        <w:rPr>
          <w:rStyle w:val="FootnoteReference"/>
        </w:rPr>
        <w:footnoteRef/>
      </w:r>
      <w:r w:rsidRPr="001E66EF">
        <w:t xml:space="preserve"> HAPINZ Health Effects Model (2012).</w:t>
      </w:r>
    </w:p>
  </w:footnote>
  <w:footnote w:id="9">
    <w:p w14:paraId="53B0688A" w14:textId="353768EE" w:rsidR="00620C24" w:rsidRPr="001E66EF" w:rsidRDefault="00620C24" w:rsidP="00640E4A">
      <w:pPr>
        <w:pStyle w:val="FootnoteText"/>
        <w:spacing w:line="240" w:lineRule="auto"/>
        <w:ind w:left="992"/>
      </w:pPr>
      <w:r w:rsidRPr="001E66EF">
        <w:rPr>
          <w:rStyle w:val="FootnoteReference"/>
        </w:rPr>
        <w:footnoteRef/>
      </w:r>
      <w:r w:rsidRPr="001E66EF">
        <w:t xml:space="preserve"> HAPINZ Update in progress (at time of writing).</w:t>
      </w:r>
    </w:p>
  </w:footnote>
  <w:footnote w:id="10">
    <w:p w14:paraId="1FB4C6E0" w14:textId="03D2F3CC" w:rsidR="00620C24" w:rsidRPr="001E66EF" w:rsidRDefault="00620C24" w:rsidP="00640E4A">
      <w:pPr>
        <w:pStyle w:val="FootnoteText"/>
        <w:spacing w:line="240" w:lineRule="auto"/>
        <w:ind w:left="992"/>
      </w:pPr>
      <w:r w:rsidRPr="001E66EF">
        <w:rPr>
          <w:rStyle w:val="FootnoteReference"/>
        </w:rPr>
        <w:footnoteRef/>
      </w:r>
      <w:r w:rsidRPr="001E66EF">
        <w:t xml:space="preserve"> $4.06 million as updated by </w:t>
      </w:r>
      <w:proofErr w:type="spellStart"/>
      <w:r w:rsidRPr="001E66EF">
        <w:t>MoT</w:t>
      </w:r>
      <w:proofErr w:type="spellEnd"/>
      <w:r w:rsidRPr="001E66EF">
        <w:t>.</w:t>
      </w:r>
    </w:p>
  </w:footnote>
  <w:footnote w:id="11">
    <w:p w14:paraId="1AB996C3" w14:textId="26E6644C" w:rsidR="00620C24" w:rsidRPr="001E66EF" w:rsidRDefault="00620C24" w:rsidP="00A6497D">
      <w:pPr>
        <w:pStyle w:val="FootnoteText"/>
        <w:spacing w:line="240" w:lineRule="auto"/>
        <w:ind w:left="992"/>
      </w:pPr>
      <w:r w:rsidRPr="001E66EF">
        <w:rPr>
          <w:rStyle w:val="FootnoteReference"/>
        </w:rPr>
        <w:footnoteRef/>
      </w:r>
      <w:r w:rsidRPr="001E66EF">
        <w:t xml:space="preserve"> We acknowledged the potential implication of these assumptions and have communicated it with MfE.</w:t>
      </w:r>
    </w:p>
  </w:footnote>
  <w:footnote w:id="12">
    <w:p w14:paraId="409E934F" w14:textId="77777777" w:rsidR="00620C24" w:rsidRPr="001E66EF" w:rsidRDefault="00620C24" w:rsidP="00A6497D">
      <w:pPr>
        <w:pStyle w:val="FootnoteText"/>
        <w:spacing w:line="240" w:lineRule="auto"/>
        <w:ind w:left="992"/>
      </w:pPr>
      <w:r w:rsidRPr="001E66EF">
        <w:rPr>
          <w:rStyle w:val="FootnoteReference"/>
        </w:rPr>
        <w:footnoteRef/>
      </w:r>
      <w:r w:rsidRPr="001E66EF">
        <w:t xml:space="preserve"> 0.5g/kg, 1.0 g/kg and 1.5g/kg.</w:t>
      </w:r>
    </w:p>
  </w:footnote>
  <w:footnote w:id="13">
    <w:p w14:paraId="3718C36C" w14:textId="77777777" w:rsidR="00620C24" w:rsidRPr="001E66EF" w:rsidRDefault="00620C24" w:rsidP="001E66EF">
      <w:pPr>
        <w:pStyle w:val="FootnoteText"/>
        <w:spacing w:line="240" w:lineRule="auto"/>
        <w:ind w:left="992"/>
      </w:pPr>
      <w:r w:rsidRPr="001E66EF">
        <w:rPr>
          <w:rStyle w:val="FootnoteReference"/>
        </w:rPr>
        <w:footnoteRef/>
      </w:r>
      <w:r w:rsidRPr="001E66EF">
        <w:t xml:space="preserve"> Meshblock level data aggregated into Airsheds.</w:t>
      </w:r>
    </w:p>
  </w:footnote>
  <w:footnote w:id="14">
    <w:p w14:paraId="5AF2301F" w14:textId="1019B8AB" w:rsidR="00620C24" w:rsidRDefault="00620C24">
      <w:pPr>
        <w:pStyle w:val="FootnoteText"/>
      </w:pPr>
      <w:r>
        <w:rPr>
          <w:rStyle w:val="FootnoteReference"/>
        </w:rPr>
        <w:footnoteRef/>
      </w:r>
      <w:r>
        <w:t xml:space="preserve"> 31 October 2019</w:t>
      </w:r>
    </w:p>
  </w:footnote>
  <w:footnote w:id="15">
    <w:p w14:paraId="1C934BA1" w14:textId="2C1A9736" w:rsidR="00620C24" w:rsidRDefault="00620C24" w:rsidP="00640E4A">
      <w:pPr>
        <w:pStyle w:val="FootnoteText"/>
        <w:spacing w:line="240" w:lineRule="auto"/>
        <w:ind w:left="992"/>
      </w:pPr>
      <w:r>
        <w:rPr>
          <w:rStyle w:val="FootnoteReference"/>
        </w:rPr>
        <w:footnoteRef/>
      </w:r>
      <w:r>
        <w:t xml:space="preserve"> This covers population that Stats NZ records as ‘Area Outside Region’, and includes the surrounding small islands such as </w:t>
      </w:r>
      <w:proofErr w:type="spellStart"/>
      <w:r>
        <w:t>Chathams</w:t>
      </w:r>
      <w:proofErr w:type="spellEnd"/>
      <w:r>
        <w:t xml:space="preserve">, Three Kings, </w:t>
      </w:r>
      <w:proofErr w:type="spellStart"/>
      <w:r>
        <w:t>Kermadecs</w:t>
      </w:r>
      <w:proofErr w:type="spellEnd"/>
      <w:r>
        <w:t>, etc.  It is included for statistical purposes.</w:t>
      </w:r>
    </w:p>
  </w:footnote>
  <w:footnote w:id="16">
    <w:p w14:paraId="5132D20B" w14:textId="0A6645C9" w:rsidR="00620C24" w:rsidRPr="00655727" w:rsidRDefault="00620C24" w:rsidP="00640E4A">
      <w:pPr>
        <w:pStyle w:val="FootnoteText"/>
        <w:spacing w:line="240" w:lineRule="auto"/>
        <w:ind w:left="992"/>
        <w:jc w:val="left"/>
        <w:rPr>
          <w:szCs w:val="18"/>
        </w:rPr>
      </w:pPr>
      <w:r w:rsidRPr="00655727">
        <w:rPr>
          <w:rStyle w:val="FootnoteReference"/>
          <w:szCs w:val="18"/>
        </w:rPr>
        <w:footnoteRef/>
      </w:r>
      <w:r w:rsidRPr="00655727">
        <w:rPr>
          <w:szCs w:val="18"/>
        </w:rPr>
        <w:t xml:space="preserve"> Transport volume: Vehicle travel.  http://www.transport.govt.nz/ourwork/tmif/transport-volume/tv034/. Accessed 29 June 2016.</w:t>
      </w:r>
    </w:p>
  </w:footnote>
  <w:footnote w:id="17">
    <w:p w14:paraId="25B0DE25" w14:textId="77777777" w:rsidR="00620C24" w:rsidRPr="00655727" w:rsidRDefault="00620C24" w:rsidP="00640E4A">
      <w:pPr>
        <w:pStyle w:val="FootnoteText"/>
        <w:spacing w:line="240" w:lineRule="auto"/>
        <w:ind w:left="992"/>
        <w:jc w:val="left"/>
        <w:rPr>
          <w:szCs w:val="18"/>
        </w:rPr>
      </w:pPr>
      <w:r w:rsidRPr="00655727">
        <w:rPr>
          <w:rStyle w:val="FootnoteReference"/>
          <w:szCs w:val="18"/>
        </w:rPr>
        <w:footnoteRef/>
      </w:r>
      <w:r w:rsidRPr="00655727">
        <w:rPr>
          <w:szCs w:val="18"/>
        </w:rPr>
        <w:t xml:space="preserve"> Vehicle Emissions Prediction Model (VEPM) http://air.nzta.govt.nz/predictions/nz-vepm. Accessed 29 June 2016.</w:t>
      </w:r>
    </w:p>
  </w:footnote>
  <w:footnote w:id="18">
    <w:p w14:paraId="535C3C9D" w14:textId="5730DF91" w:rsidR="00620C24" w:rsidRDefault="00620C24" w:rsidP="00A07800">
      <w:r>
        <w:rPr>
          <w:rStyle w:val="FootnoteReference"/>
        </w:rPr>
        <w:footnoteRef/>
      </w:r>
      <w:r>
        <w:t xml:space="preserve"> </w:t>
      </w:r>
      <w:r w:rsidRPr="00640E4A">
        <w:rPr>
          <w:sz w:val="18"/>
          <w:szCs w:val="18"/>
        </w:rPr>
        <w:t>This is a limitation in this study.</w:t>
      </w:r>
    </w:p>
  </w:footnote>
  <w:footnote w:id="19">
    <w:p w14:paraId="5C84EE93" w14:textId="65F1A9D0" w:rsidR="00620C24" w:rsidRPr="001E66EF" w:rsidRDefault="00620C24" w:rsidP="001E66EF">
      <w:pPr>
        <w:pStyle w:val="FootnoteText"/>
        <w:spacing w:line="240" w:lineRule="auto"/>
        <w:ind w:left="992"/>
      </w:pPr>
      <w:r w:rsidRPr="001E66EF">
        <w:rPr>
          <w:rStyle w:val="FootnoteReference"/>
        </w:rPr>
        <w:footnoteRef/>
      </w:r>
      <w:r w:rsidRPr="001E66EF">
        <w:t xml:space="preserve"> The different reports can be found on the HAPINZ website:  </w:t>
      </w:r>
      <w:hyperlink r:id="rId1" w:history="1">
        <w:r w:rsidRPr="001E66EF">
          <w:rPr>
            <w:rStyle w:val="Hyperlink"/>
          </w:rPr>
          <w:t>www.hapinz.org.nz</w:t>
        </w:r>
      </w:hyperlink>
    </w:p>
  </w:footnote>
  <w:footnote w:id="20">
    <w:p w14:paraId="5316323D" w14:textId="07DB8704" w:rsidR="00620C24" w:rsidRPr="001E66EF" w:rsidRDefault="00620C24" w:rsidP="001E66EF">
      <w:pPr>
        <w:pStyle w:val="FootnoteText"/>
        <w:spacing w:line="240" w:lineRule="auto"/>
        <w:ind w:left="992"/>
      </w:pPr>
      <w:r w:rsidRPr="001E66EF">
        <w:rPr>
          <w:rStyle w:val="FootnoteReference"/>
        </w:rPr>
        <w:footnoteRef/>
      </w:r>
      <w:r w:rsidRPr="001E66EF">
        <w:t xml:space="preserve"> Value of Safety survey</w:t>
      </w:r>
      <w:r>
        <w:t>.</w:t>
      </w:r>
    </w:p>
  </w:footnote>
  <w:footnote w:id="21">
    <w:p w14:paraId="6EABA6F1" w14:textId="77777777" w:rsidR="00620C24" w:rsidRDefault="00620C24" w:rsidP="00640E4A">
      <w:pPr>
        <w:pStyle w:val="FootnoteText"/>
        <w:spacing w:line="240" w:lineRule="auto"/>
        <w:ind w:left="992"/>
      </w:pPr>
      <w:r>
        <w:rPr>
          <w:rStyle w:val="FootnoteReference"/>
        </w:rPr>
        <w:footnoteRef/>
      </w:r>
      <w:r>
        <w:t xml:space="preserve"> $165,815 (2010-dollar terms) used by Wren &amp; O’Dea inflated to 2015-dollar terms.</w:t>
      </w:r>
    </w:p>
  </w:footnote>
  <w:footnote w:id="22">
    <w:p w14:paraId="7EE7BB01" w14:textId="087A09AB" w:rsidR="00620C24" w:rsidRDefault="00620C24" w:rsidP="00640E4A">
      <w:pPr>
        <w:pStyle w:val="FootnoteText"/>
        <w:spacing w:line="240" w:lineRule="auto"/>
        <w:ind w:left="992"/>
      </w:pPr>
      <w:r>
        <w:rPr>
          <w:rStyle w:val="FootnoteReference"/>
        </w:rPr>
        <w:footnoteRef/>
      </w:r>
      <w:r>
        <w:t xml:space="preserve"> During the original project.  The review does not relate to the updated project.  </w:t>
      </w:r>
    </w:p>
  </w:footnote>
  <w:footnote w:id="23">
    <w:p w14:paraId="265C8A41" w14:textId="49D9B8C2" w:rsidR="0021637C" w:rsidRDefault="0021637C">
      <w:pPr>
        <w:pStyle w:val="FootnoteText"/>
      </w:pPr>
      <w:r>
        <w:rPr>
          <w:rStyle w:val="FootnoteReference"/>
        </w:rPr>
        <w:footnoteRef/>
      </w:r>
      <w:r>
        <w:t xml:space="preserve"> This is due to </w:t>
      </w:r>
      <w:r w:rsidR="00E81E4C">
        <w:t xml:space="preserve">there being </w:t>
      </w:r>
      <w:r>
        <w:t xml:space="preserve">no council consent cost for installing a </w:t>
      </w:r>
      <w:r w:rsidR="00E81E4C">
        <w:t>heat pump</w:t>
      </w:r>
      <w:r>
        <w:t>.</w:t>
      </w:r>
    </w:p>
  </w:footnote>
  <w:footnote w:id="24">
    <w:p w14:paraId="5485373A" w14:textId="77777777" w:rsidR="00620C24" w:rsidRPr="00640E4A" w:rsidRDefault="00620C24" w:rsidP="001D4927">
      <w:pPr>
        <w:pStyle w:val="FootnoteText"/>
        <w:spacing w:line="240" w:lineRule="auto"/>
        <w:ind w:left="992"/>
        <w:rPr>
          <w:szCs w:val="22"/>
        </w:rPr>
      </w:pPr>
      <w:r w:rsidRPr="00640E4A">
        <w:rPr>
          <w:rStyle w:val="FootnoteReference"/>
          <w:szCs w:val="22"/>
        </w:rPr>
        <w:footnoteRef/>
      </w:r>
      <w:r w:rsidRPr="00640E4A">
        <w:rPr>
          <w:szCs w:val="22"/>
        </w:rPr>
        <w:t xml:space="preserve"> Based on 0.2FTE per regional council for evaluation of NESAQ for each of the first 5 years. </w:t>
      </w:r>
    </w:p>
  </w:footnote>
  <w:footnote w:id="25">
    <w:p w14:paraId="34C137C3" w14:textId="7A51D837" w:rsidR="00620C24" w:rsidRPr="00640E4A" w:rsidRDefault="00620C24" w:rsidP="00A6497D">
      <w:pPr>
        <w:pStyle w:val="FootnoteText"/>
        <w:spacing w:line="240" w:lineRule="auto"/>
        <w:rPr>
          <w:szCs w:val="18"/>
        </w:rPr>
      </w:pPr>
      <w:r w:rsidRPr="00640E4A">
        <w:rPr>
          <w:rStyle w:val="FootnoteReference"/>
          <w:szCs w:val="18"/>
        </w:rPr>
        <w:footnoteRef/>
      </w:r>
      <w:r w:rsidRPr="00640E4A">
        <w:rPr>
          <w:szCs w:val="18"/>
        </w:rPr>
        <w:t xml:space="preserve"> Total private costs to 2028 divided by 2018 population.</w:t>
      </w:r>
    </w:p>
  </w:footnote>
  <w:footnote w:id="26">
    <w:p w14:paraId="41D63F96" w14:textId="3914F5BA" w:rsidR="00620C24" w:rsidRPr="00640E4A" w:rsidRDefault="00620C24" w:rsidP="00A6497D">
      <w:pPr>
        <w:pStyle w:val="FootnoteText"/>
        <w:spacing w:line="240" w:lineRule="auto"/>
        <w:rPr>
          <w:szCs w:val="18"/>
        </w:rPr>
      </w:pPr>
      <w:r w:rsidRPr="00640E4A">
        <w:rPr>
          <w:rStyle w:val="FootnoteReference"/>
          <w:szCs w:val="18"/>
        </w:rPr>
        <w:footnoteRef/>
      </w:r>
      <w:r w:rsidRPr="00640E4A">
        <w:rPr>
          <w:szCs w:val="18"/>
        </w:rPr>
        <w:t xml:space="preserve"> Total benefits (avoided costs) to 2028 divided by 2018 population.</w:t>
      </w:r>
    </w:p>
  </w:footnote>
  <w:footnote w:id="27">
    <w:p w14:paraId="56644520" w14:textId="1779694F" w:rsidR="00620C24" w:rsidRDefault="00620C24" w:rsidP="00A6497D">
      <w:pPr>
        <w:pStyle w:val="FootnoteText"/>
        <w:spacing w:line="240" w:lineRule="auto"/>
        <w:ind w:left="992"/>
      </w:pPr>
      <w:r>
        <w:rPr>
          <w:rStyle w:val="FootnoteReference"/>
        </w:rPr>
        <w:footnoteRef/>
      </w:r>
      <w:r>
        <w:t xml:space="preserve"> M</w:t>
      </w:r>
      <w:r w:rsidRPr="00353018">
        <w:t xml:space="preserve">ethods for monitoring and measuring, exceptional circumstances, and requirements triggered by an exceedance of either the daily or annual limit. </w:t>
      </w:r>
      <w:r>
        <w:t xml:space="preserve"> </w:t>
      </w:r>
      <w:r w:rsidRPr="00353018">
        <w:t>The annual PM</w:t>
      </w:r>
      <w:r w:rsidRPr="00353018">
        <w:rPr>
          <w:vertAlign w:val="subscript"/>
        </w:rPr>
        <w:t>2.5</w:t>
      </w:r>
      <w:r w:rsidRPr="00353018">
        <w:t xml:space="preserve"> standards are </w:t>
      </w:r>
      <w:r>
        <w:t xml:space="preserve">assumed </w:t>
      </w:r>
      <w:r w:rsidRPr="00353018">
        <w:t>to have similar provisions to the daily standard, with appropriate changes to reflect the different timeframe.</w:t>
      </w:r>
    </w:p>
  </w:footnote>
  <w:footnote w:id="28">
    <w:p w14:paraId="1319AC15" w14:textId="64CFFAAC" w:rsidR="00620C24" w:rsidRPr="001E66EF" w:rsidRDefault="00620C24" w:rsidP="00640E4A">
      <w:pPr>
        <w:pStyle w:val="FootnoteText"/>
        <w:spacing w:line="240" w:lineRule="auto"/>
        <w:ind w:left="992"/>
      </w:pPr>
      <w:r w:rsidRPr="001E66EF">
        <w:rPr>
          <w:rStyle w:val="FootnoteReference"/>
        </w:rPr>
        <w:footnoteRef/>
      </w:r>
      <w:r w:rsidRPr="001E66EF">
        <w:t xml:space="preserve"> $1 spent (cost) results in $</w:t>
      </w:r>
      <w:r>
        <w:t>8.40</w:t>
      </w:r>
      <w:r w:rsidRPr="001E66EF">
        <w:t xml:space="preserve"> of benefits/cost savings.</w:t>
      </w:r>
    </w:p>
  </w:footnote>
  <w:footnote w:id="29">
    <w:p w14:paraId="5AEB5F98" w14:textId="56916F7D" w:rsidR="00620C24" w:rsidRPr="001E66EF" w:rsidRDefault="00620C24" w:rsidP="00640E4A">
      <w:pPr>
        <w:pStyle w:val="FootnoteText"/>
        <w:spacing w:line="240" w:lineRule="auto"/>
        <w:ind w:left="992"/>
      </w:pPr>
      <w:r w:rsidRPr="001E66EF">
        <w:rPr>
          <w:rStyle w:val="FootnoteReference"/>
        </w:rPr>
        <w:footnoteRef/>
      </w:r>
      <w:r w:rsidRPr="001E66EF">
        <w:t xml:space="preserve"> $1 spent (cost) results in $</w:t>
      </w:r>
      <w:r>
        <w:t>14.00</w:t>
      </w:r>
      <w:r w:rsidRPr="001E66EF">
        <w:t xml:space="preserve"> of benefits/cost savings.</w:t>
      </w:r>
    </w:p>
  </w:footnote>
  <w:footnote w:id="30">
    <w:p w14:paraId="547AB178" w14:textId="77777777" w:rsidR="003A1BCC" w:rsidRDefault="003A1BCC" w:rsidP="003A1BCC">
      <w:pPr>
        <w:pStyle w:val="FootnoteText"/>
        <w:spacing w:line="240" w:lineRule="auto"/>
      </w:pPr>
      <w:r>
        <w:rPr>
          <w:rStyle w:val="FootnoteReference"/>
        </w:rPr>
        <w:footnoteRef/>
      </w:r>
      <w:r>
        <w:t xml:space="preserve"> This differs from the figure in the latest NIWA report.  We understand that this is due to different base years being used (see Section </w:t>
      </w:r>
      <w:r>
        <w:fldChar w:fldCharType="begin"/>
      </w:r>
      <w:r>
        <w:instrText xml:space="preserve"> REF _Ref25313314 \r \h </w:instrText>
      </w:r>
      <w:r>
        <w:fldChar w:fldCharType="separate"/>
      </w:r>
      <w:r>
        <w:t>2.9</w:t>
      </w:r>
      <w:r>
        <w:fldChar w:fldCharType="end"/>
      </w:r>
      <w:r>
        <w:t xml:space="preserve"> for more detail).</w:t>
      </w:r>
    </w:p>
    <w:p w14:paraId="4E687FBC" w14:textId="01F73804" w:rsidR="003A1BCC" w:rsidRDefault="003A1BCC">
      <w:pPr>
        <w:pStyle w:val="FootnoteText"/>
      </w:pPr>
    </w:p>
  </w:footnote>
  <w:footnote w:id="31">
    <w:p w14:paraId="252461CA" w14:textId="77777777" w:rsidR="00620C24" w:rsidRDefault="00620C24" w:rsidP="00335186">
      <w:pPr>
        <w:pStyle w:val="FootnoteText"/>
      </w:pPr>
      <w:r>
        <w:rPr>
          <w:rStyle w:val="FootnoteReference"/>
        </w:rPr>
        <w:footnoteRef/>
      </w:r>
      <w:r>
        <w:t xml:space="preserve"> T</w:t>
      </w:r>
      <w:r w:rsidRPr="001D1120">
        <w:t>otal private costs to 2028 divided by 2018 population</w:t>
      </w:r>
    </w:p>
  </w:footnote>
  <w:footnote w:id="32">
    <w:p w14:paraId="1E8E794E" w14:textId="2AA653FB" w:rsidR="00620C24" w:rsidRPr="001E66EF" w:rsidRDefault="00620C24" w:rsidP="00640E4A">
      <w:pPr>
        <w:pStyle w:val="FootnoteText"/>
        <w:spacing w:line="240" w:lineRule="auto"/>
        <w:ind w:left="992"/>
      </w:pPr>
      <w:r w:rsidRPr="001E66EF">
        <w:rPr>
          <w:rStyle w:val="FootnoteReference"/>
        </w:rPr>
        <w:footnoteRef/>
      </w:r>
      <w:r w:rsidRPr="001E66EF">
        <w:t xml:space="preserve"> $1 spent (cost) results in $</w:t>
      </w:r>
      <w:r>
        <w:t>8.40</w:t>
      </w:r>
      <w:r w:rsidRPr="001E66EF">
        <w:t xml:space="preserve"> of benefits/cost savings.</w:t>
      </w:r>
    </w:p>
  </w:footnote>
  <w:footnote w:id="33">
    <w:p w14:paraId="14ED6A1A" w14:textId="3C9670CB" w:rsidR="00620C24" w:rsidRDefault="00620C24" w:rsidP="00640E4A">
      <w:pPr>
        <w:pStyle w:val="FootnoteText"/>
        <w:spacing w:line="240" w:lineRule="auto"/>
      </w:pPr>
      <w:r>
        <w:rPr>
          <w:rStyle w:val="FootnoteReference"/>
        </w:rPr>
        <w:footnoteRef/>
      </w:r>
      <w:r>
        <w:t xml:space="preserve"> This differs from the figure in the latest NIWA report.  We understand that this is due to different base years being used (see Section </w:t>
      </w:r>
      <w:r>
        <w:fldChar w:fldCharType="begin"/>
      </w:r>
      <w:r>
        <w:instrText xml:space="preserve"> REF _Ref25313314 \r \h </w:instrText>
      </w:r>
      <w:r>
        <w:fldChar w:fldCharType="separate"/>
      </w:r>
      <w:r>
        <w:t>2.9</w:t>
      </w:r>
      <w:r>
        <w:fldChar w:fldCharType="end"/>
      </w:r>
      <w:r>
        <w:t xml:space="preserve"> for more detail).</w:t>
      </w:r>
    </w:p>
  </w:footnote>
  <w:footnote w:id="34">
    <w:p w14:paraId="5A5C3825" w14:textId="06B08731" w:rsidR="00620C24" w:rsidRDefault="00620C24" w:rsidP="00640E4A">
      <w:pPr>
        <w:pStyle w:val="FootnoteText"/>
        <w:spacing w:line="240" w:lineRule="auto"/>
      </w:pPr>
      <w:r>
        <w:rPr>
          <w:rStyle w:val="FootnoteReference"/>
        </w:rPr>
        <w:footnoteRef/>
      </w:r>
      <w:r>
        <w:t xml:space="preserve"> All results are presented In NPV terms, discount rate 8%. </w:t>
      </w:r>
    </w:p>
  </w:footnote>
  <w:footnote w:id="35">
    <w:p w14:paraId="0CA24275" w14:textId="77777777" w:rsidR="00620C24" w:rsidRPr="001E66EF" w:rsidRDefault="00620C24" w:rsidP="001E66EF">
      <w:pPr>
        <w:pStyle w:val="FootnoteText"/>
        <w:spacing w:line="240" w:lineRule="auto"/>
        <w:ind w:left="992"/>
      </w:pPr>
      <w:r w:rsidRPr="001E66EF">
        <w:rPr>
          <w:rStyle w:val="FootnoteReference"/>
        </w:rPr>
        <w:footnoteRef/>
      </w:r>
      <w:r w:rsidRPr="001E66EF">
        <w:t xml:space="preserve"> Meshblocks are the smallest administrative areas (geographical units) used by Statistics NZ, with a median population of approximately 81 persons (Census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F1D0" w14:textId="17B07DB2" w:rsidR="00620C24" w:rsidRDefault="00620C24">
    <w:pPr>
      <w:pStyle w:val="Header"/>
    </w:pPr>
    <w:r>
      <w:rPr>
        <w:noProof/>
        <w:lang w:eastAsia="en-NZ"/>
      </w:rPr>
      <w:drawing>
        <wp:anchor distT="0" distB="0" distL="114300" distR="114300" simplePos="0" relativeHeight="251661312" behindDoc="1" locked="0" layoutInCell="1" allowOverlap="1" wp14:anchorId="68D2D9EC" wp14:editId="54EAAF45">
          <wp:simplePos x="0" y="0"/>
          <wp:positionH relativeFrom="column">
            <wp:posOffset>-977462</wp:posOffset>
          </wp:positionH>
          <wp:positionV relativeFrom="paragraph">
            <wp:posOffset>-677917</wp:posOffset>
          </wp:positionV>
          <wp:extent cx="7709338" cy="10897958"/>
          <wp:effectExtent l="0" t="0" r="6350" b="0"/>
          <wp:wrapNone/>
          <wp:docPr id="15" name="Picture 15" descr="COVERS_CON_B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VERS_CON_BK.t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920" cy="109016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27CD" w14:textId="4A514A37" w:rsidR="00620C24" w:rsidRDefault="00620C24" w:rsidP="00236641">
    <w:pPr>
      <w:pStyle w:val="Header"/>
    </w:pPr>
    <w:r>
      <w:rPr>
        <w:noProof/>
        <w:lang w:eastAsia="en-NZ"/>
      </w:rPr>
      <w:drawing>
        <wp:anchor distT="0" distB="0" distL="114300" distR="114300" simplePos="0" relativeHeight="251659264" behindDoc="0" locked="0" layoutInCell="1" allowOverlap="1" wp14:anchorId="2B98FA0C" wp14:editId="6FA4B377">
          <wp:simplePos x="0" y="0"/>
          <wp:positionH relativeFrom="column">
            <wp:posOffset>5701437</wp:posOffset>
          </wp:positionH>
          <wp:positionV relativeFrom="paragraph">
            <wp:posOffset>-396588</wp:posOffset>
          </wp:positionV>
          <wp:extent cx="915060" cy="756094"/>
          <wp:effectExtent l="0" t="0" r="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_CON_GRAPHIC ONLY.jpg"/>
                  <pic:cNvPicPr/>
                </pic:nvPicPr>
                <pic:blipFill rotWithShape="1">
                  <a:blip r:embed="rId1" cstate="print">
                    <a:extLst>
                      <a:ext uri="{28A0092B-C50C-407E-A947-70E740481C1C}">
                        <a14:useLocalDpi xmlns:a14="http://schemas.microsoft.com/office/drawing/2010/main" val="0"/>
                      </a:ext>
                    </a:extLst>
                  </a:blip>
                  <a:srcRect t="9145"/>
                  <a:stretch/>
                </pic:blipFill>
                <pic:spPr bwMode="auto">
                  <a:xfrm flipH="1">
                    <a:off x="0" y="0"/>
                    <a:ext cx="915060" cy="7560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B6E"/>
    <w:multiLevelType w:val="multilevel"/>
    <w:tmpl w:val="F94EAD8C"/>
    <w:styleLink w:val="MELIST"/>
    <w:lvl w:ilvl="0">
      <w:start w:val="1"/>
      <w:numFmt w:val="decimal"/>
      <w:lvlText w:val="%1."/>
      <w:lvlJc w:val="left"/>
      <w:pPr>
        <w:ind w:left="3992" w:hanging="360"/>
      </w:pPr>
      <w:rPr>
        <w:rFonts w:hint="default"/>
      </w:rPr>
    </w:lvl>
    <w:lvl w:ilvl="1">
      <w:start w:val="1"/>
      <w:numFmt w:val="decimal"/>
      <w:lvlText w:val="%1.%2"/>
      <w:lvlJc w:val="left"/>
      <w:pPr>
        <w:ind w:left="4352" w:hanging="3186"/>
      </w:pPr>
      <w:rPr>
        <w:rFonts w:hint="default"/>
      </w:rPr>
    </w:lvl>
    <w:lvl w:ilvl="2">
      <w:start w:val="1"/>
      <w:numFmt w:val="decimal"/>
      <w:lvlText w:val="%1.%2.%3"/>
      <w:lvlJc w:val="left"/>
      <w:pPr>
        <w:ind w:left="4712" w:hanging="3262"/>
      </w:pPr>
      <w:rPr>
        <w:rFonts w:hint="default"/>
      </w:rPr>
    </w:lvl>
    <w:lvl w:ilvl="3">
      <w:start w:val="1"/>
      <w:numFmt w:val="decimal"/>
      <w:lvlText w:val="%1.%2.%3.%4"/>
      <w:lvlJc w:val="left"/>
      <w:pPr>
        <w:ind w:left="5072" w:hanging="360"/>
      </w:pPr>
      <w:rPr>
        <w:rFonts w:hint="default"/>
      </w:rPr>
    </w:lvl>
    <w:lvl w:ilvl="4">
      <w:start w:val="1"/>
      <w:numFmt w:val="decimal"/>
      <w:pStyle w:val="MEheading5"/>
      <w:lvlText w:val="%1.%2.%3.%4.%5"/>
      <w:lvlJc w:val="left"/>
      <w:pPr>
        <w:ind w:left="5432" w:hanging="360"/>
      </w:pPr>
      <w:rPr>
        <w:rFonts w:hint="default"/>
      </w:rPr>
    </w:lvl>
    <w:lvl w:ilvl="5">
      <w:start w:val="1"/>
      <w:numFmt w:val="lowerRoman"/>
      <w:lvlText w:val="(%6)"/>
      <w:lvlJc w:val="left"/>
      <w:pPr>
        <w:ind w:left="5792" w:hanging="360"/>
      </w:pPr>
      <w:rPr>
        <w:rFonts w:hint="default"/>
      </w:rPr>
    </w:lvl>
    <w:lvl w:ilvl="6">
      <w:start w:val="1"/>
      <w:numFmt w:val="decimal"/>
      <w:lvlText w:val="%7."/>
      <w:lvlJc w:val="left"/>
      <w:pPr>
        <w:ind w:left="6152" w:hanging="360"/>
      </w:pPr>
      <w:rPr>
        <w:rFonts w:hint="default"/>
      </w:rPr>
    </w:lvl>
    <w:lvl w:ilvl="7">
      <w:start w:val="1"/>
      <w:numFmt w:val="lowerLetter"/>
      <w:lvlText w:val="%8."/>
      <w:lvlJc w:val="left"/>
      <w:pPr>
        <w:ind w:left="6512" w:hanging="360"/>
      </w:pPr>
      <w:rPr>
        <w:rFonts w:hint="default"/>
      </w:rPr>
    </w:lvl>
    <w:lvl w:ilvl="8">
      <w:start w:val="1"/>
      <w:numFmt w:val="lowerRoman"/>
      <w:lvlText w:val="%9."/>
      <w:lvlJc w:val="left"/>
      <w:pPr>
        <w:ind w:left="6872" w:hanging="360"/>
      </w:pPr>
      <w:rPr>
        <w:rFonts w:hint="default"/>
      </w:rPr>
    </w:lvl>
  </w:abstractNum>
  <w:abstractNum w:abstractNumId="1" w15:restartNumberingAfterBreak="0">
    <w:nsid w:val="020641C5"/>
    <w:multiLevelType w:val="hybridMultilevel"/>
    <w:tmpl w:val="B0DA2576"/>
    <w:lvl w:ilvl="0" w:tplc="616ABBDA">
      <w:start w:val="1"/>
      <w:numFmt w:val="lowerRoman"/>
      <w:pStyle w:val="romannolist"/>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66446A"/>
    <w:multiLevelType w:val="hybridMultilevel"/>
    <w:tmpl w:val="DEE0B6A4"/>
    <w:lvl w:ilvl="0" w:tplc="37CAC2B6">
      <w:start w:val="1"/>
      <w:numFmt w:val="bullet"/>
      <w:lvlText w:val=""/>
      <w:lvlJc w:val="left"/>
      <w:pPr>
        <w:ind w:left="1710" w:hanging="360"/>
      </w:pPr>
      <w:rPr>
        <w:rFonts w:ascii="Symbol" w:hAnsi="Symbol" w:hint="default"/>
        <w:color w:val="0179BB"/>
        <w:sz w:val="20"/>
      </w:rPr>
    </w:lvl>
    <w:lvl w:ilvl="1" w:tplc="14090003" w:tentative="1">
      <w:start w:val="1"/>
      <w:numFmt w:val="bullet"/>
      <w:lvlText w:val="o"/>
      <w:lvlJc w:val="left"/>
      <w:pPr>
        <w:ind w:left="2430" w:hanging="360"/>
      </w:pPr>
      <w:rPr>
        <w:rFonts w:ascii="Courier New" w:hAnsi="Courier New" w:cs="Courier New" w:hint="default"/>
      </w:rPr>
    </w:lvl>
    <w:lvl w:ilvl="2" w:tplc="14090005" w:tentative="1">
      <w:start w:val="1"/>
      <w:numFmt w:val="bullet"/>
      <w:lvlText w:val=""/>
      <w:lvlJc w:val="left"/>
      <w:pPr>
        <w:ind w:left="3150" w:hanging="360"/>
      </w:pPr>
      <w:rPr>
        <w:rFonts w:ascii="Wingdings" w:hAnsi="Wingdings" w:hint="default"/>
      </w:rPr>
    </w:lvl>
    <w:lvl w:ilvl="3" w:tplc="14090001" w:tentative="1">
      <w:start w:val="1"/>
      <w:numFmt w:val="bullet"/>
      <w:lvlText w:val=""/>
      <w:lvlJc w:val="left"/>
      <w:pPr>
        <w:ind w:left="3870" w:hanging="360"/>
      </w:pPr>
      <w:rPr>
        <w:rFonts w:ascii="Symbol" w:hAnsi="Symbol" w:hint="default"/>
      </w:rPr>
    </w:lvl>
    <w:lvl w:ilvl="4" w:tplc="14090003" w:tentative="1">
      <w:start w:val="1"/>
      <w:numFmt w:val="bullet"/>
      <w:lvlText w:val="o"/>
      <w:lvlJc w:val="left"/>
      <w:pPr>
        <w:ind w:left="4590" w:hanging="360"/>
      </w:pPr>
      <w:rPr>
        <w:rFonts w:ascii="Courier New" w:hAnsi="Courier New" w:cs="Courier New" w:hint="default"/>
      </w:rPr>
    </w:lvl>
    <w:lvl w:ilvl="5" w:tplc="14090005" w:tentative="1">
      <w:start w:val="1"/>
      <w:numFmt w:val="bullet"/>
      <w:lvlText w:val=""/>
      <w:lvlJc w:val="left"/>
      <w:pPr>
        <w:ind w:left="5310" w:hanging="360"/>
      </w:pPr>
      <w:rPr>
        <w:rFonts w:ascii="Wingdings" w:hAnsi="Wingdings" w:hint="default"/>
      </w:rPr>
    </w:lvl>
    <w:lvl w:ilvl="6" w:tplc="14090001" w:tentative="1">
      <w:start w:val="1"/>
      <w:numFmt w:val="bullet"/>
      <w:lvlText w:val=""/>
      <w:lvlJc w:val="left"/>
      <w:pPr>
        <w:ind w:left="6030" w:hanging="360"/>
      </w:pPr>
      <w:rPr>
        <w:rFonts w:ascii="Symbol" w:hAnsi="Symbol" w:hint="default"/>
      </w:rPr>
    </w:lvl>
    <w:lvl w:ilvl="7" w:tplc="14090003" w:tentative="1">
      <w:start w:val="1"/>
      <w:numFmt w:val="bullet"/>
      <w:lvlText w:val="o"/>
      <w:lvlJc w:val="left"/>
      <w:pPr>
        <w:ind w:left="6750" w:hanging="360"/>
      </w:pPr>
      <w:rPr>
        <w:rFonts w:ascii="Courier New" w:hAnsi="Courier New" w:cs="Courier New" w:hint="default"/>
      </w:rPr>
    </w:lvl>
    <w:lvl w:ilvl="8" w:tplc="14090005" w:tentative="1">
      <w:start w:val="1"/>
      <w:numFmt w:val="bullet"/>
      <w:lvlText w:val=""/>
      <w:lvlJc w:val="left"/>
      <w:pPr>
        <w:ind w:left="7470" w:hanging="360"/>
      </w:pPr>
      <w:rPr>
        <w:rFonts w:ascii="Wingdings" w:hAnsi="Wingdings" w:hint="default"/>
      </w:rPr>
    </w:lvl>
  </w:abstractNum>
  <w:abstractNum w:abstractNumId="3" w15:restartNumberingAfterBreak="0">
    <w:nsid w:val="07D1118E"/>
    <w:multiLevelType w:val="hybridMultilevel"/>
    <w:tmpl w:val="413639E4"/>
    <w:lvl w:ilvl="0" w:tplc="14090011">
      <w:start w:val="1"/>
      <w:numFmt w:val="decimal"/>
      <w:lvlText w:val="%1)"/>
      <w:lvlJc w:val="left"/>
      <w:pPr>
        <w:ind w:left="1778"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B660544"/>
    <w:multiLevelType w:val="hybridMultilevel"/>
    <w:tmpl w:val="5816B8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C670595"/>
    <w:multiLevelType w:val="hybridMultilevel"/>
    <w:tmpl w:val="F4A60F6A"/>
    <w:lvl w:ilvl="0" w:tplc="14090001">
      <w:start w:val="1"/>
      <w:numFmt w:val="bullet"/>
      <w:lvlText w:val=""/>
      <w:lvlJc w:val="left"/>
      <w:pPr>
        <w:ind w:left="1710" w:hanging="360"/>
      </w:pPr>
      <w:rPr>
        <w:rFonts w:ascii="Symbol" w:hAnsi="Symbol" w:hint="default"/>
      </w:rPr>
    </w:lvl>
    <w:lvl w:ilvl="1" w:tplc="14090003" w:tentative="1">
      <w:start w:val="1"/>
      <w:numFmt w:val="bullet"/>
      <w:lvlText w:val="o"/>
      <w:lvlJc w:val="left"/>
      <w:pPr>
        <w:ind w:left="2430" w:hanging="360"/>
      </w:pPr>
      <w:rPr>
        <w:rFonts w:ascii="Courier New" w:hAnsi="Courier New" w:cs="Courier New" w:hint="default"/>
      </w:rPr>
    </w:lvl>
    <w:lvl w:ilvl="2" w:tplc="14090005" w:tentative="1">
      <w:start w:val="1"/>
      <w:numFmt w:val="bullet"/>
      <w:lvlText w:val=""/>
      <w:lvlJc w:val="left"/>
      <w:pPr>
        <w:ind w:left="3150" w:hanging="360"/>
      </w:pPr>
      <w:rPr>
        <w:rFonts w:ascii="Wingdings" w:hAnsi="Wingdings" w:hint="default"/>
      </w:rPr>
    </w:lvl>
    <w:lvl w:ilvl="3" w:tplc="14090001">
      <w:start w:val="1"/>
      <w:numFmt w:val="bullet"/>
      <w:lvlText w:val=""/>
      <w:lvlJc w:val="left"/>
      <w:pPr>
        <w:ind w:left="3870" w:hanging="360"/>
      </w:pPr>
      <w:rPr>
        <w:rFonts w:ascii="Symbol" w:hAnsi="Symbol" w:hint="default"/>
      </w:rPr>
    </w:lvl>
    <w:lvl w:ilvl="4" w:tplc="14090003" w:tentative="1">
      <w:start w:val="1"/>
      <w:numFmt w:val="bullet"/>
      <w:lvlText w:val="o"/>
      <w:lvlJc w:val="left"/>
      <w:pPr>
        <w:ind w:left="4590" w:hanging="360"/>
      </w:pPr>
      <w:rPr>
        <w:rFonts w:ascii="Courier New" w:hAnsi="Courier New" w:cs="Courier New" w:hint="default"/>
      </w:rPr>
    </w:lvl>
    <w:lvl w:ilvl="5" w:tplc="14090005" w:tentative="1">
      <w:start w:val="1"/>
      <w:numFmt w:val="bullet"/>
      <w:lvlText w:val=""/>
      <w:lvlJc w:val="left"/>
      <w:pPr>
        <w:ind w:left="5310" w:hanging="360"/>
      </w:pPr>
      <w:rPr>
        <w:rFonts w:ascii="Wingdings" w:hAnsi="Wingdings" w:hint="default"/>
      </w:rPr>
    </w:lvl>
    <w:lvl w:ilvl="6" w:tplc="14090001" w:tentative="1">
      <w:start w:val="1"/>
      <w:numFmt w:val="bullet"/>
      <w:lvlText w:val=""/>
      <w:lvlJc w:val="left"/>
      <w:pPr>
        <w:ind w:left="6030" w:hanging="360"/>
      </w:pPr>
      <w:rPr>
        <w:rFonts w:ascii="Symbol" w:hAnsi="Symbol" w:hint="default"/>
      </w:rPr>
    </w:lvl>
    <w:lvl w:ilvl="7" w:tplc="14090003" w:tentative="1">
      <w:start w:val="1"/>
      <w:numFmt w:val="bullet"/>
      <w:lvlText w:val="o"/>
      <w:lvlJc w:val="left"/>
      <w:pPr>
        <w:ind w:left="6750" w:hanging="360"/>
      </w:pPr>
      <w:rPr>
        <w:rFonts w:ascii="Courier New" w:hAnsi="Courier New" w:cs="Courier New" w:hint="default"/>
      </w:rPr>
    </w:lvl>
    <w:lvl w:ilvl="8" w:tplc="14090005" w:tentative="1">
      <w:start w:val="1"/>
      <w:numFmt w:val="bullet"/>
      <w:lvlText w:val=""/>
      <w:lvlJc w:val="left"/>
      <w:pPr>
        <w:ind w:left="7470" w:hanging="360"/>
      </w:pPr>
      <w:rPr>
        <w:rFonts w:ascii="Wingdings" w:hAnsi="Wingdings" w:hint="default"/>
      </w:rPr>
    </w:lvl>
  </w:abstractNum>
  <w:abstractNum w:abstractNumId="6" w15:restartNumberingAfterBreak="0">
    <w:nsid w:val="0D495743"/>
    <w:multiLevelType w:val="hybridMultilevel"/>
    <w:tmpl w:val="F5A20B9E"/>
    <w:lvl w:ilvl="0" w:tplc="14090001">
      <w:start w:val="1"/>
      <w:numFmt w:val="bullet"/>
      <w:lvlText w:val=""/>
      <w:lvlJc w:val="left"/>
      <w:pPr>
        <w:ind w:left="1710" w:hanging="360"/>
      </w:pPr>
      <w:rPr>
        <w:rFonts w:ascii="Symbol" w:hAnsi="Symbol" w:hint="default"/>
      </w:rPr>
    </w:lvl>
    <w:lvl w:ilvl="1" w:tplc="14090003" w:tentative="1">
      <w:start w:val="1"/>
      <w:numFmt w:val="bullet"/>
      <w:lvlText w:val="o"/>
      <w:lvlJc w:val="left"/>
      <w:pPr>
        <w:ind w:left="2430" w:hanging="360"/>
      </w:pPr>
      <w:rPr>
        <w:rFonts w:ascii="Courier New" w:hAnsi="Courier New" w:cs="Courier New" w:hint="default"/>
      </w:rPr>
    </w:lvl>
    <w:lvl w:ilvl="2" w:tplc="14090005" w:tentative="1">
      <w:start w:val="1"/>
      <w:numFmt w:val="bullet"/>
      <w:lvlText w:val=""/>
      <w:lvlJc w:val="left"/>
      <w:pPr>
        <w:ind w:left="3150" w:hanging="360"/>
      </w:pPr>
      <w:rPr>
        <w:rFonts w:ascii="Wingdings" w:hAnsi="Wingdings" w:hint="default"/>
      </w:rPr>
    </w:lvl>
    <w:lvl w:ilvl="3" w:tplc="14090001" w:tentative="1">
      <w:start w:val="1"/>
      <w:numFmt w:val="bullet"/>
      <w:lvlText w:val=""/>
      <w:lvlJc w:val="left"/>
      <w:pPr>
        <w:ind w:left="3870" w:hanging="360"/>
      </w:pPr>
      <w:rPr>
        <w:rFonts w:ascii="Symbol" w:hAnsi="Symbol" w:hint="default"/>
      </w:rPr>
    </w:lvl>
    <w:lvl w:ilvl="4" w:tplc="14090003" w:tentative="1">
      <w:start w:val="1"/>
      <w:numFmt w:val="bullet"/>
      <w:lvlText w:val="o"/>
      <w:lvlJc w:val="left"/>
      <w:pPr>
        <w:ind w:left="4590" w:hanging="360"/>
      </w:pPr>
      <w:rPr>
        <w:rFonts w:ascii="Courier New" w:hAnsi="Courier New" w:cs="Courier New" w:hint="default"/>
      </w:rPr>
    </w:lvl>
    <w:lvl w:ilvl="5" w:tplc="14090005" w:tentative="1">
      <w:start w:val="1"/>
      <w:numFmt w:val="bullet"/>
      <w:lvlText w:val=""/>
      <w:lvlJc w:val="left"/>
      <w:pPr>
        <w:ind w:left="5310" w:hanging="360"/>
      </w:pPr>
      <w:rPr>
        <w:rFonts w:ascii="Wingdings" w:hAnsi="Wingdings" w:hint="default"/>
      </w:rPr>
    </w:lvl>
    <w:lvl w:ilvl="6" w:tplc="14090001" w:tentative="1">
      <w:start w:val="1"/>
      <w:numFmt w:val="bullet"/>
      <w:lvlText w:val=""/>
      <w:lvlJc w:val="left"/>
      <w:pPr>
        <w:ind w:left="6030" w:hanging="360"/>
      </w:pPr>
      <w:rPr>
        <w:rFonts w:ascii="Symbol" w:hAnsi="Symbol" w:hint="default"/>
      </w:rPr>
    </w:lvl>
    <w:lvl w:ilvl="7" w:tplc="14090003" w:tentative="1">
      <w:start w:val="1"/>
      <w:numFmt w:val="bullet"/>
      <w:lvlText w:val="o"/>
      <w:lvlJc w:val="left"/>
      <w:pPr>
        <w:ind w:left="6750" w:hanging="360"/>
      </w:pPr>
      <w:rPr>
        <w:rFonts w:ascii="Courier New" w:hAnsi="Courier New" w:cs="Courier New" w:hint="default"/>
      </w:rPr>
    </w:lvl>
    <w:lvl w:ilvl="8" w:tplc="14090005" w:tentative="1">
      <w:start w:val="1"/>
      <w:numFmt w:val="bullet"/>
      <w:lvlText w:val=""/>
      <w:lvlJc w:val="left"/>
      <w:pPr>
        <w:ind w:left="7470" w:hanging="360"/>
      </w:pPr>
      <w:rPr>
        <w:rFonts w:ascii="Wingdings" w:hAnsi="Wingdings" w:hint="default"/>
      </w:rPr>
    </w:lvl>
  </w:abstractNum>
  <w:abstractNum w:abstractNumId="7" w15:restartNumberingAfterBreak="0">
    <w:nsid w:val="1180008B"/>
    <w:multiLevelType w:val="multilevel"/>
    <w:tmpl w:val="8C10B4EC"/>
    <w:lvl w:ilvl="0">
      <w:start w:val="1"/>
      <w:numFmt w:val="decimal"/>
      <w:pStyle w:val="NumberedList"/>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ind w:left="2430" w:hanging="45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1E07D6F"/>
    <w:multiLevelType w:val="hybridMultilevel"/>
    <w:tmpl w:val="59686FBE"/>
    <w:lvl w:ilvl="0" w:tplc="13865C84">
      <w:start w:val="1"/>
      <w:numFmt w:val="bullet"/>
      <w:lvlText w:val=""/>
      <w:lvlJc w:val="left"/>
      <w:pPr>
        <w:ind w:left="2434" w:hanging="360"/>
      </w:pPr>
      <w:rPr>
        <w:rFonts w:ascii="Symbol" w:hAnsi="Symbol" w:hint="default"/>
        <w:color w:val="0179BB"/>
        <w:sz w:val="32"/>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9" w15:restartNumberingAfterBreak="0">
    <w:nsid w:val="13293A61"/>
    <w:multiLevelType w:val="hybridMultilevel"/>
    <w:tmpl w:val="EA9AD318"/>
    <w:lvl w:ilvl="0" w:tplc="8E10850C">
      <w:start w:val="1"/>
      <w:numFmt w:val="bullet"/>
      <w:pStyle w:val="MEBullet"/>
      <w:lvlText w:val=""/>
      <w:lvlJc w:val="left"/>
      <w:pPr>
        <w:ind w:left="1710" w:hanging="360"/>
      </w:pPr>
      <w:rPr>
        <w:rFonts w:ascii="Symbol" w:hAnsi="Symbol" w:hint="default"/>
        <w:color w:val="0179BB"/>
      </w:rPr>
    </w:lvl>
    <w:lvl w:ilvl="1" w:tplc="14090001">
      <w:start w:val="1"/>
      <w:numFmt w:val="bullet"/>
      <w:lvlText w:val=""/>
      <w:lvlJc w:val="left"/>
      <w:pPr>
        <w:ind w:left="2430" w:hanging="360"/>
      </w:pPr>
      <w:rPr>
        <w:rFonts w:ascii="Symbol" w:hAnsi="Symbo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14220585"/>
    <w:multiLevelType w:val="hybridMultilevel"/>
    <w:tmpl w:val="BCB29CFA"/>
    <w:lvl w:ilvl="0" w:tplc="14090011">
      <w:start w:val="1"/>
      <w:numFmt w:val="decimal"/>
      <w:lvlText w:val="%1)"/>
      <w:lvlJc w:val="left"/>
      <w:pPr>
        <w:ind w:left="1710" w:hanging="360"/>
      </w:pPr>
    </w:lvl>
    <w:lvl w:ilvl="1" w:tplc="14090019" w:tentative="1">
      <w:start w:val="1"/>
      <w:numFmt w:val="lowerLetter"/>
      <w:lvlText w:val="%2."/>
      <w:lvlJc w:val="left"/>
      <w:pPr>
        <w:ind w:left="2430" w:hanging="360"/>
      </w:pPr>
    </w:lvl>
    <w:lvl w:ilvl="2" w:tplc="1409001B" w:tentative="1">
      <w:start w:val="1"/>
      <w:numFmt w:val="lowerRoman"/>
      <w:lvlText w:val="%3."/>
      <w:lvlJc w:val="right"/>
      <w:pPr>
        <w:ind w:left="3150" w:hanging="180"/>
      </w:pPr>
    </w:lvl>
    <w:lvl w:ilvl="3" w:tplc="1409000F" w:tentative="1">
      <w:start w:val="1"/>
      <w:numFmt w:val="decimal"/>
      <w:lvlText w:val="%4."/>
      <w:lvlJc w:val="left"/>
      <w:pPr>
        <w:ind w:left="3870" w:hanging="360"/>
      </w:pPr>
    </w:lvl>
    <w:lvl w:ilvl="4" w:tplc="14090019" w:tentative="1">
      <w:start w:val="1"/>
      <w:numFmt w:val="lowerLetter"/>
      <w:lvlText w:val="%5."/>
      <w:lvlJc w:val="left"/>
      <w:pPr>
        <w:ind w:left="4590" w:hanging="360"/>
      </w:pPr>
    </w:lvl>
    <w:lvl w:ilvl="5" w:tplc="1409001B" w:tentative="1">
      <w:start w:val="1"/>
      <w:numFmt w:val="lowerRoman"/>
      <w:lvlText w:val="%6."/>
      <w:lvlJc w:val="right"/>
      <w:pPr>
        <w:ind w:left="5310" w:hanging="180"/>
      </w:pPr>
    </w:lvl>
    <w:lvl w:ilvl="6" w:tplc="1409000F" w:tentative="1">
      <w:start w:val="1"/>
      <w:numFmt w:val="decimal"/>
      <w:lvlText w:val="%7."/>
      <w:lvlJc w:val="left"/>
      <w:pPr>
        <w:ind w:left="6030" w:hanging="360"/>
      </w:pPr>
    </w:lvl>
    <w:lvl w:ilvl="7" w:tplc="14090019" w:tentative="1">
      <w:start w:val="1"/>
      <w:numFmt w:val="lowerLetter"/>
      <w:lvlText w:val="%8."/>
      <w:lvlJc w:val="left"/>
      <w:pPr>
        <w:ind w:left="6750" w:hanging="360"/>
      </w:pPr>
    </w:lvl>
    <w:lvl w:ilvl="8" w:tplc="1409001B" w:tentative="1">
      <w:start w:val="1"/>
      <w:numFmt w:val="lowerRoman"/>
      <w:lvlText w:val="%9."/>
      <w:lvlJc w:val="right"/>
      <w:pPr>
        <w:ind w:left="7470" w:hanging="180"/>
      </w:pPr>
    </w:lvl>
  </w:abstractNum>
  <w:abstractNum w:abstractNumId="11" w15:restartNumberingAfterBreak="0">
    <w:nsid w:val="1C760976"/>
    <w:multiLevelType w:val="hybridMultilevel"/>
    <w:tmpl w:val="47F045DC"/>
    <w:lvl w:ilvl="0" w:tplc="FC3AF9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D8D"/>
    <w:multiLevelType w:val="hybridMultilevel"/>
    <w:tmpl w:val="34BC7A60"/>
    <w:lvl w:ilvl="0" w:tplc="1409000F">
      <w:start w:val="1"/>
      <w:numFmt w:val="decimal"/>
      <w:lvlText w:val="%1."/>
      <w:lvlJc w:val="left"/>
      <w:pPr>
        <w:ind w:left="1710" w:hanging="360"/>
      </w:pPr>
    </w:lvl>
    <w:lvl w:ilvl="1" w:tplc="14090019" w:tentative="1">
      <w:start w:val="1"/>
      <w:numFmt w:val="lowerLetter"/>
      <w:lvlText w:val="%2."/>
      <w:lvlJc w:val="left"/>
      <w:pPr>
        <w:ind w:left="2430" w:hanging="360"/>
      </w:pPr>
    </w:lvl>
    <w:lvl w:ilvl="2" w:tplc="1409001B" w:tentative="1">
      <w:start w:val="1"/>
      <w:numFmt w:val="lowerRoman"/>
      <w:lvlText w:val="%3."/>
      <w:lvlJc w:val="right"/>
      <w:pPr>
        <w:ind w:left="3150" w:hanging="180"/>
      </w:pPr>
    </w:lvl>
    <w:lvl w:ilvl="3" w:tplc="1409000F" w:tentative="1">
      <w:start w:val="1"/>
      <w:numFmt w:val="decimal"/>
      <w:lvlText w:val="%4."/>
      <w:lvlJc w:val="left"/>
      <w:pPr>
        <w:ind w:left="3870" w:hanging="360"/>
      </w:pPr>
    </w:lvl>
    <w:lvl w:ilvl="4" w:tplc="14090019" w:tentative="1">
      <w:start w:val="1"/>
      <w:numFmt w:val="lowerLetter"/>
      <w:lvlText w:val="%5."/>
      <w:lvlJc w:val="left"/>
      <w:pPr>
        <w:ind w:left="4590" w:hanging="360"/>
      </w:pPr>
    </w:lvl>
    <w:lvl w:ilvl="5" w:tplc="1409001B" w:tentative="1">
      <w:start w:val="1"/>
      <w:numFmt w:val="lowerRoman"/>
      <w:lvlText w:val="%6."/>
      <w:lvlJc w:val="right"/>
      <w:pPr>
        <w:ind w:left="5310" w:hanging="180"/>
      </w:pPr>
    </w:lvl>
    <w:lvl w:ilvl="6" w:tplc="1409000F" w:tentative="1">
      <w:start w:val="1"/>
      <w:numFmt w:val="decimal"/>
      <w:lvlText w:val="%7."/>
      <w:lvlJc w:val="left"/>
      <w:pPr>
        <w:ind w:left="6030" w:hanging="360"/>
      </w:pPr>
    </w:lvl>
    <w:lvl w:ilvl="7" w:tplc="14090019" w:tentative="1">
      <w:start w:val="1"/>
      <w:numFmt w:val="lowerLetter"/>
      <w:lvlText w:val="%8."/>
      <w:lvlJc w:val="left"/>
      <w:pPr>
        <w:ind w:left="6750" w:hanging="360"/>
      </w:pPr>
    </w:lvl>
    <w:lvl w:ilvl="8" w:tplc="1409001B" w:tentative="1">
      <w:start w:val="1"/>
      <w:numFmt w:val="lowerRoman"/>
      <w:lvlText w:val="%9."/>
      <w:lvlJc w:val="right"/>
      <w:pPr>
        <w:ind w:left="7470" w:hanging="180"/>
      </w:pPr>
    </w:lvl>
  </w:abstractNum>
  <w:abstractNum w:abstractNumId="13" w15:restartNumberingAfterBreak="0">
    <w:nsid w:val="1F1B7C1D"/>
    <w:multiLevelType w:val="multilevel"/>
    <w:tmpl w:val="38601E1C"/>
    <w:lvl w:ilvl="0">
      <w:start w:val="1"/>
      <w:numFmt w:val="bullet"/>
      <w:lvlText w:val=""/>
      <w:lvlJc w:val="left"/>
      <w:pPr>
        <w:tabs>
          <w:tab w:val="num" w:pos="454"/>
        </w:tabs>
        <w:ind w:left="454" w:hanging="454"/>
      </w:pPr>
      <w:rPr>
        <w:rFonts w:ascii="Wingdings 2" w:hAnsi="Wingdings 2" w:hint="default"/>
        <w:color w:val="00755C"/>
        <w:position w:val="-6"/>
        <w:sz w:val="28"/>
        <w:szCs w:val="28"/>
      </w:rPr>
    </w:lvl>
    <w:lvl w:ilvl="1">
      <w:start w:val="1"/>
      <w:numFmt w:val="bullet"/>
      <w:lvlText w:val=""/>
      <w:lvlJc w:val="left"/>
      <w:pPr>
        <w:tabs>
          <w:tab w:val="num" w:pos="794"/>
        </w:tabs>
        <w:ind w:left="794" w:hanging="340"/>
      </w:pPr>
      <w:rPr>
        <w:rFonts w:ascii="Wingdings" w:hAnsi="Wingdings" w:hint="default"/>
        <w:color w:val="00755C"/>
        <w:sz w:val="24"/>
        <w:szCs w:val="2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0E94CA2"/>
    <w:multiLevelType w:val="hybridMultilevel"/>
    <w:tmpl w:val="52A61EC4"/>
    <w:lvl w:ilvl="0" w:tplc="37CAC2B6">
      <w:start w:val="1"/>
      <w:numFmt w:val="bullet"/>
      <w:lvlText w:val=""/>
      <w:lvlJc w:val="left"/>
      <w:pPr>
        <w:ind w:left="1710" w:hanging="360"/>
      </w:pPr>
      <w:rPr>
        <w:rFonts w:ascii="Symbol" w:hAnsi="Symbol" w:hint="default"/>
        <w:color w:val="0179BB"/>
        <w:sz w:val="20"/>
      </w:rPr>
    </w:lvl>
    <w:lvl w:ilvl="1" w:tplc="14090003" w:tentative="1">
      <w:start w:val="1"/>
      <w:numFmt w:val="bullet"/>
      <w:lvlText w:val="o"/>
      <w:lvlJc w:val="left"/>
      <w:pPr>
        <w:ind w:left="2430" w:hanging="360"/>
      </w:pPr>
      <w:rPr>
        <w:rFonts w:ascii="Courier New" w:hAnsi="Courier New" w:cs="Courier New" w:hint="default"/>
      </w:rPr>
    </w:lvl>
    <w:lvl w:ilvl="2" w:tplc="14090005" w:tentative="1">
      <w:start w:val="1"/>
      <w:numFmt w:val="bullet"/>
      <w:lvlText w:val=""/>
      <w:lvlJc w:val="left"/>
      <w:pPr>
        <w:ind w:left="3150" w:hanging="360"/>
      </w:pPr>
      <w:rPr>
        <w:rFonts w:ascii="Wingdings" w:hAnsi="Wingdings" w:hint="default"/>
      </w:rPr>
    </w:lvl>
    <w:lvl w:ilvl="3" w:tplc="14090001" w:tentative="1">
      <w:start w:val="1"/>
      <w:numFmt w:val="bullet"/>
      <w:lvlText w:val=""/>
      <w:lvlJc w:val="left"/>
      <w:pPr>
        <w:ind w:left="3870" w:hanging="360"/>
      </w:pPr>
      <w:rPr>
        <w:rFonts w:ascii="Symbol" w:hAnsi="Symbol" w:hint="default"/>
      </w:rPr>
    </w:lvl>
    <w:lvl w:ilvl="4" w:tplc="14090003" w:tentative="1">
      <w:start w:val="1"/>
      <w:numFmt w:val="bullet"/>
      <w:lvlText w:val="o"/>
      <w:lvlJc w:val="left"/>
      <w:pPr>
        <w:ind w:left="4590" w:hanging="360"/>
      </w:pPr>
      <w:rPr>
        <w:rFonts w:ascii="Courier New" w:hAnsi="Courier New" w:cs="Courier New" w:hint="default"/>
      </w:rPr>
    </w:lvl>
    <w:lvl w:ilvl="5" w:tplc="14090005" w:tentative="1">
      <w:start w:val="1"/>
      <w:numFmt w:val="bullet"/>
      <w:lvlText w:val=""/>
      <w:lvlJc w:val="left"/>
      <w:pPr>
        <w:ind w:left="5310" w:hanging="360"/>
      </w:pPr>
      <w:rPr>
        <w:rFonts w:ascii="Wingdings" w:hAnsi="Wingdings" w:hint="default"/>
      </w:rPr>
    </w:lvl>
    <w:lvl w:ilvl="6" w:tplc="14090001" w:tentative="1">
      <w:start w:val="1"/>
      <w:numFmt w:val="bullet"/>
      <w:lvlText w:val=""/>
      <w:lvlJc w:val="left"/>
      <w:pPr>
        <w:ind w:left="6030" w:hanging="360"/>
      </w:pPr>
      <w:rPr>
        <w:rFonts w:ascii="Symbol" w:hAnsi="Symbol" w:hint="default"/>
      </w:rPr>
    </w:lvl>
    <w:lvl w:ilvl="7" w:tplc="14090003" w:tentative="1">
      <w:start w:val="1"/>
      <w:numFmt w:val="bullet"/>
      <w:lvlText w:val="o"/>
      <w:lvlJc w:val="left"/>
      <w:pPr>
        <w:ind w:left="6750" w:hanging="360"/>
      </w:pPr>
      <w:rPr>
        <w:rFonts w:ascii="Courier New" w:hAnsi="Courier New" w:cs="Courier New" w:hint="default"/>
      </w:rPr>
    </w:lvl>
    <w:lvl w:ilvl="8" w:tplc="14090005" w:tentative="1">
      <w:start w:val="1"/>
      <w:numFmt w:val="bullet"/>
      <w:lvlText w:val=""/>
      <w:lvlJc w:val="left"/>
      <w:pPr>
        <w:ind w:left="7470" w:hanging="360"/>
      </w:pPr>
      <w:rPr>
        <w:rFonts w:ascii="Wingdings" w:hAnsi="Wingdings" w:hint="default"/>
      </w:rPr>
    </w:lvl>
  </w:abstractNum>
  <w:abstractNum w:abstractNumId="15" w15:restartNumberingAfterBreak="0">
    <w:nsid w:val="26D31374"/>
    <w:multiLevelType w:val="hybridMultilevel"/>
    <w:tmpl w:val="F9585ED4"/>
    <w:lvl w:ilvl="0" w:tplc="14090001">
      <w:start w:val="1"/>
      <w:numFmt w:val="bullet"/>
      <w:lvlText w:val=""/>
      <w:lvlJc w:val="left"/>
      <w:pPr>
        <w:ind w:left="1710" w:hanging="360"/>
      </w:pPr>
      <w:rPr>
        <w:rFonts w:ascii="Symbol" w:hAnsi="Symbol" w:hint="default"/>
      </w:rPr>
    </w:lvl>
    <w:lvl w:ilvl="1" w:tplc="14090003" w:tentative="1">
      <w:start w:val="1"/>
      <w:numFmt w:val="bullet"/>
      <w:lvlText w:val="o"/>
      <w:lvlJc w:val="left"/>
      <w:pPr>
        <w:ind w:left="2430" w:hanging="360"/>
      </w:pPr>
      <w:rPr>
        <w:rFonts w:ascii="Courier New" w:hAnsi="Courier New" w:cs="Courier New" w:hint="default"/>
      </w:rPr>
    </w:lvl>
    <w:lvl w:ilvl="2" w:tplc="14090005" w:tentative="1">
      <w:start w:val="1"/>
      <w:numFmt w:val="bullet"/>
      <w:lvlText w:val=""/>
      <w:lvlJc w:val="left"/>
      <w:pPr>
        <w:ind w:left="3150" w:hanging="360"/>
      </w:pPr>
      <w:rPr>
        <w:rFonts w:ascii="Wingdings" w:hAnsi="Wingdings" w:hint="default"/>
      </w:rPr>
    </w:lvl>
    <w:lvl w:ilvl="3" w:tplc="14090001" w:tentative="1">
      <w:start w:val="1"/>
      <w:numFmt w:val="bullet"/>
      <w:lvlText w:val=""/>
      <w:lvlJc w:val="left"/>
      <w:pPr>
        <w:ind w:left="3870" w:hanging="360"/>
      </w:pPr>
      <w:rPr>
        <w:rFonts w:ascii="Symbol" w:hAnsi="Symbol" w:hint="default"/>
      </w:rPr>
    </w:lvl>
    <w:lvl w:ilvl="4" w:tplc="14090003" w:tentative="1">
      <w:start w:val="1"/>
      <w:numFmt w:val="bullet"/>
      <w:lvlText w:val="o"/>
      <w:lvlJc w:val="left"/>
      <w:pPr>
        <w:ind w:left="4590" w:hanging="360"/>
      </w:pPr>
      <w:rPr>
        <w:rFonts w:ascii="Courier New" w:hAnsi="Courier New" w:cs="Courier New" w:hint="default"/>
      </w:rPr>
    </w:lvl>
    <w:lvl w:ilvl="5" w:tplc="14090005" w:tentative="1">
      <w:start w:val="1"/>
      <w:numFmt w:val="bullet"/>
      <w:lvlText w:val=""/>
      <w:lvlJc w:val="left"/>
      <w:pPr>
        <w:ind w:left="5310" w:hanging="360"/>
      </w:pPr>
      <w:rPr>
        <w:rFonts w:ascii="Wingdings" w:hAnsi="Wingdings" w:hint="default"/>
      </w:rPr>
    </w:lvl>
    <w:lvl w:ilvl="6" w:tplc="14090001" w:tentative="1">
      <w:start w:val="1"/>
      <w:numFmt w:val="bullet"/>
      <w:lvlText w:val=""/>
      <w:lvlJc w:val="left"/>
      <w:pPr>
        <w:ind w:left="6030" w:hanging="360"/>
      </w:pPr>
      <w:rPr>
        <w:rFonts w:ascii="Symbol" w:hAnsi="Symbol" w:hint="default"/>
      </w:rPr>
    </w:lvl>
    <w:lvl w:ilvl="7" w:tplc="14090003" w:tentative="1">
      <w:start w:val="1"/>
      <w:numFmt w:val="bullet"/>
      <w:lvlText w:val="o"/>
      <w:lvlJc w:val="left"/>
      <w:pPr>
        <w:ind w:left="6750" w:hanging="360"/>
      </w:pPr>
      <w:rPr>
        <w:rFonts w:ascii="Courier New" w:hAnsi="Courier New" w:cs="Courier New" w:hint="default"/>
      </w:rPr>
    </w:lvl>
    <w:lvl w:ilvl="8" w:tplc="14090005" w:tentative="1">
      <w:start w:val="1"/>
      <w:numFmt w:val="bullet"/>
      <w:lvlText w:val=""/>
      <w:lvlJc w:val="left"/>
      <w:pPr>
        <w:ind w:left="7470" w:hanging="360"/>
      </w:pPr>
      <w:rPr>
        <w:rFonts w:ascii="Wingdings" w:hAnsi="Wingdings" w:hint="default"/>
      </w:rPr>
    </w:lvl>
  </w:abstractNum>
  <w:abstractNum w:abstractNumId="16" w15:restartNumberingAfterBreak="0">
    <w:nsid w:val="27A64C0E"/>
    <w:multiLevelType w:val="multilevel"/>
    <w:tmpl w:val="DA102E66"/>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8E50D5"/>
    <w:multiLevelType w:val="hybridMultilevel"/>
    <w:tmpl w:val="83BEAF66"/>
    <w:lvl w:ilvl="0" w:tplc="B6FA449A">
      <w:start w:val="1"/>
      <w:numFmt w:val="decimal"/>
      <w:pStyle w:val="123list"/>
      <w:lvlText w:val="%1."/>
      <w:lvlJc w:val="left"/>
      <w:pPr>
        <w:ind w:left="1778"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3065446D"/>
    <w:multiLevelType w:val="hybridMultilevel"/>
    <w:tmpl w:val="BC300D90"/>
    <w:lvl w:ilvl="0" w:tplc="1409000F">
      <w:start w:val="1"/>
      <w:numFmt w:val="decimal"/>
      <w:lvlText w:val="%1."/>
      <w:lvlJc w:val="left"/>
      <w:pPr>
        <w:ind w:left="1778"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1C34ACD"/>
    <w:multiLevelType w:val="hybridMultilevel"/>
    <w:tmpl w:val="FE44012A"/>
    <w:lvl w:ilvl="0" w:tplc="253CB5E0">
      <w:start w:val="1"/>
      <w:numFmt w:val="bullet"/>
      <w:pStyle w:val="Bullets"/>
      <w:lvlText w:val=""/>
      <w:lvlJc w:val="left"/>
      <w:pPr>
        <w:ind w:left="2434" w:hanging="360"/>
      </w:pPr>
      <w:rPr>
        <w:rFonts w:ascii="Symbol" w:hAnsi="Symbol" w:hint="default"/>
        <w:color w:val="0179BB"/>
        <w:sz w:val="32"/>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20" w15:restartNumberingAfterBreak="0">
    <w:nsid w:val="33631587"/>
    <w:multiLevelType w:val="multilevel"/>
    <w:tmpl w:val="BD54F280"/>
    <w:lvl w:ilvl="0">
      <w:start w:val="1"/>
      <w:numFmt w:val="decimal"/>
      <w:pStyle w:val="Heading1"/>
      <w:lvlText w:val="%1"/>
      <w:lvlJc w:val="left"/>
      <w:pPr>
        <w:ind w:left="432" w:hanging="432"/>
      </w:pPr>
    </w:lvl>
    <w:lvl w:ilvl="1">
      <w:start w:val="1"/>
      <w:numFmt w:val="decimal"/>
      <w:pStyle w:val="Heading2"/>
      <w:lvlText w:val="%1.%2"/>
      <w:lvlJc w:val="left"/>
      <w:pPr>
        <w:ind w:left="2278" w:hanging="576"/>
      </w:pPr>
      <w:rPr>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4EB553C"/>
    <w:multiLevelType w:val="hybridMultilevel"/>
    <w:tmpl w:val="28B65266"/>
    <w:lvl w:ilvl="0" w:tplc="14090017">
      <w:start w:val="1"/>
      <w:numFmt w:val="lowerLetter"/>
      <w:lvlText w:val="%1)"/>
      <w:lvlJc w:val="left"/>
      <w:pPr>
        <w:ind w:left="1710" w:hanging="360"/>
      </w:pPr>
    </w:lvl>
    <w:lvl w:ilvl="1" w:tplc="14090019" w:tentative="1">
      <w:start w:val="1"/>
      <w:numFmt w:val="lowerLetter"/>
      <w:lvlText w:val="%2."/>
      <w:lvlJc w:val="left"/>
      <w:pPr>
        <w:ind w:left="2430" w:hanging="360"/>
      </w:pPr>
    </w:lvl>
    <w:lvl w:ilvl="2" w:tplc="1409001B">
      <w:start w:val="1"/>
      <w:numFmt w:val="lowerRoman"/>
      <w:lvlText w:val="%3."/>
      <w:lvlJc w:val="right"/>
      <w:pPr>
        <w:ind w:left="3150" w:hanging="180"/>
      </w:pPr>
    </w:lvl>
    <w:lvl w:ilvl="3" w:tplc="1409000F" w:tentative="1">
      <w:start w:val="1"/>
      <w:numFmt w:val="decimal"/>
      <w:lvlText w:val="%4."/>
      <w:lvlJc w:val="left"/>
      <w:pPr>
        <w:ind w:left="3870" w:hanging="360"/>
      </w:pPr>
    </w:lvl>
    <w:lvl w:ilvl="4" w:tplc="14090019" w:tentative="1">
      <w:start w:val="1"/>
      <w:numFmt w:val="lowerLetter"/>
      <w:lvlText w:val="%5."/>
      <w:lvlJc w:val="left"/>
      <w:pPr>
        <w:ind w:left="4590" w:hanging="360"/>
      </w:pPr>
    </w:lvl>
    <w:lvl w:ilvl="5" w:tplc="1409001B" w:tentative="1">
      <w:start w:val="1"/>
      <w:numFmt w:val="lowerRoman"/>
      <w:lvlText w:val="%6."/>
      <w:lvlJc w:val="right"/>
      <w:pPr>
        <w:ind w:left="5310" w:hanging="180"/>
      </w:pPr>
    </w:lvl>
    <w:lvl w:ilvl="6" w:tplc="1409000F" w:tentative="1">
      <w:start w:val="1"/>
      <w:numFmt w:val="decimal"/>
      <w:lvlText w:val="%7."/>
      <w:lvlJc w:val="left"/>
      <w:pPr>
        <w:ind w:left="6030" w:hanging="360"/>
      </w:pPr>
    </w:lvl>
    <w:lvl w:ilvl="7" w:tplc="14090019" w:tentative="1">
      <w:start w:val="1"/>
      <w:numFmt w:val="lowerLetter"/>
      <w:lvlText w:val="%8."/>
      <w:lvlJc w:val="left"/>
      <w:pPr>
        <w:ind w:left="6750" w:hanging="360"/>
      </w:pPr>
    </w:lvl>
    <w:lvl w:ilvl="8" w:tplc="1409001B" w:tentative="1">
      <w:start w:val="1"/>
      <w:numFmt w:val="lowerRoman"/>
      <w:lvlText w:val="%9."/>
      <w:lvlJc w:val="right"/>
      <w:pPr>
        <w:ind w:left="7470" w:hanging="180"/>
      </w:pPr>
    </w:lvl>
  </w:abstractNum>
  <w:abstractNum w:abstractNumId="22" w15:restartNumberingAfterBreak="0">
    <w:nsid w:val="36297D13"/>
    <w:multiLevelType w:val="hybridMultilevel"/>
    <w:tmpl w:val="57B8A0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75274BB"/>
    <w:multiLevelType w:val="hybridMultilevel"/>
    <w:tmpl w:val="ED0452F0"/>
    <w:lvl w:ilvl="0" w:tplc="6AB080DE">
      <w:start w:val="1"/>
      <w:numFmt w:val="bullet"/>
      <w:lvlText w:val=""/>
      <w:lvlJc w:val="left"/>
      <w:pPr>
        <w:ind w:left="720" w:hanging="360"/>
      </w:pPr>
      <w:rPr>
        <w:rFonts w:ascii="Symbol" w:hAnsi="Symbol"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05D5EA1"/>
    <w:multiLevelType w:val="hybridMultilevel"/>
    <w:tmpl w:val="1642272E"/>
    <w:lvl w:ilvl="0" w:tplc="1A0EF6CC">
      <w:start w:val="1"/>
      <w:numFmt w:val="decimal"/>
      <w:lvlText w:val="%1."/>
      <w:lvlJc w:val="left"/>
      <w:pPr>
        <w:ind w:left="1350" w:hanging="360"/>
      </w:pPr>
      <w:rPr>
        <w:rFonts w:hint="default"/>
        <w:color w:val="auto"/>
      </w:rPr>
    </w:lvl>
    <w:lvl w:ilvl="1" w:tplc="14090019">
      <w:start w:val="1"/>
      <w:numFmt w:val="lowerLetter"/>
      <w:lvlText w:val="%2."/>
      <w:lvlJc w:val="left"/>
      <w:pPr>
        <w:ind w:left="2070" w:hanging="360"/>
      </w:pPr>
    </w:lvl>
    <w:lvl w:ilvl="2" w:tplc="1409001B" w:tentative="1">
      <w:start w:val="1"/>
      <w:numFmt w:val="lowerRoman"/>
      <w:lvlText w:val="%3."/>
      <w:lvlJc w:val="right"/>
      <w:pPr>
        <w:ind w:left="2790" w:hanging="180"/>
      </w:pPr>
    </w:lvl>
    <w:lvl w:ilvl="3" w:tplc="1409000F" w:tentative="1">
      <w:start w:val="1"/>
      <w:numFmt w:val="decimal"/>
      <w:lvlText w:val="%4."/>
      <w:lvlJc w:val="left"/>
      <w:pPr>
        <w:ind w:left="3510" w:hanging="360"/>
      </w:pPr>
    </w:lvl>
    <w:lvl w:ilvl="4" w:tplc="14090019" w:tentative="1">
      <w:start w:val="1"/>
      <w:numFmt w:val="lowerLetter"/>
      <w:lvlText w:val="%5."/>
      <w:lvlJc w:val="left"/>
      <w:pPr>
        <w:ind w:left="4230" w:hanging="360"/>
      </w:pPr>
    </w:lvl>
    <w:lvl w:ilvl="5" w:tplc="1409001B" w:tentative="1">
      <w:start w:val="1"/>
      <w:numFmt w:val="lowerRoman"/>
      <w:lvlText w:val="%6."/>
      <w:lvlJc w:val="right"/>
      <w:pPr>
        <w:ind w:left="4950" w:hanging="180"/>
      </w:pPr>
    </w:lvl>
    <w:lvl w:ilvl="6" w:tplc="1409000F" w:tentative="1">
      <w:start w:val="1"/>
      <w:numFmt w:val="decimal"/>
      <w:lvlText w:val="%7."/>
      <w:lvlJc w:val="left"/>
      <w:pPr>
        <w:ind w:left="5670" w:hanging="360"/>
      </w:pPr>
    </w:lvl>
    <w:lvl w:ilvl="7" w:tplc="14090019" w:tentative="1">
      <w:start w:val="1"/>
      <w:numFmt w:val="lowerLetter"/>
      <w:lvlText w:val="%8."/>
      <w:lvlJc w:val="left"/>
      <w:pPr>
        <w:ind w:left="6390" w:hanging="360"/>
      </w:pPr>
    </w:lvl>
    <w:lvl w:ilvl="8" w:tplc="1409001B" w:tentative="1">
      <w:start w:val="1"/>
      <w:numFmt w:val="lowerRoman"/>
      <w:lvlText w:val="%9."/>
      <w:lvlJc w:val="right"/>
      <w:pPr>
        <w:ind w:left="7110" w:hanging="180"/>
      </w:pPr>
    </w:lvl>
  </w:abstractNum>
  <w:abstractNum w:abstractNumId="25" w15:restartNumberingAfterBreak="0">
    <w:nsid w:val="41F92381"/>
    <w:multiLevelType w:val="hybridMultilevel"/>
    <w:tmpl w:val="12220184"/>
    <w:lvl w:ilvl="0" w:tplc="7E4A4BAA">
      <w:start w:val="1"/>
      <w:numFmt w:val="lowerLetter"/>
      <w:pStyle w:val="abclist"/>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3727D9D"/>
    <w:multiLevelType w:val="hybridMultilevel"/>
    <w:tmpl w:val="6E44B366"/>
    <w:lvl w:ilvl="0" w:tplc="8BFE097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571193E"/>
    <w:multiLevelType w:val="hybridMultilevel"/>
    <w:tmpl w:val="C5F032FA"/>
    <w:lvl w:ilvl="0" w:tplc="EBD62770">
      <w:start w:val="1"/>
      <w:numFmt w:val="bullet"/>
      <w:lvlText w:val="•"/>
      <w:lvlJc w:val="left"/>
      <w:pPr>
        <w:tabs>
          <w:tab w:val="num" w:pos="785"/>
        </w:tabs>
        <w:ind w:left="785" w:hanging="360"/>
      </w:pPr>
      <w:rPr>
        <w:rFonts w:ascii="Arial" w:hAnsi="Arial" w:hint="default"/>
        <w:b w:val="0"/>
        <w:sz w:val="20"/>
        <w:szCs w:val="20"/>
      </w:rPr>
    </w:lvl>
    <w:lvl w:ilvl="1" w:tplc="6B5AF2C4" w:tentative="1">
      <w:start w:val="1"/>
      <w:numFmt w:val="bullet"/>
      <w:lvlText w:val="•"/>
      <w:lvlJc w:val="left"/>
      <w:pPr>
        <w:tabs>
          <w:tab w:val="num" w:pos="1440"/>
        </w:tabs>
        <w:ind w:left="1440" w:hanging="360"/>
      </w:pPr>
      <w:rPr>
        <w:rFonts w:ascii="Arial" w:hAnsi="Arial" w:hint="default"/>
      </w:rPr>
    </w:lvl>
    <w:lvl w:ilvl="2" w:tplc="DD5E1720" w:tentative="1">
      <w:start w:val="1"/>
      <w:numFmt w:val="bullet"/>
      <w:lvlText w:val="•"/>
      <w:lvlJc w:val="left"/>
      <w:pPr>
        <w:tabs>
          <w:tab w:val="num" w:pos="2160"/>
        </w:tabs>
        <w:ind w:left="2160" w:hanging="360"/>
      </w:pPr>
      <w:rPr>
        <w:rFonts w:ascii="Arial" w:hAnsi="Arial" w:hint="default"/>
      </w:rPr>
    </w:lvl>
    <w:lvl w:ilvl="3" w:tplc="896C5D16" w:tentative="1">
      <w:start w:val="1"/>
      <w:numFmt w:val="bullet"/>
      <w:lvlText w:val="•"/>
      <w:lvlJc w:val="left"/>
      <w:pPr>
        <w:tabs>
          <w:tab w:val="num" w:pos="2880"/>
        </w:tabs>
        <w:ind w:left="2880" w:hanging="360"/>
      </w:pPr>
      <w:rPr>
        <w:rFonts w:ascii="Arial" w:hAnsi="Arial" w:hint="default"/>
      </w:rPr>
    </w:lvl>
    <w:lvl w:ilvl="4" w:tplc="7570B700" w:tentative="1">
      <w:start w:val="1"/>
      <w:numFmt w:val="bullet"/>
      <w:lvlText w:val="•"/>
      <w:lvlJc w:val="left"/>
      <w:pPr>
        <w:tabs>
          <w:tab w:val="num" w:pos="3600"/>
        </w:tabs>
        <w:ind w:left="3600" w:hanging="360"/>
      </w:pPr>
      <w:rPr>
        <w:rFonts w:ascii="Arial" w:hAnsi="Arial" w:hint="default"/>
      </w:rPr>
    </w:lvl>
    <w:lvl w:ilvl="5" w:tplc="E8CED9A8" w:tentative="1">
      <w:start w:val="1"/>
      <w:numFmt w:val="bullet"/>
      <w:lvlText w:val="•"/>
      <w:lvlJc w:val="left"/>
      <w:pPr>
        <w:tabs>
          <w:tab w:val="num" w:pos="4320"/>
        </w:tabs>
        <w:ind w:left="4320" w:hanging="360"/>
      </w:pPr>
      <w:rPr>
        <w:rFonts w:ascii="Arial" w:hAnsi="Arial" w:hint="default"/>
      </w:rPr>
    </w:lvl>
    <w:lvl w:ilvl="6" w:tplc="A82E6A02" w:tentative="1">
      <w:start w:val="1"/>
      <w:numFmt w:val="bullet"/>
      <w:lvlText w:val="•"/>
      <w:lvlJc w:val="left"/>
      <w:pPr>
        <w:tabs>
          <w:tab w:val="num" w:pos="5040"/>
        </w:tabs>
        <w:ind w:left="5040" w:hanging="360"/>
      </w:pPr>
      <w:rPr>
        <w:rFonts w:ascii="Arial" w:hAnsi="Arial" w:hint="default"/>
      </w:rPr>
    </w:lvl>
    <w:lvl w:ilvl="7" w:tplc="2E003450" w:tentative="1">
      <w:start w:val="1"/>
      <w:numFmt w:val="bullet"/>
      <w:lvlText w:val="•"/>
      <w:lvlJc w:val="left"/>
      <w:pPr>
        <w:tabs>
          <w:tab w:val="num" w:pos="5760"/>
        </w:tabs>
        <w:ind w:left="5760" w:hanging="360"/>
      </w:pPr>
      <w:rPr>
        <w:rFonts w:ascii="Arial" w:hAnsi="Arial" w:hint="default"/>
      </w:rPr>
    </w:lvl>
    <w:lvl w:ilvl="8" w:tplc="59C2D6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D1475F"/>
    <w:multiLevelType w:val="hybridMultilevel"/>
    <w:tmpl w:val="7FD6A38A"/>
    <w:lvl w:ilvl="0" w:tplc="5AB07570">
      <w:start w:val="1"/>
      <w:numFmt w:val="lowerRoman"/>
      <w:lvlText w:val="%1)"/>
      <w:lvlJc w:val="left"/>
      <w:pPr>
        <w:ind w:left="2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C540B"/>
    <w:multiLevelType w:val="hybridMultilevel"/>
    <w:tmpl w:val="DD0489C4"/>
    <w:lvl w:ilvl="0" w:tplc="14090001">
      <w:start w:val="1"/>
      <w:numFmt w:val="bullet"/>
      <w:lvlText w:val=""/>
      <w:lvlJc w:val="left"/>
      <w:pPr>
        <w:ind w:left="2138" w:hanging="360"/>
      </w:pPr>
      <w:rPr>
        <w:rFonts w:ascii="Symbol" w:hAnsi="Symbol" w:hint="default"/>
      </w:rPr>
    </w:lvl>
    <w:lvl w:ilvl="1" w:tplc="14090003" w:tentative="1">
      <w:start w:val="1"/>
      <w:numFmt w:val="bullet"/>
      <w:lvlText w:val="o"/>
      <w:lvlJc w:val="left"/>
      <w:pPr>
        <w:ind w:left="2858" w:hanging="360"/>
      </w:pPr>
      <w:rPr>
        <w:rFonts w:ascii="Courier New" w:hAnsi="Courier New" w:cs="Courier New"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30" w15:restartNumberingAfterBreak="0">
    <w:nsid w:val="62F644D0"/>
    <w:multiLevelType w:val="hybridMultilevel"/>
    <w:tmpl w:val="24540608"/>
    <w:lvl w:ilvl="0" w:tplc="04090013">
      <w:start w:val="1"/>
      <w:numFmt w:val="upperRoman"/>
      <w:lvlText w:val="%1."/>
      <w:lvlJc w:val="right"/>
      <w:pPr>
        <w:ind w:left="2434" w:hanging="360"/>
      </w:p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31" w15:restartNumberingAfterBreak="0">
    <w:nsid w:val="69715D81"/>
    <w:multiLevelType w:val="hybridMultilevel"/>
    <w:tmpl w:val="CA3CF7C2"/>
    <w:lvl w:ilvl="0" w:tplc="14090001">
      <w:start w:val="1"/>
      <w:numFmt w:val="bullet"/>
      <w:lvlText w:val=""/>
      <w:lvlJc w:val="left"/>
      <w:pPr>
        <w:ind w:left="1710" w:hanging="360"/>
      </w:pPr>
      <w:rPr>
        <w:rFonts w:ascii="Symbol" w:hAnsi="Symbol" w:hint="default"/>
      </w:rPr>
    </w:lvl>
    <w:lvl w:ilvl="1" w:tplc="14090003" w:tentative="1">
      <w:start w:val="1"/>
      <w:numFmt w:val="bullet"/>
      <w:lvlText w:val="o"/>
      <w:lvlJc w:val="left"/>
      <w:pPr>
        <w:ind w:left="2430" w:hanging="360"/>
      </w:pPr>
      <w:rPr>
        <w:rFonts w:ascii="Courier New" w:hAnsi="Courier New" w:cs="Courier New" w:hint="default"/>
      </w:rPr>
    </w:lvl>
    <w:lvl w:ilvl="2" w:tplc="14090005" w:tentative="1">
      <w:start w:val="1"/>
      <w:numFmt w:val="bullet"/>
      <w:lvlText w:val=""/>
      <w:lvlJc w:val="left"/>
      <w:pPr>
        <w:ind w:left="3150" w:hanging="360"/>
      </w:pPr>
      <w:rPr>
        <w:rFonts w:ascii="Wingdings" w:hAnsi="Wingdings" w:hint="default"/>
      </w:rPr>
    </w:lvl>
    <w:lvl w:ilvl="3" w:tplc="14090001" w:tentative="1">
      <w:start w:val="1"/>
      <w:numFmt w:val="bullet"/>
      <w:lvlText w:val=""/>
      <w:lvlJc w:val="left"/>
      <w:pPr>
        <w:ind w:left="3870" w:hanging="360"/>
      </w:pPr>
      <w:rPr>
        <w:rFonts w:ascii="Symbol" w:hAnsi="Symbol" w:hint="default"/>
      </w:rPr>
    </w:lvl>
    <w:lvl w:ilvl="4" w:tplc="14090003" w:tentative="1">
      <w:start w:val="1"/>
      <w:numFmt w:val="bullet"/>
      <w:lvlText w:val="o"/>
      <w:lvlJc w:val="left"/>
      <w:pPr>
        <w:ind w:left="4590" w:hanging="360"/>
      </w:pPr>
      <w:rPr>
        <w:rFonts w:ascii="Courier New" w:hAnsi="Courier New" w:cs="Courier New" w:hint="default"/>
      </w:rPr>
    </w:lvl>
    <w:lvl w:ilvl="5" w:tplc="14090005" w:tentative="1">
      <w:start w:val="1"/>
      <w:numFmt w:val="bullet"/>
      <w:lvlText w:val=""/>
      <w:lvlJc w:val="left"/>
      <w:pPr>
        <w:ind w:left="5310" w:hanging="360"/>
      </w:pPr>
      <w:rPr>
        <w:rFonts w:ascii="Wingdings" w:hAnsi="Wingdings" w:hint="default"/>
      </w:rPr>
    </w:lvl>
    <w:lvl w:ilvl="6" w:tplc="14090001" w:tentative="1">
      <w:start w:val="1"/>
      <w:numFmt w:val="bullet"/>
      <w:lvlText w:val=""/>
      <w:lvlJc w:val="left"/>
      <w:pPr>
        <w:ind w:left="6030" w:hanging="360"/>
      </w:pPr>
      <w:rPr>
        <w:rFonts w:ascii="Symbol" w:hAnsi="Symbol" w:hint="default"/>
      </w:rPr>
    </w:lvl>
    <w:lvl w:ilvl="7" w:tplc="14090003" w:tentative="1">
      <w:start w:val="1"/>
      <w:numFmt w:val="bullet"/>
      <w:lvlText w:val="o"/>
      <w:lvlJc w:val="left"/>
      <w:pPr>
        <w:ind w:left="6750" w:hanging="360"/>
      </w:pPr>
      <w:rPr>
        <w:rFonts w:ascii="Courier New" w:hAnsi="Courier New" w:cs="Courier New" w:hint="default"/>
      </w:rPr>
    </w:lvl>
    <w:lvl w:ilvl="8" w:tplc="14090005" w:tentative="1">
      <w:start w:val="1"/>
      <w:numFmt w:val="bullet"/>
      <w:lvlText w:val=""/>
      <w:lvlJc w:val="left"/>
      <w:pPr>
        <w:ind w:left="7470" w:hanging="360"/>
      </w:pPr>
      <w:rPr>
        <w:rFonts w:ascii="Wingdings" w:hAnsi="Wingdings" w:hint="default"/>
      </w:rPr>
    </w:lvl>
  </w:abstractNum>
  <w:abstractNum w:abstractNumId="32" w15:restartNumberingAfterBreak="0">
    <w:nsid w:val="6AFC0499"/>
    <w:multiLevelType w:val="multilevel"/>
    <w:tmpl w:val="D0AE242A"/>
    <w:lvl w:ilvl="0">
      <w:start w:val="1"/>
      <w:numFmt w:val="decimal"/>
      <w:lvlText w:val="%1.0"/>
      <w:lvlJc w:val="left"/>
      <w:pPr>
        <w:tabs>
          <w:tab w:val="num" w:pos="794"/>
        </w:tabs>
        <w:ind w:left="794" w:hanging="79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6A5C8C"/>
    <w:multiLevelType w:val="hybridMultilevel"/>
    <w:tmpl w:val="0E7871C4"/>
    <w:lvl w:ilvl="0" w:tplc="3DFC58C0">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6F7662E6"/>
    <w:multiLevelType w:val="hybridMultilevel"/>
    <w:tmpl w:val="C444E76C"/>
    <w:lvl w:ilvl="0" w:tplc="1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202770F"/>
    <w:multiLevelType w:val="hybridMultilevel"/>
    <w:tmpl w:val="7D06EE46"/>
    <w:lvl w:ilvl="0" w:tplc="14090017">
      <w:start w:val="1"/>
      <w:numFmt w:val="lowerLetter"/>
      <w:lvlText w:val="%1)"/>
      <w:lvlJc w:val="left"/>
      <w:pPr>
        <w:ind w:left="1710" w:hanging="360"/>
      </w:pPr>
    </w:lvl>
    <w:lvl w:ilvl="1" w:tplc="14090019" w:tentative="1">
      <w:start w:val="1"/>
      <w:numFmt w:val="lowerLetter"/>
      <w:lvlText w:val="%2."/>
      <w:lvlJc w:val="left"/>
      <w:pPr>
        <w:ind w:left="2430" w:hanging="360"/>
      </w:pPr>
    </w:lvl>
    <w:lvl w:ilvl="2" w:tplc="14090017">
      <w:start w:val="1"/>
      <w:numFmt w:val="lowerLetter"/>
      <w:lvlText w:val="%3)"/>
      <w:lvlJc w:val="left"/>
      <w:pPr>
        <w:ind w:left="3150" w:hanging="180"/>
      </w:pPr>
    </w:lvl>
    <w:lvl w:ilvl="3" w:tplc="1409000F" w:tentative="1">
      <w:start w:val="1"/>
      <w:numFmt w:val="decimal"/>
      <w:lvlText w:val="%4."/>
      <w:lvlJc w:val="left"/>
      <w:pPr>
        <w:ind w:left="3870" w:hanging="360"/>
      </w:pPr>
    </w:lvl>
    <w:lvl w:ilvl="4" w:tplc="14090019" w:tentative="1">
      <w:start w:val="1"/>
      <w:numFmt w:val="lowerLetter"/>
      <w:lvlText w:val="%5."/>
      <w:lvlJc w:val="left"/>
      <w:pPr>
        <w:ind w:left="4590" w:hanging="360"/>
      </w:pPr>
    </w:lvl>
    <w:lvl w:ilvl="5" w:tplc="1409001B" w:tentative="1">
      <w:start w:val="1"/>
      <w:numFmt w:val="lowerRoman"/>
      <w:lvlText w:val="%6."/>
      <w:lvlJc w:val="right"/>
      <w:pPr>
        <w:ind w:left="5310" w:hanging="180"/>
      </w:pPr>
    </w:lvl>
    <w:lvl w:ilvl="6" w:tplc="1409000F" w:tentative="1">
      <w:start w:val="1"/>
      <w:numFmt w:val="decimal"/>
      <w:lvlText w:val="%7."/>
      <w:lvlJc w:val="left"/>
      <w:pPr>
        <w:ind w:left="6030" w:hanging="360"/>
      </w:pPr>
    </w:lvl>
    <w:lvl w:ilvl="7" w:tplc="14090019" w:tentative="1">
      <w:start w:val="1"/>
      <w:numFmt w:val="lowerLetter"/>
      <w:lvlText w:val="%8."/>
      <w:lvlJc w:val="left"/>
      <w:pPr>
        <w:ind w:left="6750" w:hanging="360"/>
      </w:pPr>
    </w:lvl>
    <w:lvl w:ilvl="8" w:tplc="1409001B" w:tentative="1">
      <w:start w:val="1"/>
      <w:numFmt w:val="lowerRoman"/>
      <w:lvlText w:val="%9."/>
      <w:lvlJc w:val="right"/>
      <w:pPr>
        <w:ind w:left="7470" w:hanging="180"/>
      </w:pPr>
    </w:lvl>
  </w:abstractNum>
  <w:abstractNum w:abstractNumId="36" w15:restartNumberingAfterBreak="0">
    <w:nsid w:val="77CE6CB2"/>
    <w:multiLevelType w:val="hybridMultilevel"/>
    <w:tmpl w:val="8D4C36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BE41A3B"/>
    <w:multiLevelType w:val="hybridMultilevel"/>
    <w:tmpl w:val="5A3AD4BE"/>
    <w:lvl w:ilvl="0" w:tplc="91D6435A">
      <w:start w:val="1"/>
      <w:numFmt w:val="decimal"/>
      <w:lvlText w:val="%1."/>
      <w:lvlJc w:val="left"/>
      <w:pPr>
        <w:ind w:left="1350" w:hanging="360"/>
      </w:pPr>
      <w:rPr>
        <w:rFonts w:hint="default"/>
      </w:rPr>
    </w:lvl>
    <w:lvl w:ilvl="1" w:tplc="14090019" w:tentative="1">
      <w:start w:val="1"/>
      <w:numFmt w:val="lowerLetter"/>
      <w:lvlText w:val="%2."/>
      <w:lvlJc w:val="left"/>
      <w:pPr>
        <w:ind w:left="2070" w:hanging="360"/>
      </w:pPr>
    </w:lvl>
    <w:lvl w:ilvl="2" w:tplc="1409001B" w:tentative="1">
      <w:start w:val="1"/>
      <w:numFmt w:val="lowerRoman"/>
      <w:lvlText w:val="%3."/>
      <w:lvlJc w:val="right"/>
      <w:pPr>
        <w:ind w:left="2790" w:hanging="180"/>
      </w:pPr>
    </w:lvl>
    <w:lvl w:ilvl="3" w:tplc="1409000F" w:tentative="1">
      <w:start w:val="1"/>
      <w:numFmt w:val="decimal"/>
      <w:lvlText w:val="%4."/>
      <w:lvlJc w:val="left"/>
      <w:pPr>
        <w:ind w:left="3510" w:hanging="360"/>
      </w:pPr>
    </w:lvl>
    <w:lvl w:ilvl="4" w:tplc="14090019" w:tentative="1">
      <w:start w:val="1"/>
      <w:numFmt w:val="lowerLetter"/>
      <w:lvlText w:val="%5."/>
      <w:lvlJc w:val="left"/>
      <w:pPr>
        <w:ind w:left="4230" w:hanging="360"/>
      </w:pPr>
    </w:lvl>
    <w:lvl w:ilvl="5" w:tplc="1409001B" w:tentative="1">
      <w:start w:val="1"/>
      <w:numFmt w:val="lowerRoman"/>
      <w:lvlText w:val="%6."/>
      <w:lvlJc w:val="right"/>
      <w:pPr>
        <w:ind w:left="4950" w:hanging="180"/>
      </w:pPr>
    </w:lvl>
    <w:lvl w:ilvl="6" w:tplc="1409000F" w:tentative="1">
      <w:start w:val="1"/>
      <w:numFmt w:val="decimal"/>
      <w:lvlText w:val="%7."/>
      <w:lvlJc w:val="left"/>
      <w:pPr>
        <w:ind w:left="5670" w:hanging="360"/>
      </w:pPr>
    </w:lvl>
    <w:lvl w:ilvl="7" w:tplc="14090019" w:tentative="1">
      <w:start w:val="1"/>
      <w:numFmt w:val="lowerLetter"/>
      <w:lvlText w:val="%8."/>
      <w:lvlJc w:val="left"/>
      <w:pPr>
        <w:ind w:left="6390" w:hanging="360"/>
      </w:pPr>
    </w:lvl>
    <w:lvl w:ilvl="8" w:tplc="1409001B" w:tentative="1">
      <w:start w:val="1"/>
      <w:numFmt w:val="lowerRoman"/>
      <w:lvlText w:val="%9."/>
      <w:lvlJc w:val="right"/>
      <w:pPr>
        <w:ind w:left="7110" w:hanging="180"/>
      </w:pPr>
    </w:lvl>
  </w:abstractNum>
  <w:abstractNum w:abstractNumId="38" w15:restartNumberingAfterBreak="0">
    <w:nsid w:val="7EF72328"/>
    <w:multiLevelType w:val="hybridMultilevel"/>
    <w:tmpl w:val="C2720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8"/>
  </w:num>
  <w:num w:numId="7">
    <w:abstractNumId w:val="19"/>
  </w:num>
  <w:num w:numId="8">
    <w:abstractNumId w:val="30"/>
  </w:num>
  <w:num w:numId="9">
    <w:abstractNumId w:val="9"/>
  </w:num>
  <w:num w:numId="10">
    <w:abstractNumId w:val="25"/>
  </w:num>
  <w:num w:numId="11">
    <w:abstractNumId w:val="28"/>
  </w:num>
  <w:num w:numId="12">
    <w:abstractNumId w:val="1"/>
  </w:num>
  <w:num w:numId="13">
    <w:abstractNumId w:val="25"/>
    <w:lvlOverride w:ilvl="0">
      <w:startOverride w:val="1"/>
    </w:lvlOverride>
  </w:num>
  <w:num w:numId="14">
    <w:abstractNumId w:val="33"/>
  </w:num>
  <w:num w:numId="15">
    <w:abstractNumId w:val="38"/>
  </w:num>
  <w:num w:numId="16">
    <w:abstractNumId w:val="23"/>
  </w:num>
  <w:num w:numId="17">
    <w:abstractNumId w:val="36"/>
  </w:num>
  <w:num w:numId="18">
    <w:abstractNumId w:val="27"/>
  </w:num>
  <w:num w:numId="19">
    <w:abstractNumId w:val="32"/>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num>
  <w:num w:numId="24">
    <w:abstractNumId w:val="35"/>
  </w:num>
  <w:num w:numId="25">
    <w:abstractNumId w:val="26"/>
  </w:num>
  <w:num w:numId="26">
    <w:abstractNumId w:val="17"/>
  </w:num>
  <w:num w:numId="27">
    <w:abstractNumId w:val="10"/>
  </w:num>
  <w:num w:numId="28">
    <w:abstractNumId w:val="3"/>
  </w:num>
  <w:num w:numId="29">
    <w:abstractNumId w:val="4"/>
  </w:num>
  <w:num w:numId="30">
    <w:abstractNumId w:val="22"/>
  </w:num>
  <w:num w:numId="31">
    <w:abstractNumId w:val="13"/>
  </w:num>
  <w:num w:numId="32">
    <w:abstractNumId w:val="15"/>
  </w:num>
  <w:num w:numId="33">
    <w:abstractNumId w:val="6"/>
  </w:num>
  <w:num w:numId="34">
    <w:abstractNumId w:val="37"/>
  </w:num>
  <w:num w:numId="35">
    <w:abstractNumId w:val="24"/>
  </w:num>
  <w:num w:numId="36">
    <w:abstractNumId w:val="29"/>
  </w:num>
  <w:num w:numId="37">
    <w:abstractNumId w:val="14"/>
  </w:num>
  <w:num w:numId="38">
    <w:abstractNumId w:val="2"/>
  </w:num>
  <w:num w:numId="39">
    <w:abstractNumId w:val="5"/>
  </w:num>
  <w:num w:numId="40">
    <w:abstractNumId w:val="31"/>
  </w:num>
  <w:num w:numId="41">
    <w:abstractNumId w:val="9"/>
  </w:num>
  <w:num w:numId="42">
    <w:abstractNumId w:val="17"/>
    <w:lvlOverride w:ilvl="0">
      <w:startOverride w:val="1"/>
    </w:lvlOverride>
  </w:num>
  <w:num w:numId="43">
    <w:abstractNumId w:val="17"/>
    <w:lvlOverride w:ilvl="0">
      <w:startOverride w:val="1"/>
    </w:lvlOverride>
  </w:num>
  <w:num w:numId="44">
    <w:abstractNumId w:val="9"/>
  </w:num>
  <w:num w:numId="45">
    <w:abstractNumId w:val="17"/>
    <w:lvlOverride w:ilvl="0">
      <w:startOverride w:val="1"/>
    </w:lvlOverride>
  </w:num>
  <w:num w:numId="46">
    <w:abstractNumId w:val="34"/>
  </w:num>
  <w:num w:numId="47">
    <w:abstractNumId w:val="18"/>
  </w:num>
  <w:num w:numId="48">
    <w:abstractNumId w:val="12"/>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9A"/>
    <w:rsid w:val="00002585"/>
    <w:rsid w:val="00002CCA"/>
    <w:rsid w:val="000034BA"/>
    <w:rsid w:val="0000455C"/>
    <w:rsid w:val="000069A9"/>
    <w:rsid w:val="00006E5D"/>
    <w:rsid w:val="000104CE"/>
    <w:rsid w:val="00010AFA"/>
    <w:rsid w:val="000110CA"/>
    <w:rsid w:val="00011305"/>
    <w:rsid w:val="0001271B"/>
    <w:rsid w:val="00012A42"/>
    <w:rsid w:val="00012C71"/>
    <w:rsid w:val="00012F59"/>
    <w:rsid w:val="000130CE"/>
    <w:rsid w:val="00013657"/>
    <w:rsid w:val="000167DC"/>
    <w:rsid w:val="00020BCC"/>
    <w:rsid w:val="00021C93"/>
    <w:rsid w:val="00024F5C"/>
    <w:rsid w:val="00025BFF"/>
    <w:rsid w:val="000261F3"/>
    <w:rsid w:val="000268D9"/>
    <w:rsid w:val="00027649"/>
    <w:rsid w:val="00030605"/>
    <w:rsid w:val="000311D3"/>
    <w:rsid w:val="00031316"/>
    <w:rsid w:val="0003414C"/>
    <w:rsid w:val="00035291"/>
    <w:rsid w:val="00036325"/>
    <w:rsid w:val="00036ED0"/>
    <w:rsid w:val="00037E12"/>
    <w:rsid w:val="000402ED"/>
    <w:rsid w:val="00041F9E"/>
    <w:rsid w:val="00042283"/>
    <w:rsid w:val="00042EF3"/>
    <w:rsid w:val="00043B93"/>
    <w:rsid w:val="00043C62"/>
    <w:rsid w:val="0004716F"/>
    <w:rsid w:val="00047F34"/>
    <w:rsid w:val="000518F9"/>
    <w:rsid w:val="00052605"/>
    <w:rsid w:val="0005686C"/>
    <w:rsid w:val="00057949"/>
    <w:rsid w:val="000579F7"/>
    <w:rsid w:val="00057C0D"/>
    <w:rsid w:val="000605DD"/>
    <w:rsid w:val="00060D61"/>
    <w:rsid w:val="000617AF"/>
    <w:rsid w:val="00065A1E"/>
    <w:rsid w:val="00066479"/>
    <w:rsid w:val="00066F05"/>
    <w:rsid w:val="00067149"/>
    <w:rsid w:val="0006790C"/>
    <w:rsid w:val="0007088C"/>
    <w:rsid w:val="000738FE"/>
    <w:rsid w:val="00074CEA"/>
    <w:rsid w:val="00074EDA"/>
    <w:rsid w:val="000752C0"/>
    <w:rsid w:val="00075635"/>
    <w:rsid w:val="00080037"/>
    <w:rsid w:val="00081AD9"/>
    <w:rsid w:val="00082567"/>
    <w:rsid w:val="00082F2F"/>
    <w:rsid w:val="000837FE"/>
    <w:rsid w:val="00083AA2"/>
    <w:rsid w:val="00084D9C"/>
    <w:rsid w:val="00085123"/>
    <w:rsid w:val="00085362"/>
    <w:rsid w:val="000907BE"/>
    <w:rsid w:val="00090AFD"/>
    <w:rsid w:val="00090C7C"/>
    <w:rsid w:val="000914AD"/>
    <w:rsid w:val="0009290A"/>
    <w:rsid w:val="00092B85"/>
    <w:rsid w:val="0009496D"/>
    <w:rsid w:val="000950BA"/>
    <w:rsid w:val="000950F7"/>
    <w:rsid w:val="000A4A04"/>
    <w:rsid w:val="000A4F08"/>
    <w:rsid w:val="000A61FB"/>
    <w:rsid w:val="000A6540"/>
    <w:rsid w:val="000A7447"/>
    <w:rsid w:val="000B00B2"/>
    <w:rsid w:val="000B1583"/>
    <w:rsid w:val="000B3796"/>
    <w:rsid w:val="000B4402"/>
    <w:rsid w:val="000B6021"/>
    <w:rsid w:val="000B6A55"/>
    <w:rsid w:val="000C2143"/>
    <w:rsid w:val="000C399B"/>
    <w:rsid w:val="000C488B"/>
    <w:rsid w:val="000C4A36"/>
    <w:rsid w:val="000C720D"/>
    <w:rsid w:val="000D0C4A"/>
    <w:rsid w:val="000D0E73"/>
    <w:rsid w:val="000D1829"/>
    <w:rsid w:val="000D263A"/>
    <w:rsid w:val="000D5AA8"/>
    <w:rsid w:val="000D6997"/>
    <w:rsid w:val="000D6D73"/>
    <w:rsid w:val="000D708A"/>
    <w:rsid w:val="000D7FF0"/>
    <w:rsid w:val="000E0AAC"/>
    <w:rsid w:val="000E1286"/>
    <w:rsid w:val="000E13C6"/>
    <w:rsid w:val="000E154B"/>
    <w:rsid w:val="000E1D3C"/>
    <w:rsid w:val="000E3C4E"/>
    <w:rsid w:val="000E40D8"/>
    <w:rsid w:val="000E45C1"/>
    <w:rsid w:val="000E546F"/>
    <w:rsid w:val="000E6BAE"/>
    <w:rsid w:val="000E766F"/>
    <w:rsid w:val="000E7D31"/>
    <w:rsid w:val="000F0D14"/>
    <w:rsid w:val="000F30F1"/>
    <w:rsid w:val="000F3C28"/>
    <w:rsid w:val="000F5F5E"/>
    <w:rsid w:val="000F60FB"/>
    <w:rsid w:val="000F6F9F"/>
    <w:rsid w:val="00100476"/>
    <w:rsid w:val="00102B7D"/>
    <w:rsid w:val="001031E2"/>
    <w:rsid w:val="0010375A"/>
    <w:rsid w:val="001048C4"/>
    <w:rsid w:val="00104E7D"/>
    <w:rsid w:val="00105283"/>
    <w:rsid w:val="00106527"/>
    <w:rsid w:val="00106A55"/>
    <w:rsid w:val="0010764C"/>
    <w:rsid w:val="00107C7A"/>
    <w:rsid w:val="0011303A"/>
    <w:rsid w:val="00113512"/>
    <w:rsid w:val="00115524"/>
    <w:rsid w:val="0011740F"/>
    <w:rsid w:val="00121697"/>
    <w:rsid w:val="00121C59"/>
    <w:rsid w:val="001237BC"/>
    <w:rsid w:val="00124D7E"/>
    <w:rsid w:val="00126302"/>
    <w:rsid w:val="001306AB"/>
    <w:rsid w:val="00130E40"/>
    <w:rsid w:val="00132C3C"/>
    <w:rsid w:val="00135832"/>
    <w:rsid w:val="00135AC8"/>
    <w:rsid w:val="00136608"/>
    <w:rsid w:val="001408D5"/>
    <w:rsid w:val="0014209D"/>
    <w:rsid w:val="00142451"/>
    <w:rsid w:val="00143D04"/>
    <w:rsid w:val="00143E02"/>
    <w:rsid w:val="0014565A"/>
    <w:rsid w:val="001473A6"/>
    <w:rsid w:val="00147BF1"/>
    <w:rsid w:val="0015013B"/>
    <w:rsid w:val="00150688"/>
    <w:rsid w:val="0015078E"/>
    <w:rsid w:val="0015093C"/>
    <w:rsid w:val="0015579D"/>
    <w:rsid w:val="00156B57"/>
    <w:rsid w:val="0016208B"/>
    <w:rsid w:val="00162BF3"/>
    <w:rsid w:val="00162D07"/>
    <w:rsid w:val="001639F5"/>
    <w:rsid w:val="00163F17"/>
    <w:rsid w:val="00164B4B"/>
    <w:rsid w:val="00165C74"/>
    <w:rsid w:val="00165C9F"/>
    <w:rsid w:val="001669B3"/>
    <w:rsid w:val="001710D6"/>
    <w:rsid w:val="001714B6"/>
    <w:rsid w:val="00171BE4"/>
    <w:rsid w:val="001753B6"/>
    <w:rsid w:val="00175744"/>
    <w:rsid w:val="00176204"/>
    <w:rsid w:val="00177CE6"/>
    <w:rsid w:val="00177FAE"/>
    <w:rsid w:val="00184033"/>
    <w:rsid w:val="00184354"/>
    <w:rsid w:val="0018633A"/>
    <w:rsid w:val="0018661E"/>
    <w:rsid w:val="00186AC1"/>
    <w:rsid w:val="00186C8F"/>
    <w:rsid w:val="00187086"/>
    <w:rsid w:val="00191193"/>
    <w:rsid w:val="001919E5"/>
    <w:rsid w:val="00191CA5"/>
    <w:rsid w:val="0019216F"/>
    <w:rsid w:val="00192E3F"/>
    <w:rsid w:val="001969AF"/>
    <w:rsid w:val="00196BC2"/>
    <w:rsid w:val="00197E47"/>
    <w:rsid w:val="001A0B15"/>
    <w:rsid w:val="001A32D6"/>
    <w:rsid w:val="001A32FC"/>
    <w:rsid w:val="001A487E"/>
    <w:rsid w:val="001A50E6"/>
    <w:rsid w:val="001A575E"/>
    <w:rsid w:val="001A6B7D"/>
    <w:rsid w:val="001A6DFF"/>
    <w:rsid w:val="001A772E"/>
    <w:rsid w:val="001B009B"/>
    <w:rsid w:val="001B0607"/>
    <w:rsid w:val="001B67F2"/>
    <w:rsid w:val="001B68EB"/>
    <w:rsid w:val="001B7691"/>
    <w:rsid w:val="001B7DB5"/>
    <w:rsid w:val="001B7E3B"/>
    <w:rsid w:val="001C02B3"/>
    <w:rsid w:val="001C04B4"/>
    <w:rsid w:val="001C0646"/>
    <w:rsid w:val="001C13A0"/>
    <w:rsid w:val="001C411C"/>
    <w:rsid w:val="001C42B9"/>
    <w:rsid w:val="001C4743"/>
    <w:rsid w:val="001C54A5"/>
    <w:rsid w:val="001C6013"/>
    <w:rsid w:val="001D0B8D"/>
    <w:rsid w:val="001D1120"/>
    <w:rsid w:val="001D144B"/>
    <w:rsid w:val="001D177D"/>
    <w:rsid w:val="001D18DA"/>
    <w:rsid w:val="001D30D1"/>
    <w:rsid w:val="001D4927"/>
    <w:rsid w:val="001D781D"/>
    <w:rsid w:val="001E1238"/>
    <w:rsid w:val="001E2B04"/>
    <w:rsid w:val="001E3370"/>
    <w:rsid w:val="001E4696"/>
    <w:rsid w:val="001E5E67"/>
    <w:rsid w:val="001E66EF"/>
    <w:rsid w:val="001E7FDA"/>
    <w:rsid w:val="001F0573"/>
    <w:rsid w:val="001F0792"/>
    <w:rsid w:val="001F1019"/>
    <w:rsid w:val="001F3642"/>
    <w:rsid w:val="001F3F02"/>
    <w:rsid w:val="001F4E58"/>
    <w:rsid w:val="001F6A52"/>
    <w:rsid w:val="001F6DC1"/>
    <w:rsid w:val="001F7D9B"/>
    <w:rsid w:val="0020183A"/>
    <w:rsid w:val="00204CAA"/>
    <w:rsid w:val="002065DC"/>
    <w:rsid w:val="00206E58"/>
    <w:rsid w:val="00207B3A"/>
    <w:rsid w:val="002107CD"/>
    <w:rsid w:val="00215C9E"/>
    <w:rsid w:val="002162EC"/>
    <w:rsid w:val="0021637C"/>
    <w:rsid w:val="00216537"/>
    <w:rsid w:val="00223DD2"/>
    <w:rsid w:val="002241E9"/>
    <w:rsid w:val="00226231"/>
    <w:rsid w:val="00226585"/>
    <w:rsid w:val="00226868"/>
    <w:rsid w:val="002276A0"/>
    <w:rsid w:val="00231CE4"/>
    <w:rsid w:val="002323F9"/>
    <w:rsid w:val="00232E5F"/>
    <w:rsid w:val="002330C8"/>
    <w:rsid w:val="002330DD"/>
    <w:rsid w:val="00233D59"/>
    <w:rsid w:val="00236641"/>
    <w:rsid w:val="00236D63"/>
    <w:rsid w:val="0024036F"/>
    <w:rsid w:val="00240469"/>
    <w:rsid w:val="00242637"/>
    <w:rsid w:val="002438D3"/>
    <w:rsid w:val="00244274"/>
    <w:rsid w:val="0024499A"/>
    <w:rsid w:val="00245793"/>
    <w:rsid w:val="0024585F"/>
    <w:rsid w:val="002461E0"/>
    <w:rsid w:val="0024671A"/>
    <w:rsid w:val="0024689C"/>
    <w:rsid w:val="00250286"/>
    <w:rsid w:val="00251D96"/>
    <w:rsid w:val="00252AFF"/>
    <w:rsid w:val="00253A97"/>
    <w:rsid w:val="00253C4C"/>
    <w:rsid w:val="00253E1C"/>
    <w:rsid w:val="00254C41"/>
    <w:rsid w:val="002551C7"/>
    <w:rsid w:val="00255B68"/>
    <w:rsid w:val="0025796D"/>
    <w:rsid w:val="002607A2"/>
    <w:rsid w:val="0026080A"/>
    <w:rsid w:val="00260D71"/>
    <w:rsid w:val="0026145B"/>
    <w:rsid w:val="002661B5"/>
    <w:rsid w:val="00270764"/>
    <w:rsid w:val="002716AD"/>
    <w:rsid w:val="00272B52"/>
    <w:rsid w:val="00273646"/>
    <w:rsid w:val="00274320"/>
    <w:rsid w:val="0027572A"/>
    <w:rsid w:val="00276B20"/>
    <w:rsid w:val="0027718B"/>
    <w:rsid w:val="0027781C"/>
    <w:rsid w:val="00277C95"/>
    <w:rsid w:val="00280432"/>
    <w:rsid w:val="00281379"/>
    <w:rsid w:val="00282712"/>
    <w:rsid w:val="002837B8"/>
    <w:rsid w:val="00284265"/>
    <w:rsid w:val="00285247"/>
    <w:rsid w:val="00286CD8"/>
    <w:rsid w:val="00287EDF"/>
    <w:rsid w:val="002910BF"/>
    <w:rsid w:val="002921AF"/>
    <w:rsid w:val="00292EDC"/>
    <w:rsid w:val="002932D4"/>
    <w:rsid w:val="00294E78"/>
    <w:rsid w:val="00294FDD"/>
    <w:rsid w:val="00295203"/>
    <w:rsid w:val="00297094"/>
    <w:rsid w:val="002A004D"/>
    <w:rsid w:val="002A4DF1"/>
    <w:rsid w:val="002A5568"/>
    <w:rsid w:val="002A784A"/>
    <w:rsid w:val="002A7A28"/>
    <w:rsid w:val="002B2C04"/>
    <w:rsid w:val="002C1EA0"/>
    <w:rsid w:val="002C35DA"/>
    <w:rsid w:val="002C3C50"/>
    <w:rsid w:val="002C423C"/>
    <w:rsid w:val="002D08EA"/>
    <w:rsid w:val="002D487E"/>
    <w:rsid w:val="002D4970"/>
    <w:rsid w:val="002D5840"/>
    <w:rsid w:val="002D7290"/>
    <w:rsid w:val="002D7785"/>
    <w:rsid w:val="002E2275"/>
    <w:rsid w:val="002E23CD"/>
    <w:rsid w:val="002E439B"/>
    <w:rsid w:val="002F03C8"/>
    <w:rsid w:val="002F2F19"/>
    <w:rsid w:val="002F3D65"/>
    <w:rsid w:val="002F43B5"/>
    <w:rsid w:val="002F444B"/>
    <w:rsid w:val="002F6016"/>
    <w:rsid w:val="002F67E7"/>
    <w:rsid w:val="002F71E1"/>
    <w:rsid w:val="002F76F6"/>
    <w:rsid w:val="002F793A"/>
    <w:rsid w:val="00300EDD"/>
    <w:rsid w:val="003010B5"/>
    <w:rsid w:val="003015C3"/>
    <w:rsid w:val="003028B1"/>
    <w:rsid w:val="00306200"/>
    <w:rsid w:val="003076D1"/>
    <w:rsid w:val="003141D3"/>
    <w:rsid w:val="003141EF"/>
    <w:rsid w:val="0031460E"/>
    <w:rsid w:val="00317ACF"/>
    <w:rsid w:val="0032010F"/>
    <w:rsid w:val="00321CC7"/>
    <w:rsid w:val="003223F1"/>
    <w:rsid w:val="00324091"/>
    <w:rsid w:val="00324D45"/>
    <w:rsid w:val="00326555"/>
    <w:rsid w:val="00326CA6"/>
    <w:rsid w:val="00326D00"/>
    <w:rsid w:val="0032711A"/>
    <w:rsid w:val="00330693"/>
    <w:rsid w:val="00332233"/>
    <w:rsid w:val="003322CB"/>
    <w:rsid w:val="0033250F"/>
    <w:rsid w:val="00332AF9"/>
    <w:rsid w:val="00334954"/>
    <w:rsid w:val="003350E7"/>
    <w:rsid w:val="00335186"/>
    <w:rsid w:val="0033519B"/>
    <w:rsid w:val="003356B8"/>
    <w:rsid w:val="00336903"/>
    <w:rsid w:val="003400CE"/>
    <w:rsid w:val="003402D1"/>
    <w:rsid w:val="003404C8"/>
    <w:rsid w:val="00340B05"/>
    <w:rsid w:val="00340C26"/>
    <w:rsid w:val="00340E14"/>
    <w:rsid w:val="00341591"/>
    <w:rsid w:val="003422C7"/>
    <w:rsid w:val="00345206"/>
    <w:rsid w:val="00346968"/>
    <w:rsid w:val="003470EF"/>
    <w:rsid w:val="00351604"/>
    <w:rsid w:val="0035186B"/>
    <w:rsid w:val="00352D85"/>
    <w:rsid w:val="00352D9A"/>
    <w:rsid w:val="00353018"/>
    <w:rsid w:val="003538F7"/>
    <w:rsid w:val="00353E80"/>
    <w:rsid w:val="0035458B"/>
    <w:rsid w:val="00356100"/>
    <w:rsid w:val="0035719F"/>
    <w:rsid w:val="00357BB4"/>
    <w:rsid w:val="00357DDD"/>
    <w:rsid w:val="00360188"/>
    <w:rsid w:val="003605DC"/>
    <w:rsid w:val="00361D40"/>
    <w:rsid w:val="0036258A"/>
    <w:rsid w:val="00363189"/>
    <w:rsid w:val="00363C8C"/>
    <w:rsid w:val="00363D6B"/>
    <w:rsid w:val="003640CC"/>
    <w:rsid w:val="00364377"/>
    <w:rsid w:val="00364928"/>
    <w:rsid w:val="00365C93"/>
    <w:rsid w:val="00367377"/>
    <w:rsid w:val="003674B3"/>
    <w:rsid w:val="003679E4"/>
    <w:rsid w:val="00370AC7"/>
    <w:rsid w:val="00372285"/>
    <w:rsid w:val="003723BE"/>
    <w:rsid w:val="00372B10"/>
    <w:rsid w:val="0037430D"/>
    <w:rsid w:val="003744F1"/>
    <w:rsid w:val="00375AFF"/>
    <w:rsid w:val="00380820"/>
    <w:rsid w:val="00381199"/>
    <w:rsid w:val="003832B5"/>
    <w:rsid w:val="00384611"/>
    <w:rsid w:val="00385A3A"/>
    <w:rsid w:val="0039032B"/>
    <w:rsid w:val="00393078"/>
    <w:rsid w:val="00393D22"/>
    <w:rsid w:val="00395D06"/>
    <w:rsid w:val="003968D5"/>
    <w:rsid w:val="00397470"/>
    <w:rsid w:val="003A1BCC"/>
    <w:rsid w:val="003A233C"/>
    <w:rsid w:val="003A29A1"/>
    <w:rsid w:val="003A3D88"/>
    <w:rsid w:val="003A424F"/>
    <w:rsid w:val="003A4769"/>
    <w:rsid w:val="003A4BEE"/>
    <w:rsid w:val="003A5D29"/>
    <w:rsid w:val="003B0169"/>
    <w:rsid w:val="003B07BB"/>
    <w:rsid w:val="003B1A29"/>
    <w:rsid w:val="003B5D32"/>
    <w:rsid w:val="003B6E67"/>
    <w:rsid w:val="003B717B"/>
    <w:rsid w:val="003B76F1"/>
    <w:rsid w:val="003C19E4"/>
    <w:rsid w:val="003C1B68"/>
    <w:rsid w:val="003C3D16"/>
    <w:rsid w:val="003C5225"/>
    <w:rsid w:val="003C7465"/>
    <w:rsid w:val="003C7634"/>
    <w:rsid w:val="003D0E12"/>
    <w:rsid w:val="003D4AD0"/>
    <w:rsid w:val="003D4F0A"/>
    <w:rsid w:val="003D57A4"/>
    <w:rsid w:val="003D61EE"/>
    <w:rsid w:val="003D6582"/>
    <w:rsid w:val="003D6BF9"/>
    <w:rsid w:val="003D7A95"/>
    <w:rsid w:val="003E0E4D"/>
    <w:rsid w:val="003E1764"/>
    <w:rsid w:val="003E35DC"/>
    <w:rsid w:val="003E7D6B"/>
    <w:rsid w:val="003F004F"/>
    <w:rsid w:val="003F1265"/>
    <w:rsid w:val="003F2020"/>
    <w:rsid w:val="003F2610"/>
    <w:rsid w:val="003F48EB"/>
    <w:rsid w:val="003F5284"/>
    <w:rsid w:val="003F74E8"/>
    <w:rsid w:val="003F7DBD"/>
    <w:rsid w:val="00401341"/>
    <w:rsid w:val="00401484"/>
    <w:rsid w:val="0040220D"/>
    <w:rsid w:val="00403524"/>
    <w:rsid w:val="00405FBE"/>
    <w:rsid w:val="00405FC1"/>
    <w:rsid w:val="00407568"/>
    <w:rsid w:val="00411401"/>
    <w:rsid w:val="00412230"/>
    <w:rsid w:val="004149C3"/>
    <w:rsid w:val="00416719"/>
    <w:rsid w:val="00416C92"/>
    <w:rsid w:val="00420D9B"/>
    <w:rsid w:val="0042103E"/>
    <w:rsid w:val="0042131C"/>
    <w:rsid w:val="00421C8B"/>
    <w:rsid w:val="004239B9"/>
    <w:rsid w:val="004259E2"/>
    <w:rsid w:val="0043051F"/>
    <w:rsid w:val="00431D66"/>
    <w:rsid w:val="0043396F"/>
    <w:rsid w:val="00433EC2"/>
    <w:rsid w:val="004349FE"/>
    <w:rsid w:val="00434BFA"/>
    <w:rsid w:val="00435148"/>
    <w:rsid w:val="004400D6"/>
    <w:rsid w:val="00440407"/>
    <w:rsid w:val="00443341"/>
    <w:rsid w:val="00444698"/>
    <w:rsid w:val="00445D35"/>
    <w:rsid w:val="0044678F"/>
    <w:rsid w:val="00452336"/>
    <w:rsid w:val="00452CF2"/>
    <w:rsid w:val="004537E7"/>
    <w:rsid w:val="0045396B"/>
    <w:rsid w:val="00454521"/>
    <w:rsid w:val="0045461A"/>
    <w:rsid w:val="00455970"/>
    <w:rsid w:val="00455E21"/>
    <w:rsid w:val="00460257"/>
    <w:rsid w:val="00460BEF"/>
    <w:rsid w:val="00461438"/>
    <w:rsid w:val="004619FD"/>
    <w:rsid w:val="004627C0"/>
    <w:rsid w:val="00462935"/>
    <w:rsid w:val="004632AA"/>
    <w:rsid w:val="00463749"/>
    <w:rsid w:val="00467062"/>
    <w:rsid w:val="00475C50"/>
    <w:rsid w:val="004773BD"/>
    <w:rsid w:val="00477AF8"/>
    <w:rsid w:val="00481C77"/>
    <w:rsid w:val="004823AE"/>
    <w:rsid w:val="004831BF"/>
    <w:rsid w:val="004875B7"/>
    <w:rsid w:val="00487EF9"/>
    <w:rsid w:val="00490F0B"/>
    <w:rsid w:val="00491F37"/>
    <w:rsid w:val="00492DD6"/>
    <w:rsid w:val="004942E2"/>
    <w:rsid w:val="00495DD5"/>
    <w:rsid w:val="0049641B"/>
    <w:rsid w:val="00496C1B"/>
    <w:rsid w:val="004A01CE"/>
    <w:rsid w:val="004A15D3"/>
    <w:rsid w:val="004A1C0C"/>
    <w:rsid w:val="004A3BF4"/>
    <w:rsid w:val="004A4B9A"/>
    <w:rsid w:val="004A5652"/>
    <w:rsid w:val="004A69E6"/>
    <w:rsid w:val="004A7915"/>
    <w:rsid w:val="004B0834"/>
    <w:rsid w:val="004B10E3"/>
    <w:rsid w:val="004B209A"/>
    <w:rsid w:val="004B56ED"/>
    <w:rsid w:val="004B5B9E"/>
    <w:rsid w:val="004B61C9"/>
    <w:rsid w:val="004B668C"/>
    <w:rsid w:val="004B69A1"/>
    <w:rsid w:val="004B7281"/>
    <w:rsid w:val="004C04E4"/>
    <w:rsid w:val="004C21FD"/>
    <w:rsid w:val="004C2ED3"/>
    <w:rsid w:val="004C4119"/>
    <w:rsid w:val="004C4127"/>
    <w:rsid w:val="004C5C65"/>
    <w:rsid w:val="004C6125"/>
    <w:rsid w:val="004D1AFA"/>
    <w:rsid w:val="004D2073"/>
    <w:rsid w:val="004D3E59"/>
    <w:rsid w:val="004D51D8"/>
    <w:rsid w:val="004D59D4"/>
    <w:rsid w:val="004D6A7C"/>
    <w:rsid w:val="004D6B71"/>
    <w:rsid w:val="004D7B59"/>
    <w:rsid w:val="004E168A"/>
    <w:rsid w:val="004E32AA"/>
    <w:rsid w:val="004E3DB0"/>
    <w:rsid w:val="004E45B4"/>
    <w:rsid w:val="004E474A"/>
    <w:rsid w:val="004E60AC"/>
    <w:rsid w:val="004E6254"/>
    <w:rsid w:val="004E6549"/>
    <w:rsid w:val="004E6BA9"/>
    <w:rsid w:val="004E786F"/>
    <w:rsid w:val="004E7C10"/>
    <w:rsid w:val="004F2B99"/>
    <w:rsid w:val="004F3282"/>
    <w:rsid w:val="004F346A"/>
    <w:rsid w:val="004F6C9E"/>
    <w:rsid w:val="004F70BA"/>
    <w:rsid w:val="005000DC"/>
    <w:rsid w:val="005013C7"/>
    <w:rsid w:val="00501A87"/>
    <w:rsid w:val="00502453"/>
    <w:rsid w:val="005027D3"/>
    <w:rsid w:val="005029AB"/>
    <w:rsid w:val="00502E22"/>
    <w:rsid w:val="00504AD3"/>
    <w:rsid w:val="0050513D"/>
    <w:rsid w:val="0050572B"/>
    <w:rsid w:val="005100CC"/>
    <w:rsid w:val="005133F0"/>
    <w:rsid w:val="00513708"/>
    <w:rsid w:val="00515476"/>
    <w:rsid w:val="00515724"/>
    <w:rsid w:val="00516C2F"/>
    <w:rsid w:val="00517336"/>
    <w:rsid w:val="00520B0A"/>
    <w:rsid w:val="00520BF1"/>
    <w:rsid w:val="00520FC3"/>
    <w:rsid w:val="005229B9"/>
    <w:rsid w:val="00524078"/>
    <w:rsid w:val="00524341"/>
    <w:rsid w:val="005245C1"/>
    <w:rsid w:val="005259E1"/>
    <w:rsid w:val="00526A2B"/>
    <w:rsid w:val="00527458"/>
    <w:rsid w:val="00530426"/>
    <w:rsid w:val="00532E42"/>
    <w:rsid w:val="00535557"/>
    <w:rsid w:val="005360C0"/>
    <w:rsid w:val="005404B8"/>
    <w:rsid w:val="005405BD"/>
    <w:rsid w:val="00540FA4"/>
    <w:rsid w:val="005426E4"/>
    <w:rsid w:val="00543790"/>
    <w:rsid w:val="005442C3"/>
    <w:rsid w:val="0054566A"/>
    <w:rsid w:val="005463E0"/>
    <w:rsid w:val="005471C2"/>
    <w:rsid w:val="0055018A"/>
    <w:rsid w:val="00554307"/>
    <w:rsid w:val="0055505E"/>
    <w:rsid w:val="005557AA"/>
    <w:rsid w:val="005568F1"/>
    <w:rsid w:val="00556D87"/>
    <w:rsid w:val="0055741B"/>
    <w:rsid w:val="00557ACC"/>
    <w:rsid w:val="005606E9"/>
    <w:rsid w:val="00561105"/>
    <w:rsid w:val="005615A6"/>
    <w:rsid w:val="0056160A"/>
    <w:rsid w:val="00561CFF"/>
    <w:rsid w:val="0056413E"/>
    <w:rsid w:val="00564EFD"/>
    <w:rsid w:val="00565CD4"/>
    <w:rsid w:val="00567835"/>
    <w:rsid w:val="0057151D"/>
    <w:rsid w:val="00571DA8"/>
    <w:rsid w:val="0057350B"/>
    <w:rsid w:val="00575CCE"/>
    <w:rsid w:val="005764ED"/>
    <w:rsid w:val="00577B1A"/>
    <w:rsid w:val="00581BC4"/>
    <w:rsid w:val="00583157"/>
    <w:rsid w:val="00584FA1"/>
    <w:rsid w:val="00585A49"/>
    <w:rsid w:val="005879D9"/>
    <w:rsid w:val="00592336"/>
    <w:rsid w:val="00592FF0"/>
    <w:rsid w:val="0059322E"/>
    <w:rsid w:val="00594621"/>
    <w:rsid w:val="00595317"/>
    <w:rsid w:val="00595735"/>
    <w:rsid w:val="00595ED6"/>
    <w:rsid w:val="00595F8A"/>
    <w:rsid w:val="005968EC"/>
    <w:rsid w:val="005A16EA"/>
    <w:rsid w:val="005A27A4"/>
    <w:rsid w:val="005A35B2"/>
    <w:rsid w:val="005A3D2E"/>
    <w:rsid w:val="005A490B"/>
    <w:rsid w:val="005A5C91"/>
    <w:rsid w:val="005A5CAF"/>
    <w:rsid w:val="005A5DDF"/>
    <w:rsid w:val="005A5E33"/>
    <w:rsid w:val="005A6EDB"/>
    <w:rsid w:val="005A6FDF"/>
    <w:rsid w:val="005B04B3"/>
    <w:rsid w:val="005B0615"/>
    <w:rsid w:val="005B3A51"/>
    <w:rsid w:val="005B3BE6"/>
    <w:rsid w:val="005B5650"/>
    <w:rsid w:val="005B703C"/>
    <w:rsid w:val="005B7047"/>
    <w:rsid w:val="005C080C"/>
    <w:rsid w:val="005C25DA"/>
    <w:rsid w:val="005C44F0"/>
    <w:rsid w:val="005C4E9B"/>
    <w:rsid w:val="005C5888"/>
    <w:rsid w:val="005C6C1C"/>
    <w:rsid w:val="005D00E4"/>
    <w:rsid w:val="005D160B"/>
    <w:rsid w:val="005D18E6"/>
    <w:rsid w:val="005D22CC"/>
    <w:rsid w:val="005D2DB9"/>
    <w:rsid w:val="005D4829"/>
    <w:rsid w:val="005D50A3"/>
    <w:rsid w:val="005D5540"/>
    <w:rsid w:val="005D68B2"/>
    <w:rsid w:val="005D7D66"/>
    <w:rsid w:val="005E019C"/>
    <w:rsid w:val="005E0512"/>
    <w:rsid w:val="005E05CC"/>
    <w:rsid w:val="005E0B6F"/>
    <w:rsid w:val="005E10FF"/>
    <w:rsid w:val="005E1CF7"/>
    <w:rsid w:val="005E3A0C"/>
    <w:rsid w:val="005E3DD2"/>
    <w:rsid w:val="005E48EA"/>
    <w:rsid w:val="005E51D7"/>
    <w:rsid w:val="005E64B4"/>
    <w:rsid w:val="005E7AEF"/>
    <w:rsid w:val="005F03D2"/>
    <w:rsid w:val="005F0916"/>
    <w:rsid w:val="005F0C8D"/>
    <w:rsid w:val="005F2449"/>
    <w:rsid w:val="005F2A9A"/>
    <w:rsid w:val="005F4FB0"/>
    <w:rsid w:val="005F73BB"/>
    <w:rsid w:val="00600DE2"/>
    <w:rsid w:val="00602017"/>
    <w:rsid w:val="0060219F"/>
    <w:rsid w:val="006026CF"/>
    <w:rsid w:val="00602A2D"/>
    <w:rsid w:val="00603428"/>
    <w:rsid w:val="006035AE"/>
    <w:rsid w:val="00603813"/>
    <w:rsid w:val="006041D3"/>
    <w:rsid w:val="00604DA6"/>
    <w:rsid w:val="00607887"/>
    <w:rsid w:val="00607EB0"/>
    <w:rsid w:val="0061036C"/>
    <w:rsid w:val="00611720"/>
    <w:rsid w:val="00613250"/>
    <w:rsid w:val="0061347F"/>
    <w:rsid w:val="00613637"/>
    <w:rsid w:val="00613F05"/>
    <w:rsid w:val="00614E44"/>
    <w:rsid w:val="00615FBC"/>
    <w:rsid w:val="00616096"/>
    <w:rsid w:val="00616373"/>
    <w:rsid w:val="00620BDA"/>
    <w:rsid w:val="00620C24"/>
    <w:rsid w:val="006220A8"/>
    <w:rsid w:val="006220DE"/>
    <w:rsid w:val="00622536"/>
    <w:rsid w:val="00622A54"/>
    <w:rsid w:val="00622ABD"/>
    <w:rsid w:val="00623615"/>
    <w:rsid w:val="006236AC"/>
    <w:rsid w:val="006241F8"/>
    <w:rsid w:val="0062449F"/>
    <w:rsid w:val="0062469E"/>
    <w:rsid w:val="006255FA"/>
    <w:rsid w:val="0062585A"/>
    <w:rsid w:val="006302EB"/>
    <w:rsid w:val="00630364"/>
    <w:rsid w:val="0063113C"/>
    <w:rsid w:val="0063194D"/>
    <w:rsid w:val="00631E12"/>
    <w:rsid w:val="006322E9"/>
    <w:rsid w:val="00633E39"/>
    <w:rsid w:val="00636150"/>
    <w:rsid w:val="00640E4A"/>
    <w:rsid w:val="00643B35"/>
    <w:rsid w:val="0064674D"/>
    <w:rsid w:val="006502E0"/>
    <w:rsid w:val="00650C2A"/>
    <w:rsid w:val="00652542"/>
    <w:rsid w:val="006541E5"/>
    <w:rsid w:val="0065469C"/>
    <w:rsid w:val="00655727"/>
    <w:rsid w:val="00655EF8"/>
    <w:rsid w:val="00655F16"/>
    <w:rsid w:val="00656FFA"/>
    <w:rsid w:val="00660A91"/>
    <w:rsid w:val="006615E1"/>
    <w:rsid w:val="00661792"/>
    <w:rsid w:val="006642DA"/>
    <w:rsid w:val="006677AA"/>
    <w:rsid w:val="006712C4"/>
    <w:rsid w:val="0067307C"/>
    <w:rsid w:val="006738A9"/>
    <w:rsid w:val="00674EA1"/>
    <w:rsid w:val="00676CFB"/>
    <w:rsid w:val="006802D4"/>
    <w:rsid w:val="00680D31"/>
    <w:rsid w:val="00681B21"/>
    <w:rsid w:val="00681D52"/>
    <w:rsid w:val="00681E76"/>
    <w:rsid w:val="00682DE2"/>
    <w:rsid w:val="00684807"/>
    <w:rsid w:val="0068676B"/>
    <w:rsid w:val="006867EB"/>
    <w:rsid w:val="00687BFF"/>
    <w:rsid w:val="00692622"/>
    <w:rsid w:val="00695441"/>
    <w:rsid w:val="00696296"/>
    <w:rsid w:val="006A1847"/>
    <w:rsid w:val="006A31E1"/>
    <w:rsid w:val="006A4F40"/>
    <w:rsid w:val="006A506F"/>
    <w:rsid w:val="006A5FA2"/>
    <w:rsid w:val="006A63E7"/>
    <w:rsid w:val="006A78F3"/>
    <w:rsid w:val="006B22DB"/>
    <w:rsid w:val="006B2325"/>
    <w:rsid w:val="006B2A5E"/>
    <w:rsid w:val="006B2E2D"/>
    <w:rsid w:val="006B345C"/>
    <w:rsid w:val="006B38CA"/>
    <w:rsid w:val="006B401D"/>
    <w:rsid w:val="006B5B28"/>
    <w:rsid w:val="006C3B24"/>
    <w:rsid w:val="006C65D7"/>
    <w:rsid w:val="006C667D"/>
    <w:rsid w:val="006C78AD"/>
    <w:rsid w:val="006C792F"/>
    <w:rsid w:val="006D209F"/>
    <w:rsid w:val="006D7AD2"/>
    <w:rsid w:val="006E1BE6"/>
    <w:rsid w:val="006E2686"/>
    <w:rsid w:val="006E2716"/>
    <w:rsid w:val="006E37E2"/>
    <w:rsid w:val="006E4033"/>
    <w:rsid w:val="006E43DE"/>
    <w:rsid w:val="006E58C1"/>
    <w:rsid w:val="006E606E"/>
    <w:rsid w:val="006E743A"/>
    <w:rsid w:val="006E7AAE"/>
    <w:rsid w:val="006F0FDD"/>
    <w:rsid w:val="006F1E20"/>
    <w:rsid w:val="006F33DA"/>
    <w:rsid w:val="006F3ACF"/>
    <w:rsid w:val="006F6DC6"/>
    <w:rsid w:val="006F6EAC"/>
    <w:rsid w:val="006F79CF"/>
    <w:rsid w:val="007004E5"/>
    <w:rsid w:val="0070547F"/>
    <w:rsid w:val="007059E3"/>
    <w:rsid w:val="0070655C"/>
    <w:rsid w:val="00707777"/>
    <w:rsid w:val="007103C4"/>
    <w:rsid w:val="0071168A"/>
    <w:rsid w:val="00711ABB"/>
    <w:rsid w:val="00714367"/>
    <w:rsid w:val="007150E2"/>
    <w:rsid w:val="0072149B"/>
    <w:rsid w:val="00722621"/>
    <w:rsid w:val="007241B7"/>
    <w:rsid w:val="00724654"/>
    <w:rsid w:val="007342FE"/>
    <w:rsid w:val="0073476E"/>
    <w:rsid w:val="00735873"/>
    <w:rsid w:val="00742D33"/>
    <w:rsid w:val="007430E0"/>
    <w:rsid w:val="00743595"/>
    <w:rsid w:val="00743A60"/>
    <w:rsid w:val="00745357"/>
    <w:rsid w:val="0074647A"/>
    <w:rsid w:val="007472EF"/>
    <w:rsid w:val="007474E7"/>
    <w:rsid w:val="00747AB6"/>
    <w:rsid w:val="007519F2"/>
    <w:rsid w:val="00753FED"/>
    <w:rsid w:val="00754591"/>
    <w:rsid w:val="00755BE9"/>
    <w:rsid w:val="00755D51"/>
    <w:rsid w:val="0076036B"/>
    <w:rsid w:val="00761764"/>
    <w:rsid w:val="0076291D"/>
    <w:rsid w:val="00763288"/>
    <w:rsid w:val="007660F2"/>
    <w:rsid w:val="0076679E"/>
    <w:rsid w:val="00766B7C"/>
    <w:rsid w:val="007707D6"/>
    <w:rsid w:val="00770BB3"/>
    <w:rsid w:val="00772297"/>
    <w:rsid w:val="007728D2"/>
    <w:rsid w:val="00774008"/>
    <w:rsid w:val="00774B92"/>
    <w:rsid w:val="007761B8"/>
    <w:rsid w:val="00783CA4"/>
    <w:rsid w:val="00786D03"/>
    <w:rsid w:val="00790B1C"/>
    <w:rsid w:val="0079108F"/>
    <w:rsid w:val="0079282C"/>
    <w:rsid w:val="0079289C"/>
    <w:rsid w:val="00792951"/>
    <w:rsid w:val="0079327D"/>
    <w:rsid w:val="00795034"/>
    <w:rsid w:val="00795593"/>
    <w:rsid w:val="00795D79"/>
    <w:rsid w:val="00796923"/>
    <w:rsid w:val="00796D4E"/>
    <w:rsid w:val="007A0BBC"/>
    <w:rsid w:val="007A0EBF"/>
    <w:rsid w:val="007A1F8A"/>
    <w:rsid w:val="007A2356"/>
    <w:rsid w:val="007A263E"/>
    <w:rsid w:val="007A656A"/>
    <w:rsid w:val="007A721B"/>
    <w:rsid w:val="007B0EA3"/>
    <w:rsid w:val="007B1CE7"/>
    <w:rsid w:val="007B2150"/>
    <w:rsid w:val="007B2A8E"/>
    <w:rsid w:val="007B335B"/>
    <w:rsid w:val="007B445A"/>
    <w:rsid w:val="007B6BDB"/>
    <w:rsid w:val="007B77D3"/>
    <w:rsid w:val="007C1B2F"/>
    <w:rsid w:val="007C263F"/>
    <w:rsid w:val="007C3782"/>
    <w:rsid w:val="007C4400"/>
    <w:rsid w:val="007C61B5"/>
    <w:rsid w:val="007C79FD"/>
    <w:rsid w:val="007D22AF"/>
    <w:rsid w:val="007D22B3"/>
    <w:rsid w:val="007D2350"/>
    <w:rsid w:val="007D3AA9"/>
    <w:rsid w:val="007D495E"/>
    <w:rsid w:val="007D5E76"/>
    <w:rsid w:val="007D7612"/>
    <w:rsid w:val="007E133E"/>
    <w:rsid w:val="007E1E88"/>
    <w:rsid w:val="007E2727"/>
    <w:rsid w:val="007E4183"/>
    <w:rsid w:val="007E4390"/>
    <w:rsid w:val="007E440B"/>
    <w:rsid w:val="007E530D"/>
    <w:rsid w:val="007E63EA"/>
    <w:rsid w:val="007E6A1B"/>
    <w:rsid w:val="007F003B"/>
    <w:rsid w:val="007F0235"/>
    <w:rsid w:val="007F14C1"/>
    <w:rsid w:val="007F2C95"/>
    <w:rsid w:val="007F5BD6"/>
    <w:rsid w:val="007F62E0"/>
    <w:rsid w:val="007F6653"/>
    <w:rsid w:val="007F739B"/>
    <w:rsid w:val="007F7906"/>
    <w:rsid w:val="007F79DC"/>
    <w:rsid w:val="007F7EC6"/>
    <w:rsid w:val="0080051C"/>
    <w:rsid w:val="0080058F"/>
    <w:rsid w:val="0080171B"/>
    <w:rsid w:val="00801780"/>
    <w:rsid w:val="008026D2"/>
    <w:rsid w:val="008047FD"/>
    <w:rsid w:val="0081207A"/>
    <w:rsid w:val="00815009"/>
    <w:rsid w:val="008153CC"/>
    <w:rsid w:val="008157C7"/>
    <w:rsid w:val="0081683C"/>
    <w:rsid w:val="00821A56"/>
    <w:rsid w:val="00821B0E"/>
    <w:rsid w:val="00821F0F"/>
    <w:rsid w:val="00823124"/>
    <w:rsid w:val="00823E2F"/>
    <w:rsid w:val="00823F2D"/>
    <w:rsid w:val="00824E28"/>
    <w:rsid w:val="0083221D"/>
    <w:rsid w:val="008354A2"/>
    <w:rsid w:val="008357A8"/>
    <w:rsid w:val="00835FA5"/>
    <w:rsid w:val="00836D50"/>
    <w:rsid w:val="008377BB"/>
    <w:rsid w:val="00841908"/>
    <w:rsid w:val="00843A61"/>
    <w:rsid w:val="00844309"/>
    <w:rsid w:val="0084479C"/>
    <w:rsid w:val="00844831"/>
    <w:rsid w:val="00844CEF"/>
    <w:rsid w:val="008454F9"/>
    <w:rsid w:val="0084678C"/>
    <w:rsid w:val="00847806"/>
    <w:rsid w:val="00850248"/>
    <w:rsid w:val="0085275B"/>
    <w:rsid w:val="00854512"/>
    <w:rsid w:val="00856C30"/>
    <w:rsid w:val="00860075"/>
    <w:rsid w:val="008610BC"/>
    <w:rsid w:val="00861E3D"/>
    <w:rsid w:val="00862821"/>
    <w:rsid w:val="00864317"/>
    <w:rsid w:val="00865D60"/>
    <w:rsid w:val="00865F49"/>
    <w:rsid w:val="00870751"/>
    <w:rsid w:val="00870C45"/>
    <w:rsid w:val="008716FE"/>
    <w:rsid w:val="008732C9"/>
    <w:rsid w:val="00873CD6"/>
    <w:rsid w:val="008752C7"/>
    <w:rsid w:val="008755FA"/>
    <w:rsid w:val="00875F88"/>
    <w:rsid w:val="00876F91"/>
    <w:rsid w:val="0087792F"/>
    <w:rsid w:val="008779D2"/>
    <w:rsid w:val="008779E8"/>
    <w:rsid w:val="0088043D"/>
    <w:rsid w:val="00880504"/>
    <w:rsid w:val="00881255"/>
    <w:rsid w:val="008813A0"/>
    <w:rsid w:val="00881661"/>
    <w:rsid w:val="008818D2"/>
    <w:rsid w:val="008822E5"/>
    <w:rsid w:val="00882D72"/>
    <w:rsid w:val="008831D3"/>
    <w:rsid w:val="00884008"/>
    <w:rsid w:val="00884B74"/>
    <w:rsid w:val="0089077B"/>
    <w:rsid w:val="00892337"/>
    <w:rsid w:val="00893EDC"/>
    <w:rsid w:val="0089422E"/>
    <w:rsid w:val="00894DFF"/>
    <w:rsid w:val="00895014"/>
    <w:rsid w:val="008956BB"/>
    <w:rsid w:val="00895817"/>
    <w:rsid w:val="00895867"/>
    <w:rsid w:val="00896CEE"/>
    <w:rsid w:val="008A3A73"/>
    <w:rsid w:val="008A3EF3"/>
    <w:rsid w:val="008A48E9"/>
    <w:rsid w:val="008A5EFE"/>
    <w:rsid w:val="008B16EA"/>
    <w:rsid w:val="008B1AC5"/>
    <w:rsid w:val="008B2AFD"/>
    <w:rsid w:val="008B363F"/>
    <w:rsid w:val="008B6317"/>
    <w:rsid w:val="008B6A15"/>
    <w:rsid w:val="008B7D51"/>
    <w:rsid w:val="008C016C"/>
    <w:rsid w:val="008C20AB"/>
    <w:rsid w:val="008C30E2"/>
    <w:rsid w:val="008C30EB"/>
    <w:rsid w:val="008C4FFC"/>
    <w:rsid w:val="008C6444"/>
    <w:rsid w:val="008C6C0D"/>
    <w:rsid w:val="008C6F05"/>
    <w:rsid w:val="008D076E"/>
    <w:rsid w:val="008D13E0"/>
    <w:rsid w:val="008D2366"/>
    <w:rsid w:val="008D25B8"/>
    <w:rsid w:val="008D2E6D"/>
    <w:rsid w:val="008D3928"/>
    <w:rsid w:val="008D3DE2"/>
    <w:rsid w:val="008D555C"/>
    <w:rsid w:val="008D6825"/>
    <w:rsid w:val="008E16F8"/>
    <w:rsid w:val="008E1961"/>
    <w:rsid w:val="008E30BA"/>
    <w:rsid w:val="008E3437"/>
    <w:rsid w:val="008E3CCD"/>
    <w:rsid w:val="008E64AB"/>
    <w:rsid w:val="008E6783"/>
    <w:rsid w:val="008F0790"/>
    <w:rsid w:val="008F079A"/>
    <w:rsid w:val="008F0EBC"/>
    <w:rsid w:val="008F1F29"/>
    <w:rsid w:val="008F3B03"/>
    <w:rsid w:val="008F40BA"/>
    <w:rsid w:val="008F5FF4"/>
    <w:rsid w:val="008F653A"/>
    <w:rsid w:val="008F681D"/>
    <w:rsid w:val="008F7323"/>
    <w:rsid w:val="008F773E"/>
    <w:rsid w:val="00900541"/>
    <w:rsid w:val="00902C73"/>
    <w:rsid w:val="0090316E"/>
    <w:rsid w:val="00904DB7"/>
    <w:rsid w:val="00904E42"/>
    <w:rsid w:val="009110A6"/>
    <w:rsid w:val="00912CBC"/>
    <w:rsid w:val="00912F6F"/>
    <w:rsid w:val="00914CF9"/>
    <w:rsid w:val="0091593A"/>
    <w:rsid w:val="009173B6"/>
    <w:rsid w:val="0091764B"/>
    <w:rsid w:val="00917CB0"/>
    <w:rsid w:val="0092123E"/>
    <w:rsid w:val="009239F6"/>
    <w:rsid w:val="00923B7C"/>
    <w:rsid w:val="00923D8D"/>
    <w:rsid w:val="009263A4"/>
    <w:rsid w:val="00926F55"/>
    <w:rsid w:val="00927ED5"/>
    <w:rsid w:val="00931D4E"/>
    <w:rsid w:val="00934103"/>
    <w:rsid w:val="00936091"/>
    <w:rsid w:val="00940D14"/>
    <w:rsid w:val="009450FE"/>
    <w:rsid w:val="00945BDE"/>
    <w:rsid w:val="009463B9"/>
    <w:rsid w:val="00946845"/>
    <w:rsid w:val="009505B9"/>
    <w:rsid w:val="00950CA9"/>
    <w:rsid w:val="00951ADE"/>
    <w:rsid w:val="00953406"/>
    <w:rsid w:val="00954D0F"/>
    <w:rsid w:val="0096031D"/>
    <w:rsid w:val="009615F7"/>
    <w:rsid w:val="00961EEA"/>
    <w:rsid w:val="00962C86"/>
    <w:rsid w:val="0096434E"/>
    <w:rsid w:val="009676DE"/>
    <w:rsid w:val="00970EDE"/>
    <w:rsid w:val="0097294C"/>
    <w:rsid w:val="00973457"/>
    <w:rsid w:val="009737FA"/>
    <w:rsid w:val="00974BCC"/>
    <w:rsid w:val="00975E46"/>
    <w:rsid w:val="00977EE3"/>
    <w:rsid w:val="0098005B"/>
    <w:rsid w:val="009801AC"/>
    <w:rsid w:val="0098153D"/>
    <w:rsid w:val="009829FC"/>
    <w:rsid w:val="00983832"/>
    <w:rsid w:val="009845F5"/>
    <w:rsid w:val="00985A6F"/>
    <w:rsid w:val="009862C3"/>
    <w:rsid w:val="00986C1A"/>
    <w:rsid w:val="009874AE"/>
    <w:rsid w:val="009900F6"/>
    <w:rsid w:val="009905B6"/>
    <w:rsid w:val="00990E67"/>
    <w:rsid w:val="00991A86"/>
    <w:rsid w:val="0099422E"/>
    <w:rsid w:val="00994519"/>
    <w:rsid w:val="00995E5B"/>
    <w:rsid w:val="00996D98"/>
    <w:rsid w:val="0099723E"/>
    <w:rsid w:val="009A296E"/>
    <w:rsid w:val="009A2E93"/>
    <w:rsid w:val="009A33D7"/>
    <w:rsid w:val="009A4309"/>
    <w:rsid w:val="009A4589"/>
    <w:rsid w:val="009A4958"/>
    <w:rsid w:val="009A6619"/>
    <w:rsid w:val="009A684D"/>
    <w:rsid w:val="009B0F5A"/>
    <w:rsid w:val="009B1C35"/>
    <w:rsid w:val="009B2D59"/>
    <w:rsid w:val="009B3FC7"/>
    <w:rsid w:val="009B45AE"/>
    <w:rsid w:val="009B5138"/>
    <w:rsid w:val="009B56E6"/>
    <w:rsid w:val="009B6FCC"/>
    <w:rsid w:val="009C2CA4"/>
    <w:rsid w:val="009C2D8E"/>
    <w:rsid w:val="009C2DDA"/>
    <w:rsid w:val="009C398D"/>
    <w:rsid w:val="009C48E9"/>
    <w:rsid w:val="009C590D"/>
    <w:rsid w:val="009C688C"/>
    <w:rsid w:val="009C6AEC"/>
    <w:rsid w:val="009D0172"/>
    <w:rsid w:val="009D0241"/>
    <w:rsid w:val="009D0512"/>
    <w:rsid w:val="009D166B"/>
    <w:rsid w:val="009D3E2A"/>
    <w:rsid w:val="009D4440"/>
    <w:rsid w:val="009D5300"/>
    <w:rsid w:val="009D5762"/>
    <w:rsid w:val="009D67C4"/>
    <w:rsid w:val="009D768C"/>
    <w:rsid w:val="009D7EB3"/>
    <w:rsid w:val="009E0C52"/>
    <w:rsid w:val="009E1292"/>
    <w:rsid w:val="009E1424"/>
    <w:rsid w:val="009E27CB"/>
    <w:rsid w:val="009E29C5"/>
    <w:rsid w:val="009E2E04"/>
    <w:rsid w:val="009E7845"/>
    <w:rsid w:val="009F1414"/>
    <w:rsid w:val="009F1659"/>
    <w:rsid w:val="009F2524"/>
    <w:rsid w:val="009F41B2"/>
    <w:rsid w:val="009F43A7"/>
    <w:rsid w:val="009F43AB"/>
    <w:rsid w:val="009F5662"/>
    <w:rsid w:val="009F6213"/>
    <w:rsid w:val="009F6D46"/>
    <w:rsid w:val="00A01F81"/>
    <w:rsid w:val="00A02EF1"/>
    <w:rsid w:val="00A0492F"/>
    <w:rsid w:val="00A053B0"/>
    <w:rsid w:val="00A05429"/>
    <w:rsid w:val="00A05781"/>
    <w:rsid w:val="00A05DC2"/>
    <w:rsid w:val="00A0696B"/>
    <w:rsid w:val="00A06CB1"/>
    <w:rsid w:val="00A075A5"/>
    <w:rsid w:val="00A07800"/>
    <w:rsid w:val="00A10352"/>
    <w:rsid w:val="00A10466"/>
    <w:rsid w:val="00A10885"/>
    <w:rsid w:val="00A1134F"/>
    <w:rsid w:val="00A1199D"/>
    <w:rsid w:val="00A13CB9"/>
    <w:rsid w:val="00A13D86"/>
    <w:rsid w:val="00A153E0"/>
    <w:rsid w:val="00A20489"/>
    <w:rsid w:val="00A2086D"/>
    <w:rsid w:val="00A20E84"/>
    <w:rsid w:val="00A2346F"/>
    <w:rsid w:val="00A236F2"/>
    <w:rsid w:val="00A27915"/>
    <w:rsid w:val="00A27DA2"/>
    <w:rsid w:val="00A31F49"/>
    <w:rsid w:val="00A31F8C"/>
    <w:rsid w:val="00A32CE4"/>
    <w:rsid w:val="00A34171"/>
    <w:rsid w:val="00A411E5"/>
    <w:rsid w:val="00A4122C"/>
    <w:rsid w:val="00A413E2"/>
    <w:rsid w:val="00A42286"/>
    <w:rsid w:val="00A43E32"/>
    <w:rsid w:val="00A44F14"/>
    <w:rsid w:val="00A463E1"/>
    <w:rsid w:val="00A509D5"/>
    <w:rsid w:val="00A50D06"/>
    <w:rsid w:val="00A50EB2"/>
    <w:rsid w:val="00A50F2D"/>
    <w:rsid w:val="00A51188"/>
    <w:rsid w:val="00A51C1C"/>
    <w:rsid w:val="00A51DAD"/>
    <w:rsid w:val="00A53237"/>
    <w:rsid w:val="00A535F6"/>
    <w:rsid w:val="00A5458A"/>
    <w:rsid w:val="00A54992"/>
    <w:rsid w:val="00A5795F"/>
    <w:rsid w:val="00A6080D"/>
    <w:rsid w:val="00A6130A"/>
    <w:rsid w:val="00A618C4"/>
    <w:rsid w:val="00A62B64"/>
    <w:rsid w:val="00A633AD"/>
    <w:rsid w:val="00A637B4"/>
    <w:rsid w:val="00A64474"/>
    <w:rsid w:val="00A6497D"/>
    <w:rsid w:val="00A660D6"/>
    <w:rsid w:val="00A67367"/>
    <w:rsid w:val="00A704D2"/>
    <w:rsid w:val="00A714E9"/>
    <w:rsid w:val="00A7277C"/>
    <w:rsid w:val="00A7303C"/>
    <w:rsid w:val="00A74244"/>
    <w:rsid w:val="00A76363"/>
    <w:rsid w:val="00A77C4F"/>
    <w:rsid w:val="00A77E28"/>
    <w:rsid w:val="00A82B0C"/>
    <w:rsid w:val="00A84347"/>
    <w:rsid w:val="00A84F72"/>
    <w:rsid w:val="00A8678A"/>
    <w:rsid w:val="00A86A26"/>
    <w:rsid w:val="00A87095"/>
    <w:rsid w:val="00A875A5"/>
    <w:rsid w:val="00A87E8C"/>
    <w:rsid w:val="00A91D88"/>
    <w:rsid w:val="00A92D9F"/>
    <w:rsid w:val="00A93EF0"/>
    <w:rsid w:val="00A9515E"/>
    <w:rsid w:val="00A95A9A"/>
    <w:rsid w:val="00A95B5C"/>
    <w:rsid w:val="00A9666C"/>
    <w:rsid w:val="00A9689E"/>
    <w:rsid w:val="00A96DCD"/>
    <w:rsid w:val="00A97825"/>
    <w:rsid w:val="00AA0009"/>
    <w:rsid w:val="00AA2534"/>
    <w:rsid w:val="00AA2C80"/>
    <w:rsid w:val="00AA2E75"/>
    <w:rsid w:val="00AA5E43"/>
    <w:rsid w:val="00AA60CC"/>
    <w:rsid w:val="00AA6263"/>
    <w:rsid w:val="00AB0FA2"/>
    <w:rsid w:val="00AB2495"/>
    <w:rsid w:val="00AB3B04"/>
    <w:rsid w:val="00AB3C7C"/>
    <w:rsid w:val="00AB5997"/>
    <w:rsid w:val="00AB5C78"/>
    <w:rsid w:val="00AB6333"/>
    <w:rsid w:val="00AB77D7"/>
    <w:rsid w:val="00AC2659"/>
    <w:rsid w:val="00AC267F"/>
    <w:rsid w:val="00AC2A62"/>
    <w:rsid w:val="00AC40B6"/>
    <w:rsid w:val="00AC437A"/>
    <w:rsid w:val="00AC546C"/>
    <w:rsid w:val="00AC6977"/>
    <w:rsid w:val="00AC6A45"/>
    <w:rsid w:val="00AD031B"/>
    <w:rsid w:val="00AD24CF"/>
    <w:rsid w:val="00AD41CF"/>
    <w:rsid w:val="00AD4F9F"/>
    <w:rsid w:val="00AD504C"/>
    <w:rsid w:val="00AD5E58"/>
    <w:rsid w:val="00AD5F3A"/>
    <w:rsid w:val="00AD62D1"/>
    <w:rsid w:val="00AE2A28"/>
    <w:rsid w:val="00AE5165"/>
    <w:rsid w:val="00AE5763"/>
    <w:rsid w:val="00AE5D83"/>
    <w:rsid w:val="00AE6082"/>
    <w:rsid w:val="00AF17AB"/>
    <w:rsid w:val="00AF17CC"/>
    <w:rsid w:val="00AF23F3"/>
    <w:rsid w:val="00AF3035"/>
    <w:rsid w:val="00AF3A79"/>
    <w:rsid w:val="00AF611C"/>
    <w:rsid w:val="00B0240D"/>
    <w:rsid w:val="00B02688"/>
    <w:rsid w:val="00B03148"/>
    <w:rsid w:val="00B03492"/>
    <w:rsid w:val="00B03655"/>
    <w:rsid w:val="00B03D1D"/>
    <w:rsid w:val="00B04D46"/>
    <w:rsid w:val="00B06761"/>
    <w:rsid w:val="00B0684E"/>
    <w:rsid w:val="00B06E5C"/>
    <w:rsid w:val="00B10076"/>
    <w:rsid w:val="00B10419"/>
    <w:rsid w:val="00B13D60"/>
    <w:rsid w:val="00B141FB"/>
    <w:rsid w:val="00B1493E"/>
    <w:rsid w:val="00B15351"/>
    <w:rsid w:val="00B15A22"/>
    <w:rsid w:val="00B16609"/>
    <w:rsid w:val="00B17B62"/>
    <w:rsid w:val="00B17FAC"/>
    <w:rsid w:val="00B20F7F"/>
    <w:rsid w:val="00B211A2"/>
    <w:rsid w:val="00B21874"/>
    <w:rsid w:val="00B21C37"/>
    <w:rsid w:val="00B2253F"/>
    <w:rsid w:val="00B22A37"/>
    <w:rsid w:val="00B22C97"/>
    <w:rsid w:val="00B236EF"/>
    <w:rsid w:val="00B23ED4"/>
    <w:rsid w:val="00B24BCF"/>
    <w:rsid w:val="00B2785F"/>
    <w:rsid w:val="00B302A4"/>
    <w:rsid w:val="00B30777"/>
    <w:rsid w:val="00B31155"/>
    <w:rsid w:val="00B31B9C"/>
    <w:rsid w:val="00B31EEA"/>
    <w:rsid w:val="00B33536"/>
    <w:rsid w:val="00B3403E"/>
    <w:rsid w:val="00B34364"/>
    <w:rsid w:val="00B35625"/>
    <w:rsid w:val="00B40CFE"/>
    <w:rsid w:val="00B42179"/>
    <w:rsid w:val="00B43AD7"/>
    <w:rsid w:val="00B44220"/>
    <w:rsid w:val="00B44A73"/>
    <w:rsid w:val="00B44C84"/>
    <w:rsid w:val="00B46C36"/>
    <w:rsid w:val="00B46C41"/>
    <w:rsid w:val="00B47A71"/>
    <w:rsid w:val="00B51477"/>
    <w:rsid w:val="00B51D67"/>
    <w:rsid w:val="00B51DE9"/>
    <w:rsid w:val="00B521E8"/>
    <w:rsid w:val="00B522B5"/>
    <w:rsid w:val="00B53040"/>
    <w:rsid w:val="00B54101"/>
    <w:rsid w:val="00B55EF4"/>
    <w:rsid w:val="00B564E9"/>
    <w:rsid w:val="00B57514"/>
    <w:rsid w:val="00B57EEC"/>
    <w:rsid w:val="00B63FA3"/>
    <w:rsid w:val="00B640DD"/>
    <w:rsid w:val="00B64D2A"/>
    <w:rsid w:val="00B66089"/>
    <w:rsid w:val="00B6650F"/>
    <w:rsid w:val="00B66830"/>
    <w:rsid w:val="00B67DA1"/>
    <w:rsid w:val="00B71798"/>
    <w:rsid w:val="00B74C46"/>
    <w:rsid w:val="00B74FD8"/>
    <w:rsid w:val="00B7794E"/>
    <w:rsid w:val="00B77A6B"/>
    <w:rsid w:val="00B80882"/>
    <w:rsid w:val="00B82EF5"/>
    <w:rsid w:val="00B834CF"/>
    <w:rsid w:val="00B83E09"/>
    <w:rsid w:val="00B84584"/>
    <w:rsid w:val="00B8480A"/>
    <w:rsid w:val="00B87639"/>
    <w:rsid w:val="00B87F98"/>
    <w:rsid w:val="00B900B0"/>
    <w:rsid w:val="00B909C5"/>
    <w:rsid w:val="00B90ADD"/>
    <w:rsid w:val="00B90D1E"/>
    <w:rsid w:val="00B91000"/>
    <w:rsid w:val="00B9128D"/>
    <w:rsid w:val="00B93B86"/>
    <w:rsid w:val="00B95A9B"/>
    <w:rsid w:val="00B961A9"/>
    <w:rsid w:val="00BA0CF2"/>
    <w:rsid w:val="00BA3803"/>
    <w:rsid w:val="00BA49A1"/>
    <w:rsid w:val="00BA5325"/>
    <w:rsid w:val="00BA5BCA"/>
    <w:rsid w:val="00BA6D65"/>
    <w:rsid w:val="00BB036E"/>
    <w:rsid w:val="00BB0E00"/>
    <w:rsid w:val="00BB2EEA"/>
    <w:rsid w:val="00BB4745"/>
    <w:rsid w:val="00BB4E08"/>
    <w:rsid w:val="00BB5226"/>
    <w:rsid w:val="00BC07C7"/>
    <w:rsid w:val="00BC104F"/>
    <w:rsid w:val="00BC4D21"/>
    <w:rsid w:val="00BC587B"/>
    <w:rsid w:val="00BC60B0"/>
    <w:rsid w:val="00BC753B"/>
    <w:rsid w:val="00BD09CE"/>
    <w:rsid w:val="00BD0C0A"/>
    <w:rsid w:val="00BD0CA9"/>
    <w:rsid w:val="00BD1EF7"/>
    <w:rsid w:val="00BD205F"/>
    <w:rsid w:val="00BD2556"/>
    <w:rsid w:val="00BD27DD"/>
    <w:rsid w:val="00BD287D"/>
    <w:rsid w:val="00BD3CAF"/>
    <w:rsid w:val="00BD5DF3"/>
    <w:rsid w:val="00BD73DD"/>
    <w:rsid w:val="00BD7B20"/>
    <w:rsid w:val="00BE023F"/>
    <w:rsid w:val="00BE06A6"/>
    <w:rsid w:val="00BE0C82"/>
    <w:rsid w:val="00BE1392"/>
    <w:rsid w:val="00BE2E43"/>
    <w:rsid w:val="00BE3A33"/>
    <w:rsid w:val="00BE42C8"/>
    <w:rsid w:val="00BE495B"/>
    <w:rsid w:val="00BE552E"/>
    <w:rsid w:val="00BE58DE"/>
    <w:rsid w:val="00BE74EB"/>
    <w:rsid w:val="00BE777E"/>
    <w:rsid w:val="00BE7925"/>
    <w:rsid w:val="00BF04C0"/>
    <w:rsid w:val="00BF0D7A"/>
    <w:rsid w:val="00BF26C9"/>
    <w:rsid w:val="00BF3F55"/>
    <w:rsid w:val="00BF4072"/>
    <w:rsid w:val="00BF7475"/>
    <w:rsid w:val="00BF757E"/>
    <w:rsid w:val="00BF7D7D"/>
    <w:rsid w:val="00C00DFC"/>
    <w:rsid w:val="00C024CF"/>
    <w:rsid w:val="00C045D0"/>
    <w:rsid w:val="00C0575A"/>
    <w:rsid w:val="00C101D4"/>
    <w:rsid w:val="00C111CF"/>
    <w:rsid w:val="00C116DC"/>
    <w:rsid w:val="00C11CC1"/>
    <w:rsid w:val="00C12A09"/>
    <w:rsid w:val="00C12AB3"/>
    <w:rsid w:val="00C13C50"/>
    <w:rsid w:val="00C14560"/>
    <w:rsid w:val="00C15D34"/>
    <w:rsid w:val="00C1746A"/>
    <w:rsid w:val="00C1780F"/>
    <w:rsid w:val="00C17A55"/>
    <w:rsid w:val="00C20514"/>
    <w:rsid w:val="00C20D14"/>
    <w:rsid w:val="00C21E76"/>
    <w:rsid w:val="00C24662"/>
    <w:rsid w:val="00C24FC0"/>
    <w:rsid w:val="00C25374"/>
    <w:rsid w:val="00C270CC"/>
    <w:rsid w:val="00C271DE"/>
    <w:rsid w:val="00C2724E"/>
    <w:rsid w:val="00C30285"/>
    <w:rsid w:val="00C30F7C"/>
    <w:rsid w:val="00C34AF1"/>
    <w:rsid w:val="00C35DF3"/>
    <w:rsid w:val="00C3699C"/>
    <w:rsid w:val="00C36C48"/>
    <w:rsid w:val="00C37924"/>
    <w:rsid w:val="00C37F2F"/>
    <w:rsid w:val="00C40690"/>
    <w:rsid w:val="00C40AD1"/>
    <w:rsid w:val="00C40C42"/>
    <w:rsid w:val="00C419B9"/>
    <w:rsid w:val="00C43958"/>
    <w:rsid w:val="00C46F09"/>
    <w:rsid w:val="00C47C8B"/>
    <w:rsid w:val="00C50117"/>
    <w:rsid w:val="00C504A6"/>
    <w:rsid w:val="00C516C7"/>
    <w:rsid w:val="00C51B49"/>
    <w:rsid w:val="00C52E50"/>
    <w:rsid w:val="00C555C0"/>
    <w:rsid w:val="00C557A5"/>
    <w:rsid w:val="00C55889"/>
    <w:rsid w:val="00C55912"/>
    <w:rsid w:val="00C5676C"/>
    <w:rsid w:val="00C6004E"/>
    <w:rsid w:val="00C61397"/>
    <w:rsid w:val="00C6153E"/>
    <w:rsid w:val="00C63352"/>
    <w:rsid w:val="00C63BD2"/>
    <w:rsid w:val="00C63DD6"/>
    <w:rsid w:val="00C67CA3"/>
    <w:rsid w:val="00C70317"/>
    <w:rsid w:val="00C70B18"/>
    <w:rsid w:val="00C72443"/>
    <w:rsid w:val="00C73AB2"/>
    <w:rsid w:val="00C80D57"/>
    <w:rsid w:val="00C8189D"/>
    <w:rsid w:val="00C83191"/>
    <w:rsid w:val="00C831CD"/>
    <w:rsid w:val="00C86168"/>
    <w:rsid w:val="00C86212"/>
    <w:rsid w:val="00C87E14"/>
    <w:rsid w:val="00C90CE5"/>
    <w:rsid w:val="00C929CF"/>
    <w:rsid w:val="00C939D4"/>
    <w:rsid w:val="00C96BE7"/>
    <w:rsid w:val="00C96F0D"/>
    <w:rsid w:val="00CA00BA"/>
    <w:rsid w:val="00CA102D"/>
    <w:rsid w:val="00CA28CD"/>
    <w:rsid w:val="00CA2E1E"/>
    <w:rsid w:val="00CA3E65"/>
    <w:rsid w:val="00CA5861"/>
    <w:rsid w:val="00CA5D70"/>
    <w:rsid w:val="00CA5EB5"/>
    <w:rsid w:val="00CB14BC"/>
    <w:rsid w:val="00CB1DD3"/>
    <w:rsid w:val="00CB2DA9"/>
    <w:rsid w:val="00CB4DC6"/>
    <w:rsid w:val="00CB651E"/>
    <w:rsid w:val="00CB6790"/>
    <w:rsid w:val="00CB6DE0"/>
    <w:rsid w:val="00CB7ADD"/>
    <w:rsid w:val="00CC0124"/>
    <w:rsid w:val="00CC139A"/>
    <w:rsid w:val="00CC24F3"/>
    <w:rsid w:val="00CC254B"/>
    <w:rsid w:val="00CC2F86"/>
    <w:rsid w:val="00CC6907"/>
    <w:rsid w:val="00CC6DCC"/>
    <w:rsid w:val="00CD01E8"/>
    <w:rsid w:val="00CD2117"/>
    <w:rsid w:val="00CD2C81"/>
    <w:rsid w:val="00CD389F"/>
    <w:rsid w:val="00CD4558"/>
    <w:rsid w:val="00CD46E2"/>
    <w:rsid w:val="00CD4C4B"/>
    <w:rsid w:val="00CD6350"/>
    <w:rsid w:val="00CD7D24"/>
    <w:rsid w:val="00CE3A1B"/>
    <w:rsid w:val="00CE432E"/>
    <w:rsid w:val="00CE4447"/>
    <w:rsid w:val="00CE4978"/>
    <w:rsid w:val="00CE4E36"/>
    <w:rsid w:val="00CE58AC"/>
    <w:rsid w:val="00CE59F6"/>
    <w:rsid w:val="00CE5E1B"/>
    <w:rsid w:val="00CE5EC5"/>
    <w:rsid w:val="00CE6A03"/>
    <w:rsid w:val="00CF02DD"/>
    <w:rsid w:val="00CF0EB4"/>
    <w:rsid w:val="00CF1D1D"/>
    <w:rsid w:val="00CF20D5"/>
    <w:rsid w:val="00CF21B6"/>
    <w:rsid w:val="00CF2C0E"/>
    <w:rsid w:val="00CF6692"/>
    <w:rsid w:val="00CF70B4"/>
    <w:rsid w:val="00D002AD"/>
    <w:rsid w:val="00D002AF"/>
    <w:rsid w:val="00D00468"/>
    <w:rsid w:val="00D02069"/>
    <w:rsid w:val="00D04280"/>
    <w:rsid w:val="00D0567A"/>
    <w:rsid w:val="00D05749"/>
    <w:rsid w:val="00D05BE0"/>
    <w:rsid w:val="00D067CA"/>
    <w:rsid w:val="00D06B16"/>
    <w:rsid w:val="00D0763D"/>
    <w:rsid w:val="00D07729"/>
    <w:rsid w:val="00D12551"/>
    <w:rsid w:val="00D13933"/>
    <w:rsid w:val="00D201F1"/>
    <w:rsid w:val="00D22567"/>
    <w:rsid w:val="00D232FB"/>
    <w:rsid w:val="00D24F57"/>
    <w:rsid w:val="00D25E1F"/>
    <w:rsid w:val="00D25FC9"/>
    <w:rsid w:val="00D260F8"/>
    <w:rsid w:val="00D26335"/>
    <w:rsid w:val="00D303EA"/>
    <w:rsid w:val="00D30767"/>
    <w:rsid w:val="00D31841"/>
    <w:rsid w:val="00D3428D"/>
    <w:rsid w:val="00D354C1"/>
    <w:rsid w:val="00D372C9"/>
    <w:rsid w:val="00D40599"/>
    <w:rsid w:val="00D40CBE"/>
    <w:rsid w:val="00D416C7"/>
    <w:rsid w:val="00D41BE5"/>
    <w:rsid w:val="00D43B96"/>
    <w:rsid w:val="00D44781"/>
    <w:rsid w:val="00D53FC1"/>
    <w:rsid w:val="00D54392"/>
    <w:rsid w:val="00D54DF8"/>
    <w:rsid w:val="00D5546A"/>
    <w:rsid w:val="00D5607F"/>
    <w:rsid w:val="00D566AE"/>
    <w:rsid w:val="00D614DE"/>
    <w:rsid w:val="00D6237B"/>
    <w:rsid w:val="00D63467"/>
    <w:rsid w:val="00D64AE9"/>
    <w:rsid w:val="00D64D43"/>
    <w:rsid w:val="00D66153"/>
    <w:rsid w:val="00D71EE1"/>
    <w:rsid w:val="00D72ABD"/>
    <w:rsid w:val="00D736AB"/>
    <w:rsid w:val="00D7485E"/>
    <w:rsid w:val="00D750DF"/>
    <w:rsid w:val="00D75885"/>
    <w:rsid w:val="00D75B52"/>
    <w:rsid w:val="00D76558"/>
    <w:rsid w:val="00D81BB0"/>
    <w:rsid w:val="00D8260C"/>
    <w:rsid w:val="00D82A04"/>
    <w:rsid w:val="00D82A47"/>
    <w:rsid w:val="00D836E6"/>
    <w:rsid w:val="00D83772"/>
    <w:rsid w:val="00D842EB"/>
    <w:rsid w:val="00D8571E"/>
    <w:rsid w:val="00D8582B"/>
    <w:rsid w:val="00D87370"/>
    <w:rsid w:val="00D87627"/>
    <w:rsid w:val="00D909CA"/>
    <w:rsid w:val="00D90AF0"/>
    <w:rsid w:val="00D914C0"/>
    <w:rsid w:val="00D92544"/>
    <w:rsid w:val="00D9316C"/>
    <w:rsid w:val="00D93FB7"/>
    <w:rsid w:val="00D94856"/>
    <w:rsid w:val="00D94BEA"/>
    <w:rsid w:val="00D95E60"/>
    <w:rsid w:val="00D9762B"/>
    <w:rsid w:val="00DA0473"/>
    <w:rsid w:val="00DA1FE4"/>
    <w:rsid w:val="00DA2173"/>
    <w:rsid w:val="00DA2566"/>
    <w:rsid w:val="00DA2F7A"/>
    <w:rsid w:val="00DA3905"/>
    <w:rsid w:val="00DA49DD"/>
    <w:rsid w:val="00DA5424"/>
    <w:rsid w:val="00DA5F0B"/>
    <w:rsid w:val="00DA6FE9"/>
    <w:rsid w:val="00DB2798"/>
    <w:rsid w:val="00DB3164"/>
    <w:rsid w:val="00DB3701"/>
    <w:rsid w:val="00DB3F9B"/>
    <w:rsid w:val="00DB454F"/>
    <w:rsid w:val="00DB5E5C"/>
    <w:rsid w:val="00DB6508"/>
    <w:rsid w:val="00DB6D33"/>
    <w:rsid w:val="00DB6DD1"/>
    <w:rsid w:val="00DB72C5"/>
    <w:rsid w:val="00DC3E73"/>
    <w:rsid w:val="00DC4CA9"/>
    <w:rsid w:val="00DC5CA6"/>
    <w:rsid w:val="00DC63C9"/>
    <w:rsid w:val="00DD42C6"/>
    <w:rsid w:val="00DD4619"/>
    <w:rsid w:val="00DD7814"/>
    <w:rsid w:val="00DD7D60"/>
    <w:rsid w:val="00DE2435"/>
    <w:rsid w:val="00DE2456"/>
    <w:rsid w:val="00DE36F0"/>
    <w:rsid w:val="00DE3E2C"/>
    <w:rsid w:val="00DE4BAE"/>
    <w:rsid w:val="00DE4C53"/>
    <w:rsid w:val="00DE7505"/>
    <w:rsid w:val="00DF23F3"/>
    <w:rsid w:val="00DF3253"/>
    <w:rsid w:val="00DF3478"/>
    <w:rsid w:val="00DF4659"/>
    <w:rsid w:val="00DF54BD"/>
    <w:rsid w:val="00DF55A4"/>
    <w:rsid w:val="00DF6B30"/>
    <w:rsid w:val="00E01212"/>
    <w:rsid w:val="00E01AC2"/>
    <w:rsid w:val="00E049AA"/>
    <w:rsid w:val="00E06038"/>
    <w:rsid w:val="00E1033A"/>
    <w:rsid w:val="00E10EEF"/>
    <w:rsid w:val="00E12599"/>
    <w:rsid w:val="00E14038"/>
    <w:rsid w:val="00E14C76"/>
    <w:rsid w:val="00E151BF"/>
    <w:rsid w:val="00E159D4"/>
    <w:rsid w:val="00E15DBA"/>
    <w:rsid w:val="00E2327E"/>
    <w:rsid w:val="00E23DF0"/>
    <w:rsid w:val="00E25213"/>
    <w:rsid w:val="00E25991"/>
    <w:rsid w:val="00E2610F"/>
    <w:rsid w:val="00E2650C"/>
    <w:rsid w:val="00E27146"/>
    <w:rsid w:val="00E278D2"/>
    <w:rsid w:val="00E27AB7"/>
    <w:rsid w:val="00E3014D"/>
    <w:rsid w:val="00E301F1"/>
    <w:rsid w:val="00E3080B"/>
    <w:rsid w:val="00E3212B"/>
    <w:rsid w:val="00E34E58"/>
    <w:rsid w:val="00E35AB8"/>
    <w:rsid w:val="00E375EE"/>
    <w:rsid w:val="00E42660"/>
    <w:rsid w:val="00E42D06"/>
    <w:rsid w:val="00E44787"/>
    <w:rsid w:val="00E44B0B"/>
    <w:rsid w:val="00E44C4A"/>
    <w:rsid w:val="00E44DD4"/>
    <w:rsid w:val="00E45706"/>
    <w:rsid w:val="00E4593A"/>
    <w:rsid w:val="00E5114C"/>
    <w:rsid w:val="00E51B10"/>
    <w:rsid w:val="00E5447F"/>
    <w:rsid w:val="00E5450E"/>
    <w:rsid w:val="00E54ABD"/>
    <w:rsid w:val="00E576B8"/>
    <w:rsid w:val="00E613E4"/>
    <w:rsid w:val="00E616DA"/>
    <w:rsid w:val="00E62350"/>
    <w:rsid w:val="00E63B43"/>
    <w:rsid w:val="00E65690"/>
    <w:rsid w:val="00E67B7A"/>
    <w:rsid w:val="00E70014"/>
    <w:rsid w:val="00E7048C"/>
    <w:rsid w:val="00E71469"/>
    <w:rsid w:val="00E73CFE"/>
    <w:rsid w:val="00E73E69"/>
    <w:rsid w:val="00E745C1"/>
    <w:rsid w:val="00E7470E"/>
    <w:rsid w:val="00E7520A"/>
    <w:rsid w:val="00E758DF"/>
    <w:rsid w:val="00E75CBB"/>
    <w:rsid w:val="00E76541"/>
    <w:rsid w:val="00E769A3"/>
    <w:rsid w:val="00E808F8"/>
    <w:rsid w:val="00E81E4C"/>
    <w:rsid w:val="00E837E8"/>
    <w:rsid w:val="00E83BB6"/>
    <w:rsid w:val="00E8410B"/>
    <w:rsid w:val="00E84F1A"/>
    <w:rsid w:val="00E86172"/>
    <w:rsid w:val="00E864E5"/>
    <w:rsid w:val="00E904A5"/>
    <w:rsid w:val="00E922C7"/>
    <w:rsid w:val="00E94781"/>
    <w:rsid w:val="00E94F17"/>
    <w:rsid w:val="00E95803"/>
    <w:rsid w:val="00E96EB0"/>
    <w:rsid w:val="00E97A78"/>
    <w:rsid w:val="00EA0179"/>
    <w:rsid w:val="00EA0AB1"/>
    <w:rsid w:val="00EA1F6C"/>
    <w:rsid w:val="00EA2708"/>
    <w:rsid w:val="00EA3C78"/>
    <w:rsid w:val="00EA5D9D"/>
    <w:rsid w:val="00EA5F35"/>
    <w:rsid w:val="00EA6E98"/>
    <w:rsid w:val="00EB30CC"/>
    <w:rsid w:val="00EB7A0C"/>
    <w:rsid w:val="00EB7A14"/>
    <w:rsid w:val="00EB7BDB"/>
    <w:rsid w:val="00EC14A6"/>
    <w:rsid w:val="00EC284B"/>
    <w:rsid w:val="00EC5928"/>
    <w:rsid w:val="00EC5E6E"/>
    <w:rsid w:val="00EC5E83"/>
    <w:rsid w:val="00EC699E"/>
    <w:rsid w:val="00EC6D4C"/>
    <w:rsid w:val="00ED1431"/>
    <w:rsid w:val="00ED1816"/>
    <w:rsid w:val="00ED1E22"/>
    <w:rsid w:val="00ED2934"/>
    <w:rsid w:val="00ED49F8"/>
    <w:rsid w:val="00ED7DF4"/>
    <w:rsid w:val="00EE0F46"/>
    <w:rsid w:val="00EE1FD9"/>
    <w:rsid w:val="00EE2150"/>
    <w:rsid w:val="00EE2FB8"/>
    <w:rsid w:val="00EE3BC3"/>
    <w:rsid w:val="00EE6285"/>
    <w:rsid w:val="00EE6380"/>
    <w:rsid w:val="00EE657A"/>
    <w:rsid w:val="00EE776A"/>
    <w:rsid w:val="00EF029F"/>
    <w:rsid w:val="00EF03A4"/>
    <w:rsid w:val="00EF0693"/>
    <w:rsid w:val="00EF0A2A"/>
    <w:rsid w:val="00EF0CC0"/>
    <w:rsid w:val="00EF2B5A"/>
    <w:rsid w:val="00EF4A38"/>
    <w:rsid w:val="00EF5A21"/>
    <w:rsid w:val="00EF684E"/>
    <w:rsid w:val="00EF77C4"/>
    <w:rsid w:val="00EF789A"/>
    <w:rsid w:val="00EF7E63"/>
    <w:rsid w:val="00F01DE1"/>
    <w:rsid w:val="00F03ED6"/>
    <w:rsid w:val="00F053D2"/>
    <w:rsid w:val="00F06C6A"/>
    <w:rsid w:val="00F06FC6"/>
    <w:rsid w:val="00F07294"/>
    <w:rsid w:val="00F101BF"/>
    <w:rsid w:val="00F10CBF"/>
    <w:rsid w:val="00F12588"/>
    <w:rsid w:val="00F157DA"/>
    <w:rsid w:val="00F15A76"/>
    <w:rsid w:val="00F170BA"/>
    <w:rsid w:val="00F179F0"/>
    <w:rsid w:val="00F2088F"/>
    <w:rsid w:val="00F20C8A"/>
    <w:rsid w:val="00F21955"/>
    <w:rsid w:val="00F24162"/>
    <w:rsid w:val="00F2524E"/>
    <w:rsid w:val="00F252FD"/>
    <w:rsid w:val="00F25B0F"/>
    <w:rsid w:val="00F2738E"/>
    <w:rsid w:val="00F2760F"/>
    <w:rsid w:val="00F27AAB"/>
    <w:rsid w:val="00F30655"/>
    <w:rsid w:val="00F30E21"/>
    <w:rsid w:val="00F33419"/>
    <w:rsid w:val="00F33B13"/>
    <w:rsid w:val="00F34370"/>
    <w:rsid w:val="00F35FE9"/>
    <w:rsid w:val="00F36811"/>
    <w:rsid w:val="00F40222"/>
    <w:rsid w:val="00F42C3A"/>
    <w:rsid w:val="00F42D84"/>
    <w:rsid w:val="00F441E0"/>
    <w:rsid w:val="00F44506"/>
    <w:rsid w:val="00F504C1"/>
    <w:rsid w:val="00F5252D"/>
    <w:rsid w:val="00F5269C"/>
    <w:rsid w:val="00F52E89"/>
    <w:rsid w:val="00F53ADB"/>
    <w:rsid w:val="00F54836"/>
    <w:rsid w:val="00F54B71"/>
    <w:rsid w:val="00F56228"/>
    <w:rsid w:val="00F56388"/>
    <w:rsid w:val="00F57917"/>
    <w:rsid w:val="00F629E0"/>
    <w:rsid w:val="00F64AAA"/>
    <w:rsid w:val="00F659E8"/>
    <w:rsid w:val="00F65A4E"/>
    <w:rsid w:val="00F6664D"/>
    <w:rsid w:val="00F675C6"/>
    <w:rsid w:val="00F716C1"/>
    <w:rsid w:val="00F74F07"/>
    <w:rsid w:val="00F822CF"/>
    <w:rsid w:val="00F82606"/>
    <w:rsid w:val="00F835F6"/>
    <w:rsid w:val="00F83FED"/>
    <w:rsid w:val="00F85658"/>
    <w:rsid w:val="00F86D69"/>
    <w:rsid w:val="00F87080"/>
    <w:rsid w:val="00F872E9"/>
    <w:rsid w:val="00F91041"/>
    <w:rsid w:val="00F91194"/>
    <w:rsid w:val="00F912A9"/>
    <w:rsid w:val="00F9131B"/>
    <w:rsid w:val="00F93B3E"/>
    <w:rsid w:val="00F96F6D"/>
    <w:rsid w:val="00FA0F21"/>
    <w:rsid w:val="00FA5002"/>
    <w:rsid w:val="00FA568C"/>
    <w:rsid w:val="00FA59D8"/>
    <w:rsid w:val="00FA716C"/>
    <w:rsid w:val="00FA74C4"/>
    <w:rsid w:val="00FA7C54"/>
    <w:rsid w:val="00FB39C7"/>
    <w:rsid w:val="00FB3EC2"/>
    <w:rsid w:val="00FB6787"/>
    <w:rsid w:val="00FB6DA6"/>
    <w:rsid w:val="00FB6F86"/>
    <w:rsid w:val="00FB709F"/>
    <w:rsid w:val="00FB7492"/>
    <w:rsid w:val="00FB74F0"/>
    <w:rsid w:val="00FC102C"/>
    <w:rsid w:val="00FC149D"/>
    <w:rsid w:val="00FC7809"/>
    <w:rsid w:val="00FC7AD7"/>
    <w:rsid w:val="00FC7E83"/>
    <w:rsid w:val="00FC7ECA"/>
    <w:rsid w:val="00FD0823"/>
    <w:rsid w:val="00FD114C"/>
    <w:rsid w:val="00FD1A99"/>
    <w:rsid w:val="00FD37A7"/>
    <w:rsid w:val="00FD3D67"/>
    <w:rsid w:val="00FD50F5"/>
    <w:rsid w:val="00FD624D"/>
    <w:rsid w:val="00FD6320"/>
    <w:rsid w:val="00FD6AA9"/>
    <w:rsid w:val="00FD6FE8"/>
    <w:rsid w:val="00FE1C1A"/>
    <w:rsid w:val="00FE24ED"/>
    <w:rsid w:val="00FE26EC"/>
    <w:rsid w:val="00FE284B"/>
    <w:rsid w:val="00FE2D74"/>
    <w:rsid w:val="00FE4954"/>
    <w:rsid w:val="00FE4AF8"/>
    <w:rsid w:val="00FE59C0"/>
    <w:rsid w:val="00FE723D"/>
    <w:rsid w:val="00FE77AD"/>
    <w:rsid w:val="00FE7E62"/>
    <w:rsid w:val="00FF0A13"/>
    <w:rsid w:val="00FF1DF7"/>
    <w:rsid w:val="00FF2206"/>
    <w:rsid w:val="00FF2335"/>
    <w:rsid w:val="00FF53AF"/>
    <w:rsid w:val="00FF5F55"/>
    <w:rsid w:val="00FF6362"/>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00DD79"/>
  <w15:docId w15:val="{7073EBA8-D90A-4FE4-A4FF-45DCCD41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EF"/>
    <w:pPr>
      <w:spacing w:after="240" w:line="300" w:lineRule="atLeast"/>
      <w:ind w:left="990"/>
      <w:jc w:val="both"/>
    </w:pPr>
    <w:rPr>
      <w:rFonts w:ascii="Calibri Light" w:hAnsi="Calibri Light"/>
      <w:lang w:val="en-NZ"/>
    </w:rPr>
  </w:style>
  <w:style w:type="paragraph" w:styleId="Heading1">
    <w:name w:val="heading 1"/>
    <w:basedOn w:val="Normal"/>
    <w:next w:val="MEblueintro"/>
    <w:link w:val="Heading1Char"/>
    <w:qFormat/>
    <w:rsid w:val="009905B6"/>
    <w:pPr>
      <w:keepNext/>
      <w:keepLines/>
      <w:pageBreakBefore/>
      <w:numPr>
        <w:numId w:val="5"/>
      </w:numPr>
      <w:spacing w:line="240" w:lineRule="auto"/>
      <w:ind w:left="994" w:right="-907" w:hanging="994"/>
      <w:jc w:val="left"/>
      <w:outlineLvl w:val="0"/>
    </w:pPr>
    <w:rPr>
      <w:rFonts w:asciiTheme="minorHAnsi" w:eastAsiaTheme="majorEastAsia" w:hAnsiTheme="minorHAnsi" w:cstheme="minorHAnsi"/>
      <w:b/>
      <w:bCs/>
      <w:color w:val="0179BB"/>
      <w:sz w:val="56"/>
      <w:szCs w:val="44"/>
    </w:rPr>
  </w:style>
  <w:style w:type="paragraph" w:styleId="Heading2">
    <w:name w:val="heading 2"/>
    <w:basedOn w:val="Normal"/>
    <w:next w:val="Normal"/>
    <w:link w:val="Heading2Char"/>
    <w:unhideWhenUsed/>
    <w:qFormat/>
    <w:rsid w:val="00B2253F"/>
    <w:pPr>
      <w:keepNext/>
      <w:keepLines/>
      <w:numPr>
        <w:ilvl w:val="1"/>
        <w:numId w:val="5"/>
      </w:numPr>
      <w:spacing w:before="360" w:after="120"/>
      <w:ind w:left="992" w:hanging="992"/>
      <w:jc w:val="left"/>
      <w:outlineLvl w:val="1"/>
    </w:pPr>
    <w:rPr>
      <w:rFonts w:asciiTheme="minorHAnsi" w:eastAsiaTheme="majorEastAsia" w:hAnsiTheme="minorHAnsi" w:cstheme="minorHAnsi"/>
      <w:b/>
      <w:bCs/>
      <w:sz w:val="36"/>
      <w:szCs w:val="28"/>
    </w:rPr>
  </w:style>
  <w:style w:type="paragraph" w:styleId="Heading3">
    <w:name w:val="heading 3"/>
    <w:basedOn w:val="Normal"/>
    <w:next w:val="Normal"/>
    <w:link w:val="Heading3Char"/>
    <w:unhideWhenUsed/>
    <w:qFormat/>
    <w:rsid w:val="0042131C"/>
    <w:pPr>
      <w:keepNext/>
      <w:keepLines/>
      <w:numPr>
        <w:ilvl w:val="2"/>
        <w:numId w:val="5"/>
      </w:numPr>
      <w:spacing w:after="0"/>
      <w:ind w:left="994" w:hanging="994"/>
      <w:jc w:val="left"/>
      <w:outlineLvl w:val="2"/>
    </w:pPr>
    <w:rPr>
      <w:rFonts w:asciiTheme="minorHAnsi" w:eastAsiaTheme="majorEastAsia" w:hAnsiTheme="minorHAnsi" w:cstheme="minorHAnsi"/>
      <w:b/>
      <w:bCs/>
      <w:sz w:val="28"/>
      <w:szCs w:val="24"/>
    </w:rPr>
  </w:style>
  <w:style w:type="paragraph" w:styleId="Heading4">
    <w:name w:val="heading 4"/>
    <w:basedOn w:val="Normal"/>
    <w:next w:val="Normal"/>
    <w:link w:val="Heading4Char"/>
    <w:unhideWhenUsed/>
    <w:qFormat/>
    <w:rsid w:val="0027718B"/>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7718B"/>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7718B"/>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7718B"/>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718B"/>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718B"/>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3FA3"/>
    <w:pPr>
      <w:tabs>
        <w:tab w:val="center" w:pos="4680"/>
        <w:tab w:val="right" w:pos="9360"/>
      </w:tabs>
    </w:pPr>
  </w:style>
  <w:style w:type="character" w:customStyle="1" w:styleId="HeaderChar">
    <w:name w:val="Header Char"/>
    <w:basedOn w:val="DefaultParagraphFont"/>
    <w:link w:val="Header"/>
    <w:rsid w:val="00B63FA3"/>
    <w:rPr>
      <w:rFonts w:ascii="Calibri" w:hAnsi="Calibri"/>
      <w:lang w:val="en-NZ"/>
    </w:rPr>
  </w:style>
  <w:style w:type="paragraph" w:styleId="Footer">
    <w:name w:val="footer"/>
    <w:basedOn w:val="Normal"/>
    <w:link w:val="FooterChar"/>
    <w:uiPriority w:val="99"/>
    <w:unhideWhenUsed/>
    <w:rsid w:val="00B63FA3"/>
    <w:pPr>
      <w:tabs>
        <w:tab w:val="center" w:pos="4680"/>
        <w:tab w:val="right" w:pos="9360"/>
      </w:tabs>
    </w:pPr>
  </w:style>
  <w:style w:type="character" w:customStyle="1" w:styleId="FooterChar">
    <w:name w:val="Footer Char"/>
    <w:basedOn w:val="DefaultParagraphFont"/>
    <w:link w:val="Footer"/>
    <w:uiPriority w:val="99"/>
    <w:rsid w:val="00B63FA3"/>
    <w:rPr>
      <w:rFonts w:ascii="Calibri" w:hAnsi="Calibri"/>
      <w:lang w:val="en-NZ"/>
    </w:rPr>
  </w:style>
  <w:style w:type="paragraph" w:customStyle="1" w:styleId="CoverMainHeading">
    <w:name w:val="Cover Main Heading"/>
    <w:basedOn w:val="Normal"/>
    <w:link w:val="CoverMainHeadingChar"/>
    <w:rsid w:val="00280432"/>
    <w:pPr>
      <w:spacing w:after="0" w:line="240" w:lineRule="auto"/>
      <w:ind w:left="90"/>
    </w:pPr>
    <w:rPr>
      <w:b/>
      <w:color w:val="FFFFFF" w:themeColor="background1"/>
      <w:sz w:val="72"/>
      <w:szCs w:val="32"/>
    </w:rPr>
  </w:style>
  <w:style w:type="paragraph" w:customStyle="1" w:styleId="CoverSub-Heading">
    <w:name w:val="Cover Sub-Heading"/>
    <w:basedOn w:val="Normal"/>
    <w:link w:val="CoverSub-HeadingChar"/>
    <w:rsid w:val="00280432"/>
    <w:pPr>
      <w:spacing w:after="0" w:line="240" w:lineRule="auto"/>
      <w:ind w:left="90"/>
    </w:pPr>
    <w:rPr>
      <w:b/>
      <w:color w:val="FFFFFF" w:themeColor="background1"/>
      <w:sz w:val="48"/>
      <w:szCs w:val="32"/>
    </w:rPr>
  </w:style>
  <w:style w:type="character" w:customStyle="1" w:styleId="CoverMainHeadingChar">
    <w:name w:val="Cover Main Heading Char"/>
    <w:basedOn w:val="DefaultParagraphFont"/>
    <w:link w:val="CoverMainHeading"/>
    <w:rsid w:val="00280432"/>
    <w:rPr>
      <w:rFonts w:ascii="Calibri" w:hAnsi="Calibri"/>
      <w:b/>
      <w:color w:val="FFFFFF" w:themeColor="background1"/>
      <w:sz w:val="72"/>
      <w:szCs w:val="32"/>
      <w:lang w:val="en-NZ"/>
    </w:rPr>
  </w:style>
  <w:style w:type="paragraph" w:styleId="BalloonText">
    <w:name w:val="Balloon Text"/>
    <w:basedOn w:val="Normal"/>
    <w:link w:val="BalloonTextChar"/>
    <w:uiPriority w:val="99"/>
    <w:semiHidden/>
    <w:unhideWhenUsed/>
    <w:rsid w:val="00B63FA3"/>
    <w:rPr>
      <w:rFonts w:ascii="Tahoma" w:hAnsi="Tahoma" w:cs="Tahoma"/>
      <w:sz w:val="16"/>
      <w:szCs w:val="16"/>
    </w:rPr>
  </w:style>
  <w:style w:type="character" w:customStyle="1" w:styleId="BalloonTextChar">
    <w:name w:val="Balloon Text Char"/>
    <w:basedOn w:val="DefaultParagraphFont"/>
    <w:link w:val="BalloonText"/>
    <w:uiPriority w:val="99"/>
    <w:semiHidden/>
    <w:rsid w:val="00B63FA3"/>
    <w:rPr>
      <w:rFonts w:ascii="Tahoma" w:hAnsi="Tahoma" w:cs="Tahoma"/>
      <w:sz w:val="16"/>
      <w:szCs w:val="16"/>
      <w:lang w:val="en-NZ"/>
    </w:rPr>
  </w:style>
  <w:style w:type="paragraph" w:customStyle="1" w:styleId="MEQuote">
    <w:name w:val="ME Quote"/>
    <w:basedOn w:val="Normal"/>
    <w:next w:val="Normal"/>
    <w:link w:val="MEQuoteChar"/>
    <w:qFormat/>
    <w:rsid w:val="00603428"/>
    <w:pPr>
      <w:ind w:left="1980" w:right="900"/>
      <w:jc w:val="center"/>
    </w:pPr>
    <w:rPr>
      <w:i/>
    </w:rPr>
  </w:style>
  <w:style w:type="paragraph" w:customStyle="1" w:styleId="CoverClientName">
    <w:name w:val="Cover Client Name"/>
    <w:basedOn w:val="Normal"/>
    <w:link w:val="CoverClientNameChar"/>
    <w:rsid w:val="00280432"/>
    <w:pPr>
      <w:spacing w:after="0" w:line="240" w:lineRule="auto"/>
      <w:ind w:left="90"/>
    </w:pPr>
    <w:rPr>
      <w:color w:val="FFFFFF" w:themeColor="background1"/>
      <w:sz w:val="44"/>
      <w:szCs w:val="32"/>
    </w:rPr>
  </w:style>
  <w:style w:type="paragraph" w:styleId="TableofFigures">
    <w:name w:val="table of figures"/>
    <w:basedOn w:val="Normal"/>
    <w:next w:val="Normal"/>
    <w:uiPriority w:val="99"/>
    <w:unhideWhenUsed/>
    <w:rsid w:val="00236641"/>
    <w:pPr>
      <w:tabs>
        <w:tab w:val="right" w:leader="dot" w:pos="9630"/>
      </w:tabs>
      <w:ind w:left="0"/>
    </w:pPr>
    <w:rPr>
      <w:smallCaps/>
      <w:noProof/>
      <w:sz w:val="24"/>
    </w:rPr>
  </w:style>
  <w:style w:type="character" w:customStyle="1" w:styleId="CoverSub-HeadingChar">
    <w:name w:val="Cover Sub-Heading Char"/>
    <w:basedOn w:val="DefaultParagraphFont"/>
    <w:link w:val="CoverSub-Heading"/>
    <w:rsid w:val="00280432"/>
    <w:rPr>
      <w:rFonts w:ascii="Calibri" w:hAnsi="Calibri"/>
      <w:b/>
      <w:color w:val="FFFFFF" w:themeColor="background1"/>
      <w:sz w:val="48"/>
      <w:szCs w:val="32"/>
      <w:lang w:val="en-NZ"/>
    </w:rPr>
  </w:style>
  <w:style w:type="paragraph" w:customStyle="1" w:styleId="MEheading5">
    <w:name w:val="ME heading 5"/>
    <w:basedOn w:val="Normal"/>
    <w:next w:val="Normal"/>
    <w:autoRedefine/>
    <w:semiHidden/>
    <w:qFormat/>
    <w:rsid w:val="0027718B"/>
    <w:pPr>
      <w:numPr>
        <w:ilvl w:val="4"/>
        <w:numId w:val="1"/>
      </w:numPr>
      <w:tabs>
        <w:tab w:val="left" w:pos="1701"/>
      </w:tabs>
      <w:spacing w:before="220" w:after="220" w:line="300" w:lineRule="exact"/>
      <w:ind w:left="1701" w:hanging="1134"/>
    </w:pPr>
    <w:rPr>
      <w:rFonts w:eastAsia="Times New Roman" w:cs="Times New Roman"/>
      <w:b/>
      <w:bCs/>
      <w:color w:val="262626" w:themeColor="text1" w:themeTint="D9"/>
      <w:sz w:val="24"/>
      <w:szCs w:val="24"/>
    </w:rPr>
  </w:style>
  <w:style w:type="numbering" w:customStyle="1" w:styleId="MELIST">
    <w:name w:val="ME LIST"/>
    <w:uiPriority w:val="99"/>
    <w:rsid w:val="008C016C"/>
    <w:pPr>
      <w:numPr>
        <w:numId w:val="1"/>
      </w:numPr>
    </w:pPr>
  </w:style>
  <w:style w:type="character" w:customStyle="1" w:styleId="Heading1Char">
    <w:name w:val="Heading 1 Char"/>
    <w:basedOn w:val="DefaultParagraphFont"/>
    <w:link w:val="Heading1"/>
    <w:uiPriority w:val="9"/>
    <w:rsid w:val="009905B6"/>
    <w:rPr>
      <w:rFonts w:eastAsiaTheme="majorEastAsia" w:cstheme="minorHAnsi"/>
      <w:b/>
      <w:bCs/>
      <w:color w:val="0179BB"/>
      <w:sz w:val="56"/>
      <w:szCs w:val="44"/>
      <w:lang w:val="en-NZ"/>
    </w:rPr>
  </w:style>
  <w:style w:type="paragraph" w:customStyle="1" w:styleId="MEblueintro">
    <w:name w:val="ME blue intro"/>
    <w:basedOn w:val="Normal"/>
    <w:next w:val="Normal"/>
    <w:autoRedefine/>
    <w:qFormat/>
    <w:rsid w:val="00104E7D"/>
    <w:pPr>
      <w:spacing w:after="220"/>
    </w:pPr>
    <w:rPr>
      <w:rFonts w:asciiTheme="minorHAnsi" w:hAnsiTheme="minorHAnsi" w:cs="Times New Roman"/>
      <w:color w:val="0179BB"/>
      <w:sz w:val="23"/>
      <w:szCs w:val="23"/>
    </w:rPr>
  </w:style>
  <w:style w:type="paragraph" w:customStyle="1" w:styleId="CoverDateStatus">
    <w:name w:val="Cover Date/Status"/>
    <w:basedOn w:val="Normal"/>
    <w:link w:val="CoverDateStatusChar"/>
    <w:rsid w:val="00280432"/>
    <w:pPr>
      <w:spacing w:after="0" w:line="240" w:lineRule="auto"/>
      <w:ind w:left="90"/>
    </w:pPr>
    <w:rPr>
      <w:color w:val="FFFFFF" w:themeColor="background1"/>
      <w:sz w:val="32"/>
      <w:szCs w:val="32"/>
    </w:rPr>
  </w:style>
  <w:style w:type="paragraph" w:styleId="TOC1">
    <w:name w:val="toc 1"/>
    <w:basedOn w:val="Normal"/>
    <w:next w:val="Normal"/>
    <w:autoRedefine/>
    <w:uiPriority w:val="39"/>
    <w:unhideWhenUsed/>
    <w:rsid w:val="00236641"/>
    <w:pPr>
      <w:tabs>
        <w:tab w:val="left" w:pos="900"/>
        <w:tab w:val="right" w:leader="dot" w:pos="9630"/>
      </w:tabs>
      <w:ind w:left="0"/>
    </w:pPr>
    <w:rPr>
      <w:rFonts w:asciiTheme="minorHAnsi" w:hAnsiTheme="minorHAnsi" w:cstheme="minorHAnsi"/>
      <w:b/>
      <w:bCs/>
      <w:caps/>
      <w:noProof/>
      <w:sz w:val="28"/>
      <w:szCs w:val="20"/>
    </w:rPr>
  </w:style>
  <w:style w:type="paragraph" w:styleId="TOC2">
    <w:name w:val="toc 2"/>
    <w:basedOn w:val="Normal"/>
    <w:next w:val="Normal"/>
    <w:autoRedefine/>
    <w:uiPriority w:val="39"/>
    <w:unhideWhenUsed/>
    <w:rsid w:val="003141D3"/>
    <w:pPr>
      <w:tabs>
        <w:tab w:val="left" w:pos="880"/>
        <w:tab w:val="right" w:leader="dot" w:pos="9630"/>
      </w:tabs>
      <w:ind w:left="0"/>
    </w:pPr>
    <w:rPr>
      <w:rFonts w:asciiTheme="minorHAnsi" w:hAnsiTheme="minorHAnsi" w:cstheme="minorHAnsi"/>
      <w:smallCaps/>
      <w:noProof/>
      <w:sz w:val="28"/>
      <w:szCs w:val="20"/>
    </w:rPr>
  </w:style>
  <w:style w:type="paragraph" w:styleId="TOC3">
    <w:name w:val="toc 3"/>
    <w:basedOn w:val="Normal"/>
    <w:next w:val="Normal"/>
    <w:autoRedefine/>
    <w:uiPriority w:val="39"/>
    <w:unhideWhenUsed/>
    <w:rsid w:val="003141D3"/>
    <w:pPr>
      <w:tabs>
        <w:tab w:val="left" w:pos="900"/>
        <w:tab w:val="right" w:leader="dot" w:pos="9630"/>
      </w:tabs>
      <w:ind w:left="0"/>
    </w:pPr>
    <w:rPr>
      <w:rFonts w:asciiTheme="minorHAnsi" w:hAnsiTheme="minorHAnsi" w:cstheme="minorHAnsi"/>
      <w:iCs/>
      <w:noProof/>
      <w:szCs w:val="20"/>
    </w:rPr>
  </w:style>
  <w:style w:type="character" w:customStyle="1" w:styleId="MEQuoteChar">
    <w:name w:val="ME Quote Char"/>
    <w:basedOn w:val="DefaultParagraphFont"/>
    <w:link w:val="MEQuote"/>
    <w:rsid w:val="00603428"/>
    <w:rPr>
      <w:rFonts w:ascii="Calibri" w:hAnsi="Calibri"/>
      <w:i/>
      <w:lang w:val="en-NZ"/>
    </w:rPr>
  </w:style>
  <w:style w:type="character" w:styleId="Hyperlink">
    <w:name w:val="Hyperlink"/>
    <w:basedOn w:val="DefaultParagraphFont"/>
    <w:uiPriority w:val="99"/>
    <w:unhideWhenUsed/>
    <w:rsid w:val="008831D3"/>
    <w:rPr>
      <w:color w:val="0000FF" w:themeColor="hyperlink"/>
      <w:u w:val="single"/>
    </w:rPr>
  </w:style>
  <w:style w:type="paragraph" w:styleId="TOCHeading">
    <w:name w:val="TOC Heading"/>
    <w:basedOn w:val="Heading1"/>
    <w:next w:val="Normal"/>
    <w:uiPriority w:val="39"/>
    <w:unhideWhenUsed/>
    <w:rsid w:val="00126302"/>
    <w:pPr>
      <w:spacing w:line="276" w:lineRule="auto"/>
      <w:outlineLvl w:val="9"/>
    </w:pPr>
    <w:rPr>
      <w:lang w:val="en-US" w:eastAsia="ja-JP"/>
    </w:rPr>
  </w:style>
  <w:style w:type="character" w:customStyle="1" w:styleId="Heading3Char">
    <w:name w:val="Heading 3 Char"/>
    <w:basedOn w:val="DefaultParagraphFont"/>
    <w:link w:val="Heading3"/>
    <w:rsid w:val="0042131C"/>
    <w:rPr>
      <w:rFonts w:eastAsiaTheme="majorEastAsia" w:cstheme="minorHAnsi"/>
      <w:b/>
      <w:bCs/>
      <w:sz w:val="28"/>
      <w:szCs w:val="24"/>
      <w:lang w:val="en-NZ"/>
    </w:rPr>
  </w:style>
  <w:style w:type="character" w:customStyle="1" w:styleId="Heading2Char">
    <w:name w:val="Heading 2 Char"/>
    <w:basedOn w:val="DefaultParagraphFont"/>
    <w:link w:val="Heading2"/>
    <w:rsid w:val="00B2253F"/>
    <w:rPr>
      <w:rFonts w:eastAsiaTheme="majorEastAsia" w:cstheme="minorHAnsi"/>
      <w:b/>
      <w:bCs/>
      <w:sz w:val="36"/>
      <w:szCs w:val="28"/>
      <w:lang w:val="en-NZ"/>
    </w:rPr>
  </w:style>
  <w:style w:type="paragraph" w:styleId="FootnoteText">
    <w:name w:val="footnote text"/>
    <w:basedOn w:val="Normal"/>
    <w:link w:val="FootnoteTextChar"/>
    <w:uiPriority w:val="99"/>
    <w:unhideWhenUsed/>
    <w:rsid w:val="00F21955"/>
    <w:pPr>
      <w:spacing w:after="0" w:line="260" w:lineRule="atLeast"/>
      <w:ind w:left="994"/>
    </w:pPr>
    <w:rPr>
      <w:sz w:val="18"/>
      <w:szCs w:val="20"/>
    </w:rPr>
  </w:style>
  <w:style w:type="character" w:customStyle="1" w:styleId="FootnoteTextChar">
    <w:name w:val="Footnote Text Char"/>
    <w:basedOn w:val="DefaultParagraphFont"/>
    <w:link w:val="FootnoteText"/>
    <w:uiPriority w:val="99"/>
    <w:rsid w:val="00F21955"/>
    <w:rPr>
      <w:rFonts w:ascii="Calibri" w:hAnsi="Calibri"/>
      <w:sz w:val="18"/>
      <w:szCs w:val="20"/>
      <w:lang w:val="en-NZ"/>
    </w:rPr>
  </w:style>
  <w:style w:type="character" w:styleId="FootnoteReference">
    <w:name w:val="footnote reference"/>
    <w:basedOn w:val="DefaultParagraphFont"/>
    <w:uiPriority w:val="99"/>
    <w:semiHidden/>
    <w:unhideWhenUsed/>
    <w:rsid w:val="00E44787"/>
    <w:rPr>
      <w:vertAlign w:val="superscript"/>
    </w:rPr>
  </w:style>
  <w:style w:type="paragraph" w:styleId="Caption">
    <w:name w:val="caption"/>
    <w:basedOn w:val="Normal"/>
    <w:next w:val="Graphicpaste"/>
    <w:uiPriority w:val="35"/>
    <w:unhideWhenUsed/>
    <w:rsid w:val="00A4122C"/>
    <w:pPr>
      <w:keepNext/>
      <w:spacing w:before="360" w:after="200"/>
    </w:pPr>
    <w:rPr>
      <w:b/>
      <w:bCs/>
      <w:color w:val="0179BB"/>
      <w:sz w:val="24"/>
      <w:szCs w:val="28"/>
    </w:rPr>
  </w:style>
  <w:style w:type="paragraph" w:customStyle="1" w:styleId="Style1">
    <w:name w:val="Style1"/>
    <w:basedOn w:val="FootnoteText"/>
    <w:link w:val="Style1Char"/>
    <w:rsid w:val="00E44787"/>
  </w:style>
  <w:style w:type="character" w:customStyle="1" w:styleId="Style1Char">
    <w:name w:val="Style1 Char"/>
    <w:basedOn w:val="FootnoteTextChar"/>
    <w:link w:val="Style1"/>
    <w:rsid w:val="00E44787"/>
    <w:rPr>
      <w:rFonts w:ascii="Calibri" w:hAnsi="Calibri"/>
      <w:sz w:val="20"/>
      <w:szCs w:val="20"/>
      <w:lang w:val="en-NZ"/>
    </w:rPr>
  </w:style>
  <w:style w:type="character" w:customStyle="1" w:styleId="Heading4Char">
    <w:name w:val="Heading 4 Char"/>
    <w:basedOn w:val="DefaultParagraphFont"/>
    <w:link w:val="Heading4"/>
    <w:uiPriority w:val="9"/>
    <w:semiHidden/>
    <w:rsid w:val="0027718B"/>
    <w:rPr>
      <w:rFonts w:asciiTheme="majorHAnsi" w:eastAsiaTheme="majorEastAsia" w:hAnsiTheme="majorHAnsi" w:cstheme="majorBidi"/>
      <w:b/>
      <w:bCs/>
      <w:i/>
      <w:iCs/>
      <w:color w:val="4F81BD" w:themeColor="accent1"/>
      <w:lang w:val="en-NZ"/>
    </w:rPr>
  </w:style>
  <w:style w:type="character" w:customStyle="1" w:styleId="Heading5Char">
    <w:name w:val="Heading 5 Char"/>
    <w:basedOn w:val="DefaultParagraphFont"/>
    <w:link w:val="Heading5"/>
    <w:uiPriority w:val="9"/>
    <w:semiHidden/>
    <w:rsid w:val="0027718B"/>
    <w:rPr>
      <w:rFonts w:asciiTheme="majorHAnsi" w:eastAsiaTheme="majorEastAsia" w:hAnsiTheme="majorHAnsi" w:cstheme="majorBidi"/>
      <w:color w:val="243F60" w:themeColor="accent1" w:themeShade="7F"/>
      <w:lang w:val="en-NZ"/>
    </w:rPr>
  </w:style>
  <w:style w:type="character" w:customStyle="1" w:styleId="Heading6Char">
    <w:name w:val="Heading 6 Char"/>
    <w:basedOn w:val="DefaultParagraphFont"/>
    <w:link w:val="Heading6"/>
    <w:uiPriority w:val="9"/>
    <w:semiHidden/>
    <w:rsid w:val="0027718B"/>
    <w:rPr>
      <w:rFonts w:asciiTheme="majorHAnsi" w:eastAsiaTheme="majorEastAsia" w:hAnsiTheme="majorHAnsi" w:cstheme="majorBidi"/>
      <w:i/>
      <w:iCs/>
      <w:color w:val="243F60" w:themeColor="accent1" w:themeShade="7F"/>
      <w:lang w:val="en-NZ"/>
    </w:rPr>
  </w:style>
  <w:style w:type="character" w:customStyle="1" w:styleId="Heading7Char">
    <w:name w:val="Heading 7 Char"/>
    <w:basedOn w:val="DefaultParagraphFont"/>
    <w:link w:val="Heading7"/>
    <w:uiPriority w:val="9"/>
    <w:semiHidden/>
    <w:rsid w:val="0027718B"/>
    <w:rPr>
      <w:rFonts w:asciiTheme="majorHAnsi" w:eastAsiaTheme="majorEastAsia" w:hAnsiTheme="majorHAnsi" w:cstheme="majorBidi"/>
      <w:i/>
      <w:iCs/>
      <w:color w:val="404040" w:themeColor="text1" w:themeTint="BF"/>
      <w:lang w:val="en-NZ"/>
    </w:rPr>
  </w:style>
  <w:style w:type="character" w:customStyle="1" w:styleId="Heading8Char">
    <w:name w:val="Heading 8 Char"/>
    <w:basedOn w:val="DefaultParagraphFont"/>
    <w:link w:val="Heading8"/>
    <w:uiPriority w:val="9"/>
    <w:semiHidden/>
    <w:rsid w:val="0027718B"/>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uiPriority w:val="9"/>
    <w:semiHidden/>
    <w:rsid w:val="0027718B"/>
    <w:rPr>
      <w:rFonts w:asciiTheme="majorHAnsi" w:eastAsiaTheme="majorEastAsia" w:hAnsiTheme="majorHAnsi" w:cstheme="majorBidi"/>
      <w:i/>
      <w:iCs/>
      <w:color w:val="404040" w:themeColor="text1" w:themeTint="BF"/>
      <w:sz w:val="20"/>
      <w:szCs w:val="20"/>
      <w:lang w:val="en-NZ"/>
    </w:rPr>
  </w:style>
  <w:style w:type="character" w:customStyle="1" w:styleId="CoverClientNameChar">
    <w:name w:val="Cover Client Name Char"/>
    <w:basedOn w:val="DefaultParagraphFont"/>
    <w:link w:val="CoverClientName"/>
    <w:rsid w:val="00280432"/>
    <w:rPr>
      <w:rFonts w:ascii="Calibri" w:hAnsi="Calibri"/>
      <w:color w:val="FFFFFF" w:themeColor="background1"/>
      <w:sz w:val="44"/>
      <w:szCs w:val="32"/>
      <w:lang w:val="en-NZ"/>
    </w:rPr>
  </w:style>
  <w:style w:type="paragraph" w:customStyle="1" w:styleId="InsideMainHeading">
    <w:name w:val="Inside Main Heading"/>
    <w:basedOn w:val="Normal"/>
    <w:link w:val="InsideMainHeadingChar"/>
    <w:rsid w:val="00280432"/>
    <w:pPr>
      <w:spacing w:line="240" w:lineRule="auto"/>
      <w:ind w:left="0"/>
    </w:pPr>
    <w:rPr>
      <w:b/>
      <w:sz w:val="56"/>
    </w:rPr>
  </w:style>
  <w:style w:type="character" w:customStyle="1" w:styleId="CoverDateStatusChar">
    <w:name w:val="Cover Date/Status Char"/>
    <w:basedOn w:val="DefaultParagraphFont"/>
    <w:link w:val="CoverDateStatus"/>
    <w:rsid w:val="00280432"/>
    <w:rPr>
      <w:rFonts w:ascii="Calibri" w:hAnsi="Calibri"/>
      <w:color w:val="FFFFFF" w:themeColor="background1"/>
      <w:sz w:val="32"/>
      <w:szCs w:val="32"/>
      <w:lang w:val="en-NZ"/>
    </w:rPr>
  </w:style>
  <w:style w:type="paragraph" w:customStyle="1" w:styleId="InsideSub-Heading">
    <w:name w:val="Inside Sub-Heading"/>
    <w:basedOn w:val="Normal"/>
    <w:link w:val="InsideSub-HeadingChar"/>
    <w:rsid w:val="00280432"/>
    <w:pPr>
      <w:spacing w:after="0" w:line="240" w:lineRule="auto"/>
      <w:ind w:left="0"/>
    </w:pPr>
    <w:rPr>
      <w:sz w:val="52"/>
    </w:rPr>
  </w:style>
  <w:style w:type="character" w:customStyle="1" w:styleId="InsideMainHeadingChar">
    <w:name w:val="Inside Main Heading Char"/>
    <w:basedOn w:val="DefaultParagraphFont"/>
    <w:link w:val="InsideMainHeading"/>
    <w:rsid w:val="00280432"/>
    <w:rPr>
      <w:rFonts w:ascii="Calibri" w:hAnsi="Calibri"/>
      <w:b/>
      <w:sz w:val="56"/>
      <w:lang w:val="en-NZ"/>
    </w:rPr>
  </w:style>
  <w:style w:type="paragraph" w:customStyle="1" w:styleId="InsideClientName">
    <w:name w:val="Inside Client Name"/>
    <w:basedOn w:val="Normal"/>
    <w:link w:val="InsideClientNameChar"/>
    <w:rsid w:val="00280432"/>
    <w:pPr>
      <w:spacing w:after="0" w:line="240" w:lineRule="auto"/>
      <w:ind w:left="0"/>
    </w:pPr>
    <w:rPr>
      <w:b/>
      <w:color w:val="0179BB"/>
      <w:sz w:val="52"/>
    </w:rPr>
  </w:style>
  <w:style w:type="character" w:customStyle="1" w:styleId="InsideSub-HeadingChar">
    <w:name w:val="Inside Sub-Heading Char"/>
    <w:basedOn w:val="DefaultParagraphFont"/>
    <w:link w:val="InsideSub-Heading"/>
    <w:rsid w:val="00280432"/>
    <w:rPr>
      <w:rFonts w:ascii="Calibri" w:hAnsi="Calibri"/>
      <w:sz w:val="52"/>
      <w:lang w:val="en-NZ"/>
    </w:rPr>
  </w:style>
  <w:style w:type="paragraph" w:customStyle="1" w:styleId="InsideDocumentDetails">
    <w:name w:val="Inside Document Details"/>
    <w:basedOn w:val="Normal"/>
    <w:link w:val="InsideDocumentDetailsChar"/>
    <w:rsid w:val="009905B6"/>
    <w:pPr>
      <w:spacing w:after="120" w:line="240" w:lineRule="auto"/>
      <w:ind w:left="0"/>
    </w:pPr>
    <w:rPr>
      <w:sz w:val="24"/>
      <w:szCs w:val="24"/>
    </w:rPr>
  </w:style>
  <w:style w:type="character" w:customStyle="1" w:styleId="InsideClientNameChar">
    <w:name w:val="Inside Client Name Char"/>
    <w:basedOn w:val="DefaultParagraphFont"/>
    <w:link w:val="InsideClientName"/>
    <w:rsid w:val="00280432"/>
    <w:rPr>
      <w:rFonts w:ascii="Calibri" w:hAnsi="Calibri"/>
      <w:b/>
      <w:color w:val="0179BB"/>
      <w:sz w:val="52"/>
      <w:lang w:val="en-NZ"/>
    </w:rPr>
  </w:style>
  <w:style w:type="paragraph" w:customStyle="1" w:styleId="DisclaimerHeading">
    <w:name w:val="Disclaimer Heading"/>
    <w:basedOn w:val="Normal"/>
    <w:link w:val="DisclaimerHeadingChar"/>
    <w:rsid w:val="00326555"/>
    <w:pPr>
      <w:spacing w:after="120"/>
      <w:ind w:left="0"/>
    </w:pPr>
    <w:rPr>
      <w:b/>
      <w:color w:val="0179BB"/>
      <w:sz w:val="20"/>
    </w:rPr>
  </w:style>
  <w:style w:type="character" w:customStyle="1" w:styleId="InsideDocumentDetailsChar">
    <w:name w:val="Inside Document Details Char"/>
    <w:basedOn w:val="DefaultParagraphFont"/>
    <w:link w:val="InsideDocumentDetails"/>
    <w:rsid w:val="009905B6"/>
    <w:rPr>
      <w:rFonts w:ascii="Calibri" w:hAnsi="Calibri"/>
      <w:sz w:val="24"/>
      <w:szCs w:val="24"/>
      <w:lang w:val="en-NZ"/>
    </w:rPr>
  </w:style>
  <w:style w:type="paragraph" w:customStyle="1" w:styleId="DisclaimerText">
    <w:name w:val="Disclaimer Text"/>
    <w:basedOn w:val="Normal"/>
    <w:link w:val="DisclaimerTextChar"/>
    <w:rsid w:val="00326555"/>
    <w:pPr>
      <w:spacing w:after="0" w:line="260" w:lineRule="atLeast"/>
      <w:ind w:left="0"/>
    </w:pPr>
    <w:rPr>
      <w:sz w:val="20"/>
    </w:rPr>
  </w:style>
  <w:style w:type="character" w:customStyle="1" w:styleId="DisclaimerHeadingChar">
    <w:name w:val="Disclaimer Heading Char"/>
    <w:basedOn w:val="DefaultParagraphFont"/>
    <w:link w:val="DisclaimerHeading"/>
    <w:rsid w:val="00326555"/>
    <w:rPr>
      <w:rFonts w:ascii="Calibri" w:hAnsi="Calibri"/>
      <w:b/>
      <w:color w:val="0179BB"/>
      <w:sz w:val="20"/>
      <w:lang w:val="en-NZ"/>
    </w:rPr>
  </w:style>
  <w:style w:type="paragraph" w:customStyle="1" w:styleId="InsideAddress">
    <w:name w:val="Inside Address"/>
    <w:basedOn w:val="Normal"/>
    <w:link w:val="InsideAddressChar"/>
    <w:rsid w:val="00280432"/>
    <w:pPr>
      <w:spacing w:after="0"/>
      <w:jc w:val="right"/>
    </w:pPr>
  </w:style>
  <w:style w:type="character" w:customStyle="1" w:styleId="DisclaimerTextChar">
    <w:name w:val="Disclaimer Text Char"/>
    <w:basedOn w:val="DefaultParagraphFont"/>
    <w:link w:val="DisclaimerText"/>
    <w:rsid w:val="00326555"/>
    <w:rPr>
      <w:rFonts w:ascii="Calibri" w:hAnsi="Calibri"/>
      <w:sz w:val="20"/>
      <w:lang w:val="en-NZ"/>
    </w:rPr>
  </w:style>
  <w:style w:type="paragraph" w:customStyle="1" w:styleId="ContentsFigureHeading">
    <w:name w:val="Contents Figure Heading"/>
    <w:basedOn w:val="Normal"/>
    <w:link w:val="ContentsFigureHeadingChar"/>
    <w:rsid w:val="005E10FF"/>
    <w:pPr>
      <w:spacing w:line="240" w:lineRule="auto"/>
      <w:ind w:left="0"/>
    </w:pPr>
    <w:rPr>
      <w:b/>
      <w:color w:val="0179BB"/>
      <w:sz w:val="56"/>
      <w:szCs w:val="72"/>
    </w:rPr>
  </w:style>
  <w:style w:type="character" w:customStyle="1" w:styleId="InsideAddressChar">
    <w:name w:val="Inside Address Char"/>
    <w:basedOn w:val="DefaultParagraphFont"/>
    <w:link w:val="InsideAddress"/>
    <w:rsid w:val="00280432"/>
    <w:rPr>
      <w:rFonts w:ascii="Calibri" w:hAnsi="Calibri"/>
      <w:lang w:val="en-NZ"/>
    </w:rPr>
  </w:style>
  <w:style w:type="character" w:customStyle="1" w:styleId="ContentsFigureHeadingChar">
    <w:name w:val="Contents Figure Heading Char"/>
    <w:basedOn w:val="DefaultParagraphFont"/>
    <w:link w:val="ContentsFigureHeading"/>
    <w:rsid w:val="005E10FF"/>
    <w:rPr>
      <w:rFonts w:ascii="Calibri" w:hAnsi="Calibri"/>
      <w:b/>
      <w:color w:val="0179BB"/>
      <w:sz w:val="56"/>
      <w:szCs w:val="72"/>
      <w:lang w:val="en-NZ"/>
    </w:rPr>
  </w:style>
  <w:style w:type="paragraph" w:styleId="ListParagraph">
    <w:name w:val="List Paragraph"/>
    <w:basedOn w:val="Normal"/>
    <w:link w:val="ListParagraphChar"/>
    <w:uiPriority w:val="34"/>
    <w:qFormat/>
    <w:rsid w:val="002241E9"/>
    <w:pPr>
      <w:ind w:left="720"/>
      <w:contextualSpacing/>
    </w:pPr>
  </w:style>
  <w:style w:type="paragraph" w:customStyle="1" w:styleId="Bullets">
    <w:name w:val="Bullets"/>
    <w:basedOn w:val="ListParagraph"/>
    <w:link w:val="BulletsChar"/>
    <w:rsid w:val="002241E9"/>
    <w:pPr>
      <w:numPr>
        <w:numId w:val="7"/>
      </w:numPr>
    </w:pPr>
  </w:style>
  <w:style w:type="character" w:customStyle="1" w:styleId="ListParagraphChar">
    <w:name w:val="List Paragraph Char"/>
    <w:basedOn w:val="DefaultParagraphFont"/>
    <w:link w:val="ListParagraph"/>
    <w:uiPriority w:val="34"/>
    <w:rsid w:val="002241E9"/>
    <w:rPr>
      <w:rFonts w:ascii="Calibri" w:hAnsi="Calibri"/>
      <w:lang w:val="en-NZ"/>
    </w:rPr>
  </w:style>
  <w:style w:type="character" w:customStyle="1" w:styleId="BulletsChar">
    <w:name w:val="Bullets Char"/>
    <w:basedOn w:val="ListParagraphChar"/>
    <w:link w:val="Bullets"/>
    <w:rsid w:val="002241E9"/>
    <w:rPr>
      <w:rFonts w:ascii="Calibri" w:hAnsi="Calibri"/>
      <w:lang w:val="en-NZ"/>
    </w:rPr>
  </w:style>
  <w:style w:type="paragraph" w:customStyle="1" w:styleId="Graphicpaste">
    <w:name w:val="Graphic paste"/>
    <w:basedOn w:val="Normal"/>
    <w:next w:val="Normal"/>
    <w:link w:val="GraphicpasteChar"/>
    <w:rsid w:val="00A4122C"/>
    <w:pPr>
      <w:spacing w:after="360"/>
      <w:ind w:left="994"/>
      <w:jc w:val="center"/>
    </w:pPr>
  </w:style>
  <w:style w:type="paragraph" w:customStyle="1" w:styleId="Sub-heading">
    <w:name w:val="Sub-heading"/>
    <w:basedOn w:val="Normal"/>
    <w:next w:val="Normal"/>
    <w:link w:val="Sub-headingChar"/>
    <w:qFormat/>
    <w:rsid w:val="00A4122C"/>
    <w:pPr>
      <w:ind w:left="994"/>
    </w:pPr>
    <w:rPr>
      <w:b/>
    </w:rPr>
  </w:style>
  <w:style w:type="character" w:customStyle="1" w:styleId="GraphicpasteChar">
    <w:name w:val="Graphic paste Char"/>
    <w:basedOn w:val="DefaultParagraphFont"/>
    <w:link w:val="Graphicpaste"/>
    <w:rsid w:val="00A4122C"/>
    <w:rPr>
      <w:rFonts w:ascii="Calibri" w:hAnsi="Calibri"/>
      <w:lang w:val="en-NZ"/>
    </w:rPr>
  </w:style>
  <w:style w:type="paragraph" w:customStyle="1" w:styleId="MEBullet">
    <w:name w:val="ME Bullet"/>
    <w:basedOn w:val="ListParagraph"/>
    <w:link w:val="MEBulletChar"/>
    <w:qFormat/>
    <w:rsid w:val="00281379"/>
    <w:pPr>
      <w:numPr>
        <w:numId w:val="9"/>
      </w:numPr>
      <w:spacing w:after="180"/>
      <w:contextualSpacing w:val="0"/>
    </w:pPr>
  </w:style>
  <w:style w:type="character" w:customStyle="1" w:styleId="Sub-headingChar">
    <w:name w:val="Sub-heading Char"/>
    <w:basedOn w:val="DefaultParagraphFont"/>
    <w:link w:val="Sub-heading"/>
    <w:rsid w:val="00A4122C"/>
    <w:rPr>
      <w:rFonts w:ascii="Calibri" w:hAnsi="Calibri"/>
      <w:b/>
      <w:lang w:val="en-NZ"/>
    </w:rPr>
  </w:style>
  <w:style w:type="paragraph" w:customStyle="1" w:styleId="abclist">
    <w:name w:val="abc list"/>
    <w:basedOn w:val="ListParagraph"/>
    <w:link w:val="abclistChar"/>
    <w:qFormat/>
    <w:rsid w:val="00281379"/>
    <w:pPr>
      <w:numPr>
        <w:numId w:val="10"/>
      </w:numPr>
      <w:spacing w:after="180"/>
      <w:ind w:left="1714"/>
      <w:contextualSpacing w:val="0"/>
    </w:pPr>
  </w:style>
  <w:style w:type="character" w:customStyle="1" w:styleId="MEBulletChar">
    <w:name w:val="ME Bullet Char"/>
    <w:basedOn w:val="ListParagraphChar"/>
    <w:link w:val="MEBullet"/>
    <w:rsid w:val="00281379"/>
    <w:rPr>
      <w:rFonts w:ascii="Calibri" w:hAnsi="Calibri"/>
      <w:lang w:val="en-NZ"/>
    </w:rPr>
  </w:style>
  <w:style w:type="paragraph" w:customStyle="1" w:styleId="romannolist">
    <w:name w:val="roman no list"/>
    <w:basedOn w:val="ListParagraph"/>
    <w:link w:val="romannolistChar"/>
    <w:qFormat/>
    <w:rsid w:val="00783CA4"/>
    <w:pPr>
      <w:numPr>
        <w:numId w:val="12"/>
      </w:numPr>
      <w:spacing w:after="180"/>
      <w:ind w:hanging="450"/>
      <w:contextualSpacing w:val="0"/>
    </w:pPr>
  </w:style>
  <w:style w:type="character" w:customStyle="1" w:styleId="abclistChar">
    <w:name w:val="abc list Char"/>
    <w:basedOn w:val="ListParagraphChar"/>
    <w:link w:val="abclist"/>
    <w:rsid w:val="00281379"/>
    <w:rPr>
      <w:rFonts w:ascii="Calibri" w:hAnsi="Calibri"/>
      <w:lang w:val="en-NZ"/>
    </w:rPr>
  </w:style>
  <w:style w:type="paragraph" w:customStyle="1" w:styleId="InsideWebAddress">
    <w:name w:val="Inside Web Address"/>
    <w:basedOn w:val="Normal"/>
    <w:link w:val="InsideWebAddressChar"/>
    <w:rsid w:val="00F03ED6"/>
    <w:pPr>
      <w:ind w:left="180"/>
      <w:jc w:val="left"/>
    </w:pPr>
    <w:rPr>
      <w:color w:val="FFFFFF" w:themeColor="background1"/>
      <w:sz w:val="48"/>
    </w:rPr>
  </w:style>
  <w:style w:type="character" w:customStyle="1" w:styleId="romannolistChar">
    <w:name w:val="roman no list Char"/>
    <w:basedOn w:val="ListParagraphChar"/>
    <w:link w:val="romannolist"/>
    <w:rsid w:val="00783CA4"/>
    <w:rPr>
      <w:rFonts w:ascii="Calibri" w:hAnsi="Calibri"/>
      <w:lang w:val="en-NZ"/>
    </w:rPr>
  </w:style>
  <w:style w:type="character" w:customStyle="1" w:styleId="InsideWebAddressChar">
    <w:name w:val="Inside Web Address Char"/>
    <w:basedOn w:val="DefaultParagraphFont"/>
    <w:link w:val="InsideWebAddress"/>
    <w:rsid w:val="00F03ED6"/>
    <w:rPr>
      <w:rFonts w:ascii="Calibri" w:hAnsi="Calibri"/>
      <w:color w:val="FFFFFF" w:themeColor="background1"/>
      <w:sz w:val="48"/>
      <w:lang w:val="en-NZ"/>
    </w:rPr>
  </w:style>
  <w:style w:type="paragraph" w:customStyle="1" w:styleId="MEFootnoteSuperscript">
    <w:name w:val="ME Footnote Superscript"/>
    <w:basedOn w:val="Normal"/>
    <w:link w:val="MEFootnoteSuperscriptChar"/>
    <w:rsid w:val="00336903"/>
    <w:rPr>
      <w:color w:val="0179BB"/>
      <w:vertAlign w:val="superscript"/>
    </w:rPr>
  </w:style>
  <w:style w:type="paragraph" w:customStyle="1" w:styleId="FootnoteText1">
    <w:name w:val="Footnote Text1"/>
    <w:basedOn w:val="FootnoteText"/>
    <w:link w:val="FootnotetextChar0"/>
    <w:rsid w:val="00336903"/>
    <w:pPr>
      <w:spacing w:after="120" w:line="240" w:lineRule="atLeast"/>
    </w:pPr>
  </w:style>
  <w:style w:type="character" w:customStyle="1" w:styleId="MEFootnoteSuperscriptChar">
    <w:name w:val="ME Footnote Superscript Char"/>
    <w:basedOn w:val="DefaultParagraphFont"/>
    <w:link w:val="MEFootnoteSuperscript"/>
    <w:rsid w:val="00336903"/>
    <w:rPr>
      <w:rFonts w:ascii="Calibri" w:hAnsi="Calibri"/>
      <w:color w:val="0179BB"/>
      <w:vertAlign w:val="superscript"/>
      <w:lang w:val="en-NZ"/>
    </w:rPr>
  </w:style>
  <w:style w:type="character" w:customStyle="1" w:styleId="FootnotetextChar0">
    <w:name w:val="Footnote text Char"/>
    <w:basedOn w:val="FootnoteTextChar"/>
    <w:link w:val="FootnoteText1"/>
    <w:rsid w:val="00336903"/>
    <w:rPr>
      <w:rFonts w:ascii="Calibri" w:hAnsi="Calibri"/>
      <w:sz w:val="18"/>
      <w:szCs w:val="20"/>
      <w:lang w:val="en-NZ"/>
    </w:rPr>
  </w:style>
  <w:style w:type="paragraph" w:customStyle="1" w:styleId="123list">
    <w:name w:val="123 list"/>
    <w:basedOn w:val="ListParagraph"/>
    <w:link w:val="123listChar"/>
    <w:qFormat/>
    <w:rsid w:val="00783CA4"/>
    <w:pPr>
      <w:numPr>
        <w:numId w:val="26"/>
      </w:numPr>
      <w:spacing w:after="180"/>
      <w:contextualSpacing w:val="0"/>
    </w:pPr>
  </w:style>
  <w:style w:type="character" w:customStyle="1" w:styleId="123listChar">
    <w:name w:val="123 list Char"/>
    <w:basedOn w:val="ListParagraphChar"/>
    <w:link w:val="123list"/>
    <w:rsid w:val="00783CA4"/>
    <w:rPr>
      <w:rFonts w:ascii="Calibri" w:hAnsi="Calibri"/>
      <w:lang w:val="en-NZ"/>
    </w:rPr>
  </w:style>
  <w:style w:type="paragraph" w:customStyle="1" w:styleId="Default">
    <w:name w:val="Default"/>
    <w:rsid w:val="00CD01E8"/>
    <w:pPr>
      <w:autoSpaceDE w:val="0"/>
      <w:autoSpaceDN w:val="0"/>
      <w:adjustRightInd w:val="0"/>
      <w:spacing w:after="0" w:line="240" w:lineRule="auto"/>
    </w:pPr>
    <w:rPr>
      <w:rFonts w:ascii="Calibri" w:hAnsi="Calibri" w:cs="Calibri"/>
      <w:color w:val="000000"/>
      <w:sz w:val="24"/>
      <w:szCs w:val="24"/>
      <w:lang w:val="en-NZ"/>
    </w:rPr>
  </w:style>
  <w:style w:type="table" w:styleId="TableGrid">
    <w:name w:val="Table Grid"/>
    <w:basedOn w:val="TableNormal"/>
    <w:uiPriority w:val="59"/>
    <w:rsid w:val="00CD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
    <w:name w:val="List Table 1 Light - Accent 11"/>
    <w:basedOn w:val="TableNormal"/>
    <w:uiPriority w:val="46"/>
    <w:rsid w:val="00BC60B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C72443"/>
  </w:style>
  <w:style w:type="character" w:styleId="CommentReference">
    <w:name w:val="annotation reference"/>
    <w:basedOn w:val="DefaultParagraphFont"/>
    <w:uiPriority w:val="99"/>
    <w:semiHidden/>
    <w:unhideWhenUsed/>
    <w:rsid w:val="00A77E28"/>
    <w:rPr>
      <w:sz w:val="16"/>
      <w:szCs w:val="16"/>
    </w:rPr>
  </w:style>
  <w:style w:type="paragraph" w:styleId="CommentText">
    <w:name w:val="annotation text"/>
    <w:basedOn w:val="Normal"/>
    <w:link w:val="CommentTextChar"/>
    <w:uiPriority w:val="99"/>
    <w:semiHidden/>
    <w:unhideWhenUsed/>
    <w:rsid w:val="00A77E28"/>
    <w:pPr>
      <w:spacing w:line="240" w:lineRule="auto"/>
    </w:pPr>
    <w:rPr>
      <w:sz w:val="20"/>
      <w:szCs w:val="20"/>
    </w:rPr>
  </w:style>
  <w:style w:type="character" w:customStyle="1" w:styleId="CommentTextChar">
    <w:name w:val="Comment Text Char"/>
    <w:basedOn w:val="DefaultParagraphFont"/>
    <w:link w:val="CommentText"/>
    <w:uiPriority w:val="99"/>
    <w:semiHidden/>
    <w:rsid w:val="00A77E28"/>
    <w:rPr>
      <w:rFonts w:ascii="Calibri" w:hAnsi="Calibri"/>
      <w:sz w:val="20"/>
      <w:szCs w:val="20"/>
      <w:lang w:val="en-NZ"/>
    </w:rPr>
  </w:style>
  <w:style w:type="paragraph" w:styleId="CommentSubject">
    <w:name w:val="annotation subject"/>
    <w:basedOn w:val="CommentText"/>
    <w:next w:val="CommentText"/>
    <w:link w:val="CommentSubjectChar"/>
    <w:uiPriority w:val="99"/>
    <w:semiHidden/>
    <w:unhideWhenUsed/>
    <w:rsid w:val="00A77E28"/>
    <w:rPr>
      <w:b/>
      <w:bCs/>
    </w:rPr>
  </w:style>
  <w:style w:type="character" w:customStyle="1" w:styleId="CommentSubjectChar">
    <w:name w:val="Comment Subject Char"/>
    <w:basedOn w:val="CommentTextChar"/>
    <w:link w:val="CommentSubject"/>
    <w:uiPriority w:val="99"/>
    <w:semiHidden/>
    <w:rsid w:val="00A77E28"/>
    <w:rPr>
      <w:rFonts w:ascii="Calibri" w:hAnsi="Calibri"/>
      <w:b/>
      <w:bCs/>
      <w:sz w:val="20"/>
      <w:szCs w:val="20"/>
      <w:lang w:val="en-NZ"/>
    </w:rPr>
  </w:style>
  <w:style w:type="paragraph" w:styleId="BodyText">
    <w:name w:val="Body Text"/>
    <w:basedOn w:val="Normal"/>
    <w:link w:val="BodyTextChar"/>
    <w:qFormat/>
    <w:rsid w:val="00BB2EEA"/>
    <w:pPr>
      <w:spacing w:after="180" w:line="288" w:lineRule="atLeast"/>
      <w:ind w:left="0"/>
      <w:jc w:val="left"/>
    </w:pPr>
    <w:rPr>
      <w:rFonts w:eastAsia="Times New Roman" w:cs="Times New Roman"/>
      <w:szCs w:val="24"/>
      <w:lang w:eastAsia="en-GB"/>
    </w:rPr>
  </w:style>
  <w:style w:type="character" w:customStyle="1" w:styleId="BodyTextChar">
    <w:name w:val="Body Text Char"/>
    <w:basedOn w:val="DefaultParagraphFont"/>
    <w:link w:val="BodyText"/>
    <w:rsid w:val="00BB2EEA"/>
    <w:rPr>
      <w:rFonts w:ascii="Calibri" w:eastAsia="Times New Roman" w:hAnsi="Calibri" w:cs="Times New Roman"/>
      <w:szCs w:val="24"/>
      <w:lang w:val="en-NZ" w:eastAsia="en-GB"/>
    </w:rPr>
  </w:style>
  <w:style w:type="paragraph" w:customStyle="1" w:styleId="NumberedList">
    <w:name w:val="Numbered List"/>
    <w:basedOn w:val="Normal"/>
    <w:rsid w:val="00F57917"/>
    <w:pPr>
      <w:numPr>
        <w:numId w:val="20"/>
      </w:numPr>
      <w:spacing w:after="160" w:line="240" w:lineRule="atLeast"/>
      <w:jc w:val="left"/>
    </w:pPr>
    <w:rPr>
      <w:rFonts w:ascii="Arial" w:eastAsia="Times New Roman" w:hAnsi="Arial" w:cs="Times New Roman"/>
      <w:sz w:val="20"/>
      <w:szCs w:val="24"/>
    </w:rPr>
  </w:style>
  <w:style w:type="table" w:styleId="GridTable5Dark-Accent1">
    <w:name w:val="Grid Table 5 Dark Accent 1"/>
    <w:basedOn w:val="TableNormal"/>
    <w:uiPriority w:val="50"/>
    <w:rsid w:val="00E808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2-Accent1">
    <w:name w:val="List Table 2 Accent 1"/>
    <w:basedOn w:val="TableNormal"/>
    <w:uiPriority w:val="47"/>
    <w:rsid w:val="0024427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2D778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BE777E"/>
    <w:pPr>
      <w:spacing w:after="0" w:line="240" w:lineRule="auto"/>
    </w:pPr>
    <w:rPr>
      <w:rFonts w:ascii="Calibri" w:hAnsi="Calibri"/>
      <w:lang w:val="en-NZ"/>
    </w:rPr>
  </w:style>
  <w:style w:type="character" w:styleId="FollowedHyperlink">
    <w:name w:val="FollowedHyperlink"/>
    <w:basedOn w:val="DefaultParagraphFont"/>
    <w:uiPriority w:val="99"/>
    <w:semiHidden/>
    <w:unhideWhenUsed/>
    <w:rsid w:val="00BE4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4892">
      <w:bodyDiv w:val="1"/>
      <w:marLeft w:val="0"/>
      <w:marRight w:val="0"/>
      <w:marTop w:val="0"/>
      <w:marBottom w:val="0"/>
      <w:divBdr>
        <w:top w:val="none" w:sz="0" w:space="0" w:color="auto"/>
        <w:left w:val="none" w:sz="0" w:space="0" w:color="auto"/>
        <w:bottom w:val="none" w:sz="0" w:space="0" w:color="auto"/>
        <w:right w:val="none" w:sz="0" w:space="0" w:color="auto"/>
      </w:divBdr>
    </w:div>
    <w:div w:id="99883730">
      <w:bodyDiv w:val="1"/>
      <w:marLeft w:val="0"/>
      <w:marRight w:val="0"/>
      <w:marTop w:val="0"/>
      <w:marBottom w:val="0"/>
      <w:divBdr>
        <w:top w:val="none" w:sz="0" w:space="0" w:color="auto"/>
        <w:left w:val="none" w:sz="0" w:space="0" w:color="auto"/>
        <w:bottom w:val="none" w:sz="0" w:space="0" w:color="auto"/>
        <w:right w:val="none" w:sz="0" w:space="0" w:color="auto"/>
      </w:divBdr>
    </w:div>
    <w:div w:id="162211406">
      <w:bodyDiv w:val="1"/>
      <w:marLeft w:val="0"/>
      <w:marRight w:val="0"/>
      <w:marTop w:val="0"/>
      <w:marBottom w:val="0"/>
      <w:divBdr>
        <w:top w:val="none" w:sz="0" w:space="0" w:color="auto"/>
        <w:left w:val="none" w:sz="0" w:space="0" w:color="auto"/>
        <w:bottom w:val="none" w:sz="0" w:space="0" w:color="auto"/>
        <w:right w:val="none" w:sz="0" w:space="0" w:color="auto"/>
      </w:divBdr>
    </w:div>
    <w:div w:id="207910953">
      <w:bodyDiv w:val="1"/>
      <w:marLeft w:val="0"/>
      <w:marRight w:val="0"/>
      <w:marTop w:val="0"/>
      <w:marBottom w:val="0"/>
      <w:divBdr>
        <w:top w:val="none" w:sz="0" w:space="0" w:color="auto"/>
        <w:left w:val="none" w:sz="0" w:space="0" w:color="auto"/>
        <w:bottom w:val="none" w:sz="0" w:space="0" w:color="auto"/>
        <w:right w:val="none" w:sz="0" w:space="0" w:color="auto"/>
      </w:divBdr>
    </w:div>
    <w:div w:id="239096523">
      <w:bodyDiv w:val="1"/>
      <w:marLeft w:val="0"/>
      <w:marRight w:val="0"/>
      <w:marTop w:val="0"/>
      <w:marBottom w:val="0"/>
      <w:divBdr>
        <w:top w:val="none" w:sz="0" w:space="0" w:color="auto"/>
        <w:left w:val="none" w:sz="0" w:space="0" w:color="auto"/>
        <w:bottom w:val="none" w:sz="0" w:space="0" w:color="auto"/>
        <w:right w:val="none" w:sz="0" w:space="0" w:color="auto"/>
      </w:divBdr>
    </w:div>
    <w:div w:id="298922624">
      <w:bodyDiv w:val="1"/>
      <w:marLeft w:val="0"/>
      <w:marRight w:val="0"/>
      <w:marTop w:val="0"/>
      <w:marBottom w:val="0"/>
      <w:divBdr>
        <w:top w:val="none" w:sz="0" w:space="0" w:color="auto"/>
        <w:left w:val="none" w:sz="0" w:space="0" w:color="auto"/>
        <w:bottom w:val="none" w:sz="0" w:space="0" w:color="auto"/>
        <w:right w:val="none" w:sz="0" w:space="0" w:color="auto"/>
      </w:divBdr>
    </w:div>
    <w:div w:id="429935961">
      <w:bodyDiv w:val="1"/>
      <w:marLeft w:val="0"/>
      <w:marRight w:val="0"/>
      <w:marTop w:val="0"/>
      <w:marBottom w:val="0"/>
      <w:divBdr>
        <w:top w:val="none" w:sz="0" w:space="0" w:color="auto"/>
        <w:left w:val="none" w:sz="0" w:space="0" w:color="auto"/>
        <w:bottom w:val="none" w:sz="0" w:space="0" w:color="auto"/>
        <w:right w:val="none" w:sz="0" w:space="0" w:color="auto"/>
      </w:divBdr>
      <w:divsChild>
        <w:div w:id="1124620929">
          <w:marLeft w:val="0"/>
          <w:marRight w:val="0"/>
          <w:marTop w:val="0"/>
          <w:marBottom w:val="0"/>
          <w:divBdr>
            <w:top w:val="none" w:sz="0" w:space="0" w:color="auto"/>
            <w:left w:val="none" w:sz="0" w:space="0" w:color="auto"/>
            <w:bottom w:val="none" w:sz="0" w:space="0" w:color="auto"/>
            <w:right w:val="none" w:sz="0" w:space="0" w:color="auto"/>
          </w:divBdr>
          <w:divsChild>
            <w:div w:id="227107588">
              <w:marLeft w:val="0"/>
              <w:marRight w:val="0"/>
              <w:marTop w:val="0"/>
              <w:marBottom w:val="0"/>
              <w:divBdr>
                <w:top w:val="none" w:sz="0" w:space="0" w:color="auto"/>
                <w:left w:val="none" w:sz="0" w:space="0" w:color="auto"/>
                <w:bottom w:val="single" w:sz="6" w:space="0" w:color="666666"/>
                <w:right w:val="none" w:sz="0" w:space="0" w:color="auto"/>
              </w:divBdr>
            </w:div>
          </w:divsChild>
        </w:div>
        <w:div w:id="1488664560">
          <w:marLeft w:val="0"/>
          <w:marRight w:val="0"/>
          <w:marTop w:val="0"/>
          <w:marBottom w:val="0"/>
          <w:divBdr>
            <w:top w:val="none" w:sz="0" w:space="0" w:color="auto"/>
            <w:left w:val="none" w:sz="0" w:space="0" w:color="auto"/>
            <w:bottom w:val="none" w:sz="0" w:space="0" w:color="auto"/>
            <w:right w:val="none" w:sz="0" w:space="0" w:color="auto"/>
          </w:divBdr>
          <w:divsChild>
            <w:div w:id="815878782">
              <w:marLeft w:val="0"/>
              <w:marRight w:val="765"/>
              <w:marTop w:val="285"/>
              <w:marBottom w:val="0"/>
              <w:divBdr>
                <w:top w:val="none" w:sz="0" w:space="0" w:color="auto"/>
                <w:left w:val="none" w:sz="0" w:space="0" w:color="auto"/>
                <w:bottom w:val="none" w:sz="0" w:space="0" w:color="auto"/>
                <w:right w:val="none" w:sz="0" w:space="0" w:color="auto"/>
              </w:divBdr>
            </w:div>
          </w:divsChild>
        </w:div>
      </w:divsChild>
    </w:div>
    <w:div w:id="506097772">
      <w:bodyDiv w:val="1"/>
      <w:marLeft w:val="0"/>
      <w:marRight w:val="0"/>
      <w:marTop w:val="0"/>
      <w:marBottom w:val="0"/>
      <w:divBdr>
        <w:top w:val="none" w:sz="0" w:space="0" w:color="auto"/>
        <w:left w:val="none" w:sz="0" w:space="0" w:color="auto"/>
        <w:bottom w:val="none" w:sz="0" w:space="0" w:color="auto"/>
        <w:right w:val="none" w:sz="0" w:space="0" w:color="auto"/>
      </w:divBdr>
    </w:div>
    <w:div w:id="534393039">
      <w:bodyDiv w:val="1"/>
      <w:marLeft w:val="0"/>
      <w:marRight w:val="0"/>
      <w:marTop w:val="0"/>
      <w:marBottom w:val="0"/>
      <w:divBdr>
        <w:top w:val="none" w:sz="0" w:space="0" w:color="auto"/>
        <w:left w:val="none" w:sz="0" w:space="0" w:color="auto"/>
        <w:bottom w:val="none" w:sz="0" w:space="0" w:color="auto"/>
        <w:right w:val="none" w:sz="0" w:space="0" w:color="auto"/>
      </w:divBdr>
    </w:div>
    <w:div w:id="801461472">
      <w:bodyDiv w:val="1"/>
      <w:marLeft w:val="0"/>
      <w:marRight w:val="0"/>
      <w:marTop w:val="0"/>
      <w:marBottom w:val="0"/>
      <w:divBdr>
        <w:top w:val="none" w:sz="0" w:space="0" w:color="auto"/>
        <w:left w:val="none" w:sz="0" w:space="0" w:color="auto"/>
        <w:bottom w:val="none" w:sz="0" w:space="0" w:color="auto"/>
        <w:right w:val="none" w:sz="0" w:space="0" w:color="auto"/>
      </w:divBdr>
    </w:div>
    <w:div w:id="855584771">
      <w:bodyDiv w:val="1"/>
      <w:marLeft w:val="0"/>
      <w:marRight w:val="0"/>
      <w:marTop w:val="0"/>
      <w:marBottom w:val="0"/>
      <w:divBdr>
        <w:top w:val="none" w:sz="0" w:space="0" w:color="auto"/>
        <w:left w:val="none" w:sz="0" w:space="0" w:color="auto"/>
        <w:bottom w:val="none" w:sz="0" w:space="0" w:color="auto"/>
        <w:right w:val="none" w:sz="0" w:space="0" w:color="auto"/>
      </w:divBdr>
    </w:div>
    <w:div w:id="857737240">
      <w:bodyDiv w:val="1"/>
      <w:marLeft w:val="0"/>
      <w:marRight w:val="0"/>
      <w:marTop w:val="0"/>
      <w:marBottom w:val="0"/>
      <w:divBdr>
        <w:top w:val="none" w:sz="0" w:space="0" w:color="auto"/>
        <w:left w:val="none" w:sz="0" w:space="0" w:color="auto"/>
        <w:bottom w:val="none" w:sz="0" w:space="0" w:color="auto"/>
        <w:right w:val="none" w:sz="0" w:space="0" w:color="auto"/>
      </w:divBdr>
    </w:div>
    <w:div w:id="905646351">
      <w:bodyDiv w:val="1"/>
      <w:marLeft w:val="0"/>
      <w:marRight w:val="0"/>
      <w:marTop w:val="0"/>
      <w:marBottom w:val="0"/>
      <w:divBdr>
        <w:top w:val="none" w:sz="0" w:space="0" w:color="auto"/>
        <w:left w:val="none" w:sz="0" w:space="0" w:color="auto"/>
        <w:bottom w:val="none" w:sz="0" w:space="0" w:color="auto"/>
        <w:right w:val="none" w:sz="0" w:space="0" w:color="auto"/>
      </w:divBdr>
    </w:div>
    <w:div w:id="921987451">
      <w:bodyDiv w:val="1"/>
      <w:marLeft w:val="0"/>
      <w:marRight w:val="0"/>
      <w:marTop w:val="0"/>
      <w:marBottom w:val="0"/>
      <w:divBdr>
        <w:top w:val="none" w:sz="0" w:space="0" w:color="auto"/>
        <w:left w:val="none" w:sz="0" w:space="0" w:color="auto"/>
        <w:bottom w:val="none" w:sz="0" w:space="0" w:color="auto"/>
        <w:right w:val="none" w:sz="0" w:space="0" w:color="auto"/>
      </w:divBdr>
    </w:div>
    <w:div w:id="1051267360">
      <w:bodyDiv w:val="1"/>
      <w:marLeft w:val="0"/>
      <w:marRight w:val="0"/>
      <w:marTop w:val="0"/>
      <w:marBottom w:val="0"/>
      <w:divBdr>
        <w:top w:val="none" w:sz="0" w:space="0" w:color="auto"/>
        <w:left w:val="none" w:sz="0" w:space="0" w:color="auto"/>
        <w:bottom w:val="none" w:sz="0" w:space="0" w:color="auto"/>
        <w:right w:val="none" w:sz="0" w:space="0" w:color="auto"/>
      </w:divBdr>
    </w:div>
    <w:div w:id="1203593231">
      <w:bodyDiv w:val="1"/>
      <w:marLeft w:val="0"/>
      <w:marRight w:val="0"/>
      <w:marTop w:val="0"/>
      <w:marBottom w:val="0"/>
      <w:divBdr>
        <w:top w:val="none" w:sz="0" w:space="0" w:color="auto"/>
        <w:left w:val="none" w:sz="0" w:space="0" w:color="auto"/>
        <w:bottom w:val="none" w:sz="0" w:space="0" w:color="auto"/>
        <w:right w:val="none" w:sz="0" w:space="0" w:color="auto"/>
      </w:divBdr>
    </w:div>
    <w:div w:id="1245186046">
      <w:bodyDiv w:val="1"/>
      <w:marLeft w:val="0"/>
      <w:marRight w:val="0"/>
      <w:marTop w:val="0"/>
      <w:marBottom w:val="0"/>
      <w:divBdr>
        <w:top w:val="none" w:sz="0" w:space="0" w:color="auto"/>
        <w:left w:val="none" w:sz="0" w:space="0" w:color="auto"/>
        <w:bottom w:val="none" w:sz="0" w:space="0" w:color="auto"/>
        <w:right w:val="none" w:sz="0" w:space="0" w:color="auto"/>
      </w:divBdr>
    </w:div>
    <w:div w:id="1261641975">
      <w:bodyDiv w:val="1"/>
      <w:marLeft w:val="0"/>
      <w:marRight w:val="0"/>
      <w:marTop w:val="0"/>
      <w:marBottom w:val="0"/>
      <w:divBdr>
        <w:top w:val="none" w:sz="0" w:space="0" w:color="auto"/>
        <w:left w:val="none" w:sz="0" w:space="0" w:color="auto"/>
        <w:bottom w:val="none" w:sz="0" w:space="0" w:color="auto"/>
        <w:right w:val="none" w:sz="0" w:space="0" w:color="auto"/>
      </w:divBdr>
    </w:div>
    <w:div w:id="1293710814">
      <w:bodyDiv w:val="1"/>
      <w:marLeft w:val="0"/>
      <w:marRight w:val="0"/>
      <w:marTop w:val="0"/>
      <w:marBottom w:val="0"/>
      <w:divBdr>
        <w:top w:val="none" w:sz="0" w:space="0" w:color="auto"/>
        <w:left w:val="none" w:sz="0" w:space="0" w:color="auto"/>
        <w:bottom w:val="none" w:sz="0" w:space="0" w:color="auto"/>
        <w:right w:val="none" w:sz="0" w:space="0" w:color="auto"/>
      </w:divBdr>
    </w:div>
    <w:div w:id="1315647259">
      <w:bodyDiv w:val="1"/>
      <w:marLeft w:val="0"/>
      <w:marRight w:val="0"/>
      <w:marTop w:val="0"/>
      <w:marBottom w:val="0"/>
      <w:divBdr>
        <w:top w:val="none" w:sz="0" w:space="0" w:color="auto"/>
        <w:left w:val="none" w:sz="0" w:space="0" w:color="auto"/>
        <w:bottom w:val="none" w:sz="0" w:space="0" w:color="auto"/>
        <w:right w:val="none" w:sz="0" w:space="0" w:color="auto"/>
      </w:divBdr>
    </w:div>
    <w:div w:id="1329405982">
      <w:bodyDiv w:val="1"/>
      <w:marLeft w:val="0"/>
      <w:marRight w:val="0"/>
      <w:marTop w:val="0"/>
      <w:marBottom w:val="0"/>
      <w:divBdr>
        <w:top w:val="none" w:sz="0" w:space="0" w:color="auto"/>
        <w:left w:val="none" w:sz="0" w:space="0" w:color="auto"/>
        <w:bottom w:val="none" w:sz="0" w:space="0" w:color="auto"/>
        <w:right w:val="none" w:sz="0" w:space="0" w:color="auto"/>
      </w:divBdr>
    </w:div>
    <w:div w:id="1381518978">
      <w:bodyDiv w:val="1"/>
      <w:marLeft w:val="0"/>
      <w:marRight w:val="0"/>
      <w:marTop w:val="0"/>
      <w:marBottom w:val="0"/>
      <w:divBdr>
        <w:top w:val="none" w:sz="0" w:space="0" w:color="auto"/>
        <w:left w:val="none" w:sz="0" w:space="0" w:color="auto"/>
        <w:bottom w:val="none" w:sz="0" w:space="0" w:color="auto"/>
        <w:right w:val="none" w:sz="0" w:space="0" w:color="auto"/>
      </w:divBdr>
    </w:div>
    <w:div w:id="1394428222">
      <w:bodyDiv w:val="1"/>
      <w:marLeft w:val="0"/>
      <w:marRight w:val="0"/>
      <w:marTop w:val="0"/>
      <w:marBottom w:val="0"/>
      <w:divBdr>
        <w:top w:val="none" w:sz="0" w:space="0" w:color="auto"/>
        <w:left w:val="none" w:sz="0" w:space="0" w:color="auto"/>
        <w:bottom w:val="none" w:sz="0" w:space="0" w:color="auto"/>
        <w:right w:val="none" w:sz="0" w:space="0" w:color="auto"/>
      </w:divBdr>
    </w:div>
    <w:div w:id="1420100967">
      <w:bodyDiv w:val="1"/>
      <w:marLeft w:val="0"/>
      <w:marRight w:val="0"/>
      <w:marTop w:val="0"/>
      <w:marBottom w:val="0"/>
      <w:divBdr>
        <w:top w:val="none" w:sz="0" w:space="0" w:color="auto"/>
        <w:left w:val="none" w:sz="0" w:space="0" w:color="auto"/>
        <w:bottom w:val="none" w:sz="0" w:space="0" w:color="auto"/>
        <w:right w:val="none" w:sz="0" w:space="0" w:color="auto"/>
      </w:divBdr>
    </w:div>
    <w:div w:id="1736201855">
      <w:bodyDiv w:val="1"/>
      <w:marLeft w:val="0"/>
      <w:marRight w:val="0"/>
      <w:marTop w:val="0"/>
      <w:marBottom w:val="0"/>
      <w:divBdr>
        <w:top w:val="none" w:sz="0" w:space="0" w:color="auto"/>
        <w:left w:val="none" w:sz="0" w:space="0" w:color="auto"/>
        <w:bottom w:val="none" w:sz="0" w:space="0" w:color="auto"/>
        <w:right w:val="none" w:sz="0" w:space="0" w:color="auto"/>
      </w:divBdr>
    </w:div>
    <w:div w:id="1748839209">
      <w:bodyDiv w:val="1"/>
      <w:marLeft w:val="0"/>
      <w:marRight w:val="0"/>
      <w:marTop w:val="0"/>
      <w:marBottom w:val="0"/>
      <w:divBdr>
        <w:top w:val="none" w:sz="0" w:space="0" w:color="auto"/>
        <w:left w:val="none" w:sz="0" w:space="0" w:color="auto"/>
        <w:bottom w:val="none" w:sz="0" w:space="0" w:color="auto"/>
        <w:right w:val="none" w:sz="0" w:space="0" w:color="auto"/>
      </w:divBdr>
    </w:div>
    <w:div w:id="1790660192">
      <w:bodyDiv w:val="1"/>
      <w:marLeft w:val="0"/>
      <w:marRight w:val="0"/>
      <w:marTop w:val="0"/>
      <w:marBottom w:val="0"/>
      <w:divBdr>
        <w:top w:val="none" w:sz="0" w:space="0" w:color="auto"/>
        <w:left w:val="none" w:sz="0" w:space="0" w:color="auto"/>
        <w:bottom w:val="none" w:sz="0" w:space="0" w:color="auto"/>
        <w:right w:val="none" w:sz="0" w:space="0" w:color="auto"/>
      </w:divBdr>
    </w:div>
    <w:div w:id="1826706097">
      <w:bodyDiv w:val="1"/>
      <w:marLeft w:val="0"/>
      <w:marRight w:val="0"/>
      <w:marTop w:val="0"/>
      <w:marBottom w:val="0"/>
      <w:divBdr>
        <w:top w:val="none" w:sz="0" w:space="0" w:color="auto"/>
        <w:left w:val="none" w:sz="0" w:space="0" w:color="auto"/>
        <w:bottom w:val="none" w:sz="0" w:space="0" w:color="auto"/>
        <w:right w:val="none" w:sz="0" w:space="0" w:color="auto"/>
      </w:divBdr>
    </w:div>
    <w:div w:id="1858733433">
      <w:bodyDiv w:val="1"/>
      <w:marLeft w:val="0"/>
      <w:marRight w:val="0"/>
      <w:marTop w:val="0"/>
      <w:marBottom w:val="0"/>
      <w:divBdr>
        <w:top w:val="none" w:sz="0" w:space="0" w:color="auto"/>
        <w:left w:val="none" w:sz="0" w:space="0" w:color="auto"/>
        <w:bottom w:val="none" w:sz="0" w:space="0" w:color="auto"/>
        <w:right w:val="none" w:sz="0" w:space="0" w:color="auto"/>
      </w:divBdr>
    </w:div>
    <w:div w:id="1871531688">
      <w:bodyDiv w:val="1"/>
      <w:marLeft w:val="0"/>
      <w:marRight w:val="0"/>
      <w:marTop w:val="0"/>
      <w:marBottom w:val="0"/>
      <w:divBdr>
        <w:top w:val="none" w:sz="0" w:space="0" w:color="auto"/>
        <w:left w:val="none" w:sz="0" w:space="0" w:color="auto"/>
        <w:bottom w:val="none" w:sz="0" w:space="0" w:color="auto"/>
        <w:right w:val="none" w:sz="0" w:space="0" w:color="auto"/>
      </w:divBdr>
    </w:div>
    <w:div w:id="1895770755">
      <w:bodyDiv w:val="1"/>
      <w:marLeft w:val="0"/>
      <w:marRight w:val="0"/>
      <w:marTop w:val="0"/>
      <w:marBottom w:val="0"/>
      <w:divBdr>
        <w:top w:val="none" w:sz="0" w:space="0" w:color="auto"/>
        <w:left w:val="none" w:sz="0" w:space="0" w:color="auto"/>
        <w:bottom w:val="none" w:sz="0" w:space="0" w:color="auto"/>
        <w:right w:val="none" w:sz="0" w:space="0" w:color="auto"/>
      </w:divBdr>
    </w:div>
    <w:div w:id="1931425159">
      <w:bodyDiv w:val="1"/>
      <w:marLeft w:val="0"/>
      <w:marRight w:val="0"/>
      <w:marTop w:val="0"/>
      <w:marBottom w:val="0"/>
      <w:divBdr>
        <w:top w:val="none" w:sz="0" w:space="0" w:color="auto"/>
        <w:left w:val="none" w:sz="0" w:space="0" w:color="auto"/>
        <w:bottom w:val="none" w:sz="0" w:space="0" w:color="auto"/>
        <w:right w:val="none" w:sz="0" w:space="0" w:color="auto"/>
      </w:divBdr>
    </w:div>
    <w:div w:id="1959943118">
      <w:bodyDiv w:val="1"/>
      <w:marLeft w:val="0"/>
      <w:marRight w:val="0"/>
      <w:marTop w:val="0"/>
      <w:marBottom w:val="0"/>
      <w:divBdr>
        <w:top w:val="none" w:sz="0" w:space="0" w:color="auto"/>
        <w:left w:val="none" w:sz="0" w:space="0" w:color="auto"/>
        <w:bottom w:val="none" w:sz="0" w:space="0" w:color="auto"/>
        <w:right w:val="none" w:sz="0" w:space="0" w:color="auto"/>
      </w:divBdr>
    </w:div>
    <w:div w:id="1978147633">
      <w:bodyDiv w:val="1"/>
      <w:marLeft w:val="0"/>
      <w:marRight w:val="0"/>
      <w:marTop w:val="0"/>
      <w:marBottom w:val="0"/>
      <w:divBdr>
        <w:top w:val="none" w:sz="0" w:space="0" w:color="auto"/>
        <w:left w:val="none" w:sz="0" w:space="0" w:color="auto"/>
        <w:bottom w:val="none" w:sz="0" w:space="0" w:color="auto"/>
        <w:right w:val="none" w:sz="0" w:space="0" w:color="auto"/>
      </w:divBdr>
    </w:div>
    <w:div w:id="2020423253">
      <w:bodyDiv w:val="1"/>
      <w:marLeft w:val="0"/>
      <w:marRight w:val="0"/>
      <w:marTop w:val="0"/>
      <w:marBottom w:val="0"/>
      <w:divBdr>
        <w:top w:val="none" w:sz="0" w:space="0" w:color="auto"/>
        <w:left w:val="none" w:sz="0" w:space="0" w:color="auto"/>
        <w:bottom w:val="none" w:sz="0" w:space="0" w:color="auto"/>
        <w:right w:val="none" w:sz="0" w:space="0" w:color="auto"/>
      </w:divBdr>
    </w:div>
    <w:div w:id="21417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uro.who.int/__data/assets/pdf_file/0017/234026/e96933.pdf?u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304641/COMEAP_mortality_effects_of_long_term_exposure.pdf" TargetMode="Externa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hapinz.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7666-786C-4CEE-8D71-DEB8F3D5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45</Pages>
  <Words>13055</Words>
  <Characters>74419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Tilly Erasmus</dc:creator>
  <cp:keywords/>
  <dc:description/>
  <cp:lastModifiedBy>Dee Warring</cp:lastModifiedBy>
  <cp:revision>21</cp:revision>
  <cp:lastPrinted>2019-11-24T21:23:00Z</cp:lastPrinted>
  <dcterms:created xsi:type="dcterms:W3CDTF">2019-11-24T21:49:00Z</dcterms:created>
  <dcterms:modified xsi:type="dcterms:W3CDTF">2020-02-11T03:18:00Z</dcterms:modified>
</cp:coreProperties>
</file>