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E1CB2" w14:textId="7D8727FB" w:rsidR="00B559A1" w:rsidRPr="001F13F3" w:rsidRDefault="00B559A1" w:rsidP="00B559A1">
      <w:pPr>
        <w:pStyle w:val="Title"/>
      </w:pPr>
      <w:bookmarkStart w:id="0" w:name="_GoBack"/>
      <w:bookmarkEnd w:id="0"/>
    </w:p>
    <w:p w14:paraId="7F83AD63" w14:textId="4B7AD63F" w:rsidR="0003640E" w:rsidRPr="001F13F3" w:rsidRDefault="0003640E" w:rsidP="0080531E">
      <w:pPr>
        <w:jc w:val="left"/>
        <w:rPr>
          <w:color w:val="FF0000"/>
        </w:rPr>
        <w:sectPr w:rsidR="0003640E" w:rsidRPr="001F13F3" w:rsidSect="001920A4">
          <w:headerReference w:type="even" r:id="rId8"/>
          <w:headerReference w:type="default" r:id="rId9"/>
          <w:footerReference w:type="even" r:id="rId10"/>
          <w:footerReference w:type="default" r:id="rId11"/>
          <w:headerReference w:type="first" r:id="rId12"/>
          <w:footerReference w:type="first" r:id="rId13"/>
          <w:pgSz w:w="11907" w:h="16840" w:code="9"/>
          <w:pgMar w:top="5670" w:right="1418" w:bottom="1701" w:left="1418" w:header="567" w:footer="1134" w:gutter="0"/>
          <w:cols w:space="720"/>
        </w:sectPr>
      </w:pPr>
    </w:p>
    <w:p w14:paraId="799FB276" w14:textId="77777777" w:rsidR="00452EC4" w:rsidRPr="001F13F3" w:rsidRDefault="00452EC4" w:rsidP="00775F57">
      <w:pPr>
        <w:pStyle w:val="Imprint"/>
        <w:spacing w:after="0"/>
        <w:rPr>
          <w:b/>
        </w:rPr>
      </w:pPr>
      <w:r w:rsidRPr="001F13F3">
        <w:rPr>
          <w:b/>
        </w:rPr>
        <w:lastRenderedPageBreak/>
        <w:t>Acknowledgements</w:t>
      </w:r>
    </w:p>
    <w:p w14:paraId="7E8E50AD" w14:textId="07FDDA20" w:rsidR="00452EC4" w:rsidRPr="001F13F3" w:rsidRDefault="00F44A21" w:rsidP="00452EC4">
      <w:pPr>
        <w:pStyle w:val="Imprint"/>
      </w:pPr>
      <w:r w:rsidRPr="001F13F3">
        <w:t xml:space="preserve">The Ministry acknowledges </w:t>
      </w:r>
      <w:r w:rsidR="008B2B2B" w:rsidRPr="001F13F3">
        <w:t>Ton Snelder of Land</w:t>
      </w:r>
      <w:r w:rsidR="0064668F">
        <w:t xml:space="preserve">, </w:t>
      </w:r>
      <w:r w:rsidR="008B2B2B" w:rsidRPr="001F13F3">
        <w:t xml:space="preserve">Water </w:t>
      </w:r>
      <w:r w:rsidR="0064668F">
        <w:t xml:space="preserve">and </w:t>
      </w:r>
      <w:r w:rsidR="008B2B2B" w:rsidRPr="001F13F3">
        <w:t xml:space="preserve">People who </w:t>
      </w:r>
      <w:r w:rsidR="00344B46" w:rsidRPr="001F13F3">
        <w:t>provided material used in this guidance</w:t>
      </w:r>
      <w:r w:rsidRPr="001F13F3">
        <w:t>.</w:t>
      </w:r>
    </w:p>
    <w:p w14:paraId="34B9E7C5" w14:textId="77777777" w:rsidR="00452EC4" w:rsidRPr="001F13F3" w:rsidRDefault="00452EC4" w:rsidP="00452EC4">
      <w:pPr>
        <w:pStyle w:val="Imprint"/>
      </w:pPr>
    </w:p>
    <w:p w14:paraId="5AFD5232" w14:textId="158BF3C1" w:rsidR="00452EC4" w:rsidRPr="001F13F3" w:rsidRDefault="00452EC4" w:rsidP="00F44A21">
      <w:pPr>
        <w:pStyle w:val="Imprint"/>
      </w:pPr>
      <w:r w:rsidRPr="001F13F3">
        <w:t xml:space="preserve">This </w:t>
      </w:r>
      <w:r w:rsidR="00775F57" w:rsidRPr="001F13F3">
        <w:t>document</w:t>
      </w:r>
      <w:r w:rsidRPr="001F13F3">
        <w:t xml:space="preserve"> may be cited as:</w:t>
      </w:r>
      <w:r w:rsidR="00775F57" w:rsidRPr="001F13F3">
        <w:t xml:space="preserve"> Ministry for the Environment. </w:t>
      </w:r>
      <w:r w:rsidR="00F44A21" w:rsidRPr="001F13F3">
        <w:t>2020</w:t>
      </w:r>
      <w:r w:rsidR="00775F57" w:rsidRPr="001F13F3">
        <w:t xml:space="preserve">. </w:t>
      </w:r>
      <w:r w:rsidR="00F44A21" w:rsidRPr="001F13F3">
        <w:rPr>
          <w:i/>
        </w:rPr>
        <w:t>Action for healthy waterways</w:t>
      </w:r>
      <w:r w:rsidR="00540F63" w:rsidRPr="001F13F3">
        <w:rPr>
          <w:i/>
        </w:rPr>
        <w:t xml:space="preserve">: </w:t>
      </w:r>
      <w:r w:rsidR="00681C57" w:rsidRPr="001F13F3">
        <w:rPr>
          <w:i/>
        </w:rPr>
        <w:t>Guidance on look-up tables for setting nutrient targets for periphyton</w:t>
      </w:r>
      <w:r w:rsidR="00775F57" w:rsidRPr="001F13F3">
        <w:t>. Wellington: Ministry for the Environment.</w:t>
      </w:r>
    </w:p>
    <w:p w14:paraId="43473C01" w14:textId="77777777" w:rsidR="0080531E" w:rsidRPr="001F13F3" w:rsidRDefault="0080531E" w:rsidP="0080531E">
      <w:pPr>
        <w:pStyle w:val="Imprint"/>
      </w:pPr>
    </w:p>
    <w:p w14:paraId="1ED5C529" w14:textId="77777777" w:rsidR="0080531E" w:rsidRPr="001F13F3" w:rsidRDefault="0080531E" w:rsidP="0080531E">
      <w:pPr>
        <w:pStyle w:val="Imprint"/>
      </w:pPr>
    </w:p>
    <w:p w14:paraId="09F984B9" w14:textId="77777777" w:rsidR="0080531E" w:rsidRPr="001F13F3" w:rsidRDefault="0080531E" w:rsidP="0080531E">
      <w:pPr>
        <w:pStyle w:val="Imprint"/>
      </w:pPr>
    </w:p>
    <w:p w14:paraId="446563FB" w14:textId="77777777" w:rsidR="0080531E" w:rsidRPr="001F13F3" w:rsidRDefault="0080531E" w:rsidP="0080531E">
      <w:pPr>
        <w:pStyle w:val="Imprint"/>
      </w:pPr>
    </w:p>
    <w:p w14:paraId="00B9658F" w14:textId="77777777" w:rsidR="0080531E" w:rsidRPr="001F13F3" w:rsidRDefault="0080531E" w:rsidP="0080531E">
      <w:pPr>
        <w:pStyle w:val="Imprint"/>
      </w:pPr>
    </w:p>
    <w:p w14:paraId="6379DC77" w14:textId="77777777" w:rsidR="0080531E" w:rsidRPr="001F13F3" w:rsidRDefault="0080531E" w:rsidP="0080531E">
      <w:pPr>
        <w:pStyle w:val="Imprint"/>
      </w:pPr>
    </w:p>
    <w:p w14:paraId="550B9FF1" w14:textId="77777777" w:rsidR="0080531E" w:rsidRPr="001F13F3" w:rsidRDefault="0080531E" w:rsidP="0080531E">
      <w:pPr>
        <w:pStyle w:val="Imprint"/>
      </w:pPr>
    </w:p>
    <w:p w14:paraId="3A03B645" w14:textId="77777777" w:rsidR="0080531E" w:rsidRPr="001F13F3" w:rsidRDefault="0080531E" w:rsidP="0080531E">
      <w:pPr>
        <w:pStyle w:val="Imprint"/>
      </w:pPr>
    </w:p>
    <w:p w14:paraId="3B74471D" w14:textId="77777777" w:rsidR="00663783" w:rsidRPr="001F13F3" w:rsidRDefault="00663783" w:rsidP="0080531E">
      <w:pPr>
        <w:pStyle w:val="Imprint"/>
      </w:pPr>
    </w:p>
    <w:p w14:paraId="76D8F966" w14:textId="77777777" w:rsidR="00760C00" w:rsidRPr="001F13F3" w:rsidRDefault="00760C00" w:rsidP="0080531E">
      <w:pPr>
        <w:pStyle w:val="Imprint"/>
      </w:pPr>
    </w:p>
    <w:p w14:paraId="7CE4C466" w14:textId="3B0677F5" w:rsidR="003816D1" w:rsidRPr="001F13F3" w:rsidRDefault="003816D1" w:rsidP="0080531E">
      <w:pPr>
        <w:pStyle w:val="Imprint"/>
      </w:pPr>
    </w:p>
    <w:p w14:paraId="0234C57A" w14:textId="77777777" w:rsidR="00351195" w:rsidRPr="001F13F3" w:rsidRDefault="00351195" w:rsidP="0080531E">
      <w:pPr>
        <w:pStyle w:val="Imprint"/>
      </w:pPr>
    </w:p>
    <w:p w14:paraId="6F4F711E" w14:textId="3F760F2E" w:rsidR="0080531E" w:rsidRPr="0064668F" w:rsidRDefault="0080531E" w:rsidP="00351195">
      <w:pPr>
        <w:pStyle w:val="Imprint"/>
        <w:spacing w:before="240"/>
      </w:pPr>
      <w:r w:rsidRPr="0064668F">
        <w:t xml:space="preserve">Published in </w:t>
      </w:r>
      <w:r w:rsidR="0064668F" w:rsidRPr="0064668F">
        <w:t xml:space="preserve">August </w:t>
      </w:r>
      <w:r w:rsidR="00540F63" w:rsidRPr="0064668F">
        <w:t>2020</w:t>
      </w:r>
      <w:r w:rsidRPr="0064668F">
        <w:t xml:space="preserve"> by the</w:t>
      </w:r>
      <w:r w:rsidRPr="0064668F">
        <w:br/>
        <w:t xml:space="preserve">Ministry for the Environment </w:t>
      </w:r>
      <w:r w:rsidRPr="0064668F">
        <w:br/>
        <w:t>Manatū Mō Te Taiao</w:t>
      </w:r>
      <w:r w:rsidRPr="0064668F">
        <w:br/>
        <w:t>PO Box 10362, Wellington 6143, New Zealand</w:t>
      </w:r>
    </w:p>
    <w:p w14:paraId="55B373AC" w14:textId="07B815A7" w:rsidR="0080531E" w:rsidRPr="0064668F" w:rsidRDefault="0080531E" w:rsidP="00351195">
      <w:pPr>
        <w:pStyle w:val="Imprint"/>
        <w:tabs>
          <w:tab w:val="left" w:pos="720"/>
        </w:tabs>
        <w:spacing w:after="0"/>
        <w:ind w:left="720" w:hanging="720"/>
      </w:pPr>
      <w:r w:rsidRPr="0064668F">
        <w:t xml:space="preserve">ISBN: </w:t>
      </w:r>
      <w:r w:rsidR="0064668F" w:rsidRPr="0064668F">
        <w:t>978-1-99-003305-6</w:t>
      </w:r>
      <w:r w:rsidR="00E77E05" w:rsidRPr="0064668F">
        <w:t xml:space="preserve"> </w:t>
      </w:r>
      <w:r w:rsidRPr="0064668F">
        <w:t>(</w:t>
      </w:r>
      <w:r w:rsidR="00775F57" w:rsidRPr="0064668F">
        <w:t>online</w:t>
      </w:r>
      <w:r w:rsidRPr="0064668F">
        <w:t>)</w:t>
      </w:r>
    </w:p>
    <w:p w14:paraId="60697D5A" w14:textId="0BF47073" w:rsidR="0080531E" w:rsidRPr="0064668F" w:rsidRDefault="0080531E" w:rsidP="0080531E">
      <w:pPr>
        <w:pStyle w:val="Imprint"/>
        <w:ind w:left="720" w:hanging="720"/>
      </w:pPr>
      <w:r w:rsidRPr="0064668F">
        <w:t xml:space="preserve">Publication number: </w:t>
      </w:r>
      <w:r w:rsidR="0064668F">
        <w:t>ME 1517</w:t>
      </w:r>
    </w:p>
    <w:p w14:paraId="49FAC6CD" w14:textId="77777777" w:rsidR="0080531E" w:rsidRPr="0064668F" w:rsidRDefault="0080531E" w:rsidP="00593E94">
      <w:pPr>
        <w:pStyle w:val="Imprint"/>
        <w:spacing w:after="80"/>
      </w:pPr>
      <w:r w:rsidRPr="0064668F">
        <w:t xml:space="preserve">© Crown copyright New Zealand </w:t>
      </w:r>
      <w:r w:rsidR="008B2B2B" w:rsidRPr="0064668F">
        <w:t>2020</w:t>
      </w:r>
    </w:p>
    <w:p w14:paraId="34A98FE6" w14:textId="77777777" w:rsidR="00C04705" w:rsidRPr="001F13F3" w:rsidRDefault="0080531E" w:rsidP="00593E94">
      <w:pPr>
        <w:pStyle w:val="Imprint"/>
        <w:spacing w:before="240" w:after="0"/>
        <w:rPr>
          <w:rStyle w:val="Hyperlink"/>
          <w:color w:val="auto"/>
        </w:rPr>
      </w:pPr>
      <w:r w:rsidRPr="0064668F">
        <w:t>This document is available on the Ministry for</w:t>
      </w:r>
      <w:r w:rsidR="004C4E8A" w:rsidRPr="0064668F">
        <w:t xml:space="preserve"> the Environment</w:t>
      </w:r>
      <w:r w:rsidR="004C4E8A" w:rsidRPr="001F13F3">
        <w:t xml:space="preserve"> </w:t>
      </w:r>
      <w:r w:rsidR="00CB557F" w:rsidRPr="001F13F3">
        <w:t>website</w:t>
      </w:r>
      <w:r w:rsidRPr="001F13F3">
        <w:t xml:space="preserve">: </w:t>
      </w:r>
      <w:hyperlink r:id="rId14" w:history="1">
        <w:r w:rsidRPr="001F13F3">
          <w:rPr>
            <w:rStyle w:val="Hyperlink"/>
          </w:rPr>
          <w:t>www.mfe.govt.nz</w:t>
        </w:r>
      </w:hyperlink>
      <w:r w:rsidR="00B51610" w:rsidRPr="001F13F3">
        <w:rPr>
          <w:rStyle w:val="Hyperlink"/>
          <w:color w:val="auto"/>
        </w:rPr>
        <w:t>.</w:t>
      </w:r>
    </w:p>
    <w:p w14:paraId="680233D5" w14:textId="77777777" w:rsidR="00A84FE1" w:rsidRPr="001F13F3" w:rsidRDefault="00A84FE1" w:rsidP="00A84FE1">
      <w:pPr>
        <w:pStyle w:val="Imprint"/>
        <w:spacing w:before="240" w:after="0"/>
      </w:pPr>
      <w:r w:rsidRPr="001F13F3">
        <w:rPr>
          <w:noProof/>
        </w:rPr>
        <w:drawing>
          <wp:inline distT="0" distB="0" distL="0" distR="0" wp14:anchorId="4F0C4E04" wp14:editId="2619D92E">
            <wp:extent cx="2712746" cy="1170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2746" cy="1170842"/>
                    </a:xfrm>
                    <a:prstGeom prst="rect">
                      <a:avLst/>
                    </a:prstGeom>
                    <a:noFill/>
                  </pic:spPr>
                </pic:pic>
              </a:graphicData>
            </a:graphic>
          </wp:inline>
        </w:drawing>
      </w:r>
    </w:p>
    <w:p w14:paraId="378B64F2" w14:textId="77777777" w:rsidR="0080531E" w:rsidRPr="001F13F3" w:rsidRDefault="0080531E" w:rsidP="00A84FE1">
      <w:pPr>
        <w:sectPr w:rsidR="0080531E" w:rsidRPr="001F13F3" w:rsidSect="0096629C">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79AC6756" w14:textId="77777777" w:rsidR="009C00F7" w:rsidRPr="001F13F3" w:rsidRDefault="009C00F7" w:rsidP="00F816F3">
      <w:pPr>
        <w:pStyle w:val="Heading"/>
        <w:tabs>
          <w:tab w:val="clear" w:pos="851"/>
        </w:tabs>
      </w:pPr>
      <w:bookmarkStart w:id="1" w:name="_Toc39145194"/>
      <w:bookmarkStart w:id="2" w:name="_Toc39145195"/>
      <w:r w:rsidRPr="001F13F3">
        <w:lastRenderedPageBreak/>
        <w:t>Contents</w:t>
      </w:r>
      <w:bookmarkEnd w:id="1"/>
    </w:p>
    <w:p w14:paraId="6F8289C6" w14:textId="5EB1ABF6" w:rsidR="001615BD" w:rsidRPr="001F13F3" w:rsidRDefault="009C00F7">
      <w:pPr>
        <w:pStyle w:val="TOC1"/>
        <w:rPr>
          <w:rFonts w:asciiTheme="minorHAnsi" w:hAnsiTheme="minorHAnsi"/>
          <w:noProof/>
        </w:rPr>
      </w:pPr>
      <w:r w:rsidRPr="001F13F3">
        <w:fldChar w:fldCharType="begin"/>
      </w:r>
      <w:r w:rsidRPr="001F13F3">
        <w:instrText xml:space="preserve"> TOC \o "2-2" \t "Heading 1,1" </w:instrText>
      </w:r>
      <w:r w:rsidRPr="001F13F3">
        <w:fldChar w:fldCharType="separate"/>
      </w:r>
      <w:r w:rsidR="001615BD" w:rsidRPr="001F13F3">
        <w:rPr>
          <w:noProof/>
        </w:rPr>
        <w:t xml:space="preserve">1. </w:t>
      </w:r>
      <w:r w:rsidR="001615BD" w:rsidRPr="001F13F3">
        <w:rPr>
          <w:rFonts w:asciiTheme="minorHAnsi" w:hAnsiTheme="minorHAnsi"/>
          <w:noProof/>
        </w:rPr>
        <w:tab/>
      </w:r>
      <w:r w:rsidR="001615BD" w:rsidRPr="001F13F3">
        <w:rPr>
          <w:noProof/>
        </w:rPr>
        <w:t>Introduction</w:t>
      </w:r>
      <w:r w:rsidR="001615BD" w:rsidRPr="001F13F3">
        <w:rPr>
          <w:noProof/>
        </w:rPr>
        <w:tab/>
      </w:r>
      <w:r w:rsidR="001615BD" w:rsidRPr="001F13F3">
        <w:rPr>
          <w:noProof/>
        </w:rPr>
        <w:fldChar w:fldCharType="begin"/>
      </w:r>
      <w:r w:rsidR="001615BD" w:rsidRPr="001F13F3">
        <w:rPr>
          <w:noProof/>
        </w:rPr>
        <w:instrText xml:space="preserve"> PAGEREF _Toc47357778 \h </w:instrText>
      </w:r>
      <w:r w:rsidR="001615BD" w:rsidRPr="001F13F3">
        <w:rPr>
          <w:noProof/>
        </w:rPr>
      </w:r>
      <w:r w:rsidR="001615BD" w:rsidRPr="001F13F3">
        <w:rPr>
          <w:noProof/>
        </w:rPr>
        <w:fldChar w:fldCharType="separate"/>
      </w:r>
      <w:r w:rsidR="009A38BC">
        <w:rPr>
          <w:noProof/>
        </w:rPr>
        <w:t>5</w:t>
      </w:r>
      <w:r w:rsidR="001615BD" w:rsidRPr="001F13F3">
        <w:rPr>
          <w:noProof/>
        </w:rPr>
        <w:fldChar w:fldCharType="end"/>
      </w:r>
    </w:p>
    <w:p w14:paraId="7DEC515C" w14:textId="78657167" w:rsidR="001615BD" w:rsidRPr="001F13F3" w:rsidRDefault="001615BD" w:rsidP="00D37331">
      <w:pPr>
        <w:pStyle w:val="TOC2"/>
        <w:rPr>
          <w:rFonts w:asciiTheme="minorHAnsi" w:hAnsiTheme="minorHAnsi"/>
          <w:noProof/>
        </w:rPr>
      </w:pPr>
      <w:r w:rsidRPr="001F13F3">
        <w:rPr>
          <w:noProof/>
        </w:rPr>
        <w:t>Periphyton</w:t>
      </w:r>
      <w:r w:rsidRPr="001F13F3">
        <w:rPr>
          <w:noProof/>
        </w:rPr>
        <w:tab/>
      </w:r>
      <w:r w:rsidRPr="001F13F3">
        <w:rPr>
          <w:noProof/>
        </w:rPr>
        <w:fldChar w:fldCharType="begin"/>
      </w:r>
      <w:r w:rsidRPr="001F13F3">
        <w:rPr>
          <w:noProof/>
        </w:rPr>
        <w:instrText xml:space="preserve"> PAGEREF _Toc47357779 \h </w:instrText>
      </w:r>
      <w:r w:rsidRPr="001F13F3">
        <w:rPr>
          <w:noProof/>
        </w:rPr>
      </w:r>
      <w:r w:rsidRPr="001F13F3">
        <w:rPr>
          <w:noProof/>
        </w:rPr>
        <w:fldChar w:fldCharType="separate"/>
      </w:r>
      <w:r w:rsidR="009A38BC">
        <w:rPr>
          <w:noProof/>
        </w:rPr>
        <w:t>5</w:t>
      </w:r>
      <w:r w:rsidRPr="001F13F3">
        <w:rPr>
          <w:noProof/>
        </w:rPr>
        <w:fldChar w:fldCharType="end"/>
      </w:r>
    </w:p>
    <w:p w14:paraId="6DFA2DEE" w14:textId="68956B0A" w:rsidR="001615BD" w:rsidRPr="001F13F3" w:rsidRDefault="001615BD">
      <w:pPr>
        <w:pStyle w:val="TOC2"/>
        <w:rPr>
          <w:rFonts w:asciiTheme="minorHAnsi" w:hAnsiTheme="minorHAnsi"/>
          <w:noProof/>
        </w:rPr>
      </w:pPr>
      <w:r w:rsidRPr="001F13F3">
        <w:rPr>
          <w:noProof/>
        </w:rPr>
        <w:t>Purpose of this document</w:t>
      </w:r>
      <w:r w:rsidRPr="001F13F3">
        <w:rPr>
          <w:noProof/>
        </w:rPr>
        <w:tab/>
      </w:r>
      <w:r w:rsidRPr="001F13F3">
        <w:rPr>
          <w:noProof/>
        </w:rPr>
        <w:fldChar w:fldCharType="begin"/>
      </w:r>
      <w:r w:rsidRPr="001F13F3">
        <w:rPr>
          <w:noProof/>
        </w:rPr>
        <w:instrText xml:space="preserve"> PAGEREF _Toc47357780 \h </w:instrText>
      </w:r>
      <w:r w:rsidRPr="001F13F3">
        <w:rPr>
          <w:noProof/>
        </w:rPr>
      </w:r>
      <w:r w:rsidRPr="001F13F3">
        <w:rPr>
          <w:noProof/>
        </w:rPr>
        <w:fldChar w:fldCharType="separate"/>
      </w:r>
      <w:r w:rsidR="009A38BC">
        <w:rPr>
          <w:noProof/>
        </w:rPr>
        <w:t>5</w:t>
      </w:r>
      <w:r w:rsidRPr="001F13F3">
        <w:rPr>
          <w:noProof/>
        </w:rPr>
        <w:fldChar w:fldCharType="end"/>
      </w:r>
    </w:p>
    <w:p w14:paraId="31C0F8E0" w14:textId="5772F6BC" w:rsidR="001615BD" w:rsidRPr="001F13F3" w:rsidRDefault="001615BD">
      <w:pPr>
        <w:pStyle w:val="TOC1"/>
        <w:rPr>
          <w:rFonts w:asciiTheme="minorHAnsi" w:hAnsiTheme="minorHAnsi"/>
          <w:noProof/>
        </w:rPr>
      </w:pPr>
      <w:r w:rsidRPr="001F13F3">
        <w:rPr>
          <w:noProof/>
        </w:rPr>
        <w:t>2.</w:t>
      </w:r>
      <w:r w:rsidRPr="001F13F3">
        <w:rPr>
          <w:rFonts w:asciiTheme="minorHAnsi" w:hAnsiTheme="minorHAnsi"/>
          <w:noProof/>
        </w:rPr>
        <w:tab/>
      </w:r>
      <w:r w:rsidRPr="001F13F3">
        <w:rPr>
          <w:noProof/>
        </w:rPr>
        <w:t>A risk-based approach to managing periphyton</w:t>
      </w:r>
      <w:r w:rsidRPr="001F13F3">
        <w:rPr>
          <w:noProof/>
        </w:rPr>
        <w:tab/>
      </w:r>
      <w:r w:rsidRPr="001F13F3">
        <w:rPr>
          <w:noProof/>
        </w:rPr>
        <w:fldChar w:fldCharType="begin"/>
      </w:r>
      <w:r w:rsidRPr="001F13F3">
        <w:rPr>
          <w:noProof/>
        </w:rPr>
        <w:instrText xml:space="preserve"> PAGEREF _Toc47357781 \h </w:instrText>
      </w:r>
      <w:r w:rsidRPr="001F13F3">
        <w:rPr>
          <w:noProof/>
        </w:rPr>
      </w:r>
      <w:r w:rsidRPr="001F13F3">
        <w:rPr>
          <w:noProof/>
        </w:rPr>
        <w:fldChar w:fldCharType="separate"/>
      </w:r>
      <w:r w:rsidR="009A38BC">
        <w:rPr>
          <w:noProof/>
        </w:rPr>
        <w:t>6</w:t>
      </w:r>
      <w:r w:rsidRPr="001F13F3">
        <w:rPr>
          <w:noProof/>
        </w:rPr>
        <w:fldChar w:fldCharType="end"/>
      </w:r>
    </w:p>
    <w:p w14:paraId="53187520" w14:textId="230C00E6" w:rsidR="001615BD" w:rsidRPr="001F13F3" w:rsidRDefault="001615BD" w:rsidP="00D87B0D">
      <w:pPr>
        <w:pStyle w:val="TOC2"/>
        <w:rPr>
          <w:rFonts w:asciiTheme="minorHAnsi" w:hAnsiTheme="minorHAnsi"/>
          <w:noProof/>
        </w:rPr>
      </w:pPr>
      <w:r w:rsidRPr="001F13F3">
        <w:rPr>
          <w:noProof/>
          <w:lang w:eastAsia="en-US"/>
        </w:rPr>
        <w:t>The meaning of the spatial exceedance criteria</w:t>
      </w:r>
      <w:r w:rsidRPr="001F13F3">
        <w:rPr>
          <w:noProof/>
        </w:rPr>
        <w:tab/>
      </w:r>
      <w:r w:rsidRPr="001F13F3">
        <w:rPr>
          <w:noProof/>
        </w:rPr>
        <w:fldChar w:fldCharType="begin"/>
      </w:r>
      <w:r w:rsidRPr="001F13F3">
        <w:rPr>
          <w:noProof/>
        </w:rPr>
        <w:instrText xml:space="preserve"> PAGEREF _Toc47357782 \h </w:instrText>
      </w:r>
      <w:r w:rsidRPr="001F13F3">
        <w:rPr>
          <w:noProof/>
        </w:rPr>
      </w:r>
      <w:r w:rsidRPr="001F13F3">
        <w:rPr>
          <w:noProof/>
        </w:rPr>
        <w:fldChar w:fldCharType="separate"/>
      </w:r>
      <w:r w:rsidR="009A38BC">
        <w:rPr>
          <w:noProof/>
        </w:rPr>
        <w:t>6</w:t>
      </w:r>
      <w:r w:rsidRPr="001F13F3">
        <w:rPr>
          <w:noProof/>
        </w:rPr>
        <w:fldChar w:fldCharType="end"/>
      </w:r>
    </w:p>
    <w:p w14:paraId="6C523EF7" w14:textId="5C82DDA1" w:rsidR="001615BD" w:rsidRPr="001F13F3" w:rsidRDefault="001615BD">
      <w:pPr>
        <w:pStyle w:val="TOC2"/>
        <w:rPr>
          <w:rFonts w:asciiTheme="minorHAnsi" w:hAnsiTheme="minorHAnsi"/>
          <w:noProof/>
        </w:rPr>
      </w:pPr>
      <w:r w:rsidRPr="001F13F3">
        <w:rPr>
          <w:noProof/>
          <w:lang w:eastAsia="en-US" w:bidi="hi-IN"/>
        </w:rPr>
        <w:t xml:space="preserve">Recalibrated </w:t>
      </w:r>
      <w:r w:rsidRPr="001F13F3">
        <w:rPr>
          <w:noProof/>
          <w:lang w:eastAsia="en-US"/>
        </w:rPr>
        <w:t>concentration targets</w:t>
      </w:r>
      <w:r w:rsidRPr="001F13F3">
        <w:rPr>
          <w:noProof/>
        </w:rPr>
        <w:tab/>
      </w:r>
      <w:r w:rsidRPr="001F13F3">
        <w:rPr>
          <w:noProof/>
        </w:rPr>
        <w:fldChar w:fldCharType="begin"/>
      </w:r>
      <w:r w:rsidRPr="001F13F3">
        <w:rPr>
          <w:noProof/>
        </w:rPr>
        <w:instrText xml:space="preserve"> PAGEREF _Toc47357783 \h </w:instrText>
      </w:r>
      <w:r w:rsidRPr="001F13F3">
        <w:rPr>
          <w:noProof/>
        </w:rPr>
      </w:r>
      <w:r w:rsidRPr="001F13F3">
        <w:rPr>
          <w:noProof/>
        </w:rPr>
        <w:fldChar w:fldCharType="separate"/>
      </w:r>
      <w:r w:rsidR="009A38BC">
        <w:rPr>
          <w:noProof/>
        </w:rPr>
        <w:t>11</w:t>
      </w:r>
      <w:r w:rsidRPr="001F13F3">
        <w:rPr>
          <w:noProof/>
        </w:rPr>
        <w:fldChar w:fldCharType="end"/>
      </w:r>
    </w:p>
    <w:p w14:paraId="2A466A9D" w14:textId="17D1BC16" w:rsidR="001615BD" w:rsidRPr="001F13F3" w:rsidRDefault="001615BD">
      <w:pPr>
        <w:pStyle w:val="TOC2"/>
        <w:rPr>
          <w:rFonts w:asciiTheme="minorHAnsi" w:hAnsiTheme="minorHAnsi"/>
          <w:noProof/>
        </w:rPr>
      </w:pPr>
      <w:r w:rsidRPr="001F13F3">
        <w:rPr>
          <w:noProof/>
          <w:lang w:eastAsia="en-US" w:bidi="hi-IN"/>
        </w:rPr>
        <w:t>Limitations and things to be aware of</w:t>
      </w:r>
      <w:r w:rsidRPr="001F13F3">
        <w:rPr>
          <w:noProof/>
        </w:rPr>
        <w:tab/>
      </w:r>
      <w:r w:rsidRPr="001F13F3">
        <w:rPr>
          <w:noProof/>
        </w:rPr>
        <w:fldChar w:fldCharType="begin"/>
      </w:r>
      <w:r w:rsidRPr="001F13F3">
        <w:rPr>
          <w:noProof/>
        </w:rPr>
        <w:instrText xml:space="preserve"> PAGEREF _Toc47357784 \h </w:instrText>
      </w:r>
      <w:r w:rsidRPr="001F13F3">
        <w:rPr>
          <w:noProof/>
        </w:rPr>
      </w:r>
      <w:r w:rsidRPr="001F13F3">
        <w:rPr>
          <w:noProof/>
        </w:rPr>
        <w:fldChar w:fldCharType="separate"/>
      </w:r>
      <w:r w:rsidR="009A38BC">
        <w:rPr>
          <w:noProof/>
        </w:rPr>
        <w:t>12</w:t>
      </w:r>
      <w:r w:rsidRPr="001F13F3">
        <w:rPr>
          <w:noProof/>
        </w:rPr>
        <w:fldChar w:fldCharType="end"/>
      </w:r>
    </w:p>
    <w:p w14:paraId="6A74DDA0" w14:textId="219CB11C" w:rsidR="001615BD" w:rsidRPr="001F13F3" w:rsidRDefault="001615BD">
      <w:pPr>
        <w:pStyle w:val="TOC1"/>
        <w:rPr>
          <w:rFonts w:asciiTheme="minorHAnsi" w:hAnsiTheme="minorHAnsi"/>
          <w:noProof/>
        </w:rPr>
      </w:pPr>
      <w:r w:rsidRPr="001F13F3">
        <w:rPr>
          <w:noProof/>
        </w:rPr>
        <w:t>3.</w:t>
      </w:r>
      <w:r w:rsidRPr="001F13F3">
        <w:rPr>
          <w:rFonts w:asciiTheme="minorHAnsi" w:hAnsiTheme="minorHAnsi"/>
          <w:noProof/>
        </w:rPr>
        <w:tab/>
      </w:r>
      <w:r w:rsidRPr="001F13F3">
        <w:rPr>
          <w:noProof/>
        </w:rPr>
        <w:t>Further information</w:t>
      </w:r>
      <w:r w:rsidRPr="001F13F3">
        <w:rPr>
          <w:noProof/>
        </w:rPr>
        <w:tab/>
      </w:r>
      <w:r w:rsidRPr="001F13F3">
        <w:rPr>
          <w:noProof/>
        </w:rPr>
        <w:fldChar w:fldCharType="begin"/>
      </w:r>
      <w:r w:rsidRPr="001F13F3">
        <w:rPr>
          <w:noProof/>
        </w:rPr>
        <w:instrText xml:space="preserve"> PAGEREF _Toc47357785 \h </w:instrText>
      </w:r>
      <w:r w:rsidRPr="001F13F3">
        <w:rPr>
          <w:noProof/>
        </w:rPr>
      </w:r>
      <w:r w:rsidRPr="001F13F3">
        <w:rPr>
          <w:noProof/>
        </w:rPr>
        <w:fldChar w:fldCharType="separate"/>
      </w:r>
      <w:r w:rsidR="009A38BC">
        <w:rPr>
          <w:noProof/>
        </w:rPr>
        <w:t>14</w:t>
      </w:r>
      <w:r w:rsidRPr="001F13F3">
        <w:rPr>
          <w:noProof/>
        </w:rPr>
        <w:fldChar w:fldCharType="end"/>
      </w:r>
    </w:p>
    <w:p w14:paraId="2067461A" w14:textId="16733F87" w:rsidR="001615BD" w:rsidRPr="001F13F3" w:rsidRDefault="001615BD">
      <w:pPr>
        <w:pStyle w:val="TOC1"/>
        <w:rPr>
          <w:rFonts w:asciiTheme="minorHAnsi" w:hAnsiTheme="minorHAnsi"/>
          <w:noProof/>
        </w:rPr>
      </w:pPr>
      <w:r w:rsidRPr="001F13F3">
        <w:rPr>
          <w:noProof/>
        </w:rPr>
        <w:t>References</w:t>
      </w:r>
      <w:r w:rsidRPr="001F13F3">
        <w:rPr>
          <w:noProof/>
        </w:rPr>
        <w:tab/>
      </w:r>
      <w:r w:rsidRPr="001F13F3">
        <w:rPr>
          <w:noProof/>
        </w:rPr>
        <w:fldChar w:fldCharType="begin"/>
      </w:r>
      <w:r w:rsidRPr="001F13F3">
        <w:rPr>
          <w:noProof/>
        </w:rPr>
        <w:instrText xml:space="preserve"> PAGEREF _Toc47357786 \h </w:instrText>
      </w:r>
      <w:r w:rsidRPr="001F13F3">
        <w:rPr>
          <w:noProof/>
        </w:rPr>
      </w:r>
      <w:r w:rsidRPr="001F13F3">
        <w:rPr>
          <w:noProof/>
        </w:rPr>
        <w:fldChar w:fldCharType="separate"/>
      </w:r>
      <w:r w:rsidR="009A38BC">
        <w:rPr>
          <w:noProof/>
        </w:rPr>
        <w:t>15</w:t>
      </w:r>
      <w:r w:rsidRPr="001F13F3">
        <w:rPr>
          <w:noProof/>
        </w:rPr>
        <w:fldChar w:fldCharType="end"/>
      </w:r>
    </w:p>
    <w:p w14:paraId="34F91A67" w14:textId="16F85CC0" w:rsidR="001615BD" w:rsidRPr="001F13F3" w:rsidRDefault="001615BD" w:rsidP="001615BD">
      <w:pPr>
        <w:pStyle w:val="TOC1"/>
        <w:ind w:left="0" w:firstLine="0"/>
        <w:rPr>
          <w:rFonts w:asciiTheme="minorHAnsi" w:hAnsiTheme="minorHAnsi"/>
          <w:noProof/>
        </w:rPr>
      </w:pPr>
      <w:r w:rsidRPr="001F13F3">
        <w:rPr>
          <w:noProof/>
        </w:rPr>
        <w:t>Appendix 1: How do I work out the River </w:t>
      </w:r>
      <w:r w:rsidR="009A38BC">
        <w:rPr>
          <w:noProof/>
        </w:rPr>
        <w:t>Environment Classification</w:t>
      </w:r>
      <w:r w:rsidRPr="001F13F3">
        <w:rPr>
          <w:noProof/>
        </w:rPr>
        <w:t xml:space="preserve"> class of a particular site?</w:t>
      </w:r>
      <w:r w:rsidRPr="001F13F3">
        <w:rPr>
          <w:noProof/>
        </w:rPr>
        <w:tab/>
      </w:r>
      <w:r w:rsidRPr="001F13F3">
        <w:rPr>
          <w:noProof/>
        </w:rPr>
        <w:fldChar w:fldCharType="begin"/>
      </w:r>
      <w:r w:rsidRPr="001F13F3">
        <w:rPr>
          <w:noProof/>
        </w:rPr>
        <w:instrText xml:space="preserve"> PAGEREF _Toc47357787 \h </w:instrText>
      </w:r>
      <w:r w:rsidRPr="001F13F3">
        <w:rPr>
          <w:noProof/>
        </w:rPr>
      </w:r>
      <w:r w:rsidRPr="001F13F3">
        <w:rPr>
          <w:noProof/>
        </w:rPr>
        <w:fldChar w:fldCharType="separate"/>
      </w:r>
      <w:r w:rsidR="009A38BC">
        <w:rPr>
          <w:noProof/>
        </w:rPr>
        <w:t>16</w:t>
      </w:r>
      <w:r w:rsidRPr="001F13F3">
        <w:rPr>
          <w:noProof/>
        </w:rPr>
        <w:fldChar w:fldCharType="end"/>
      </w:r>
    </w:p>
    <w:p w14:paraId="08FAD3EA" w14:textId="63C744B8" w:rsidR="00D64690" w:rsidRPr="001F13F3" w:rsidRDefault="009C00F7" w:rsidP="0031712F">
      <w:pPr>
        <w:pStyle w:val="BodyText"/>
      </w:pPr>
      <w:r w:rsidRPr="001F13F3">
        <w:fldChar w:fldCharType="end"/>
      </w:r>
    </w:p>
    <w:p w14:paraId="761C5F15" w14:textId="77777777" w:rsidR="000E0B04" w:rsidRPr="001F13F3" w:rsidRDefault="000E0B04">
      <w:pPr>
        <w:spacing w:before="0" w:after="200" w:line="276" w:lineRule="auto"/>
        <w:jc w:val="left"/>
      </w:pPr>
      <w:r w:rsidRPr="001F13F3">
        <w:br w:type="page"/>
      </w:r>
    </w:p>
    <w:p w14:paraId="61F80778" w14:textId="1812F7F9" w:rsidR="000E0B04" w:rsidRPr="001F13F3" w:rsidRDefault="000E0B04" w:rsidP="000E0B04">
      <w:pPr>
        <w:pStyle w:val="Heading"/>
        <w:tabs>
          <w:tab w:val="clear" w:pos="851"/>
        </w:tabs>
      </w:pPr>
      <w:r w:rsidRPr="001F13F3">
        <w:lastRenderedPageBreak/>
        <w:t>Figures</w:t>
      </w:r>
    </w:p>
    <w:p w14:paraId="5B8AC2D4" w14:textId="5D8A9D77" w:rsidR="00D87B0D" w:rsidRPr="001F13F3" w:rsidRDefault="000E0B04">
      <w:pPr>
        <w:pStyle w:val="TableofFigures"/>
        <w:rPr>
          <w:rFonts w:asciiTheme="minorHAnsi" w:hAnsiTheme="minorHAnsi"/>
          <w:noProof w:val="0"/>
        </w:rPr>
      </w:pPr>
      <w:r w:rsidRPr="001F13F3">
        <w:rPr>
          <w:noProof w:val="0"/>
        </w:rPr>
        <w:fldChar w:fldCharType="begin"/>
      </w:r>
      <w:r w:rsidRPr="001F13F3">
        <w:rPr>
          <w:noProof w:val="0"/>
        </w:rPr>
        <w:instrText xml:space="preserve"> TOC \h \z \t "Figure heading" \c </w:instrText>
      </w:r>
      <w:r w:rsidRPr="001F13F3">
        <w:rPr>
          <w:noProof w:val="0"/>
        </w:rPr>
        <w:fldChar w:fldCharType="separate"/>
      </w:r>
      <w:hyperlink w:anchor="_Toc47357831" w:history="1">
        <w:r w:rsidR="00D87B0D" w:rsidRPr="001F13F3">
          <w:rPr>
            <w:rStyle w:val="Hyperlink"/>
            <w:noProof w:val="0"/>
            <w:lang w:eastAsia="en-US" w:bidi="hi-IN"/>
          </w:rPr>
          <w:t>Figure 1:</w:t>
        </w:r>
        <w:r w:rsidR="00D87B0D" w:rsidRPr="001F13F3">
          <w:rPr>
            <w:rFonts w:asciiTheme="minorHAnsi" w:hAnsiTheme="minorHAnsi"/>
            <w:noProof w:val="0"/>
          </w:rPr>
          <w:tab/>
        </w:r>
        <w:r w:rsidR="00D87B0D" w:rsidRPr="001F13F3">
          <w:rPr>
            <w:rStyle w:val="Hyperlink"/>
            <w:noProof w:val="0"/>
            <w:lang w:eastAsia="en-US" w:bidi="hi-IN"/>
          </w:rPr>
          <w:t>Made up example of stressor-response relationship and associated regression model</w:t>
        </w:r>
        <w:r w:rsidR="00D87B0D" w:rsidRPr="001F13F3">
          <w:rPr>
            <w:noProof w:val="0"/>
            <w:webHidden/>
          </w:rPr>
          <w:tab/>
        </w:r>
        <w:r w:rsidR="00D87B0D" w:rsidRPr="001F13F3">
          <w:rPr>
            <w:noProof w:val="0"/>
            <w:webHidden/>
          </w:rPr>
          <w:fldChar w:fldCharType="begin"/>
        </w:r>
        <w:r w:rsidR="00D87B0D" w:rsidRPr="001F13F3">
          <w:rPr>
            <w:noProof w:val="0"/>
            <w:webHidden/>
          </w:rPr>
          <w:instrText xml:space="preserve"> PAGEREF _Toc47357831 \h </w:instrText>
        </w:r>
        <w:r w:rsidR="00D87B0D" w:rsidRPr="001F13F3">
          <w:rPr>
            <w:noProof w:val="0"/>
            <w:webHidden/>
          </w:rPr>
        </w:r>
        <w:r w:rsidR="00D87B0D" w:rsidRPr="001F13F3">
          <w:rPr>
            <w:noProof w:val="0"/>
            <w:webHidden/>
          </w:rPr>
          <w:fldChar w:fldCharType="separate"/>
        </w:r>
        <w:r w:rsidR="00D87B0D" w:rsidRPr="001F13F3">
          <w:rPr>
            <w:noProof w:val="0"/>
            <w:webHidden/>
          </w:rPr>
          <w:t>7</w:t>
        </w:r>
        <w:r w:rsidR="00D87B0D" w:rsidRPr="001F13F3">
          <w:rPr>
            <w:noProof w:val="0"/>
            <w:webHidden/>
          </w:rPr>
          <w:fldChar w:fldCharType="end"/>
        </w:r>
      </w:hyperlink>
    </w:p>
    <w:p w14:paraId="756136D3" w14:textId="668D1F79" w:rsidR="00D87B0D" w:rsidRPr="001F13F3" w:rsidRDefault="00F02A9A">
      <w:pPr>
        <w:pStyle w:val="TableofFigures"/>
        <w:rPr>
          <w:rFonts w:asciiTheme="minorHAnsi" w:hAnsiTheme="minorHAnsi"/>
          <w:noProof w:val="0"/>
        </w:rPr>
      </w:pPr>
      <w:hyperlink w:anchor="_Toc47357832" w:history="1">
        <w:r w:rsidR="00D87B0D" w:rsidRPr="001F13F3">
          <w:rPr>
            <w:rStyle w:val="Hyperlink"/>
            <w:noProof w:val="0"/>
            <w:lang w:eastAsia="en-US" w:bidi="hi-IN"/>
          </w:rPr>
          <w:t xml:space="preserve">Figure 2: </w:t>
        </w:r>
        <w:r w:rsidR="00D87B0D" w:rsidRPr="001F13F3">
          <w:rPr>
            <w:rFonts w:asciiTheme="minorHAnsi" w:hAnsiTheme="minorHAnsi"/>
            <w:noProof w:val="0"/>
          </w:rPr>
          <w:tab/>
        </w:r>
        <w:r w:rsidR="00D87B0D" w:rsidRPr="001F13F3">
          <w:rPr>
            <w:rStyle w:val="Hyperlink"/>
            <w:noProof w:val="0"/>
            <w:lang w:eastAsia="en-US" w:bidi="hi-IN"/>
          </w:rPr>
          <w:t>Estimate of the level of the stressor associated with a response threshold of 600 (in this case a stressor value of 25)</w:t>
        </w:r>
        <w:r w:rsidR="00D87B0D" w:rsidRPr="001F13F3">
          <w:rPr>
            <w:noProof w:val="0"/>
            <w:webHidden/>
          </w:rPr>
          <w:tab/>
        </w:r>
        <w:r w:rsidR="00D87B0D" w:rsidRPr="001F13F3">
          <w:rPr>
            <w:noProof w:val="0"/>
            <w:webHidden/>
          </w:rPr>
          <w:fldChar w:fldCharType="begin"/>
        </w:r>
        <w:r w:rsidR="00D87B0D" w:rsidRPr="001F13F3">
          <w:rPr>
            <w:noProof w:val="0"/>
            <w:webHidden/>
          </w:rPr>
          <w:instrText xml:space="preserve"> PAGEREF _Toc47357832 \h </w:instrText>
        </w:r>
        <w:r w:rsidR="00D87B0D" w:rsidRPr="001F13F3">
          <w:rPr>
            <w:noProof w:val="0"/>
            <w:webHidden/>
          </w:rPr>
        </w:r>
        <w:r w:rsidR="00D87B0D" w:rsidRPr="001F13F3">
          <w:rPr>
            <w:noProof w:val="0"/>
            <w:webHidden/>
          </w:rPr>
          <w:fldChar w:fldCharType="separate"/>
        </w:r>
        <w:r w:rsidR="00D87B0D" w:rsidRPr="001F13F3">
          <w:rPr>
            <w:noProof w:val="0"/>
            <w:webHidden/>
          </w:rPr>
          <w:t>8</w:t>
        </w:r>
        <w:r w:rsidR="00D87B0D" w:rsidRPr="001F13F3">
          <w:rPr>
            <w:noProof w:val="0"/>
            <w:webHidden/>
          </w:rPr>
          <w:fldChar w:fldCharType="end"/>
        </w:r>
      </w:hyperlink>
    </w:p>
    <w:p w14:paraId="2D812780" w14:textId="43774985" w:rsidR="00D87B0D" w:rsidRPr="001F13F3" w:rsidRDefault="00F02A9A">
      <w:pPr>
        <w:pStyle w:val="TableofFigures"/>
        <w:rPr>
          <w:rFonts w:asciiTheme="minorHAnsi" w:hAnsiTheme="minorHAnsi"/>
          <w:noProof w:val="0"/>
        </w:rPr>
      </w:pPr>
      <w:hyperlink w:anchor="_Toc47357833" w:history="1">
        <w:r w:rsidR="00D87B0D" w:rsidRPr="001F13F3">
          <w:rPr>
            <w:rStyle w:val="Hyperlink"/>
            <w:noProof w:val="0"/>
            <w:lang w:eastAsia="en-US" w:bidi="hi-IN"/>
          </w:rPr>
          <w:t xml:space="preserve">Figure 3: </w:t>
        </w:r>
        <w:r w:rsidR="00D87B0D" w:rsidRPr="001F13F3">
          <w:rPr>
            <w:rFonts w:asciiTheme="minorHAnsi" w:hAnsiTheme="minorHAnsi"/>
            <w:noProof w:val="0"/>
          </w:rPr>
          <w:tab/>
        </w:r>
        <w:r w:rsidR="00D87B0D" w:rsidRPr="001F13F3">
          <w:rPr>
            <w:rStyle w:val="Hyperlink"/>
            <w:noProof w:val="0"/>
            <w:lang w:eastAsia="en-US" w:bidi="hi-IN"/>
          </w:rPr>
          <w:t>Estimate of the level of the stressor associated with a response threshold of 600 from a stressor-response relationship that is more uncertain than the example shown in Figure 2</w:t>
        </w:r>
        <w:r w:rsidR="00D87B0D" w:rsidRPr="001F13F3">
          <w:rPr>
            <w:noProof w:val="0"/>
            <w:webHidden/>
          </w:rPr>
          <w:tab/>
        </w:r>
        <w:r w:rsidR="00D87B0D" w:rsidRPr="001F13F3">
          <w:rPr>
            <w:noProof w:val="0"/>
            <w:webHidden/>
          </w:rPr>
          <w:fldChar w:fldCharType="begin"/>
        </w:r>
        <w:r w:rsidR="00D87B0D" w:rsidRPr="001F13F3">
          <w:rPr>
            <w:noProof w:val="0"/>
            <w:webHidden/>
          </w:rPr>
          <w:instrText xml:space="preserve"> PAGEREF _Toc47357833 \h </w:instrText>
        </w:r>
        <w:r w:rsidR="00D87B0D" w:rsidRPr="001F13F3">
          <w:rPr>
            <w:noProof w:val="0"/>
            <w:webHidden/>
          </w:rPr>
        </w:r>
        <w:r w:rsidR="00D87B0D" w:rsidRPr="001F13F3">
          <w:rPr>
            <w:noProof w:val="0"/>
            <w:webHidden/>
          </w:rPr>
          <w:fldChar w:fldCharType="separate"/>
        </w:r>
        <w:r w:rsidR="00D87B0D" w:rsidRPr="001F13F3">
          <w:rPr>
            <w:noProof w:val="0"/>
            <w:webHidden/>
          </w:rPr>
          <w:t>9</w:t>
        </w:r>
        <w:r w:rsidR="00D87B0D" w:rsidRPr="001F13F3">
          <w:rPr>
            <w:noProof w:val="0"/>
            <w:webHidden/>
          </w:rPr>
          <w:fldChar w:fldCharType="end"/>
        </w:r>
      </w:hyperlink>
    </w:p>
    <w:p w14:paraId="4ED5343D" w14:textId="16702020" w:rsidR="00D87B0D" w:rsidRPr="001F13F3" w:rsidRDefault="00F02A9A">
      <w:pPr>
        <w:pStyle w:val="TableofFigures"/>
        <w:rPr>
          <w:rFonts w:asciiTheme="minorHAnsi" w:hAnsiTheme="minorHAnsi"/>
          <w:noProof w:val="0"/>
        </w:rPr>
      </w:pPr>
      <w:hyperlink w:anchor="_Toc47357834" w:history="1">
        <w:r w:rsidR="00D87B0D" w:rsidRPr="001F13F3">
          <w:rPr>
            <w:rStyle w:val="Hyperlink"/>
            <w:noProof w:val="0"/>
            <w:lang w:eastAsia="en-US" w:bidi="hi-IN"/>
          </w:rPr>
          <w:t xml:space="preserve">Figure 4: </w:t>
        </w:r>
        <w:r w:rsidR="00D87B0D" w:rsidRPr="001F13F3">
          <w:rPr>
            <w:rFonts w:asciiTheme="minorHAnsi" w:hAnsiTheme="minorHAnsi"/>
            <w:noProof w:val="0"/>
          </w:rPr>
          <w:tab/>
        </w:r>
        <w:r w:rsidR="00D87B0D" w:rsidRPr="001F13F3">
          <w:rPr>
            <w:rStyle w:val="Hyperlink"/>
            <w:noProof w:val="0"/>
            <w:lang w:eastAsia="en-US" w:bidi="hi-IN"/>
          </w:rPr>
          <w:t>Estimate of the level of the stressor associated with a response threshold of 600 when a spatial exceedance criterion is applied to the stressor-response relationship</w:t>
        </w:r>
        <w:r w:rsidR="00D87B0D" w:rsidRPr="001F13F3">
          <w:rPr>
            <w:noProof w:val="0"/>
            <w:webHidden/>
          </w:rPr>
          <w:tab/>
        </w:r>
        <w:r w:rsidR="00D87B0D" w:rsidRPr="001F13F3">
          <w:rPr>
            <w:noProof w:val="0"/>
            <w:webHidden/>
          </w:rPr>
          <w:fldChar w:fldCharType="begin"/>
        </w:r>
        <w:r w:rsidR="00D87B0D" w:rsidRPr="001F13F3">
          <w:rPr>
            <w:noProof w:val="0"/>
            <w:webHidden/>
          </w:rPr>
          <w:instrText xml:space="preserve"> PAGEREF _Toc47357834 \h </w:instrText>
        </w:r>
        <w:r w:rsidR="00D87B0D" w:rsidRPr="001F13F3">
          <w:rPr>
            <w:noProof w:val="0"/>
            <w:webHidden/>
          </w:rPr>
        </w:r>
        <w:r w:rsidR="00D87B0D" w:rsidRPr="001F13F3">
          <w:rPr>
            <w:noProof w:val="0"/>
            <w:webHidden/>
          </w:rPr>
          <w:fldChar w:fldCharType="separate"/>
        </w:r>
        <w:r w:rsidR="00D87B0D" w:rsidRPr="001F13F3">
          <w:rPr>
            <w:noProof w:val="0"/>
            <w:webHidden/>
          </w:rPr>
          <w:t>10</w:t>
        </w:r>
        <w:r w:rsidR="00D87B0D" w:rsidRPr="001F13F3">
          <w:rPr>
            <w:noProof w:val="0"/>
            <w:webHidden/>
          </w:rPr>
          <w:fldChar w:fldCharType="end"/>
        </w:r>
      </w:hyperlink>
    </w:p>
    <w:p w14:paraId="4F8BBDCF" w14:textId="6441E0B9" w:rsidR="000E0B04" w:rsidRPr="001F13F3" w:rsidRDefault="000E0B04" w:rsidP="0031712F">
      <w:pPr>
        <w:pStyle w:val="BodyText"/>
      </w:pPr>
      <w:r w:rsidRPr="001F13F3">
        <w:fldChar w:fldCharType="end"/>
      </w:r>
    </w:p>
    <w:p w14:paraId="1F3931BC" w14:textId="0FBEA05B" w:rsidR="000E0B04" w:rsidRPr="001F13F3" w:rsidRDefault="000E0B04" w:rsidP="0031712F">
      <w:pPr>
        <w:pStyle w:val="BodyText"/>
      </w:pPr>
    </w:p>
    <w:p w14:paraId="1F1A7A5C" w14:textId="425B6F2F" w:rsidR="000E0B04" w:rsidRPr="001F13F3" w:rsidRDefault="000E0B04" w:rsidP="000E0B04">
      <w:pPr>
        <w:pStyle w:val="Heading"/>
        <w:tabs>
          <w:tab w:val="clear" w:pos="851"/>
        </w:tabs>
      </w:pPr>
      <w:r w:rsidRPr="001F13F3">
        <w:t>Tables</w:t>
      </w:r>
    </w:p>
    <w:p w14:paraId="04D4CEBC" w14:textId="2618603C" w:rsidR="00D87B0D" w:rsidRPr="001F13F3" w:rsidRDefault="000E0B04">
      <w:pPr>
        <w:pStyle w:val="TableofFigures"/>
        <w:rPr>
          <w:rFonts w:asciiTheme="minorHAnsi" w:hAnsiTheme="minorHAnsi"/>
          <w:noProof w:val="0"/>
        </w:rPr>
      </w:pPr>
      <w:r w:rsidRPr="001F13F3">
        <w:rPr>
          <w:noProof w:val="0"/>
        </w:rPr>
        <w:fldChar w:fldCharType="begin"/>
      </w:r>
      <w:r w:rsidRPr="001F13F3">
        <w:rPr>
          <w:noProof w:val="0"/>
        </w:rPr>
        <w:instrText xml:space="preserve"> TOC \h \z \t "Table heading" \c </w:instrText>
      </w:r>
      <w:r w:rsidRPr="001F13F3">
        <w:rPr>
          <w:noProof w:val="0"/>
        </w:rPr>
        <w:fldChar w:fldCharType="separate"/>
      </w:r>
      <w:hyperlink w:anchor="_Toc47357844" w:history="1">
        <w:r w:rsidR="00D87B0D" w:rsidRPr="001F13F3">
          <w:rPr>
            <w:rStyle w:val="Hyperlink"/>
            <w:noProof w:val="0"/>
            <w:lang w:eastAsia="en-US" w:bidi="hi-IN"/>
          </w:rPr>
          <w:t xml:space="preserve">Table 1: </w:t>
        </w:r>
        <w:r w:rsidR="00D87B0D" w:rsidRPr="001F13F3">
          <w:rPr>
            <w:rFonts w:asciiTheme="minorHAnsi" w:hAnsiTheme="minorHAnsi"/>
            <w:noProof w:val="0"/>
          </w:rPr>
          <w:tab/>
        </w:r>
        <w:r w:rsidR="00D87B0D" w:rsidRPr="001F13F3">
          <w:rPr>
            <w:rStyle w:val="Hyperlink"/>
            <w:noProof w:val="0"/>
            <w:lang w:eastAsia="en-US" w:bidi="hi-IN"/>
          </w:rPr>
          <w:t>Recalibrated TN concentration targets (mg m</w:t>
        </w:r>
        <w:r w:rsidR="00D87B0D" w:rsidRPr="001F13F3">
          <w:rPr>
            <w:rStyle w:val="Hyperlink"/>
            <w:noProof w:val="0"/>
            <w:vertAlign w:val="superscript"/>
            <w:lang w:eastAsia="en-US" w:bidi="hi-IN"/>
          </w:rPr>
          <w:t>-3</w:t>
        </w:r>
        <w:r w:rsidR="00D87B0D" w:rsidRPr="001F13F3">
          <w:rPr>
            <w:rStyle w:val="Hyperlink"/>
            <w:noProof w:val="0"/>
            <w:lang w:eastAsia="en-US" w:bidi="hi-IN"/>
          </w:rPr>
          <w:t>) to achieve the chlorophyll thresholds of 50, 120 and 200 mg m</w:t>
        </w:r>
        <w:r w:rsidR="00D87B0D" w:rsidRPr="001F13F3">
          <w:rPr>
            <w:rStyle w:val="Hyperlink"/>
            <w:noProof w:val="0"/>
            <w:vertAlign w:val="superscript"/>
            <w:lang w:eastAsia="en-US" w:bidi="hi-IN"/>
          </w:rPr>
          <w:t>-2</w:t>
        </w:r>
        <w:r w:rsidR="00D87B0D" w:rsidRPr="001F13F3">
          <w:rPr>
            <w:rStyle w:val="Hyperlink"/>
            <w:noProof w:val="0"/>
            <w:lang w:eastAsia="en-US" w:bidi="hi-IN"/>
          </w:rPr>
          <w:t xml:space="preserve"> for spatial exceedance criteria of 10%, 20% and 30%</w:t>
        </w:r>
        <w:r w:rsidR="00D87B0D" w:rsidRPr="001F13F3">
          <w:rPr>
            <w:noProof w:val="0"/>
            <w:webHidden/>
          </w:rPr>
          <w:tab/>
        </w:r>
        <w:r w:rsidR="00D87B0D" w:rsidRPr="001F13F3">
          <w:rPr>
            <w:noProof w:val="0"/>
            <w:webHidden/>
          </w:rPr>
          <w:fldChar w:fldCharType="begin"/>
        </w:r>
        <w:r w:rsidR="00D87B0D" w:rsidRPr="001F13F3">
          <w:rPr>
            <w:noProof w:val="0"/>
            <w:webHidden/>
          </w:rPr>
          <w:instrText xml:space="preserve"> PAGEREF _Toc47357844 \h </w:instrText>
        </w:r>
        <w:r w:rsidR="00D87B0D" w:rsidRPr="001F13F3">
          <w:rPr>
            <w:noProof w:val="0"/>
            <w:webHidden/>
          </w:rPr>
        </w:r>
        <w:r w:rsidR="00D87B0D" w:rsidRPr="001F13F3">
          <w:rPr>
            <w:noProof w:val="0"/>
            <w:webHidden/>
          </w:rPr>
          <w:fldChar w:fldCharType="separate"/>
        </w:r>
        <w:r w:rsidR="00D87B0D" w:rsidRPr="001F13F3">
          <w:rPr>
            <w:noProof w:val="0"/>
            <w:webHidden/>
          </w:rPr>
          <w:t>11</w:t>
        </w:r>
        <w:r w:rsidR="00D87B0D" w:rsidRPr="001F13F3">
          <w:rPr>
            <w:noProof w:val="0"/>
            <w:webHidden/>
          </w:rPr>
          <w:fldChar w:fldCharType="end"/>
        </w:r>
      </w:hyperlink>
    </w:p>
    <w:p w14:paraId="730BC56E" w14:textId="7FB8DAC0" w:rsidR="00D87B0D" w:rsidRPr="001F13F3" w:rsidRDefault="00F02A9A">
      <w:pPr>
        <w:pStyle w:val="TableofFigures"/>
        <w:rPr>
          <w:rFonts w:asciiTheme="minorHAnsi" w:hAnsiTheme="minorHAnsi"/>
          <w:noProof w:val="0"/>
        </w:rPr>
      </w:pPr>
      <w:hyperlink w:anchor="_Toc47357845" w:history="1">
        <w:r w:rsidR="00D87B0D" w:rsidRPr="001F13F3">
          <w:rPr>
            <w:rStyle w:val="Hyperlink"/>
            <w:noProof w:val="0"/>
            <w:lang w:eastAsia="en-US" w:bidi="hi-IN"/>
          </w:rPr>
          <w:t xml:space="preserve">Table 2: </w:t>
        </w:r>
        <w:r w:rsidR="00D87B0D" w:rsidRPr="001F13F3">
          <w:rPr>
            <w:rFonts w:asciiTheme="minorHAnsi" w:hAnsiTheme="minorHAnsi"/>
            <w:noProof w:val="0"/>
          </w:rPr>
          <w:tab/>
        </w:r>
        <w:r w:rsidR="00D87B0D" w:rsidRPr="001F13F3">
          <w:rPr>
            <w:rStyle w:val="Hyperlink"/>
            <w:noProof w:val="0"/>
            <w:lang w:eastAsia="en-US" w:bidi="hi-IN"/>
          </w:rPr>
          <w:t>Recalibrated DRP concentration targets (mg m</w:t>
        </w:r>
        <w:r w:rsidR="00D87B0D" w:rsidRPr="001F13F3">
          <w:rPr>
            <w:rStyle w:val="Hyperlink"/>
            <w:noProof w:val="0"/>
            <w:vertAlign w:val="superscript"/>
            <w:lang w:eastAsia="en-US" w:bidi="hi-IN"/>
          </w:rPr>
          <w:t>-3</w:t>
        </w:r>
        <w:r w:rsidR="00D87B0D" w:rsidRPr="001F13F3">
          <w:rPr>
            <w:rStyle w:val="Hyperlink"/>
            <w:noProof w:val="0"/>
            <w:lang w:eastAsia="en-US" w:bidi="hi-IN"/>
          </w:rPr>
          <w:t>) to achieve the chlorophyll thresholds of 50, 120 and 200 mg m</w:t>
        </w:r>
        <w:r w:rsidR="00D87B0D" w:rsidRPr="001F13F3">
          <w:rPr>
            <w:rStyle w:val="Hyperlink"/>
            <w:noProof w:val="0"/>
            <w:vertAlign w:val="superscript"/>
            <w:lang w:eastAsia="en-US" w:bidi="hi-IN"/>
          </w:rPr>
          <w:t>-2</w:t>
        </w:r>
        <w:r w:rsidR="00D87B0D" w:rsidRPr="001F13F3">
          <w:rPr>
            <w:rStyle w:val="Hyperlink"/>
            <w:noProof w:val="0"/>
            <w:lang w:eastAsia="en-US" w:bidi="hi-IN"/>
          </w:rPr>
          <w:t xml:space="preserve"> for spatial exceedance criteria of 10%, 20% and 30%</w:t>
        </w:r>
        <w:r w:rsidR="00D87B0D" w:rsidRPr="001F13F3">
          <w:rPr>
            <w:noProof w:val="0"/>
            <w:webHidden/>
          </w:rPr>
          <w:tab/>
        </w:r>
        <w:r w:rsidR="00D87B0D" w:rsidRPr="001F13F3">
          <w:rPr>
            <w:noProof w:val="0"/>
            <w:webHidden/>
          </w:rPr>
          <w:fldChar w:fldCharType="begin"/>
        </w:r>
        <w:r w:rsidR="00D87B0D" w:rsidRPr="001F13F3">
          <w:rPr>
            <w:noProof w:val="0"/>
            <w:webHidden/>
          </w:rPr>
          <w:instrText xml:space="preserve"> PAGEREF _Toc47357845 \h </w:instrText>
        </w:r>
        <w:r w:rsidR="00D87B0D" w:rsidRPr="001F13F3">
          <w:rPr>
            <w:noProof w:val="0"/>
            <w:webHidden/>
          </w:rPr>
        </w:r>
        <w:r w:rsidR="00D87B0D" w:rsidRPr="001F13F3">
          <w:rPr>
            <w:noProof w:val="0"/>
            <w:webHidden/>
          </w:rPr>
          <w:fldChar w:fldCharType="separate"/>
        </w:r>
        <w:r w:rsidR="00D87B0D" w:rsidRPr="001F13F3">
          <w:rPr>
            <w:noProof w:val="0"/>
            <w:webHidden/>
          </w:rPr>
          <w:t>12</w:t>
        </w:r>
        <w:r w:rsidR="00D87B0D" w:rsidRPr="001F13F3">
          <w:rPr>
            <w:noProof w:val="0"/>
            <w:webHidden/>
          </w:rPr>
          <w:fldChar w:fldCharType="end"/>
        </w:r>
      </w:hyperlink>
    </w:p>
    <w:p w14:paraId="48C541F4" w14:textId="25A20393" w:rsidR="000E0B04" w:rsidRPr="001F13F3" w:rsidRDefault="000E0B04" w:rsidP="000E0B04">
      <w:pPr>
        <w:pStyle w:val="BodyText"/>
      </w:pPr>
      <w:r w:rsidRPr="001F13F3">
        <w:fldChar w:fldCharType="end"/>
      </w:r>
    </w:p>
    <w:p w14:paraId="19A05ADA" w14:textId="397894FA" w:rsidR="009C00F7" w:rsidRPr="001F13F3" w:rsidRDefault="009C00F7" w:rsidP="0031712F">
      <w:pPr>
        <w:pStyle w:val="BodyText"/>
      </w:pPr>
      <w:r w:rsidRPr="001F13F3">
        <w:br w:type="page"/>
      </w:r>
    </w:p>
    <w:p w14:paraId="37702EFA" w14:textId="77777777" w:rsidR="00B0067B" w:rsidRPr="001F13F3" w:rsidRDefault="21B3703A" w:rsidP="00966C10">
      <w:pPr>
        <w:pStyle w:val="Heading1"/>
        <w:rPr>
          <w:rStyle w:val="Heading1Char"/>
          <w:b/>
          <w:bCs/>
        </w:rPr>
      </w:pPr>
      <w:bookmarkStart w:id="3" w:name="_Toc39145197"/>
      <w:bookmarkStart w:id="4" w:name="_Toc47357778"/>
      <w:bookmarkStart w:id="5" w:name="_Toc455564071"/>
      <w:bookmarkStart w:id="6" w:name="_Toc345760336"/>
      <w:bookmarkEnd w:id="2"/>
      <w:r w:rsidRPr="001F13F3">
        <w:rPr>
          <w:rStyle w:val="Heading1Char"/>
          <w:b/>
          <w:bCs/>
        </w:rPr>
        <w:lastRenderedPageBreak/>
        <w:t xml:space="preserve">1. </w:t>
      </w:r>
      <w:r w:rsidR="00966C10" w:rsidRPr="001F13F3">
        <w:rPr>
          <w:rStyle w:val="Heading1Char"/>
          <w:b/>
          <w:bCs/>
        </w:rPr>
        <w:tab/>
      </w:r>
      <w:r w:rsidR="00B0067B" w:rsidRPr="001F13F3">
        <w:rPr>
          <w:rStyle w:val="Heading1Char"/>
          <w:b/>
          <w:bCs/>
        </w:rPr>
        <w:t>Introduction</w:t>
      </w:r>
      <w:bookmarkEnd w:id="3"/>
      <w:bookmarkEnd w:id="4"/>
    </w:p>
    <w:p w14:paraId="003EA8CF" w14:textId="1BC13FF3" w:rsidR="00AC1636" w:rsidRPr="001F13F3" w:rsidRDefault="00AC1636" w:rsidP="003D476B">
      <w:pPr>
        <w:pStyle w:val="Heading2"/>
        <w:spacing w:before="240"/>
      </w:pPr>
      <w:bookmarkStart w:id="7" w:name="_Toc47357779"/>
      <w:bookmarkStart w:id="8" w:name="_Toc39145199"/>
      <w:r w:rsidRPr="001F13F3">
        <w:t>Periphyton</w:t>
      </w:r>
      <w:bookmarkEnd w:id="7"/>
    </w:p>
    <w:p w14:paraId="3CA5748E" w14:textId="37D600BA" w:rsidR="00C253BF" w:rsidRPr="001F13F3" w:rsidRDefault="00C253BF" w:rsidP="00C253BF">
      <w:pPr>
        <w:pStyle w:val="BodyText"/>
      </w:pPr>
      <w:r w:rsidRPr="001F13F3">
        <w:t>It is normal for healthy ecosystems</w:t>
      </w:r>
      <w:r w:rsidR="00080437" w:rsidRPr="001F13F3">
        <w:t xml:space="preserve"> to have some periphyton</w:t>
      </w:r>
      <w:r w:rsidRPr="001F13F3">
        <w:t>, but excessive growth can:</w:t>
      </w:r>
    </w:p>
    <w:p w14:paraId="32753CA9" w14:textId="4AE0F5D7" w:rsidR="00C253BF" w:rsidRPr="001F13F3" w:rsidRDefault="00C253BF" w:rsidP="003D476B">
      <w:pPr>
        <w:pStyle w:val="Bullet"/>
      </w:pPr>
      <w:r w:rsidRPr="001F13F3">
        <w:t>smother habitat</w:t>
      </w:r>
    </w:p>
    <w:p w14:paraId="0F4E2340" w14:textId="3719346F" w:rsidR="00C253BF" w:rsidRPr="001F13F3" w:rsidRDefault="00C253BF" w:rsidP="003D476B">
      <w:pPr>
        <w:pStyle w:val="Bullet"/>
      </w:pPr>
      <w:r w:rsidRPr="001F13F3">
        <w:t>reduce oxygen in the water (oxygen is needed for other aquatic life and for important chemical processes)</w:t>
      </w:r>
    </w:p>
    <w:p w14:paraId="27EA63A2" w14:textId="74326BBE" w:rsidR="00AC1636" w:rsidRPr="001F13F3" w:rsidRDefault="00C253BF" w:rsidP="003D476B">
      <w:pPr>
        <w:pStyle w:val="Bullet"/>
      </w:pPr>
      <w:r w:rsidRPr="001F13F3">
        <w:t>change the appearance of the water and people’s ability to fish, swim or carry out other</w:t>
      </w:r>
      <w:r w:rsidR="003D476B" w:rsidRPr="001F13F3">
        <w:t> </w:t>
      </w:r>
      <w:r w:rsidRPr="001F13F3">
        <w:t>activities.</w:t>
      </w:r>
    </w:p>
    <w:p w14:paraId="2DE1931D" w14:textId="0192B7C2" w:rsidR="00C253BF" w:rsidRPr="001F13F3" w:rsidRDefault="00C253BF" w:rsidP="003D476B">
      <w:pPr>
        <w:pStyle w:val="BodyText"/>
      </w:pPr>
      <w:bookmarkStart w:id="9" w:name="_Toc39145202"/>
      <w:bookmarkStart w:id="10" w:name="_Toc40424562"/>
      <w:bookmarkStart w:id="11" w:name="_Toc40425118"/>
      <w:bookmarkEnd w:id="8"/>
      <w:r w:rsidRPr="001F13F3">
        <w:t xml:space="preserve">The National Policy Statement for Freshwater Management </w:t>
      </w:r>
      <w:r w:rsidR="00080437" w:rsidRPr="001F13F3">
        <w:t xml:space="preserve">(NPS-FM) </w:t>
      </w:r>
      <w:r w:rsidRPr="001F13F3">
        <w:t>requires regional councils and unitary authorities (referred to as ‘councils’) to manage periphyton in rivers as a</w:t>
      </w:r>
      <w:r w:rsidR="008E6F3C" w:rsidRPr="001F13F3">
        <w:t> </w:t>
      </w:r>
      <w:r w:rsidRPr="001F13F3">
        <w:t>compulsory attribute to achieve the value ecosystem health</w:t>
      </w:r>
      <w:r w:rsidR="00A21B7D" w:rsidRPr="001F13F3">
        <w:t xml:space="preserve"> (refer to clause 3.13: </w:t>
      </w:r>
      <w:r w:rsidR="00A21B7D" w:rsidRPr="001F13F3">
        <w:rPr>
          <w:i/>
        </w:rPr>
        <w:t>Special provision for attributes affected by nutrients</w:t>
      </w:r>
      <w:r w:rsidR="00A21B7D" w:rsidRPr="001F13F3">
        <w:t>)</w:t>
      </w:r>
      <w:r w:rsidRPr="001F13F3">
        <w:t xml:space="preserve">. This means councils must set an environmental objective for periphyton in rivers for all freshwater management units (FMUs). </w:t>
      </w:r>
    </w:p>
    <w:p w14:paraId="606778DA" w14:textId="77777777" w:rsidR="00BA77C0" w:rsidRPr="001F13F3" w:rsidRDefault="00BA77C0" w:rsidP="00C253BF">
      <w:pPr>
        <w:pStyle w:val="BodyText"/>
      </w:pPr>
      <w:r w:rsidRPr="001F13F3">
        <w:t xml:space="preserve">The periphyton attribute was intended to give councils flexibility in managing the negative effects of nutrients, because </w:t>
      </w:r>
      <w:r w:rsidR="00CA3A65" w:rsidRPr="001F13F3">
        <w:t xml:space="preserve">the </w:t>
      </w:r>
      <w:r w:rsidR="7C07F25E" w:rsidRPr="001F13F3">
        <w:t xml:space="preserve">impact of </w:t>
      </w:r>
      <w:r w:rsidR="03911ED5" w:rsidRPr="001F13F3">
        <w:t xml:space="preserve">the </w:t>
      </w:r>
      <w:r w:rsidR="00CA3A65" w:rsidRPr="001F13F3">
        <w:t>same</w:t>
      </w:r>
      <w:r w:rsidRPr="001F13F3">
        <w:t xml:space="preserve"> nutrient concentration</w:t>
      </w:r>
      <w:r w:rsidR="0DD0369D" w:rsidRPr="001F13F3">
        <w:t xml:space="preserve"> on </w:t>
      </w:r>
      <w:r w:rsidRPr="001F13F3">
        <w:t xml:space="preserve">periphyton </w:t>
      </w:r>
      <w:r w:rsidR="78AB1347" w:rsidRPr="001F13F3">
        <w:t>will</w:t>
      </w:r>
      <w:r w:rsidR="00966C10" w:rsidRPr="001F13F3">
        <w:t> </w:t>
      </w:r>
      <w:r w:rsidR="78AB1347" w:rsidRPr="001F13F3">
        <w:t>vary</w:t>
      </w:r>
      <w:r w:rsidR="4D3296AF" w:rsidRPr="001F13F3">
        <w:t xml:space="preserve"> due to other </w:t>
      </w:r>
      <w:r w:rsidR="28D5C1BE" w:rsidRPr="001F13F3">
        <w:t xml:space="preserve">factors </w:t>
      </w:r>
      <w:r w:rsidR="75D00216" w:rsidRPr="001F13F3">
        <w:t xml:space="preserve">present </w:t>
      </w:r>
      <w:r w:rsidR="28D5C1BE" w:rsidRPr="001F13F3">
        <w:t>(eg</w:t>
      </w:r>
      <w:r w:rsidR="00F120A9" w:rsidRPr="001F13F3">
        <w:t>,</w:t>
      </w:r>
      <w:r w:rsidR="28D5C1BE" w:rsidRPr="001F13F3">
        <w:t xml:space="preserve"> flow, stream shading, temperature bed type) at</w:t>
      </w:r>
      <w:r w:rsidRPr="001F13F3">
        <w:t xml:space="preserve"> different</w:t>
      </w:r>
      <w:r w:rsidR="580175AE" w:rsidRPr="001F13F3">
        <w:t xml:space="preserve"> </w:t>
      </w:r>
      <w:r w:rsidRPr="001F13F3">
        <w:t xml:space="preserve">locations. </w:t>
      </w:r>
      <w:bookmarkEnd w:id="9"/>
      <w:bookmarkEnd w:id="10"/>
      <w:bookmarkEnd w:id="11"/>
    </w:p>
    <w:p w14:paraId="53F04FC9" w14:textId="6969C98F" w:rsidR="007406B5" w:rsidRPr="001F13F3" w:rsidRDefault="00BA77C0" w:rsidP="00C253BF">
      <w:pPr>
        <w:pStyle w:val="BodyText"/>
      </w:pPr>
      <w:bookmarkStart w:id="12" w:name="_Toc39145203"/>
      <w:bookmarkStart w:id="13" w:name="_Toc40424563"/>
      <w:bookmarkStart w:id="14" w:name="_Toc40425119"/>
      <w:r w:rsidRPr="001F13F3">
        <w:t xml:space="preserve">Councils also need to work out target attribute states for each part of the catchment and manage the catchment to protect the most sensitive areas. That will mean the levels of nitrogen and phosphorus in rivers need to provide for the desired outcomes in nutrient-sensitive downstream environments (such as </w:t>
      </w:r>
      <w:r w:rsidR="00CA3A65" w:rsidRPr="001F13F3">
        <w:t>rivers,</w:t>
      </w:r>
      <w:r w:rsidR="006233ED" w:rsidRPr="001F13F3">
        <w:t xml:space="preserve"> wetlands,</w:t>
      </w:r>
      <w:r w:rsidRPr="001F13F3">
        <w:t xml:space="preserve"> lake</w:t>
      </w:r>
      <w:r w:rsidR="00CA3A65" w:rsidRPr="001F13F3">
        <w:t>s or estuaries</w:t>
      </w:r>
      <w:r w:rsidRPr="001F13F3">
        <w:t>). In rivers that</w:t>
      </w:r>
      <w:r w:rsidR="003D476B" w:rsidRPr="001F13F3">
        <w:t> </w:t>
      </w:r>
      <w:r w:rsidRPr="001F13F3">
        <w:t xml:space="preserve">neither grow periphyton nor have a sensitive receiving environment downstream, the nitrate and ammonia toxicity attributes </w:t>
      </w:r>
      <w:r w:rsidR="00CA3A65" w:rsidRPr="001F13F3">
        <w:t xml:space="preserve">provide the minimum </w:t>
      </w:r>
      <w:r w:rsidRPr="001F13F3">
        <w:t>requirement</w:t>
      </w:r>
      <w:r w:rsidR="00CA3A65" w:rsidRPr="001F13F3">
        <w:t xml:space="preserve"> for setting a target attribute state under the NPS-FM</w:t>
      </w:r>
      <w:r w:rsidRPr="001F13F3">
        <w:t>.</w:t>
      </w:r>
      <w:bookmarkEnd w:id="12"/>
      <w:bookmarkEnd w:id="13"/>
      <w:bookmarkEnd w:id="14"/>
      <w:r w:rsidR="006B0A6D" w:rsidRPr="001F13F3">
        <w:t xml:space="preserve"> </w:t>
      </w:r>
      <w:bookmarkStart w:id="15" w:name="_Toc39145208"/>
    </w:p>
    <w:p w14:paraId="3E3C6D72" w14:textId="43048466" w:rsidR="007D374B" w:rsidRPr="001F13F3" w:rsidRDefault="00C253BF" w:rsidP="003D476B">
      <w:pPr>
        <w:pStyle w:val="Heading2"/>
      </w:pPr>
      <w:bookmarkStart w:id="16" w:name="_Toc47357780"/>
      <w:r w:rsidRPr="001F13F3">
        <w:t>Purpose of this document</w:t>
      </w:r>
      <w:bookmarkEnd w:id="16"/>
    </w:p>
    <w:p w14:paraId="6B603B36" w14:textId="39293245" w:rsidR="00C253BF" w:rsidRPr="001F13F3" w:rsidRDefault="00C253BF" w:rsidP="00C253BF">
      <w:pPr>
        <w:pStyle w:val="BodyText"/>
      </w:pPr>
      <w:r w:rsidRPr="001F13F3">
        <w:t xml:space="preserve">This guidance </w:t>
      </w:r>
      <w:r w:rsidR="00A974EC" w:rsidRPr="001F13F3">
        <w:t>is intended to provide a starting point</w:t>
      </w:r>
      <w:r w:rsidRPr="001F13F3">
        <w:t xml:space="preserve"> for defining nutrient concentrations for managing to the periphyton attribute states</w:t>
      </w:r>
      <w:r w:rsidR="00A21B7D" w:rsidRPr="001F13F3">
        <w:t xml:space="preserve">, as required by the NPS-FM, clause 3.13: </w:t>
      </w:r>
      <w:r w:rsidR="00A21B7D" w:rsidRPr="001F13F3">
        <w:rPr>
          <w:i/>
        </w:rPr>
        <w:t>Special provision for attributes affected by nutrients</w:t>
      </w:r>
      <w:r w:rsidRPr="001F13F3">
        <w:t xml:space="preserve">. </w:t>
      </w:r>
      <w:r w:rsidR="00A974EC" w:rsidRPr="001F13F3">
        <w:t>It should be read together with the NPS-FM and other guidance (see the Further Information section)</w:t>
      </w:r>
      <w:r w:rsidR="00A21B7D" w:rsidRPr="001F13F3">
        <w:t>.</w:t>
      </w:r>
    </w:p>
    <w:p w14:paraId="1F581CD1" w14:textId="77777777" w:rsidR="00C253BF" w:rsidRPr="001F13F3" w:rsidRDefault="00C253BF" w:rsidP="003D476B">
      <w:pPr>
        <w:pStyle w:val="BodyText"/>
      </w:pPr>
    </w:p>
    <w:bookmarkEnd w:id="15"/>
    <w:p w14:paraId="6400F782" w14:textId="77777777" w:rsidR="003D476B" w:rsidRPr="001F13F3" w:rsidRDefault="003D476B" w:rsidP="003D476B">
      <w:pPr>
        <w:pStyle w:val="BodyText"/>
      </w:pPr>
      <w:r w:rsidRPr="001F13F3">
        <w:br w:type="page"/>
      </w:r>
    </w:p>
    <w:p w14:paraId="203EFB13" w14:textId="691BC9B8" w:rsidR="00875AFA" w:rsidRPr="001F13F3" w:rsidRDefault="007D374B" w:rsidP="003D476B">
      <w:pPr>
        <w:pStyle w:val="Heading1"/>
        <w:ind w:left="851" w:hanging="851"/>
      </w:pPr>
      <w:bookmarkStart w:id="17" w:name="_Toc47357781"/>
      <w:r w:rsidRPr="001F13F3">
        <w:lastRenderedPageBreak/>
        <w:t>2.</w:t>
      </w:r>
      <w:r w:rsidRPr="001F13F3">
        <w:tab/>
      </w:r>
      <w:r w:rsidR="005943B9" w:rsidRPr="001F13F3">
        <w:t>A risk-based approach</w:t>
      </w:r>
      <w:r w:rsidRPr="001F13F3">
        <w:t xml:space="preserve"> to managing</w:t>
      </w:r>
      <w:r w:rsidR="003D476B" w:rsidRPr="001F13F3">
        <w:t> </w:t>
      </w:r>
      <w:r w:rsidRPr="001F13F3">
        <w:t>periphyton</w:t>
      </w:r>
      <w:bookmarkEnd w:id="17"/>
    </w:p>
    <w:p w14:paraId="54BEC96A" w14:textId="4F1D1E99" w:rsidR="00A974EC" w:rsidRPr="001F13F3" w:rsidRDefault="00A974EC" w:rsidP="00A974EC">
      <w:pPr>
        <w:pStyle w:val="BodyText"/>
      </w:pPr>
      <w:bookmarkStart w:id="18" w:name="_Toc40424597"/>
      <w:bookmarkStart w:id="19" w:name="_Toc40425153"/>
      <w:r w:rsidRPr="001F13F3">
        <w:t xml:space="preserve">Periphyton in rivers can be managed by restricting the amount of nutrient in the water. </w:t>
      </w:r>
      <w:r w:rsidR="002C33E1" w:rsidRPr="001F13F3">
        <w:t xml:space="preserve">Deriving nutrient </w:t>
      </w:r>
      <w:r w:rsidR="00C654E6" w:rsidRPr="001F13F3">
        <w:t>targets</w:t>
      </w:r>
      <w:r w:rsidR="002C33E1" w:rsidRPr="001F13F3">
        <w:t xml:space="preserve"> to </w:t>
      </w:r>
      <w:r w:rsidR="00396904" w:rsidRPr="001F13F3">
        <w:t xml:space="preserve">achieve a periphyton biomass/abundance objective </w:t>
      </w:r>
      <w:r w:rsidR="002C33E1" w:rsidRPr="001F13F3">
        <w:t>cannot be 100% certain</w:t>
      </w:r>
      <w:r w:rsidR="00585705" w:rsidRPr="001F13F3">
        <w:t>. This is</w:t>
      </w:r>
      <w:r w:rsidR="002C33E1" w:rsidRPr="001F13F3">
        <w:t xml:space="preserve"> because of natural variability</w:t>
      </w:r>
      <w:r w:rsidR="00396904" w:rsidRPr="001F13F3">
        <w:t>,</w:t>
      </w:r>
      <w:r w:rsidR="002C33E1" w:rsidRPr="001F13F3">
        <w:t xml:space="preserve"> complex interactions in the environment</w:t>
      </w:r>
      <w:r w:rsidR="00396904" w:rsidRPr="001F13F3">
        <w:t>, and the complexity of the relationship between nutrients and periphyton abundance</w:t>
      </w:r>
      <w:r w:rsidR="002C33E1" w:rsidRPr="001F13F3">
        <w:t xml:space="preserve">. </w:t>
      </w:r>
      <w:r w:rsidR="00585705" w:rsidRPr="001F13F3">
        <w:t>P</w:t>
      </w:r>
      <w:r w:rsidR="002C33E1" w:rsidRPr="001F13F3">
        <w:t>eriphyton responds to a wide range of environmental drivers, such as</w:t>
      </w:r>
      <w:r w:rsidR="0020422A" w:rsidRPr="001F13F3">
        <w:t>:</w:t>
      </w:r>
      <w:r w:rsidR="002C33E1" w:rsidRPr="001F13F3">
        <w:t xml:space="preserve"> nutrients, flows, temperature, light, and grazing by invertebrates. </w:t>
      </w:r>
      <w:r w:rsidRPr="001F13F3">
        <w:t>Periphyton is more likely to grow in stony or gravelly rivers and is less likely to grow in muddy or sandy rivers</w:t>
      </w:r>
      <w:r w:rsidR="00585705" w:rsidRPr="001F13F3">
        <w:t xml:space="preserve"> (</w:t>
      </w:r>
      <w:r w:rsidR="00A64759" w:rsidRPr="001F13F3">
        <w:t xml:space="preserve">although it can grow on other </w:t>
      </w:r>
      <w:r w:rsidR="00681C57" w:rsidRPr="001F13F3">
        <w:t>surfaces</w:t>
      </w:r>
      <w:r w:rsidR="00A64759" w:rsidRPr="001F13F3">
        <w:t xml:space="preserve"> such as macrophytes in these situations</w:t>
      </w:r>
      <w:r w:rsidR="00585705" w:rsidRPr="001F13F3">
        <w:t>)</w:t>
      </w:r>
      <w:r w:rsidR="00A64759" w:rsidRPr="001F13F3">
        <w:t>.</w:t>
      </w:r>
    </w:p>
    <w:p w14:paraId="2B32DB4D" w14:textId="45A3E923" w:rsidR="002C33E1" w:rsidRPr="001F13F3" w:rsidRDefault="00F72CAD" w:rsidP="002D693C">
      <w:pPr>
        <w:pStyle w:val="BodyText"/>
      </w:pPr>
      <w:r w:rsidRPr="001F13F3">
        <w:t>For a given amount of nutrients in a river, there will always be a risk that the predicted amount of periphyton will be exceeded. Therefore,</w:t>
      </w:r>
      <w:r w:rsidR="002C33E1" w:rsidRPr="001F13F3">
        <w:t xml:space="preserve"> </w:t>
      </w:r>
      <w:r w:rsidRPr="001F13F3">
        <w:t>the risk</w:t>
      </w:r>
      <w:r w:rsidR="00D877B1" w:rsidRPr="001F13F3">
        <w:t>s</w:t>
      </w:r>
      <w:r w:rsidRPr="001F13F3">
        <w:t xml:space="preserve"> of not achieving the periphyton</w:t>
      </w:r>
      <w:bookmarkEnd w:id="18"/>
      <w:bookmarkEnd w:id="19"/>
      <w:r w:rsidRPr="001F13F3">
        <w:t xml:space="preserve"> </w:t>
      </w:r>
      <w:r w:rsidR="0067679D" w:rsidRPr="001F13F3">
        <w:t>biomass bottom-line</w:t>
      </w:r>
      <w:r w:rsidR="002C33E1" w:rsidRPr="001F13F3">
        <w:t xml:space="preserve"> were built into the nutrient </w:t>
      </w:r>
      <w:r w:rsidR="00C654E6" w:rsidRPr="001F13F3">
        <w:t>targets</w:t>
      </w:r>
      <w:r w:rsidR="002C33E1" w:rsidRPr="001F13F3">
        <w:t xml:space="preserve"> for managing periphyton</w:t>
      </w:r>
      <w:r w:rsidRPr="001F13F3">
        <w:t xml:space="preserve">. The spatial exceedance criteria </w:t>
      </w:r>
      <w:r w:rsidR="00C654E6" w:rsidRPr="001F13F3">
        <w:t>quantify</w:t>
      </w:r>
      <w:r w:rsidRPr="001F13F3">
        <w:t xml:space="preserve"> the probability of a randomly chosen site</w:t>
      </w:r>
      <w:bookmarkStart w:id="20" w:name="_Toc39145237"/>
      <w:r w:rsidRPr="001F13F3">
        <w:t xml:space="preserve"> </w:t>
      </w:r>
      <w:r w:rsidR="00A123D0" w:rsidRPr="001F13F3">
        <w:t xml:space="preserve">having periphyton abundance greater than the </w:t>
      </w:r>
      <w:r w:rsidR="007A50D9" w:rsidRPr="001F13F3">
        <w:t xml:space="preserve">biomass </w:t>
      </w:r>
      <w:r w:rsidR="0067679D" w:rsidRPr="001F13F3">
        <w:t>bottom-line</w:t>
      </w:r>
      <w:r w:rsidR="00A123D0" w:rsidRPr="001F13F3">
        <w:t xml:space="preserve"> </w:t>
      </w:r>
      <w:r w:rsidR="007F2514" w:rsidRPr="001F13F3">
        <w:t xml:space="preserve">when the concentration is within the </w:t>
      </w:r>
      <w:r w:rsidR="00C654E6" w:rsidRPr="001F13F3">
        <w:t>target concentration</w:t>
      </w:r>
      <w:r w:rsidRPr="001F13F3">
        <w:t>.</w:t>
      </w:r>
      <w:bookmarkEnd w:id="20"/>
      <w:r w:rsidR="00A974EC" w:rsidRPr="001F13F3">
        <w:t xml:space="preserve"> A risk-based approach is a way to account for variation between locations in flow regimes, temperature and stream shading (amongst other factors).</w:t>
      </w:r>
    </w:p>
    <w:p w14:paraId="79B7FB16" w14:textId="77777777" w:rsidR="00A974EC" w:rsidRPr="001F13F3" w:rsidRDefault="00A974EC" w:rsidP="00A974EC">
      <w:pPr>
        <w:pStyle w:val="BodyText"/>
      </w:pPr>
      <w:bookmarkStart w:id="21" w:name="_Toc40424556"/>
      <w:bookmarkStart w:id="22" w:name="_Toc40425112"/>
      <w:r w:rsidRPr="001F13F3">
        <w:t xml:space="preserve">Periphyton spatial exceedance is an indicator of the level of risk accepted by regional councils to waterways having excessive levels of periphyton. For example, a 10% spatial exceedance means there is a 10% chance that, at a given site and at the target nutrient concentration, the periphyton bottom-line will not be met. </w:t>
      </w:r>
    </w:p>
    <w:p w14:paraId="641ED759" w14:textId="7743D983" w:rsidR="0026299D" w:rsidRPr="001F13F3" w:rsidRDefault="0026299D" w:rsidP="0026299D">
      <w:pPr>
        <w:pStyle w:val="BodyText"/>
      </w:pPr>
      <w:r w:rsidRPr="001F13F3">
        <w:t>This guidance provides look-up tables for different periphyton spatial exceedance criteria of 10%, 20% and 30%, and for different river types as described by the River Environment Classification</w:t>
      </w:r>
      <w:r w:rsidRPr="001F13F3">
        <w:rPr>
          <w:rStyle w:val="FootnoteReference"/>
        </w:rPr>
        <w:footnoteReference w:id="2"/>
      </w:r>
      <w:r w:rsidRPr="001F13F3">
        <w:t xml:space="preserve"> (REC). The spatial exceedance criteria essentially describe the probability of a randomly chosen river reach in the REC failing to meet the bottom-line. </w:t>
      </w:r>
    </w:p>
    <w:p w14:paraId="0CC4DE07" w14:textId="77777777" w:rsidR="007D374B" w:rsidRPr="001F13F3" w:rsidRDefault="007D374B" w:rsidP="007D374B">
      <w:pPr>
        <w:pStyle w:val="Heading2"/>
        <w:rPr>
          <w:lang w:eastAsia="en-US"/>
        </w:rPr>
      </w:pPr>
      <w:bookmarkStart w:id="23" w:name="_Toc47357782"/>
      <w:bookmarkEnd w:id="21"/>
      <w:bookmarkEnd w:id="22"/>
      <w:r w:rsidRPr="001F13F3">
        <w:rPr>
          <w:lang w:eastAsia="en-US"/>
        </w:rPr>
        <w:t>The meaning of the spatial exceedance criteria</w:t>
      </w:r>
      <w:bookmarkEnd w:id="23"/>
    </w:p>
    <w:p w14:paraId="77867214" w14:textId="4216CBC1" w:rsidR="007D374B" w:rsidRPr="001F13F3" w:rsidRDefault="007D374B" w:rsidP="007D374B">
      <w:pPr>
        <w:pStyle w:val="BodyText"/>
        <w:rPr>
          <w:lang w:eastAsia="en-US"/>
        </w:rPr>
      </w:pPr>
      <w:r w:rsidRPr="001F13F3">
        <w:rPr>
          <w:lang w:eastAsia="en-US"/>
        </w:rPr>
        <w:t>Most targets for water quality are based on a relationship between a stressor and a response. In the case of periphyton, the stressor is nitrogen or phosphorus (N and P) and the response is biomass. Concentration targets for N and P are generally defined by deciding on a response threshold that is acceptable – for example a periphyton biomass of 200mg m</w:t>
      </w:r>
      <w:r w:rsidRPr="001F13F3">
        <w:rPr>
          <w:vertAlign w:val="superscript"/>
          <w:lang w:eastAsia="en-US"/>
        </w:rPr>
        <w:t>-2</w:t>
      </w:r>
      <w:r w:rsidRPr="001F13F3">
        <w:rPr>
          <w:lang w:eastAsia="en-US"/>
        </w:rPr>
        <w:t xml:space="preserve"> of chlorophyll</w:t>
      </w:r>
      <w:r w:rsidR="008E6F3C" w:rsidRPr="001F13F3">
        <w:rPr>
          <w:lang w:eastAsia="en-US"/>
        </w:rPr>
        <w:t> </w:t>
      </w:r>
      <w:r w:rsidRPr="001F13F3">
        <w:rPr>
          <w:lang w:eastAsia="en-US"/>
        </w:rPr>
        <w:t>a.</w:t>
      </w:r>
    </w:p>
    <w:p w14:paraId="7BD36AAA" w14:textId="795481E4" w:rsidR="007D374B" w:rsidRPr="001F13F3" w:rsidRDefault="007D374B" w:rsidP="007D374B">
      <w:pPr>
        <w:pStyle w:val="BodyText"/>
        <w:rPr>
          <w:lang w:eastAsia="en-US"/>
        </w:rPr>
      </w:pPr>
      <w:r w:rsidRPr="001F13F3">
        <w:rPr>
          <w:lang w:eastAsia="en-US"/>
        </w:rPr>
        <w:t>The acceptable level of response is a subjective (socio-political) decision. The level of the stressor that will allow this threshold (or objective) to be achieved is the “target” and is derived from a relationship biomass – response. The derivation of the concentration target</w:t>
      </w:r>
      <w:r w:rsidR="008E6F3C" w:rsidRPr="001F13F3">
        <w:rPr>
          <w:lang w:eastAsia="en-US"/>
        </w:rPr>
        <w:t> </w:t>
      </w:r>
      <w:r w:rsidRPr="001F13F3">
        <w:rPr>
          <w:lang w:eastAsia="en-US"/>
        </w:rPr>
        <w:t>is essentially a scientific/technical process – but it is not entirely objective, and it has</w:t>
      </w:r>
      <w:r w:rsidR="008E6F3C" w:rsidRPr="001F13F3">
        <w:rPr>
          <w:lang w:eastAsia="en-US"/>
        </w:rPr>
        <w:t> </w:t>
      </w:r>
      <w:r w:rsidRPr="001F13F3">
        <w:rPr>
          <w:lang w:eastAsia="en-US"/>
        </w:rPr>
        <w:t xml:space="preserve">uncertainties. </w:t>
      </w:r>
    </w:p>
    <w:p w14:paraId="78AFF045" w14:textId="300E7CFA" w:rsidR="007D374B" w:rsidRPr="001F13F3" w:rsidRDefault="007D374B" w:rsidP="007D374B">
      <w:pPr>
        <w:pStyle w:val="BodyText"/>
        <w:rPr>
          <w:lang w:eastAsia="en-US"/>
        </w:rPr>
      </w:pPr>
      <w:r w:rsidRPr="001F13F3">
        <w:rPr>
          <w:lang w:eastAsia="en-US"/>
        </w:rPr>
        <w:t xml:space="preserve">A stressor-response relationship is generally derived by observing sites (or lab test cases) with differing levels of stressor and response. The relationship is usually defined by fitting a line to the observations (a regression). There is always uncertainty involved due to sampling error and </w:t>
      </w:r>
      <w:r w:rsidRPr="001F13F3">
        <w:rPr>
          <w:lang w:eastAsia="en-US"/>
        </w:rPr>
        <w:lastRenderedPageBreak/>
        <w:t xml:space="preserve">uncontrolled sources of variation, so the regression model approximates the relationship. A purely made up stressor-response relationship and associated regression model is shown in </w:t>
      </w:r>
      <w:r w:rsidRPr="001F13F3">
        <w:rPr>
          <w:lang w:eastAsia="en-US"/>
        </w:rPr>
        <w:fldChar w:fldCharType="begin"/>
      </w:r>
      <w:r w:rsidRPr="001F13F3">
        <w:rPr>
          <w:lang w:eastAsia="en-US"/>
        </w:rPr>
        <w:instrText xml:space="preserve"> REF _Ref33689785 \h  \* MERGEFORMAT </w:instrText>
      </w:r>
      <w:r w:rsidRPr="001F13F3">
        <w:rPr>
          <w:lang w:eastAsia="en-US"/>
        </w:rPr>
      </w:r>
      <w:r w:rsidRPr="001F13F3">
        <w:rPr>
          <w:lang w:eastAsia="en-US"/>
        </w:rPr>
        <w:fldChar w:fldCharType="separate"/>
      </w:r>
      <w:r w:rsidR="002331D8">
        <w:rPr>
          <w:lang w:eastAsia="en-US"/>
        </w:rPr>
        <w:t>f</w:t>
      </w:r>
      <w:r w:rsidRPr="001F13F3">
        <w:rPr>
          <w:lang w:eastAsia="en-US"/>
        </w:rPr>
        <w:t xml:space="preserve">igure </w:t>
      </w:r>
      <w:r w:rsidRPr="001F13F3">
        <w:rPr>
          <w:lang w:eastAsia="en-US"/>
        </w:rPr>
        <w:fldChar w:fldCharType="end"/>
      </w:r>
      <w:r w:rsidRPr="001F13F3">
        <w:rPr>
          <w:lang w:eastAsia="en-US"/>
        </w:rPr>
        <w:t>1. The grey ribbon in this plot represents the uncertainty of the regression model of the stressor-response relationship.</w:t>
      </w:r>
    </w:p>
    <w:p w14:paraId="0F4485D9" w14:textId="3F013D0F" w:rsidR="00201686" w:rsidRPr="001F13F3" w:rsidRDefault="00201686" w:rsidP="00201686">
      <w:pPr>
        <w:pStyle w:val="Figureheading"/>
        <w:rPr>
          <w:lang w:eastAsia="en-US"/>
        </w:rPr>
      </w:pPr>
      <w:bookmarkStart w:id="24" w:name="_Toc47357831"/>
      <w:r w:rsidRPr="001F13F3">
        <w:rPr>
          <w:lang w:eastAsia="en-US" w:bidi="hi-IN"/>
        </w:rPr>
        <w:t>Figure 1:</w:t>
      </w:r>
      <w:r w:rsidRPr="001F13F3">
        <w:rPr>
          <w:lang w:eastAsia="en-US" w:bidi="hi-IN"/>
        </w:rPr>
        <w:tab/>
        <w:t>Made up example of stressor-response relationship and associated regression model</w:t>
      </w:r>
      <w:bookmarkEnd w:id="24"/>
    </w:p>
    <w:p w14:paraId="10A1724B" w14:textId="77777777" w:rsidR="007D374B" w:rsidRPr="001F13F3" w:rsidRDefault="007D374B" w:rsidP="002711D8">
      <w:pPr>
        <w:pStyle w:val="BodyText"/>
        <w:jc w:val="center"/>
        <w:rPr>
          <w:lang w:eastAsia="en-US"/>
        </w:rPr>
      </w:pPr>
      <w:r w:rsidRPr="001F13F3">
        <w:rPr>
          <w:noProof/>
        </w:rPr>
        <w:drawing>
          <wp:inline distT="0" distB="0" distL="0" distR="0" wp14:anchorId="2E14FB2A" wp14:editId="75F44B54">
            <wp:extent cx="4482465" cy="448246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82465" cy="4482465"/>
                    </a:xfrm>
                    <a:prstGeom prst="rect">
                      <a:avLst/>
                    </a:prstGeom>
                    <a:noFill/>
                    <a:ln>
                      <a:noFill/>
                    </a:ln>
                  </pic:spPr>
                </pic:pic>
              </a:graphicData>
            </a:graphic>
          </wp:inline>
        </w:drawing>
      </w:r>
    </w:p>
    <w:p w14:paraId="1CAA5807" w14:textId="42E722DA" w:rsidR="007D374B" w:rsidRPr="001F13F3" w:rsidRDefault="00201686" w:rsidP="00201686">
      <w:pPr>
        <w:pStyle w:val="Note"/>
        <w:rPr>
          <w:lang w:val="en-NZ"/>
        </w:rPr>
      </w:pPr>
      <w:r w:rsidRPr="001F13F3">
        <w:rPr>
          <w:b/>
          <w:bCs/>
          <w:lang w:val="en-NZ"/>
        </w:rPr>
        <w:t>Note:</w:t>
      </w:r>
      <w:r w:rsidR="007D374B" w:rsidRPr="001F13F3">
        <w:rPr>
          <w:lang w:val="en-NZ"/>
        </w:rPr>
        <w:t xml:space="preserve"> The blue line is a regression fitted to the observations (black points). The red dashed lines indicates the stressor target value to achieve a nominated response threshold. </w:t>
      </w:r>
    </w:p>
    <w:p w14:paraId="4DFFC189" w14:textId="2B2AFC06" w:rsidR="007D374B" w:rsidRPr="001F13F3" w:rsidRDefault="007D374B" w:rsidP="00201686">
      <w:pPr>
        <w:pStyle w:val="BodyText"/>
        <w:rPr>
          <w:lang w:eastAsia="en-US" w:bidi="hi-IN"/>
        </w:rPr>
      </w:pPr>
      <w:r w:rsidRPr="001F13F3">
        <w:rPr>
          <w:lang w:eastAsia="en-US" w:bidi="hi-IN"/>
        </w:rPr>
        <w:t xml:space="preserve">The uncertainty associated with the stressor-response relationship </w:t>
      </w:r>
      <w:r w:rsidRPr="001F13F3">
        <w:t>means</w:t>
      </w:r>
      <w:r w:rsidRPr="001F13F3">
        <w:rPr>
          <w:lang w:eastAsia="en-US" w:bidi="hi-IN"/>
        </w:rPr>
        <w:t xml:space="preserve"> that when reading off the target to fit a nominated response threshold there will be uncertainty. For example, in </w:t>
      </w:r>
      <w:r w:rsidR="002331D8">
        <w:rPr>
          <w:lang w:eastAsia="en-US"/>
        </w:rPr>
        <w:t>f</w:t>
      </w:r>
      <w:r w:rsidRPr="001F13F3">
        <w:rPr>
          <w:lang w:eastAsia="en-US"/>
        </w:rPr>
        <w:t xml:space="preserve">igure 2 </w:t>
      </w:r>
      <w:r w:rsidRPr="001F13F3">
        <w:rPr>
          <w:lang w:eastAsia="en-US" w:bidi="hi-IN"/>
        </w:rPr>
        <w:t>the (purely nominal) response threshold is 600 and the stressor target is estimated to</w:t>
      </w:r>
      <w:r w:rsidR="00201686" w:rsidRPr="001F13F3">
        <w:rPr>
          <w:lang w:eastAsia="en-US" w:bidi="hi-IN"/>
        </w:rPr>
        <w:t> </w:t>
      </w:r>
      <w:r w:rsidRPr="001F13F3">
        <w:rPr>
          <w:lang w:eastAsia="en-US" w:bidi="hi-IN"/>
        </w:rPr>
        <w:t>be 25. However, because the stressor-response relationship is based on a line of best fit, the</w:t>
      </w:r>
      <w:r w:rsidR="00201686" w:rsidRPr="001F13F3">
        <w:rPr>
          <w:lang w:eastAsia="en-US" w:bidi="hi-IN"/>
        </w:rPr>
        <w:t> </w:t>
      </w:r>
      <w:r w:rsidRPr="001F13F3">
        <w:rPr>
          <w:lang w:eastAsia="en-US" w:bidi="hi-IN"/>
        </w:rPr>
        <w:t>stressor target indicates the mean response to that level of the stressor. Therefore, our expectation should be that if many locations have a stressor level of 25, only 50% will have a response below 600. In addition, at a stressor level of 2</w:t>
      </w:r>
      <w:r w:rsidR="00A32FD0" w:rsidRPr="001F13F3">
        <w:rPr>
          <w:lang w:eastAsia="en-US" w:bidi="hi-IN"/>
        </w:rPr>
        <w:t>5</w:t>
      </w:r>
      <w:r w:rsidRPr="001F13F3">
        <w:rPr>
          <w:lang w:eastAsia="en-US" w:bidi="hi-IN"/>
        </w:rPr>
        <w:t>, 50% of locations can be expected to exceed the response threshold.</w:t>
      </w:r>
      <w:r w:rsidR="001F13F3" w:rsidRPr="001F13F3">
        <w:rPr>
          <w:lang w:eastAsia="en-US" w:bidi="hi-IN"/>
        </w:rPr>
        <w:t xml:space="preserve"> </w:t>
      </w:r>
    </w:p>
    <w:p w14:paraId="4965403F" w14:textId="45B29066" w:rsidR="00813BBA" w:rsidRPr="001F13F3" w:rsidRDefault="00813BBA" w:rsidP="008D0E9B">
      <w:pPr>
        <w:pStyle w:val="Figureheading"/>
        <w:rPr>
          <w:lang w:eastAsia="en-US" w:bidi="hi-IN"/>
        </w:rPr>
      </w:pPr>
      <w:bookmarkStart w:id="25" w:name="_Toc47357832"/>
      <w:r w:rsidRPr="001F13F3">
        <w:rPr>
          <w:lang w:eastAsia="en-US" w:bidi="hi-IN"/>
        </w:rPr>
        <w:lastRenderedPageBreak/>
        <w:t xml:space="preserve">Figure 2: </w:t>
      </w:r>
      <w:r w:rsidRPr="001F13F3">
        <w:rPr>
          <w:lang w:eastAsia="en-US" w:bidi="hi-IN"/>
        </w:rPr>
        <w:tab/>
        <w:t>Estimate of the level of the stressor associated with a response threshold of 600</w:t>
      </w:r>
      <w:r w:rsidRPr="001F13F3">
        <w:rPr>
          <w:lang w:eastAsia="en-US" w:bidi="hi-IN"/>
        </w:rPr>
        <w:br/>
        <w:t>(in this case a stressor value of 25)</w:t>
      </w:r>
      <w:bookmarkEnd w:id="25"/>
    </w:p>
    <w:p w14:paraId="67B07910" w14:textId="05159DDB" w:rsidR="007D374B" w:rsidRPr="001F13F3" w:rsidRDefault="007D374B" w:rsidP="002711D8">
      <w:pPr>
        <w:pStyle w:val="BodyText"/>
        <w:jc w:val="center"/>
        <w:rPr>
          <w:lang w:eastAsia="en-US" w:bidi="hi-IN"/>
        </w:rPr>
      </w:pPr>
      <w:r w:rsidRPr="001F13F3">
        <w:rPr>
          <w:noProof/>
        </w:rPr>
        <w:drawing>
          <wp:inline distT="0" distB="0" distL="0" distR="0" wp14:anchorId="37FAC3E3" wp14:editId="2A39A45F">
            <wp:extent cx="4655185" cy="465518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5185" cy="4655185"/>
                    </a:xfrm>
                    <a:prstGeom prst="rect">
                      <a:avLst/>
                    </a:prstGeom>
                    <a:noFill/>
                    <a:ln>
                      <a:noFill/>
                    </a:ln>
                  </pic:spPr>
                </pic:pic>
              </a:graphicData>
            </a:graphic>
          </wp:inline>
        </w:drawing>
      </w:r>
    </w:p>
    <w:p w14:paraId="782141E9" w14:textId="7168BACE" w:rsidR="007D374B" w:rsidRPr="001F13F3" w:rsidRDefault="00813BBA" w:rsidP="00813BBA">
      <w:pPr>
        <w:pStyle w:val="Note"/>
        <w:rPr>
          <w:lang w:val="en-NZ"/>
        </w:rPr>
      </w:pPr>
      <w:r w:rsidRPr="001F13F3">
        <w:rPr>
          <w:b/>
          <w:bCs/>
          <w:lang w:val="en-NZ"/>
        </w:rPr>
        <w:t>Note:</w:t>
      </w:r>
      <w:r w:rsidR="007D374B" w:rsidRPr="001F13F3">
        <w:rPr>
          <w:lang w:val="en-NZ"/>
        </w:rPr>
        <w:t xml:space="preserve"> The green lines indicate the 95% confidence interval for the mean value of the response associated with a stressor of 25.</w:t>
      </w:r>
    </w:p>
    <w:p w14:paraId="2EEA8573" w14:textId="128F5CBC" w:rsidR="007D374B" w:rsidRPr="001F13F3" w:rsidRDefault="007D374B" w:rsidP="00813BBA">
      <w:pPr>
        <w:pStyle w:val="BodyText"/>
        <w:rPr>
          <w:lang w:eastAsia="en-US" w:bidi="hi-IN"/>
        </w:rPr>
      </w:pPr>
      <w:r w:rsidRPr="001F13F3">
        <w:rPr>
          <w:lang w:eastAsia="en-US" w:bidi="hi-IN"/>
        </w:rPr>
        <w:t xml:space="preserve">When </w:t>
      </w:r>
      <w:r w:rsidRPr="001F13F3">
        <w:rPr>
          <w:lang w:eastAsia="en-US"/>
        </w:rPr>
        <w:t xml:space="preserve">concentration targets </w:t>
      </w:r>
      <w:r w:rsidRPr="001F13F3">
        <w:rPr>
          <w:lang w:eastAsia="en-US" w:bidi="hi-IN"/>
        </w:rPr>
        <w:t xml:space="preserve">are defined, the details of these uncertainties are often not made clear. A subjective decision is made by the developer of the target that the uncertainty is acceptable because the amount by which the 50% of locations that exceed the acceptable response is “small”. However, some stressor – response relationships are less certain than others due to unexplained variation. To illustrate this, another made up </w:t>
      </w:r>
      <w:r w:rsidRPr="001F13F3">
        <w:t>example</w:t>
      </w:r>
      <w:r w:rsidRPr="001F13F3">
        <w:rPr>
          <w:lang w:eastAsia="en-US" w:bidi="hi-IN"/>
        </w:rPr>
        <w:t xml:space="preserve"> of a more uncertain stressor </w:t>
      </w:r>
      <w:r w:rsidR="002711D8" w:rsidRPr="001F13F3">
        <w:rPr>
          <w:lang w:eastAsia="en-US" w:bidi="hi-IN"/>
        </w:rPr>
        <w:t>–</w:t>
      </w:r>
      <w:r w:rsidRPr="001F13F3">
        <w:rPr>
          <w:lang w:eastAsia="en-US" w:bidi="hi-IN"/>
        </w:rPr>
        <w:t xml:space="preserve"> response relationship is shown in </w:t>
      </w:r>
      <w:r w:rsidR="002331D8">
        <w:rPr>
          <w:lang w:eastAsia="en-US" w:bidi="hi-IN"/>
        </w:rPr>
        <w:t>f</w:t>
      </w:r>
      <w:r w:rsidRPr="001F13F3">
        <w:rPr>
          <w:lang w:eastAsia="en-US" w:bidi="hi-IN"/>
        </w:rPr>
        <w:t xml:space="preserve">igure 3. In this case, the response threshold is the same as before (600) and the estimated target is the same as before (25). Half of the cases with a stressor level equal to 25 will have a response greater than the response threshold (as before) but those responses can be expected to deviate to a greater extent from the threshold of 600 (as shown by the green lines in </w:t>
      </w:r>
      <w:r w:rsidR="002331D8">
        <w:rPr>
          <w:lang w:eastAsia="en-US" w:bidi="hi-IN"/>
        </w:rPr>
        <w:t>f</w:t>
      </w:r>
      <w:r w:rsidRPr="001F13F3">
        <w:rPr>
          <w:lang w:eastAsia="en-US" w:bidi="hi-IN"/>
        </w:rPr>
        <w:t>igure 3).</w:t>
      </w:r>
    </w:p>
    <w:p w14:paraId="07B4BD07" w14:textId="3B045570" w:rsidR="00FF110C" w:rsidRPr="001F13F3" w:rsidRDefault="00FF110C" w:rsidP="00FF110C">
      <w:pPr>
        <w:pStyle w:val="Figureheading"/>
        <w:rPr>
          <w:lang w:eastAsia="en-US" w:bidi="hi-IN"/>
        </w:rPr>
      </w:pPr>
      <w:bookmarkStart w:id="26" w:name="_Toc47357833"/>
      <w:r w:rsidRPr="001F13F3">
        <w:rPr>
          <w:lang w:eastAsia="en-US" w:bidi="hi-IN"/>
        </w:rPr>
        <w:lastRenderedPageBreak/>
        <w:t xml:space="preserve">Figure 3: </w:t>
      </w:r>
      <w:r w:rsidRPr="001F13F3">
        <w:rPr>
          <w:lang w:eastAsia="en-US" w:bidi="hi-IN"/>
        </w:rPr>
        <w:tab/>
        <w:t xml:space="preserve">Estimate of the level of the stressor associated with a response threshold of 600 from a stressor-response relationship that is more uncertain than the example shown in </w:t>
      </w:r>
      <w:r w:rsidR="002331D8">
        <w:rPr>
          <w:lang w:eastAsia="en-US" w:bidi="hi-IN"/>
        </w:rPr>
        <w:t>f</w:t>
      </w:r>
      <w:r w:rsidRPr="001F13F3">
        <w:rPr>
          <w:lang w:eastAsia="en-US" w:bidi="hi-IN"/>
        </w:rPr>
        <w:t>igure 2</w:t>
      </w:r>
      <w:bookmarkEnd w:id="26"/>
    </w:p>
    <w:p w14:paraId="21610EA0" w14:textId="23A4D1E9" w:rsidR="007D374B" w:rsidRPr="001F13F3" w:rsidRDefault="007D374B" w:rsidP="002711D8">
      <w:pPr>
        <w:pStyle w:val="BodyText"/>
        <w:jc w:val="center"/>
        <w:rPr>
          <w:lang w:eastAsia="en-US" w:bidi="hi-IN"/>
        </w:rPr>
      </w:pPr>
      <w:r w:rsidRPr="001F13F3">
        <w:rPr>
          <w:noProof/>
        </w:rPr>
        <w:drawing>
          <wp:inline distT="0" distB="0" distL="0" distR="0" wp14:anchorId="0063A03D" wp14:editId="090701D4">
            <wp:extent cx="4156075" cy="415607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56075" cy="4156075"/>
                    </a:xfrm>
                    <a:prstGeom prst="rect">
                      <a:avLst/>
                    </a:prstGeom>
                    <a:noFill/>
                    <a:ln>
                      <a:noFill/>
                    </a:ln>
                  </pic:spPr>
                </pic:pic>
              </a:graphicData>
            </a:graphic>
          </wp:inline>
        </w:drawing>
      </w:r>
    </w:p>
    <w:p w14:paraId="237ACE64" w14:textId="10462EE9" w:rsidR="007D374B" w:rsidRPr="001F13F3" w:rsidRDefault="002711D8" w:rsidP="002711D8">
      <w:pPr>
        <w:pStyle w:val="Note"/>
        <w:rPr>
          <w:lang w:val="en-NZ"/>
        </w:rPr>
      </w:pPr>
      <w:r w:rsidRPr="001F13F3">
        <w:rPr>
          <w:b/>
          <w:bCs/>
          <w:lang w:val="en-NZ"/>
        </w:rPr>
        <w:t>Note:</w:t>
      </w:r>
      <w:r w:rsidR="007D374B" w:rsidRPr="001F13F3">
        <w:rPr>
          <w:lang w:val="en-NZ"/>
        </w:rPr>
        <w:t xml:space="preserve"> The green lines indicate the 95% confidence interval for the mean value of the response associated with a</w:t>
      </w:r>
      <w:r w:rsidRPr="001F13F3">
        <w:rPr>
          <w:lang w:val="en-NZ"/>
        </w:rPr>
        <w:t> </w:t>
      </w:r>
      <w:r w:rsidR="007D374B" w:rsidRPr="001F13F3">
        <w:rPr>
          <w:lang w:val="en-NZ"/>
        </w:rPr>
        <w:t>stressor of 25.</w:t>
      </w:r>
    </w:p>
    <w:p w14:paraId="394CA9FF" w14:textId="77777777" w:rsidR="007D374B" w:rsidRPr="001F13F3" w:rsidRDefault="007D374B" w:rsidP="007D374B">
      <w:pPr>
        <w:pStyle w:val="BodyText"/>
        <w:rPr>
          <w:lang w:eastAsia="en-US" w:bidi="hi-IN"/>
        </w:rPr>
      </w:pPr>
      <w:r w:rsidRPr="001F13F3">
        <w:rPr>
          <w:lang w:eastAsia="en-US" w:bidi="hi-IN"/>
        </w:rPr>
        <w:t xml:space="preserve">Stressor response relationships are generally very uncertain for periphyton (and other biological responses) because the responses are complex and important controlling variables are often unknown and unmeasured. When </w:t>
      </w:r>
      <w:r w:rsidRPr="001F13F3">
        <w:rPr>
          <w:lang w:eastAsia="en-US"/>
        </w:rPr>
        <w:fldChar w:fldCharType="begin"/>
      </w:r>
      <w:r w:rsidRPr="001F13F3">
        <w:rPr>
          <w:lang w:eastAsia="en-US"/>
        </w:rPr>
        <w:instrText xml:space="preserve"> ADDIN ZOTERO_ITEM CSL_CITATION {"citationID":"uTbsJmCn","properties":{"formattedCitation":"(Snelder {\\i{}et al.}, 2019)","plainCitation":"(Snelder et al., 2019)","dontUpdate":true,"noteIndex":0},"citationItems":[{"id":3608,"uris":["http://zotero.org/groups/2329384/items/SP3LJK3U"],"uri":["http://zotero.org/groups/2329384/items/SP3LJK3U"],"itemData":{"id":3608,"type":"article-journal","container-title":"JAWRA Journal of the American Water Resources Association","issue":"6","page":"1443–1463","source":"Google Scholar","title":"Nutrient Concentration Targets to Achieve Periphyton Biomass Objectives Incorporating Uncertainties","volume":"55","author":[{"family":"Snelder","given":"T. H."},{"family":"Moore","given":"C."},{"family":"Kilroy","given":"C."}],"issued":{"date-parts":[["2019"]]}}}],"schema":"https://github.com/citation-style-language/schema/raw/master/csl-citation.json"} </w:instrText>
      </w:r>
      <w:r w:rsidRPr="001F13F3">
        <w:rPr>
          <w:lang w:eastAsia="en-US"/>
        </w:rPr>
        <w:fldChar w:fldCharType="separate"/>
      </w:r>
      <w:r w:rsidRPr="001F13F3">
        <w:rPr>
          <w:rFonts w:cs="Calibri"/>
          <w:szCs w:val="24"/>
          <w:lang w:eastAsia="en-US"/>
        </w:rPr>
        <w:t xml:space="preserve">Snelder </w:t>
      </w:r>
      <w:r w:rsidRPr="001F13F3">
        <w:rPr>
          <w:rFonts w:cs="Calibri"/>
          <w:i/>
          <w:iCs/>
          <w:szCs w:val="24"/>
          <w:lang w:eastAsia="en-US"/>
        </w:rPr>
        <w:t>et al.</w:t>
      </w:r>
      <w:r w:rsidRPr="001F13F3">
        <w:rPr>
          <w:rFonts w:cs="Calibri"/>
          <w:szCs w:val="24"/>
          <w:lang w:eastAsia="en-US"/>
        </w:rPr>
        <w:t xml:space="preserve"> (2019)</w:t>
      </w:r>
      <w:r w:rsidRPr="001F13F3">
        <w:rPr>
          <w:lang w:eastAsia="en-US"/>
        </w:rPr>
        <w:fldChar w:fldCharType="end"/>
      </w:r>
      <w:r w:rsidRPr="001F13F3">
        <w:rPr>
          <w:lang w:eastAsia="en-US"/>
        </w:rPr>
        <w:t xml:space="preserve"> </w:t>
      </w:r>
      <w:r w:rsidRPr="001F13F3">
        <w:rPr>
          <w:lang w:eastAsia="en-US" w:bidi="hi-IN"/>
        </w:rPr>
        <w:t xml:space="preserve">derived TN and DRP targets for periphyton, they developed the idea of spatial exceedance criteria as a way of being transparent about, and allowing the user to make choices about, the uncertainty of the </w:t>
      </w:r>
      <w:r w:rsidRPr="001F13F3">
        <w:rPr>
          <w:lang w:eastAsia="en-US"/>
        </w:rPr>
        <w:t>concentration targets</w:t>
      </w:r>
      <w:r w:rsidRPr="001F13F3">
        <w:rPr>
          <w:lang w:eastAsia="en-US" w:bidi="hi-IN"/>
        </w:rPr>
        <w:t xml:space="preserve">. </w:t>
      </w:r>
    </w:p>
    <w:p w14:paraId="4D22630B" w14:textId="5CA5CB1B" w:rsidR="007D374B" w:rsidRPr="001F13F3" w:rsidRDefault="00A32FD0" w:rsidP="007D374B">
      <w:pPr>
        <w:pStyle w:val="BodyText"/>
        <w:rPr>
          <w:lang w:eastAsia="en-US" w:bidi="hi-IN"/>
        </w:rPr>
      </w:pPr>
      <w:r w:rsidRPr="001F13F3">
        <w:rPr>
          <w:lang w:eastAsia="en-US" w:bidi="hi-IN"/>
        </w:rPr>
        <w:t>T</w:t>
      </w:r>
      <w:r w:rsidR="007D374B" w:rsidRPr="001F13F3">
        <w:rPr>
          <w:lang w:eastAsia="en-US" w:bidi="hi-IN"/>
        </w:rPr>
        <w:t>he different spatial exceedance criteria can be thought of as translations of the regression line upwards so that the proportion of sites that exceed the biomass threshold is decreased (</w:t>
      </w:r>
      <w:r w:rsidR="002331D8">
        <w:rPr>
          <w:lang w:eastAsia="en-US" w:bidi="hi-IN"/>
        </w:rPr>
        <w:t>f</w:t>
      </w:r>
      <w:r w:rsidR="007D374B" w:rsidRPr="001F13F3">
        <w:rPr>
          <w:lang w:eastAsia="en-US" w:bidi="hi-IN"/>
        </w:rPr>
        <w:t xml:space="preserve">igure 4). In the made up example shown in </w:t>
      </w:r>
      <w:r w:rsidR="002331D8">
        <w:rPr>
          <w:lang w:eastAsia="en-US" w:bidi="hi-IN"/>
        </w:rPr>
        <w:t>f</w:t>
      </w:r>
      <w:r w:rsidR="007D374B" w:rsidRPr="001F13F3">
        <w:rPr>
          <w:lang w:eastAsia="en-US" w:bidi="hi-IN"/>
        </w:rPr>
        <w:t>igure 4 the solid red line is the translation of the original regression line upwards so that a smaller proportion of the sites are above the line (eg, 10% or 20% instead of 50%). The new criterion corresponding to a response threshold of 600 and a smaller spatial exceedance criterion is read off from the translated line. This stressor target (15) is obviously more conservative than when the spatial exceedance criteria are not applied. Note that using the original regression line to define the target is effectively employing a 50% spatial exceedance criterion.</w:t>
      </w:r>
    </w:p>
    <w:p w14:paraId="58641F03" w14:textId="19227A90" w:rsidR="00C31E37" w:rsidRPr="001F13F3" w:rsidRDefault="00C31E37" w:rsidP="00C31E37">
      <w:pPr>
        <w:pStyle w:val="Figureheading"/>
        <w:rPr>
          <w:lang w:eastAsia="en-US" w:bidi="hi-IN"/>
        </w:rPr>
      </w:pPr>
      <w:bookmarkStart w:id="27" w:name="_Toc47357834"/>
      <w:r w:rsidRPr="001F13F3">
        <w:rPr>
          <w:lang w:eastAsia="en-US" w:bidi="hi-IN"/>
        </w:rPr>
        <w:lastRenderedPageBreak/>
        <w:t xml:space="preserve">Figure 4: </w:t>
      </w:r>
      <w:r w:rsidRPr="001F13F3">
        <w:rPr>
          <w:lang w:eastAsia="en-US" w:bidi="hi-IN"/>
        </w:rPr>
        <w:tab/>
        <w:t>Estimate of the level of the stressor associated with a response threshold of 600 when a spatial exceedance criterion is applied to the stressor-response relationship</w:t>
      </w:r>
      <w:bookmarkEnd w:id="27"/>
    </w:p>
    <w:p w14:paraId="3B3E7ACF" w14:textId="77777777" w:rsidR="007D374B" w:rsidRPr="001F13F3" w:rsidRDefault="007D374B" w:rsidP="00C31E37">
      <w:pPr>
        <w:pStyle w:val="BodyText"/>
        <w:jc w:val="center"/>
        <w:rPr>
          <w:lang w:eastAsia="en-US" w:bidi="hi-IN"/>
        </w:rPr>
      </w:pPr>
      <w:r w:rsidRPr="001F13F3">
        <w:rPr>
          <w:noProof/>
        </w:rPr>
        <w:drawing>
          <wp:inline distT="0" distB="0" distL="0" distR="0" wp14:anchorId="6CDDE84C" wp14:editId="1825A25D">
            <wp:extent cx="4463415" cy="4463415"/>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3415" cy="4463415"/>
                    </a:xfrm>
                    <a:prstGeom prst="rect">
                      <a:avLst/>
                    </a:prstGeom>
                    <a:noFill/>
                    <a:ln>
                      <a:noFill/>
                    </a:ln>
                  </pic:spPr>
                </pic:pic>
              </a:graphicData>
            </a:graphic>
          </wp:inline>
        </w:drawing>
      </w:r>
    </w:p>
    <w:p w14:paraId="23D9C51B" w14:textId="0053332B" w:rsidR="007D374B" w:rsidRPr="001F13F3" w:rsidRDefault="007D374B" w:rsidP="00C31E37">
      <w:pPr>
        <w:pStyle w:val="BodyText"/>
        <w:rPr>
          <w:lang w:eastAsia="en-US" w:bidi="hi-IN"/>
        </w:rPr>
      </w:pPr>
      <w:r w:rsidRPr="001F13F3">
        <w:rPr>
          <w:lang w:eastAsia="en-US"/>
        </w:rPr>
        <w:fldChar w:fldCharType="begin"/>
      </w:r>
      <w:r w:rsidRPr="001F13F3">
        <w:rPr>
          <w:lang w:eastAsia="en-US"/>
        </w:rPr>
        <w:instrText xml:space="preserve"> ADDIN ZOTERO_ITEM CSL_CITATION {"citationID":"MTI8oA7m","properties":{"formattedCitation":"(Snelder {\\i{}et al.}, 2019)","plainCitation":"(Snelder et al., 2019)","dontUpdate":true,"noteIndex":0},"citationItems":[{"id":3608,"uris":["http://zotero.org/groups/2329384/items/SP3LJK3U"],"uri":["http://zotero.org/groups/2329384/items/SP3LJK3U"],"itemData":{"id":3608,"type":"article-journal","container-title":"JAWRA Journal of the American Water Resources Association","issue":"6","page":"1443–1463","source":"Google Scholar","title":"Nutrient Concentration Targets to Achieve Periphyton Biomass Objectives Incorporating Uncertainties","volume":"55","author":[{"family":"Snelder","given":"T. H."},{"family":"Moore","given":"C."},{"family":"Kilroy","given":"C."}],"issued":{"date-parts":[["2019"]]}}}],"schema":"https://github.com/citation-style-language/schema/raw/master/csl-citation.json"} </w:instrText>
      </w:r>
      <w:r w:rsidRPr="001F13F3">
        <w:rPr>
          <w:lang w:eastAsia="en-US"/>
        </w:rPr>
        <w:fldChar w:fldCharType="separate"/>
      </w:r>
      <w:r w:rsidRPr="001F13F3">
        <w:rPr>
          <w:rFonts w:cs="Calibri"/>
          <w:szCs w:val="24"/>
          <w:lang w:eastAsia="en-US"/>
        </w:rPr>
        <w:t xml:space="preserve">Snelder </w:t>
      </w:r>
      <w:r w:rsidRPr="001F13F3">
        <w:rPr>
          <w:rFonts w:cs="Calibri"/>
          <w:i/>
          <w:iCs/>
          <w:szCs w:val="24"/>
          <w:lang w:eastAsia="en-US"/>
        </w:rPr>
        <w:t>et al.</w:t>
      </w:r>
      <w:r w:rsidRPr="001F13F3">
        <w:rPr>
          <w:rFonts w:cs="Calibri"/>
          <w:szCs w:val="24"/>
          <w:lang w:eastAsia="en-US"/>
        </w:rPr>
        <w:t xml:space="preserve"> (2019)</w:t>
      </w:r>
      <w:r w:rsidRPr="001F13F3">
        <w:rPr>
          <w:lang w:eastAsia="en-US"/>
        </w:rPr>
        <w:fldChar w:fldCharType="end"/>
      </w:r>
      <w:r w:rsidRPr="001F13F3">
        <w:rPr>
          <w:lang w:eastAsia="en-US"/>
        </w:rPr>
        <w:t xml:space="preserve"> proposed</w:t>
      </w:r>
      <w:r w:rsidRPr="001F13F3">
        <w:rPr>
          <w:lang w:eastAsia="en-US" w:bidi="hi-IN"/>
        </w:rPr>
        <w:t xml:space="preserve"> spatial exceedance criteria as a way of transparently managing the risk of not keeping the response to at or below the threshold when the underlying stressor-response relationship was uncertain. It is noted that even with a spatial exceedance of 10% there is some risk (ie, 10%) that the response at some sites will exceed the threshold. Reducing this risk further would mean increasing the stringency of the target – which obviously has costs that ideally would be weighed against the consequences of some localised exceedances. </w:t>
      </w:r>
    </w:p>
    <w:p w14:paraId="746B5886" w14:textId="3BC36636" w:rsidR="007D374B" w:rsidRPr="001F13F3" w:rsidRDefault="007D374B" w:rsidP="007D374B">
      <w:pPr>
        <w:pStyle w:val="BodyText"/>
        <w:rPr>
          <w:lang w:eastAsia="en-US" w:bidi="hi-IN"/>
        </w:rPr>
      </w:pPr>
      <w:r w:rsidRPr="001F13F3">
        <w:rPr>
          <w:lang w:eastAsia="en-US" w:bidi="hi-IN"/>
        </w:rPr>
        <w:t>A key point is that acceptance of the risk that a target will not always achieve the acceptable level of response (the threshold) is common to most environmental targets but it is often unstated. For example, the toxicity based attribute states in the NPS-FM are based on similar types of statistical analysis. For toxicity, the attribute state is set to protect a proportion of the test species (ie</w:t>
      </w:r>
      <w:r w:rsidR="00255326" w:rsidRPr="001F13F3">
        <w:rPr>
          <w:lang w:eastAsia="en-US" w:bidi="hi-IN"/>
        </w:rPr>
        <w:t>,</w:t>
      </w:r>
      <w:r w:rsidRPr="001F13F3">
        <w:rPr>
          <w:lang w:eastAsia="en-US" w:bidi="hi-IN"/>
        </w:rPr>
        <w:t xml:space="preserve"> the threshold), but there is (unstated) uncertainty in the target and the actual proportion of species being protected may be less than the nominated threshold. Another example of risks of non-achievement of attribute states is the TN and TP for lakes. TN and TP are stressors and targets for these are intended to achieve associated in-lake chlorophyll biomass (the response). However, the TN and TP </w:t>
      </w:r>
      <w:r w:rsidRPr="001F13F3">
        <w:rPr>
          <w:lang w:eastAsia="en-US"/>
        </w:rPr>
        <w:t xml:space="preserve">concentration targets </w:t>
      </w:r>
      <w:r w:rsidRPr="001F13F3">
        <w:rPr>
          <w:lang w:eastAsia="en-US" w:bidi="hi-IN"/>
        </w:rPr>
        <w:t xml:space="preserve">are uncertain and, for at least some lakes, the in-lake chlorophyll biomass threshold will exceed the designated attribute states when either TN and TP do not exceed the associated target. </w:t>
      </w:r>
    </w:p>
    <w:p w14:paraId="553003F7" w14:textId="4FC3350E" w:rsidR="007D374B" w:rsidRPr="001F13F3" w:rsidRDefault="007D374B" w:rsidP="007D374B">
      <w:pPr>
        <w:pStyle w:val="BodyText"/>
        <w:rPr>
          <w:lang w:eastAsia="en-US" w:bidi="hi-IN"/>
        </w:rPr>
      </w:pPr>
      <w:r w:rsidRPr="001F13F3">
        <w:rPr>
          <w:lang w:eastAsia="en-US" w:bidi="hi-IN"/>
        </w:rPr>
        <w:t xml:space="preserve">In conclusion, the </w:t>
      </w:r>
      <w:r w:rsidRPr="001F13F3">
        <w:rPr>
          <w:lang w:eastAsia="en-US"/>
        </w:rPr>
        <w:fldChar w:fldCharType="begin"/>
      </w:r>
      <w:r w:rsidRPr="001F13F3">
        <w:rPr>
          <w:lang w:eastAsia="en-US"/>
        </w:rPr>
        <w:instrText xml:space="preserve"> ADDIN ZOTERO_ITEM CSL_CITATION {"citationID":"tEpDzmCf","properties":{"formattedCitation":"(Snelder {\\i{}et al.}, 2019)","plainCitation":"(Snelder et al., 2019)","dontUpdate":true,"noteIndex":0},"citationItems":[{"id":3608,"uris":["http://zotero.org/groups/2329384/items/SP3LJK3U"],"uri":["http://zotero.org/groups/2329384/items/SP3LJK3U"],"itemData":{"id":3608,"type":"article-journal","container-title":"JAWRA Journal of the American Water Resources Association","issue":"6","page":"1443–1463","source":"Google Scholar","title":"Nutrient Concentration Targets to Achieve Periphyton Biomass Objectives Incorporating Uncertainties","volume":"55","author":[{"family":"Snelder","given":"T. H."},{"family":"Moore","given":"C."},{"family":"Kilroy","given":"C."}],"issued":{"date-parts":[["2019"]]}}}],"schema":"https://github.com/citation-style-language/schema/raw/master/csl-citation.json"} </w:instrText>
      </w:r>
      <w:r w:rsidRPr="001F13F3">
        <w:rPr>
          <w:lang w:eastAsia="en-US"/>
        </w:rPr>
        <w:fldChar w:fldCharType="separate"/>
      </w:r>
      <w:r w:rsidRPr="001F13F3">
        <w:rPr>
          <w:rFonts w:cs="Calibri"/>
          <w:szCs w:val="24"/>
          <w:lang w:eastAsia="en-US"/>
        </w:rPr>
        <w:t xml:space="preserve">Snelder </w:t>
      </w:r>
      <w:r w:rsidRPr="001F13F3">
        <w:rPr>
          <w:rFonts w:cs="Calibri"/>
          <w:i/>
          <w:iCs/>
          <w:szCs w:val="24"/>
          <w:lang w:eastAsia="en-US"/>
        </w:rPr>
        <w:t>et al.</w:t>
      </w:r>
      <w:r w:rsidRPr="001F13F3">
        <w:rPr>
          <w:rFonts w:cs="Calibri"/>
          <w:szCs w:val="24"/>
          <w:lang w:eastAsia="en-US"/>
        </w:rPr>
        <w:t xml:space="preserve"> (2019)</w:t>
      </w:r>
      <w:r w:rsidRPr="001F13F3">
        <w:rPr>
          <w:lang w:eastAsia="en-US"/>
        </w:rPr>
        <w:fldChar w:fldCharType="end"/>
      </w:r>
      <w:r w:rsidRPr="001F13F3">
        <w:rPr>
          <w:lang w:eastAsia="en-US"/>
        </w:rPr>
        <w:t xml:space="preserve"> </w:t>
      </w:r>
      <w:r w:rsidRPr="001F13F3">
        <w:rPr>
          <w:lang w:eastAsia="en-US" w:bidi="hi-IN"/>
        </w:rPr>
        <w:t>nutrient targets are intended to be guidance/starting points for defining nutrient concentrations for managing to t</w:t>
      </w:r>
      <w:r w:rsidR="00A21B7D" w:rsidRPr="001F13F3">
        <w:rPr>
          <w:lang w:eastAsia="en-US" w:bidi="hi-IN"/>
        </w:rPr>
        <w:t>he periphyton attribute states.</w:t>
      </w:r>
      <w:r w:rsidRPr="001F13F3">
        <w:rPr>
          <w:lang w:eastAsia="en-US" w:bidi="hi-IN"/>
        </w:rPr>
        <w:t xml:space="preserve"> They are not inconsistent with other water quality targets because all targets should be </w:t>
      </w:r>
      <w:r w:rsidRPr="001F13F3">
        <w:rPr>
          <w:lang w:eastAsia="en-US" w:bidi="hi-IN"/>
        </w:rPr>
        <w:lastRenderedPageBreak/>
        <w:t xml:space="preserve">regarded as uncertain. However, the </w:t>
      </w:r>
      <w:r w:rsidRPr="001F13F3">
        <w:rPr>
          <w:lang w:eastAsia="en-US"/>
        </w:rPr>
        <w:fldChar w:fldCharType="begin"/>
      </w:r>
      <w:r w:rsidRPr="001F13F3">
        <w:rPr>
          <w:lang w:eastAsia="en-US"/>
        </w:rPr>
        <w:instrText xml:space="preserve"> ADDIN ZOTERO_ITEM CSL_CITATION {"citationID":"Miq7ZP3C","properties":{"formattedCitation":"(Snelder {\\i{}et al.}, 2019)","plainCitation":"(Snelder et al., 2019)","dontUpdate":true,"noteIndex":0},"citationItems":[{"id":3608,"uris":["http://zotero.org/groups/2329384/items/SP3LJK3U"],"uri":["http://zotero.org/groups/2329384/items/SP3LJK3U"],"itemData":{"id":3608,"type":"article-journal","container-title":"JAWRA Journal of the American Water Resources Association","issue":"6","page":"1443–1463","source":"Google Scholar","title":"Nutrient Concentration Targets to Achieve Periphyton Biomass Objectives Incorporating Uncertainties","volume":"55","author":[{"family":"Snelder","given":"T. H."},{"family":"Moore","given":"C."},{"family":"Kilroy","given":"C."}],"issued":{"date-parts":[["2019"]]}}}],"schema":"https://github.com/citation-style-language/schema/raw/master/csl-citation.json"} </w:instrText>
      </w:r>
      <w:r w:rsidRPr="001F13F3">
        <w:rPr>
          <w:lang w:eastAsia="en-US"/>
        </w:rPr>
        <w:fldChar w:fldCharType="separate"/>
      </w:r>
      <w:r w:rsidRPr="001F13F3">
        <w:rPr>
          <w:rFonts w:cs="Calibri"/>
          <w:szCs w:val="24"/>
          <w:lang w:eastAsia="en-US"/>
        </w:rPr>
        <w:t xml:space="preserve">Snelder </w:t>
      </w:r>
      <w:r w:rsidRPr="001F13F3">
        <w:rPr>
          <w:rFonts w:cs="Calibri"/>
          <w:i/>
          <w:iCs/>
          <w:szCs w:val="24"/>
          <w:lang w:eastAsia="en-US"/>
        </w:rPr>
        <w:t>et al.</w:t>
      </w:r>
      <w:r w:rsidRPr="001F13F3">
        <w:rPr>
          <w:rFonts w:cs="Calibri"/>
          <w:szCs w:val="24"/>
          <w:lang w:eastAsia="en-US"/>
        </w:rPr>
        <w:t xml:space="preserve"> (2019)</w:t>
      </w:r>
      <w:r w:rsidRPr="001F13F3">
        <w:rPr>
          <w:lang w:eastAsia="en-US"/>
        </w:rPr>
        <w:fldChar w:fldCharType="end"/>
      </w:r>
      <w:r w:rsidRPr="001F13F3">
        <w:rPr>
          <w:lang w:eastAsia="en-US"/>
        </w:rPr>
        <w:t xml:space="preserve"> </w:t>
      </w:r>
      <w:r w:rsidRPr="001F13F3">
        <w:rPr>
          <w:lang w:eastAsia="en-US" w:bidi="hi-IN"/>
        </w:rPr>
        <w:t xml:space="preserve">targets were not intended to be used as attributes for setting objectives; they are targets for biological stressors intended for use in setting risk-based limits to resource use, and are uncertain. If an individual site exceeds the </w:t>
      </w:r>
      <w:r w:rsidRPr="001F13F3">
        <w:rPr>
          <w:lang w:eastAsia="en-US"/>
        </w:rPr>
        <w:fldChar w:fldCharType="begin"/>
      </w:r>
      <w:r w:rsidRPr="001F13F3">
        <w:rPr>
          <w:lang w:eastAsia="en-US"/>
        </w:rPr>
        <w:instrText xml:space="preserve"> ADDIN ZOTERO_ITEM CSL_CITATION {"citationID":"Iey20VjS","properties":{"formattedCitation":"(Snelder {\\i{}et al.}, 2019)","plainCitation":"(Snelder et al., 2019)","dontUpdate":true,"noteIndex":0},"citationItems":[{"id":3608,"uris":["http://zotero.org/groups/2329384/items/SP3LJK3U"],"uri":["http://zotero.org/groups/2329384/items/SP3LJK3U"],"itemData":{"id":3608,"type":"article-journal","container-title":"JAWRA Journal of the American Water Resources Association","issue":"6","page":"1443–1463","source":"Google Scholar","title":"Nutrient Concentration Targets to Achieve Periphyton Biomass Objectives Incorporating Uncertainties","volume":"55","author":[{"family":"Snelder","given":"T. H."},{"family":"Moore","given":"C."},{"family":"Kilroy","given":"C."}],"issued":{"date-parts":[["2019"]]}}}],"schema":"https://github.com/citation-style-language/schema/raw/master/csl-citation.json"} </w:instrText>
      </w:r>
      <w:r w:rsidRPr="001F13F3">
        <w:rPr>
          <w:lang w:eastAsia="en-US"/>
        </w:rPr>
        <w:fldChar w:fldCharType="separate"/>
      </w:r>
      <w:r w:rsidRPr="001F13F3">
        <w:rPr>
          <w:rFonts w:cs="Calibri"/>
          <w:szCs w:val="24"/>
          <w:lang w:eastAsia="en-US"/>
        </w:rPr>
        <w:t xml:space="preserve">Snelder </w:t>
      </w:r>
      <w:r w:rsidRPr="001F13F3">
        <w:rPr>
          <w:rFonts w:cs="Calibri"/>
          <w:i/>
          <w:iCs/>
          <w:szCs w:val="24"/>
          <w:lang w:eastAsia="en-US"/>
        </w:rPr>
        <w:t>et al.</w:t>
      </w:r>
      <w:r w:rsidRPr="001F13F3">
        <w:rPr>
          <w:rFonts w:cs="Calibri"/>
          <w:szCs w:val="24"/>
          <w:lang w:eastAsia="en-US"/>
        </w:rPr>
        <w:t xml:space="preserve"> (2019)</w:t>
      </w:r>
      <w:r w:rsidRPr="001F13F3">
        <w:rPr>
          <w:lang w:eastAsia="en-US"/>
        </w:rPr>
        <w:fldChar w:fldCharType="end"/>
      </w:r>
      <w:r w:rsidRPr="001F13F3">
        <w:rPr>
          <w:lang w:eastAsia="en-US"/>
        </w:rPr>
        <w:t xml:space="preserve"> </w:t>
      </w:r>
      <w:r w:rsidRPr="001F13F3">
        <w:rPr>
          <w:lang w:eastAsia="en-US" w:bidi="hi-IN"/>
        </w:rPr>
        <w:t xml:space="preserve">targets, the correct interpretation is that it has an “unacceptably high risk” of failing to achieve the nominated biological threshold (or objective). Exceeding the target, however, does not mean that the site is exceeding the biological threshold, because the nutrient targets are uncertain and only monitoring of periphyton can confirm the actual biomass. However, in the absence of biological information, the manager would interpret failing the target as evidence that there is an issue and may decide to act accordingly. </w:t>
      </w:r>
    </w:p>
    <w:p w14:paraId="71A67FC3" w14:textId="77777777" w:rsidR="00FA19B8" w:rsidRPr="001F13F3" w:rsidRDefault="00FA19B8" w:rsidP="00C253BF">
      <w:pPr>
        <w:pStyle w:val="Heading2"/>
        <w:rPr>
          <w:lang w:eastAsia="en-US" w:bidi="hi-IN"/>
        </w:rPr>
      </w:pPr>
      <w:bookmarkStart w:id="28" w:name="_Toc39145121"/>
      <w:bookmarkStart w:id="29" w:name="_Toc39145261"/>
      <w:bookmarkStart w:id="30" w:name="_Toc39145330"/>
      <w:bookmarkStart w:id="31" w:name="_Toc47357783"/>
      <w:r w:rsidRPr="001F13F3">
        <w:rPr>
          <w:lang w:eastAsia="en-US" w:bidi="hi-IN"/>
        </w:rPr>
        <w:t xml:space="preserve">Recalibrated </w:t>
      </w:r>
      <w:r w:rsidRPr="001F13F3">
        <w:rPr>
          <w:lang w:eastAsia="en-US"/>
        </w:rPr>
        <w:t>concentration targets</w:t>
      </w:r>
      <w:bookmarkEnd w:id="28"/>
      <w:bookmarkEnd w:id="29"/>
      <w:bookmarkEnd w:id="30"/>
      <w:bookmarkEnd w:id="31"/>
    </w:p>
    <w:p w14:paraId="1B805B12" w14:textId="1A110E2A" w:rsidR="00FA19B8" w:rsidRPr="001F13F3" w:rsidRDefault="00FA19B8" w:rsidP="00FA19B8">
      <w:pPr>
        <w:pStyle w:val="BodyText"/>
        <w:rPr>
          <w:lang w:eastAsia="en-US" w:bidi="hi-IN"/>
        </w:rPr>
      </w:pPr>
      <w:r w:rsidRPr="001F13F3">
        <w:rPr>
          <w:lang w:eastAsia="en-US"/>
        </w:rPr>
        <w:t xml:space="preserve">An initial analysis in </w:t>
      </w:r>
      <w:r w:rsidRPr="001F13F3">
        <w:rPr>
          <w:lang w:eastAsia="en-US"/>
        </w:rPr>
        <w:fldChar w:fldCharType="begin"/>
      </w:r>
      <w:r w:rsidRPr="001F13F3">
        <w:rPr>
          <w:lang w:eastAsia="en-US"/>
        </w:rPr>
        <w:instrText xml:space="preserve"> ADDIN ZOTERO_ITEM CSL_CITATION {"citationID":"Dxoo3OT8","properties":{"formattedCitation":"(Snelder {\\i{}et al.}, 2019)","plainCitation":"(Snelder et al., 2019)","dontUpdate":true,"noteIndex":0},"citationItems":[{"id":3608,"uris":["http://zotero.org/groups/2329384/items/SP3LJK3U"],"uri":["http://zotero.org/groups/2329384/items/SP3LJK3U"],"itemData":{"id":3608,"type":"article-journal","container-title":"JAWRA Journal of the American Water Resources Association","issue":"6","page":"1443–1463","source":"Google Scholar","title":"Nutrient Concentration Targets to Achieve Periphyton Biomass Objectives Incorporating Uncertainties","volume":"55","author":[{"family":"Snelder","given":"T. H."},{"family":"Moore","given":"C."},{"family":"Kilroy","given":"C."}],"issued":{"date-parts":[["2019"]]}}}],"schema":"https://github.com/citation-style-language/schema/raw/master/csl-citation.json"} </w:instrText>
      </w:r>
      <w:r w:rsidRPr="001F13F3">
        <w:rPr>
          <w:lang w:eastAsia="en-US"/>
        </w:rPr>
        <w:fldChar w:fldCharType="separate"/>
      </w:r>
      <w:r w:rsidRPr="001F13F3">
        <w:rPr>
          <w:rFonts w:cs="Calibri"/>
          <w:szCs w:val="24"/>
          <w:lang w:eastAsia="en-US"/>
        </w:rPr>
        <w:t xml:space="preserve">Snelder </w:t>
      </w:r>
      <w:r w:rsidRPr="001F13F3">
        <w:rPr>
          <w:rFonts w:cs="Calibri"/>
          <w:i/>
          <w:iCs/>
          <w:szCs w:val="24"/>
          <w:lang w:eastAsia="en-US"/>
        </w:rPr>
        <w:t>et al.</w:t>
      </w:r>
      <w:r w:rsidRPr="001F13F3">
        <w:rPr>
          <w:rFonts w:cs="Calibri"/>
          <w:szCs w:val="24"/>
          <w:lang w:eastAsia="en-US"/>
        </w:rPr>
        <w:t xml:space="preserve"> (2019)</w:t>
      </w:r>
      <w:r w:rsidRPr="001F13F3">
        <w:rPr>
          <w:lang w:eastAsia="en-US"/>
        </w:rPr>
        <w:fldChar w:fldCharType="end"/>
      </w:r>
      <w:r w:rsidRPr="001F13F3">
        <w:rPr>
          <w:lang w:eastAsia="en-US"/>
        </w:rPr>
        <w:t xml:space="preserve"> </w:t>
      </w:r>
      <w:r w:rsidRPr="001F13F3">
        <w:rPr>
          <w:lang w:eastAsia="en-US" w:bidi="hi-IN"/>
        </w:rPr>
        <w:t>suggested that testing data could be used to re</w:t>
      </w:r>
      <w:r w:rsidR="00C31E37" w:rsidRPr="001F13F3">
        <w:rPr>
          <w:lang w:eastAsia="en-US" w:bidi="hi-IN"/>
        </w:rPr>
        <w:noBreakHyphen/>
      </w:r>
      <w:r w:rsidRPr="001F13F3">
        <w:rPr>
          <w:lang w:eastAsia="en-US" w:bidi="hi-IN"/>
        </w:rPr>
        <w:t>calibrate the original TN and DRP </w:t>
      </w:r>
      <w:r w:rsidRPr="001F13F3">
        <w:rPr>
          <w:lang w:eastAsia="en-US"/>
        </w:rPr>
        <w:t xml:space="preserve">concentration targets </w:t>
      </w:r>
      <w:r w:rsidRPr="001F13F3">
        <w:rPr>
          <w:lang w:eastAsia="en-US" w:bidi="hi-IN"/>
        </w:rPr>
        <w:t xml:space="preserve">given the test indicated that they were </w:t>
      </w:r>
      <w:r w:rsidRPr="001F13F3">
        <w:rPr>
          <w:lang w:eastAsia="en-US"/>
        </w:rPr>
        <w:t xml:space="preserve">too conservative and too permissive </w:t>
      </w:r>
      <w:r w:rsidRPr="001F13F3">
        <w:rPr>
          <w:lang w:eastAsia="en-US" w:bidi="hi-IN"/>
        </w:rPr>
        <w:t>across all REC classes,</w:t>
      </w:r>
      <w:r w:rsidRPr="001F13F3">
        <w:rPr>
          <w:lang w:eastAsia="en-US"/>
        </w:rPr>
        <w:t xml:space="preserve"> respectively</w:t>
      </w:r>
      <w:r w:rsidRPr="001F13F3">
        <w:rPr>
          <w:lang w:eastAsia="en-US" w:bidi="hi-IN"/>
        </w:rPr>
        <w:t xml:space="preserve">. Re-calibration involves adjusting the </w:t>
      </w:r>
      <w:r w:rsidRPr="001F13F3">
        <w:rPr>
          <w:lang w:eastAsia="en-US"/>
        </w:rPr>
        <w:t xml:space="preserve">concentration targets </w:t>
      </w:r>
      <w:r w:rsidRPr="001F13F3">
        <w:rPr>
          <w:lang w:eastAsia="en-US" w:bidi="hi-IN"/>
        </w:rPr>
        <w:t>so that the proportion of test sites exceeding the</w:t>
      </w:r>
      <w:r w:rsidR="001F1892" w:rsidRPr="001F13F3">
        <w:rPr>
          <w:lang w:eastAsia="en-US" w:bidi="hi-IN"/>
        </w:rPr>
        <w:t> </w:t>
      </w:r>
      <w:r w:rsidRPr="001F13F3">
        <w:rPr>
          <w:lang w:eastAsia="en-US" w:bidi="hi-IN"/>
        </w:rPr>
        <w:t xml:space="preserve">biomass threshold matched the spatial exceedance criteria. </w:t>
      </w:r>
    </w:p>
    <w:p w14:paraId="4749D65D" w14:textId="0CDF13B9" w:rsidR="00FA19B8" w:rsidRPr="001F13F3" w:rsidRDefault="00FA19B8" w:rsidP="00FA19B8">
      <w:pPr>
        <w:pStyle w:val="BodyText"/>
        <w:rPr>
          <w:lang w:eastAsia="en-US" w:bidi="hi-IN"/>
        </w:rPr>
      </w:pPr>
      <w:r w:rsidRPr="001F13F3">
        <w:rPr>
          <w:lang w:eastAsia="en-US" w:bidi="hi-IN"/>
        </w:rPr>
        <w:t xml:space="preserve">To recalibrate the </w:t>
      </w:r>
      <w:r w:rsidRPr="001F13F3">
        <w:rPr>
          <w:lang w:eastAsia="en-US"/>
        </w:rPr>
        <w:t>concentration targets</w:t>
      </w:r>
      <w:r w:rsidRPr="001F13F3">
        <w:rPr>
          <w:lang w:eastAsia="en-US" w:bidi="hi-IN"/>
        </w:rPr>
        <w:t xml:space="preserve">, the original </w:t>
      </w:r>
      <w:r w:rsidRPr="001F13F3">
        <w:rPr>
          <w:lang w:eastAsia="en-US"/>
        </w:rPr>
        <w:t xml:space="preserve">concentration targets </w:t>
      </w:r>
      <w:r w:rsidRPr="001F13F3">
        <w:rPr>
          <w:lang w:eastAsia="en-US" w:bidi="hi-IN"/>
        </w:rPr>
        <w:t>for each REC</w:t>
      </w:r>
      <w:r w:rsidR="000E0B04" w:rsidRPr="001F13F3">
        <w:rPr>
          <w:lang w:eastAsia="en-US" w:bidi="hi-IN"/>
        </w:rPr>
        <w:t> </w:t>
      </w:r>
      <w:r w:rsidRPr="001F13F3">
        <w:rPr>
          <w:lang w:eastAsia="en-US" w:bidi="hi-IN"/>
        </w:rPr>
        <w:t>Source of Flow class are interpolated from the observed to obtain the TN and DRP concentrations at which the proportion of sites exceeding the biomass threshold is consistent</w:t>
      </w:r>
      <w:r w:rsidR="00C31E37" w:rsidRPr="001F13F3">
        <w:rPr>
          <w:lang w:eastAsia="en-US" w:bidi="hi-IN"/>
        </w:rPr>
        <w:t> </w:t>
      </w:r>
      <w:r w:rsidRPr="001F13F3">
        <w:rPr>
          <w:lang w:eastAsia="en-US" w:bidi="hi-IN"/>
        </w:rPr>
        <w:t>with the designated spatial exceedance (ie, 10, 20, 30 and 50). The results of</w:t>
      </w:r>
      <w:r w:rsidR="000E0B04" w:rsidRPr="001F13F3">
        <w:rPr>
          <w:lang w:eastAsia="en-US" w:bidi="hi-IN"/>
        </w:rPr>
        <w:t> </w:t>
      </w:r>
      <w:r w:rsidRPr="001F13F3">
        <w:rPr>
          <w:lang w:eastAsia="en-US" w:bidi="hi-IN"/>
        </w:rPr>
        <w:t>the</w:t>
      </w:r>
      <w:r w:rsidR="000E0B04" w:rsidRPr="001F13F3">
        <w:rPr>
          <w:lang w:eastAsia="en-US" w:bidi="hi-IN"/>
        </w:rPr>
        <w:t> </w:t>
      </w:r>
      <w:r w:rsidRPr="001F13F3">
        <w:rPr>
          <w:lang w:eastAsia="en-US" w:bidi="hi-IN"/>
        </w:rPr>
        <w:t>re</w:t>
      </w:r>
      <w:r w:rsidR="00C31E37" w:rsidRPr="001F13F3">
        <w:rPr>
          <w:lang w:eastAsia="en-US" w:bidi="hi-IN"/>
        </w:rPr>
        <w:noBreakHyphen/>
      </w:r>
      <w:r w:rsidRPr="001F13F3">
        <w:rPr>
          <w:lang w:eastAsia="en-US" w:bidi="hi-IN"/>
        </w:rPr>
        <w:t xml:space="preserve">calibrations are show in </w:t>
      </w:r>
      <w:r w:rsidR="00937092">
        <w:rPr>
          <w:lang w:eastAsia="en-US" w:bidi="hi-IN"/>
        </w:rPr>
        <w:t>t</w:t>
      </w:r>
      <w:r w:rsidRPr="001F13F3">
        <w:rPr>
          <w:lang w:eastAsia="en-US" w:bidi="hi-IN"/>
        </w:rPr>
        <w:t xml:space="preserve">ables 1 and 2. </w:t>
      </w:r>
    </w:p>
    <w:p w14:paraId="7F3295DE" w14:textId="45408DAA" w:rsidR="0001699C" w:rsidRPr="001F13F3" w:rsidRDefault="00FA19B8" w:rsidP="00FA19B8">
      <w:pPr>
        <w:pStyle w:val="BodyText"/>
        <w:rPr>
          <w:lang w:eastAsia="en-US" w:bidi="hi-IN"/>
        </w:rPr>
      </w:pPr>
      <w:r w:rsidRPr="001F13F3">
        <w:rPr>
          <w:lang w:eastAsia="en-US" w:bidi="hi-IN"/>
        </w:rPr>
        <w:t>Note that re</w:t>
      </w:r>
      <w:r w:rsidRPr="001F13F3">
        <w:rPr>
          <w:lang w:eastAsia="en-US" w:bidi="hi-IN"/>
        </w:rPr>
        <w:noBreakHyphen/>
        <w:t xml:space="preserve">calibrated TN </w:t>
      </w:r>
      <w:r w:rsidRPr="001F13F3">
        <w:rPr>
          <w:lang w:eastAsia="en-US"/>
        </w:rPr>
        <w:t xml:space="preserve">concentration targets </w:t>
      </w:r>
      <w:r w:rsidRPr="001F13F3">
        <w:rPr>
          <w:lang w:eastAsia="en-US" w:bidi="hi-IN"/>
        </w:rPr>
        <w:t>were used in the analysis of the impact of</w:t>
      </w:r>
      <w:r w:rsidR="001F1892" w:rsidRPr="001F13F3">
        <w:rPr>
          <w:lang w:eastAsia="en-US" w:bidi="hi-IN"/>
        </w:rPr>
        <w:t> </w:t>
      </w:r>
      <w:r w:rsidRPr="001F13F3">
        <w:rPr>
          <w:lang w:eastAsia="en-US" w:bidi="hi-IN"/>
        </w:rPr>
        <w:t>existing NPS-FM periphyton attribute bottom-lines and dissolved inorganic nitrogen bottom</w:t>
      </w:r>
      <w:r w:rsidR="00C31E37" w:rsidRPr="001F13F3">
        <w:rPr>
          <w:lang w:eastAsia="en-US" w:bidi="hi-IN"/>
        </w:rPr>
        <w:noBreakHyphen/>
      </w:r>
      <w:r w:rsidRPr="001F13F3">
        <w:rPr>
          <w:lang w:eastAsia="en-US" w:bidi="hi-IN"/>
        </w:rPr>
        <w:t xml:space="preserve">lines proposed as part of the Essential Freshwater policy package </w:t>
      </w:r>
      <w:r w:rsidRPr="001F13F3">
        <w:rPr>
          <w:lang w:eastAsia="en-US" w:bidi="hi-IN"/>
        </w:rPr>
        <w:fldChar w:fldCharType="begin"/>
      </w:r>
      <w:r w:rsidRPr="001F13F3">
        <w:rPr>
          <w:lang w:eastAsia="en-US" w:bidi="hi-IN"/>
        </w:rPr>
        <w:instrText xml:space="preserve"> ADDIN ZOTERO_ITEM CSL_CITATION {"citationID":"nnhjFoZY","properties":{"formattedCitation":"(MFE, 2019)","plainCitation":"(MFE, 2019)","noteIndex":0},"citationItems":[{"id":3577,"uris":["http://zotero.org/groups/2329384/items/5EA46DW7"],"uri":["http://zotero.org/groups/2329384/items/5EA46DW7"],"itemData":{"id":3577,"type":"report","event-place":"Wellington, New  Zealand","number":"ME 1467","publisher":"Ministry for the Environment &amp; Statistics NZ","publisher-place":"Wellington, New  Zealand","title":"Essential Freshwater: Impact of existing periphyton and proposed dissolved inorganic nitrogen bottom lines","author":[{"family":"MFE","given":""}],"issued":{"date-parts":[["2019"]]}}}],"schema":"https://github.com/citation-style-language/schema/raw/master/csl-citation.json"} </w:instrText>
      </w:r>
      <w:r w:rsidRPr="001F13F3">
        <w:rPr>
          <w:lang w:eastAsia="en-US" w:bidi="hi-IN"/>
        </w:rPr>
        <w:fldChar w:fldCharType="separate"/>
      </w:r>
      <w:r w:rsidRPr="001F13F3">
        <w:rPr>
          <w:rFonts w:cs="Calibri"/>
          <w:lang w:eastAsia="en-US"/>
        </w:rPr>
        <w:t>(Ministry for the Environment, 2019)</w:t>
      </w:r>
      <w:r w:rsidRPr="001F13F3">
        <w:rPr>
          <w:lang w:eastAsia="en-US" w:bidi="hi-IN"/>
        </w:rPr>
        <w:fldChar w:fldCharType="end"/>
      </w:r>
      <w:r w:rsidRPr="001F13F3">
        <w:rPr>
          <w:lang w:eastAsia="en-US" w:bidi="hi-IN"/>
        </w:rPr>
        <w:t>. For more information on how the concentration targets were derived, see</w:t>
      </w:r>
      <w:r w:rsidR="00C31E37" w:rsidRPr="001F13F3">
        <w:rPr>
          <w:lang w:eastAsia="en-US" w:bidi="hi-IN"/>
        </w:rPr>
        <w:t> </w:t>
      </w:r>
      <w:r w:rsidRPr="001F13F3">
        <w:rPr>
          <w:lang w:eastAsia="en-US" w:bidi="hi-IN"/>
        </w:rPr>
        <w:t xml:space="preserve">the Further Information section. </w:t>
      </w:r>
    </w:p>
    <w:p w14:paraId="3A5560F6" w14:textId="798758A1" w:rsidR="00FA19B8" w:rsidRPr="001F13F3" w:rsidRDefault="00FA19B8" w:rsidP="00C31E37">
      <w:pPr>
        <w:pStyle w:val="Tableheading"/>
        <w:rPr>
          <w:lang w:eastAsia="en-US" w:bidi="hi-IN"/>
        </w:rPr>
      </w:pPr>
      <w:bookmarkStart w:id="32" w:name="_Ref33717688"/>
      <w:bookmarkStart w:id="33" w:name="_Toc47357844"/>
      <w:bookmarkStart w:id="34" w:name="_Ref33717659"/>
      <w:r w:rsidRPr="001F13F3">
        <w:rPr>
          <w:lang w:eastAsia="en-US" w:bidi="hi-IN"/>
        </w:rPr>
        <w:t xml:space="preserve">Table </w:t>
      </w:r>
      <w:bookmarkEnd w:id="32"/>
      <w:r w:rsidR="00A974EC" w:rsidRPr="001F13F3">
        <w:rPr>
          <w:lang w:eastAsia="en-US" w:bidi="hi-IN"/>
        </w:rPr>
        <w:t>1</w:t>
      </w:r>
      <w:r w:rsidR="00C31E37" w:rsidRPr="001F13F3">
        <w:rPr>
          <w:lang w:eastAsia="en-US" w:bidi="hi-IN"/>
        </w:rPr>
        <w:t>:</w:t>
      </w:r>
      <w:r w:rsidRPr="001F13F3">
        <w:rPr>
          <w:lang w:eastAsia="en-US" w:bidi="hi-IN"/>
        </w:rPr>
        <w:t xml:space="preserve"> </w:t>
      </w:r>
      <w:r w:rsidR="00C31E37" w:rsidRPr="001F13F3">
        <w:rPr>
          <w:lang w:eastAsia="en-US" w:bidi="hi-IN"/>
        </w:rPr>
        <w:tab/>
      </w:r>
      <w:r w:rsidRPr="001F13F3">
        <w:rPr>
          <w:lang w:eastAsia="en-US" w:bidi="hi-IN"/>
        </w:rPr>
        <w:t>Recalibrated TN concentration targets (mg m</w:t>
      </w:r>
      <w:r w:rsidRPr="001F13F3">
        <w:rPr>
          <w:vertAlign w:val="superscript"/>
          <w:lang w:eastAsia="en-US" w:bidi="hi-IN"/>
        </w:rPr>
        <w:t>-3</w:t>
      </w:r>
      <w:r w:rsidRPr="001F13F3">
        <w:rPr>
          <w:lang w:eastAsia="en-US" w:bidi="hi-IN"/>
        </w:rPr>
        <w:t>) to achieve the chlorophyll thresholds of</w:t>
      </w:r>
      <w:r w:rsidR="001F1892" w:rsidRPr="001F13F3">
        <w:rPr>
          <w:lang w:eastAsia="en-US" w:bidi="hi-IN"/>
        </w:rPr>
        <w:t> </w:t>
      </w:r>
      <w:r w:rsidRPr="001F13F3">
        <w:rPr>
          <w:lang w:eastAsia="en-US" w:bidi="hi-IN"/>
        </w:rPr>
        <w:t>50, 120 and 200 mg m</w:t>
      </w:r>
      <w:r w:rsidRPr="001F13F3">
        <w:rPr>
          <w:vertAlign w:val="superscript"/>
          <w:lang w:eastAsia="en-US" w:bidi="hi-IN"/>
        </w:rPr>
        <w:t>-2</w:t>
      </w:r>
      <w:r w:rsidRPr="001F13F3">
        <w:rPr>
          <w:lang w:eastAsia="en-US" w:bidi="hi-IN"/>
        </w:rPr>
        <w:t xml:space="preserve"> for spatial exceedance criteria of 10%, 20% and 30%</w:t>
      </w:r>
      <w:bookmarkEnd w:id="33"/>
      <w:bookmarkEnd w:id="34"/>
    </w:p>
    <w:tbl>
      <w:tblPr>
        <w:tblStyle w:val="TableGrid1"/>
        <w:tblW w:w="8506" w:type="dxa"/>
        <w:tblInd w:w="0"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ook w:val="04A0" w:firstRow="1" w:lastRow="0" w:firstColumn="1" w:lastColumn="0" w:noHBand="0" w:noVBand="1"/>
      </w:tblPr>
      <w:tblGrid>
        <w:gridCol w:w="956"/>
        <w:gridCol w:w="8"/>
        <w:gridCol w:w="828"/>
        <w:gridCol w:w="840"/>
        <w:gridCol w:w="770"/>
        <w:gridCol w:w="69"/>
        <w:gridCol w:w="837"/>
        <w:gridCol w:w="839"/>
        <w:gridCol w:w="840"/>
        <w:gridCol w:w="839"/>
        <w:gridCol w:w="840"/>
        <w:gridCol w:w="840"/>
      </w:tblGrid>
      <w:tr w:rsidR="00867844" w:rsidRPr="001F13F3" w14:paraId="3C497556" w14:textId="77777777" w:rsidTr="00A23E9C">
        <w:trPr>
          <w:tblHeader/>
        </w:trPr>
        <w:tc>
          <w:tcPr>
            <w:tcW w:w="964" w:type="dxa"/>
            <w:gridSpan w:val="2"/>
            <w:shd w:val="clear" w:color="auto" w:fill="1C556C" w:themeFill="accent1"/>
            <w:vAlign w:val="bottom"/>
          </w:tcPr>
          <w:p w14:paraId="7875915C" w14:textId="432106F0" w:rsidR="00FA19B8" w:rsidRPr="001F13F3" w:rsidRDefault="00FA19B8" w:rsidP="00846756">
            <w:pPr>
              <w:pStyle w:val="TableTextbold"/>
              <w:spacing w:after="0"/>
              <w:rPr>
                <w:color w:val="FFFFFF" w:themeColor="background1"/>
                <w:lang w:val="en-NZ" w:eastAsia="en-US" w:bidi="hi-IN"/>
              </w:rPr>
            </w:pPr>
          </w:p>
        </w:tc>
        <w:tc>
          <w:tcPr>
            <w:tcW w:w="2438" w:type="dxa"/>
            <w:gridSpan w:val="3"/>
            <w:shd w:val="clear" w:color="auto" w:fill="1C556C" w:themeFill="accent1"/>
            <w:vAlign w:val="bottom"/>
            <w:hideMark/>
          </w:tcPr>
          <w:p w14:paraId="51566803" w14:textId="77777777" w:rsidR="00FA19B8" w:rsidRPr="001F13F3" w:rsidRDefault="00FA19B8" w:rsidP="00867844">
            <w:pPr>
              <w:pStyle w:val="TableTextbold"/>
              <w:spacing w:after="0"/>
              <w:jc w:val="center"/>
              <w:rPr>
                <w:color w:val="FFFFFF" w:themeColor="background1"/>
                <w:lang w:val="en-NZ" w:eastAsia="en-US" w:bidi="hi-IN"/>
              </w:rPr>
            </w:pPr>
            <w:r w:rsidRPr="001F13F3">
              <w:rPr>
                <w:color w:val="FFFFFF" w:themeColor="background1"/>
                <w:lang w:val="en-NZ" w:eastAsia="en-US" w:bidi="hi-IN"/>
              </w:rPr>
              <w:t>10% Spatial exceedance</w:t>
            </w:r>
          </w:p>
        </w:tc>
        <w:tc>
          <w:tcPr>
            <w:tcW w:w="2585" w:type="dxa"/>
            <w:gridSpan w:val="4"/>
            <w:shd w:val="clear" w:color="auto" w:fill="1C556C" w:themeFill="accent1"/>
            <w:vAlign w:val="bottom"/>
            <w:hideMark/>
          </w:tcPr>
          <w:p w14:paraId="7AE12303" w14:textId="77777777" w:rsidR="00FA19B8" w:rsidRPr="001F13F3" w:rsidRDefault="00FA19B8" w:rsidP="00867844">
            <w:pPr>
              <w:pStyle w:val="TableTextbold"/>
              <w:spacing w:after="0"/>
              <w:jc w:val="center"/>
              <w:rPr>
                <w:color w:val="FFFFFF" w:themeColor="background1"/>
                <w:lang w:val="en-NZ" w:eastAsia="en-US" w:bidi="hi-IN"/>
              </w:rPr>
            </w:pPr>
            <w:r w:rsidRPr="001F13F3">
              <w:rPr>
                <w:color w:val="FFFFFF" w:themeColor="background1"/>
                <w:lang w:val="en-NZ" w:eastAsia="en-US" w:bidi="hi-IN"/>
              </w:rPr>
              <w:t>20% Spatial exceedance</w:t>
            </w:r>
          </w:p>
        </w:tc>
        <w:tc>
          <w:tcPr>
            <w:tcW w:w="2519" w:type="dxa"/>
            <w:gridSpan w:val="3"/>
            <w:shd w:val="clear" w:color="auto" w:fill="1C556C" w:themeFill="accent1"/>
            <w:vAlign w:val="bottom"/>
            <w:hideMark/>
          </w:tcPr>
          <w:p w14:paraId="2A0927D2" w14:textId="77777777" w:rsidR="00FA19B8" w:rsidRPr="001F13F3" w:rsidRDefault="00FA19B8" w:rsidP="00867844">
            <w:pPr>
              <w:pStyle w:val="TableTextbold"/>
              <w:spacing w:after="0"/>
              <w:jc w:val="center"/>
              <w:rPr>
                <w:color w:val="FFFFFF" w:themeColor="background1"/>
                <w:lang w:val="en-NZ" w:eastAsia="en-US" w:bidi="hi-IN"/>
              </w:rPr>
            </w:pPr>
            <w:r w:rsidRPr="001F13F3">
              <w:rPr>
                <w:color w:val="FFFFFF" w:themeColor="background1"/>
                <w:lang w:val="en-NZ" w:eastAsia="en-US" w:bidi="hi-IN"/>
              </w:rPr>
              <w:t>30% Spatial exceedance</w:t>
            </w:r>
          </w:p>
        </w:tc>
      </w:tr>
      <w:tr w:rsidR="001171D0" w:rsidRPr="001F13F3" w14:paraId="7F8602DD" w14:textId="77777777" w:rsidTr="001171D0">
        <w:trPr>
          <w:tblHeader/>
        </w:trPr>
        <w:tc>
          <w:tcPr>
            <w:tcW w:w="956" w:type="dxa"/>
            <w:shd w:val="clear" w:color="auto" w:fill="1C556C" w:themeFill="accent1"/>
            <w:vAlign w:val="bottom"/>
            <w:hideMark/>
          </w:tcPr>
          <w:p w14:paraId="69273A1C" w14:textId="29032C86" w:rsidR="001171D0" w:rsidRPr="001F13F3" w:rsidRDefault="001171D0" w:rsidP="00846756">
            <w:pPr>
              <w:pStyle w:val="TableTextbold"/>
              <w:spacing w:before="0"/>
              <w:rPr>
                <w:color w:val="FFFFFF" w:themeColor="background1"/>
                <w:lang w:val="en-NZ" w:eastAsia="en-US" w:bidi="hi-IN"/>
              </w:rPr>
            </w:pPr>
            <w:r w:rsidRPr="001F13F3">
              <w:rPr>
                <w:color w:val="FFFFFF" w:themeColor="background1"/>
                <w:lang w:val="en-NZ" w:eastAsia="en-US" w:bidi="hi-IN"/>
              </w:rPr>
              <w:t>REC class</w:t>
            </w:r>
          </w:p>
        </w:tc>
        <w:tc>
          <w:tcPr>
            <w:tcW w:w="836" w:type="dxa"/>
            <w:gridSpan w:val="2"/>
            <w:shd w:val="clear" w:color="auto" w:fill="1C556C" w:themeFill="accent1"/>
            <w:vAlign w:val="bottom"/>
            <w:hideMark/>
          </w:tcPr>
          <w:p w14:paraId="20ED2428" w14:textId="77777777" w:rsidR="001171D0" w:rsidRPr="001F13F3" w:rsidRDefault="001171D0" w:rsidP="001171D0">
            <w:pPr>
              <w:pStyle w:val="TableTextbold"/>
              <w:spacing w:before="20"/>
              <w:jc w:val="center"/>
              <w:rPr>
                <w:color w:val="FFFFFF" w:themeColor="background1"/>
                <w:lang w:val="en-NZ" w:eastAsia="en-US" w:bidi="hi-IN"/>
              </w:rPr>
            </w:pPr>
            <w:r w:rsidRPr="001F13F3">
              <w:rPr>
                <w:color w:val="FFFFFF" w:themeColor="background1"/>
                <w:lang w:val="en-NZ" w:eastAsia="en-US"/>
              </w:rPr>
              <w:t>T50</w:t>
            </w:r>
          </w:p>
        </w:tc>
        <w:tc>
          <w:tcPr>
            <w:tcW w:w="840" w:type="dxa"/>
            <w:shd w:val="clear" w:color="auto" w:fill="1C556C" w:themeFill="accent1"/>
            <w:vAlign w:val="bottom"/>
            <w:hideMark/>
          </w:tcPr>
          <w:p w14:paraId="4490E028" w14:textId="77777777" w:rsidR="001171D0" w:rsidRPr="001F13F3" w:rsidRDefault="001171D0" w:rsidP="001171D0">
            <w:pPr>
              <w:pStyle w:val="TableTextbold"/>
              <w:spacing w:before="20"/>
              <w:jc w:val="center"/>
              <w:rPr>
                <w:color w:val="FFFFFF" w:themeColor="background1"/>
                <w:lang w:val="en-NZ" w:eastAsia="en-US" w:bidi="hi-IN"/>
              </w:rPr>
            </w:pPr>
            <w:r w:rsidRPr="001F13F3">
              <w:rPr>
                <w:color w:val="FFFFFF" w:themeColor="background1"/>
                <w:lang w:val="en-NZ" w:eastAsia="en-US"/>
              </w:rPr>
              <w:t>T120</w:t>
            </w:r>
          </w:p>
        </w:tc>
        <w:tc>
          <w:tcPr>
            <w:tcW w:w="839" w:type="dxa"/>
            <w:gridSpan w:val="2"/>
            <w:shd w:val="clear" w:color="auto" w:fill="1C556C" w:themeFill="accent1"/>
            <w:vAlign w:val="bottom"/>
            <w:hideMark/>
          </w:tcPr>
          <w:p w14:paraId="04F43F45" w14:textId="77777777" w:rsidR="001171D0" w:rsidRPr="001F13F3" w:rsidRDefault="001171D0" w:rsidP="001171D0">
            <w:pPr>
              <w:pStyle w:val="TableTextbold"/>
              <w:spacing w:before="20"/>
              <w:jc w:val="center"/>
              <w:rPr>
                <w:color w:val="FFFFFF" w:themeColor="background1"/>
                <w:lang w:val="en-NZ" w:eastAsia="en-US" w:bidi="hi-IN"/>
              </w:rPr>
            </w:pPr>
            <w:r w:rsidRPr="001F13F3">
              <w:rPr>
                <w:color w:val="FFFFFF" w:themeColor="background1"/>
                <w:lang w:val="en-NZ" w:eastAsia="en-US"/>
              </w:rPr>
              <w:t>T200</w:t>
            </w:r>
          </w:p>
        </w:tc>
        <w:tc>
          <w:tcPr>
            <w:tcW w:w="837" w:type="dxa"/>
            <w:shd w:val="clear" w:color="auto" w:fill="1C556C" w:themeFill="accent1"/>
            <w:vAlign w:val="bottom"/>
            <w:hideMark/>
          </w:tcPr>
          <w:p w14:paraId="292BDA4A" w14:textId="77777777" w:rsidR="001171D0" w:rsidRPr="001F13F3" w:rsidRDefault="001171D0" w:rsidP="001171D0">
            <w:pPr>
              <w:pStyle w:val="TableTextbold"/>
              <w:spacing w:before="20"/>
              <w:jc w:val="center"/>
              <w:rPr>
                <w:color w:val="FFFFFF" w:themeColor="background1"/>
                <w:lang w:val="en-NZ" w:eastAsia="en-US" w:bidi="hi-IN"/>
              </w:rPr>
            </w:pPr>
            <w:r w:rsidRPr="001F13F3">
              <w:rPr>
                <w:color w:val="FFFFFF" w:themeColor="background1"/>
                <w:lang w:val="en-NZ" w:eastAsia="en-US"/>
              </w:rPr>
              <w:t>T50</w:t>
            </w:r>
          </w:p>
        </w:tc>
        <w:tc>
          <w:tcPr>
            <w:tcW w:w="839" w:type="dxa"/>
            <w:shd w:val="clear" w:color="auto" w:fill="1C556C" w:themeFill="accent1"/>
            <w:vAlign w:val="bottom"/>
            <w:hideMark/>
          </w:tcPr>
          <w:p w14:paraId="12620068" w14:textId="77777777" w:rsidR="001171D0" w:rsidRPr="001F13F3" w:rsidRDefault="001171D0" w:rsidP="001171D0">
            <w:pPr>
              <w:pStyle w:val="TableTextbold"/>
              <w:spacing w:before="20"/>
              <w:jc w:val="center"/>
              <w:rPr>
                <w:color w:val="FFFFFF" w:themeColor="background1"/>
                <w:lang w:val="en-NZ" w:eastAsia="en-US" w:bidi="hi-IN"/>
              </w:rPr>
            </w:pPr>
            <w:r w:rsidRPr="001F13F3">
              <w:rPr>
                <w:color w:val="FFFFFF" w:themeColor="background1"/>
                <w:lang w:val="en-NZ" w:eastAsia="en-US"/>
              </w:rPr>
              <w:t>T120</w:t>
            </w:r>
          </w:p>
        </w:tc>
        <w:tc>
          <w:tcPr>
            <w:tcW w:w="840" w:type="dxa"/>
            <w:shd w:val="clear" w:color="auto" w:fill="1C556C" w:themeFill="accent1"/>
            <w:vAlign w:val="bottom"/>
            <w:hideMark/>
          </w:tcPr>
          <w:p w14:paraId="54B6601C" w14:textId="77777777" w:rsidR="001171D0" w:rsidRPr="001F13F3" w:rsidRDefault="001171D0" w:rsidP="001171D0">
            <w:pPr>
              <w:pStyle w:val="TableTextbold"/>
              <w:spacing w:before="20"/>
              <w:jc w:val="center"/>
              <w:rPr>
                <w:color w:val="FFFFFF" w:themeColor="background1"/>
                <w:lang w:val="en-NZ" w:eastAsia="en-US" w:bidi="hi-IN"/>
              </w:rPr>
            </w:pPr>
            <w:r w:rsidRPr="001F13F3">
              <w:rPr>
                <w:color w:val="FFFFFF" w:themeColor="background1"/>
                <w:lang w:val="en-NZ" w:eastAsia="en-US"/>
              </w:rPr>
              <w:t>T200</w:t>
            </w:r>
          </w:p>
        </w:tc>
        <w:tc>
          <w:tcPr>
            <w:tcW w:w="839" w:type="dxa"/>
            <w:shd w:val="clear" w:color="auto" w:fill="1C556C" w:themeFill="accent1"/>
            <w:vAlign w:val="bottom"/>
            <w:hideMark/>
          </w:tcPr>
          <w:p w14:paraId="7391F334" w14:textId="77777777" w:rsidR="001171D0" w:rsidRPr="001F13F3" w:rsidRDefault="001171D0" w:rsidP="001171D0">
            <w:pPr>
              <w:pStyle w:val="TableTextbold"/>
              <w:spacing w:before="20"/>
              <w:jc w:val="center"/>
              <w:rPr>
                <w:color w:val="FFFFFF" w:themeColor="background1"/>
                <w:lang w:val="en-NZ" w:eastAsia="en-US" w:bidi="hi-IN"/>
              </w:rPr>
            </w:pPr>
            <w:r w:rsidRPr="001F13F3">
              <w:rPr>
                <w:color w:val="FFFFFF" w:themeColor="background1"/>
                <w:lang w:val="en-NZ" w:eastAsia="en-US"/>
              </w:rPr>
              <w:t>T50</w:t>
            </w:r>
          </w:p>
        </w:tc>
        <w:tc>
          <w:tcPr>
            <w:tcW w:w="840" w:type="dxa"/>
            <w:shd w:val="clear" w:color="auto" w:fill="1C556C" w:themeFill="accent1"/>
            <w:vAlign w:val="bottom"/>
            <w:hideMark/>
          </w:tcPr>
          <w:p w14:paraId="412BF459" w14:textId="77777777" w:rsidR="001171D0" w:rsidRPr="001F13F3" w:rsidRDefault="001171D0" w:rsidP="001171D0">
            <w:pPr>
              <w:pStyle w:val="TableTextbold"/>
              <w:spacing w:before="20"/>
              <w:jc w:val="center"/>
              <w:rPr>
                <w:color w:val="FFFFFF" w:themeColor="background1"/>
                <w:lang w:val="en-NZ" w:eastAsia="en-US" w:bidi="hi-IN"/>
              </w:rPr>
            </w:pPr>
            <w:r w:rsidRPr="001F13F3">
              <w:rPr>
                <w:color w:val="FFFFFF" w:themeColor="background1"/>
                <w:lang w:val="en-NZ" w:eastAsia="en-US"/>
              </w:rPr>
              <w:t>T120</w:t>
            </w:r>
          </w:p>
        </w:tc>
        <w:tc>
          <w:tcPr>
            <w:tcW w:w="840" w:type="dxa"/>
            <w:shd w:val="clear" w:color="auto" w:fill="1C556C" w:themeFill="accent1"/>
            <w:vAlign w:val="bottom"/>
            <w:hideMark/>
          </w:tcPr>
          <w:p w14:paraId="4E49C7E2" w14:textId="77777777" w:rsidR="001171D0" w:rsidRPr="001F13F3" w:rsidRDefault="001171D0" w:rsidP="001171D0">
            <w:pPr>
              <w:pStyle w:val="TableTextbold"/>
              <w:spacing w:before="20"/>
              <w:jc w:val="center"/>
              <w:rPr>
                <w:color w:val="FFFFFF" w:themeColor="background1"/>
                <w:lang w:val="en-NZ" w:eastAsia="en-US" w:bidi="hi-IN"/>
              </w:rPr>
            </w:pPr>
            <w:r w:rsidRPr="001F13F3">
              <w:rPr>
                <w:color w:val="FFFFFF" w:themeColor="background1"/>
                <w:lang w:val="en-NZ" w:eastAsia="en-US"/>
              </w:rPr>
              <w:t>T200</w:t>
            </w:r>
          </w:p>
        </w:tc>
      </w:tr>
      <w:tr w:rsidR="001171D0" w:rsidRPr="001F13F3" w14:paraId="693ED427" w14:textId="77777777" w:rsidTr="001171D0">
        <w:tc>
          <w:tcPr>
            <w:tcW w:w="956" w:type="dxa"/>
            <w:hideMark/>
          </w:tcPr>
          <w:p w14:paraId="5328C95A" w14:textId="77777777" w:rsidR="001171D0" w:rsidRPr="001F13F3" w:rsidRDefault="001171D0" w:rsidP="00657ACB">
            <w:pPr>
              <w:pStyle w:val="TableText"/>
              <w:spacing w:before="40" w:after="40"/>
              <w:rPr>
                <w:b/>
                <w:bCs/>
                <w:lang w:val="en-NZ" w:eastAsia="en-US" w:bidi="hi-IN"/>
              </w:rPr>
            </w:pPr>
            <w:r w:rsidRPr="001F13F3">
              <w:rPr>
                <w:b/>
                <w:bCs/>
                <w:lang w:val="en-NZ" w:eastAsia="en-US"/>
              </w:rPr>
              <w:t>CXGM</w:t>
            </w:r>
          </w:p>
        </w:tc>
        <w:tc>
          <w:tcPr>
            <w:tcW w:w="836" w:type="dxa"/>
            <w:gridSpan w:val="2"/>
            <w:hideMark/>
          </w:tcPr>
          <w:p w14:paraId="5EC15F47" w14:textId="77777777" w:rsidR="001171D0" w:rsidRPr="001F13F3" w:rsidRDefault="001171D0" w:rsidP="00657ACB">
            <w:pPr>
              <w:pStyle w:val="TableText"/>
              <w:spacing w:before="40" w:after="40"/>
              <w:jc w:val="center"/>
              <w:rPr>
                <w:lang w:val="en-NZ" w:eastAsia="en-US" w:bidi="hi-IN"/>
              </w:rPr>
            </w:pPr>
            <w:r w:rsidRPr="001F13F3">
              <w:rPr>
                <w:lang w:val="en-NZ" w:eastAsia="en-US"/>
              </w:rPr>
              <w:t>74</w:t>
            </w:r>
          </w:p>
        </w:tc>
        <w:tc>
          <w:tcPr>
            <w:tcW w:w="840" w:type="dxa"/>
            <w:hideMark/>
          </w:tcPr>
          <w:p w14:paraId="3B7121FA" w14:textId="77777777" w:rsidR="001171D0" w:rsidRPr="001F13F3" w:rsidRDefault="001171D0" w:rsidP="00657ACB">
            <w:pPr>
              <w:pStyle w:val="TableText"/>
              <w:spacing w:before="40" w:after="40"/>
              <w:jc w:val="center"/>
              <w:rPr>
                <w:lang w:val="en-NZ" w:eastAsia="en-US" w:bidi="hi-IN"/>
              </w:rPr>
            </w:pPr>
            <w:r w:rsidRPr="001F13F3">
              <w:rPr>
                <w:lang w:val="en-NZ" w:eastAsia="en-US"/>
              </w:rPr>
              <w:t>369</w:t>
            </w:r>
          </w:p>
        </w:tc>
        <w:tc>
          <w:tcPr>
            <w:tcW w:w="839" w:type="dxa"/>
            <w:gridSpan w:val="2"/>
            <w:hideMark/>
          </w:tcPr>
          <w:p w14:paraId="7E313EF8" w14:textId="77777777" w:rsidR="001171D0" w:rsidRPr="001F13F3" w:rsidRDefault="001171D0" w:rsidP="00657ACB">
            <w:pPr>
              <w:pStyle w:val="TableText"/>
              <w:spacing w:before="40" w:after="40"/>
              <w:jc w:val="center"/>
              <w:rPr>
                <w:lang w:val="en-NZ" w:eastAsia="en-US" w:bidi="hi-IN"/>
              </w:rPr>
            </w:pPr>
            <w:r w:rsidRPr="001F13F3">
              <w:rPr>
                <w:lang w:val="en-NZ" w:eastAsia="en-US"/>
              </w:rPr>
              <w:t>899</w:t>
            </w:r>
          </w:p>
        </w:tc>
        <w:tc>
          <w:tcPr>
            <w:tcW w:w="837" w:type="dxa"/>
            <w:hideMark/>
          </w:tcPr>
          <w:p w14:paraId="4249B76A" w14:textId="77777777" w:rsidR="001171D0" w:rsidRPr="001F13F3" w:rsidRDefault="001171D0" w:rsidP="00657ACB">
            <w:pPr>
              <w:pStyle w:val="TableText"/>
              <w:spacing w:before="40" w:after="40"/>
              <w:jc w:val="center"/>
              <w:rPr>
                <w:lang w:val="en-NZ" w:eastAsia="en-US" w:bidi="hi-IN"/>
              </w:rPr>
            </w:pPr>
            <w:r w:rsidRPr="001F13F3">
              <w:rPr>
                <w:lang w:val="en-NZ" w:eastAsia="en-US"/>
              </w:rPr>
              <w:t>183</w:t>
            </w:r>
          </w:p>
        </w:tc>
        <w:tc>
          <w:tcPr>
            <w:tcW w:w="839" w:type="dxa"/>
            <w:hideMark/>
          </w:tcPr>
          <w:p w14:paraId="210E3926" w14:textId="77777777" w:rsidR="001171D0" w:rsidRPr="001F13F3" w:rsidRDefault="001171D0" w:rsidP="00657ACB">
            <w:pPr>
              <w:pStyle w:val="TableText"/>
              <w:spacing w:before="40" w:after="40"/>
              <w:jc w:val="center"/>
              <w:rPr>
                <w:lang w:val="en-NZ" w:eastAsia="en-US" w:bidi="hi-IN"/>
              </w:rPr>
            </w:pPr>
            <w:r w:rsidRPr="001F13F3">
              <w:rPr>
                <w:lang w:val="en-NZ" w:eastAsia="en-US"/>
              </w:rPr>
              <w:t>883</w:t>
            </w:r>
          </w:p>
        </w:tc>
        <w:tc>
          <w:tcPr>
            <w:tcW w:w="840" w:type="dxa"/>
            <w:hideMark/>
          </w:tcPr>
          <w:p w14:paraId="39B31FE7" w14:textId="77777777" w:rsidR="001171D0" w:rsidRPr="001F13F3" w:rsidRDefault="001171D0" w:rsidP="00657ACB">
            <w:pPr>
              <w:pStyle w:val="TableText"/>
              <w:spacing w:before="40" w:after="40"/>
              <w:jc w:val="center"/>
              <w:rPr>
                <w:lang w:val="en-NZ" w:eastAsia="en-US" w:bidi="hi-IN"/>
              </w:rPr>
            </w:pPr>
            <w:r w:rsidRPr="001F13F3">
              <w:rPr>
                <w:lang w:val="en-NZ" w:eastAsia="en-US"/>
              </w:rPr>
              <w:t>2059</w:t>
            </w:r>
          </w:p>
        </w:tc>
        <w:tc>
          <w:tcPr>
            <w:tcW w:w="839" w:type="dxa"/>
            <w:hideMark/>
          </w:tcPr>
          <w:p w14:paraId="27DBA421" w14:textId="77777777" w:rsidR="001171D0" w:rsidRPr="001F13F3" w:rsidRDefault="001171D0" w:rsidP="00657ACB">
            <w:pPr>
              <w:pStyle w:val="TableText"/>
              <w:spacing w:before="40" w:after="40"/>
              <w:jc w:val="center"/>
              <w:rPr>
                <w:lang w:val="en-NZ" w:eastAsia="en-US" w:bidi="hi-IN"/>
              </w:rPr>
            </w:pPr>
            <w:r w:rsidRPr="001F13F3">
              <w:rPr>
                <w:lang w:val="en-NZ" w:eastAsia="en-US"/>
              </w:rPr>
              <w:t>555</w:t>
            </w:r>
          </w:p>
        </w:tc>
        <w:tc>
          <w:tcPr>
            <w:tcW w:w="840" w:type="dxa"/>
            <w:hideMark/>
          </w:tcPr>
          <w:p w14:paraId="30345D35" w14:textId="77777777" w:rsidR="001171D0" w:rsidRPr="001F13F3" w:rsidRDefault="001171D0" w:rsidP="00657ACB">
            <w:pPr>
              <w:pStyle w:val="TableText"/>
              <w:spacing w:before="40" w:after="40"/>
              <w:jc w:val="center"/>
              <w:rPr>
                <w:lang w:val="en-NZ" w:eastAsia="en-US" w:bidi="hi-IN"/>
              </w:rPr>
            </w:pPr>
            <w:r w:rsidRPr="001F13F3">
              <w:rPr>
                <w:lang w:val="en-NZ" w:eastAsia="en-US"/>
              </w:rPr>
              <w:t>2519</w:t>
            </w:r>
          </w:p>
        </w:tc>
        <w:tc>
          <w:tcPr>
            <w:tcW w:w="840" w:type="dxa"/>
            <w:hideMark/>
          </w:tcPr>
          <w:p w14:paraId="63E87E36" w14:textId="77777777" w:rsidR="001171D0" w:rsidRPr="001F13F3" w:rsidRDefault="001171D0" w:rsidP="00657ACB">
            <w:pPr>
              <w:pStyle w:val="TableText"/>
              <w:spacing w:before="40" w:after="40"/>
              <w:jc w:val="center"/>
              <w:rPr>
                <w:lang w:val="en-NZ" w:eastAsia="en-US" w:bidi="hi-IN"/>
              </w:rPr>
            </w:pPr>
            <w:r w:rsidRPr="001F13F3">
              <w:rPr>
                <w:lang w:val="en-NZ" w:eastAsia="en-US"/>
              </w:rPr>
              <w:t>5233</w:t>
            </w:r>
          </w:p>
        </w:tc>
      </w:tr>
      <w:tr w:rsidR="001171D0" w:rsidRPr="001F13F3" w14:paraId="0E8AFEB9" w14:textId="77777777" w:rsidTr="001171D0">
        <w:tc>
          <w:tcPr>
            <w:tcW w:w="956" w:type="dxa"/>
            <w:hideMark/>
          </w:tcPr>
          <w:p w14:paraId="2A5DC3A5" w14:textId="77777777" w:rsidR="001171D0" w:rsidRPr="001F13F3" w:rsidRDefault="001171D0" w:rsidP="00657ACB">
            <w:pPr>
              <w:pStyle w:val="TableText"/>
              <w:spacing w:before="40" w:after="40"/>
              <w:rPr>
                <w:b/>
                <w:bCs/>
                <w:lang w:val="en-NZ" w:eastAsia="en-US" w:bidi="hi-IN"/>
              </w:rPr>
            </w:pPr>
            <w:r w:rsidRPr="001F13F3">
              <w:rPr>
                <w:b/>
                <w:bCs/>
                <w:lang w:val="en-NZ" w:eastAsia="en-US"/>
              </w:rPr>
              <w:t>CXM</w:t>
            </w:r>
          </w:p>
        </w:tc>
        <w:tc>
          <w:tcPr>
            <w:tcW w:w="836" w:type="dxa"/>
            <w:gridSpan w:val="2"/>
            <w:hideMark/>
          </w:tcPr>
          <w:p w14:paraId="6A2764DC" w14:textId="77777777" w:rsidR="001171D0" w:rsidRPr="001F13F3" w:rsidRDefault="001171D0" w:rsidP="00657ACB">
            <w:pPr>
              <w:pStyle w:val="TableText"/>
              <w:spacing w:before="40" w:after="40"/>
              <w:jc w:val="center"/>
              <w:rPr>
                <w:lang w:val="en-NZ" w:eastAsia="en-US" w:bidi="hi-IN"/>
              </w:rPr>
            </w:pPr>
            <w:r w:rsidRPr="001F13F3">
              <w:rPr>
                <w:lang w:val="en-NZ" w:eastAsia="en-US"/>
              </w:rPr>
              <w:t>130</w:t>
            </w:r>
          </w:p>
        </w:tc>
        <w:tc>
          <w:tcPr>
            <w:tcW w:w="840" w:type="dxa"/>
            <w:hideMark/>
          </w:tcPr>
          <w:p w14:paraId="0455368C" w14:textId="77777777" w:rsidR="001171D0" w:rsidRPr="001F13F3" w:rsidRDefault="001171D0" w:rsidP="00657ACB">
            <w:pPr>
              <w:pStyle w:val="TableText"/>
              <w:spacing w:before="40" w:after="40"/>
              <w:jc w:val="center"/>
              <w:rPr>
                <w:lang w:val="en-NZ" w:eastAsia="en-US" w:bidi="hi-IN"/>
              </w:rPr>
            </w:pPr>
            <w:r w:rsidRPr="001F13F3">
              <w:rPr>
                <w:lang w:val="en-NZ" w:eastAsia="en-US"/>
              </w:rPr>
              <w:t>651</w:t>
            </w:r>
          </w:p>
        </w:tc>
        <w:tc>
          <w:tcPr>
            <w:tcW w:w="839" w:type="dxa"/>
            <w:gridSpan w:val="2"/>
            <w:hideMark/>
          </w:tcPr>
          <w:p w14:paraId="541A5E8B" w14:textId="77777777" w:rsidR="001171D0" w:rsidRPr="001F13F3" w:rsidRDefault="001171D0" w:rsidP="00657ACB">
            <w:pPr>
              <w:pStyle w:val="TableText"/>
              <w:spacing w:before="40" w:after="40"/>
              <w:jc w:val="center"/>
              <w:rPr>
                <w:lang w:val="en-NZ" w:eastAsia="en-US" w:bidi="hi-IN"/>
              </w:rPr>
            </w:pPr>
            <w:r w:rsidRPr="001F13F3">
              <w:rPr>
                <w:lang w:val="en-NZ" w:eastAsia="en-US"/>
              </w:rPr>
              <w:t>1566</w:t>
            </w:r>
          </w:p>
        </w:tc>
        <w:tc>
          <w:tcPr>
            <w:tcW w:w="837" w:type="dxa"/>
            <w:hideMark/>
          </w:tcPr>
          <w:p w14:paraId="12A9D17E" w14:textId="77777777" w:rsidR="001171D0" w:rsidRPr="001F13F3" w:rsidRDefault="001171D0" w:rsidP="00657ACB">
            <w:pPr>
              <w:pStyle w:val="TableText"/>
              <w:spacing w:before="40" w:after="40"/>
              <w:jc w:val="center"/>
              <w:rPr>
                <w:lang w:val="en-NZ" w:eastAsia="en-US" w:bidi="hi-IN"/>
              </w:rPr>
            </w:pPr>
            <w:r w:rsidRPr="001F13F3">
              <w:rPr>
                <w:lang w:val="en-NZ" w:eastAsia="en-US"/>
              </w:rPr>
              <w:t>328</w:t>
            </w:r>
          </w:p>
        </w:tc>
        <w:tc>
          <w:tcPr>
            <w:tcW w:w="839" w:type="dxa"/>
            <w:hideMark/>
          </w:tcPr>
          <w:p w14:paraId="17D67DD5" w14:textId="77777777" w:rsidR="001171D0" w:rsidRPr="001F13F3" w:rsidRDefault="001171D0" w:rsidP="00657ACB">
            <w:pPr>
              <w:pStyle w:val="TableText"/>
              <w:spacing w:before="40" w:after="40"/>
              <w:jc w:val="center"/>
              <w:rPr>
                <w:lang w:val="en-NZ" w:eastAsia="en-US" w:bidi="hi-IN"/>
              </w:rPr>
            </w:pPr>
            <w:r w:rsidRPr="001F13F3">
              <w:rPr>
                <w:lang w:val="en-NZ" w:eastAsia="en-US"/>
              </w:rPr>
              <w:t>1554</w:t>
            </w:r>
          </w:p>
        </w:tc>
        <w:tc>
          <w:tcPr>
            <w:tcW w:w="840" w:type="dxa"/>
            <w:hideMark/>
          </w:tcPr>
          <w:p w14:paraId="1AA60A8E" w14:textId="77777777" w:rsidR="001171D0" w:rsidRPr="001F13F3" w:rsidRDefault="001171D0" w:rsidP="00657ACB">
            <w:pPr>
              <w:pStyle w:val="TableText"/>
              <w:spacing w:before="40" w:after="40"/>
              <w:jc w:val="center"/>
              <w:rPr>
                <w:lang w:val="en-NZ" w:eastAsia="en-US" w:bidi="hi-IN"/>
              </w:rPr>
            </w:pPr>
            <w:r w:rsidRPr="001F13F3">
              <w:rPr>
                <w:lang w:val="en-NZ" w:eastAsia="en-US"/>
              </w:rPr>
              <w:t>3434</w:t>
            </w:r>
          </w:p>
        </w:tc>
        <w:tc>
          <w:tcPr>
            <w:tcW w:w="839" w:type="dxa"/>
            <w:hideMark/>
          </w:tcPr>
          <w:p w14:paraId="6EEFA992" w14:textId="77777777" w:rsidR="001171D0" w:rsidRPr="001F13F3" w:rsidRDefault="001171D0" w:rsidP="00657ACB">
            <w:pPr>
              <w:pStyle w:val="TableText"/>
              <w:spacing w:before="40" w:after="40"/>
              <w:jc w:val="center"/>
              <w:rPr>
                <w:lang w:val="en-NZ" w:eastAsia="en-US" w:bidi="hi-IN"/>
              </w:rPr>
            </w:pPr>
            <w:r w:rsidRPr="001F13F3">
              <w:rPr>
                <w:lang w:val="en-NZ" w:eastAsia="en-US"/>
              </w:rPr>
              <w:t>1019</w:t>
            </w:r>
          </w:p>
        </w:tc>
        <w:tc>
          <w:tcPr>
            <w:tcW w:w="840" w:type="dxa"/>
            <w:hideMark/>
          </w:tcPr>
          <w:p w14:paraId="7B494AE2" w14:textId="77777777" w:rsidR="001171D0" w:rsidRPr="001F13F3" w:rsidRDefault="001171D0" w:rsidP="00657ACB">
            <w:pPr>
              <w:pStyle w:val="TableText"/>
              <w:spacing w:before="40" w:after="40"/>
              <w:jc w:val="center"/>
              <w:rPr>
                <w:lang w:val="en-NZ" w:eastAsia="en-US" w:bidi="hi-IN"/>
              </w:rPr>
            </w:pPr>
            <w:r w:rsidRPr="001F13F3">
              <w:rPr>
                <w:lang w:val="en-NZ" w:eastAsia="en-US"/>
              </w:rPr>
              <w:t>4252</w:t>
            </w:r>
          </w:p>
        </w:tc>
        <w:tc>
          <w:tcPr>
            <w:tcW w:w="840" w:type="dxa"/>
            <w:hideMark/>
          </w:tcPr>
          <w:p w14:paraId="45CAC241" w14:textId="77777777" w:rsidR="001171D0" w:rsidRPr="001F13F3" w:rsidRDefault="001171D0" w:rsidP="00657ACB">
            <w:pPr>
              <w:pStyle w:val="TableText"/>
              <w:spacing w:before="40" w:after="40"/>
              <w:jc w:val="center"/>
              <w:rPr>
                <w:lang w:val="en-NZ" w:eastAsia="en-US" w:bidi="hi-IN"/>
              </w:rPr>
            </w:pPr>
            <w:r w:rsidRPr="001F13F3">
              <w:rPr>
                <w:lang w:val="en-NZ" w:eastAsia="en-US"/>
              </w:rPr>
              <w:t>5188</w:t>
            </w:r>
          </w:p>
        </w:tc>
      </w:tr>
      <w:tr w:rsidR="001171D0" w:rsidRPr="001F13F3" w14:paraId="535735B1" w14:textId="77777777" w:rsidTr="001171D0">
        <w:tc>
          <w:tcPr>
            <w:tcW w:w="956" w:type="dxa"/>
            <w:hideMark/>
          </w:tcPr>
          <w:p w14:paraId="055AC126" w14:textId="77777777" w:rsidR="001171D0" w:rsidRPr="001F13F3" w:rsidRDefault="001171D0" w:rsidP="00657ACB">
            <w:pPr>
              <w:pStyle w:val="TableText"/>
              <w:spacing w:before="40" w:after="40"/>
              <w:rPr>
                <w:b/>
                <w:bCs/>
                <w:lang w:val="en-NZ" w:eastAsia="en-US" w:bidi="hi-IN"/>
              </w:rPr>
            </w:pPr>
            <w:r w:rsidRPr="001F13F3">
              <w:rPr>
                <w:b/>
                <w:bCs/>
                <w:lang w:val="en-NZ" w:eastAsia="en-US"/>
              </w:rPr>
              <w:t>CXH</w:t>
            </w:r>
          </w:p>
        </w:tc>
        <w:tc>
          <w:tcPr>
            <w:tcW w:w="836" w:type="dxa"/>
            <w:gridSpan w:val="2"/>
            <w:hideMark/>
          </w:tcPr>
          <w:p w14:paraId="05B07C4A" w14:textId="77777777" w:rsidR="001171D0" w:rsidRPr="001F13F3" w:rsidRDefault="001171D0" w:rsidP="00657ACB">
            <w:pPr>
              <w:pStyle w:val="TableText"/>
              <w:spacing w:before="40" w:after="40"/>
              <w:jc w:val="center"/>
              <w:rPr>
                <w:lang w:val="en-NZ" w:eastAsia="en-US" w:bidi="hi-IN"/>
              </w:rPr>
            </w:pPr>
            <w:r w:rsidRPr="001F13F3">
              <w:rPr>
                <w:lang w:val="en-NZ" w:eastAsia="en-US"/>
              </w:rPr>
              <w:t>134</w:t>
            </w:r>
          </w:p>
        </w:tc>
        <w:tc>
          <w:tcPr>
            <w:tcW w:w="840" w:type="dxa"/>
            <w:hideMark/>
          </w:tcPr>
          <w:p w14:paraId="5E9CE02C" w14:textId="77777777" w:rsidR="001171D0" w:rsidRPr="001F13F3" w:rsidRDefault="001171D0" w:rsidP="00657ACB">
            <w:pPr>
              <w:pStyle w:val="TableText"/>
              <w:spacing w:before="40" w:after="40"/>
              <w:jc w:val="center"/>
              <w:rPr>
                <w:lang w:val="en-NZ" w:eastAsia="en-US" w:bidi="hi-IN"/>
              </w:rPr>
            </w:pPr>
            <w:r w:rsidRPr="001F13F3">
              <w:rPr>
                <w:lang w:val="en-NZ" w:eastAsia="en-US"/>
              </w:rPr>
              <w:t>682</w:t>
            </w:r>
          </w:p>
        </w:tc>
        <w:tc>
          <w:tcPr>
            <w:tcW w:w="839" w:type="dxa"/>
            <w:gridSpan w:val="2"/>
            <w:hideMark/>
          </w:tcPr>
          <w:p w14:paraId="4350E827" w14:textId="77777777" w:rsidR="001171D0" w:rsidRPr="001F13F3" w:rsidRDefault="001171D0" w:rsidP="00657ACB">
            <w:pPr>
              <w:pStyle w:val="TableText"/>
              <w:spacing w:before="40" w:after="40"/>
              <w:jc w:val="center"/>
              <w:rPr>
                <w:lang w:val="en-NZ" w:eastAsia="en-US" w:bidi="hi-IN"/>
              </w:rPr>
            </w:pPr>
            <w:r w:rsidRPr="001F13F3">
              <w:rPr>
                <w:lang w:val="en-NZ" w:eastAsia="en-US"/>
              </w:rPr>
              <w:t>1625</w:t>
            </w:r>
          </w:p>
        </w:tc>
        <w:tc>
          <w:tcPr>
            <w:tcW w:w="837" w:type="dxa"/>
            <w:hideMark/>
          </w:tcPr>
          <w:p w14:paraId="11E6F6CA" w14:textId="77777777" w:rsidR="001171D0" w:rsidRPr="001F13F3" w:rsidRDefault="001171D0" w:rsidP="00657ACB">
            <w:pPr>
              <w:pStyle w:val="TableText"/>
              <w:spacing w:before="40" w:after="40"/>
              <w:jc w:val="center"/>
              <w:rPr>
                <w:lang w:val="en-NZ" w:eastAsia="en-US" w:bidi="hi-IN"/>
              </w:rPr>
            </w:pPr>
            <w:r w:rsidRPr="001F13F3">
              <w:rPr>
                <w:lang w:val="en-NZ" w:eastAsia="en-US"/>
              </w:rPr>
              <w:t>336</w:t>
            </w:r>
          </w:p>
        </w:tc>
        <w:tc>
          <w:tcPr>
            <w:tcW w:w="839" w:type="dxa"/>
            <w:hideMark/>
          </w:tcPr>
          <w:p w14:paraId="649655F5" w14:textId="77777777" w:rsidR="001171D0" w:rsidRPr="001F13F3" w:rsidRDefault="001171D0" w:rsidP="00657ACB">
            <w:pPr>
              <w:pStyle w:val="TableText"/>
              <w:spacing w:before="40" w:after="40"/>
              <w:jc w:val="center"/>
              <w:rPr>
                <w:lang w:val="en-NZ" w:eastAsia="en-US" w:bidi="hi-IN"/>
              </w:rPr>
            </w:pPr>
            <w:r w:rsidRPr="001F13F3">
              <w:rPr>
                <w:lang w:val="en-NZ" w:eastAsia="en-US"/>
              </w:rPr>
              <w:t>1609</w:t>
            </w:r>
          </w:p>
        </w:tc>
        <w:tc>
          <w:tcPr>
            <w:tcW w:w="840" w:type="dxa"/>
            <w:hideMark/>
          </w:tcPr>
          <w:p w14:paraId="766C8925" w14:textId="77777777" w:rsidR="001171D0" w:rsidRPr="001F13F3" w:rsidRDefault="001171D0" w:rsidP="00657ACB">
            <w:pPr>
              <w:pStyle w:val="TableText"/>
              <w:spacing w:before="40" w:after="40"/>
              <w:jc w:val="center"/>
              <w:rPr>
                <w:lang w:val="en-NZ" w:eastAsia="en-US" w:bidi="hi-IN"/>
              </w:rPr>
            </w:pPr>
            <w:r w:rsidRPr="001F13F3">
              <w:rPr>
                <w:lang w:val="en-NZ" w:eastAsia="en-US"/>
              </w:rPr>
              <w:t>3532</w:t>
            </w:r>
          </w:p>
        </w:tc>
        <w:tc>
          <w:tcPr>
            <w:tcW w:w="839" w:type="dxa"/>
            <w:hideMark/>
          </w:tcPr>
          <w:p w14:paraId="3CD634EC" w14:textId="77777777" w:rsidR="001171D0" w:rsidRPr="001F13F3" w:rsidRDefault="001171D0" w:rsidP="00657ACB">
            <w:pPr>
              <w:pStyle w:val="TableText"/>
              <w:spacing w:before="40" w:after="40"/>
              <w:jc w:val="center"/>
              <w:rPr>
                <w:lang w:val="en-NZ" w:eastAsia="en-US" w:bidi="hi-IN"/>
              </w:rPr>
            </w:pPr>
            <w:r w:rsidRPr="001F13F3">
              <w:rPr>
                <w:lang w:val="en-NZ" w:eastAsia="en-US"/>
              </w:rPr>
              <w:t>1044</w:t>
            </w:r>
          </w:p>
        </w:tc>
        <w:tc>
          <w:tcPr>
            <w:tcW w:w="840" w:type="dxa"/>
            <w:hideMark/>
          </w:tcPr>
          <w:p w14:paraId="00B90B8B" w14:textId="77777777" w:rsidR="001171D0" w:rsidRPr="001F13F3" w:rsidRDefault="001171D0" w:rsidP="00657ACB">
            <w:pPr>
              <w:pStyle w:val="TableText"/>
              <w:spacing w:before="40" w:after="40"/>
              <w:jc w:val="center"/>
              <w:rPr>
                <w:lang w:val="en-NZ" w:eastAsia="en-US" w:bidi="hi-IN"/>
              </w:rPr>
            </w:pPr>
            <w:r w:rsidRPr="001F13F3">
              <w:rPr>
                <w:lang w:val="en-NZ" w:eastAsia="en-US"/>
              </w:rPr>
              <w:t>4324</w:t>
            </w:r>
          </w:p>
        </w:tc>
        <w:tc>
          <w:tcPr>
            <w:tcW w:w="840" w:type="dxa"/>
            <w:hideMark/>
          </w:tcPr>
          <w:p w14:paraId="55FC83C0" w14:textId="77777777" w:rsidR="001171D0" w:rsidRPr="001F13F3" w:rsidRDefault="001171D0" w:rsidP="00657ACB">
            <w:pPr>
              <w:pStyle w:val="TableText"/>
              <w:spacing w:before="40" w:after="40"/>
              <w:jc w:val="center"/>
              <w:rPr>
                <w:lang w:val="en-NZ" w:eastAsia="en-US" w:bidi="hi-IN"/>
              </w:rPr>
            </w:pPr>
            <w:r w:rsidRPr="001F13F3">
              <w:rPr>
                <w:lang w:val="en-NZ" w:eastAsia="en-US"/>
              </w:rPr>
              <w:t>5346</w:t>
            </w:r>
          </w:p>
        </w:tc>
      </w:tr>
      <w:tr w:rsidR="001171D0" w:rsidRPr="001F13F3" w14:paraId="4304DE75" w14:textId="77777777" w:rsidTr="001171D0">
        <w:tc>
          <w:tcPr>
            <w:tcW w:w="956" w:type="dxa"/>
            <w:hideMark/>
          </w:tcPr>
          <w:p w14:paraId="53B39D8B" w14:textId="77777777" w:rsidR="001171D0" w:rsidRPr="001F13F3" w:rsidRDefault="001171D0" w:rsidP="00657ACB">
            <w:pPr>
              <w:pStyle w:val="TableText"/>
              <w:spacing w:before="40" w:after="40"/>
              <w:rPr>
                <w:b/>
                <w:bCs/>
                <w:lang w:val="en-NZ" w:eastAsia="en-US" w:bidi="hi-IN"/>
              </w:rPr>
            </w:pPr>
            <w:r w:rsidRPr="001F13F3">
              <w:rPr>
                <w:b/>
                <w:bCs/>
                <w:lang w:val="en-NZ" w:eastAsia="en-US"/>
              </w:rPr>
              <w:t>CXL</w:t>
            </w:r>
          </w:p>
        </w:tc>
        <w:tc>
          <w:tcPr>
            <w:tcW w:w="836" w:type="dxa"/>
            <w:gridSpan w:val="2"/>
            <w:hideMark/>
          </w:tcPr>
          <w:p w14:paraId="2CAFB9F6" w14:textId="77777777" w:rsidR="001171D0" w:rsidRPr="001F13F3" w:rsidRDefault="001171D0" w:rsidP="00657ACB">
            <w:pPr>
              <w:pStyle w:val="TableText"/>
              <w:spacing w:before="40" w:after="40"/>
              <w:jc w:val="center"/>
              <w:rPr>
                <w:lang w:val="en-NZ" w:eastAsia="en-US" w:bidi="hi-IN"/>
              </w:rPr>
            </w:pPr>
            <w:r w:rsidRPr="001F13F3">
              <w:rPr>
                <w:lang w:val="en-NZ" w:eastAsia="en-US"/>
              </w:rPr>
              <w:t>96</w:t>
            </w:r>
          </w:p>
        </w:tc>
        <w:tc>
          <w:tcPr>
            <w:tcW w:w="840" w:type="dxa"/>
            <w:hideMark/>
          </w:tcPr>
          <w:p w14:paraId="6C7DCB63" w14:textId="77777777" w:rsidR="001171D0" w:rsidRPr="001F13F3" w:rsidRDefault="001171D0" w:rsidP="00657ACB">
            <w:pPr>
              <w:pStyle w:val="TableText"/>
              <w:spacing w:before="40" w:after="40"/>
              <w:jc w:val="center"/>
              <w:rPr>
                <w:lang w:val="en-NZ" w:eastAsia="en-US" w:bidi="hi-IN"/>
              </w:rPr>
            </w:pPr>
            <w:r w:rsidRPr="001F13F3">
              <w:rPr>
                <w:lang w:val="en-NZ" w:eastAsia="en-US"/>
              </w:rPr>
              <w:t>482</w:t>
            </w:r>
          </w:p>
        </w:tc>
        <w:tc>
          <w:tcPr>
            <w:tcW w:w="839" w:type="dxa"/>
            <w:gridSpan w:val="2"/>
            <w:hideMark/>
          </w:tcPr>
          <w:p w14:paraId="30F07792" w14:textId="77777777" w:rsidR="001171D0" w:rsidRPr="001F13F3" w:rsidRDefault="001171D0" w:rsidP="00657ACB">
            <w:pPr>
              <w:pStyle w:val="TableText"/>
              <w:spacing w:before="40" w:after="40"/>
              <w:jc w:val="center"/>
              <w:rPr>
                <w:lang w:val="en-NZ" w:eastAsia="en-US" w:bidi="hi-IN"/>
              </w:rPr>
            </w:pPr>
            <w:r w:rsidRPr="001F13F3">
              <w:rPr>
                <w:lang w:val="en-NZ" w:eastAsia="en-US"/>
              </w:rPr>
              <w:t>1174</w:t>
            </w:r>
          </w:p>
        </w:tc>
        <w:tc>
          <w:tcPr>
            <w:tcW w:w="837" w:type="dxa"/>
            <w:hideMark/>
          </w:tcPr>
          <w:p w14:paraId="1427F761" w14:textId="77777777" w:rsidR="001171D0" w:rsidRPr="001F13F3" w:rsidRDefault="001171D0" w:rsidP="00657ACB">
            <w:pPr>
              <w:pStyle w:val="TableText"/>
              <w:spacing w:before="40" w:after="40"/>
              <w:jc w:val="center"/>
              <w:rPr>
                <w:lang w:val="en-NZ" w:eastAsia="en-US" w:bidi="hi-IN"/>
              </w:rPr>
            </w:pPr>
            <w:r w:rsidRPr="001F13F3">
              <w:rPr>
                <w:lang w:val="en-NZ" w:eastAsia="en-US"/>
              </w:rPr>
              <w:t>233</w:t>
            </w:r>
          </w:p>
        </w:tc>
        <w:tc>
          <w:tcPr>
            <w:tcW w:w="839" w:type="dxa"/>
            <w:hideMark/>
          </w:tcPr>
          <w:p w14:paraId="5C4A07D2" w14:textId="77777777" w:rsidR="001171D0" w:rsidRPr="001F13F3" w:rsidRDefault="001171D0" w:rsidP="00657ACB">
            <w:pPr>
              <w:pStyle w:val="TableText"/>
              <w:spacing w:before="40" w:after="40"/>
              <w:jc w:val="center"/>
              <w:rPr>
                <w:lang w:val="en-NZ" w:eastAsia="en-US" w:bidi="hi-IN"/>
              </w:rPr>
            </w:pPr>
            <w:r w:rsidRPr="001F13F3">
              <w:rPr>
                <w:lang w:val="en-NZ" w:eastAsia="en-US"/>
              </w:rPr>
              <w:t>1134</w:t>
            </w:r>
          </w:p>
        </w:tc>
        <w:tc>
          <w:tcPr>
            <w:tcW w:w="840" w:type="dxa"/>
            <w:hideMark/>
          </w:tcPr>
          <w:p w14:paraId="1F1AFD59" w14:textId="77777777" w:rsidR="001171D0" w:rsidRPr="001F13F3" w:rsidRDefault="001171D0" w:rsidP="00657ACB">
            <w:pPr>
              <w:pStyle w:val="TableText"/>
              <w:spacing w:before="40" w:after="40"/>
              <w:jc w:val="center"/>
              <w:rPr>
                <w:lang w:val="en-NZ" w:eastAsia="en-US" w:bidi="hi-IN"/>
              </w:rPr>
            </w:pPr>
            <w:r w:rsidRPr="001F13F3">
              <w:rPr>
                <w:lang w:val="en-NZ" w:eastAsia="en-US"/>
              </w:rPr>
              <w:t>2607</w:t>
            </w:r>
          </w:p>
        </w:tc>
        <w:tc>
          <w:tcPr>
            <w:tcW w:w="839" w:type="dxa"/>
            <w:hideMark/>
          </w:tcPr>
          <w:p w14:paraId="6976150C" w14:textId="77777777" w:rsidR="001171D0" w:rsidRPr="001F13F3" w:rsidRDefault="001171D0" w:rsidP="00657ACB">
            <w:pPr>
              <w:pStyle w:val="TableText"/>
              <w:spacing w:before="40" w:after="40"/>
              <w:jc w:val="center"/>
              <w:rPr>
                <w:lang w:val="en-NZ" w:eastAsia="en-US" w:bidi="hi-IN"/>
              </w:rPr>
            </w:pPr>
            <w:r w:rsidRPr="001F13F3">
              <w:rPr>
                <w:lang w:val="en-NZ" w:eastAsia="en-US"/>
              </w:rPr>
              <w:t>710</w:t>
            </w:r>
          </w:p>
        </w:tc>
        <w:tc>
          <w:tcPr>
            <w:tcW w:w="840" w:type="dxa"/>
            <w:hideMark/>
          </w:tcPr>
          <w:p w14:paraId="721265C4" w14:textId="77777777" w:rsidR="001171D0" w:rsidRPr="001F13F3" w:rsidRDefault="001171D0" w:rsidP="00657ACB">
            <w:pPr>
              <w:pStyle w:val="TableText"/>
              <w:spacing w:before="40" w:after="40"/>
              <w:jc w:val="center"/>
              <w:rPr>
                <w:lang w:val="en-NZ" w:eastAsia="en-US" w:bidi="hi-IN"/>
              </w:rPr>
            </w:pPr>
            <w:r w:rsidRPr="001F13F3">
              <w:rPr>
                <w:lang w:val="en-NZ" w:eastAsia="en-US"/>
              </w:rPr>
              <w:t>3144</w:t>
            </w:r>
          </w:p>
        </w:tc>
        <w:tc>
          <w:tcPr>
            <w:tcW w:w="840" w:type="dxa"/>
            <w:hideMark/>
          </w:tcPr>
          <w:p w14:paraId="46D70C6F" w14:textId="77777777" w:rsidR="001171D0" w:rsidRPr="001F13F3" w:rsidRDefault="001171D0" w:rsidP="00657ACB">
            <w:pPr>
              <w:pStyle w:val="TableText"/>
              <w:spacing w:before="40" w:after="40"/>
              <w:jc w:val="center"/>
              <w:rPr>
                <w:lang w:val="en-NZ" w:eastAsia="en-US" w:bidi="hi-IN"/>
              </w:rPr>
            </w:pPr>
            <w:r w:rsidRPr="001F13F3">
              <w:rPr>
                <w:lang w:val="en-NZ" w:eastAsia="en-US"/>
              </w:rPr>
              <w:t>6040</w:t>
            </w:r>
          </w:p>
        </w:tc>
      </w:tr>
      <w:tr w:rsidR="001171D0" w:rsidRPr="001F13F3" w14:paraId="35BEF587" w14:textId="77777777" w:rsidTr="001171D0">
        <w:tc>
          <w:tcPr>
            <w:tcW w:w="956" w:type="dxa"/>
            <w:hideMark/>
          </w:tcPr>
          <w:p w14:paraId="2CD70A11" w14:textId="77777777" w:rsidR="001171D0" w:rsidRPr="001F13F3" w:rsidRDefault="001171D0" w:rsidP="00657ACB">
            <w:pPr>
              <w:pStyle w:val="TableText"/>
              <w:spacing w:before="40" w:after="40"/>
              <w:rPr>
                <w:b/>
                <w:bCs/>
                <w:lang w:val="en-NZ" w:eastAsia="en-US" w:bidi="hi-IN"/>
              </w:rPr>
            </w:pPr>
            <w:r w:rsidRPr="001F13F3">
              <w:rPr>
                <w:b/>
                <w:bCs/>
                <w:lang w:val="en-NZ" w:eastAsia="en-US"/>
              </w:rPr>
              <w:t>CXLk</w:t>
            </w:r>
          </w:p>
        </w:tc>
        <w:tc>
          <w:tcPr>
            <w:tcW w:w="836" w:type="dxa"/>
            <w:gridSpan w:val="2"/>
            <w:hideMark/>
          </w:tcPr>
          <w:p w14:paraId="50AA06AA" w14:textId="77777777" w:rsidR="001171D0" w:rsidRPr="001F13F3" w:rsidRDefault="001171D0" w:rsidP="00657ACB">
            <w:pPr>
              <w:pStyle w:val="TableText"/>
              <w:spacing w:before="40" w:after="40"/>
              <w:jc w:val="center"/>
              <w:rPr>
                <w:lang w:val="en-NZ" w:eastAsia="en-US" w:bidi="hi-IN"/>
              </w:rPr>
            </w:pPr>
            <w:r w:rsidRPr="001F13F3">
              <w:rPr>
                <w:lang w:val="en-NZ" w:eastAsia="en-US"/>
              </w:rPr>
              <w:t>30</w:t>
            </w:r>
          </w:p>
        </w:tc>
        <w:tc>
          <w:tcPr>
            <w:tcW w:w="840" w:type="dxa"/>
            <w:hideMark/>
          </w:tcPr>
          <w:p w14:paraId="25CE9574" w14:textId="77777777" w:rsidR="001171D0" w:rsidRPr="001F13F3" w:rsidRDefault="001171D0" w:rsidP="00657ACB">
            <w:pPr>
              <w:pStyle w:val="TableText"/>
              <w:spacing w:before="40" w:after="40"/>
              <w:jc w:val="center"/>
              <w:rPr>
                <w:lang w:val="en-NZ" w:eastAsia="en-US" w:bidi="hi-IN"/>
              </w:rPr>
            </w:pPr>
            <w:r w:rsidRPr="001F13F3">
              <w:rPr>
                <w:lang w:val="en-NZ" w:eastAsia="en-US"/>
              </w:rPr>
              <w:t>146</w:t>
            </w:r>
          </w:p>
        </w:tc>
        <w:tc>
          <w:tcPr>
            <w:tcW w:w="839" w:type="dxa"/>
            <w:gridSpan w:val="2"/>
            <w:hideMark/>
          </w:tcPr>
          <w:p w14:paraId="014859FD" w14:textId="77777777" w:rsidR="001171D0" w:rsidRPr="001F13F3" w:rsidRDefault="001171D0" w:rsidP="00657ACB">
            <w:pPr>
              <w:pStyle w:val="TableText"/>
              <w:spacing w:before="40" w:after="40"/>
              <w:jc w:val="center"/>
              <w:rPr>
                <w:lang w:val="en-NZ" w:eastAsia="en-US" w:bidi="hi-IN"/>
              </w:rPr>
            </w:pPr>
            <w:r w:rsidRPr="001F13F3">
              <w:rPr>
                <w:lang w:val="en-NZ" w:eastAsia="en-US"/>
              </w:rPr>
              <w:t>351</w:t>
            </w:r>
          </w:p>
        </w:tc>
        <w:tc>
          <w:tcPr>
            <w:tcW w:w="837" w:type="dxa"/>
            <w:hideMark/>
          </w:tcPr>
          <w:p w14:paraId="4FB0E007" w14:textId="77777777" w:rsidR="001171D0" w:rsidRPr="001F13F3" w:rsidRDefault="001171D0" w:rsidP="00657ACB">
            <w:pPr>
              <w:pStyle w:val="TableText"/>
              <w:spacing w:before="40" w:after="40"/>
              <w:jc w:val="center"/>
              <w:rPr>
                <w:lang w:val="en-NZ" w:eastAsia="en-US" w:bidi="hi-IN"/>
              </w:rPr>
            </w:pPr>
            <w:r w:rsidRPr="001F13F3">
              <w:rPr>
                <w:lang w:val="en-NZ" w:eastAsia="en-US"/>
              </w:rPr>
              <w:t>68</w:t>
            </w:r>
          </w:p>
        </w:tc>
        <w:tc>
          <w:tcPr>
            <w:tcW w:w="839" w:type="dxa"/>
            <w:hideMark/>
          </w:tcPr>
          <w:p w14:paraId="4F8F5152" w14:textId="77777777" w:rsidR="001171D0" w:rsidRPr="001F13F3" w:rsidRDefault="001171D0" w:rsidP="00657ACB">
            <w:pPr>
              <w:pStyle w:val="TableText"/>
              <w:spacing w:before="40" w:after="40"/>
              <w:jc w:val="center"/>
              <w:rPr>
                <w:lang w:val="en-NZ" w:eastAsia="en-US" w:bidi="hi-IN"/>
              </w:rPr>
            </w:pPr>
            <w:r w:rsidRPr="001F13F3">
              <w:rPr>
                <w:lang w:val="en-NZ" w:eastAsia="en-US"/>
              </w:rPr>
              <w:t>330</w:t>
            </w:r>
          </w:p>
        </w:tc>
        <w:tc>
          <w:tcPr>
            <w:tcW w:w="840" w:type="dxa"/>
            <w:hideMark/>
          </w:tcPr>
          <w:p w14:paraId="482FA7DB" w14:textId="77777777" w:rsidR="001171D0" w:rsidRPr="001F13F3" w:rsidRDefault="001171D0" w:rsidP="00657ACB">
            <w:pPr>
              <w:pStyle w:val="TableText"/>
              <w:spacing w:before="40" w:after="40"/>
              <w:jc w:val="center"/>
              <w:rPr>
                <w:lang w:val="en-NZ" w:eastAsia="en-US" w:bidi="hi-IN"/>
              </w:rPr>
            </w:pPr>
            <w:r w:rsidRPr="001F13F3">
              <w:rPr>
                <w:lang w:val="en-NZ" w:eastAsia="en-US"/>
              </w:rPr>
              <w:t>792</w:t>
            </w:r>
          </w:p>
        </w:tc>
        <w:tc>
          <w:tcPr>
            <w:tcW w:w="839" w:type="dxa"/>
            <w:hideMark/>
          </w:tcPr>
          <w:p w14:paraId="67475A11" w14:textId="77777777" w:rsidR="001171D0" w:rsidRPr="001F13F3" w:rsidRDefault="001171D0" w:rsidP="00657ACB">
            <w:pPr>
              <w:pStyle w:val="TableText"/>
              <w:spacing w:before="40" w:after="40"/>
              <w:jc w:val="center"/>
              <w:rPr>
                <w:lang w:val="en-NZ" w:eastAsia="en-US" w:bidi="hi-IN"/>
              </w:rPr>
            </w:pPr>
            <w:r w:rsidRPr="001F13F3">
              <w:rPr>
                <w:lang w:val="en-NZ" w:eastAsia="en-US"/>
              </w:rPr>
              <w:t>195</w:t>
            </w:r>
          </w:p>
        </w:tc>
        <w:tc>
          <w:tcPr>
            <w:tcW w:w="840" w:type="dxa"/>
            <w:hideMark/>
          </w:tcPr>
          <w:p w14:paraId="37573264" w14:textId="77777777" w:rsidR="001171D0" w:rsidRPr="001F13F3" w:rsidRDefault="001171D0" w:rsidP="00657ACB">
            <w:pPr>
              <w:pStyle w:val="TableText"/>
              <w:spacing w:before="40" w:after="40"/>
              <w:jc w:val="center"/>
              <w:rPr>
                <w:lang w:val="en-NZ" w:eastAsia="en-US" w:bidi="hi-IN"/>
              </w:rPr>
            </w:pPr>
            <w:r w:rsidRPr="001F13F3">
              <w:rPr>
                <w:lang w:val="en-NZ" w:eastAsia="en-US"/>
              </w:rPr>
              <w:t>918</w:t>
            </w:r>
          </w:p>
        </w:tc>
        <w:tc>
          <w:tcPr>
            <w:tcW w:w="840" w:type="dxa"/>
            <w:hideMark/>
          </w:tcPr>
          <w:p w14:paraId="2734F59B" w14:textId="77777777" w:rsidR="001171D0" w:rsidRPr="001F13F3" w:rsidRDefault="001171D0" w:rsidP="00657ACB">
            <w:pPr>
              <w:pStyle w:val="TableText"/>
              <w:spacing w:before="40" w:after="40"/>
              <w:jc w:val="center"/>
              <w:rPr>
                <w:lang w:val="en-NZ" w:eastAsia="en-US" w:bidi="hi-IN"/>
              </w:rPr>
            </w:pPr>
            <w:r w:rsidRPr="001F13F3">
              <w:rPr>
                <w:lang w:val="en-NZ" w:eastAsia="en-US"/>
              </w:rPr>
              <w:t>2171</w:t>
            </w:r>
          </w:p>
        </w:tc>
      </w:tr>
      <w:tr w:rsidR="001171D0" w:rsidRPr="001F13F3" w14:paraId="530D2E10" w14:textId="77777777" w:rsidTr="001171D0">
        <w:tc>
          <w:tcPr>
            <w:tcW w:w="956" w:type="dxa"/>
            <w:hideMark/>
          </w:tcPr>
          <w:p w14:paraId="79DE1B0D" w14:textId="77777777" w:rsidR="001171D0" w:rsidRPr="001F13F3" w:rsidRDefault="001171D0" w:rsidP="00657ACB">
            <w:pPr>
              <w:pStyle w:val="TableText"/>
              <w:spacing w:before="40" w:after="40"/>
              <w:rPr>
                <w:b/>
                <w:bCs/>
                <w:lang w:val="en-NZ" w:eastAsia="en-US" w:bidi="hi-IN"/>
              </w:rPr>
            </w:pPr>
            <w:r w:rsidRPr="001F13F3">
              <w:rPr>
                <w:b/>
                <w:bCs/>
                <w:lang w:val="en-NZ" w:eastAsia="en-US"/>
              </w:rPr>
              <w:t>CWGM</w:t>
            </w:r>
          </w:p>
        </w:tc>
        <w:tc>
          <w:tcPr>
            <w:tcW w:w="836" w:type="dxa"/>
            <w:gridSpan w:val="2"/>
            <w:hideMark/>
          </w:tcPr>
          <w:p w14:paraId="58C0A7D9" w14:textId="77777777" w:rsidR="001171D0" w:rsidRPr="001F13F3" w:rsidRDefault="001171D0" w:rsidP="00657ACB">
            <w:pPr>
              <w:pStyle w:val="TableText"/>
              <w:spacing w:before="40" w:after="40"/>
              <w:jc w:val="center"/>
              <w:rPr>
                <w:lang w:val="en-NZ" w:eastAsia="en-US" w:bidi="hi-IN"/>
              </w:rPr>
            </w:pPr>
            <w:r w:rsidRPr="001F13F3">
              <w:rPr>
                <w:lang w:val="en-NZ" w:eastAsia="en-US"/>
              </w:rPr>
              <w:t>34</w:t>
            </w:r>
          </w:p>
        </w:tc>
        <w:tc>
          <w:tcPr>
            <w:tcW w:w="840" w:type="dxa"/>
            <w:hideMark/>
          </w:tcPr>
          <w:p w14:paraId="71F41FD9" w14:textId="77777777" w:rsidR="001171D0" w:rsidRPr="001F13F3" w:rsidRDefault="001171D0" w:rsidP="00657ACB">
            <w:pPr>
              <w:pStyle w:val="TableText"/>
              <w:spacing w:before="40" w:after="40"/>
              <w:jc w:val="center"/>
              <w:rPr>
                <w:lang w:val="en-NZ" w:eastAsia="en-US" w:bidi="hi-IN"/>
              </w:rPr>
            </w:pPr>
            <w:r w:rsidRPr="001F13F3">
              <w:rPr>
                <w:lang w:val="en-NZ" w:eastAsia="en-US"/>
              </w:rPr>
              <w:t>169</w:t>
            </w:r>
          </w:p>
        </w:tc>
        <w:tc>
          <w:tcPr>
            <w:tcW w:w="839" w:type="dxa"/>
            <w:gridSpan w:val="2"/>
            <w:hideMark/>
          </w:tcPr>
          <w:p w14:paraId="3D76B6E0" w14:textId="77777777" w:rsidR="001171D0" w:rsidRPr="001F13F3" w:rsidRDefault="001171D0" w:rsidP="00657ACB">
            <w:pPr>
              <w:pStyle w:val="TableText"/>
              <w:spacing w:before="40" w:after="40"/>
              <w:jc w:val="center"/>
              <w:rPr>
                <w:lang w:val="en-NZ" w:eastAsia="en-US" w:bidi="hi-IN"/>
              </w:rPr>
            </w:pPr>
            <w:r w:rsidRPr="001F13F3">
              <w:rPr>
                <w:lang w:val="en-NZ" w:eastAsia="en-US"/>
              </w:rPr>
              <w:t>407</w:t>
            </w:r>
          </w:p>
        </w:tc>
        <w:tc>
          <w:tcPr>
            <w:tcW w:w="837" w:type="dxa"/>
            <w:hideMark/>
          </w:tcPr>
          <w:p w14:paraId="0E5290B6" w14:textId="77777777" w:rsidR="001171D0" w:rsidRPr="001F13F3" w:rsidRDefault="001171D0" w:rsidP="00657ACB">
            <w:pPr>
              <w:pStyle w:val="TableText"/>
              <w:spacing w:before="40" w:after="40"/>
              <w:jc w:val="center"/>
              <w:rPr>
                <w:lang w:val="en-NZ" w:eastAsia="en-US" w:bidi="hi-IN"/>
              </w:rPr>
            </w:pPr>
            <w:r w:rsidRPr="001F13F3">
              <w:rPr>
                <w:lang w:val="en-NZ" w:eastAsia="en-US"/>
              </w:rPr>
              <w:t>77</w:t>
            </w:r>
          </w:p>
        </w:tc>
        <w:tc>
          <w:tcPr>
            <w:tcW w:w="839" w:type="dxa"/>
            <w:hideMark/>
          </w:tcPr>
          <w:p w14:paraId="108647B9" w14:textId="77777777" w:rsidR="001171D0" w:rsidRPr="001F13F3" w:rsidRDefault="001171D0" w:rsidP="00657ACB">
            <w:pPr>
              <w:pStyle w:val="TableText"/>
              <w:spacing w:before="40" w:after="40"/>
              <w:jc w:val="center"/>
              <w:rPr>
                <w:lang w:val="en-NZ" w:eastAsia="en-US" w:bidi="hi-IN"/>
              </w:rPr>
            </w:pPr>
            <w:r w:rsidRPr="001F13F3">
              <w:rPr>
                <w:lang w:val="en-NZ" w:eastAsia="en-US"/>
              </w:rPr>
              <w:t>374</w:t>
            </w:r>
          </w:p>
        </w:tc>
        <w:tc>
          <w:tcPr>
            <w:tcW w:w="840" w:type="dxa"/>
            <w:hideMark/>
          </w:tcPr>
          <w:p w14:paraId="0A7A4121" w14:textId="77777777" w:rsidR="001171D0" w:rsidRPr="001F13F3" w:rsidRDefault="001171D0" w:rsidP="00657ACB">
            <w:pPr>
              <w:pStyle w:val="TableText"/>
              <w:spacing w:before="40" w:after="40"/>
              <w:jc w:val="center"/>
              <w:rPr>
                <w:lang w:val="en-NZ" w:eastAsia="en-US" w:bidi="hi-IN"/>
              </w:rPr>
            </w:pPr>
            <w:r w:rsidRPr="001F13F3">
              <w:rPr>
                <w:lang w:val="en-NZ" w:eastAsia="en-US"/>
              </w:rPr>
              <w:t>892</w:t>
            </w:r>
          </w:p>
        </w:tc>
        <w:tc>
          <w:tcPr>
            <w:tcW w:w="839" w:type="dxa"/>
            <w:hideMark/>
          </w:tcPr>
          <w:p w14:paraId="0F2135F4" w14:textId="77777777" w:rsidR="001171D0" w:rsidRPr="001F13F3" w:rsidRDefault="001171D0" w:rsidP="00657ACB">
            <w:pPr>
              <w:pStyle w:val="TableText"/>
              <w:spacing w:before="40" w:after="40"/>
              <w:jc w:val="center"/>
              <w:rPr>
                <w:lang w:val="en-NZ" w:eastAsia="en-US" w:bidi="hi-IN"/>
              </w:rPr>
            </w:pPr>
            <w:r w:rsidRPr="001F13F3">
              <w:rPr>
                <w:lang w:val="en-NZ" w:eastAsia="en-US"/>
              </w:rPr>
              <w:t>214</w:t>
            </w:r>
          </w:p>
        </w:tc>
        <w:tc>
          <w:tcPr>
            <w:tcW w:w="840" w:type="dxa"/>
            <w:hideMark/>
          </w:tcPr>
          <w:p w14:paraId="081F9681" w14:textId="77777777" w:rsidR="001171D0" w:rsidRPr="001F13F3" w:rsidRDefault="001171D0" w:rsidP="00657ACB">
            <w:pPr>
              <w:pStyle w:val="TableText"/>
              <w:spacing w:before="40" w:after="40"/>
              <w:jc w:val="center"/>
              <w:rPr>
                <w:lang w:val="en-NZ" w:eastAsia="en-US" w:bidi="hi-IN"/>
              </w:rPr>
            </w:pPr>
            <w:r w:rsidRPr="001F13F3">
              <w:rPr>
                <w:lang w:val="en-NZ" w:eastAsia="en-US"/>
              </w:rPr>
              <w:t>992</w:t>
            </w:r>
          </w:p>
        </w:tc>
        <w:tc>
          <w:tcPr>
            <w:tcW w:w="840" w:type="dxa"/>
            <w:hideMark/>
          </w:tcPr>
          <w:p w14:paraId="3EDD8391" w14:textId="77777777" w:rsidR="001171D0" w:rsidRPr="001F13F3" w:rsidRDefault="001171D0" w:rsidP="00657ACB">
            <w:pPr>
              <w:pStyle w:val="TableText"/>
              <w:spacing w:before="40" w:after="40"/>
              <w:jc w:val="center"/>
              <w:rPr>
                <w:lang w:val="en-NZ" w:eastAsia="en-US" w:bidi="hi-IN"/>
              </w:rPr>
            </w:pPr>
            <w:r w:rsidRPr="001F13F3">
              <w:rPr>
                <w:lang w:val="en-NZ" w:eastAsia="en-US"/>
              </w:rPr>
              <w:t>2337</w:t>
            </w:r>
          </w:p>
        </w:tc>
      </w:tr>
      <w:tr w:rsidR="001171D0" w:rsidRPr="001F13F3" w14:paraId="6D39500F" w14:textId="77777777" w:rsidTr="001171D0">
        <w:tc>
          <w:tcPr>
            <w:tcW w:w="956" w:type="dxa"/>
            <w:hideMark/>
          </w:tcPr>
          <w:p w14:paraId="3BACF43A" w14:textId="77777777" w:rsidR="001171D0" w:rsidRPr="001F13F3" w:rsidRDefault="001171D0" w:rsidP="00657ACB">
            <w:pPr>
              <w:pStyle w:val="TableText"/>
              <w:spacing w:before="40" w:after="40"/>
              <w:rPr>
                <w:b/>
                <w:bCs/>
                <w:lang w:val="en-NZ" w:eastAsia="en-US" w:bidi="hi-IN"/>
              </w:rPr>
            </w:pPr>
            <w:r w:rsidRPr="001F13F3">
              <w:rPr>
                <w:b/>
                <w:bCs/>
                <w:lang w:val="en-NZ" w:eastAsia="en-US"/>
              </w:rPr>
              <w:t>CWM</w:t>
            </w:r>
          </w:p>
        </w:tc>
        <w:tc>
          <w:tcPr>
            <w:tcW w:w="836" w:type="dxa"/>
            <w:gridSpan w:val="2"/>
            <w:hideMark/>
          </w:tcPr>
          <w:p w14:paraId="75223BCB" w14:textId="77777777" w:rsidR="001171D0" w:rsidRPr="001F13F3" w:rsidRDefault="001171D0" w:rsidP="00657ACB">
            <w:pPr>
              <w:pStyle w:val="TableText"/>
              <w:spacing w:before="40" w:after="40"/>
              <w:jc w:val="center"/>
              <w:rPr>
                <w:lang w:val="en-NZ" w:eastAsia="en-US" w:bidi="hi-IN"/>
              </w:rPr>
            </w:pPr>
            <w:r w:rsidRPr="001F13F3">
              <w:rPr>
                <w:lang w:val="en-NZ" w:eastAsia="en-US"/>
              </w:rPr>
              <w:t>38</w:t>
            </w:r>
          </w:p>
        </w:tc>
        <w:tc>
          <w:tcPr>
            <w:tcW w:w="840" w:type="dxa"/>
            <w:hideMark/>
          </w:tcPr>
          <w:p w14:paraId="3D5CDC13" w14:textId="77777777" w:rsidR="001171D0" w:rsidRPr="001F13F3" w:rsidRDefault="001171D0" w:rsidP="00657ACB">
            <w:pPr>
              <w:pStyle w:val="TableText"/>
              <w:spacing w:before="40" w:after="40"/>
              <w:jc w:val="center"/>
              <w:rPr>
                <w:lang w:val="en-NZ" w:eastAsia="en-US" w:bidi="hi-IN"/>
              </w:rPr>
            </w:pPr>
            <w:r w:rsidRPr="001F13F3">
              <w:rPr>
                <w:lang w:val="en-NZ" w:eastAsia="en-US"/>
              </w:rPr>
              <w:t>193</w:t>
            </w:r>
          </w:p>
        </w:tc>
        <w:tc>
          <w:tcPr>
            <w:tcW w:w="839" w:type="dxa"/>
            <w:gridSpan w:val="2"/>
            <w:hideMark/>
          </w:tcPr>
          <w:p w14:paraId="2E738C29" w14:textId="77777777" w:rsidR="001171D0" w:rsidRPr="001F13F3" w:rsidRDefault="001171D0" w:rsidP="00657ACB">
            <w:pPr>
              <w:pStyle w:val="TableText"/>
              <w:spacing w:before="40" w:after="40"/>
              <w:jc w:val="center"/>
              <w:rPr>
                <w:lang w:val="en-NZ" w:eastAsia="en-US" w:bidi="hi-IN"/>
              </w:rPr>
            </w:pPr>
            <w:r w:rsidRPr="001F13F3">
              <w:rPr>
                <w:lang w:val="en-NZ" w:eastAsia="en-US"/>
              </w:rPr>
              <w:t>455</w:t>
            </w:r>
          </w:p>
        </w:tc>
        <w:tc>
          <w:tcPr>
            <w:tcW w:w="837" w:type="dxa"/>
            <w:hideMark/>
          </w:tcPr>
          <w:p w14:paraId="21D4D0C5" w14:textId="77777777" w:rsidR="001171D0" w:rsidRPr="001F13F3" w:rsidRDefault="001171D0" w:rsidP="00657ACB">
            <w:pPr>
              <w:pStyle w:val="TableText"/>
              <w:spacing w:before="40" w:after="40"/>
              <w:jc w:val="center"/>
              <w:rPr>
                <w:lang w:val="en-NZ" w:eastAsia="en-US" w:bidi="hi-IN"/>
              </w:rPr>
            </w:pPr>
            <w:r w:rsidRPr="001F13F3">
              <w:rPr>
                <w:lang w:val="en-NZ" w:eastAsia="en-US"/>
              </w:rPr>
              <w:t>90</w:t>
            </w:r>
          </w:p>
        </w:tc>
        <w:tc>
          <w:tcPr>
            <w:tcW w:w="839" w:type="dxa"/>
            <w:hideMark/>
          </w:tcPr>
          <w:p w14:paraId="7C59E12A" w14:textId="77777777" w:rsidR="001171D0" w:rsidRPr="001F13F3" w:rsidRDefault="001171D0" w:rsidP="00657ACB">
            <w:pPr>
              <w:pStyle w:val="TableText"/>
              <w:spacing w:before="40" w:after="40"/>
              <w:jc w:val="center"/>
              <w:rPr>
                <w:lang w:val="en-NZ" w:eastAsia="en-US" w:bidi="hi-IN"/>
              </w:rPr>
            </w:pPr>
            <w:r w:rsidRPr="001F13F3">
              <w:rPr>
                <w:lang w:val="en-NZ" w:eastAsia="en-US"/>
              </w:rPr>
              <w:t>437</w:t>
            </w:r>
          </w:p>
        </w:tc>
        <w:tc>
          <w:tcPr>
            <w:tcW w:w="840" w:type="dxa"/>
            <w:hideMark/>
          </w:tcPr>
          <w:p w14:paraId="1F201307" w14:textId="77777777" w:rsidR="001171D0" w:rsidRPr="001F13F3" w:rsidRDefault="001171D0" w:rsidP="00657ACB">
            <w:pPr>
              <w:pStyle w:val="TableText"/>
              <w:spacing w:before="40" w:after="40"/>
              <w:jc w:val="center"/>
              <w:rPr>
                <w:lang w:val="en-NZ" w:eastAsia="en-US" w:bidi="hi-IN"/>
              </w:rPr>
            </w:pPr>
            <w:r w:rsidRPr="001F13F3">
              <w:rPr>
                <w:lang w:val="en-NZ" w:eastAsia="en-US"/>
              </w:rPr>
              <w:t>1039</w:t>
            </w:r>
          </w:p>
        </w:tc>
        <w:tc>
          <w:tcPr>
            <w:tcW w:w="839" w:type="dxa"/>
            <w:hideMark/>
          </w:tcPr>
          <w:p w14:paraId="2C86B64E" w14:textId="77777777" w:rsidR="001171D0" w:rsidRPr="001F13F3" w:rsidRDefault="001171D0" w:rsidP="00657ACB">
            <w:pPr>
              <w:pStyle w:val="TableText"/>
              <w:spacing w:before="40" w:after="40"/>
              <w:jc w:val="center"/>
              <w:rPr>
                <w:lang w:val="en-NZ" w:eastAsia="en-US" w:bidi="hi-IN"/>
              </w:rPr>
            </w:pPr>
            <w:r w:rsidRPr="001F13F3">
              <w:rPr>
                <w:lang w:val="en-NZ" w:eastAsia="en-US"/>
              </w:rPr>
              <w:t>262</w:t>
            </w:r>
          </w:p>
        </w:tc>
        <w:tc>
          <w:tcPr>
            <w:tcW w:w="840" w:type="dxa"/>
            <w:hideMark/>
          </w:tcPr>
          <w:p w14:paraId="470CA21B" w14:textId="77777777" w:rsidR="001171D0" w:rsidRPr="001F13F3" w:rsidRDefault="001171D0" w:rsidP="00657ACB">
            <w:pPr>
              <w:pStyle w:val="TableText"/>
              <w:spacing w:before="40" w:after="40"/>
              <w:jc w:val="center"/>
              <w:rPr>
                <w:lang w:val="en-NZ" w:eastAsia="en-US" w:bidi="hi-IN"/>
              </w:rPr>
            </w:pPr>
            <w:r w:rsidRPr="001F13F3">
              <w:rPr>
                <w:lang w:val="en-NZ" w:eastAsia="en-US"/>
              </w:rPr>
              <w:t>1242</w:t>
            </w:r>
          </w:p>
        </w:tc>
        <w:tc>
          <w:tcPr>
            <w:tcW w:w="840" w:type="dxa"/>
            <w:hideMark/>
          </w:tcPr>
          <w:p w14:paraId="4AB3C27F" w14:textId="77777777" w:rsidR="001171D0" w:rsidRPr="001F13F3" w:rsidRDefault="001171D0" w:rsidP="00657ACB">
            <w:pPr>
              <w:pStyle w:val="TableText"/>
              <w:spacing w:before="40" w:after="40"/>
              <w:jc w:val="center"/>
              <w:rPr>
                <w:lang w:val="en-NZ" w:eastAsia="en-US" w:bidi="hi-IN"/>
              </w:rPr>
            </w:pPr>
            <w:r w:rsidRPr="001F13F3">
              <w:rPr>
                <w:lang w:val="en-NZ" w:eastAsia="en-US"/>
              </w:rPr>
              <w:t>2833</w:t>
            </w:r>
          </w:p>
        </w:tc>
      </w:tr>
      <w:tr w:rsidR="001171D0" w:rsidRPr="001F13F3" w14:paraId="110AF15D" w14:textId="77777777" w:rsidTr="001171D0">
        <w:tc>
          <w:tcPr>
            <w:tcW w:w="956" w:type="dxa"/>
            <w:hideMark/>
          </w:tcPr>
          <w:p w14:paraId="4AC14C0E" w14:textId="77777777" w:rsidR="001171D0" w:rsidRPr="001F13F3" w:rsidRDefault="001171D0" w:rsidP="00657ACB">
            <w:pPr>
              <w:pStyle w:val="TableText"/>
              <w:spacing w:before="40" w:after="40"/>
              <w:rPr>
                <w:b/>
                <w:bCs/>
                <w:lang w:val="en-NZ" w:eastAsia="en-US" w:bidi="hi-IN"/>
              </w:rPr>
            </w:pPr>
            <w:r w:rsidRPr="001F13F3">
              <w:rPr>
                <w:b/>
                <w:bCs/>
                <w:lang w:val="en-NZ" w:eastAsia="en-US"/>
              </w:rPr>
              <w:t>CWH</w:t>
            </w:r>
          </w:p>
        </w:tc>
        <w:tc>
          <w:tcPr>
            <w:tcW w:w="836" w:type="dxa"/>
            <w:gridSpan w:val="2"/>
            <w:hideMark/>
          </w:tcPr>
          <w:p w14:paraId="748F919F" w14:textId="77777777" w:rsidR="001171D0" w:rsidRPr="001F13F3" w:rsidRDefault="001171D0" w:rsidP="00657ACB">
            <w:pPr>
              <w:pStyle w:val="TableText"/>
              <w:spacing w:before="40" w:after="40"/>
              <w:jc w:val="center"/>
              <w:rPr>
                <w:lang w:val="en-NZ" w:eastAsia="en-US" w:bidi="hi-IN"/>
              </w:rPr>
            </w:pPr>
            <w:r w:rsidRPr="001F13F3">
              <w:rPr>
                <w:lang w:val="en-NZ" w:eastAsia="en-US"/>
              </w:rPr>
              <w:t>41</w:t>
            </w:r>
          </w:p>
        </w:tc>
        <w:tc>
          <w:tcPr>
            <w:tcW w:w="840" w:type="dxa"/>
            <w:hideMark/>
          </w:tcPr>
          <w:p w14:paraId="42D2671D" w14:textId="77777777" w:rsidR="001171D0" w:rsidRPr="001F13F3" w:rsidRDefault="001171D0" w:rsidP="00657ACB">
            <w:pPr>
              <w:pStyle w:val="TableText"/>
              <w:spacing w:before="40" w:after="40"/>
              <w:jc w:val="center"/>
              <w:rPr>
                <w:lang w:val="en-NZ" w:eastAsia="en-US" w:bidi="hi-IN"/>
              </w:rPr>
            </w:pPr>
            <w:r w:rsidRPr="001F13F3">
              <w:rPr>
                <w:lang w:val="en-NZ" w:eastAsia="en-US"/>
              </w:rPr>
              <w:t>208</w:t>
            </w:r>
          </w:p>
        </w:tc>
        <w:tc>
          <w:tcPr>
            <w:tcW w:w="839" w:type="dxa"/>
            <w:gridSpan w:val="2"/>
            <w:hideMark/>
          </w:tcPr>
          <w:p w14:paraId="1CCAA22C" w14:textId="77777777" w:rsidR="001171D0" w:rsidRPr="001F13F3" w:rsidRDefault="001171D0" w:rsidP="00657ACB">
            <w:pPr>
              <w:pStyle w:val="TableText"/>
              <w:spacing w:before="40" w:after="40"/>
              <w:jc w:val="center"/>
              <w:rPr>
                <w:lang w:val="en-NZ" w:eastAsia="en-US" w:bidi="hi-IN"/>
              </w:rPr>
            </w:pPr>
            <w:r w:rsidRPr="001F13F3">
              <w:rPr>
                <w:lang w:val="en-NZ" w:eastAsia="en-US"/>
              </w:rPr>
              <w:t>499</w:t>
            </w:r>
          </w:p>
        </w:tc>
        <w:tc>
          <w:tcPr>
            <w:tcW w:w="837" w:type="dxa"/>
            <w:hideMark/>
          </w:tcPr>
          <w:p w14:paraId="24BC3546" w14:textId="77777777" w:rsidR="001171D0" w:rsidRPr="001F13F3" w:rsidRDefault="001171D0" w:rsidP="00657ACB">
            <w:pPr>
              <w:pStyle w:val="TableText"/>
              <w:spacing w:before="40" w:after="40"/>
              <w:jc w:val="center"/>
              <w:rPr>
                <w:lang w:val="en-NZ" w:eastAsia="en-US" w:bidi="hi-IN"/>
              </w:rPr>
            </w:pPr>
            <w:r w:rsidRPr="001F13F3">
              <w:rPr>
                <w:lang w:val="en-NZ" w:eastAsia="en-US"/>
              </w:rPr>
              <w:t>101</w:t>
            </w:r>
          </w:p>
        </w:tc>
        <w:tc>
          <w:tcPr>
            <w:tcW w:w="839" w:type="dxa"/>
            <w:hideMark/>
          </w:tcPr>
          <w:p w14:paraId="63547640" w14:textId="77777777" w:rsidR="001171D0" w:rsidRPr="001F13F3" w:rsidRDefault="001171D0" w:rsidP="00657ACB">
            <w:pPr>
              <w:pStyle w:val="TableText"/>
              <w:spacing w:before="40" w:after="40"/>
              <w:jc w:val="center"/>
              <w:rPr>
                <w:lang w:val="en-NZ" w:eastAsia="en-US" w:bidi="hi-IN"/>
              </w:rPr>
            </w:pPr>
            <w:r w:rsidRPr="001F13F3">
              <w:rPr>
                <w:lang w:val="en-NZ" w:eastAsia="en-US"/>
              </w:rPr>
              <w:t>488</w:t>
            </w:r>
          </w:p>
        </w:tc>
        <w:tc>
          <w:tcPr>
            <w:tcW w:w="840" w:type="dxa"/>
            <w:hideMark/>
          </w:tcPr>
          <w:p w14:paraId="3A495B74" w14:textId="77777777" w:rsidR="001171D0" w:rsidRPr="001F13F3" w:rsidRDefault="001171D0" w:rsidP="00657ACB">
            <w:pPr>
              <w:pStyle w:val="TableText"/>
              <w:spacing w:before="40" w:after="40"/>
              <w:jc w:val="center"/>
              <w:rPr>
                <w:lang w:val="en-NZ" w:eastAsia="en-US" w:bidi="hi-IN"/>
              </w:rPr>
            </w:pPr>
            <w:r w:rsidRPr="001F13F3">
              <w:rPr>
                <w:lang w:val="en-NZ" w:eastAsia="en-US"/>
              </w:rPr>
              <w:t>1154</w:t>
            </w:r>
          </w:p>
        </w:tc>
        <w:tc>
          <w:tcPr>
            <w:tcW w:w="839" w:type="dxa"/>
            <w:hideMark/>
          </w:tcPr>
          <w:p w14:paraId="2B4641B1" w14:textId="77777777" w:rsidR="001171D0" w:rsidRPr="001F13F3" w:rsidRDefault="001171D0" w:rsidP="00657ACB">
            <w:pPr>
              <w:pStyle w:val="TableText"/>
              <w:spacing w:before="40" w:after="40"/>
              <w:jc w:val="center"/>
              <w:rPr>
                <w:lang w:val="en-NZ" w:eastAsia="en-US" w:bidi="hi-IN"/>
              </w:rPr>
            </w:pPr>
            <w:r w:rsidRPr="001F13F3">
              <w:rPr>
                <w:lang w:val="en-NZ" w:eastAsia="en-US"/>
              </w:rPr>
              <w:t>311</w:t>
            </w:r>
          </w:p>
        </w:tc>
        <w:tc>
          <w:tcPr>
            <w:tcW w:w="840" w:type="dxa"/>
            <w:hideMark/>
          </w:tcPr>
          <w:p w14:paraId="4152E0E4" w14:textId="77777777" w:rsidR="001171D0" w:rsidRPr="001F13F3" w:rsidRDefault="001171D0" w:rsidP="00657ACB">
            <w:pPr>
              <w:pStyle w:val="TableText"/>
              <w:spacing w:before="40" w:after="40"/>
              <w:jc w:val="center"/>
              <w:rPr>
                <w:lang w:val="en-NZ" w:eastAsia="en-US" w:bidi="hi-IN"/>
              </w:rPr>
            </w:pPr>
            <w:r w:rsidRPr="001F13F3">
              <w:rPr>
                <w:lang w:val="en-NZ" w:eastAsia="en-US"/>
              </w:rPr>
              <w:t>1428</w:t>
            </w:r>
          </w:p>
        </w:tc>
        <w:tc>
          <w:tcPr>
            <w:tcW w:w="840" w:type="dxa"/>
            <w:hideMark/>
          </w:tcPr>
          <w:p w14:paraId="238A7082" w14:textId="77777777" w:rsidR="001171D0" w:rsidRPr="001F13F3" w:rsidRDefault="001171D0" w:rsidP="00657ACB">
            <w:pPr>
              <w:pStyle w:val="TableText"/>
              <w:spacing w:before="40" w:after="40"/>
              <w:jc w:val="center"/>
              <w:rPr>
                <w:lang w:val="en-NZ" w:eastAsia="en-US" w:bidi="hi-IN"/>
              </w:rPr>
            </w:pPr>
            <w:r w:rsidRPr="001F13F3">
              <w:rPr>
                <w:lang w:val="en-NZ" w:eastAsia="en-US"/>
              </w:rPr>
              <w:t>3243</w:t>
            </w:r>
          </w:p>
        </w:tc>
      </w:tr>
      <w:tr w:rsidR="001171D0" w:rsidRPr="001F13F3" w14:paraId="7B145D3C" w14:textId="77777777" w:rsidTr="001171D0">
        <w:tc>
          <w:tcPr>
            <w:tcW w:w="956" w:type="dxa"/>
            <w:hideMark/>
          </w:tcPr>
          <w:p w14:paraId="6BDA30DC" w14:textId="77777777" w:rsidR="001171D0" w:rsidRPr="001F13F3" w:rsidRDefault="001171D0" w:rsidP="00657ACB">
            <w:pPr>
              <w:pStyle w:val="TableText"/>
              <w:spacing w:before="40" w:after="40"/>
              <w:rPr>
                <w:b/>
                <w:bCs/>
                <w:lang w:val="en-NZ" w:eastAsia="en-US" w:bidi="hi-IN"/>
              </w:rPr>
            </w:pPr>
            <w:r w:rsidRPr="001F13F3">
              <w:rPr>
                <w:b/>
                <w:bCs/>
                <w:lang w:val="en-NZ" w:eastAsia="en-US"/>
              </w:rPr>
              <w:t>CWL</w:t>
            </w:r>
          </w:p>
        </w:tc>
        <w:tc>
          <w:tcPr>
            <w:tcW w:w="836" w:type="dxa"/>
            <w:gridSpan w:val="2"/>
            <w:hideMark/>
          </w:tcPr>
          <w:p w14:paraId="2C914AFB" w14:textId="77777777" w:rsidR="001171D0" w:rsidRPr="001F13F3" w:rsidRDefault="001171D0" w:rsidP="00657ACB">
            <w:pPr>
              <w:pStyle w:val="TableText"/>
              <w:spacing w:before="40" w:after="40"/>
              <w:jc w:val="center"/>
              <w:rPr>
                <w:lang w:val="en-NZ" w:eastAsia="en-US" w:bidi="hi-IN"/>
              </w:rPr>
            </w:pPr>
            <w:r w:rsidRPr="001F13F3">
              <w:rPr>
                <w:lang w:val="en-NZ" w:eastAsia="en-US"/>
              </w:rPr>
              <w:t>32</w:t>
            </w:r>
          </w:p>
        </w:tc>
        <w:tc>
          <w:tcPr>
            <w:tcW w:w="840" w:type="dxa"/>
            <w:hideMark/>
          </w:tcPr>
          <w:p w14:paraId="5CF637C1" w14:textId="77777777" w:rsidR="001171D0" w:rsidRPr="001F13F3" w:rsidRDefault="001171D0" w:rsidP="00657ACB">
            <w:pPr>
              <w:pStyle w:val="TableText"/>
              <w:spacing w:before="40" w:after="40"/>
              <w:jc w:val="center"/>
              <w:rPr>
                <w:lang w:val="en-NZ" w:eastAsia="en-US" w:bidi="hi-IN"/>
              </w:rPr>
            </w:pPr>
            <w:r w:rsidRPr="001F13F3">
              <w:rPr>
                <w:lang w:val="en-NZ" w:eastAsia="en-US"/>
              </w:rPr>
              <w:t>159</w:t>
            </w:r>
          </w:p>
        </w:tc>
        <w:tc>
          <w:tcPr>
            <w:tcW w:w="839" w:type="dxa"/>
            <w:gridSpan w:val="2"/>
            <w:hideMark/>
          </w:tcPr>
          <w:p w14:paraId="6CC5C645" w14:textId="77777777" w:rsidR="001171D0" w:rsidRPr="001F13F3" w:rsidRDefault="001171D0" w:rsidP="00657ACB">
            <w:pPr>
              <w:pStyle w:val="TableText"/>
              <w:spacing w:before="40" w:after="40"/>
              <w:jc w:val="center"/>
              <w:rPr>
                <w:lang w:val="en-NZ" w:eastAsia="en-US" w:bidi="hi-IN"/>
              </w:rPr>
            </w:pPr>
            <w:r w:rsidRPr="001F13F3">
              <w:rPr>
                <w:lang w:val="en-NZ" w:eastAsia="en-US"/>
              </w:rPr>
              <w:t>385</w:t>
            </w:r>
          </w:p>
        </w:tc>
        <w:tc>
          <w:tcPr>
            <w:tcW w:w="837" w:type="dxa"/>
            <w:hideMark/>
          </w:tcPr>
          <w:p w14:paraId="7A543921" w14:textId="77777777" w:rsidR="001171D0" w:rsidRPr="001F13F3" w:rsidRDefault="001171D0" w:rsidP="00657ACB">
            <w:pPr>
              <w:pStyle w:val="TableText"/>
              <w:spacing w:before="40" w:after="40"/>
              <w:jc w:val="center"/>
              <w:rPr>
                <w:lang w:val="en-NZ" w:eastAsia="en-US" w:bidi="hi-IN"/>
              </w:rPr>
            </w:pPr>
            <w:r w:rsidRPr="001F13F3">
              <w:rPr>
                <w:lang w:val="en-NZ" w:eastAsia="en-US"/>
              </w:rPr>
              <w:t>76</w:t>
            </w:r>
          </w:p>
        </w:tc>
        <w:tc>
          <w:tcPr>
            <w:tcW w:w="839" w:type="dxa"/>
            <w:hideMark/>
          </w:tcPr>
          <w:p w14:paraId="0C208EC4" w14:textId="77777777" w:rsidR="001171D0" w:rsidRPr="001F13F3" w:rsidRDefault="001171D0" w:rsidP="00657ACB">
            <w:pPr>
              <w:pStyle w:val="TableText"/>
              <w:spacing w:before="40" w:after="40"/>
              <w:jc w:val="center"/>
              <w:rPr>
                <w:lang w:val="en-NZ" w:eastAsia="en-US" w:bidi="hi-IN"/>
              </w:rPr>
            </w:pPr>
            <w:r w:rsidRPr="001F13F3">
              <w:rPr>
                <w:lang w:val="en-NZ" w:eastAsia="en-US"/>
              </w:rPr>
              <w:t>370</w:t>
            </w:r>
          </w:p>
        </w:tc>
        <w:tc>
          <w:tcPr>
            <w:tcW w:w="840" w:type="dxa"/>
            <w:hideMark/>
          </w:tcPr>
          <w:p w14:paraId="5811BEB5" w14:textId="77777777" w:rsidR="001171D0" w:rsidRPr="001F13F3" w:rsidRDefault="001171D0" w:rsidP="00657ACB">
            <w:pPr>
              <w:pStyle w:val="TableText"/>
              <w:spacing w:before="40" w:after="40"/>
              <w:jc w:val="center"/>
              <w:rPr>
                <w:lang w:val="en-NZ" w:eastAsia="en-US" w:bidi="hi-IN"/>
              </w:rPr>
            </w:pPr>
            <w:r w:rsidRPr="001F13F3">
              <w:rPr>
                <w:lang w:val="en-NZ" w:eastAsia="en-US"/>
              </w:rPr>
              <w:t>874</w:t>
            </w:r>
          </w:p>
        </w:tc>
        <w:tc>
          <w:tcPr>
            <w:tcW w:w="839" w:type="dxa"/>
            <w:hideMark/>
          </w:tcPr>
          <w:p w14:paraId="3BCE06DD" w14:textId="77777777" w:rsidR="001171D0" w:rsidRPr="001F13F3" w:rsidRDefault="001171D0" w:rsidP="00657ACB">
            <w:pPr>
              <w:pStyle w:val="TableText"/>
              <w:spacing w:before="40" w:after="40"/>
              <w:jc w:val="center"/>
              <w:rPr>
                <w:lang w:val="en-NZ" w:eastAsia="en-US" w:bidi="hi-IN"/>
              </w:rPr>
            </w:pPr>
            <w:r w:rsidRPr="001F13F3">
              <w:rPr>
                <w:lang w:val="en-NZ" w:eastAsia="en-US"/>
              </w:rPr>
              <w:t>223</w:t>
            </w:r>
          </w:p>
        </w:tc>
        <w:tc>
          <w:tcPr>
            <w:tcW w:w="840" w:type="dxa"/>
            <w:hideMark/>
          </w:tcPr>
          <w:p w14:paraId="69EA0F58" w14:textId="77777777" w:rsidR="001171D0" w:rsidRPr="001F13F3" w:rsidRDefault="001171D0" w:rsidP="00657ACB">
            <w:pPr>
              <w:pStyle w:val="TableText"/>
              <w:spacing w:before="40" w:after="40"/>
              <w:jc w:val="center"/>
              <w:rPr>
                <w:lang w:val="en-NZ" w:eastAsia="en-US" w:bidi="hi-IN"/>
              </w:rPr>
            </w:pPr>
            <w:r w:rsidRPr="001F13F3">
              <w:rPr>
                <w:lang w:val="en-NZ" w:eastAsia="en-US"/>
              </w:rPr>
              <w:t>1045</w:t>
            </w:r>
          </w:p>
        </w:tc>
        <w:tc>
          <w:tcPr>
            <w:tcW w:w="840" w:type="dxa"/>
            <w:hideMark/>
          </w:tcPr>
          <w:p w14:paraId="535B929C" w14:textId="77777777" w:rsidR="001171D0" w:rsidRPr="001F13F3" w:rsidRDefault="001171D0" w:rsidP="00657ACB">
            <w:pPr>
              <w:pStyle w:val="TableText"/>
              <w:spacing w:before="40" w:after="40"/>
              <w:jc w:val="center"/>
              <w:rPr>
                <w:lang w:val="en-NZ" w:eastAsia="en-US" w:bidi="hi-IN"/>
              </w:rPr>
            </w:pPr>
            <w:r w:rsidRPr="001F13F3">
              <w:rPr>
                <w:lang w:val="en-NZ" w:eastAsia="en-US"/>
              </w:rPr>
              <w:t>2426</w:t>
            </w:r>
          </w:p>
        </w:tc>
      </w:tr>
      <w:tr w:rsidR="001171D0" w:rsidRPr="001F13F3" w14:paraId="0BFE5624" w14:textId="77777777" w:rsidTr="001171D0">
        <w:tc>
          <w:tcPr>
            <w:tcW w:w="956" w:type="dxa"/>
            <w:hideMark/>
          </w:tcPr>
          <w:p w14:paraId="5749BC95" w14:textId="77777777" w:rsidR="001171D0" w:rsidRPr="001F13F3" w:rsidRDefault="001171D0" w:rsidP="00657ACB">
            <w:pPr>
              <w:pStyle w:val="TableText"/>
              <w:spacing w:before="40" w:after="40"/>
              <w:rPr>
                <w:b/>
                <w:bCs/>
                <w:lang w:val="en-NZ" w:eastAsia="en-US" w:bidi="hi-IN"/>
              </w:rPr>
            </w:pPr>
            <w:r w:rsidRPr="001F13F3">
              <w:rPr>
                <w:b/>
                <w:bCs/>
                <w:lang w:val="en-NZ" w:eastAsia="en-US"/>
              </w:rPr>
              <w:t>CWLk</w:t>
            </w:r>
          </w:p>
        </w:tc>
        <w:tc>
          <w:tcPr>
            <w:tcW w:w="836" w:type="dxa"/>
            <w:gridSpan w:val="2"/>
            <w:hideMark/>
          </w:tcPr>
          <w:p w14:paraId="42D48EA6" w14:textId="77777777" w:rsidR="001171D0" w:rsidRPr="001F13F3" w:rsidRDefault="001171D0" w:rsidP="00657ACB">
            <w:pPr>
              <w:pStyle w:val="TableText"/>
              <w:spacing w:before="40" w:after="40"/>
              <w:jc w:val="center"/>
              <w:rPr>
                <w:lang w:val="en-NZ" w:eastAsia="en-US" w:bidi="hi-IN"/>
              </w:rPr>
            </w:pPr>
            <w:r w:rsidRPr="001F13F3">
              <w:rPr>
                <w:lang w:val="en-NZ" w:eastAsia="en-US"/>
              </w:rPr>
              <w:t>20</w:t>
            </w:r>
          </w:p>
        </w:tc>
        <w:tc>
          <w:tcPr>
            <w:tcW w:w="840" w:type="dxa"/>
            <w:hideMark/>
          </w:tcPr>
          <w:p w14:paraId="6F714D12" w14:textId="77777777" w:rsidR="001171D0" w:rsidRPr="001F13F3" w:rsidRDefault="001171D0" w:rsidP="00657ACB">
            <w:pPr>
              <w:pStyle w:val="TableText"/>
              <w:spacing w:before="40" w:after="40"/>
              <w:jc w:val="center"/>
              <w:rPr>
                <w:lang w:val="en-NZ" w:eastAsia="en-US" w:bidi="hi-IN"/>
              </w:rPr>
            </w:pPr>
            <w:r w:rsidRPr="001F13F3">
              <w:rPr>
                <w:lang w:val="en-NZ" w:eastAsia="en-US"/>
              </w:rPr>
              <w:t>100</w:t>
            </w:r>
          </w:p>
        </w:tc>
        <w:tc>
          <w:tcPr>
            <w:tcW w:w="839" w:type="dxa"/>
            <w:gridSpan w:val="2"/>
            <w:hideMark/>
          </w:tcPr>
          <w:p w14:paraId="68A6926A" w14:textId="77777777" w:rsidR="001171D0" w:rsidRPr="001F13F3" w:rsidRDefault="001171D0" w:rsidP="00657ACB">
            <w:pPr>
              <w:pStyle w:val="TableText"/>
              <w:spacing w:before="40" w:after="40"/>
              <w:jc w:val="center"/>
              <w:rPr>
                <w:lang w:val="en-NZ" w:eastAsia="en-US" w:bidi="hi-IN"/>
              </w:rPr>
            </w:pPr>
            <w:r w:rsidRPr="001F13F3">
              <w:rPr>
                <w:lang w:val="en-NZ" w:eastAsia="en-US"/>
              </w:rPr>
              <w:t>243</w:t>
            </w:r>
          </w:p>
        </w:tc>
        <w:tc>
          <w:tcPr>
            <w:tcW w:w="837" w:type="dxa"/>
            <w:hideMark/>
          </w:tcPr>
          <w:p w14:paraId="594BD57B" w14:textId="77777777" w:rsidR="001171D0" w:rsidRPr="001F13F3" w:rsidRDefault="001171D0" w:rsidP="00657ACB">
            <w:pPr>
              <w:pStyle w:val="TableText"/>
              <w:spacing w:before="40" w:after="40"/>
              <w:jc w:val="center"/>
              <w:rPr>
                <w:lang w:val="en-NZ" w:eastAsia="en-US" w:bidi="hi-IN"/>
              </w:rPr>
            </w:pPr>
            <w:r w:rsidRPr="001F13F3">
              <w:rPr>
                <w:lang w:val="en-NZ" w:eastAsia="en-US"/>
              </w:rPr>
              <w:t>47</w:t>
            </w:r>
          </w:p>
        </w:tc>
        <w:tc>
          <w:tcPr>
            <w:tcW w:w="839" w:type="dxa"/>
            <w:hideMark/>
          </w:tcPr>
          <w:p w14:paraId="4D49BBE1" w14:textId="77777777" w:rsidR="001171D0" w:rsidRPr="001F13F3" w:rsidRDefault="001171D0" w:rsidP="00657ACB">
            <w:pPr>
              <w:pStyle w:val="TableText"/>
              <w:spacing w:before="40" w:after="40"/>
              <w:jc w:val="center"/>
              <w:rPr>
                <w:lang w:val="en-NZ" w:eastAsia="en-US" w:bidi="hi-IN"/>
              </w:rPr>
            </w:pPr>
            <w:r w:rsidRPr="001F13F3">
              <w:rPr>
                <w:lang w:val="en-NZ" w:eastAsia="en-US"/>
              </w:rPr>
              <w:t>227</w:t>
            </w:r>
          </w:p>
        </w:tc>
        <w:tc>
          <w:tcPr>
            <w:tcW w:w="840" w:type="dxa"/>
            <w:hideMark/>
          </w:tcPr>
          <w:p w14:paraId="20B98BAB" w14:textId="77777777" w:rsidR="001171D0" w:rsidRPr="001F13F3" w:rsidRDefault="001171D0" w:rsidP="00657ACB">
            <w:pPr>
              <w:pStyle w:val="TableText"/>
              <w:spacing w:before="40" w:after="40"/>
              <w:jc w:val="center"/>
              <w:rPr>
                <w:lang w:val="en-NZ" w:eastAsia="en-US" w:bidi="hi-IN"/>
              </w:rPr>
            </w:pPr>
            <w:r w:rsidRPr="001F13F3">
              <w:rPr>
                <w:lang w:val="en-NZ" w:eastAsia="en-US"/>
              </w:rPr>
              <w:t>544</w:t>
            </w:r>
          </w:p>
        </w:tc>
        <w:tc>
          <w:tcPr>
            <w:tcW w:w="839" w:type="dxa"/>
            <w:hideMark/>
          </w:tcPr>
          <w:p w14:paraId="092FEC4D" w14:textId="77777777" w:rsidR="001171D0" w:rsidRPr="001F13F3" w:rsidRDefault="001171D0" w:rsidP="00657ACB">
            <w:pPr>
              <w:pStyle w:val="TableText"/>
              <w:spacing w:before="40" w:after="40"/>
              <w:jc w:val="center"/>
              <w:rPr>
                <w:lang w:val="en-NZ" w:eastAsia="en-US" w:bidi="hi-IN"/>
              </w:rPr>
            </w:pPr>
            <w:r w:rsidRPr="001F13F3">
              <w:rPr>
                <w:lang w:val="en-NZ" w:eastAsia="en-US"/>
              </w:rPr>
              <w:t>131</w:t>
            </w:r>
          </w:p>
        </w:tc>
        <w:tc>
          <w:tcPr>
            <w:tcW w:w="840" w:type="dxa"/>
            <w:hideMark/>
          </w:tcPr>
          <w:p w14:paraId="0E88FCE6" w14:textId="77777777" w:rsidR="001171D0" w:rsidRPr="001F13F3" w:rsidRDefault="001171D0" w:rsidP="00657ACB">
            <w:pPr>
              <w:pStyle w:val="TableText"/>
              <w:spacing w:before="40" w:after="40"/>
              <w:jc w:val="center"/>
              <w:rPr>
                <w:lang w:val="en-NZ" w:eastAsia="en-US" w:bidi="hi-IN"/>
              </w:rPr>
            </w:pPr>
            <w:r w:rsidRPr="001F13F3">
              <w:rPr>
                <w:lang w:val="en-NZ" w:eastAsia="en-US"/>
              </w:rPr>
              <w:t>617</w:t>
            </w:r>
          </w:p>
        </w:tc>
        <w:tc>
          <w:tcPr>
            <w:tcW w:w="840" w:type="dxa"/>
            <w:hideMark/>
          </w:tcPr>
          <w:p w14:paraId="385ABC80" w14:textId="77777777" w:rsidR="001171D0" w:rsidRPr="001F13F3" w:rsidRDefault="001171D0" w:rsidP="00657ACB">
            <w:pPr>
              <w:pStyle w:val="TableText"/>
              <w:spacing w:before="40" w:after="40"/>
              <w:jc w:val="center"/>
              <w:rPr>
                <w:lang w:val="en-NZ" w:eastAsia="en-US" w:bidi="hi-IN"/>
              </w:rPr>
            </w:pPr>
            <w:r w:rsidRPr="001F13F3">
              <w:rPr>
                <w:lang w:val="en-NZ" w:eastAsia="en-US"/>
              </w:rPr>
              <w:t>1450</w:t>
            </w:r>
          </w:p>
        </w:tc>
      </w:tr>
      <w:tr w:rsidR="001171D0" w:rsidRPr="001F13F3" w14:paraId="401E7FE9" w14:textId="77777777" w:rsidTr="001171D0">
        <w:tc>
          <w:tcPr>
            <w:tcW w:w="956" w:type="dxa"/>
            <w:hideMark/>
          </w:tcPr>
          <w:p w14:paraId="373B5C2D" w14:textId="77777777" w:rsidR="001171D0" w:rsidRPr="001F13F3" w:rsidRDefault="001171D0" w:rsidP="00657ACB">
            <w:pPr>
              <w:pStyle w:val="TableText"/>
              <w:spacing w:before="40" w:after="40"/>
              <w:rPr>
                <w:b/>
                <w:bCs/>
                <w:lang w:val="en-NZ" w:eastAsia="en-US" w:bidi="hi-IN"/>
              </w:rPr>
            </w:pPr>
            <w:r w:rsidRPr="001F13F3">
              <w:rPr>
                <w:b/>
                <w:bCs/>
                <w:lang w:val="en-NZ" w:eastAsia="en-US"/>
              </w:rPr>
              <w:t>CDM</w:t>
            </w:r>
          </w:p>
        </w:tc>
        <w:tc>
          <w:tcPr>
            <w:tcW w:w="836" w:type="dxa"/>
            <w:gridSpan w:val="2"/>
            <w:hideMark/>
          </w:tcPr>
          <w:p w14:paraId="7B4BED8E" w14:textId="77777777" w:rsidR="001171D0" w:rsidRPr="001F13F3" w:rsidRDefault="001171D0" w:rsidP="00657ACB">
            <w:pPr>
              <w:pStyle w:val="TableText"/>
              <w:spacing w:before="40" w:after="40"/>
              <w:jc w:val="center"/>
              <w:rPr>
                <w:lang w:val="en-NZ" w:eastAsia="en-US" w:bidi="hi-IN"/>
              </w:rPr>
            </w:pPr>
            <w:r w:rsidRPr="001F13F3">
              <w:rPr>
                <w:lang w:val="en-NZ" w:eastAsia="en-US"/>
              </w:rPr>
              <w:t>22</w:t>
            </w:r>
          </w:p>
        </w:tc>
        <w:tc>
          <w:tcPr>
            <w:tcW w:w="840" w:type="dxa"/>
            <w:hideMark/>
          </w:tcPr>
          <w:p w14:paraId="2AE55E2B" w14:textId="77777777" w:rsidR="001171D0" w:rsidRPr="001F13F3" w:rsidRDefault="001171D0" w:rsidP="00657ACB">
            <w:pPr>
              <w:pStyle w:val="TableText"/>
              <w:spacing w:before="40" w:after="40"/>
              <w:jc w:val="center"/>
              <w:rPr>
                <w:lang w:val="en-NZ" w:eastAsia="en-US" w:bidi="hi-IN"/>
              </w:rPr>
            </w:pPr>
            <w:r w:rsidRPr="001F13F3">
              <w:rPr>
                <w:lang w:val="en-NZ" w:eastAsia="en-US"/>
              </w:rPr>
              <w:t>109</w:t>
            </w:r>
          </w:p>
        </w:tc>
        <w:tc>
          <w:tcPr>
            <w:tcW w:w="839" w:type="dxa"/>
            <w:gridSpan w:val="2"/>
            <w:hideMark/>
          </w:tcPr>
          <w:p w14:paraId="3C5A5B95" w14:textId="77777777" w:rsidR="001171D0" w:rsidRPr="001F13F3" w:rsidRDefault="001171D0" w:rsidP="00657ACB">
            <w:pPr>
              <w:pStyle w:val="TableText"/>
              <w:spacing w:before="40" w:after="40"/>
              <w:jc w:val="center"/>
              <w:rPr>
                <w:lang w:val="en-NZ" w:eastAsia="en-US" w:bidi="hi-IN"/>
              </w:rPr>
            </w:pPr>
            <w:r w:rsidRPr="001F13F3">
              <w:rPr>
                <w:lang w:val="en-NZ" w:eastAsia="en-US"/>
              </w:rPr>
              <w:t>263</w:t>
            </w:r>
          </w:p>
        </w:tc>
        <w:tc>
          <w:tcPr>
            <w:tcW w:w="837" w:type="dxa"/>
            <w:hideMark/>
          </w:tcPr>
          <w:p w14:paraId="7178334D" w14:textId="77777777" w:rsidR="001171D0" w:rsidRPr="001F13F3" w:rsidRDefault="001171D0" w:rsidP="00657ACB">
            <w:pPr>
              <w:pStyle w:val="TableText"/>
              <w:spacing w:before="40" w:after="40"/>
              <w:jc w:val="center"/>
              <w:rPr>
                <w:lang w:val="en-NZ" w:eastAsia="en-US" w:bidi="hi-IN"/>
              </w:rPr>
            </w:pPr>
            <w:r w:rsidRPr="001F13F3">
              <w:rPr>
                <w:lang w:val="en-NZ" w:eastAsia="en-US"/>
              </w:rPr>
              <w:t>50</w:t>
            </w:r>
          </w:p>
        </w:tc>
        <w:tc>
          <w:tcPr>
            <w:tcW w:w="839" w:type="dxa"/>
            <w:hideMark/>
          </w:tcPr>
          <w:p w14:paraId="2B54F873" w14:textId="77777777" w:rsidR="001171D0" w:rsidRPr="001F13F3" w:rsidRDefault="001171D0" w:rsidP="00657ACB">
            <w:pPr>
              <w:pStyle w:val="TableText"/>
              <w:spacing w:before="40" w:after="40"/>
              <w:jc w:val="center"/>
              <w:rPr>
                <w:lang w:val="en-NZ" w:eastAsia="en-US" w:bidi="hi-IN"/>
              </w:rPr>
            </w:pPr>
            <w:r w:rsidRPr="001F13F3">
              <w:rPr>
                <w:lang w:val="en-NZ" w:eastAsia="en-US"/>
              </w:rPr>
              <w:t>241</w:t>
            </w:r>
          </w:p>
        </w:tc>
        <w:tc>
          <w:tcPr>
            <w:tcW w:w="840" w:type="dxa"/>
            <w:hideMark/>
          </w:tcPr>
          <w:p w14:paraId="75CC27C5" w14:textId="77777777" w:rsidR="001171D0" w:rsidRPr="001F13F3" w:rsidRDefault="001171D0" w:rsidP="00657ACB">
            <w:pPr>
              <w:pStyle w:val="TableText"/>
              <w:spacing w:before="40" w:after="40"/>
              <w:jc w:val="center"/>
              <w:rPr>
                <w:lang w:val="en-NZ" w:eastAsia="en-US" w:bidi="hi-IN"/>
              </w:rPr>
            </w:pPr>
            <w:r w:rsidRPr="001F13F3">
              <w:rPr>
                <w:lang w:val="en-NZ" w:eastAsia="en-US"/>
              </w:rPr>
              <w:t>578</w:t>
            </w:r>
          </w:p>
        </w:tc>
        <w:tc>
          <w:tcPr>
            <w:tcW w:w="839" w:type="dxa"/>
            <w:hideMark/>
          </w:tcPr>
          <w:p w14:paraId="341EA229" w14:textId="77777777" w:rsidR="001171D0" w:rsidRPr="001F13F3" w:rsidRDefault="001171D0" w:rsidP="00657ACB">
            <w:pPr>
              <w:pStyle w:val="TableText"/>
              <w:spacing w:before="40" w:after="40"/>
              <w:jc w:val="center"/>
              <w:rPr>
                <w:lang w:val="en-NZ" w:eastAsia="en-US" w:bidi="hi-IN"/>
              </w:rPr>
            </w:pPr>
            <w:r w:rsidRPr="001F13F3">
              <w:rPr>
                <w:lang w:val="en-NZ" w:eastAsia="en-US"/>
              </w:rPr>
              <w:t>139</w:t>
            </w:r>
          </w:p>
        </w:tc>
        <w:tc>
          <w:tcPr>
            <w:tcW w:w="840" w:type="dxa"/>
            <w:hideMark/>
          </w:tcPr>
          <w:p w14:paraId="163FC076" w14:textId="77777777" w:rsidR="001171D0" w:rsidRPr="001F13F3" w:rsidRDefault="001171D0" w:rsidP="00657ACB">
            <w:pPr>
              <w:pStyle w:val="TableText"/>
              <w:spacing w:before="40" w:after="40"/>
              <w:jc w:val="center"/>
              <w:rPr>
                <w:lang w:val="en-NZ" w:eastAsia="en-US" w:bidi="hi-IN"/>
              </w:rPr>
            </w:pPr>
            <w:r w:rsidRPr="001F13F3">
              <w:rPr>
                <w:lang w:val="en-NZ" w:eastAsia="en-US"/>
              </w:rPr>
              <w:t>648</w:t>
            </w:r>
          </w:p>
        </w:tc>
        <w:tc>
          <w:tcPr>
            <w:tcW w:w="840" w:type="dxa"/>
            <w:hideMark/>
          </w:tcPr>
          <w:p w14:paraId="26C71FDF" w14:textId="77777777" w:rsidR="001171D0" w:rsidRPr="001F13F3" w:rsidRDefault="001171D0" w:rsidP="00657ACB">
            <w:pPr>
              <w:pStyle w:val="TableText"/>
              <w:spacing w:before="40" w:after="40"/>
              <w:jc w:val="center"/>
              <w:rPr>
                <w:lang w:val="en-NZ" w:eastAsia="en-US" w:bidi="hi-IN"/>
              </w:rPr>
            </w:pPr>
            <w:r w:rsidRPr="001F13F3">
              <w:rPr>
                <w:lang w:val="en-NZ" w:eastAsia="en-US"/>
              </w:rPr>
              <w:t>1551</w:t>
            </w:r>
          </w:p>
        </w:tc>
      </w:tr>
      <w:tr w:rsidR="001171D0" w:rsidRPr="001F13F3" w14:paraId="15AEBE07" w14:textId="77777777" w:rsidTr="001171D0">
        <w:tc>
          <w:tcPr>
            <w:tcW w:w="956" w:type="dxa"/>
            <w:hideMark/>
          </w:tcPr>
          <w:p w14:paraId="6D1DD593" w14:textId="77777777" w:rsidR="001171D0" w:rsidRPr="001F13F3" w:rsidRDefault="001171D0" w:rsidP="00657ACB">
            <w:pPr>
              <w:pStyle w:val="TableText"/>
              <w:spacing w:before="40" w:after="40"/>
              <w:rPr>
                <w:b/>
                <w:bCs/>
                <w:lang w:val="en-NZ" w:eastAsia="en-US" w:bidi="hi-IN"/>
              </w:rPr>
            </w:pPr>
            <w:r w:rsidRPr="001F13F3">
              <w:rPr>
                <w:b/>
                <w:bCs/>
                <w:lang w:val="en-NZ" w:eastAsia="en-US"/>
              </w:rPr>
              <w:t>CDH</w:t>
            </w:r>
          </w:p>
        </w:tc>
        <w:tc>
          <w:tcPr>
            <w:tcW w:w="836" w:type="dxa"/>
            <w:gridSpan w:val="2"/>
            <w:hideMark/>
          </w:tcPr>
          <w:p w14:paraId="2C9750A1" w14:textId="77777777" w:rsidR="001171D0" w:rsidRPr="001F13F3" w:rsidRDefault="001171D0" w:rsidP="00657ACB">
            <w:pPr>
              <w:pStyle w:val="TableText"/>
              <w:spacing w:before="40" w:after="40"/>
              <w:jc w:val="center"/>
              <w:rPr>
                <w:lang w:val="en-NZ" w:eastAsia="en-US" w:bidi="hi-IN"/>
              </w:rPr>
            </w:pPr>
            <w:r w:rsidRPr="001F13F3">
              <w:rPr>
                <w:lang w:val="en-NZ" w:eastAsia="en-US"/>
              </w:rPr>
              <w:t>19</w:t>
            </w:r>
          </w:p>
        </w:tc>
        <w:tc>
          <w:tcPr>
            <w:tcW w:w="840" w:type="dxa"/>
            <w:hideMark/>
          </w:tcPr>
          <w:p w14:paraId="43FCFD71" w14:textId="77777777" w:rsidR="001171D0" w:rsidRPr="001F13F3" w:rsidRDefault="001171D0" w:rsidP="00657ACB">
            <w:pPr>
              <w:pStyle w:val="TableText"/>
              <w:spacing w:before="40" w:after="40"/>
              <w:jc w:val="center"/>
              <w:rPr>
                <w:lang w:val="en-NZ" w:eastAsia="en-US" w:bidi="hi-IN"/>
              </w:rPr>
            </w:pPr>
            <w:r w:rsidRPr="001F13F3">
              <w:rPr>
                <w:lang w:val="en-NZ" w:eastAsia="en-US"/>
              </w:rPr>
              <w:t>97</w:t>
            </w:r>
          </w:p>
        </w:tc>
        <w:tc>
          <w:tcPr>
            <w:tcW w:w="839" w:type="dxa"/>
            <w:gridSpan w:val="2"/>
            <w:hideMark/>
          </w:tcPr>
          <w:p w14:paraId="5B93A06E" w14:textId="77777777" w:rsidR="001171D0" w:rsidRPr="001F13F3" w:rsidRDefault="001171D0" w:rsidP="00657ACB">
            <w:pPr>
              <w:pStyle w:val="TableText"/>
              <w:spacing w:before="40" w:after="40"/>
              <w:jc w:val="center"/>
              <w:rPr>
                <w:lang w:val="en-NZ" w:eastAsia="en-US" w:bidi="hi-IN"/>
              </w:rPr>
            </w:pPr>
            <w:r w:rsidRPr="001F13F3">
              <w:rPr>
                <w:lang w:val="en-NZ" w:eastAsia="en-US"/>
              </w:rPr>
              <w:t>234</w:t>
            </w:r>
          </w:p>
        </w:tc>
        <w:tc>
          <w:tcPr>
            <w:tcW w:w="837" w:type="dxa"/>
            <w:hideMark/>
          </w:tcPr>
          <w:p w14:paraId="497E87A2" w14:textId="77777777" w:rsidR="001171D0" w:rsidRPr="001F13F3" w:rsidRDefault="001171D0" w:rsidP="00657ACB">
            <w:pPr>
              <w:pStyle w:val="TableText"/>
              <w:spacing w:before="40" w:after="40"/>
              <w:jc w:val="center"/>
              <w:rPr>
                <w:lang w:val="en-NZ" w:eastAsia="en-US" w:bidi="hi-IN"/>
              </w:rPr>
            </w:pPr>
            <w:r w:rsidRPr="001F13F3">
              <w:rPr>
                <w:lang w:val="en-NZ" w:eastAsia="en-US"/>
              </w:rPr>
              <w:t>44</w:t>
            </w:r>
          </w:p>
        </w:tc>
        <w:tc>
          <w:tcPr>
            <w:tcW w:w="839" w:type="dxa"/>
            <w:hideMark/>
          </w:tcPr>
          <w:p w14:paraId="16262C5E" w14:textId="77777777" w:rsidR="001171D0" w:rsidRPr="001F13F3" w:rsidRDefault="001171D0" w:rsidP="00657ACB">
            <w:pPr>
              <w:pStyle w:val="TableText"/>
              <w:spacing w:before="40" w:after="40"/>
              <w:jc w:val="center"/>
              <w:rPr>
                <w:lang w:val="en-NZ" w:eastAsia="en-US" w:bidi="hi-IN"/>
              </w:rPr>
            </w:pPr>
            <w:r w:rsidRPr="001F13F3">
              <w:rPr>
                <w:lang w:val="en-NZ" w:eastAsia="en-US"/>
              </w:rPr>
              <w:t>217</w:t>
            </w:r>
          </w:p>
        </w:tc>
        <w:tc>
          <w:tcPr>
            <w:tcW w:w="840" w:type="dxa"/>
            <w:hideMark/>
          </w:tcPr>
          <w:p w14:paraId="5180D5CF" w14:textId="77777777" w:rsidR="001171D0" w:rsidRPr="001F13F3" w:rsidRDefault="001171D0" w:rsidP="00657ACB">
            <w:pPr>
              <w:pStyle w:val="TableText"/>
              <w:spacing w:before="40" w:after="40"/>
              <w:jc w:val="center"/>
              <w:rPr>
                <w:lang w:val="en-NZ" w:eastAsia="en-US" w:bidi="hi-IN"/>
              </w:rPr>
            </w:pPr>
            <w:r w:rsidRPr="001F13F3">
              <w:rPr>
                <w:lang w:val="en-NZ" w:eastAsia="en-US"/>
              </w:rPr>
              <w:t>516</w:t>
            </w:r>
          </w:p>
        </w:tc>
        <w:tc>
          <w:tcPr>
            <w:tcW w:w="839" w:type="dxa"/>
            <w:hideMark/>
          </w:tcPr>
          <w:p w14:paraId="569740DD" w14:textId="77777777" w:rsidR="001171D0" w:rsidRPr="001F13F3" w:rsidRDefault="001171D0" w:rsidP="00657ACB">
            <w:pPr>
              <w:pStyle w:val="TableText"/>
              <w:spacing w:before="40" w:after="40"/>
              <w:jc w:val="center"/>
              <w:rPr>
                <w:lang w:val="en-NZ" w:eastAsia="en-US" w:bidi="hi-IN"/>
              </w:rPr>
            </w:pPr>
            <w:r w:rsidRPr="001F13F3">
              <w:rPr>
                <w:lang w:val="en-NZ" w:eastAsia="en-US"/>
              </w:rPr>
              <w:t>124</w:t>
            </w:r>
          </w:p>
        </w:tc>
        <w:tc>
          <w:tcPr>
            <w:tcW w:w="840" w:type="dxa"/>
            <w:hideMark/>
          </w:tcPr>
          <w:p w14:paraId="03A02FE3" w14:textId="77777777" w:rsidR="001171D0" w:rsidRPr="001F13F3" w:rsidRDefault="001171D0" w:rsidP="00657ACB">
            <w:pPr>
              <w:pStyle w:val="TableText"/>
              <w:spacing w:before="40" w:after="40"/>
              <w:jc w:val="center"/>
              <w:rPr>
                <w:lang w:val="en-NZ" w:eastAsia="en-US" w:bidi="hi-IN"/>
              </w:rPr>
            </w:pPr>
            <w:r w:rsidRPr="001F13F3">
              <w:rPr>
                <w:lang w:val="en-NZ" w:eastAsia="en-US"/>
              </w:rPr>
              <w:t>589</w:t>
            </w:r>
          </w:p>
        </w:tc>
        <w:tc>
          <w:tcPr>
            <w:tcW w:w="840" w:type="dxa"/>
            <w:hideMark/>
          </w:tcPr>
          <w:p w14:paraId="3359C386" w14:textId="77777777" w:rsidR="001171D0" w:rsidRPr="001F13F3" w:rsidRDefault="001171D0" w:rsidP="00657ACB">
            <w:pPr>
              <w:pStyle w:val="TableText"/>
              <w:spacing w:before="40" w:after="40"/>
              <w:jc w:val="center"/>
              <w:rPr>
                <w:lang w:val="en-NZ" w:eastAsia="en-US" w:bidi="hi-IN"/>
              </w:rPr>
            </w:pPr>
            <w:r w:rsidRPr="001F13F3">
              <w:rPr>
                <w:lang w:val="en-NZ" w:eastAsia="en-US"/>
              </w:rPr>
              <w:t>1394</w:t>
            </w:r>
          </w:p>
        </w:tc>
      </w:tr>
      <w:tr w:rsidR="001171D0" w:rsidRPr="001F13F3" w14:paraId="235F394F" w14:textId="77777777" w:rsidTr="001171D0">
        <w:tc>
          <w:tcPr>
            <w:tcW w:w="956" w:type="dxa"/>
            <w:hideMark/>
          </w:tcPr>
          <w:p w14:paraId="6BBCDDEB" w14:textId="77777777" w:rsidR="001171D0" w:rsidRPr="001F13F3" w:rsidRDefault="001171D0" w:rsidP="00657ACB">
            <w:pPr>
              <w:pStyle w:val="TableText"/>
              <w:spacing w:before="40" w:after="40"/>
              <w:rPr>
                <w:b/>
                <w:bCs/>
                <w:lang w:val="en-NZ" w:eastAsia="en-US" w:bidi="hi-IN"/>
              </w:rPr>
            </w:pPr>
            <w:r w:rsidRPr="001F13F3">
              <w:rPr>
                <w:b/>
                <w:bCs/>
                <w:lang w:val="en-NZ" w:eastAsia="en-US"/>
              </w:rPr>
              <w:t>CDL</w:t>
            </w:r>
          </w:p>
        </w:tc>
        <w:tc>
          <w:tcPr>
            <w:tcW w:w="836" w:type="dxa"/>
            <w:gridSpan w:val="2"/>
            <w:hideMark/>
          </w:tcPr>
          <w:p w14:paraId="479A763C" w14:textId="77777777" w:rsidR="001171D0" w:rsidRPr="001F13F3" w:rsidRDefault="001171D0" w:rsidP="00657ACB">
            <w:pPr>
              <w:pStyle w:val="TableText"/>
              <w:spacing w:before="40" w:after="40"/>
              <w:jc w:val="center"/>
              <w:rPr>
                <w:lang w:val="en-NZ" w:eastAsia="en-US" w:bidi="hi-IN"/>
              </w:rPr>
            </w:pPr>
            <w:r w:rsidRPr="001F13F3">
              <w:rPr>
                <w:lang w:val="en-NZ" w:eastAsia="en-US"/>
              </w:rPr>
              <w:t>20</w:t>
            </w:r>
          </w:p>
        </w:tc>
        <w:tc>
          <w:tcPr>
            <w:tcW w:w="840" w:type="dxa"/>
            <w:hideMark/>
          </w:tcPr>
          <w:p w14:paraId="0BB6AB00" w14:textId="77777777" w:rsidR="001171D0" w:rsidRPr="001F13F3" w:rsidRDefault="001171D0" w:rsidP="00657ACB">
            <w:pPr>
              <w:pStyle w:val="TableText"/>
              <w:spacing w:before="40" w:after="40"/>
              <w:jc w:val="center"/>
              <w:rPr>
                <w:lang w:val="en-NZ" w:eastAsia="en-US" w:bidi="hi-IN"/>
              </w:rPr>
            </w:pPr>
            <w:r w:rsidRPr="001F13F3">
              <w:rPr>
                <w:lang w:val="en-NZ" w:eastAsia="en-US"/>
              </w:rPr>
              <w:t>101</w:t>
            </w:r>
          </w:p>
        </w:tc>
        <w:tc>
          <w:tcPr>
            <w:tcW w:w="839" w:type="dxa"/>
            <w:gridSpan w:val="2"/>
            <w:hideMark/>
          </w:tcPr>
          <w:p w14:paraId="79CAD23F" w14:textId="77777777" w:rsidR="001171D0" w:rsidRPr="001F13F3" w:rsidRDefault="001171D0" w:rsidP="00657ACB">
            <w:pPr>
              <w:pStyle w:val="TableText"/>
              <w:spacing w:before="40" w:after="40"/>
              <w:jc w:val="center"/>
              <w:rPr>
                <w:lang w:val="en-NZ" w:eastAsia="en-US" w:bidi="hi-IN"/>
              </w:rPr>
            </w:pPr>
            <w:r w:rsidRPr="001F13F3">
              <w:rPr>
                <w:lang w:val="en-NZ" w:eastAsia="en-US"/>
              </w:rPr>
              <w:t>244</w:t>
            </w:r>
          </w:p>
        </w:tc>
        <w:tc>
          <w:tcPr>
            <w:tcW w:w="837" w:type="dxa"/>
            <w:hideMark/>
          </w:tcPr>
          <w:p w14:paraId="74F0C461" w14:textId="77777777" w:rsidR="001171D0" w:rsidRPr="001F13F3" w:rsidRDefault="001171D0" w:rsidP="00657ACB">
            <w:pPr>
              <w:pStyle w:val="TableText"/>
              <w:spacing w:before="40" w:after="40"/>
              <w:jc w:val="center"/>
              <w:rPr>
                <w:lang w:val="en-NZ" w:eastAsia="en-US" w:bidi="hi-IN"/>
              </w:rPr>
            </w:pPr>
            <w:r w:rsidRPr="001F13F3">
              <w:rPr>
                <w:lang w:val="en-NZ" w:eastAsia="en-US"/>
              </w:rPr>
              <w:t>47</w:t>
            </w:r>
          </w:p>
        </w:tc>
        <w:tc>
          <w:tcPr>
            <w:tcW w:w="839" w:type="dxa"/>
            <w:hideMark/>
          </w:tcPr>
          <w:p w14:paraId="53AAA311" w14:textId="77777777" w:rsidR="001171D0" w:rsidRPr="001F13F3" w:rsidRDefault="001171D0" w:rsidP="00657ACB">
            <w:pPr>
              <w:pStyle w:val="TableText"/>
              <w:spacing w:before="40" w:after="40"/>
              <w:jc w:val="center"/>
              <w:rPr>
                <w:lang w:val="en-NZ" w:eastAsia="en-US" w:bidi="hi-IN"/>
              </w:rPr>
            </w:pPr>
            <w:r w:rsidRPr="001F13F3">
              <w:rPr>
                <w:lang w:val="en-NZ" w:eastAsia="en-US"/>
              </w:rPr>
              <w:t>229</w:t>
            </w:r>
          </w:p>
        </w:tc>
        <w:tc>
          <w:tcPr>
            <w:tcW w:w="840" w:type="dxa"/>
            <w:hideMark/>
          </w:tcPr>
          <w:p w14:paraId="543E9752" w14:textId="77777777" w:rsidR="001171D0" w:rsidRPr="001F13F3" w:rsidRDefault="001171D0" w:rsidP="00657ACB">
            <w:pPr>
              <w:pStyle w:val="TableText"/>
              <w:spacing w:before="40" w:after="40"/>
              <w:jc w:val="center"/>
              <w:rPr>
                <w:lang w:val="en-NZ" w:eastAsia="en-US" w:bidi="hi-IN"/>
              </w:rPr>
            </w:pPr>
            <w:r w:rsidRPr="001F13F3">
              <w:rPr>
                <w:lang w:val="en-NZ" w:eastAsia="en-US"/>
              </w:rPr>
              <w:t>542</w:t>
            </w:r>
          </w:p>
        </w:tc>
        <w:tc>
          <w:tcPr>
            <w:tcW w:w="839" w:type="dxa"/>
            <w:hideMark/>
          </w:tcPr>
          <w:p w14:paraId="003FFDF5" w14:textId="77777777" w:rsidR="001171D0" w:rsidRPr="001F13F3" w:rsidRDefault="001171D0" w:rsidP="00657ACB">
            <w:pPr>
              <w:pStyle w:val="TableText"/>
              <w:spacing w:before="40" w:after="40"/>
              <w:jc w:val="center"/>
              <w:rPr>
                <w:lang w:val="en-NZ" w:eastAsia="en-US" w:bidi="hi-IN"/>
              </w:rPr>
            </w:pPr>
            <w:r w:rsidRPr="001F13F3">
              <w:rPr>
                <w:lang w:val="en-NZ" w:eastAsia="en-US"/>
              </w:rPr>
              <w:t>132</w:t>
            </w:r>
          </w:p>
        </w:tc>
        <w:tc>
          <w:tcPr>
            <w:tcW w:w="840" w:type="dxa"/>
            <w:hideMark/>
          </w:tcPr>
          <w:p w14:paraId="31FE5953" w14:textId="77777777" w:rsidR="001171D0" w:rsidRPr="001F13F3" w:rsidRDefault="001171D0" w:rsidP="00657ACB">
            <w:pPr>
              <w:pStyle w:val="TableText"/>
              <w:spacing w:before="40" w:after="40"/>
              <w:jc w:val="center"/>
              <w:rPr>
                <w:lang w:val="en-NZ" w:eastAsia="en-US" w:bidi="hi-IN"/>
              </w:rPr>
            </w:pPr>
            <w:r w:rsidRPr="001F13F3">
              <w:rPr>
                <w:lang w:val="en-NZ" w:eastAsia="en-US"/>
              </w:rPr>
              <w:t>633</w:t>
            </w:r>
          </w:p>
        </w:tc>
        <w:tc>
          <w:tcPr>
            <w:tcW w:w="840" w:type="dxa"/>
            <w:hideMark/>
          </w:tcPr>
          <w:p w14:paraId="05B59D46" w14:textId="77777777" w:rsidR="001171D0" w:rsidRPr="001F13F3" w:rsidRDefault="001171D0" w:rsidP="00657ACB">
            <w:pPr>
              <w:pStyle w:val="TableText"/>
              <w:spacing w:before="40" w:after="40"/>
              <w:jc w:val="center"/>
              <w:rPr>
                <w:lang w:val="en-NZ" w:eastAsia="en-US" w:bidi="hi-IN"/>
              </w:rPr>
            </w:pPr>
            <w:r w:rsidRPr="001F13F3">
              <w:rPr>
                <w:lang w:val="en-NZ" w:eastAsia="en-US"/>
              </w:rPr>
              <w:t>1474</w:t>
            </w:r>
          </w:p>
        </w:tc>
      </w:tr>
      <w:tr w:rsidR="001171D0" w:rsidRPr="001F13F3" w14:paraId="0166FF73" w14:textId="77777777" w:rsidTr="001171D0">
        <w:tc>
          <w:tcPr>
            <w:tcW w:w="956" w:type="dxa"/>
            <w:hideMark/>
          </w:tcPr>
          <w:p w14:paraId="17264BFE" w14:textId="77777777" w:rsidR="001171D0" w:rsidRPr="001F13F3" w:rsidRDefault="001171D0" w:rsidP="00657ACB">
            <w:pPr>
              <w:pStyle w:val="TableText"/>
              <w:spacing w:before="40" w:after="40"/>
              <w:rPr>
                <w:b/>
                <w:bCs/>
                <w:lang w:val="en-NZ" w:eastAsia="en-US" w:bidi="hi-IN"/>
              </w:rPr>
            </w:pPr>
            <w:r w:rsidRPr="001F13F3">
              <w:rPr>
                <w:b/>
                <w:bCs/>
                <w:lang w:val="en-NZ" w:eastAsia="en-US"/>
              </w:rPr>
              <w:t>CDLk</w:t>
            </w:r>
          </w:p>
        </w:tc>
        <w:tc>
          <w:tcPr>
            <w:tcW w:w="836" w:type="dxa"/>
            <w:gridSpan w:val="2"/>
            <w:hideMark/>
          </w:tcPr>
          <w:p w14:paraId="333DFCE8" w14:textId="77777777" w:rsidR="001171D0" w:rsidRPr="001F13F3" w:rsidRDefault="001171D0" w:rsidP="00657ACB">
            <w:pPr>
              <w:pStyle w:val="TableText"/>
              <w:spacing w:before="40" w:after="40"/>
              <w:jc w:val="center"/>
              <w:rPr>
                <w:lang w:val="en-NZ" w:eastAsia="en-US" w:bidi="hi-IN"/>
              </w:rPr>
            </w:pPr>
            <w:r w:rsidRPr="001F13F3">
              <w:rPr>
                <w:lang w:val="en-NZ" w:eastAsia="en-US"/>
              </w:rPr>
              <w:t>17</w:t>
            </w:r>
          </w:p>
        </w:tc>
        <w:tc>
          <w:tcPr>
            <w:tcW w:w="840" w:type="dxa"/>
            <w:hideMark/>
          </w:tcPr>
          <w:p w14:paraId="6C1C1B82" w14:textId="77777777" w:rsidR="001171D0" w:rsidRPr="001F13F3" w:rsidRDefault="001171D0" w:rsidP="00657ACB">
            <w:pPr>
              <w:pStyle w:val="TableText"/>
              <w:spacing w:before="40" w:after="40"/>
              <w:jc w:val="center"/>
              <w:rPr>
                <w:lang w:val="en-NZ" w:eastAsia="en-US" w:bidi="hi-IN"/>
              </w:rPr>
            </w:pPr>
            <w:r w:rsidRPr="001F13F3">
              <w:rPr>
                <w:lang w:val="en-NZ" w:eastAsia="en-US"/>
              </w:rPr>
              <w:t>88</w:t>
            </w:r>
          </w:p>
        </w:tc>
        <w:tc>
          <w:tcPr>
            <w:tcW w:w="839" w:type="dxa"/>
            <w:gridSpan w:val="2"/>
            <w:hideMark/>
          </w:tcPr>
          <w:p w14:paraId="0D583228" w14:textId="77777777" w:rsidR="001171D0" w:rsidRPr="001F13F3" w:rsidRDefault="001171D0" w:rsidP="00657ACB">
            <w:pPr>
              <w:pStyle w:val="TableText"/>
              <w:spacing w:before="40" w:after="40"/>
              <w:jc w:val="center"/>
              <w:rPr>
                <w:lang w:val="en-NZ" w:eastAsia="en-US" w:bidi="hi-IN"/>
              </w:rPr>
            </w:pPr>
            <w:r w:rsidRPr="001F13F3">
              <w:rPr>
                <w:lang w:val="en-NZ" w:eastAsia="en-US"/>
              </w:rPr>
              <w:t>209</w:t>
            </w:r>
          </w:p>
        </w:tc>
        <w:tc>
          <w:tcPr>
            <w:tcW w:w="837" w:type="dxa"/>
            <w:hideMark/>
          </w:tcPr>
          <w:p w14:paraId="0B88D99D" w14:textId="77777777" w:rsidR="001171D0" w:rsidRPr="001F13F3" w:rsidRDefault="001171D0" w:rsidP="00657ACB">
            <w:pPr>
              <w:pStyle w:val="TableText"/>
              <w:spacing w:before="40" w:after="40"/>
              <w:jc w:val="center"/>
              <w:rPr>
                <w:lang w:val="en-NZ" w:eastAsia="en-US" w:bidi="hi-IN"/>
              </w:rPr>
            </w:pPr>
            <w:r w:rsidRPr="001F13F3">
              <w:rPr>
                <w:lang w:val="en-NZ" w:eastAsia="en-US"/>
              </w:rPr>
              <w:t>40</w:t>
            </w:r>
          </w:p>
        </w:tc>
        <w:tc>
          <w:tcPr>
            <w:tcW w:w="839" w:type="dxa"/>
            <w:hideMark/>
          </w:tcPr>
          <w:p w14:paraId="1C110E8A" w14:textId="77777777" w:rsidR="001171D0" w:rsidRPr="001F13F3" w:rsidRDefault="001171D0" w:rsidP="00657ACB">
            <w:pPr>
              <w:pStyle w:val="TableText"/>
              <w:spacing w:before="40" w:after="40"/>
              <w:jc w:val="center"/>
              <w:rPr>
                <w:lang w:val="en-NZ" w:eastAsia="en-US" w:bidi="hi-IN"/>
              </w:rPr>
            </w:pPr>
            <w:r w:rsidRPr="001F13F3">
              <w:rPr>
                <w:lang w:val="en-NZ" w:eastAsia="en-US"/>
              </w:rPr>
              <w:t>192</w:t>
            </w:r>
          </w:p>
        </w:tc>
        <w:tc>
          <w:tcPr>
            <w:tcW w:w="840" w:type="dxa"/>
            <w:hideMark/>
          </w:tcPr>
          <w:p w14:paraId="556787F1" w14:textId="77777777" w:rsidR="001171D0" w:rsidRPr="001F13F3" w:rsidRDefault="001171D0" w:rsidP="00657ACB">
            <w:pPr>
              <w:pStyle w:val="TableText"/>
              <w:spacing w:before="40" w:after="40"/>
              <w:jc w:val="center"/>
              <w:rPr>
                <w:lang w:val="en-NZ" w:eastAsia="en-US" w:bidi="hi-IN"/>
              </w:rPr>
            </w:pPr>
            <w:r w:rsidRPr="001F13F3">
              <w:rPr>
                <w:lang w:val="en-NZ" w:eastAsia="en-US"/>
              </w:rPr>
              <w:t>463</w:t>
            </w:r>
          </w:p>
        </w:tc>
        <w:tc>
          <w:tcPr>
            <w:tcW w:w="839" w:type="dxa"/>
            <w:hideMark/>
          </w:tcPr>
          <w:p w14:paraId="7FD71126" w14:textId="77777777" w:rsidR="001171D0" w:rsidRPr="001F13F3" w:rsidRDefault="001171D0" w:rsidP="00657ACB">
            <w:pPr>
              <w:pStyle w:val="TableText"/>
              <w:spacing w:before="40" w:after="40"/>
              <w:jc w:val="center"/>
              <w:rPr>
                <w:lang w:val="en-NZ" w:eastAsia="en-US" w:bidi="hi-IN"/>
              </w:rPr>
            </w:pPr>
            <w:r w:rsidRPr="001F13F3">
              <w:rPr>
                <w:lang w:val="en-NZ" w:eastAsia="en-US"/>
              </w:rPr>
              <w:t>111</w:t>
            </w:r>
          </w:p>
        </w:tc>
        <w:tc>
          <w:tcPr>
            <w:tcW w:w="840" w:type="dxa"/>
            <w:hideMark/>
          </w:tcPr>
          <w:p w14:paraId="78B9CE85" w14:textId="77777777" w:rsidR="001171D0" w:rsidRPr="001F13F3" w:rsidRDefault="001171D0" w:rsidP="00657ACB">
            <w:pPr>
              <w:pStyle w:val="TableText"/>
              <w:spacing w:before="40" w:after="40"/>
              <w:jc w:val="center"/>
              <w:rPr>
                <w:lang w:val="en-NZ" w:eastAsia="en-US" w:bidi="hi-IN"/>
              </w:rPr>
            </w:pPr>
            <w:r w:rsidRPr="001F13F3">
              <w:rPr>
                <w:lang w:val="en-NZ" w:eastAsia="en-US"/>
              </w:rPr>
              <w:t>521</w:t>
            </w:r>
          </w:p>
        </w:tc>
        <w:tc>
          <w:tcPr>
            <w:tcW w:w="840" w:type="dxa"/>
            <w:hideMark/>
          </w:tcPr>
          <w:p w14:paraId="0B34BDEE" w14:textId="77777777" w:rsidR="001171D0" w:rsidRPr="001F13F3" w:rsidRDefault="001171D0" w:rsidP="00657ACB">
            <w:pPr>
              <w:pStyle w:val="TableText"/>
              <w:spacing w:before="40" w:after="40"/>
              <w:jc w:val="center"/>
              <w:rPr>
                <w:lang w:val="en-NZ" w:eastAsia="en-US" w:bidi="hi-IN"/>
              </w:rPr>
            </w:pPr>
            <w:r w:rsidRPr="001F13F3">
              <w:rPr>
                <w:lang w:val="en-NZ" w:eastAsia="en-US"/>
              </w:rPr>
              <w:t>1257</w:t>
            </w:r>
          </w:p>
        </w:tc>
      </w:tr>
      <w:tr w:rsidR="001171D0" w:rsidRPr="001F13F3" w14:paraId="6CB27A48" w14:textId="77777777" w:rsidTr="001171D0">
        <w:tc>
          <w:tcPr>
            <w:tcW w:w="956" w:type="dxa"/>
            <w:hideMark/>
          </w:tcPr>
          <w:p w14:paraId="676283CA" w14:textId="77777777" w:rsidR="001171D0" w:rsidRPr="001F13F3" w:rsidRDefault="001171D0" w:rsidP="00657ACB">
            <w:pPr>
              <w:pStyle w:val="TableText"/>
              <w:spacing w:before="40" w:after="40"/>
              <w:rPr>
                <w:b/>
                <w:bCs/>
                <w:lang w:val="en-NZ" w:eastAsia="en-US" w:bidi="hi-IN"/>
              </w:rPr>
            </w:pPr>
            <w:r w:rsidRPr="001F13F3">
              <w:rPr>
                <w:b/>
                <w:bCs/>
                <w:lang w:val="en-NZ" w:eastAsia="en-US"/>
              </w:rPr>
              <w:lastRenderedPageBreak/>
              <w:t>WXL</w:t>
            </w:r>
          </w:p>
        </w:tc>
        <w:tc>
          <w:tcPr>
            <w:tcW w:w="836" w:type="dxa"/>
            <w:gridSpan w:val="2"/>
            <w:hideMark/>
          </w:tcPr>
          <w:p w14:paraId="4966D23F" w14:textId="77777777" w:rsidR="001171D0" w:rsidRPr="001F13F3" w:rsidRDefault="001171D0" w:rsidP="00657ACB">
            <w:pPr>
              <w:pStyle w:val="TableText"/>
              <w:spacing w:before="40" w:after="40"/>
              <w:jc w:val="center"/>
              <w:rPr>
                <w:lang w:val="en-NZ" w:eastAsia="en-US" w:bidi="hi-IN"/>
              </w:rPr>
            </w:pPr>
            <w:r w:rsidRPr="001F13F3">
              <w:rPr>
                <w:lang w:val="en-NZ" w:eastAsia="en-US"/>
              </w:rPr>
              <w:t>36</w:t>
            </w:r>
          </w:p>
        </w:tc>
        <w:tc>
          <w:tcPr>
            <w:tcW w:w="840" w:type="dxa"/>
            <w:hideMark/>
          </w:tcPr>
          <w:p w14:paraId="089C957B" w14:textId="77777777" w:rsidR="001171D0" w:rsidRPr="001F13F3" w:rsidRDefault="001171D0" w:rsidP="00657ACB">
            <w:pPr>
              <w:pStyle w:val="TableText"/>
              <w:spacing w:before="40" w:after="40"/>
              <w:jc w:val="center"/>
              <w:rPr>
                <w:lang w:val="en-NZ" w:eastAsia="en-US" w:bidi="hi-IN"/>
              </w:rPr>
            </w:pPr>
            <w:r w:rsidRPr="001F13F3">
              <w:rPr>
                <w:lang w:val="en-NZ" w:eastAsia="en-US"/>
              </w:rPr>
              <w:t>179</w:t>
            </w:r>
          </w:p>
        </w:tc>
        <w:tc>
          <w:tcPr>
            <w:tcW w:w="839" w:type="dxa"/>
            <w:gridSpan w:val="2"/>
            <w:hideMark/>
          </w:tcPr>
          <w:p w14:paraId="7A1F33F2" w14:textId="77777777" w:rsidR="001171D0" w:rsidRPr="001F13F3" w:rsidRDefault="001171D0" w:rsidP="00657ACB">
            <w:pPr>
              <w:pStyle w:val="TableText"/>
              <w:spacing w:before="40" w:after="40"/>
              <w:jc w:val="center"/>
              <w:rPr>
                <w:lang w:val="en-NZ" w:eastAsia="en-US" w:bidi="hi-IN"/>
              </w:rPr>
            </w:pPr>
            <w:r w:rsidRPr="001F13F3">
              <w:rPr>
                <w:lang w:val="en-NZ" w:eastAsia="en-US"/>
              </w:rPr>
              <w:t>427</w:t>
            </w:r>
          </w:p>
        </w:tc>
        <w:tc>
          <w:tcPr>
            <w:tcW w:w="837" w:type="dxa"/>
            <w:hideMark/>
          </w:tcPr>
          <w:p w14:paraId="1A18C7D2" w14:textId="77777777" w:rsidR="001171D0" w:rsidRPr="001F13F3" w:rsidRDefault="001171D0" w:rsidP="00657ACB">
            <w:pPr>
              <w:pStyle w:val="TableText"/>
              <w:spacing w:before="40" w:after="40"/>
              <w:jc w:val="center"/>
              <w:rPr>
                <w:lang w:val="en-NZ" w:eastAsia="en-US" w:bidi="hi-IN"/>
              </w:rPr>
            </w:pPr>
            <w:r w:rsidRPr="001F13F3">
              <w:rPr>
                <w:lang w:val="en-NZ" w:eastAsia="en-US"/>
              </w:rPr>
              <w:t>87</w:t>
            </w:r>
          </w:p>
        </w:tc>
        <w:tc>
          <w:tcPr>
            <w:tcW w:w="839" w:type="dxa"/>
            <w:hideMark/>
          </w:tcPr>
          <w:p w14:paraId="43B69556" w14:textId="77777777" w:rsidR="001171D0" w:rsidRPr="001F13F3" w:rsidRDefault="001171D0" w:rsidP="00657ACB">
            <w:pPr>
              <w:pStyle w:val="TableText"/>
              <w:spacing w:before="40" w:after="40"/>
              <w:jc w:val="center"/>
              <w:rPr>
                <w:lang w:val="en-NZ" w:eastAsia="en-US" w:bidi="hi-IN"/>
              </w:rPr>
            </w:pPr>
            <w:r w:rsidRPr="001F13F3">
              <w:rPr>
                <w:lang w:val="en-NZ" w:eastAsia="en-US"/>
              </w:rPr>
              <w:t>414</w:t>
            </w:r>
          </w:p>
        </w:tc>
        <w:tc>
          <w:tcPr>
            <w:tcW w:w="840" w:type="dxa"/>
            <w:hideMark/>
          </w:tcPr>
          <w:p w14:paraId="4E8BDA1C" w14:textId="77777777" w:rsidR="001171D0" w:rsidRPr="001F13F3" w:rsidRDefault="001171D0" w:rsidP="00657ACB">
            <w:pPr>
              <w:pStyle w:val="TableText"/>
              <w:spacing w:before="40" w:after="40"/>
              <w:jc w:val="center"/>
              <w:rPr>
                <w:lang w:val="en-NZ" w:eastAsia="en-US" w:bidi="hi-IN"/>
              </w:rPr>
            </w:pPr>
            <w:r w:rsidRPr="001F13F3">
              <w:rPr>
                <w:lang w:val="en-NZ" w:eastAsia="en-US"/>
              </w:rPr>
              <w:t>1008</w:t>
            </w:r>
          </w:p>
        </w:tc>
        <w:tc>
          <w:tcPr>
            <w:tcW w:w="839" w:type="dxa"/>
            <w:hideMark/>
          </w:tcPr>
          <w:p w14:paraId="663B4427" w14:textId="77777777" w:rsidR="001171D0" w:rsidRPr="001F13F3" w:rsidRDefault="001171D0" w:rsidP="00657ACB">
            <w:pPr>
              <w:pStyle w:val="TableText"/>
              <w:spacing w:before="40" w:after="40"/>
              <w:jc w:val="center"/>
              <w:rPr>
                <w:lang w:val="en-NZ" w:eastAsia="en-US" w:bidi="hi-IN"/>
              </w:rPr>
            </w:pPr>
            <w:r w:rsidRPr="001F13F3">
              <w:rPr>
                <w:lang w:val="en-NZ" w:eastAsia="en-US"/>
              </w:rPr>
              <w:t>259</w:t>
            </w:r>
          </w:p>
        </w:tc>
        <w:tc>
          <w:tcPr>
            <w:tcW w:w="840" w:type="dxa"/>
            <w:hideMark/>
          </w:tcPr>
          <w:p w14:paraId="0AB28029" w14:textId="77777777" w:rsidR="001171D0" w:rsidRPr="001F13F3" w:rsidRDefault="001171D0" w:rsidP="00657ACB">
            <w:pPr>
              <w:pStyle w:val="TableText"/>
              <w:spacing w:before="40" w:after="40"/>
              <w:jc w:val="center"/>
              <w:rPr>
                <w:lang w:val="en-NZ" w:eastAsia="en-US" w:bidi="hi-IN"/>
              </w:rPr>
            </w:pPr>
            <w:r w:rsidRPr="001F13F3">
              <w:rPr>
                <w:lang w:val="en-NZ" w:eastAsia="en-US"/>
              </w:rPr>
              <w:t>1211</w:t>
            </w:r>
          </w:p>
        </w:tc>
        <w:tc>
          <w:tcPr>
            <w:tcW w:w="840" w:type="dxa"/>
            <w:hideMark/>
          </w:tcPr>
          <w:p w14:paraId="7CEB5F43" w14:textId="77777777" w:rsidR="001171D0" w:rsidRPr="001F13F3" w:rsidRDefault="001171D0" w:rsidP="00657ACB">
            <w:pPr>
              <w:pStyle w:val="TableText"/>
              <w:spacing w:before="40" w:after="40"/>
              <w:jc w:val="center"/>
              <w:rPr>
                <w:lang w:val="en-NZ" w:eastAsia="en-US" w:bidi="hi-IN"/>
              </w:rPr>
            </w:pPr>
            <w:r w:rsidRPr="001F13F3">
              <w:rPr>
                <w:lang w:val="en-NZ" w:eastAsia="en-US"/>
              </w:rPr>
              <w:t>2792</w:t>
            </w:r>
          </w:p>
        </w:tc>
      </w:tr>
      <w:tr w:rsidR="001171D0" w:rsidRPr="001F13F3" w14:paraId="54CDEB95" w14:textId="77777777" w:rsidTr="001171D0">
        <w:tc>
          <w:tcPr>
            <w:tcW w:w="956" w:type="dxa"/>
            <w:hideMark/>
          </w:tcPr>
          <w:p w14:paraId="160A208F" w14:textId="77777777" w:rsidR="001171D0" w:rsidRPr="001F13F3" w:rsidRDefault="001171D0" w:rsidP="00657ACB">
            <w:pPr>
              <w:pStyle w:val="TableText"/>
              <w:spacing w:before="40" w:after="40"/>
              <w:rPr>
                <w:b/>
                <w:bCs/>
                <w:lang w:val="en-NZ" w:eastAsia="en-US" w:bidi="hi-IN"/>
              </w:rPr>
            </w:pPr>
            <w:r w:rsidRPr="001F13F3">
              <w:rPr>
                <w:b/>
                <w:bCs/>
                <w:lang w:val="en-NZ" w:eastAsia="en-US"/>
              </w:rPr>
              <w:t>WXH</w:t>
            </w:r>
          </w:p>
        </w:tc>
        <w:tc>
          <w:tcPr>
            <w:tcW w:w="836" w:type="dxa"/>
            <w:gridSpan w:val="2"/>
            <w:hideMark/>
          </w:tcPr>
          <w:p w14:paraId="1D8FBFEE" w14:textId="77777777" w:rsidR="001171D0" w:rsidRPr="001F13F3" w:rsidRDefault="001171D0" w:rsidP="00657ACB">
            <w:pPr>
              <w:pStyle w:val="TableText"/>
              <w:spacing w:before="40" w:after="40"/>
              <w:jc w:val="center"/>
              <w:rPr>
                <w:lang w:val="en-NZ" w:eastAsia="en-US" w:bidi="hi-IN"/>
              </w:rPr>
            </w:pPr>
            <w:r w:rsidRPr="001F13F3">
              <w:rPr>
                <w:lang w:val="en-NZ" w:eastAsia="en-US"/>
              </w:rPr>
              <w:t>39</w:t>
            </w:r>
          </w:p>
        </w:tc>
        <w:tc>
          <w:tcPr>
            <w:tcW w:w="840" w:type="dxa"/>
            <w:hideMark/>
          </w:tcPr>
          <w:p w14:paraId="2EC2C6DB" w14:textId="77777777" w:rsidR="001171D0" w:rsidRPr="001F13F3" w:rsidRDefault="001171D0" w:rsidP="00657ACB">
            <w:pPr>
              <w:pStyle w:val="TableText"/>
              <w:spacing w:before="40" w:after="40"/>
              <w:jc w:val="center"/>
              <w:rPr>
                <w:lang w:val="en-NZ" w:eastAsia="en-US" w:bidi="hi-IN"/>
              </w:rPr>
            </w:pPr>
            <w:r w:rsidRPr="001F13F3">
              <w:rPr>
                <w:lang w:val="en-NZ" w:eastAsia="en-US"/>
              </w:rPr>
              <w:t>198</w:t>
            </w:r>
          </w:p>
        </w:tc>
        <w:tc>
          <w:tcPr>
            <w:tcW w:w="839" w:type="dxa"/>
            <w:gridSpan w:val="2"/>
            <w:hideMark/>
          </w:tcPr>
          <w:p w14:paraId="01539EA6" w14:textId="77777777" w:rsidR="001171D0" w:rsidRPr="001F13F3" w:rsidRDefault="001171D0" w:rsidP="00657ACB">
            <w:pPr>
              <w:pStyle w:val="TableText"/>
              <w:spacing w:before="40" w:after="40"/>
              <w:jc w:val="center"/>
              <w:rPr>
                <w:lang w:val="en-NZ" w:eastAsia="en-US" w:bidi="hi-IN"/>
              </w:rPr>
            </w:pPr>
            <w:r w:rsidRPr="001F13F3">
              <w:rPr>
                <w:lang w:val="en-NZ" w:eastAsia="en-US"/>
              </w:rPr>
              <w:t>475</w:t>
            </w:r>
          </w:p>
        </w:tc>
        <w:tc>
          <w:tcPr>
            <w:tcW w:w="837" w:type="dxa"/>
            <w:hideMark/>
          </w:tcPr>
          <w:p w14:paraId="7FF9E6AC" w14:textId="77777777" w:rsidR="001171D0" w:rsidRPr="001F13F3" w:rsidRDefault="001171D0" w:rsidP="00657ACB">
            <w:pPr>
              <w:pStyle w:val="TableText"/>
              <w:spacing w:before="40" w:after="40"/>
              <w:jc w:val="center"/>
              <w:rPr>
                <w:lang w:val="en-NZ" w:eastAsia="en-US" w:bidi="hi-IN"/>
              </w:rPr>
            </w:pPr>
            <w:r w:rsidRPr="001F13F3">
              <w:rPr>
                <w:lang w:val="en-NZ" w:eastAsia="en-US"/>
              </w:rPr>
              <w:t>95</w:t>
            </w:r>
          </w:p>
        </w:tc>
        <w:tc>
          <w:tcPr>
            <w:tcW w:w="839" w:type="dxa"/>
            <w:hideMark/>
          </w:tcPr>
          <w:p w14:paraId="3113404F" w14:textId="77777777" w:rsidR="001171D0" w:rsidRPr="001F13F3" w:rsidRDefault="001171D0" w:rsidP="00657ACB">
            <w:pPr>
              <w:pStyle w:val="TableText"/>
              <w:spacing w:before="40" w:after="40"/>
              <w:jc w:val="center"/>
              <w:rPr>
                <w:lang w:val="en-NZ" w:eastAsia="en-US" w:bidi="hi-IN"/>
              </w:rPr>
            </w:pPr>
            <w:r w:rsidRPr="001F13F3">
              <w:rPr>
                <w:lang w:val="en-NZ" w:eastAsia="en-US"/>
              </w:rPr>
              <w:t>462</w:t>
            </w:r>
          </w:p>
        </w:tc>
        <w:tc>
          <w:tcPr>
            <w:tcW w:w="840" w:type="dxa"/>
            <w:hideMark/>
          </w:tcPr>
          <w:p w14:paraId="4A96E466" w14:textId="77777777" w:rsidR="001171D0" w:rsidRPr="001F13F3" w:rsidRDefault="001171D0" w:rsidP="00657ACB">
            <w:pPr>
              <w:pStyle w:val="TableText"/>
              <w:spacing w:before="40" w:after="40"/>
              <w:jc w:val="center"/>
              <w:rPr>
                <w:lang w:val="en-NZ" w:eastAsia="en-US" w:bidi="hi-IN"/>
              </w:rPr>
            </w:pPr>
            <w:r w:rsidRPr="001F13F3">
              <w:rPr>
                <w:lang w:val="en-NZ" w:eastAsia="en-US"/>
              </w:rPr>
              <w:t>1096</w:t>
            </w:r>
          </w:p>
        </w:tc>
        <w:tc>
          <w:tcPr>
            <w:tcW w:w="839" w:type="dxa"/>
            <w:hideMark/>
          </w:tcPr>
          <w:p w14:paraId="19C504C2" w14:textId="77777777" w:rsidR="001171D0" w:rsidRPr="001F13F3" w:rsidRDefault="001171D0" w:rsidP="00657ACB">
            <w:pPr>
              <w:pStyle w:val="TableText"/>
              <w:spacing w:before="40" w:after="40"/>
              <w:jc w:val="center"/>
              <w:rPr>
                <w:lang w:val="en-NZ" w:eastAsia="en-US" w:bidi="hi-IN"/>
              </w:rPr>
            </w:pPr>
            <w:r w:rsidRPr="001F13F3">
              <w:rPr>
                <w:lang w:val="en-NZ" w:eastAsia="en-US"/>
              </w:rPr>
              <w:t>287</w:t>
            </w:r>
          </w:p>
        </w:tc>
        <w:tc>
          <w:tcPr>
            <w:tcW w:w="840" w:type="dxa"/>
            <w:hideMark/>
          </w:tcPr>
          <w:p w14:paraId="365448F0" w14:textId="77777777" w:rsidR="001171D0" w:rsidRPr="001F13F3" w:rsidRDefault="001171D0" w:rsidP="00657ACB">
            <w:pPr>
              <w:pStyle w:val="TableText"/>
              <w:spacing w:before="40" w:after="40"/>
              <w:jc w:val="center"/>
              <w:rPr>
                <w:lang w:val="en-NZ" w:eastAsia="en-US" w:bidi="hi-IN"/>
              </w:rPr>
            </w:pPr>
            <w:r w:rsidRPr="001F13F3">
              <w:rPr>
                <w:lang w:val="en-NZ" w:eastAsia="en-US"/>
              </w:rPr>
              <w:t>1371</w:t>
            </w:r>
          </w:p>
        </w:tc>
        <w:tc>
          <w:tcPr>
            <w:tcW w:w="840" w:type="dxa"/>
            <w:hideMark/>
          </w:tcPr>
          <w:p w14:paraId="5A7EFD72" w14:textId="77777777" w:rsidR="001171D0" w:rsidRPr="001F13F3" w:rsidRDefault="001171D0" w:rsidP="00657ACB">
            <w:pPr>
              <w:pStyle w:val="TableText"/>
              <w:spacing w:before="40" w:after="40"/>
              <w:jc w:val="center"/>
              <w:rPr>
                <w:lang w:val="en-NZ" w:eastAsia="en-US" w:bidi="hi-IN"/>
              </w:rPr>
            </w:pPr>
            <w:r w:rsidRPr="001F13F3">
              <w:rPr>
                <w:lang w:val="en-NZ" w:eastAsia="en-US"/>
              </w:rPr>
              <w:t>3082</w:t>
            </w:r>
          </w:p>
        </w:tc>
      </w:tr>
      <w:tr w:rsidR="001171D0" w:rsidRPr="001F13F3" w14:paraId="210A6073" w14:textId="77777777" w:rsidTr="001171D0">
        <w:tc>
          <w:tcPr>
            <w:tcW w:w="956" w:type="dxa"/>
            <w:hideMark/>
          </w:tcPr>
          <w:p w14:paraId="7AD3A5EA" w14:textId="77777777" w:rsidR="001171D0" w:rsidRPr="001F13F3" w:rsidRDefault="001171D0" w:rsidP="00657ACB">
            <w:pPr>
              <w:pStyle w:val="TableText"/>
              <w:spacing w:before="40" w:after="40"/>
              <w:rPr>
                <w:b/>
                <w:bCs/>
                <w:lang w:val="en-NZ" w:eastAsia="en-US" w:bidi="hi-IN"/>
              </w:rPr>
            </w:pPr>
            <w:r w:rsidRPr="001F13F3">
              <w:rPr>
                <w:b/>
                <w:bCs/>
                <w:lang w:val="en-NZ" w:eastAsia="en-US"/>
              </w:rPr>
              <w:t>WWH</w:t>
            </w:r>
          </w:p>
        </w:tc>
        <w:tc>
          <w:tcPr>
            <w:tcW w:w="836" w:type="dxa"/>
            <w:gridSpan w:val="2"/>
            <w:hideMark/>
          </w:tcPr>
          <w:p w14:paraId="24910CB4" w14:textId="77777777" w:rsidR="001171D0" w:rsidRPr="001F13F3" w:rsidRDefault="001171D0" w:rsidP="00657ACB">
            <w:pPr>
              <w:pStyle w:val="TableText"/>
              <w:spacing w:before="40" w:after="40"/>
              <w:jc w:val="center"/>
              <w:rPr>
                <w:lang w:val="en-NZ" w:eastAsia="en-US" w:bidi="hi-IN"/>
              </w:rPr>
            </w:pPr>
            <w:r w:rsidRPr="001F13F3">
              <w:rPr>
                <w:lang w:val="en-NZ" w:eastAsia="en-US"/>
              </w:rPr>
              <w:t>57</w:t>
            </w:r>
          </w:p>
        </w:tc>
        <w:tc>
          <w:tcPr>
            <w:tcW w:w="840" w:type="dxa"/>
            <w:hideMark/>
          </w:tcPr>
          <w:p w14:paraId="6BA11142" w14:textId="77777777" w:rsidR="001171D0" w:rsidRPr="001F13F3" w:rsidRDefault="001171D0" w:rsidP="00657ACB">
            <w:pPr>
              <w:pStyle w:val="TableText"/>
              <w:spacing w:before="40" w:after="40"/>
              <w:jc w:val="center"/>
              <w:rPr>
                <w:lang w:val="en-NZ" w:eastAsia="en-US" w:bidi="hi-IN"/>
              </w:rPr>
            </w:pPr>
            <w:r w:rsidRPr="001F13F3">
              <w:rPr>
                <w:lang w:val="en-NZ" w:eastAsia="en-US"/>
              </w:rPr>
              <w:t>288</w:t>
            </w:r>
          </w:p>
        </w:tc>
        <w:tc>
          <w:tcPr>
            <w:tcW w:w="839" w:type="dxa"/>
            <w:gridSpan w:val="2"/>
            <w:hideMark/>
          </w:tcPr>
          <w:p w14:paraId="1D1FEFD7" w14:textId="77777777" w:rsidR="001171D0" w:rsidRPr="001F13F3" w:rsidRDefault="001171D0" w:rsidP="00657ACB">
            <w:pPr>
              <w:pStyle w:val="TableText"/>
              <w:spacing w:before="40" w:after="40"/>
              <w:jc w:val="center"/>
              <w:rPr>
                <w:lang w:val="en-NZ" w:eastAsia="en-US" w:bidi="hi-IN"/>
              </w:rPr>
            </w:pPr>
            <w:r w:rsidRPr="001F13F3">
              <w:rPr>
                <w:lang w:val="en-NZ" w:eastAsia="en-US"/>
              </w:rPr>
              <w:t>701</w:t>
            </w:r>
          </w:p>
        </w:tc>
        <w:tc>
          <w:tcPr>
            <w:tcW w:w="837" w:type="dxa"/>
            <w:hideMark/>
          </w:tcPr>
          <w:p w14:paraId="6D40BD15" w14:textId="77777777" w:rsidR="001171D0" w:rsidRPr="001F13F3" w:rsidRDefault="001171D0" w:rsidP="00657ACB">
            <w:pPr>
              <w:pStyle w:val="TableText"/>
              <w:spacing w:before="40" w:after="40"/>
              <w:jc w:val="center"/>
              <w:rPr>
                <w:lang w:val="en-NZ" w:eastAsia="en-US" w:bidi="hi-IN"/>
              </w:rPr>
            </w:pPr>
            <w:r w:rsidRPr="001F13F3">
              <w:rPr>
                <w:lang w:val="en-NZ" w:eastAsia="en-US"/>
              </w:rPr>
              <w:t>144</w:t>
            </w:r>
          </w:p>
        </w:tc>
        <w:tc>
          <w:tcPr>
            <w:tcW w:w="839" w:type="dxa"/>
            <w:hideMark/>
          </w:tcPr>
          <w:p w14:paraId="67A2AE63" w14:textId="77777777" w:rsidR="001171D0" w:rsidRPr="001F13F3" w:rsidRDefault="001171D0" w:rsidP="00657ACB">
            <w:pPr>
              <w:pStyle w:val="TableText"/>
              <w:spacing w:before="40" w:after="40"/>
              <w:jc w:val="center"/>
              <w:rPr>
                <w:lang w:val="en-NZ" w:eastAsia="en-US" w:bidi="hi-IN"/>
              </w:rPr>
            </w:pPr>
            <w:r w:rsidRPr="001F13F3">
              <w:rPr>
                <w:lang w:val="en-NZ" w:eastAsia="en-US"/>
              </w:rPr>
              <w:t>690</w:t>
            </w:r>
          </w:p>
        </w:tc>
        <w:tc>
          <w:tcPr>
            <w:tcW w:w="840" w:type="dxa"/>
            <w:hideMark/>
          </w:tcPr>
          <w:p w14:paraId="6708EB32" w14:textId="77777777" w:rsidR="001171D0" w:rsidRPr="001F13F3" w:rsidRDefault="001171D0" w:rsidP="00657ACB">
            <w:pPr>
              <w:pStyle w:val="TableText"/>
              <w:spacing w:before="40" w:after="40"/>
              <w:jc w:val="center"/>
              <w:rPr>
                <w:lang w:val="en-NZ" w:eastAsia="en-US" w:bidi="hi-IN"/>
              </w:rPr>
            </w:pPr>
            <w:r w:rsidRPr="001F13F3">
              <w:rPr>
                <w:lang w:val="en-NZ" w:eastAsia="en-US"/>
              </w:rPr>
              <w:t>1645</w:t>
            </w:r>
          </w:p>
        </w:tc>
        <w:tc>
          <w:tcPr>
            <w:tcW w:w="839" w:type="dxa"/>
            <w:hideMark/>
          </w:tcPr>
          <w:p w14:paraId="5C33D832" w14:textId="77777777" w:rsidR="001171D0" w:rsidRPr="001F13F3" w:rsidRDefault="001171D0" w:rsidP="00657ACB">
            <w:pPr>
              <w:pStyle w:val="TableText"/>
              <w:spacing w:before="40" w:after="40"/>
              <w:jc w:val="center"/>
              <w:rPr>
                <w:lang w:val="en-NZ" w:eastAsia="en-US" w:bidi="hi-IN"/>
              </w:rPr>
            </w:pPr>
            <w:r w:rsidRPr="001F13F3">
              <w:rPr>
                <w:lang w:val="en-NZ" w:eastAsia="en-US"/>
              </w:rPr>
              <w:t>444</w:t>
            </w:r>
          </w:p>
        </w:tc>
        <w:tc>
          <w:tcPr>
            <w:tcW w:w="840" w:type="dxa"/>
            <w:hideMark/>
          </w:tcPr>
          <w:p w14:paraId="4BF9D9BE" w14:textId="77777777" w:rsidR="001171D0" w:rsidRPr="001F13F3" w:rsidRDefault="001171D0" w:rsidP="00657ACB">
            <w:pPr>
              <w:pStyle w:val="TableText"/>
              <w:spacing w:before="40" w:after="40"/>
              <w:jc w:val="center"/>
              <w:rPr>
                <w:lang w:val="en-NZ" w:eastAsia="en-US" w:bidi="hi-IN"/>
              </w:rPr>
            </w:pPr>
            <w:r w:rsidRPr="001F13F3">
              <w:rPr>
                <w:lang w:val="en-NZ" w:eastAsia="en-US"/>
              </w:rPr>
              <w:t>2064</w:t>
            </w:r>
          </w:p>
        </w:tc>
        <w:tc>
          <w:tcPr>
            <w:tcW w:w="840" w:type="dxa"/>
            <w:hideMark/>
          </w:tcPr>
          <w:p w14:paraId="4B233739" w14:textId="77777777" w:rsidR="001171D0" w:rsidRPr="001F13F3" w:rsidRDefault="001171D0" w:rsidP="00657ACB">
            <w:pPr>
              <w:pStyle w:val="TableText"/>
              <w:spacing w:before="40" w:after="40"/>
              <w:jc w:val="center"/>
              <w:rPr>
                <w:lang w:val="en-NZ" w:eastAsia="en-US" w:bidi="hi-IN"/>
              </w:rPr>
            </w:pPr>
            <w:r w:rsidRPr="001F13F3">
              <w:rPr>
                <w:lang w:val="en-NZ" w:eastAsia="en-US"/>
              </w:rPr>
              <w:t>4401</w:t>
            </w:r>
          </w:p>
        </w:tc>
      </w:tr>
      <w:tr w:rsidR="001171D0" w:rsidRPr="001F13F3" w14:paraId="6ACE475A" w14:textId="77777777" w:rsidTr="001171D0">
        <w:tc>
          <w:tcPr>
            <w:tcW w:w="956" w:type="dxa"/>
            <w:hideMark/>
          </w:tcPr>
          <w:p w14:paraId="2622CDFB" w14:textId="77777777" w:rsidR="001171D0" w:rsidRPr="001F13F3" w:rsidRDefault="001171D0" w:rsidP="00657ACB">
            <w:pPr>
              <w:pStyle w:val="TableText"/>
              <w:spacing w:before="40" w:after="40"/>
              <w:rPr>
                <w:b/>
                <w:bCs/>
                <w:lang w:val="en-NZ" w:eastAsia="en-US" w:bidi="hi-IN"/>
              </w:rPr>
            </w:pPr>
            <w:r w:rsidRPr="001F13F3">
              <w:rPr>
                <w:b/>
                <w:bCs/>
                <w:lang w:val="en-NZ" w:eastAsia="en-US"/>
              </w:rPr>
              <w:t>WWL</w:t>
            </w:r>
          </w:p>
        </w:tc>
        <w:tc>
          <w:tcPr>
            <w:tcW w:w="836" w:type="dxa"/>
            <w:gridSpan w:val="2"/>
            <w:hideMark/>
          </w:tcPr>
          <w:p w14:paraId="2044E47C" w14:textId="77777777" w:rsidR="001171D0" w:rsidRPr="001F13F3" w:rsidRDefault="001171D0" w:rsidP="00657ACB">
            <w:pPr>
              <w:pStyle w:val="TableText"/>
              <w:spacing w:before="40" w:after="40"/>
              <w:jc w:val="center"/>
              <w:rPr>
                <w:lang w:val="en-NZ" w:eastAsia="en-US" w:bidi="hi-IN"/>
              </w:rPr>
            </w:pPr>
            <w:r w:rsidRPr="001F13F3">
              <w:rPr>
                <w:lang w:val="en-NZ" w:eastAsia="en-US"/>
              </w:rPr>
              <w:t>21</w:t>
            </w:r>
          </w:p>
        </w:tc>
        <w:tc>
          <w:tcPr>
            <w:tcW w:w="840" w:type="dxa"/>
            <w:hideMark/>
          </w:tcPr>
          <w:p w14:paraId="0DFE3BC5" w14:textId="77777777" w:rsidR="001171D0" w:rsidRPr="001F13F3" w:rsidRDefault="001171D0" w:rsidP="00657ACB">
            <w:pPr>
              <w:pStyle w:val="TableText"/>
              <w:spacing w:before="40" w:after="40"/>
              <w:jc w:val="center"/>
              <w:rPr>
                <w:lang w:val="en-NZ" w:eastAsia="en-US" w:bidi="hi-IN"/>
              </w:rPr>
            </w:pPr>
            <w:r w:rsidRPr="001F13F3">
              <w:rPr>
                <w:lang w:val="en-NZ" w:eastAsia="en-US"/>
              </w:rPr>
              <w:t>104</w:t>
            </w:r>
          </w:p>
        </w:tc>
        <w:tc>
          <w:tcPr>
            <w:tcW w:w="839" w:type="dxa"/>
            <w:gridSpan w:val="2"/>
            <w:hideMark/>
          </w:tcPr>
          <w:p w14:paraId="6D47BC6C" w14:textId="77777777" w:rsidR="001171D0" w:rsidRPr="001F13F3" w:rsidRDefault="001171D0" w:rsidP="00657ACB">
            <w:pPr>
              <w:pStyle w:val="TableText"/>
              <w:spacing w:before="40" w:after="40"/>
              <w:jc w:val="center"/>
              <w:rPr>
                <w:lang w:val="en-NZ" w:eastAsia="en-US" w:bidi="hi-IN"/>
              </w:rPr>
            </w:pPr>
            <w:r w:rsidRPr="001F13F3">
              <w:rPr>
                <w:lang w:val="en-NZ" w:eastAsia="en-US"/>
              </w:rPr>
              <w:t>252</w:t>
            </w:r>
          </w:p>
        </w:tc>
        <w:tc>
          <w:tcPr>
            <w:tcW w:w="837" w:type="dxa"/>
            <w:hideMark/>
          </w:tcPr>
          <w:p w14:paraId="74145C7D" w14:textId="77777777" w:rsidR="001171D0" w:rsidRPr="001F13F3" w:rsidRDefault="001171D0" w:rsidP="00657ACB">
            <w:pPr>
              <w:pStyle w:val="TableText"/>
              <w:spacing w:before="40" w:after="40"/>
              <w:jc w:val="center"/>
              <w:rPr>
                <w:lang w:val="en-NZ" w:eastAsia="en-US" w:bidi="hi-IN"/>
              </w:rPr>
            </w:pPr>
            <w:r w:rsidRPr="001F13F3">
              <w:rPr>
                <w:lang w:val="en-NZ" w:eastAsia="en-US"/>
              </w:rPr>
              <w:t>50</w:t>
            </w:r>
          </w:p>
        </w:tc>
        <w:tc>
          <w:tcPr>
            <w:tcW w:w="839" w:type="dxa"/>
            <w:hideMark/>
          </w:tcPr>
          <w:p w14:paraId="4C2D1EEC" w14:textId="77777777" w:rsidR="001171D0" w:rsidRPr="001F13F3" w:rsidRDefault="001171D0" w:rsidP="00657ACB">
            <w:pPr>
              <w:pStyle w:val="TableText"/>
              <w:spacing w:before="40" w:after="40"/>
              <w:jc w:val="center"/>
              <w:rPr>
                <w:lang w:val="en-NZ" w:eastAsia="en-US" w:bidi="hi-IN"/>
              </w:rPr>
            </w:pPr>
            <w:r w:rsidRPr="001F13F3">
              <w:rPr>
                <w:lang w:val="en-NZ" w:eastAsia="en-US"/>
              </w:rPr>
              <w:t>238</w:t>
            </w:r>
          </w:p>
        </w:tc>
        <w:tc>
          <w:tcPr>
            <w:tcW w:w="840" w:type="dxa"/>
            <w:hideMark/>
          </w:tcPr>
          <w:p w14:paraId="7A0812C8" w14:textId="77777777" w:rsidR="001171D0" w:rsidRPr="001F13F3" w:rsidRDefault="001171D0" w:rsidP="00657ACB">
            <w:pPr>
              <w:pStyle w:val="TableText"/>
              <w:spacing w:before="40" w:after="40"/>
              <w:jc w:val="center"/>
              <w:rPr>
                <w:lang w:val="en-NZ" w:eastAsia="en-US" w:bidi="hi-IN"/>
              </w:rPr>
            </w:pPr>
            <w:r w:rsidRPr="001F13F3">
              <w:rPr>
                <w:lang w:val="en-NZ" w:eastAsia="en-US"/>
              </w:rPr>
              <w:t>576</w:t>
            </w:r>
          </w:p>
        </w:tc>
        <w:tc>
          <w:tcPr>
            <w:tcW w:w="839" w:type="dxa"/>
            <w:hideMark/>
          </w:tcPr>
          <w:p w14:paraId="22C574B3" w14:textId="77777777" w:rsidR="001171D0" w:rsidRPr="001F13F3" w:rsidRDefault="001171D0" w:rsidP="00657ACB">
            <w:pPr>
              <w:pStyle w:val="TableText"/>
              <w:spacing w:before="40" w:after="40"/>
              <w:jc w:val="center"/>
              <w:rPr>
                <w:lang w:val="en-NZ" w:eastAsia="en-US" w:bidi="hi-IN"/>
              </w:rPr>
            </w:pPr>
            <w:r w:rsidRPr="001F13F3">
              <w:rPr>
                <w:lang w:val="en-NZ" w:eastAsia="en-US"/>
              </w:rPr>
              <w:t>143</w:t>
            </w:r>
          </w:p>
        </w:tc>
        <w:tc>
          <w:tcPr>
            <w:tcW w:w="840" w:type="dxa"/>
            <w:hideMark/>
          </w:tcPr>
          <w:p w14:paraId="0C1ABC31" w14:textId="77777777" w:rsidR="001171D0" w:rsidRPr="001F13F3" w:rsidRDefault="001171D0" w:rsidP="00657ACB">
            <w:pPr>
              <w:pStyle w:val="TableText"/>
              <w:spacing w:before="40" w:after="40"/>
              <w:jc w:val="center"/>
              <w:rPr>
                <w:lang w:val="en-NZ" w:eastAsia="en-US" w:bidi="hi-IN"/>
              </w:rPr>
            </w:pPr>
            <w:r w:rsidRPr="001F13F3">
              <w:rPr>
                <w:lang w:val="en-NZ" w:eastAsia="en-US"/>
              </w:rPr>
              <w:t>689</w:t>
            </w:r>
          </w:p>
        </w:tc>
        <w:tc>
          <w:tcPr>
            <w:tcW w:w="840" w:type="dxa"/>
            <w:hideMark/>
          </w:tcPr>
          <w:p w14:paraId="78B24A03" w14:textId="77777777" w:rsidR="001171D0" w:rsidRPr="001F13F3" w:rsidRDefault="001171D0" w:rsidP="00657ACB">
            <w:pPr>
              <w:pStyle w:val="TableText"/>
              <w:spacing w:before="40" w:after="40"/>
              <w:jc w:val="center"/>
              <w:rPr>
                <w:lang w:val="en-NZ" w:eastAsia="en-US" w:bidi="hi-IN"/>
              </w:rPr>
            </w:pPr>
            <w:r w:rsidRPr="001F13F3">
              <w:rPr>
                <w:lang w:val="en-NZ" w:eastAsia="en-US"/>
              </w:rPr>
              <w:t>1636</w:t>
            </w:r>
          </w:p>
        </w:tc>
      </w:tr>
      <w:tr w:rsidR="001171D0" w:rsidRPr="001F13F3" w14:paraId="3EA6A441" w14:textId="77777777" w:rsidTr="001171D0">
        <w:tc>
          <w:tcPr>
            <w:tcW w:w="956" w:type="dxa"/>
            <w:hideMark/>
          </w:tcPr>
          <w:p w14:paraId="0694480D" w14:textId="77777777" w:rsidR="001171D0" w:rsidRPr="001F13F3" w:rsidRDefault="001171D0" w:rsidP="00657ACB">
            <w:pPr>
              <w:pStyle w:val="TableText"/>
              <w:spacing w:before="40" w:after="40"/>
              <w:rPr>
                <w:b/>
                <w:bCs/>
                <w:lang w:val="en-NZ" w:eastAsia="en-US" w:bidi="hi-IN"/>
              </w:rPr>
            </w:pPr>
            <w:r w:rsidRPr="001F13F3">
              <w:rPr>
                <w:b/>
                <w:bCs/>
                <w:lang w:val="en-NZ" w:eastAsia="en-US"/>
              </w:rPr>
              <w:t>WWLk</w:t>
            </w:r>
          </w:p>
        </w:tc>
        <w:tc>
          <w:tcPr>
            <w:tcW w:w="836" w:type="dxa"/>
            <w:gridSpan w:val="2"/>
            <w:hideMark/>
          </w:tcPr>
          <w:p w14:paraId="019CD40C" w14:textId="77777777" w:rsidR="001171D0" w:rsidRPr="001F13F3" w:rsidRDefault="001171D0" w:rsidP="00657ACB">
            <w:pPr>
              <w:pStyle w:val="TableText"/>
              <w:spacing w:before="40" w:after="40"/>
              <w:jc w:val="center"/>
              <w:rPr>
                <w:lang w:val="en-NZ" w:eastAsia="en-US" w:bidi="hi-IN"/>
              </w:rPr>
            </w:pPr>
            <w:r w:rsidRPr="001F13F3">
              <w:rPr>
                <w:lang w:val="en-NZ" w:eastAsia="en-US"/>
              </w:rPr>
              <w:t>20</w:t>
            </w:r>
          </w:p>
        </w:tc>
        <w:tc>
          <w:tcPr>
            <w:tcW w:w="840" w:type="dxa"/>
            <w:hideMark/>
          </w:tcPr>
          <w:p w14:paraId="787F821C" w14:textId="77777777" w:rsidR="001171D0" w:rsidRPr="001F13F3" w:rsidRDefault="001171D0" w:rsidP="00657ACB">
            <w:pPr>
              <w:pStyle w:val="TableText"/>
              <w:spacing w:before="40" w:after="40"/>
              <w:jc w:val="center"/>
              <w:rPr>
                <w:lang w:val="en-NZ" w:eastAsia="en-US" w:bidi="hi-IN"/>
              </w:rPr>
            </w:pPr>
            <w:r w:rsidRPr="001F13F3">
              <w:rPr>
                <w:lang w:val="en-NZ" w:eastAsia="en-US"/>
              </w:rPr>
              <w:t>102</w:t>
            </w:r>
          </w:p>
        </w:tc>
        <w:tc>
          <w:tcPr>
            <w:tcW w:w="839" w:type="dxa"/>
            <w:gridSpan w:val="2"/>
            <w:hideMark/>
          </w:tcPr>
          <w:p w14:paraId="4EAF5D64" w14:textId="77777777" w:rsidR="001171D0" w:rsidRPr="001F13F3" w:rsidRDefault="001171D0" w:rsidP="00657ACB">
            <w:pPr>
              <w:pStyle w:val="TableText"/>
              <w:spacing w:before="40" w:after="40"/>
              <w:jc w:val="center"/>
              <w:rPr>
                <w:lang w:val="en-NZ" w:eastAsia="en-US" w:bidi="hi-IN"/>
              </w:rPr>
            </w:pPr>
            <w:r w:rsidRPr="001F13F3">
              <w:rPr>
                <w:lang w:val="en-NZ" w:eastAsia="en-US"/>
              </w:rPr>
              <w:t>247</w:t>
            </w:r>
          </w:p>
        </w:tc>
        <w:tc>
          <w:tcPr>
            <w:tcW w:w="837" w:type="dxa"/>
            <w:hideMark/>
          </w:tcPr>
          <w:p w14:paraId="389E9607" w14:textId="77777777" w:rsidR="001171D0" w:rsidRPr="001F13F3" w:rsidRDefault="001171D0" w:rsidP="00657ACB">
            <w:pPr>
              <w:pStyle w:val="TableText"/>
              <w:spacing w:before="40" w:after="40"/>
              <w:jc w:val="center"/>
              <w:rPr>
                <w:lang w:val="en-NZ" w:eastAsia="en-US" w:bidi="hi-IN"/>
              </w:rPr>
            </w:pPr>
            <w:r w:rsidRPr="001F13F3">
              <w:rPr>
                <w:lang w:val="en-NZ" w:eastAsia="en-US"/>
              </w:rPr>
              <w:t>47</w:t>
            </w:r>
          </w:p>
        </w:tc>
        <w:tc>
          <w:tcPr>
            <w:tcW w:w="839" w:type="dxa"/>
            <w:hideMark/>
          </w:tcPr>
          <w:p w14:paraId="36EE5612" w14:textId="77777777" w:rsidR="001171D0" w:rsidRPr="001F13F3" w:rsidRDefault="001171D0" w:rsidP="00657ACB">
            <w:pPr>
              <w:pStyle w:val="TableText"/>
              <w:spacing w:before="40" w:after="40"/>
              <w:jc w:val="center"/>
              <w:rPr>
                <w:lang w:val="en-NZ" w:eastAsia="en-US" w:bidi="hi-IN"/>
              </w:rPr>
            </w:pPr>
            <w:r w:rsidRPr="001F13F3">
              <w:rPr>
                <w:lang w:val="en-NZ" w:eastAsia="en-US"/>
              </w:rPr>
              <w:t>230</w:t>
            </w:r>
          </w:p>
        </w:tc>
        <w:tc>
          <w:tcPr>
            <w:tcW w:w="840" w:type="dxa"/>
            <w:hideMark/>
          </w:tcPr>
          <w:p w14:paraId="7068CDF9" w14:textId="77777777" w:rsidR="001171D0" w:rsidRPr="001F13F3" w:rsidRDefault="001171D0" w:rsidP="00657ACB">
            <w:pPr>
              <w:pStyle w:val="TableText"/>
              <w:spacing w:before="40" w:after="40"/>
              <w:jc w:val="center"/>
              <w:rPr>
                <w:lang w:val="en-NZ" w:eastAsia="en-US" w:bidi="hi-IN"/>
              </w:rPr>
            </w:pPr>
            <w:r w:rsidRPr="001F13F3">
              <w:rPr>
                <w:lang w:val="en-NZ" w:eastAsia="en-US"/>
              </w:rPr>
              <w:t>551</w:t>
            </w:r>
          </w:p>
        </w:tc>
        <w:tc>
          <w:tcPr>
            <w:tcW w:w="839" w:type="dxa"/>
            <w:hideMark/>
          </w:tcPr>
          <w:p w14:paraId="7FB2B6B3" w14:textId="77777777" w:rsidR="001171D0" w:rsidRPr="001F13F3" w:rsidRDefault="001171D0" w:rsidP="00657ACB">
            <w:pPr>
              <w:pStyle w:val="TableText"/>
              <w:spacing w:before="40" w:after="40"/>
              <w:jc w:val="center"/>
              <w:rPr>
                <w:lang w:val="en-NZ" w:eastAsia="en-US" w:bidi="hi-IN"/>
              </w:rPr>
            </w:pPr>
            <w:r w:rsidRPr="001F13F3">
              <w:rPr>
                <w:lang w:val="en-NZ" w:eastAsia="en-US"/>
              </w:rPr>
              <w:t>135</w:t>
            </w:r>
          </w:p>
        </w:tc>
        <w:tc>
          <w:tcPr>
            <w:tcW w:w="840" w:type="dxa"/>
            <w:hideMark/>
          </w:tcPr>
          <w:p w14:paraId="0617EAF1" w14:textId="77777777" w:rsidR="001171D0" w:rsidRPr="001F13F3" w:rsidRDefault="001171D0" w:rsidP="00657ACB">
            <w:pPr>
              <w:pStyle w:val="TableText"/>
              <w:spacing w:before="40" w:after="40"/>
              <w:jc w:val="center"/>
              <w:rPr>
                <w:lang w:val="en-NZ" w:eastAsia="en-US" w:bidi="hi-IN"/>
              </w:rPr>
            </w:pPr>
            <w:r w:rsidRPr="001F13F3">
              <w:rPr>
                <w:lang w:val="en-NZ" w:eastAsia="en-US"/>
              </w:rPr>
              <w:t>644</w:t>
            </w:r>
          </w:p>
        </w:tc>
        <w:tc>
          <w:tcPr>
            <w:tcW w:w="840" w:type="dxa"/>
            <w:hideMark/>
          </w:tcPr>
          <w:p w14:paraId="5E9CC10B" w14:textId="77777777" w:rsidR="001171D0" w:rsidRPr="001F13F3" w:rsidRDefault="001171D0" w:rsidP="00657ACB">
            <w:pPr>
              <w:pStyle w:val="TableText"/>
              <w:spacing w:before="40" w:after="40"/>
              <w:jc w:val="center"/>
              <w:rPr>
                <w:lang w:val="en-NZ" w:eastAsia="en-US" w:bidi="hi-IN"/>
              </w:rPr>
            </w:pPr>
            <w:r w:rsidRPr="001F13F3">
              <w:rPr>
                <w:lang w:val="en-NZ" w:eastAsia="en-US"/>
              </w:rPr>
              <w:t>1525</w:t>
            </w:r>
          </w:p>
        </w:tc>
      </w:tr>
      <w:tr w:rsidR="001171D0" w:rsidRPr="001F13F3" w14:paraId="0447759A" w14:textId="77777777" w:rsidTr="001171D0">
        <w:tc>
          <w:tcPr>
            <w:tcW w:w="956" w:type="dxa"/>
            <w:hideMark/>
          </w:tcPr>
          <w:p w14:paraId="19F8229D" w14:textId="77777777" w:rsidR="001171D0" w:rsidRPr="001F13F3" w:rsidRDefault="001171D0" w:rsidP="00657ACB">
            <w:pPr>
              <w:pStyle w:val="TableText"/>
              <w:spacing w:before="40" w:after="40"/>
              <w:rPr>
                <w:b/>
                <w:bCs/>
                <w:lang w:val="en-NZ" w:eastAsia="en-US" w:bidi="hi-IN"/>
              </w:rPr>
            </w:pPr>
            <w:r w:rsidRPr="001F13F3">
              <w:rPr>
                <w:b/>
                <w:bCs/>
                <w:lang w:val="en-NZ" w:eastAsia="en-US"/>
              </w:rPr>
              <w:t>WDL</w:t>
            </w:r>
          </w:p>
        </w:tc>
        <w:tc>
          <w:tcPr>
            <w:tcW w:w="836" w:type="dxa"/>
            <w:gridSpan w:val="2"/>
            <w:hideMark/>
          </w:tcPr>
          <w:p w14:paraId="5F54A212" w14:textId="77777777" w:rsidR="001171D0" w:rsidRPr="001F13F3" w:rsidRDefault="001171D0" w:rsidP="00657ACB">
            <w:pPr>
              <w:pStyle w:val="TableText"/>
              <w:spacing w:before="40" w:after="40"/>
              <w:jc w:val="center"/>
              <w:rPr>
                <w:lang w:val="en-NZ" w:eastAsia="en-US" w:bidi="hi-IN"/>
              </w:rPr>
            </w:pPr>
            <w:r w:rsidRPr="001F13F3">
              <w:rPr>
                <w:lang w:val="en-NZ" w:eastAsia="en-US"/>
              </w:rPr>
              <w:t>11</w:t>
            </w:r>
          </w:p>
        </w:tc>
        <w:tc>
          <w:tcPr>
            <w:tcW w:w="840" w:type="dxa"/>
            <w:hideMark/>
          </w:tcPr>
          <w:p w14:paraId="4CDA7FDA" w14:textId="77777777" w:rsidR="001171D0" w:rsidRPr="001F13F3" w:rsidRDefault="001171D0" w:rsidP="00657ACB">
            <w:pPr>
              <w:pStyle w:val="TableText"/>
              <w:spacing w:before="40" w:after="40"/>
              <w:jc w:val="center"/>
              <w:rPr>
                <w:lang w:val="en-NZ" w:eastAsia="en-US" w:bidi="hi-IN"/>
              </w:rPr>
            </w:pPr>
            <w:r w:rsidRPr="001F13F3">
              <w:rPr>
                <w:lang w:val="en-NZ" w:eastAsia="en-US"/>
              </w:rPr>
              <w:t>53</w:t>
            </w:r>
          </w:p>
        </w:tc>
        <w:tc>
          <w:tcPr>
            <w:tcW w:w="839" w:type="dxa"/>
            <w:gridSpan w:val="2"/>
            <w:hideMark/>
          </w:tcPr>
          <w:p w14:paraId="7567BCF0" w14:textId="77777777" w:rsidR="001171D0" w:rsidRPr="001F13F3" w:rsidRDefault="001171D0" w:rsidP="00657ACB">
            <w:pPr>
              <w:pStyle w:val="TableText"/>
              <w:spacing w:before="40" w:after="40"/>
              <w:jc w:val="center"/>
              <w:rPr>
                <w:lang w:val="en-NZ" w:eastAsia="en-US" w:bidi="hi-IN"/>
              </w:rPr>
            </w:pPr>
            <w:r w:rsidRPr="001F13F3">
              <w:rPr>
                <w:lang w:val="en-NZ" w:eastAsia="en-US"/>
              </w:rPr>
              <w:t>125</w:t>
            </w:r>
          </w:p>
        </w:tc>
        <w:tc>
          <w:tcPr>
            <w:tcW w:w="837" w:type="dxa"/>
            <w:hideMark/>
          </w:tcPr>
          <w:p w14:paraId="27C82EDC" w14:textId="77777777" w:rsidR="001171D0" w:rsidRPr="001F13F3" w:rsidRDefault="001171D0" w:rsidP="00657ACB">
            <w:pPr>
              <w:pStyle w:val="TableText"/>
              <w:spacing w:before="40" w:after="40"/>
              <w:jc w:val="center"/>
              <w:rPr>
                <w:lang w:val="en-NZ" w:eastAsia="en-US" w:bidi="hi-IN"/>
              </w:rPr>
            </w:pPr>
            <w:r w:rsidRPr="001F13F3">
              <w:rPr>
                <w:lang w:val="en-NZ" w:eastAsia="en-US"/>
              </w:rPr>
              <w:t>24</w:t>
            </w:r>
          </w:p>
        </w:tc>
        <w:tc>
          <w:tcPr>
            <w:tcW w:w="839" w:type="dxa"/>
            <w:hideMark/>
          </w:tcPr>
          <w:p w14:paraId="45BA8883" w14:textId="77777777" w:rsidR="001171D0" w:rsidRPr="001F13F3" w:rsidRDefault="001171D0" w:rsidP="00657ACB">
            <w:pPr>
              <w:pStyle w:val="TableText"/>
              <w:spacing w:before="40" w:after="40"/>
              <w:jc w:val="center"/>
              <w:rPr>
                <w:lang w:val="en-NZ" w:eastAsia="en-US" w:bidi="hi-IN"/>
              </w:rPr>
            </w:pPr>
            <w:r w:rsidRPr="001F13F3">
              <w:rPr>
                <w:lang w:val="en-NZ" w:eastAsia="en-US"/>
              </w:rPr>
              <w:t>117</w:t>
            </w:r>
          </w:p>
        </w:tc>
        <w:tc>
          <w:tcPr>
            <w:tcW w:w="840" w:type="dxa"/>
            <w:hideMark/>
          </w:tcPr>
          <w:p w14:paraId="2013D438" w14:textId="77777777" w:rsidR="001171D0" w:rsidRPr="001F13F3" w:rsidRDefault="001171D0" w:rsidP="00657ACB">
            <w:pPr>
              <w:pStyle w:val="TableText"/>
              <w:spacing w:before="40" w:after="40"/>
              <w:jc w:val="center"/>
              <w:rPr>
                <w:lang w:val="en-NZ" w:eastAsia="en-US" w:bidi="hi-IN"/>
              </w:rPr>
            </w:pPr>
            <w:r w:rsidRPr="001F13F3">
              <w:rPr>
                <w:lang w:val="en-NZ" w:eastAsia="en-US"/>
              </w:rPr>
              <w:t>279</w:t>
            </w:r>
          </w:p>
        </w:tc>
        <w:tc>
          <w:tcPr>
            <w:tcW w:w="839" w:type="dxa"/>
            <w:hideMark/>
          </w:tcPr>
          <w:p w14:paraId="33C13EE3" w14:textId="77777777" w:rsidR="001171D0" w:rsidRPr="001F13F3" w:rsidRDefault="001171D0" w:rsidP="00657ACB">
            <w:pPr>
              <w:pStyle w:val="TableText"/>
              <w:spacing w:before="40" w:after="40"/>
              <w:jc w:val="center"/>
              <w:rPr>
                <w:lang w:val="en-NZ" w:eastAsia="en-US" w:bidi="hi-IN"/>
              </w:rPr>
            </w:pPr>
            <w:r w:rsidRPr="001F13F3">
              <w:rPr>
                <w:lang w:val="en-NZ" w:eastAsia="en-US"/>
              </w:rPr>
              <w:t>68</w:t>
            </w:r>
          </w:p>
        </w:tc>
        <w:tc>
          <w:tcPr>
            <w:tcW w:w="840" w:type="dxa"/>
            <w:hideMark/>
          </w:tcPr>
          <w:p w14:paraId="17965C70" w14:textId="77777777" w:rsidR="001171D0" w:rsidRPr="001F13F3" w:rsidRDefault="001171D0" w:rsidP="00657ACB">
            <w:pPr>
              <w:pStyle w:val="TableText"/>
              <w:spacing w:before="40" w:after="40"/>
              <w:jc w:val="center"/>
              <w:rPr>
                <w:lang w:val="en-NZ" w:eastAsia="en-US" w:bidi="hi-IN"/>
              </w:rPr>
            </w:pPr>
            <w:r w:rsidRPr="001F13F3">
              <w:rPr>
                <w:lang w:val="en-NZ" w:eastAsia="en-US"/>
              </w:rPr>
              <w:t>317</w:t>
            </w:r>
          </w:p>
        </w:tc>
        <w:tc>
          <w:tcPr>
            <w:tcW w:w="840" w:type="dxa"/>
            <w:hideMark/>
          </w:tcPr>
          <w:p w14:paraId="7E650395" w14:textId="77777777" w:rsidR="001171D0" w:rsidRPr="001F13F3" w:rsidRDefault="001171D0" w:rsidP="00657ACB">
            <w:pPr>
              <w:pStyle w:val="TableText"/>
              <w:spacing w:before="40" w:after="40"/>
              <w:jc w:val="center"/>
              <w:rPr>
                <w:lang w:val="en-NZ" w:eastAsia="en-US" w:bidi="hi-IN"/>
              </w:rPr>
            </w:pPr>
            <w:r w:rsidRPr="001F13F3">
              <w:rPr>
                <w:lang w:val="en-NZ" w:eastAsia="en-US"/>
              </w:rPr>
              <w:t>751</w:t>
            </w:r>
          </w:p>
        </w:tc>
      </w:tr>
      <w:tr w:rsidR="001171D0" w:rsidRPr="001F13F3" w14:paraId="74C0BD27" w14:textId="77777777" w:rsidTr="001171D0">
        <w:tc>
          <w:tcPr>
            <w:tcW w:w="956" w:type="dxa"/>
            <w:hideMark/>
          </w:tcPr>
          <w:p w14:paraId="44773BD5" w14:textId="77777777" w:rsidR="001171D0" w:rsidRPr="001F13F3" w:rsidRDefault="001171D0" w:rsidP="00657ACB">
            <w:pPr>
              <w:pStyle w:val="TableText"/>
              <w:spacing w:before="40" w:after="40"/>
              <w:rPr>
                <w:b/>
                <w:bCs/>
                <w:lang w:val="en-NZ" w:eastAsia="en-US" w:bidi="hi-IN"/>
              </w:rPr>
            </w:pPr>
            <w:r w:rsidRPr="001F13F3">
              <w:rPr>
                <w:b/>
                <w:bCs/>
                <w:lang w:val="en-NZ" w:eastAsia="en-US"/>
              </w:rPr>
              <w:t>WDLk</w:t>
            </w:r>
          </w:p>
        </w:tc>
        <w:tc>
          <w:tcPr>
            <w:tcW w:w="836" w:type="dxa"/>
            <w:gridSpan w:val="2"/>
            <w:hideMark/>
          </w:tcPr>
          <w:p w14:paraId="2D3F3EA2" w14:textId="77777777" w:rsidR="001171D0" w:rsidRPr="001F13F3" w:rsidRDefault="001171D0" w:rsidP="00657ACB">
            <w:pPr>
              <w:pStyle w:val="TableText"/>
              <w:spacing w:before="40" w:after="40"/>
              <w:jc w:val="center"/>
              <w:rPr>
                <w:lang w:val="en-NZ" w:eastAsia="en-US" w:bidi="hi-IN"/>
              </w:rPr>
            </w:pPr>
            <w:r w:rsidRPr="001F13F3">
              <w:rPr>
                <w:lang w:val="en-NZ" w:eastAsia="en-US"/>
              </w:rPr>
              <w:t>24</w:t>
            </w:r>
          </w:p>
        </w:tc>
        <w:tc>
          <w:tcPr>
            <w:tcW w:w="840" w:type="dxa"/>
            <w:hideMark/>
          </w:tcPr>
          <w:p w14:paraId="6E52A809" w14:textId="77777777" w:rsidR="001171D0" w:rsidRPr="001F13F3" w:rsidRDefault="001171D0" w:rsidP="00657ACB">
            <w:pPr>
              <w:pStyle w:val="TableText"/>
              <w:spacing w:before="40" w:after="40"/>
              <w:jc w:val="center"/>
              <w:rPr>
                <w:lang w:val="en-NZ" w:eastAsia="en-US" w:bidi="hi-IN"/>
              </w:rPr>
            </w:pPr>
            <w:r w:rsidRPr="001F13F3">
              <w:rPr>
                <w:lang w:val="en-NZ" w:eastAsia="en-US"/>
              </w:rPr>
              <w:t>119</w:t>
            </w:r>
          </w:p>
        </w:tc>
        <w:tc>
          <w:tcPr>
            <w:tcW w:w="839" w:type="dxa"/>
            <w:gridSpan w:val="2"/>
            <w:hideMark/>
          </w:tcPr>
          <w:p w14:paraId="740563A4" w14:textId="77777777" w:rsidR="001171D0" w:rsidRPr="001F13F3" w:rsidRDefault="001171D0" w:rsidP="00657ACB">
            <w:pPr>
              <w:pStyle w:val="TableText"/>
              <w:spacing w:before="40" w:after="40"/>
              <w:jc w:val="center"/>
              <w:rPr>
                <w:lang w:val="en-NZ" w:eastAsia="en-US" w:bidi="hi-IN"/>
              </w:rPr>
            </w:pPr>
            <w:r w:rsidRPr="001F13F3">
              <w:rPr>
                <w:lang w:val="en-NZ" w:eastAsia="en-US"/>
              </w:rPr>
              <w:t>283</w:t>
            </w:r>
          </w:p>
        </w:tc>
        <w:tc>
          <w:tcPr>
            <w:tcW w:w="837" w:type="dxa"/>
            <w:hideMark/>
          </w:tcPr>
          <w:p w14:paraId="0DCC8CE2" w14:textId="77777777" w:rsidR="001171D0" w:rsidRPr="001F13F3" w:rsidRDefault="001171D0" w:rsidP="00657ACB">
            <w:pPr>
              <w:pStyle w:val="TableText"/>
              <w:spacing w:before="40" w:after="40"/>
              <w:jc w:val="center"/>
              <w:rPr>
                <w:lang w:val="en-NZ" w:eastAsia="en-US" w:bidi="hi-IN"/>
              </w:rPr>
            </w:pPr>
            <w:r w:rsidRPr="001F13F3">
              <w:rPr>
                <w:lang w:val="en-NZ" w:eastAsia="en-US"/>
              </w:rPr>
              <w:t>55</w:t>
            </w:r>
          </w:p>
        </w:tc>
        <w:tc>
          <w:tcPr>
            <w:tcW w:w="839" w:type="dxa"/>
            <w:hideMark/>
          </w:tcPr>
          <w:p w14:paraId="7B4568C7" w14:textId="77777777" w:rsidR="001171D0" w:rsidRPr="001F13F3" w:rsidRDefault="001171D0" w:rsidP="00657ACB">
            <w:pPr>
              <w:pStyle w:val="TableText"/>
              <w:spacing w:before="40" w:after="40"/>
              <w:jc w:val="center"/>
              <w:rPr>
                <w:lang w:val="en-NZ" w:eastAsia="en-US" w:bidi="hi-IN"/>
              </w:rPr>
            </w:pPr>
            <w:r w:rsidRPr="001F13F3">
              <w:rPr>
                <w:lang w:val="en-NZ" w:eastAsia="en-US"/>
              </w:rPr>
              <w:t>272</w:t>
            </w:r>
          </w:p>
        </w:tc>
        <w:tc>
          <w:tcPr>
            <w:tcW w:w="840" w:type="dxa"/>
            <w:hideMark/>
          </w:tcPr>
          <w:p w14:paraId="30D1A0B7" w14:textId="77777777" w:rsidR="001171D0" w:rsidRPr="001F13F3" w:rsidRDefault="001171D0" w:rsidP="00657ACB">
            <w:pPr>
              <w:pStyle w:val="TableText"/>
              <w:spacing w:before="40" w:after="40"/>
              <w:jc w:val="center"/>
              <w:rPr>
                <w:lang w:val="en-NZ" w:eastAsia="en-US" w:bidi="hi-IN"/>
              </w:rPr>
            </w:pPr>
            <w:r w:rsidRPr="001F13F3">
              <w:rPr>
                <w:lang w:val="en-NZ" w:eastAsia="en-US"/>
              </w:rPr>
              <w:t>648</w:t>
            </w:r>
          </w:p>
        </w:tc>
        <w:tc>
          <w:tcPr>
            <w:tcW w:w="839" w:type="dxa"/>
            <w:hideMark/>
          </w:tcPr>
          <w:p w14:paraId="750F6139" w14:textId="77777777" w:rsidR="001171D0" w:rsidRPr="001F13F3" w:rsidRDefault="001171D0" w:rsidP="00657ACB">
            <w:pPr>
              <w:pStyle w:val="TableText"/>
              <w:spacing w:before="40" w:after="40"/>
              <w:jc w:val="center"/>
              <w:rPr>
                <w:lang w:val="en-NZ" w:eastAsia="en-US" w:bidi="hi-IN"/>
              </w:rPr>
            </w:pPr>
            <w:r w:rsidRPr="001F13F3">
              <w:rPr>
                <w:lang w:val="en-NZ" w:eastAsia="en-US"/>
              </w:rPr>
              <w:t>161</w:t>
            </w:r>
          </w:p>
        </w:tc>
        <w:tc>
          <w:tcPr>
            <w:tcW w:w="840" w:type="dxa"/>
            <w:hideMark/>
          </w:tcPr>
          <w:p w14:paraId="6A11B241" w14:textId="77777777" w:rsidR="001171D0" w:rsidRPr="001F13F3" w:rsidRDefault="001171D0" w:rsidP="00657ACB">
            <w:pPr>
              <w:pStyle w:val="TableText"/>
              <w:spacing w:before="40" w:after="40"/>
              <w:jc w:val="center"/>
              <w:rPr>
                <w:lang w:val="en-NZ" w:eastAsia="en-US" w:bidi="hi-IN"/>
              </w:rPr>
            </w:pPr>
            <w:r w:rsidRPr="001F13F3">
              <w:rPr>
                <w:lang w:val="en-NZ" w:eastAsia="en-US"/>
              </w:rPr>
              <w:t>761</w:t>
            </w:r>
          </w:p>
        </w:tc>
        <w:tc>
          <w:tcPr>
            <w:tcW w:w="840" w:type="dxa"/>
            <w:hideMark/>
          </w:tcPr>
          <w:p w14:paraId="43F04CD7" w14:textId="77777777" w:rsidR="001171D0" w:rsidRPr="001F13F3" w:rsidRDefault="001171D0" w:rsidP="00657ACB">
            <w:pPr>
              <w:pStyle w:val="TableText"/>
              <w:spacing w:before="40" w:after="40"/>
              <w:jc w:val="center"/>
              <w:rPr>
                <w:lang w:val="en-NZ" w:eastAsia="en-US" w:bidi="hi-IN"/>
              </w:rPr>
            </w:pPr>
            <w:r w:rsidRPr="001F13F3">
              <w:rPr>
                <w:lang w:val="en-NZ" w:eastAsia="en-US"/>
              </w:rPr>
              <w:t>1822</w:t>
            </w:r>
          </w:p>
        </w:tc>
      </w:tr>
    </w:tbl>
    <w:p w14:paraId="21257456" w14:textId="77777777" w:rsidR="00FA19B8" w:rsidRPr="001F13F3" w:rsidRDefault="00FA19B8" w:rsidP="001171D0">
      <w:pPr>
        <w:pStyle w:val="BodyText"/>
        <w:spacing w:after="0"/>
        <w:rPr>
          <w:lang w:eastAsia="en-US" w:bidi="hi-IN"/>
        </w:rPr>
      </w:pPr>
    </w:p>
    <w:p w14:paraId="79D22A5B" w14:textId="419D71E6" w:rsidR="00FA19B8" w:rsidRPr="001F13F3" w:rsidRDefault="00FA19B8" w:rsidP="00914B6C">
      <w:pPr>
        <w:pStyle w:val="Tableheading"/>
        <w:rPr>
          <w:lang w:eastAsia="en-US" w:bidi="hi-IN"/>
        </w:rPr>
      </w:pPr>
      <w:bookmarkStart w:id="35" w:name="_Ref33717694"/>
      <w:bookmarkStart w:id="36" w:name="_Toc47357845"/>
      <w:r w:rsidRPr="001F13F3">
        <w:rPr>
          <w:lang w:eastAsia="en-US" w:bidi="hi-IN"/>
        </w:rPr>
        <w:t xml:space="preserve">Table </w:t>
      </w:r>
      <w:bookmarkEnd w:id="35"/>
      <w:r w:rsidRPr="001F13F3">
        <w:rPr>
          <w:lang w:eastAsia="en-US" w:bidi="hi-IN"/>
        </w:rPr>
        <w:t>2</w:t>
      </w:r>
      <w:r w:rsidR="00914B6C" w:rsidRPr="001F13F3">
        <w:rPr>
          <w:lang w:eastAsia="en-US" w:bidi="hi-IN"/>
        </w:rPr>
        <w:t>:</w:t>
      </w:r>
      <w:r w:rsidRPr="001F13F3">
        <w:rPr>
          <w:lang w:eastAsia="en-US" w:bidi="hi-IN"/>
        </w:rPr>
        <w:t xml:space="preserve"> </w:t>
      </w:r>
      <w:r w:rsidR="00914B6C" w:rsidRPr="001F13F3">
        <w:rPr>
          <w:lang w:eastAsia="en-US" w:bidi="hi-IN"/>
        </w:rPr>
        <w:tab/>
      </w:r>
      <w:r w:rsidRPr="001F13F3">
        <w:rPr>
          <w:lang w:eastAsia="en-US" w:bidi="hi-IN"/>
        </w:rPr>
        <w:t>Recalibrated DRP concentration targets (mg m</w:t>
      </w:r>
      <w:r w:rsidRPr="001F13F3">
        <w:rPr>
          <w:vertAlign w:val="superscript"/>
          <w:lang w:eastAsia="en-US" w:bidi="hi-IN"/>
        </w:rPr>
        <w:t>-3</w:t>
      </w:r>
      <w:r w:rsidRPr="001F13F3">
        <w:rPr>
          <w:lang w:eastAsia="en-US" w:bidi="hi-IN"/>
        </w:rPr>
        <w:t>) to achieve the chlorophyll thresholds of</w:t>
      </w:r>
      <w:r w:rsidR="001171D0" w:rsidRPr="001F13F3">
        <w:rPr>
          <w:lang w:eastAsia="en-US" w:bidi="hi-IN"/>
        </w:rPr>
        <w:t> </w:t>
      </w:r>
      <w:r w:rsidRPr="001F13F3">
        <w:rPr>
          <w:lang w:eastAsia="en-US" w:bidi="hi-IN"/>
        </w:rPr>
        <w:t>50, 120 and 200 mg m</w:t>
      </w:r>
      <w:r w:rsidRPr="001F13F3">
        <w:rPr>
          <w:vertAlign w:val="superscript"/>
          <w:lang w:eastAsia="en-US" w:bidi="hi-IN"/>
        </w:rPr>
        <w:t>-2</w:t>
      </w:r>
      <w:r w:rsidRPr="001F13F3">
        <w:rPr>
          <w:lang w:eastAsia="en-US" w:bidi="hi-IN"/>
        </w:rPr>
        <w:t xml:space="preserve"> for spatial exceedance criteria of 10%, 20% and 30%</w:t>
      </w:r>
      <w:bookmarkEnd w:id="36"/>
    </w:p>
    <w:tbl>
      <w:tblPr>
        <w:tblStyle w:val="TableGrid1"/>
        <w:tblW w:w="8506" w:type="dxa"/>
        <w:tblInd w:w="0"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ook w:val="04A0" w:firstRow="1" w:lastRow="0" w:firstColumn="1" w:lastColumn="0" w:noHBand="0" w:noVBand="1"/>
      </w:tblPr>
      <w:tblGrid>
        <w:gridCol w:w="993"/>
        <w:gridCol w:w="850"/>
        <w:gridCol w:w="720"/>
        <w:gridCol w:w="849"/>
        <w:gridCol w:w="849"/>
        <w:gridCol w:w="849"/>
        <w:gridCol w:w="849"/>
        <w:gridCol w:w="849"/>
        <w:gridCol w:w="849"/>
        <w:gridCol w:w="849"/>
      </w:tblGrid>
      <w:tr w:rsidR="001171D0" w:rsidRPr="001F13F3" w14:paraId="0529A304" w14:textId="77777777" w:rsidTr="001171D0">
        <w:tc>
          <w:tcPr>
            <w:tcW w:w="993" w:type="dxa"/>
            <w:vMerge w:val="restart"/>
            <w:shd w:val="clear" w:color="auto" w:fill="1C556C" w:themeFill="accent1"/>
            <w:vAlign w:val="bottom"/>
            <w:hideMark/>
          </w:tcPr>
          <w:p w14:paraId="0EAFE111" w14:textId="77777777" w:rsidR="00FA19B8" w:rsidRPr="001F13F3" w:rsidRDefault="00FA19B8" w:rsidP="001171D0">
            <w:pPr>
              <w:pStyle w:val="TableTextbold"/>
              <w:rPr>
                <w:color w:val="FFFFFF" w:themeColor="background1"/>
                <w:lang w:val="en-NZ" w:eastAsia="en-US" w:bidi="hi-IN"/>
              </w:rPr>
            </w:pPr>
            <w:r w:rsidRPr="001F13F3">
              <w:rPr>
                <w:color w:val="FFFFFF" w:themeColor="background1"/>
                <w:lang w:val="en-NZ" w:eastAsia="en-US" w:bidi="hi-IN"/>
              </w:rPr>
              <w:t>REC class</w:t>
            </w:r>
          </w:p>
        </w:tc>
        <w:tc>
          <w:tcPr>
            <w:tcW w:w="2419" w:type="dxa"/>
            <w:gridSpan w:val="3"/>
            <w:shd w:val="clear" w:color="auto" w:fill="1C556C" w:themeFill="accent1"/>
            <w:vAlign w:val="bottom"/>
            <w:hideMark/>
          </w:tcPr>
          <w:p w14:paraId="0C5A1455" w14:textId="77777777" w:rsidR="00FA19B8" w:rsidRPr="001F13F3" w:rsidRDefault="00FA19B8" w:rsidP="00657ACB">
            <w:pPr>
              <w:pStyle w:val="TableTextbold"/>
              <w:spacing w:after="0"/>
              <w:rPr>
                <w:color w:val="FFFFFF" w:themeColor="background1"/>
                <w:lang w:val="en-NZ" w:eastAsia="en-US" w:bidi="hi-IN"/>
              </w:rPr>
            </w:pPr>
            <w:r w:rsidRPr="001F13F3">
              <w:rPr>
                <w:color w:val="FFFFFF" w:themeColor="background1"/>
                <w:lang w:val="en-NZ" w:eastAsia="en-US" w:bidi="hi-IN"/>
              </w:rPr>
              <w:t>10% Spatial exceedance</w:t>
            </w:r>
          </w:p>
        </w:tc>
        <w:tc>
          <w:tcPr>
            <w:tcW w:w="2547" w:type="dxa"/>
            <w:gridSpan w:val="3"/>
            <w:shd w:val="clear" w:color="auto" w:fill="1C556C" w:themeFill="accent1"/>
            <w:vAlign w:val="bottom"/>
            <w:hideMark/>
          </w:tcPr>
          <w:p w14:paraId="76CABB78" w14:textId="77777777" w:rsidR="00FA19B8" w:rsidRPr="001F13F3" w:rsidRDefault="00FA19B8" w:rsidP="00657ACB">
            <w:pPr>
              <w:pStyle w:val="TableTextbold"/>
              <w:spacing w:after="0"/>
              <w:rPr>
                <w:color w:val="FFFFFF" w:themeColor="background1"/>
                <w:lang w:val="en-NZ" w:eastAsia="en-US" w:bidi="hi-IN"/>
              </w:rPr>
            </w:pPr>
            <w:r w:rsidRPr="001F13F3">
              <w:rPr>
                <w:color w:val="FFFFFF" w:themeColor="background1"/>
                <w:lang w:val="en-NZ" w:eastAsia="en-US" w:bidi="hi-IN"/>
              </w:rPr>
              <w:t>20% Spatial exceedance</w:t>
            </w:r>
          </w:p>
        </w:tc>
        <w:tc>
          <w:tcPr>
            <w:tcW w:w="2547" w:type="dxa"/>
            <w:gridSpan w:val="3"/>
            <w:shd w:val="clear" w:color="auto" w:fill="1C556C" w:themeFill="accent1"/>
            <w:vAlign w:val="bottom"/>
            <w:hideMark/>
          </w:tcPr>
          <w:p w14:paraId="5A86EC71" w14:textId="77777777" w:rsidR="00FA19B8" w:rsidRPr="001F13F3" w:rsidRDefault="00FA19B8" w:rsidP="00657ACB">
            <w:pPr>
              <w:pStyle w:val="TableTextbold"/>
              <w:spacing w:after="0"/>
              <w:rPr>
                <w:color w:val="FFFFFF" w:themeColor="background1"/>
                <w:lang w:val="en-NZ" w:eastAsia="en-US" w:bidi="hi-IN"/>
              </w:rPr>
            </w:pPr>
            <w:r w:rsidRPr="001F13F3">
              <w:rPr>
                <w:color w:val="FFFFFF" w:themeColor="background1"/>
                <w:lang w:val="en-NZ" w:eastAsia="en-US" w:bidi="hi-IN"/>
              </w:rPr>
              <w:t>30% Spatial exceedance</w:t>
            </w:r>
          </w:p>
        </w:tc>
      </w:tr>
      <w:tr w:rsidR="001171D0" w:rsidRPr="001F13F3" w14:paraId="3BC64FBD" w14:textId="77777777" w:rsidTr="00657ACB">
        <w:tc>
          <w:tcPr>
            <w:tcW w:w="993" w:type="dxa"/>
            <w:vMerge/>
            <w:shd w:val="clear" w:color="auto" w:fill="1C556C" w:themeFill="accent1"/>
            <w:vAlign w:val="bottom"/>
            <w:hideMark/>
          </w:tcPr>
          <w:p w14:paraId="295F7C83" w14:textId="77777777" w:rsidR="00FA19B8" w:rsidRPr="001F13F3" w:rsidRDefault="00FA19B8" w:rsidP="001171D0">
            <w:pPr>
              <w:pStyle w:val="TableTextbold"/>
              <w:rPr>
                <w:color w:val="FFFFFF" w:themeColor="background1"/>
                <w:lang w:val="en-NZ" w:eastAsia="en-US" w:bidi="hi-IN"/>
              </w:rPr>
            </w:pPr>
          </w:p>
        </w:tc>
        <w:tc>
          <w:tcPr>
            <w:tcW w:w="850" w:type="dxa"/>
            <w:shd w:val="clear" w:color="auto" w:fill="1C556C" w:themeFill="accent1"/>
            <w:vAlign w:val="bottom"/>
            <w:hideMark/>
          </w:tcPr>
          <w:p w14:paraId="4F387FEF" w14:textId="77777777" w:rsidR="00FA19B8" w:rsidRPr="001F13F3" w:rsidRDefault="00FA19B8" w:rsidP="00657ACB">
            <w:pPr>
              <w:pStyle w:val="TableTextbold"/>
              <w:spacing w:before="20"/>
              <w:jc w:val="center"/>
              <w:rPr>
                <w:color w:val="FFFFFF" w:themeColor="background1"/>
                <w:lang w:val="en-NZ" w:eastAsia="en-US" w:bidi="hi-IN"/>
              </w:rPr>
            </w:pPr>
            <w:r w:rsidRPr="001F13F3">
              <w:rPr>
                <w:color w:val="FFFFFF" w:themeColor="background1"/>
                <w:lang w:val="en-NZ" w:eastAsia="en-US"/>
              </w:rPr>
              <w:t>T50</w:t>
            </w:r>
          </w:p>
        </w:tc>
        <w:tc>
          <w:tcPr>
            <w:tcW w:w="720" w:type="dxa"/>
            <w:shd w:val="clear" w:color="auto" w:fill="1C556C" w:themeFill="accent1"/>
            <w:vAlign w:val="bottom"/>
            <w:hideMark/>
          </w:tcPr>
          <w:p w14:paraId="4590E591" w14:textId="77777777" w:rsidR="00FA19B8" w:rsidRPr="001F13F3" w:rsidRDefault="00FA19B8" w:rsidP="00657ACB">
            <w:pPr>
              <w:pStyle w:val="TableTextbold"/>
              <w:spacing w:before="20"/>
              <w:jc w:val="center"/>
              <w:rPr>
                <w:color w:val="FFFFFF" w:themeColor="background1"/>
                <w:lang w:val="en-NZ" w:eastAsia="en-US" w:bidi="hi-IN"/>
              </w:rPr>
            </w:pPr>
            <w:r w:rsidRPr="001F13F3">
              <w:rPr>
                <w:color w:val="FFFFFF" w:themeColor="background1"/>
                <w:lang w:val="en-NZ" w:eastAsia="en-US"/>
              </w:rPr>
              <w:t>T120</w:t>
            </w:r>
          </w:p>
        </w:tc>
        <w:tc>
          <w:tcPr>
            <w:tcW w:w="849" w:type="dxa"/>
            <w:shd w:val="clear" w:color="auto" w:fill="1C556C" w:themeFill="accent1"/>
            <w:vAlign w:val="bottom"/>
            <w:hideMark/>
          </w:tcPr>
          <w:p w14:paraId="62C3BB2C" w14:textId="77777777" w:rsidR="00FA19B8" w:rsidRPr="001F13F3" w:rsidRDefault="00FA19B8" w:rsidP="00657ACB">
            <w:pPr>
              <w:pStyle w:val="TableTextbold"/>
              <w:spacing w:before="20"/>
              <w:jc w:val="center"/>
              <w:rPr>
                <w:color w:val="FFFFFF" w:themeColor="background1"/>
                <w:lang w:val="en-NZ" w:eastAsia="en-US" w:bidi="hi-IN"/>
              </w:rPr>
            </w:pPr>
            <w:r w:rsidRPr="001F13F3">
              <w:rPr>
                <w:color w:val="FFFFFF" w:themeColor="background1"/>
                <w:lang w:val="en-NZ" w:eastAsia="en-US"/>
              </w:rPr>
              <w:t>T200</w:t>
            </w:r>
          </w:p>
        </w:tc>
        <w:tc>
          <w:tcPr>
            <w:tcW w:w="849" w:type="dxa"/>
            <w:shd w:val="clear" w:color="auto" w:fill="1C556C" w:themeFill="accent1"/>
            <w:vAlign w:val="bottom"/>
            <w:hideMark/>
          </w:tcPr>
          <w:p w14:paraId="09F07C7A" w14:textId="77777777" w:rsidR="00FA19B8" w:rsidRPr="001F13F3" w:rsidRDefault="00FA19B8" w:rsidP="00657ACB">
            <w:pPr>
              <w:pStyle w:val="TableTextbold"/>
              <w:spacing w:before="20"/>
              <w:jc w:val="center"/>
              <w:rPr>
                <w:color w:val="FFFFFF" w:themeColor="background1"/>
                <w:lang w:val="en-NZ" w:eastAsia="en-US" w:bidi="hi-IN"/>
              </w:rPr>
            </w:pPr>
            <w:r w:rsidRPr="001F13F3">
              <w:rPr>
                <w:color w:val="FFFFFF" w:themeColor="background1"/>
                <w:lang w:val="en-NZ" w:eastAsia="en-US"/>
              </w:rPr>
              <w:t>T50</w:t>
            </w:r>
          </w:p>
        </w:tc>
        <w:tc>
          <w:tcPr>
            <w:tcW w:w="849" w:type="dxa"/>
            <w:shd w:val="clear" w:color="auto" w:fill="1C556C" w:themeFill="accent1"/>
            <w:vAlign w:val="bottom"/>
            <w:hideMark/>
          </w:tcPr>
          <w:p w14:paraId="69E4009A" w14:textId="77777777" w:rsidR="00FA19B8" w:rsidRPr="001F13F3" w:rsidRDefault="00FA19B8" w:rsidP="00657ACB">
            <w:pPr>
              <w:pStyle w:val="TableTextbold"/>
              <w:spacing w:before="20"/>
              <w:jc w:val="center"/>
              <w:rPr>
                <w:color w:val="FFFFFF" w:themeColor="background1"/>
                <w:lang w:val="en-NZ" w:eastAsia="en-US" w:bidi="hi-IN"/>
              </w:rPr>
            </w:pPr>
            <w:r w:rsidRPr="001F13F3">
              <w:rPr>
                <w:color w:val="FFFFFF" w:themeColor="background1"/>
                <w:lang w:val="en-NZ" w:eastAsia="en-US"/>
              </w:rPr>
              <w:t>T120</w:t>
            </w:r>
          </w:p>
        </w:tc>
        <w:tc>
          <w:tcPr>
            <w:tcW w:w="849" w:type="dxa"/>
            <w:shd w:val="clear" w:color="auto" w:fill="1C556C" w:themeFill="accent1"/>
            <w:vAlign w:val="bottom"/>
            <w:hideMark/>
          </w:tcPr>
          <w:p w14:paraId="6AF7FB32" w14:textId="77777777" w:rsidR="00FA19B8" w:rsidRPr="001F13F3" w:rsidRDefault="00FA19B8" w:rsidP="00657ACB">
            <w:pPr>
              <w:pStyle w:val="TableTextbold"/>
              <w:spacing w:before="20"/>
              <w:jc w:val="center"/>
              <w:rPr>
                <w:color w:val="FFFFFF" w:themeColor="background1"/>
                <w:lang w:val="en-NZ" w:eastAsia="en-US" w:bidi="hi-IN"/>
              </w:rPr>
            </w:pPr>
            <w:r w:rsidRPr="001F13F3">
              <w:rPr>
                <w:color w:val="FFFFFF" w:themeColor="background1"/>
                <w:lang w:val="en-NZ" w:eastAsia="en-US"/>
              </w:rPr>
              <w:t>T200</w:t>
            </w:r>
          </w:p>
        </w:tc>
        <w:tc>
          <w:tcPr>
            <w:tcW w:w="849" w:type="dxa"/>
            <w:shd w:val="clear" w:color="auto" w:fill="1C556C" w:themeFill="accent1"/>
            <w:vAlign w:val="bottom"/>
            <w:hideMark/>
          </w:tcPr>
          <w:p w14:paraId="466C928B" w14:textId="77777777" w:rsidR="00FA19B8" w:rsidRPr="001F13F3" w:rsidRDefault="00FA19B8" w:rsidP="00657ACB">
            <w:pPr>
              <w:pStyle w:val="TableTextbold"/>
              <w:spacing w:before="20"/>
              <w:jc w:val="center"/>
              <w:rPr>
                <w:color w:val="FFFFFF" w:themeColor="background1"/>
                <w:lang w:val="en-NZ" w:eastAsia="en-US" w:bidi="hi-IN"/>
              </w:rPr>
            </w:pPr>
            <w:r w:rsidRPr="001F13F3">
              <w:rPr>
                <w:color w:val="FFFFFF" w:themeColor="background1"/>
                <w:lang w:val="en-NZ" w:eastAsia="en-US"/>
              </w:rPr>
              <w:t>T50</w:t>
            </w:r>
          </w:p>
        </w:tc>
        <w:tc>
          <w:tcPr>
            <w:tcW w:w="849" w:type="dxa"/>
            <w:shd w:val="clear" w:color="auto" w:fill="1C556C" w:themeFill="accent1"/>
            <w:vAlign w:val="bottom"/>
            <w:hideMark/>
          </w:tcPr>
          <w:p w14:paraId="4E3EAF31" w14:textId="77777777" w:rsidR="00FA19B8" w:rsidRPr="001F13F3" w:rsidRDefault="00FA19B8" w:rsidP="00657ACB">
            <w:pPr>
              <w:pStyle w:val="TableTextbold"/>
              <w:spacing w:before="20"/>
              <w:jc w:val="center"/>
              <w:rPr>
                <w:color w:val="FFFFFF" w:themeColor="background1"/>
                <w:lang w:val="en-NZ" w:eastAsia="en-US" w:bidi="hi-IN"/>
              </w:rPr>
            </w:pPr>
            <w:r w:rsidRPr="001F13F3">
              <w:rPr>
                <w:color w:val="FFFFFF" w:themeColor="background1"/>
                <w:lang w:val="en-NZ" w:eastAsia="en-US"/>
              </w:rPr>
              <w:t>T120</w:t>
            </w:r>
          </w:p>
        </w:tc>
        <w:tc>
          <w:tcPr>
            <w:tcW w:w="849" w:type="dxa"/>
            <w:shd w:val="clear" w:color="auto" w:fill="1C556C" w:themeFill="accent1"/>
            <w:vAlign w:val="bottom"/>
            <w:hideMark/>
          </w:tcPr>
          <w:p w14:paraId="55D3DCB1" w14:textId="77777777" w:rsidR="00FA19B8" w:rsidRPr="001F13F3" w:rsidRDefault="00FA19B8" w:rsidP="00657ACB">
            <w:pPr>
              <w:pStyle w:val="TableTextbold"/>
              <w:spacing w:before="20"/>
              <w:jc w:val="center"/>
              <w:rPr>
                <w:color w:val="FFFFFF" w:themeColor="background1"/>
                <w:lang w:val="en-NZ" w:eastAsia="en-US" w:bidi="hi-IN"/>
              </w:rPr>
            </w:pPr>
            <w:r w:rsidRPr="001F13F3">
              <w:rPr>
                <w:color w:val="FFFFFF" w:themeColor="background1"/>
                <w:lang w:val="en-NZ" w:eastAsia="en-US"/>
              </w:rPr>
              <w:t>T200</w:t>
            </w:r>
          </w:p>
        </w:tc>
      </w:tr>
      <w:tr w:rsidR="00FA19B8" w:rsidRPr="001F13F3" w14:paraId="26FC9024" w14:textId="77777777" w:rsidTr="00657ACB">
        <w:tc>
          <w:tcPr>
            <w:tcW w:w="993" w:type="dxa"/>
            <w:hideMark/>
          </w:tcPr>
          <w:p w14:paraId="41EDCC8B" w14:textId="77777777" w:rsidR="00FA19B8" w:rsidRPr="001F13F3" w:rsidRDefault="00FA19B8" w:rsidP="00657ACB">
            <w:pPr>
              <w:pStyle w:val="TableText"/>
              <w:spacing w:before="40" w:after="40"/>
              <w:rPr>
                <w:b/>
                <w:bCs/>
                <w:lang w:val="en-NZ" w:eastAsia="en-US" w:bidi="hi-IN"/>
              </w:rPr>
            </w:pPr>
            <w:r w:rsidRPr="001F13F3">
              <w:rPr>
                <w:b/>
                <w:bCs/>
                <w:lang w:val="en-NZ" w:eastAsia="en-US"/>
              </w:rPr>
              <w:t>CXGM</w:t>
            </w:r>
          </w:p>
        </w:tc>
        <w:tc>
          <w:tcPr>
            <w:tcW w:w="850" w:type="dxa"/>
            <w:hideMark/>
          </w:tcPr>
          <w:p w14:paraId="5ACCC3E4" w14:textId="77777777" w:rsidR="00FA19B8" w:rsidRPr="001F13F3" w:rsidRDefault="00FA19B8" w:rsidP="00657ACB">
            <w:pPr>
              <w:pStyle w:val="TableText"/>
              <w:spacing w:before="40" w:after="40"/>
              <w:jc w:val="center"/>
              <w:rPr>
                <w:lang w:val="en-NZ" w:eastAsia="en-US" w:bidi="hi-IN"/>
              </w:rPr>
            </w:pPr>
            <w:r w:rsidRPr="001F13F3">
              <w:rPr>
                <w:lang w:val="en-NZ" w:eastAsia="en-US"/>
              </w:rPr>
              <w:t>0.4</w:t>
            </w:r>
          </w:p>
        </w:tc>
        <w:tc>
          <w:tcPr>
            <w:tcW w:w="720" w:type="dxa"/>
            <w:hideMark/>
          </w:tcPr>
          <w:p w14:paraId="7C83E208" w14:textId="77777777" w:rsidR="00FA19B8" w:rsidRPr="001F13F3" w:rsidRDefault="00FA19B8" w:rsidP="00657ACB">
            <w:pPr>
              <w:pStyle w:val="TableText"/>
              <w:spacing w:before="40" w:after="40"/>
              <w:jc w:val="center"/>
              <w:rPr>
                <w:lang w:val="en-NZ" w:eastAsia="en-US" w:bidi="hi-IN"/>
              </w:rPr>
            </w:pPr>
            <w:r w:rsidRPr="001F13F3">
              <w:rPr>
                <w:lang w:val="en-NZ" w:eastAsia="en-US"/>
              </w:rPr>
              <w:t>13.4</w:t>
            </w:r>
          </w:p>
        </w:tc>
        <w:tc>
          <w:tcPr>
            <w:tcW w:w="849" w:type="dxa"/>
            <w:hideMark/>
          </w:tcPr>
          <w:p w14:paraId="6A8355CC" w14:textId="77777777" w:rsidR="00FA19B8" w:rsidRPr="001F13F3" w:rsidRDefault="00FA19B8" w:rsidP="00657ACB">
            <w:pPr>
              <w:pStyle w:val="TableText"/>
              <w:spacing w:before="40" w:after="40"/>
              <w:jc w:val="center"/>
              <w:rPr>
                <w:lang w:val="en-NZ" w:eastAsia="en-US" w:bidi="hi-IN"/>
              </w:rPr>
            </w:pPr>
            <w:r w:rsidRPr="001F13F3">
              <w:rPr>
                <w:lang w:val="en-NZ" w:eastAsia="en-US"/>
              </w:rPr>
              <w:t>54.0</w:t>
            </w:r>
          </w:p>
        </w:tc>
        <w:tc>
          <w:tcPr>
            <w:tcW w:w="849" w:type="dxa"/>
            <w:hideMark/>
          </w:tcPr>
          <w:p w14:paraId="4B7F6DEB" w14:textId="77777777" w:rsidR="00FA19B8" w:rsidRPr="001F13F3" w:rsidRDefault="00FA19B8" w:rsidP="00657ACB">
            <w:pPr>
              <w:pStyle w:val="TableText"/>
              <w:spacing w:before="40" w:after="40"/>
              <w:jc w:val="center"/>
              <w:rPr>
                <w:lang w:val="en-NZ" w:eastAsia="en-US" w:bidi="hi-IN"/>
              </w:rPr>
            </w:pPr>
            <w:r w:rsidRPr="001F13F3">
              <w:rPr>
                <w:lang w:val="en-NZ" w:eastAsia="en-US"/>
              </w:rPr>
              <w:t>1.5</w:t>
            </w:r>
          </w:p>
        </w:tc>
        <w:tc>
          <w:tcPr>
            <w:tcW w:w="849" w:type="dxa"/>
            <w:hideMark/>
          </w:tcPr>
          <w:p w14:paraId="72A89F0B" w14:textId="77777777" w:rsidR="00FA19B8" w:rsidRPr="001F13F3" w:rsidRDefault="00FA19B8" w:rsidP="00657ACB">
            <w:pPr>
              <w:pStyle w:val="TableText"/>
              <w:spacing w:before="40" w:after="40"/>
              <w:jc w:val="center"/>
              <w:rPr>
                <w:lang w:val="en-NZ" w:eastAsia="en-US" w:bidi="hi-IN"/>
              </w:rPr>
            </w:pPr>
            <w:r w:rsidRPr="001F13F3">
              <w:rPr>
                <w:lang w:val="en-NZ" w:eastAsia="en-US"/>
              </w:rPr>
              <w:t>55.9</w:t>
            </w:r>
          </w:p>
        </w:tc>
        <w:tc>
          <w:tcPr>
            <w:tcW w:w="849" w:type="dxa"/>
            <w:hideMark/>
          </w:tcPr>
          <w:p w14:paraId="49EA5E8F" w14:textId="77777777" w:rsidR="00FA19B8" w:rsidRPr="001F13F3" w:rsidRDefault="00FA19B8" w:rsidP="00657ACB">
            <w:pPr>
              <w:pStyle w:val="TableText"/>
              <w:spacing w:before="40" w:after="40"/>
              <w:jc w:val="center"/>
              <w:rPr>
                <w:lang w:val="en-NZ" w:eastAsia="en-US" w:bidi="hi-IN"/>
              </w:rPr>
            </w:pPr>
            <w:r w:rsidRPr="001F13F3">
              <w:rPr>
                <w:lang w:val="en-NZ" w:eastAsia="en-US"/>
              </w:rPr>
              <w:t>160.3</w:t>
            </w:r>
          </w:p>
        </w:tc>
        <w:tc>
          <w:tcPr>
            <w:tcW w:w="849" w:type="dxa"/>
            <w:hideMark/>
          </w:tcPr>
          <w:p w14:paraId="3F3A6DA4" w14:textId="77777777" w:rsidR="00FA19B8" w:rsidRPr="001F13F3" w:rsidRDefault="00FA19B8" w:rsidP="00657ACB">
            <w:pPr>
              <w:pStyle w:val="TableText"/>
              <w:spacing w:before="40" w:after="40"/>
              <w:jc w:val="center"/>
              <w:rPr>
                <w:lang w:val="en-NZ" w:eastAsia="en-US" w:bidi="hi-IN"/>
              </w:rPr>
            </w:pPr>
            <w:r w:rsidRPr="001F13F3">
              <w:rPr>
                <w:lang w:val="en-NZ" w:eastAsia="en-US"/>
              </w:rPr>
              <w:t>104.5</w:t>
            </w:r>
          </w:p>
        </w:tc>
        <w:tc>
          <w:tcPr>
            <w:tcW w:w="849" w:type="dxa"/>
            <w:hideMark/>
          </w:tcPr>
          <w:p w14:paraId="3F8CF050" w14:textId="77777777" w:rsidR="00FA19B8" w:rsidRPr="001F13F3" w:rsidRDefault="00FA19B8" w:rsidP="00657ACB">
            <w:pPr>
              <w:pStyle w:val="TableText"/>
              <w:spacing w:before="40" w:after="40"/>
              <w:jc w:val="center"/>
              <w:rPr>
                <w:lang w:val="en-NZ" w:eastAsia="en-US" w:bidi="hi-IN"/>
              </w:rPr>
            </w:pPr>
            <w:r w:rsidRPr="001F13F3">
              <w:rPr>
                <w:lang w:val="en-NZ" w:eastAsia="en-US"/>
              </w:rPr>
              <w:t>300.7</w:t>
            </w:r>
          </w:p>
        </w:tc>
        <w:tc>
          <w:tcPr>
            <w:tcW w:w="849" w:type="dxa"/>
            <w:hideMark/>
          </w:tcPr>
          <w:p w14:paraId="1CEC0EB2" w14:textId="77777777" w:rsidR="00FA19B8" w:rsidRPr="001F13F3" w:rsidRDefault="00FA19B8" w:rsidP="00657ACB">
            <w:pPr>
              <w:pStyle w:val="TableText"/>
              <w:spacing w:before="40" w:after="40"/>
              <w:jc w:val="center"/>
              <w:rPr>
                <w:lang w:val="en-NZ" w:eastAsia="en-US" w:bidi="hi-IN"/>
              </w:rPr>
            </w:pPr>
            <w:r w:rsidRPr="001F13F3">
              <w:rPr>
                <w:lang w:val="en-NZ" w:eastAsia="en-US"/>
              </w:rPr>
              <w:t>366.7</w:t>
            </w:r>
          </w:p>
        </w:tc>
      </w:tr>
      <w:tr w:rsidR="00FA19B8" w:rsidRPr="001F13F3" w14:paraId="1BBEB56A" w14:textId="77777777" w:rsidTr="00657ACB">
        <w:tc>
          <w:tcPr>
            <w:tcW w:w="993" w:type="dxa"/>
            <w:hideMark/>
          </w:tcPr>
          <w:p w14:paraId="423287E0" w14:textId="77777777" w:rsidR="00FA19B8" w:rsidRPr="001F13F3" w:rsidRDefault="00FA19B8" w:rsidP="00657ACB">
            <w:pPr>
              <w:pStyle w:val="TableText"/>
              <w:spacing w:before="40" w:after="40"/>
              <w:rPr>
                <w:b/>
                <w:bCs/>
                <w:lang w:val="en-NZ" w:eastAsia="en-US" w:bidi="hi-IN"/>
              </w:rPr>
            </w:pPr>
            <w:r w:rsidRPr="001F13F3">
              <w:rPr>
                <w:b/>
                <w:bCs/>
                <w:lang w:val="en-NZ" w:eastAsia="en-US"/>
              </w:rPr>
              <w:t>CXM</w:t>
            </w:r>
          </w:p>
        </w:tc>
        <w:tc>
          <w:tcPr>
            <w:tcW w:w="850" w:type="dxa"/>
            <w:hideMark/>
          </w:tcPr>
          <w:p w14:paraId="27936B34" w14:textId="77777777" w:rsidR="00FA19B8" w:rsidRPr="001F13F3" w:rsidRDefault="00FA19B8" w:rsidP="00657ACB">
            <w:pPr>
              <w:pStyle w:val="TableText"/>
              <w:spacing w:before="40" w:after="40"/>
              <w:jc w:val="center"/>
              <w:rPr>
                <w:lang w:val="en-NZ" w:eastAsia="en-US" w:bidi="hi-IN"/>
              </w:rPr>
            </w:pPr>
            <w:r w:rsidRPr="001F13F3">
              <w:rPr>
                <w:lang w:val="en-NZ" w:eastAsia="en-US"/>
              </w:rPr>
              <w:t>1.6</w:t>
            </w:r>
          </w:p>
        </w:tc>
        <w:tc>
          <w:tcPr>
            <w:tcW w:w="720" w:type="dxa"/>
            <w:hideMark/>
          </w:tcPr>
          <w:p w14:paraId="5D8460A9" w14:textId="77777777" w:rsidR="00FA19B8" w:rsidRPr="001F13F3" w:rsidRDefault="00FA19B8" w:rsidP="00657ACB">
            <w:pPr>
              <w:pStyle w:val="TableText"/>
              <w:spacing w:before="40" w:after="40"/>
              <w:jc w:val="center"/>
              <w:rPr>
                <w:lang w:val="en-NZ" w:eastAsia="en-US" w:bidi="hi-IN"/>
              </w:rPr>
            </w:pPr>
            <w:r w:rsidRPr="001F13F3">
              <w:rPr>
                <w:lang w:val="en-NZ" w:eastAsia="en-US"/>
              </w:rPr>
              <w:t>34.5</w:t>
            </w:r>
          </w:p>
        </w:tc>
        <w:tc>
          <w:tcPr>
            <w:tcW w:w="849" w:type="dxa"/>
            <w:hideMark/>
          </w:tcPr>
          <w:p w14:paraId="3A7D2B21" w14:textId="77777777" w:rsidR="00FA19B8" w:rsidRPr="001F13F3" w:rsidRDefault="00FA19B8" w:rsidP="00657ACB">
            <w:pPr>
              <w:pStyle w:val="TableText"/>
              <w:spacing w:before="40" w:after="40"/>
              <w:jc w:val="center"/>
              <w:rPr>
                <w:lang w:val="en-NZ" w:eastAsia="en-US" w:bidi="hi-IN"/>
              </w:rPr>
            </w:pPr>
            <w:r w:rsidRPr="001F13F3">
              <w:rPr>
                <w:lang w:val="en-NZ" w:eastAsia="en-US"/>
              </w:rPr>
              <w:t>109.1</w:t>
            </w:r>
          </w:p>
        </w:tc>
        <w:tc>
          <w:tcPr>
            <w:tcW w:w="849" w:type="dxa"/>
            <w:hideMark/>
          </w:tcPr>
          <w:p w14:paraId="6EEC74DD" w14:textId="77777777" w:rsidR="00FA19B8" w:rsidRPr="001F13F3" w:rsidRDefault="00FA19B8" w:rsidP="00657ACB">
            <w:pPr>
              <w:pStyle w:val="TableText"/>
              <w:spacing w:before="40" w:after="40"/>
              <w:jc w:val="center"/>
              <w:rPr>
                <w:lang w:val="en-NZ" w:eastAsia="en-US" w:bidi="hi-IN"/>
              </w:rPr>
            </w:pPr>
            <w:r w:rsidRPr="001F13F3">
              <w:rPr>
                <w:lang w:val="en-NZ" w:eastAsia="en-US"/>
              </w:rPr>
              <w:t>8.0</w:t>
            </w:r>
          </w:p>
        </w:tc>
        <w:tc>
          <w:tcPr>
            <w:tcW w:w="849" w:type="dxa"/>
            <w:hideMark/>
          </w:tcPr>
          <w:p w14:paraId="004C475D" w14:textId="77777777" w:rsidR="00FA19B8" w:rsidRPr="001F13F3" w:rsidRDefault="00FA19B8" w:rsidP="00657ACB">
            <w:pPr>
              <w:pStyle w:val="TableText"/>
              <w:spacing w:before="40" w:after="40"/>
              <w:jc w:val="center"/>
              <w:rPr>
                <w:lang w:val="en-NZ" w:eastAsia="en-US" w:bidi="hi-IN"/>
              </w:rPr>
            </w:pPr>
            <w:r w:rsidRPr="001F13F3">
              <w:rPr>
                <w:lang w:val="en-NZ" w:eastAsia="en-US"/>
              </w:rPr>
              <w:t>114.2</w:t>
            </w:r>
          </w:p>
        </w:tc>
        <w:tc>
          <w:tcPr>
            <w:tcW w:w="849" w:type="dxa"/>
            <w:hideMark/>
          </w:tcPr>
          <w:p w14:paraId="095A5EAE" w14:textId="77777777" w:rsidR="00FA19B8" w:rsidRPr="001F13F3" w:rsidRDefault="00FA19B8" w:rsidP="00657ACB">
            <w:pPr>
              <w:pStyle w:val="TableText"/>
              <w:spacing w:before="40" w:after="40"/>
              <w:jc w:val="center"/>
              <w:rPr>
                <w:lang w:val="en-NZ" w:eastAsia="en-US" w:bidi="hi-IN"/>
              </w:rPr>
            </w:pPr>
            <w:r w:rsidRPr="001F13F3">
              <w:rPr>
                <w:lang w:val="en-NZ" w:eastAsia="en-US"/>
              </w:rPr>
              <w:t>288.1</w:t>
            </w:r>
          </w:p>
        </w:tc>
        <w:tc>
          <w:tcPr>
            <w:tcW w:w="849" w:type="dxa"/>
            <w:hideMark/>
          </w:tcPr>
          <w:p w14:paraId="6AEEECE9" w14:textId="77777777" w:rsidR="00FA19B8" w:rsidRPr="001F13F3" w:rsidRDefault="00FA19B8" w:rsidP="00657ACB">
            <w:pPr>
              <w:pStyle w:val="TableText"/>
              <w:spacing w:before="40" w:after="40"/>
              <w:jc w:val="center"/>
              <w:rPr>
                <w:lang w:val="en-NZ" w:eastAsia="en-US" w:bidi="hi-IN"/>
              </w:rPr>
            </w:pPr>
            <w:r w:rsidRPr="001F13F3">
              <w:rPr>
                <w:lang w:val="en-NZ" w:eastAsia="en-US"/>
              </w:rPr>
              <w:t>206.5</w:t>
            </w:r>
          </w:p>
        </w:tc>
        <w:tc>
          <w:tcPr>
            <w:tcW w:w="849" w:type="dxa"/>
            <w:hideMark/>
          </w:tcPr>
          <w:p w14:paraId="6B039B99" w14:textId="77777777" w:rsidR="00FA19B8" w:rsidRPr="001F13F3" w:rsidRDefault="00FA19B8" w:rsidP="00657ACB">
            <w:pPr>
              <w:pStyle w:val="TableText"/>
              <w:spacing w:before="40" w:after="40"/>
              <w:jc w:val="center"/>
              <w:rPr>
                <w:lang w:val="en-NZ" w:eastAsia="en-US" w:bidi="hi-IN"/>
              </w:rPr>
            </w:pPr>
            <w:r w:rsidRPr="001F13F3">
              <w:rPr>
                <w:lang w:val="en-NZ" w:eastAsia="en-US"/>
              </w:rPr>
              <w:t>336.4</w:t>
            </w:r>
          </w:p>
        </w:tc>
        <w:tc>
          <w:tcPr>
            <w:tcW w:w="849" w:type="dxa"/>
            <w:hideMark/>
          </w:tcPr>
          <w:p w14:paraId="04751BF8" w14:textId="77777777" w:rsidR="00FA19B8" w:rsidRPr="001F13F3" w:rsidRDefault="00FA19B8" w:rsidP="00657ACB">
            <w:pPr>
              <w:pStyle w:val="TableText"/>
              <w:spacing w:before="40" w:after="40"/>
              <w:jc w:val="center"/>
              <w:rPr>
                <w:lang w:val="en-NZ" w:eastAsia="en-US" w:bidi="hi-IN"/>
              </w:rPr>
            </w:pPr>
            <w:r w:rsidRPr="001F13F3">
              <w:rPr>
                <w:lang w:val="en-NZ" w:eastAsia="en-US"/>
              </w:rPr>
              <w:t>373.0</w:t>
            </w:r>
          </w:p>
        </w:tc>
      </w:tr>
      <w:tr w:rsidR="00FA19B8" w:rsidRPr="001F13F3" w14:paraId="443DBBDE" w14:textId="77777777" w:rsidTr="00657ACB">
        <w:tc>
          <w:tcPr>
            <w:tcW w:w="993" w:type="dxa"/>
            <w:hideMark/>
          </w:tcPr>
          <w:p w14:paraId="7E425F72" w14:textId="77777777" w:rsidR="00FA19B8" w:rsidRPr="001F13F3" w:rsidRDefault="00FA19B8" w:rsidP="00657ACB">
            <w:pPr>
              <w:pStyle w:val="TableText"/>
              <w:spacing w:before="40" w:after="40"/>
              <w:rPr>
                <w:b/>
                <w:bCs/>
                <w:lang w:val="en-NZ" w:eastAsia="en-US" w:bidi="hi-IN"/>
              </w:rPr>
            </w:pPr>
            <w:r w:rsidRPr="001F13F3">
              <w:rPr>
                <w:b/>
                <w:bCs/>
                <w:lang w:val="en-NZ" w:eastAsia="en-US"/>
              </w:rPr>
              <w:t>CXH</w:t>
            </w:r>
          </w:p>
        </w:tc>
        <w:tc>
          <w:tcPr>
            <w:tcW w:w="850" w:type="dxa"/>
            <w:hideMark/>
          </w:tcPr>
          <w:p w14:paraId="5354A49B" w14:textId="77777777" w:rsidR="00FA19B8" w:rsidRPr="001F13F3" w:rsidRDefault="00FA19B8" w:rsidP="00657ACB">
            <w:pPr>
              <w:pStyle w:val="TableText"/>
              <w:spacing w:before="40" w:after="40"/>
              <w:jc w:val="center"/>
              <w:rPr>
                <w:lang w:val="en-NZ" w:eastAsia="en-US" w:bidi="hi-IN"/>
              </w:rPr>
            </w:pPr>
            <w:r w:rsidRPr="001F13F3">
              <w:rPr>
                <w:lang w:val="en-NZ" w:eastAsia="en-US"/>
              </w:rPr>
              <w:t>1.4</w:t>
            </w:r>
          </w:p>
        </w:tc>
        <w:tc>
          <w:tcPr>
            <w:tcW w:w="720" w:type="dxa"/>
            <w:hideMark/>
          </w:tcPr>
          <w:p w14:paraId="713BA273" w14:textId="77777777" w:rsidR="00FA19B8" w:rsidRPr="001F13F3" w:rsidRDefault="00FA19B8" w:rsidP="00657ACB">
            <w:pPr>
              <w:pStyle w:val="TableText"/>
              <w:spacing w:before="40" w:after="40"/>
              <w:jc w:val="center"/>
              <w:rPr>
                <w:lang w:val="en-NZ" w:eastAsia="en-US" w:bidi="hi-IN"/>
              </w:rPr>
            </w:pPr>
            <w:r w:rsidRPr="001F13F3">
              <w:rPr>
                <w:lang w:val="en-NZ" w:eastAsia="en-US"/>
              </w:rPr>
              <w:t>30.6</w:t>
            </w:r>
          </w:p>
        </w:tc>
        <w:tc>
          <w:tcPr>
            <w:tcW w:w="849" w:type="dxa"/>
            <w:hideMark/>
          </w:tcPr>
          <w:p w14:paraId="17D4154F" w14:textId="77777777" w:rsidR="00FA19B8" w:rsidRPr="001F13F3" w:rsidRDefault="00FA19B8" w:rsidP="00657ACB">
            <w:pPr>
              <w:pStyle w:val="TableText"/>
              <w:spacing w:before="40" w:after="40"/>
              <w:jc w:val="center"/>
              <w:rPr>
                <w:lang w:val="en-NZ" w:eastAsia="en-US" w:bidi="hi-IN"/>
              </w:rPr>
            </w:pPr>
            <w:r w:rsidRPr="001F13F3">
              <w:rPr>
                <w:lang w:val="en-NZ" w:eastAsia="en-US"/>
              </w:rPr>
              <w:t>103.9</w:t>
            </w:r>
          </w:p>
        </w:tc>
        <w:tc>
          <w:tcPr>
            <w:tcW w:w="849" w:type="dxa"/>
            <w:hideMark/>
          </w:tcPr>
          <w:p w14:paraId="3E42312B" w14:textId="77777777" w:rsidR="00FA19B8" w:rsidRPr="001F13F3" w:rsidRDefault="00FA19B8" w:rsidP="00657ACB">
            <w:pPr>
              <w:pStyle w:val="TableText"/>
              <w:spacing w:before="40" w:after="40"/>
              <w:jc w:val="center"/>
              <w:rPr>
                <w:lang w:val="en-NZ" w:eastAsia="en-US" w:bidi="hi-IN"/>
              </w:rPr>
            </w:pPr>
            <w:r w:rsidRPr="001F13F3">
              <w:rPr>
                <w:lang w:val="en-NZ" w:eastAsia="en-US"/>
              </w:rPr>
              <w:t>6.8</w:t>
            </w:r>
          </w:p>
        </w:tc>
        <w:tc>
          <w:tcPr>
            <w:tcW w:w="849" w:type="dxa"/>
            <w:hideMark/>
          </w:tcPr>
          <w:p w14:paraId="0C6524AD" w14:textId="77777777" w:rsidR="00FA19B8" w:rsidRPr="001F13F3" w:rsidRDefault="00FA19B8" w:rsidP="00657ACB">
            <w:pPr>
              <w:pStyle w:val="TableText"/>
              <w:spacing w:before="40" w:after="40"/>
              <w:jc w:val="center"/>
              <w:rPr>
                <w:lang w:val="en-NZ" w:eastAsia="en-US" w:bidi="hi-IN"/>
              </w:rPr>
            </w:pPr>
            <w:r w:rsidRPr="001F13F3">
              <w:rPr>
                <w:lang w:val="en-NZ" w:eastAsia="en-US"/>
              </w:rPr>
              <w:t>105.0</w:t>
            </w:r>
          </w:p>
        </w:tc>
        <w:tc>
          <w:tcPr>
            <w:tcW w:w="849" w:type="dxa"/>
            <w:hideMark/>
          </w:tcPr>
          <w:p w14:paraId="1F3CC376" w14:textId="77777777" w:rsidR="00FA19B8" w:rsidRPr="001F13F3" w:rsidRDefault="00FA19B8" w:rsidP="00657ACB">
            <w:pPr>
              <w:pStyle w:val="TableText"/>
              <w:spacing w:before="40" w:after="40"/>
              <w:jc w:val="center"/>
              <w:rPr>
                <w:lang w:val="en-NZ" w:eastAsia="en-US" w:bidi="hi-IN"/>
              </w:rPr>
            </w:pPr>
            <w:r w:rsidRPr="001F13F3">
              <w:rPr>
                <w:lang w:val="en-NZ" w:eastAsia="en-US"/>
              </w:rPr>
              <w:t>272.3</w:t>
            </w:r>
          </w:p>
        </w:tc>
        <w:tc>
          <w:tcPr>
            <w:tcW w:w="849" w:type="dxa"/>
            <w:hideMark/>
          </w:tcPr>
          <w:p w14:paraId="79234BB2" w14:textId="77777777" w:rsidR="00FA19B8" w:rsidRPr="001F13F3" w:rsidRDefault="00FA19B8" w:rsidP="00657ACB">
            <w:pPr>
              <w:pStyle w:val="TableText"/>
              <w:spacing w:before="40" w:after="40"/>
              <w:jc w:val="center"/>
              <w:rPr>
                <w:lang w:val="en-NZ" w:eastAsia="en-US" w:bidi="hi-IN"/>
              </w:rPr>
            </w:pPr>
            <w:r w:rsidRPr="001F13F3">
              <w:rPr>
                <w:lang w:val="en-NZ" w:eastAsia="en-US"/>
              </w:rPr>
              <w:t>194.8</w:t>
            </w:r>
          </w:p>
        </w:tc>
        <w:tc>
          <w:tcPr>
            <w:tcW w:w="849" w:type="dxa"/>
            <w:hideMark/>
          </w:tcPr>
          <w:p w14:paraId="5A1BF6F4" w14:textId="77777777" w:rsidR="00FA19B8" w:rsidRPr="001F13F3" w:rsidRDefault="00FA19B8" w:rsidP="00657ACB">
            <w:pPr>
              <w:pStyle w:val="TableText"/>
              <w:spacing w:before="40" w:after="40"/>
              <w:jc w:val="center"/>
              <w:rPr>
                <w:lang w:val="en-NZ" w:eastAsia="en-US" w:bidi="hi-IN"/>
              </w:rPr>
            </w:pPr>
            <w:r w:rsidRPr="001F13F3">
              <w:rPr>
                <w:lang w:val="en-NZ" w:eastAsia="en-US"/>
              </w:rPr>
              <w:t>359.3</w:t>
            </w:r>
          </w:p>
        </w:tc>
        <w:tc>
          <w:tcPr>
            <w:tcW w:w="849" w:type="dxa"/>
            <w:hideMark/>
          </w:tcPr>
          <w:p w14:paraId="7DDDE240" w14:textId="77777777" w:rsidR="00FA19B8" w:rsidRPr="001F13F3" w:rsidRDefault="00FA19B8" w:rsidP="00657ACB">
            <w:pPr>
              <w:pStyle w:val="TableText"/>
              <w:spacing w:before="40" w:after="40"/>
              <w:jc w:val="center"/>
              <w:rPr>
                <w:lang w:val="en-NZ" w:eastAsia="en-US" w:bidi="hi-IN"/>
              </w:rPr>
            </w:pPr>
            <w:r w:rsidRPr="001F13F3">
              <w:rPr>
                <w:lang w:val="en-NZ" w:eastAsia="en-US"/>
              </w:rPr>
              <w:t>356.1</w:t>
            </w:r>
          </w:p>
        </w:tc>
      </w:tr>
      <w:tr w:rsidR="00FA19B8" w:rsidRPr="001F13F3" w14:paraId="6EE35A8A" w14:textId="77777777" w:rsidTr="00657ACB">
        <w:tc>
          <w:tcPr>
            <w:tcW w:w="993" w:type="dxa"/>
            <w:hideMark/>
          </w:tcPr>
          <w:p w14:paraId="0F5D0EFD" w14:textId="77777777" w:rsidR="00FA19B8" w:rsidRPr="001F13F3" w:rsidRDefault="00FA19B8" w:rsidP="00657ACB">
            <w:pPr>
              <w:pStyle w:val="TableText"/>
              <w:spacing w:before="40" w:after="40"/>
              <w:rPr>
                <w:b/>
                <w:bCs/>
                <w:lang w:val="en-NZ" w:eastAsia="en-US" w:bidi="hi-IN"/>
              </w:rPr>
            </w:pPr>
            <w:r w:rsidRPr="001F13F3">
              <w:rPr>
                <w:b/>
                <w:bCs/>
                <w:lang w:val="en-NZ" w:eastAsia="en-US"/>
              </w:rPr>
              <w:t>CXL</w:t>
            </w:r>
          </w:p>
        </w:tc>
        <w:tc>
          <w:tcPr>
            <w:tcW w:w="850" w:type="dxa"/>
            <w:hideMark/>
          </w:tcPr>
          <w:p w14:paraId="0014C380" w14:textId="77777777" w:rsidR="00FA19B8" w:rsidRPr="001F13F3" w:rsidRDefault="00FA19B8" w:rsidP="00657ACB">
            <w:pPr>
              <w:pStyle w:val="TableText"/>
              <w:spacing w:before="40" w:after="40"/>
              <w:jc w:val="center"/>
              <w:rPr>
                <w:lang w:val="en-NZ" w:eastAsia="en-US" w:bidi="hi-IN"/>
              </w:rPr>
            </w:pPr>
            <w:r w:rsidRPr="001F13F3">
              <w:rPr>
                <w:lang w:val="en-NZ" w:eastAsia="en-US"/>
              </w:rPr>
              <w:t>0.6</w:t>
            </w:r>
          </w:p>
        </w:tc>
        <w:tc>
          <w:tcPr>
            <w:tcW w:w="720" w:type="dxa"/>
            <w:hideMark/>
          </w:tcPr>
          <w:p w14:paraId="379CB2D5" w14:textId="77777777" w:rsidR="00FA19B8" w:rsidRPr="001F13F3" w:rsidRDefault="00FA19B8" w:rsidP="00657ACB">
            <w:pPr>
              <w:pStyle w:val="TableText"/>
              <w:spacing w:before="40" w:after="40"/>
              <w:jc w:val="center"/>
              <w:rPr>
                <w:lang w:val="en-NZ" w:eastAsia="en-US" w:bidi="hi-IN"/>
              </w:rPr>
            </w:pPr>
            <w:r w:rsidRPr="001F13F3">
              <w:rPr>
                <w:lang w:val="en-NZ" w:eastAsia="en-US"/>
              </w:rPr>
              <w:t>16.8</w:t>
            </w:r>
          </w:p>
        </w:tc>
        <w:tc>
          <w:tcPr>
            <w:tcW w:w="849" w:type="dxa"/>
            <w:hideMark/>
          </w:tcPr>
          <w:p w14:paraId="11856B1A" w14:textId="77777777" w:rsidR="00FA19B8" w:rsidRPr="001F13F3" w:rsidRDefault="00FA19B8" w:rsidP="00657ACB">
            <w:pPr>
              <w:pStyle w:val="TableText"/>
              <w:spacing w:before="40" w:after="40"/>
              <w:jc w:val="center"/>
              <w:rPr>
                <w:lang w:val="en-NZ" w:eastAsia="en-US" w:bidi="hi-IN"/>
              </w:rPr>
            </w:pPr>
            <w:r w:rsidRPr="001F13F3">
              <w:rPr>
                <w:lang w:val="en-NZ" w:eastAsia="en-US"/>
              </w:rPr>
              <w:t>65.5</w:t>
            </w:r>
          </w:p>
        </w:tc>
        <w:tc>
          <w:tcPr>
            <w:tcW w:w="849" w:type="dxa"/>
            <w:hideMark/>
          </w:tcPr>
          <w:p w14:paraId="466A7DC4" w14:textId="77777777" w:rsidR="00FA19B8" w:rsidRPr="001F13F3" w:rsidRDefault="00FA19B8" w:rsidP="00657ACB">
            <w:pPr>
              <w:pStyle w:val="TableText"/>
              <w:spacing w:before="40" w:after="40"/>
              <w:jc w:val="center"/>
              <w:rPr>
                <w:lang w:val="en-NZ" w:eastAsia="en-US" w:bidi="hi-IN"/>
              </w:rPr>
            </w:pPr>
            <w:r w:rsidRPr="001F13F3">
              <w:rPr>
                <w:lang w:val="en-NZ" w:eastAsia="en-US"/>
              </w:rPr>
              <w:t>2.5</w:t>
            </w:r>
          </w:p>
        </w:tc>
        <w:tc>
          <w:tcPr>
            <w:tcW w:w="849" w:type="dxa"/>
            <w:hideMark/>
          </w:tcPr>
          <w:p w14:paraId="7E67A051" w14:textId="77777777" w:rsidR="00FA19B8" w:rsidRPr="001F13F3" w:rsidRDefault="00FA19B8" w:rsidP="00657ACB">
            <w:pPr>
              <w:pStyle w:val="TableText"/>
              <w:spacing w:before="40" w:after="40"/>
              <w:jc w:val="center"/>
              <w:rPr>
                <w:lang w:val="en-NZ" w:eastAsia="en-US" w:bidi="hi-IN"/>
              </w:rPr>
            </w:pPr>
            <w:r w:rsidRPr="001F13F3">
              <w:rPr>
                <w:lang w:val="en-NZ" w:eastAsia="en-US"/>
              </w:rPr>
              <w:t>68.1</w:t>
            </w:r>
          </w:p>
        </w:tc>
        <w:tc>
          <w:tcPr>
            <w:tcW w:w="849" w:type="dxa"/>
            <w:hideMark/>
          </w:tcPr>
          <w:p w14:paraId="687E34A4" w14:textId="77777777" w:rsidR="00FA19B8" w:rsidRPr="001F13F3" w:rsidRDefault="00FA19B8" w:rsidP="00657ACB">
            <w:pPr>
              <w:pStyle w:val="TableText"/>
              <w:spacing w:before="40" w:after="40"/>
              <w:jc w:val="center"/>
              <w:rPr>
                <w:lang w:val="en-NZ" w:eastAsia="en-US" w:bidi="hi-IN"/>
              </w:rPr>
            </w:pPr>
            <w:r w:rsidRPr="001F13F3">
              <w:rPr>
                <w:lang w:val="en-NZ" w:eastAsia="en-US"/>
              </w:rPr>
              <w:t>185.2</w:t>
            </w:r>
          </w:p>
        </w:tc>
        <w:tc>
          <w:tcPr>
            <w:tcW w:w="849" w:type="dxa"/>
            <w:hideMark/>
          </w:tcPr>
          <w:p w14:paraId="4CB6631A" w14:textId="77777777" w:rsidR="00FA19B8" w:rsidRPr="001F13F3" w:rsidRDefault="00FA19B8" w:rsidP="00657ACB">
            <w:pPr>
              <w:pStyle w:val="TableText"/>
              <w:spacing w:before="40" w:after="40"/>
              <w:jc w:val="center"/>
              <w:rPr>
                <w:lang w:val="en-NZ" w:eastAsia="en-US" w:bidi="hi-IN"/>
              </w:rPr>
            </w:pPr>
            <w:r w:rsidRPr="001F13F3">
              <w:rPr>
                <w:lang w:val="en-NZ" w:eastAsia="en-US"/>
              </w:rPr>
              <w:t>117.7</w:t>
            </w:r>
          </w:p>
        </w:tc>
        <w:tc>
          <w:tcPr>
            <w:tcW w:w="849" w:type="dxa"/>
            <w:hideMark/>
          </w:tcPr>
          <w:p w14:paraId="0C04A907" w14:textId="77777777" w:rsidR="00FA19B8" w:rsidRPr="001F13F3" w:rsidRDefault="00FA19B8" w:rsidP="00657ACB">
            <w:pPr>
              <w:pStyle w:val="TableText"/>
              <w:spacing w:before="40" w:after="40"/>
              <w:jc w:val="center"/>
              <w:rPr>
                <w:lang w:val="en-NZ" w:eastAsia="en-US" w:bidi="hi-IN"/>
              </w:rPr>
            </w:pPr>
            <w:r w:rsidRPr="001F13F3">
              <w:rPr>
                <w:lang w:val="en-NZ" w:eastAsia="en-US"/>
              </w:rPr>
              <w:t>311.8</w:t>
            </w:r>
          </w:p>
        </w:tc>
        <w:tc>
          <w:tcPr>
            <w:tcW w:w="849" w:type="dxa"/>
            <w:hideMark/>
          </w:tcPr>
          <w:p w14:paraId="29D51715" w14:textId="77777777" w:rsidR="00FA19B8" w:rsidRPr="001F13F3" w:rsidRDefault="00FA19B8" w:rsidP="00657ACB">
            <w:pPr>
              <w:pStyle w:val="TableText"/>
              <w:spacing w:before="40" w:after="40"/>
              <w:jc w:val="center"/>
              <w:rPr>
                <w:lang w:val="en-NZ" w:eastAsia="en-US" w:bidi="hi-IN"/>
              </w:rPr>
            </w:pPr>
            <w:r w:rsidRPr="001F13F3">
              <w:rPr>
                <w:lang w:val="en-NZ" w:eastAsia="en-US"/>
              </w:rPr>
              <w:t>374.6</w:t>
            </w:r>
          </w:p>
        </w:tc>
      </w:tr>
      <w:tr w:rsidR="00FA19B8" w:rsidRPr="001F13F3" w14:paraId="688FAC7C" w14:textId="77777777" w:rsidTr="00657ACB">
        <w:tc>
          <w:tcPr>
            <w:tcW w:w="993" w:type="dxa"/>
            <w:hideMark/>
          </w:tcPr>
          <w:p w14:paraId="23155F23" w14:textId="77777777" w:rsidR="00FA19B8" w:rsidRPr="001F13F3" w:rsidRDefault="00FA19B8" w:rsidP="00657ACB">
            <w:pPr>
              <w:pStyle w:val="TableText"/>
              <w:spacing w:before="40" w:after="40"/>
              <w:rPr>
                <w:b/>
                <w:bCs/>
                <w:lang w:val="en-NZ" w:eastAsia="en-US" w:bidi="hi-IN"/>
              </w:rPr>
            </w:pPr>
            <w:r w:rsidRPr="001F13F3">
              <w:rPr>
                <w:b/>
                <w:bCs/>
                <w:lang w:val="en-NZ" w:eastAsia="en-US"/>
              </w:rPr>
              <w:t>CXLk</w:t>
            </w:r>
          </w:p>
        </w:tc>
        <w:tc>
          <w:tcPr>
            <w:tcW w:w="850" w:type="dxa"/>
            <w:hideMark/>
          </w:tcPr>
          <w:p w14:paraId="05EF9710" w14:textId="77777777" w:rsidR="00FA19B8" w:rsidRPr="001F13F3" w:rsidRDefault="00FA19B8" w:rsidP="00657ACB">
            <w:pPr>
              <w:pStyle w:val="TableText"/>
              <w:spacing w:before="40" w:after="40"/>
              <w:jc w:val="center"/>
              <w:rPr>
                <w:lang w:val="en-NZ" w:eastAsia="en-US" w:bidi="hi-IN"/>
              </w:rPr>
            </w:pPr>
            <w:r w:rsidRPr="001F13F3">
              <w:rPr>
                <w:lang w:val="en-NZ" w:eastAsia="en-US"/>
              </w:rPr>
              <w:t>0.1</w:t>
            </w:r>
          </w:p>
        </w:tc>
        <w:tc>
          <w:tcPr>
            <w:tcW w:w="720" w:type="dxa"/>
            <w:hideMark/>
          </w:tcPr>
          <w:p w14:paraId="5382F004" w14:textId="77777777" w:rsidR="00FA19B8" w:rsidRPr="001F13F3" w:rsidRDefault="00FA19B8" w:rsidP="00657ACB">
            <w:pPr>
              <w:pStyle w:val="TableText"/>
              <w:spacing w:before="40" w:after="40"/>
              <w:jc w:val="center"/>
              <w:rPr>
                <w:lang w:val="en-NZ" w:eastAsia="en-US" w:bidi="hi-IN"/>
              </w:rPr>
            </w:pPr>
            <w:r w:rsidRPr="001F13F3">
              <w:rPr>
                <w:lang w:val="en-NZ" w:eastAsia="en-US"/>
              </w:rPr>
              <w:t>1.2</w:t>
            </w:r>
          </w:p>
        </w:tc>
        <w:tc>
          <w:tcPr>
            <w:tcW w:w="849" w:type="dxa"/>
            <w:hideMark/>
          </w:tcPr>
          <w:p w14:paraId="613EB3ED" w14:textId="77777777" w:rsidR="00FA19B8" w:rsidRPr="001F13F3" w:rsidRDefault="00FA19B8" w:rsidP="00657ACB">
            <w:pPr>
              <w:pStyle w:val="TableText"/>
              <w:spacing w:before="40" w:after="40"/>
              <w:jc w:val="center"/>
              <w:rPr>
                <w:lang w:val="en-NZ" w:eastAsia="en-US" w:bidi="hi-IN"/>
              </w:rPr>
            </w:pPr>
            <w:r w:rsidRPr="001F13F3">
              <w:rPr>
                <w:lang w:val="en-NZ" w:eastAsia="en-US"/>
              </w:rPr>
              <w:t>9.4</w:t>
            </w:r>
          </w:p>
        </w:tc>
        <w:tc>
          <w:tcPr>
            <w:tcW w:w="849" w:type="dxa"/>
            <w:hideMark/>
          </w:tcPr>
          <w:p w14:paraId="3D896935"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5B95F57D" w14:textId="77777777" w:rsidR="00FA19B8" w:rsidRPr="001F13F3" w:rsidRDefault="00FA19B8" w:rsidP="00657ACB">
            <w:pPr>
              <w:pStyle w:val="TableText"/>
              <w:spacing w:before="40" w:after="40"/>
              <w:jc w:val="center"/>
              <w:rPr>
                <w:lang w:val="en-NZ" w:eastAsia="en-US" w:bidi="hi-IN"/>
              </w:rPr>
            </w:pPr>
            <w:r w:rsidRPr="001F13F3">
              <w:rPr>
                <w:lang w:val="en-NZ" w:eastAsia="en-US"/>
              </w:rPr>
              <w:t>5.5</w:t>
            </w:r>
          </w:p>
        </w:tc>
        <w:tc>
          <w:tcPr>
            <w:tcW w:w="849" w:type="dxa"/>
            <w:hideMark/>
          </w:tcPr>
          <w:p w14:paraId="22F79115" w14:textId="77777777" w:rsidR="00FA19B8" w:rsidRPr="001F13F3" w:rsidRDefault="00FA19B8" w:rsidP="00657ACB">
            <w:pPr>
              <w:pStyle w:val="TableText"/>
              <w:spacing w:before="40" w:after="40"/>
              <w:jc w:val="center"/>
              <w:rPr>
                <w:lang w:val="en-NZ" w:eastAsia="en-US" w:bidi="hi-IN"/>
              </w:rPr>
            </w:pPr>
            <w:r w:rsidRPr="001F13F3">
              <w:rPr>
                <w:lang w:val="en-NZ" w:eastAsia="en-US"/>
              </w:rPr>
              <w:t>41.1</w:t>
            </w:r>
          </w:p>
        </w:tc>
        <w:tc>
          <w:tcPr>
            <w:tcW w:w="849" w:type="dxa"/>
            <w:hideMark/>
          </w:tcPr>
          <w:p w14:paraId="0E858FD9" w14:textId="77777777" w:rsidR="00FA19B8" w:rsidRPr="001F13F3" w:rsidRDefault="00FA19B8" w:rsidP="00657ACB">
            <w:pPr>
              <w:pStyle w:val="TableText"/>
              <w:spacing w:before="40" w:after="40"/>
              <w:jc w:val="center"/>
              <w:rPr>
                <w:lang w:val="en-NZ" w:eastAsia="en-US" w:bidi="hi-IN"/>
              </w:rPr>
            </w:pPr>
            <w:r w:rsidRPr="001F13F3">
              <w:rPr>
                <w:lang w:val="en-NZ" w:eastAsia="en-US"/>
              </w:rPr>
              <w:t>21.1</w:t>
            </w:r>
          </w:p>
        </w:tc>
        <w:tc>
          <w:tcPr>
            <w:tcW w:w="849" w:type="dxa"/>
            <w:hideMark/>
          </w:tcPr>
          <w:p w14:paraId="34EC3AAB" w14:textId="77777777" w:rsidR="00FA19B8" w:rsidRPr="001F13F3" w:rsidRDefault="00FA19B8" w:rsidP="00657ACB">
            <w:pPr>
              <w:pStyle w:val="TableText"/>
              <w:spacing w:before="40" w:after="40"/>
              <w:jc w:val="center"/>
              <w:rPr>
                <w:lang w:val="en-NZ" w:eastAsia="en-US" w:bidi="hi-IN"/>
              </w:rPr>
            </w:pPr>
            <w:r w:rsidRPr="001F13F3">
              <w:rPr>
                <w:lang w:val="en-NZ" w:eastAsia="en-US"/>
              </w:rPr>
              <w:t>169.9</w:t>
            </w:r>
          </w:p>
        </w:tc>
        <w:tc>
          <w:tcPr>
            <w:tcW w:w="849" w:type="dxa"/>
            <w:hideMark/>
          </w:tcPr>
          <w:p w14:paraId="65938CDB" w14:textId="77777777" w:rsidR="00FA19B8" w:rsidRPr="001F13F3" w:rsidRDefault="00FA19B8" w:rsidP="00657ACB">
            <w:pPr>
              <w:pStyle w:val="TableText"/>
              <w:spacing w:before="40" w:after="40"/>
              <w:jc w:val="center"/>
              <w:rPr>
                <w:lang w:val="en-NZ" w:eastAsia="en-US" w:bidi="hi-IN"/>
              </w:rPr>
            </w:pPr>
            <w:r w:rsidRPr="001F13F3">
              <w:rPr>
                <w:lang w:val="en-NZ" w:eastAsia="en-US"/>
              </w:rPr>
              <w:t>298.6</w:t>
            </w:r>
          </w:p>
        </w:tc>
      </w:tr>
      <w:tr w:rsidR="00FA19B8" w:rsidRPr="001F13F3" w14:paraId="24279325" w14:textId="77777777" w:rsidTr="00657ACB">
        <w:tc>
          <w:tcPr>
            <w:tcW w:w="993" w:type="dxa"/>
            <w:hideMark/>
          </w:tcPr>
          <w:p w14:paraId="6AD905B5" w14:textId="77777777" w:rsidR="00FA19B8" w:rsidRPr="001F13F3" w:rsidRDefault="00FA19B8" w:rsidP="00657ACB">
            <w:pPr>
              <w:pStyle w:val="TableText"/>
              <w:spacing w:before="40" w:after="40"/>
              <w:rPr>
                <w:b/>
                <w:bCs/>
                <w:lang w:val="en-NZ" w:eastAsia="en-US" w:bidi="hi-IN"/>
              </w:rPr>
            </w:pPr>
            <w:r w:rsidRPr="001F13F3">
              <w:rPr>
                <w:b/>
                <w:bCs/>
                <w:lang w:val="en-NZ" w:eastAsia="en-US"/>
              </w:rPr>
              <w:t>CWGM</w:t>
            </w:r>
          </w:p>
        </w:tc>
        <w:tc>
          <w:tcPr>
            <w:tcW w:w="850" w:type="dxa"/>
            <w:hideMark/>
          </w:tcPr>
          <w:p w14:paraId="22BCE9D7" w14:textId="77777777" w:rsidR="00FA19B8" w:rsidRPr="001F13F3" w:rsidRDefault="00FA19B8" w:rsidP="00657ACB">
            <w:pPr>
              <w:pStyle w:val="TableText"/>
              <w:spacing w:before="40" w:after="40"/>
              <w:jc w:val="center"/>
              <w:rPr>
                <w:lang w:val="en-NZ" w:eastAsia="en-US" w:bidi="hi-IN"/>
              </w:rPr>
            </w:pPr>
            <w:r w:rsidRPr="001F13F3">
              <w:rPr>
                <w:lang w:val="en-NZ" w:eastAsia="en-US"/>
              </w:rPr>
              <w:t>0.1</w:t>
            </w:r>
          </w:p>
        </w:tc>
        <w:tc>
          <w:tcPr>
            <w:tcW w:w="720" w:type="dxa"/>
            <w:hideMark/>
          </w:tcPr>
          <w:p w14:paraId="4463A4F6" w14:textId="77777777" w:rsidR="00FA19B8" w:rsidRPr="001F13F3" w:rsidRDefault="00FA19B8" w:rsidP="00657ACB">
            <w:pPr>
              <w:pStyle w:val="TableText"/>
              <w:spacing w:before="40" w:after="40"/>
              <w:jc w:val="center"/>
              <w:rPr>
                <w:lang w:val="en-NZ" w:eastAsia="en-US" w:bidi="hi-IN"/>
              </w:rPr>
            </w:pPr>
            <w:r w:rsidRPr="001F13F3">
              <w:rPr>
                <w:lang w:val="en-NZ" w:eastAsia="en-US"/>
              </w:rPr>
              <w:t>2.9</w:t>
            </w:r>
          </w:p>
        </w:tc>
        <w:tc>
          <w:tcPr>
            <w:tcW w:w="849" w:type="dxa"/>
            <w:hideMark/>
          </w:tcPr>
          <w:p w14:paraId="3DBC52A0" w14:textId="77777777" w:rsidR="00FA19B8" w:rsidRPr="001F13F3" w:rsidRDefault="00FA19B8" w:rsidP="00657ACB">
            <w:pPr>
              <w:pStyle w:val="TableText"/>
              <w:spacing w:before="40" w:after="40"/>
              <w:jc w:val="center"/>
              <w:rPr>
                <w:lang w:val="en-NZ" w:eastAsia="en-US" w:bidi="hi-IN"/>
              </w:rPr>
            </w:pPr>
            <w:r w:rsidRPr="001F13F3">
              <w:rPr>
                <w:lang w:val="en-NZ" w:eastAsia="en-US"/>
              </w:rPr>
              <w:t>17.8</w:t>
            </w:r>
          </w:p>
        </w:tc>
        <w:tc>
          <w:tcPr>
            <w:tcW w:w="849" w:type="dxa"/>
            <w:hideMark/>
          </w:tcPr>
          <w:p w14:paraId="7CBA951E" w14:textId="77777777" w:rsidR="00FA19B8" w:rsidRPr="001F13F3" w:rsidRDefault="00FA19B8" w:rsidP="00657ACB">
            <w:pPr>
              <w:pStyle w:val="TableText"/>
              <w:spacing w:before="40" w:after="40"/>
              <w:jc w:val="center"/>
              <w:rPr>
                <w:lang w:val="en-NZ" w:eastAsia="en-US" w:bidi="hi-IN"/>
              </w:rPr>
            </w:pPr>
            <w:r w:rsidRPr="001F13F3">
              <w:rPr>
                <w:lang w:val="en-NZ" w:eastAsia="en-US"/>
              </w:rPr>
              <w:t>0.3</w:t>
            </w:r>
          </w:p>
        </w:tc>
        <w:tc>
          <w:tcPr>
            <w:tcW w:w="849" w:type="dxa"/>
            <w:hideMark/>
          </w:tcPr>
          <w:p w14:paraId="1CF7ADAA" w14:textId="77777777" w:rsidR="00FA19B8" w:rsidRPr="001F13F3" w:rsidRDefault="00FA19B8" w:rsidP="00657ACB">
            <w:pPr>
              <w:pStyle w:val="TableText"/>
              <w:spacing w:before="40" w:after="40"/>
              <w:jc w:val="center"/>
              <w:rPr>
                <w:lang w:val="en-NZ" w:eastAsia="en-US" w:bidi="hi-IN"/>
              </w:rPr>
            </w:pPr>
            <w:r w:rsidRPr="001F13F3">
              <w:rPr>
                <w:lang w:val="en-NZ" w:eastAsia="en-US"/>
              </w:rPr>
              <w:t>14.4</w:t>
            </w:r>
          </w:p>
        </w:tc>
        <w:tc>
          <w:tcPr>
            <w:tcW w:w="849" w:type="dxa"/>
            <w:hideMark/>
          </w:tcPr>
          <w:p w14:paraId="64CE1FB5" w14:textId="77777777" w:rsidR="00FA19B8" w:rsidRPr="001F13F3" w:rsidRDefault="00FA19B8" w:rsidP="00657ACB">
            <w:pPr>
              <w:pStyle w:val="TableText"/>
              <w:spacing w:before="40" w:after="40"/>
              <w:jc w:val="center"/>
              <w:rPr>
                <w:lang w:val="en-NZ" w:eastAsia="en-US" w:bidi="hi-IN"/>
              </w:rPr>
            </w:pPr>
            <w:r w:rsidRPr="001F13F3">
              <w:rPr>
                <w:lang w:val="en-NZ" w:eastAsia="en-US"/>
              </w:rPr>
              <w:t>68.7</w:t>
            </w:r>
          </w:p>
        </w:tc>
        <w:tc>
          <w:tcPr>
            <w:tcW w:w="849" w:type="dxa"/>
            <w:hideMark/>
          </w:tcPr>
          <w:p w14:paraId="52A3517F" w14:textId="77777777" w:rsidR="00FA19B8" w:rsidRPr="001F13F3" w:rsidRDefault="00FA19B8" w:rsidP="00657ACB">
            <w:pPr>
              <w:pStyle w:val="TableText"/>
              <w:spacing w:before="40" w:after="40"/>
              <w:jc w:val="center"/>
              <w:rPr>
                <w:lang w:val="en-NZ" w:eastAsia="en-US" w:bidi="hi-IN"/>
              </w:rPr>
            </w:pPr>
            <w:r w:rsidRPr="001F13F3">
              <w:rPr>
                <w:lang w:val="en-NZ" w:eastAsia="en-US"/>
              </w:rPr>
              <w:t>30.2</w:t>
            </w:r>
          </w:p>
        </w:tc>
        <w:tc>
          <w:tcPr>
            <w:tcW w:w="849" w:type="dxa"/>
            <w:hideMark/>
          </w:tcPr>
          <w:p w14:paraId="5E7A60CF" w14:textId="77777777" w:rsidR="00FA19B8" w:rsidRPr="001F13F3" w:rsidRDefault="00FA19B8" w:rsidP="00657ACB">
            <w:pPr>
              <w:pStyle w:val="TableText"/>
              <w:spacing w:before="40" w:after="40"/>
              <w:jc w:val="center"/>
              <w:rPr>
                <w:lang w:val="en-NZ" w:eastAsia="en-US" w:bidi="hi-IN"/>
              </w:rPr>
            </w:pPr>
            <w:r w:rsidRPr="001F13F3">
              <w:rPr>
                <w:lang w:val="en-NZ" w:eastAsia="en-US"/>
              </w:rPr>
              <w:t>227.4</w:t>
            </w:r>
          </w:p>
        </w:tc>
        <w:tc>
          <w:tcPr>
            <w:tcW w:w="849" w:type="dxa"/>
            <w:hideMark/>
          </w:tcPr>
          <w:p w14:paraId="17E0BFB7" w14:textId="77777777" w:rsidR="00FA19B8" w:rsidRPr="001F13F3" w:rsidRDefault="00FA19B8" w:rsidP="00657ACB">
            <w:pPr>
              <w:pStyle w:val="TableText"/>
              <w:spacing w:before="40" w:after="40"/>
              <w:jc w:val="center"/>
              <w:rPr>
                <w:lang w:val="en-NZ" w:eastAsia="en-US" w:bidi="hi-IN"/>
              </w:rPr>
            </w:pPr>
            <w:r w:rsidRPr="001F13F3">
              <w:rPr>
                <w:lang w:val="en-NZ" w:eastAsia="en-US"/>
              </w:rPr>
              <w:t>315.1</w:t>
            </w:r>
          </w:p>
        </w:tc>
      </w:tr>
      <w:tr w:rsidR="00FA19B8" w:rsidRPr="001F13F3" w14:paraId="4E6B6295" w14:textId="77777777" w:rsidTr="00657ACB">
        <w:tc>
          <w:tcPr>
            <w:tcW w:w="993" w:type="dxa"/>
            <w:hideMark/>
          </w:tcPr>
          <w:p w14:paraId="1D44A6BE" w14:textId="77777777" w:rsidR="00FA19B8" w:rsidRPr="001F13F3" w:rsidRDefault="00FA19B8" w:rsidP="00657ACB">
            <w:pPr>
              <w:pStyle w:val="TableText"/>
              <w:spacing w:before="40" w:after="40"/>
              <w:rPr>
                <w:b/>
                <w:bCs/>
                <w:lang w:val="en-NZ" w:eastAsia="en-US" w:bidi="hi-IN"/>
              </w:rPr>
            </w:pPr>
            <w:r w:rsidRPr="001F13F3">
              <w:rPr>
                <w:b/>
                <w:bCs/>
                <w:lang w:val="en-NZ" w:eastAsia="en-US"/>
              </w:rPr>
              <w:t>CWM</w:t>
            </w:r>
          </w:p>
        </w:tc>
        <w:tc>
          <w:tcPr>
            <w:tcW w:w="850" w:type="dxa"/>
            <w:hideMark/>
          </w:tcPr>
          <w:p w14:paraId="6DBD989E"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720" w:type="dxa"/>
            <w:hideMark/>
          </w:tcPr>
          <w:p w14:paraId="1D94DE2F" w14:textId="77777777" w:rsidR="00FA19B8" w:rsidRPr="001F13F3" w:rsidRDefault="00FA19B8" w:rsidP="00657ACB">
            <w:pPr>
              <w:pStyle w:val="TableText"/>
              <w:spacing w:before="40" w:after="40"/>
              <w:jc w:val="center"/>
              <w:rPr>
                <w:lang w:val="en-NZ" w:eastAsia="en-US" w:bidi="hi-IN"/>
              </w:rPr>
            </w:pPr>
            <w:r w:rsidRPr="001F13F3">
              <w:rPr>
                <w:lang w:val="en-NZ" w:eastAsia="en-US"/>
              </w:rPr>
              <w:t>3.1</w:t>
            </w:r>
          </w:p>
        </w:tc>
        <w:tc>
          <w:tcPr>
            <w:tcW w:w="849" w:type="dxa"/>
            <w:hideMark/>
          </w:tcPr>
          <w:p w14:paraId="731C836B" w14:textId="77777777" w:rsidR="00FA19B8" w:rsidRPr="001F13F3" w:rsidRDefault="00FA19B8" w:rsidP="00657ACB">
            <w:pPr>
              <w:pStyle w:val="TableText"/>
              <w:spacing w:before="40" w:after="40"/>
              <w:jc w:val="center"/>
              <w:rPr>
                <w:lang w:val="en-NZ" w:eastAsia="en-US" w:bidi="hi-IN"/>
              </w:rPr>
            </w:pPr>
            <w:r w:rsidRPr="001F13F3">
              <w:rPr>
                <w:lang w:val="en-NZ" w:eastAsia="en-US"/>
              </w:rPr>
              <w:t>17.6</w:t>
            </w:r>
          </w:p>
        </w:tc>
        <w:tc>
          <w:tcPr>
            <w:tcW w:w="849" w:type="dxa"/>
            <w:hideMark/>
          </w:tcPr>
          <w:p w14:paraId="27EA919D" w14:textId="77777777" w:rsidR="00FA19B8" w:rsidRPr="001F13F3" w:rsidRDefault="00FA19B8" w:rsidP="00657ACB">
            <w:pPr>
              <w:pStyle w:val="TableText"/>
              <w:spacing w:before="40" w:after="40"/>
              <w:jc w:val="center"/>
              <w:rPr>
                <w:lang w:val="en-NZ" w:eastAsia="en-US" w:bidi="hi-IN"/>
              </w:rPr>
            </w:pPr>
            <w:r w:rsidRPr="001F13F3">
              <w:rPr>
                <w:lang w:val="en-NZ" w:eastAsia="en-US"/>
              </w:rPr>
              <w:t>0.3</w:t>
            </w:r>
          </w:p>
        </w:tc>
        <w:tc>
          <w:tcPr>
            <w:tcW w:w="849" w:type="dxa"/>
            <w:hideMark/>
          </w:tcPr>
          <w:p w14:paraId="6CE103AE" w14:textId="77777777" w:rsidR="00FA19B8" w:rsidRPr="001F13F3" w:rsidRDefault="00FA19B8" w:rsidP="00657ACB">
            <w:pPr>
              <w:pStyle w:val="TableText"/>
              <w:spacing w:before="40" w:after="40"/>
              <w:jc w:val="center"/>
              <w:rPr>
                <w:lang w:val="en-NZ" w:eastAsia="en-US" w:bidi="hi-IN"/>
              </w:rPr>
            </w:pPr>
            <w:r w:rsidRPr="001F13F3">
              <w:rPr>
                <w:lang w:val="en-NZ" w:eastAsia="en-US"/>
              </w:rPr>
              <w:t>15.0</w:t>
            </w:r>
          </w:p>
        </w:tc>
        <w:tc>
          <w:tcPr>
            <w:tcW w:w="849" w:type="dxa"/>
            <w:hideMark/>
          </w:tcPr>
          <w:p w14:paraId="0F572DA3" w14:textId="77777777" w:rsidR="00FA19B8" w:rsidRPr="001F13F3" w:rsidRDefault="00FA19B8" w:rsidP="00657ACB">
            <w:pPr>
              <w:pStyle w:val="TableText"/>
              <w:spacing w:before="40" w:after="40"/>
              <w:jc w:val="center"/>
              <w:rPr>
                <w:lang w:val="en-NZ" w:eastAsia="en-US" w:bidi="hi-IN"/>
              </w:rPr>
            </w:pPr>
            <w:r w:rsidRPr="001F13F3">
              <w:rPr>
                <w:lang w:val="en-NZ" w:eastAsia="en-US"/>
              </w:rPr>
              <w:t>71.0</w:t>
            </w:r>
          </w:p>
        </w:tc>
        <w:tc>
          <w:tcPr>
            <w:tcW w:w="849" w:type="dxa"/>
            <w:hideMark/>
          </w:tcPr>
          <w:p w14:paraId="1E7E90C5" w14:textId="77777777" w:rsidR="00FA19B8" w:rsidRPr="001F13F3" w:rsidRDefault="00FA19B8" w:rsidP="00657ACB">
            <w:pPr>
              <w:pStyle w:val="TableText"/>
              <w:spacing w:before="40" w:after="40"/>
              <w:jc w:val="center"/>
              <w:rPr>
                <w:lang w:val="en-NZ" w:eastAsia="en-US" w:bidi="hi-IN"/>
              </w:rPr>
            </w:pPr>
            <w:r w:rsidRPr="001F13F3">
              <w:rPr>
                <w:lang w:val="en-NZ" w:eastAsia="en-US"/>
              </w:rPr>
              <w:t>36.6</w:t>
            </w:r>
          </w:p>
        </w:tc>
        <w:tc>
          <w:tcPr>
            <w:tcW w:w="849" w:type="dxa"/>
            <w:hideMark/>
          </w:tcPr>
          <w:p w14:paraId="7884A523" w14:textId="77777777" w:rsidR="00FA19B8" w:rsidRPr="001F13F3" w:rsidRDefault="00FA19B8" w:rsidP="00657ACB">
            <w:pPr>
              <w:pStyle w:val="TableText"/>
              <w:spacing w:before="40" w:after="40"/>
              <w:jc w:val="center"/>
              <w:rPr>
                <w:lang w:val="en-NZ" w:eastAsia="en-US" w:bidi="hi-IN"/>
              </w:rPr>
            </w:pPr>
            <w:r w:rsidRPr="001F13F3">
              <w:rPr>
                <w:lang w:val="en-NZ" w:eastAsia="en-US"/>
              </w:rPr>
              <w:t>245.3</w:t>
            </w:r>
          </w:p>
        </w:tc>
        <w:tc>
          <w:tcPr>
            <w:tcW w:w="849" w:type="dxa"/>
            <w:hideMark/>
          </w:tcPr>
          <w:p w14:paraId="13C02C2C" w14:textId="77777777" w:rsidR="00FA19B8" w:rsidRPr="001F13F3" w:rsidRDefault="00FA19B8" w:rsidP="00657ACB">
            <w:pPr>
              <w:pStyle w:val="TableText"/>
              <w:spacing w:before="40" w:after="40"/>
              <w:jc w:val="center"/>
              <w:rPr>
                <w:lang w:val="en-NZ" w:eastAsia="en-US" w:bidi="hi-IN"/>
              </w:rPr>
            </w:pPr>
            <w:r w:rsidRPr="001F13F3">
              <w:rPr>
                <w:lang w:val="en-NZ" w:eastAsia="en-US"/>
              </w:rPr>
              <w:t>317.5</w:t>
            </w:r>
          </w:p>
        </w:tc>
      </w:tr>
      <w:tr w:rsidR="00FA19B8" w:rsidRPr="001F13F3" w14:paraId="1C2E0642" w14:textId="77777777" w:rsidTr="00657ACB">
        <w:tc>
          <w:tcPr>
            <w:tcW w:w="993" w:type="dxa"/>
            <w:hideMark/>
          </w:tcPr>
          <w:p w14:paraId="08B1DCBA" w14:textId="77777777" w:rsidR="00FA19B8" w:rsidRPr="001F13F3" w:rsidRDefault="00FA19B8" w:rsidP="00657ACB">
            <w:pPr>
              <w:pStyle w:val="TableText"/>
              <w:spacing w:before="40" w:after="40"/>
              <w:rPr>
                <w:b/>
                <w:bCs/>
                <w:lang w:val="en-NZ" w:eastAsia="en-US" w:bidi="hi-IN"/>
              </w:rPr>
            </w:pPr>
            <w:r w:rsidRPr="001F13F3">
              <w:rPr>
                <w:b/>
                <w:bCs/>
                <w:lang w:val="en-NZ" w:eastAsia="en-US"/>
              </w:rPr>
              <w:t>CWH</w:t>
            </w:r>
          </w:p>
        </w:tc>
        <w:tc>
          <w:tcPr>
            <w:tcW w:w="850" w:type="dxa"/>
            <w:hideMark/>
          </w:tcPr>
          <w:p w14:paraId="2A6D82F2"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720" w:type="dxa"/>
            <w:hideMark/>
          </w:tcPr>
          <w:p w14:paraId="46453A4E" w14:textId="77777777" w:rsidR="00FA19B8" w:rsidRPr="001F13F3" w:rsidRDefault="00FA19B8" w:rsidP="00657ACB">
            <w:pPr>
              <w:pStyle w:val="TableText"/>
              <w:spacing w:before="40" w:after="40"/>
              <w:jc w:val="center"/>
              <w:rPr>
                <w:lang w:val="en-NZ" w:eastAsia="en-US" w:bidi="hi-IN"/>
              </w:rPr>
            </w:pPr>
            <w:r w:rsidRPr="001F13F3">
              <w:rPr>
                <w:lang w:val="en-NZ" w:eastAsia="en-US"/>
              </w:rPr>
              <w:t>3.1</w:t>
            </w:r>
          </w:p>
        </w:tc>
        <w:tc>
          <w:tcPr>
            <w:tcW w:w="849" w:type="dxa"/>
            <w:hideMark/>
          </w:tcPr>
          <w:p w14:paraId="68DAAB9C" w14:textId="77777777" w:rsidR="00FA19B8" w:rsidRPr="001F13F3" w:rsidRDefault="00FA19B8" w:rsidP="00657ACB">
            <w:pPr>
              <w:pStyle w:val="TableText"/>
              <w:spacing w:before="40" w:after="40"/>
              <w:jc w:val="center"/>
              <w:rPr>
                <w:lang w:val="en-NZ" w:eastAsia="en-US" w:bidi="hi-IN"/>
              </w:rPr>
            </w:pPr>
            <w:r w:rsidRPr="001F13F3">
              <w:rPr>
                <w:lang w:val="en-NZ" w:eastAsia="en-US"/>
              </w:rPr>
              <w:t>18.0</w:t>
            </w:r>
          </w:p>
        </w:tc>
        <w:tc>
          <w:tcPr>
            <w:tcW w:w="849" w:type="dxa"/>
            <w:hideMark/>
          </w:tcPr>
          <w:p w14:paraId="27F66161" w14:textId="77777777" w:rsidR="00FA19B8" w:rsidRPr="001F13F3" w:rsidRDefault="00FA19B8" w:rsidP="00657ACB">
            <w:pPr>
              <w:pStyle w:val="TableText"/>
              <w:spacing w:before="40" w:after="40"/>
              <w:jc w:val="center"/>
              <w:rPr>
                <w:lang w:val="en-NZ" w:eastAsia="en-US" w:bidi="hi-IN"/>
              </w:rPr>
            </w:pPr>
            <w:r w:rsidRPr="001F13F3">
              <w:rPr>
                <w:lang w:val="en-NZ" w:eastAsia="en-US"/>
              </w:rPr>
              <w:t>0.3</w:t>
            </w:r>
          </w:p>
        </w:tc>
        <w:tc>
          <w:tcPr>
            <w:tcW w:w="849" w:type="dxa"/>
            <w:hideMark/>
          </w:tcPr>
          <w:p w14:paraId="32029AAF" w14:textId="77777777" w:rsidR="00FA19B8" w:rsidRPr="001F13F3" w:rsidRDefault="00FA19B8" w:rsidP="00657ACB">
            <w:pPr>
              <w:pStyle w:val="TableText"/>
              <w:spacing w:before="40" w:after="40"/>
              <w:jc w:val="center"/>
              <w:rPr>
                <w:lang w:val="en-NZ" w:eastAsia="en-US" w:bidi="hi-IN"/>
              </w:rPr>
            </w:pPr>
            <w:r w:rsidRPr="001F13F3">
              <w:rPr>
                <w:lang w:val="en-NZ" w:eastAsia="en-US"/>
              </w:rPr>
              <w:t>15.2</w:t>
            </w:r>
          </w:p>
        </w:tc>
        <w:tc>
          <w:tcPr>
            <w:tcW w:w="849" w:type="dxa"/>
            <w:hideMark/>
          </w:tcPr>
          <w:p w14:paraId="28F4FA40" w14:textId="77777777" w:rsidR="00FA19B8" w:rsidRPr="001F13F3" w:rsidRDefault="00FA19B8" w:rsidP="00657ACB">
            <w:pPr>
              <w:pStyle w:val="TableText"/>
              <w:spacing w:before="40" w:after="40"/>
              <w:jc w:val="center"/>
              <w:rPr>
                <w:lang w:val="en-NZ" w:eastAsia="en-US" w:bidi="hi-IN"/>
              </w:rPr>
            </w:pPr>
            <w:r w:rsidRPr="001F13F3">
              <w:rPr>
                <w:lang w:val="en-NZ" w:eastAsia="en-US"/>
              </w:rPr>
              <w:t>68.6</w:t>
            </w:r>
          </w:p>
        </w:tc>
        <w:tc>
          <w:tcPr>
            <w:tcW w:w="849" w:type="dxa"/>
            <w:hideMark/>
          </w:tcPr>
          <w:p w14:paraId="59313873" w14:textId="77777777" w:rsidR="00FA19B8" w:rsidRPr="001F13F3" w:rsidRDefault="00FA19B8" w:rsidP="00657ACB">
            <w:pPr>
              <w:pStyle w:val="TableText"/>
              <w:spacing w:before="40" w:after="40"/>
              <w:jc w:val="center"/>
              <w:rPr>
                <w:lang w:val="en-NZ" w:eastAsia="en-US" w:bidi="hi-IN"/>
              </w:rPr>
            </w:pPr>
            <w:r w:rsidRPr="001F13F3">
              <w:rPr>
                <w:lang w:val="en-NZ" w:eastAsia="en-US"/>
              </w:rPr>
              <w:t>41.0</w:t>
            </w:r>
          </w:p>
        </w:tc>
        <w:tc>
          <w:tcPr>
            <w:tcW w:w="849" w:type="dxa"/>
            <w:hideMark/>
          </w:tcPr>
          <w:p w14:paraId="504F6D64" w14:textId="77777777" w:rsidR="00FA19B8" w:rsidRPr="001F13F3" w:rsidRDefault="00FA19B8" w:rsidP="00657ACB">
            <w:pPr>
              <w:pStyle w:val="TableText"/>
              <w:spacing w:before="40" w:after="40"/>
              <w:jc w:val="center"/>
              <w:rPr>
                <w:lang w:val="en-NZ" w:eastAsia="en-US" w:bidi="hi-IN"/>
              </w:rPr>
            </w:pPr>
            <w:r w:rsidRPr="001F13F3">
              <w:rPr>
                <w:lang w:val="en-NZ" w:eastAsia="en-US"/>
              </w:rPr>
              <w:t>252.0</w:t>
            </w:r>
          </w:p>
        </w:tc>
        <w:tc>
          <w:tcPr>
            <w:tcW w:w="849" w:type="dxa"/>
            <w:hideMark/>
          </w:tcPr>
          <w:p w14:paraId="12247876" w14:textId="77777777" w:rsidR="00FA19B8" w:rsidRPr="001F13F3" w:rsidRDefault="00FA19B8" w:rsidP="00657ACB">
            <w:pPr>
              <w:pStyle w:val="TableText"/>
              <w:spacing w:before="40" w:after="40"/>
              <w:jc w:val="center"/>
              <w:rPr>
                <w:lang w:val="en-NZ" w:eastAsia="en-US" w:bidi="hi-IN"/>
              </w:rPr>
            </w:pPr>
            <w:r w:rsidRPr="001F13F3">
              <w:rPr>
                <w:lang w:val="en-NZ" w:eastAsia="en-US"/>
              </w:rPr>
              <w:t>321.8</w:t>
            </w:r>
          </w:p>
        </w:tc>
      </w:tr>
      <w:tr w:rsidR="00FA19B8" w:rsidRPr="001F13F3" w14:paraId="33428E6C" w14:textId="77777777" w:rsidTr="00657ACB">
        <w:tc>
          <w:tcPr>
            <w:tcW w:w="993" w:type="dxa"/>
            <w:hideMark/>
          </w:tcPr>
          <w:p w14:paraId="2CB2DF14" w14:textId="77777777" w:rsidR="00FA19B8" w:rsidRPr="001F13F3" w:rsidRDefault="00FA19B8" w:rsidP="00657ACB">
            <w:pPr>
              <w:pStyle w:val="TableText"/>
              <w:spacing w:before="40" w:after="40"/>
              <w:rPr>
                <w:b/>
                <w:bCs/>
                <w:lang w:val="en-NZ" w:eastAsia="en-US" w:bidi="hi-IN"/>
              </w:rPr>
            </w:pPr>
            <w:r w:rsidRPr="001F13F3">
              <w:rPr>
                <w:b/>
                <w:bCs/>
                <w:lang w:val="en-NZ" w:eastAsia="en-US"/>
              </w:rPr>
              <w:t>CWL</w:t>
            </w:r>
          </w:p>
        </w:tc>
        <w:tc>
          <w:tcPr>
            <w:tcW w:w="850" w:type="dxa"/>
            <w:hideMark/>
          </w:tcPr>
          <w:p w14:paraId="6524D895" w14:textId="77777777" w:rsidR="00FA19B8" w:rsidRPr="001F13F3" w:rsidRDefault="00FA19B8" w:rsidP="00657ACB">
            <w:pPr>
              <w:pStyle w:val="TableText"/>
              <w:spacing w:before="40" w:after="40"/>
              <w:jc w:val="center"/>
              <w:rPr>
                <w:lang w:val="en-NZ" w:eastAsia="en-US" w:bidi="hi-IN"/>
              </w:rPr>
            </w:pPr>
            <w:r w:rsidRPr="001F13F3">
              <w:rPr>
                <w:lang w:val="en-NZ" w:eastAsia="en-US"/>
              </w:rPr>
              <w:t>0.1</w:t>
            </w:r>
          </w:p>
        </w:tc>
        <w:tc>
          <w:tcPr>
            <w:tcW w:w="720" w:type="dxa"/>
            <w:hideMark/>
          </w:tcPr>
          <w:p w14:paraId="5195AF8F" w14:textId="77777777" w:rsidR="00FA19B8" w:rsidRPr="001F13F3" w:rsidRDefault="00FA19B8" w:rsidP="00657ACB">
            <w:pPr>
              <w:pStyle w:val="TableText"/>
              <w:spacing w:before="40" w:after="40"/>
              <w:jc w:val="center"/>
              <w:rPr>
                <w:lang w:val="en-NZ" w:eastAsia="en-US" w:bidi="hi-IN"/>
              </w:rPr>
            </w:pPr>
            <w:r w:rsidRPr="001F13F3">
              <w:rPr>
                <w:lang w:val="en-NZ" w:eastAsia="en-US"/>
              </w:rPr>
              <w:t>1.2</w:t>
            </w:r>
          </w:p>
        </w:tc>
        <w:tc>
          <w:tcPr>
            <w:tcW w:w="849" w:type="dxa"/>
            <w:hideMark/>
          </w:tcPr>
          <w:p w14:paraId="767CDC35" w14:textId="77777777" w:rsidR="00FA19B8" w:rsidRPr="001F13F3" w:rsidRDefault="00FA19B8" w:rsidP="00657ACB">
            <w:pPr>
              <w:pStyle w:val="TableText"/>
              <w:spacing w:before="40" w:after="40"/>
              <w:jc w:val="center"/>
              <w:rPr>
                <w:lang w:val="en-NZ" w:eastAsia="en-US" w:bidi="hi-IN"/>
              </w:rPr>
            </w:pPr>
            <w:r w:rsidRPr="001F13F3">
              <w:rPr>
                <w:lang w:val="en-NZ" w:eastAsia="en-US"/>
              </w:rPr>
              <w:t>8.4</w:t>
            </w:r>
          </w:p>
        </w:tc>
        <w:tc>
          <w:tcPr>
            <w:tcW w:w="849" w:type="dxa"/>
            <w:hideMark/>
          </w:tcPr>
          <w:p w14:paraId="2F18E699"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69535379" w14:textId="77777777" w:rsidR="00FA19B8" w:rsidRPr="001F13F3" w:rsidRDefault="00FA19B8" w:rsidP="00657ACB">
            <w:pPr>
              <w:pStyle w:val="TableText"/>
              <w:spacing w:before="40" w:after="40"/>
              <w:jc w:val="center"/>
              <w:rPr>
                <w:lang w:val="en-NZ" w:eastAsia="en-US" w:bidi="hi-IN"/>
              </w:rPr>
            </w:pPr>
            <w:r w:rsidRPr="001F13F3">
              <w:rPr>
                <w:lang w:val="en-NZ" w:eastAsia="en-US"/>
              </w:rPr>
              <w:t>5.6</w:t>
            </w:r>
          </w:p>
        </w:tc>
        <w:tc>
          <w:tcPr>
            <w:tcW w:w="849" w:type="dxa"/>
            <w:hideMark/>
          </w:tcPr>
          <w:p w14:paraId="3CB62545" w14:textId="77777777" w:rsidR="00FA19B8" w:rsidRPr="001F13F3" w:rsidRDefault="00FA19B8" w:rsidP="00657ACB">
            <w:pPr>
              <w:pStyle w:val="TableText"/>
              <w:spacing w:before="40" w:after="40"/>
              <w:jc w:val="center"/>
              <w:rPr>
                <w:lang w:val="en-NZ" w:eastAsia="en-US" w:bidi="hi-IN"/>
              </w:rPr>
            </w:pPr>
            <w:r w:rsidRPr="001F13F3">
              <w:rPr>
                <w:lang w:val="en-NZ" w:eastAsia="en-US"/>
              </w:rPr>
              <w:t>38.1</w:t>
            </w:r>
          </w:p>
        </w:tc>
        <w:tc>
          <w:tcPr>
            <w:tcW w:w="849" w:type="dxa"/>
            <w:hideMark/>
          </w:tcPr>
          <w:p w14:paraId="32C09984" w14:textId="77777777" w:rsidR="00FA19B8" w:rsidRPr="001F13F3" w:rsidRDefault="00FA19B8" w:rsidP="00657ACB">
            <w:pPr>
              <w:pStyle w:val="TableText"/>
              <w:spacing w:before="40" w:after="40"/>
              <w:jc w:val="center"/>
              <w:rPr>
                <w:lang w:val="en-NZ" w:eastAsia="en-US" w:bidi="hi-IN"/>
              </w:rPr>
            </w:pPr>
            <w:r w:rsidRPr="001F13F3">
              <w:rPr>
                <w:lang w:val="en-NZ" w:eastAsia="en-US"/>
              </w:rPr>
              <w:t>20.1</w:t>
            </w:r>
          </w:p>
        </w:tc>
        <w:tc>
          <w:tcPr>
            <w:tcW w:w="849" w:type="dxa"/>
            <w:hideMark/>
          </w:tcPr>
          <w:p w14:paraId="21CE2171" w14:textId="77777777" w:rsidR="00FA19B8" w:rsidRPr="001F13F3" w:rsidRDefault="00FA19B8" w:rsidP="00657ACB">
            <w:pPr>
              <w:pStyle w:val="TableText"/>
              <w:spacing w:before="40" w:after="40"/>
              <w:jc w:val="center"/>
              <w:rPr>
                <w:lang w:val="en-NZ" w:eastAsia="en-US" w:bidi="hi-IN"/>
              </w:rPr>
            </w:pPr>
            <w:r w:rsidRPr="001F13F3">
              <w:rPr>
                <w:lang w:val="en-NZ" w:eastAsia="en-US"/>
              </w:rPr>
              <w:t>159.5</w:t>
            </w:r>
          </w:p>
        </w:tc>
        <w:tc>
          <w:tcPr>
            <w:tcW w:w="849" w:type="dxa"/>
            <w:hideMark/>
          </w:tcPr>
          <w:p w14:paraId="7BE5A046" w14:textId="77777777" w:rsidR="00FA19B8" w:rsidRPr="001F13F3" w:rsidRDefault="00FA19B8" w:rsidP="00657ACB">
            <w:pPr>
              <w:pStyle w:val="TableText"/>
              <w:spacing w:before="40" w:after="40"/>
              <w:jc w:val="center"/>
              <w:rPr>
                <w:lang w:val="en-NZ" w:eastAsia="en-US" w:bidi="hi-IN"/>
              </w:rPr>
            </w:pPr>
            <w:r w:rsidRPr="001F13F3">
              <w:rPr>
                <w:lang w:val="en-NZ" w:eastAsia="en-US"/>
              </w:rPr>
              <w:t>272.9</w:t>
            </w:r>
          </w:p>
        </w:tc>
      </w:tr>
      <w:tr w:rsidR="00FA19B8" w:rsidRPr="001F13F3" w14:paraId="32E9263B" w14:textId="77777777" w:rsidTr="00657ACB">
        <w:tc>
          <w:tcPr>
            <w:tcW w:w="993" w:type="dxa"/>
            <w:hideMark/>
          </w:tcPr>
          <w:p w14:paraId="1B5E9BC7" w14:textId="77777777" w:rsidR="00FA19B8" w:rsidRPr="001F13F3" w:rsidRDefault="00FA19B8" w:rsidP="00657ACB">
            <w:pPr>
              <w:pStyle w:val="TableText"/>
              <w:spacing w:before="40" w:after="40"/>
              <w:rPr>
                <w:b/>
                <w:bCs/>
                <w:lang w:val="en-NZ" w:eastAsia="en-US" w:bidi="hi-IN"/>
              </w:rPr>
            </w:pPr>
            <w:r w:rsidRPr="001F13F3">
              <w:rPr>
                <w:b/>
                <w:bCs/>
                <w:lang w:val="en-NZ" w:eastAsia="en-US"/>
              </w:rPr>
              <w:t>CWLk</w:t>
            </w:r>
          </w:p>
        </w:tc>
        <w:tc>
          <w:tcPr>
            <w:tcW w:w="850" w:type="dxa"/>
            <w:hideMark/>
          </w:tcPr>
          <w:p w14:paraId="178AF344" w14:textId="77777777" w:rsidR="00FA19B8" w:rsidRPr="001F13F3" w:rsidRDefault="00FA19B8" w:rsidP="00657ACB">
            <w:pPr>
              <w:pStyle w:val="TableText"/>
              <w:spacing w:before="40" w:after="40"/>
              <w:jc w:val="center"/>
              <w:rPr>
                <w:lang w:val="en-NZ" w:eastAsia="en-US" w:bidi="hi-IN"/>
              </w:rPr>
            </w:pPr>
            <w:r w:rsidRPr="001F13F3">
              <w:rPr>
                <w:lang w:val="en-NZ" w:eastAsia="en-US"/>
              </w:rPr>
              <w:t>0.1</w:t>
            </w:r>
          </w:p>
        </w:tc>
        <w:tc>
          <w:tcPr>
            <w:tcW w:w="720" w:type="dxa"/>
            <w:hideMark/>
          </w:tcPr>
          <w:p w14:paraId="48A3469A" w14:textId="77777777" w:rsidR="00FA19B8" w:rsidRPr="001F13F3" w:rsidRDefault="00FA19B8" w:rsidP="00657ACB">
            <w:pPr>
              <w:pStyle w:val="TableText"/>
              <w:spacing w:before="40" w:after="40"/>
              <w:jc w:val="center"/>
              <w:rPr>
                <w:lang w:val="en-NZ" w:eastAsia="en-US" w:bidi="hi-IN"/>
              </w:rPr>
            </w:pPr>
            <w:r w:rsidRPr="001F13F3">
              <w:rPr>
                <w:lang w:val="en-NZ" w:eastAsia="en-US"/>
              </w:rPr>
              <w:t>0.5</w:t>
            </w:r>
          </w:p>
        </w:tc>
        <w:tc>
          <w:tcPr>
            <w:tcW w:w="849" w:type="dxa"/>
            <w:hideMark/>
          </w:tcPr>
          <w:p w14:paraId="3AD8660D" w14:textId="77777777" w:rsidR="00FA19B8" w:rsidRPr="001F13F3" w:rsidRDefault="00FA19B8" w:rsidP="00657ACB">
            <w:pPr>
              <w:pStyle w:val="TableText"/>
              <w:spacing w:before="40" w:after="40"/>
              <w:jc w:val="center"/>
              <w:rPr>
                <w:lang w:val="en-NZ" w:eastAsia="en-US" w:bidi="hi-IN"/>
              </w:rPr>
            </w:pPr>
            <w:r w:rsidRPr="001F13F3">
              <w:rPr>
                <w:lang w:val="en-NZ" w:eastAsia="en-US"/>
              </w:rPr>
              <w:t>4.3</w:t>
            </w:r>
          </w:p>
        </w:tc>
        <w:tc>
          <w:tcPr>
            <w:tcW w:w="849" w:type="dxa"/>
            <w:hideMark/>
          </w:tcPr>
          <w:p w14:paraId="1ACFCDFA"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311DADB6" w14:textId="77777777" w:rsidR="00FA19B8" w:rsidRPr="001F13F3" w:rsidRDefault="00FA19B8" w:rsidP="00657ACB">
            <w:pPr>
              <w:pStyle w:val="TableText"/>
              <w:spacing w:before="40" w:after="40"/>
              <w:jc w:val="center"/>
              <w:rPr>
                <w:lang w:val="en-NZ" w:eastAsia="en-US" w:bidi="hi-IN"/>
              </w:rPr>
            </w:pPr>
            <w:r w:rsidRPr="001F13F3">
              <w:rPr>
                <w:lang w:val="en-NZ" w:eastAsia="en-US"/>
              </w:rPr>
              <w:t>1.9</w:t>
            </w:r>
          </w:p>
        </w:tc>
        <w:tc>
          <w:tcPr>
            <w:tcW w:w="849" w:type="dxa"/>
            <w:hideMark/>
          </w:tcPr>
          <w:p w14:paraId="5A9DFA4E" w14:textId="77777777" w:rsidR="00FA19B8" w:rsidRPr="001F13F3" w:rsidRDefault="00FA19B8" w:rsidP="00657ACB">
            <w:pPr>
              <w:pStyle w:val="TableText"/>
              <w:spacing w:before="40" w:after="40"/>
              <w:jc w:val="center"/>
              <w:rPr>
                <w:lang w:val="en-NZ" w:eastAsia="en-US" w:bidi="hi-IN"/>
              </w:rPr>
            </w:pPr>
            <w:r w:rsidRPr="001F13F3">
              <w:rPr>
                <w:lang w:val="en-NZ" w:eastAsia="en-US"/>
              </w:rPr>
              <w:t>21.3</w:t>
            </w:r>
          </w:p>
        </w:tc>
        <w:tc>
          <w:tcPr>
            <w:tcW w:w="849" w:type="dxa"/>
            <w:hideMark/>
          </w:tcPr>
          <w:p w14:paraId="79985E58" w14:textId="77777777" w:rsidR="00FA19B8" w:rsidRPr="001F13F3" w:rsidRDefault="00FA19B8" w:rsidP="00657ACB">
            <w:pPr>
              <w:pStyle w:val="TableText"/>
              <w:spacing w:before="40" w:after="40"/>
              <w:jc w:val="center"/>
              <w:rPr>
                <w:lang w:val="en-NZ" w:eastAsia="en-US" w:bidi="hi-IN"/>
              </w:rPr>
            </w:pPr>
            <w:r w:rsidRPr="001F13F3">
              <w:rPr>
                <w:lang w:val="en-NZ" w:eastAsia="en-US"/>
              </w:rPr>
              <w:t>9.3</w:t>
            </w:r>
          </w:p>
        </w:tc>
        <w:tc>
          <w:tcPr>
            <w:tcW w:w="849" w:type="dxa"/>
            <w:hideMark/>
          </w:tcPr>
          <w:p w14:paraId="65685844" w14:textId="77777777" w:rsidR="00FA19B8" w:rsidRPr="001F13F3" w:rsidRDefault="00FA19B8" w:rsidP="00657ACB">
            <w:pPr>
              <w:pStyle w:val="TableText"/>
              <w:spacing w:before="40" w:after="40"/>
              <w:jc w:val="center"/>
              <w:rPr>
                <w:lang w:val="en-NZ" w:eastAsia="en-US" w:bidi="hi-IN"/>
              </w:rPr>
            </w:pPr>
            <w:r w:rsidRPr="001F13F3">
              <w:rPr>
                <w:lang w:val="en-NZ" w:eastAsia="en-US"/>
              </w:rPr>
              <w:t>104.5</w:t>
            </w:r>
          </w:p>
        </w:tc>
        <w:tc>
          <w:tcPr>
            <w:tcW w:w="849" w:type="dxa"/>
            <w:hideMark/>
          </w:tcPr>
          <w:p w14:paraId="6F0F241C" w14:textId="77777777" w:rsidR="00FA19B8" w:rsidRPr="001F13F3" w:rsidRDefault="00FA19B8" w:rsidP="00657ACB">
            <w:pPr>
              <w:pStyle w:val="TableText"/>
              <w:spacing w:before="40" w:after="40"/>
              <w:jc w:val="center"/>
              <w:rPr>
                <w:lang w:val="en-NZ" w:eastAsia="en-US" w:bidi="hi-IN"/>
              </w:rPr>
            </w:pPr>
            <w:r w:rsidRPr="001F13F3">
              <w:rPr>
                <w:lang w:val="en-NZ" w:eastAsia="en-US"/>
              </w:rPr>
              <w:t>265.6</w:t>
            </w:r>
          </w:p>
        </w:tc>
      </w:tr>
      <w:tr w:rsidR="00FA19B8" w:rsidRPr="001F13F3" w14:paraId="3D458F09" w14:textId="77777777" w:rsidTr="00657ACB">
        <w:tc>
          <w:tcPr>
            <w:tcW w:w="993" w:type="dxa"/>
            <w:hideMark/>
          </w:tcPr>
          <w:p w14:paraId="356C7A2E" w14:textId="77777777" w:rsidR="00FA19B8" w:rsidRPr="001F13F3" w:rsidRDefault="00FA19B8" w:rsidP="00657ACB">
            <w:pPr>
              <w:pStyle w:val="TableText"/>
              <w:spacing w:before="40" w:after="40"/>
              <w:rPr>
                <w:b/>
                <w:bCs/>
                <w:lang w:val="en-NZ" w:eastAsia="en-US" w:bidi="hi-IN"/>
              </w:rPr>
            </w:pPr>
            <w:r w:rsidRPr="001F13F3">
              <w:rPr>
                <w:b/>
                <w:bCs/>
                <w:lang w:val="en-NZ" w:eastAsia="en-US"/>
              </w:rPr>
              <w:t>CDM</w:t>
            </w:r>
          </w:p>
        </w:tc>
        <w:tc>
          <w:tcPr>
            <w:tcW w:w="850" w:type="dxa"/>
            <w:hideMark/>
          </w:tcPr>
          <w:p w14:paraId="1D97FAE6"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720" w:type="dxa"/>
            <w:hideMark/>
          </w:tcPr>
          <w:p w14:paraId="6A810844" w14:textId="77777777" w:rsidR="00FA19B8" w:rsidRPr="001F13F3" w:rsidRDefault="00FA19B8" w:rsidP="00657ACB">
            <w:pPr>
              <w:pStyle w:val="TableText"/>
              <w:spacing w:before="40" w:after="40"/>
              <w:jc w:val="center"/>
              <w:rPr>
                <w:lang w:val="en-NZ" w:eastAsia="en-US" w:bidi="hi-IN"/>
              </w:rPr>
            </w:pPr>
            <w:r w:rsidRPr="001F13F3">
              <w:rPr>
                <w:lang w:val="en-NZ" w:eastAsia="en-US"/>
              </w:rPr>
              <w:t>0.5</w:t>
            </w:r>
          </w:p>
        </w:tc>
        <w:tc>
          <w:tcPr>
            <w:tcW w:w="849" w:type="dxa"/>
            <w:hideMark/>
          </w:tcPr>
          <w:p w14:paraId="73271A2D" w14:textId="77777777" w:rsidR="00FA19B8" w:rsidRPr="001F13F3" w:rsidRDefault="00FA19B8" w:rsidP="00657ACB">
            <w:pPr>
              <w:pStyle w:val="TableText"/>
              <w:spacing w:before="40" w:after="40"/>
              <w:jc w:val="center"/>
              <w:rPr>
                <w:lang w:val="en-NZ" w:eastAsia="en-US" w:bidi="hi-IN"/>
              </w:rPr>
            </w:pPr>
            <w:r w:rsidRPr="001F13F3">
              <w:rPr>
                <w:lang w:val="en-NZ" w:eastAsia="en-US"/>
              </w:rPr>
              <w:t>4.9</w:t>
            </w:r>
          </w:p>
        </w:tc>
        <w:tc>
          <w:tcPr>
            <w:tcW w:w="849" w:type="dxa"/>
            <w:hideMark/>
          </w:tcPr>
          <w:p w14:paraId="3E242BC1"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0CAF6B40" w14:textId="77777777" w:rsidR="00FA19B8" w:rsidRPr="001F13F3" w:rsidRDefault="00FA19B8" w:rsidP="00657ACB">
            <w:pPr>
              <w:pStyle w:val="TableText"/>
              <w:spacing w:before="40" w:after="40"/>
              <w:jc w:val="center"/>
              <w:rPr>
                <w:lang w:val="en-NZ" w:eastAsia="en-US" w:bidi="hi-IN"/>
              </w:rPr>
            </w:pPr>
            <w:r w:rsidRPr="001F13F3">
              <w:rPr>
                <w:lang w:val="en-NZ" w:eastAsia="en-US"/>
              </w:rPr>
              <w:t>2.3</w:t>
            </w:r>
          </w:p>
        </w:tc>
        <w:tc>
          <w:tcPr>
            <w:tcW w:w="849" w:type="dxa"/>
            <w:hideMark/>
          </w:tcPr>
          <w:p w14:paraId="40B22B73" w14:textId="77777777" w:rsidR="00FA19B8" w:rsidRPr="001F13F3" w:rsidRDefault="00FA19B8" w:rsidP="00657ACB">
            <w:pPr>
              <w:pStyle w:val="TableText"/>
              <w:spacing w:before="40" w:after="40"/>
              <w:jc w:val="center"/>
              <w:rPr>
                <w:lang w:val="en-NZ" w:eastAsia="en-US" w:bidi="hi-IN"/>
              </w:rPr>
            </w:pPr>
            <w:r w:rsidRPr="001F13F3">
              <w:rPr>
                <w:lang w:val="en-NZ" w:eastAsia="en-US"/>
              </w:rPr>
              <w:t>23.6</w:t>
            </w:r>
          </w:p>
        </w:tc>
        <w:tc>
          <w:tcPr>
            <w:tcW w:w="849" w:type="dxa"/>
            <w:hideMark/>
          </w:tcPr>
          <w:p w14:paraId="0E39B345" w14:textId="77777777" w:rsidR="00FA19B8" w:rsidRPr="001F13F3" w:rsidRDefault="00FA19B8" w:rsidP="00657ACB">
            <w:pPr>
              <w:pStyle w:val="TableText"/>
              <w:spacing w:before="40" w:after="40"/>
              <w:jc w:val="center"/>
              <w:rPr>
                <w:lang w:val="en-NZ" w:eastAsia="en-US" w:bidi="hi-IN"/>
              </w:rPr>
            </w:pPr>
            <w:r w:rsidRPr="001F13F3">
              <w:rPr>
                <w:lang w:val="en-NZ" w:eastAsia="en-US"/>
              </w:rPr>
              <w:t>10.1</w:t>
            </w:r>
          </w:p>
        </w:tc>
        <w:tc>
          <w:tcPr>
            <w:tcW w:w="849" w:type="dxa"/>
            <w:hideMark/>
          </w:tcPr>
          <w:p w14:paraId="569F2566" w14:textId="77777777" w:rsidR="00FA19B8" w:rsidRPr="001F13F3" w:rsidRDefault="00FA19B8" w:rsidP="00657ACB">
            <w:pPr>
              <w:pStyle w:val="TableText"/>
              <w:spacing w:before="40" w:after="40"/>
              <w:jc w:val="center"/>
              <w:rPr>
                <w:lang w:val="en-NZ" w:eastAsia="en-US" w:bidi="hi-IN"/>
              </w:rPr>
            </w:pPr>
            <w:r w:rsidRPr="001F13F3">
              <w:rPr>
                <w:lang w:val="en-NZ" w:eastAsia="en-US"/>
              </w:rPr>
              <w:t>108.2</w:t>
            </w:r>
          </w:p>
        </w:tc>
        <w:tc>
          <w:tcPr>
            <w:tcW w:w="849" w:type="dxa"/>
            <w:hideMark/>
          </w:tcPr>
          <w:p w14:paraId="326A90E6" w14:textId="77777777" w:rsidR="00FA19B8" w:rsidRPr="001F13F3" w:rsidRDefault="00FA19B8" w:rsidP="00657ACB">
            <w:pPr>
              <w:pStyle w:val="TableText"/>
              <w:spacing w:before="40" w:after="40"/>
              <w:jc w:val="center"/>
              <w:rPr>
                <w:lang w:val="en-NZ" w:eastAsia="en-US" w:bidi="hi-IN"/>
              </w:rPr>
            </w:pPr>
            <w:r w:rsidRPr="001F13F3">
              <w:rPr>
                <w:lang w:val="en-NZ" w:eastAsia="en-US"/>
              </w:rPr>
              <w:t>272.5</w:t>
            </w:r>
          </w:p>
        </w:tc>
      </w:tr>
      <w:tr w:rsidR="00FA19B8" w:rsidRPr="001F13F3" w14:paraId="419D4338" w14:textId="77777777" w:rsidTr="00657ACB">
        <w:tc>
          <w:tcPr>
            <w:tcW w:w="993" w:type="dxa"/>
            <w:hideMark/>
          </w:tcPr>
          <w:p w14:paraId="308D310D" w14:textId="77777777" w:rsidR="00FA19B8" w:rsidRPr="001F13F3" w:rsidRDefault="00FA19B8" w:rsidP="00657ACB">
            <w:pPr>
              <w:pStyle w:val="TableText"/>
              <w:spacing w:before="40" w:after="40"/>
              <w:rPr>
                <w:b/>
                <w:bCs/>
                <w:lang w:val="en-NZ" w:eastAsia="en-US" w:bidi="hi-IN"/>
              </w:rPr>
            </w:pPr>
            <w:r w:rsidRPr="001F13F3">
              <w:rPr>
                <w:b/>
                <w:bCs/>
                <w:lang w:val="en-NZ" w:eastAsia="en-US"/>
              </w:rPr>
              <w:t>CDH</w:t>
            </w:r>
          </w:p>
        </w:tc>
        <w:tc>
          <w:tcPr>
            <w:tcW w:w="850" w:type="dxa"/>
            <w:hideMark/>
          </w:tcPr>
          <w:p w14:paraId="339F7EF7" w14:textId="77777777" w:rsidR="00FA19B8" w:rsidRPr="001F13F3" w:rsidRDefault="00FA19B8" w:rsidP="00657ACB">
            <w:pPr>
              <w:pStyle w:val="TableText"/>
              <w:spacing w:before="40" w:after="40"/>
              <w:jc w:val="center"/>
              <w:rPr>
                <w:lang w:val="en-NZ" w:eastAsia="en-US" w:bidi="hi-IN"/>
              </w:rPr>
            </w:pPr>
            <w:r w:rsidRPr="001F13F3">
              <w:rPr>
                <w:lang w:val="en-NZ" w:eastAsia="en-US"/>
              </w:rPr>
              <w:t>0.1</w:t>
            </w:r>
          </w:p>
        </w:tc>
        <w:tc>
          <w:tcPr>
            <w:tcW w:w="720" w:type="dxa"/>
            <w:hideMark/>
          </w:tcPr>
          <w:p w14:paraId="08D688E6" w14:textId="77777777" w:rsidR="00FA19B8" w:rsidRPr="001F13F3" w:rsidRDefault="00FA19B8" w:rsidP="00657ACB">
            <w:pPr>
              <w:pStyle w:val="TableText"/>
              <w:spacing w:before="40" w:after="40"/>
              <w:jc w:val="center"/>
              <w:rPr>
                <w:lang w:val="en-NZ" w:eastAsia="en-US" w:bidi="hi-IN"/>
              </w:rPr>
            </w:pPr>
            <w:r w:rsidRPr="001F13F3">
              <w:rPr>
                <w:lang w:val="en-NZ" w:eastAsia="en-US"/>
              </w:rPr>
              <w:t>0.4</w:t>
            </w:r>
          </w:p>
        </w:tc>
        <w:tc>
          <w:tcPr>
            <w:tcW w:w="849" w:type="dxa"/>
            <w:hideMark/>
          </w:tcPr>
          <w:p w14:paraId="294E97C1" w14:textId="77777777" w:rsidR="00FA19B8" w:rsidRPr="001F13F3" w:rsidRDefault="00FA19B8" w:rsidP="00657ACB">
            <w:pPr>
              <w:pStyle w:val="TableText"/>
              <w:spacing w:before="40" w:after="40"/>
              <w:jc w:val="center"/>
              <w:rPr>
                <w:lang w:val="en-NZ" w:eastAsia="en-US" w:bidi="hi-IN"/>
              </w:rPr>
            </w:pPr>
            <w:r w:rsidRPr="001F13F3">
              <w:rPr>
                <w:lang w:val="en-NZ" w:eastAsia="en-US"/>
              </w:rPr>
              <w:t>2.6</w:t>
            </w:r>
          </w:p>
        </w:tc>
        <w:tc>
          <w:tcPr>
            <w:tcW w:w="849" w:type="dxa"/>
            <w:hideMark/>
          </w:tcPr>
          <w:p w14:paraId="4720836E"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455EF544" w14:textId="77777777" w:rsidR="00FA19B8" w:rsidRPr="001F13F3" w:rsidRDefault="00FA19B8" w:rsidP="00657ACB">
            <w:pPr>
              <w:pStyle w:val="TableText"/>
              <w:spacing w:before="40" w:after="40"/>
              <w:jc w:val="center"/>
              <w:rPr>
                <w:lang w:val="en-NZ" w:eastAsia="en-US" w:bidi="hi-IN"/>
              </w:rPr>
            </w:pPr>
            <w:r w:rsidRPr="001F13F3">
              <w:rPr>
                <w:lang w:val="en-NZ" w:eastAsia="en-US"/>
              </w:rPr>
              <w:t>1.2</w:t>
            </w:r>
          </w:p>
        </w:tc>
        <w:tc>
          <w:tcPr>
            <w:tcW w:w="849" w:type="dxa"/>
            <w:hideMark/>
          </w:tcPr>
          <w:p w14:paraId="66F41787" w14:textId="77777777" w:rsidR="00FA19B8" w:rsidRPr="001F13F3" w:rsidRDefault="00FA19B8" w:rsidP="00657ACB">
            <w:pPr>
              <w:pStyle w:val="TableText"/>
              <w:spacing w:before="40" w:after="40"/>
              <w:jc w:val="center"/>
              <w:rPr>
                <w:lang w:val="en-NZ" w:eastAsia="en-US" w:bidi="hi-IN"/>
              </w:rPr>
            </w:pPr>
            <w:r w:rsidRPr="001F13F3">
              <w:rPr>
                <w:lang w:val="en-NZ" w:eastAsia="en-US"/>
              </w:rPr>
              <w:t>12.7</w:t>
            </w:r>
          </w:p>
        </w:tc>
        <w:tc>
          <w:tcPr>
            <w:tcW w:w="849" w:type="dxa"/>
            <w:hideMark/>
          </w:tcPr>
          <w:p w14:paraId="3D37907A" w14:textId="77777777" w:rsidR="00FA19B8" w:rsidRPr="001F13F3" w:rsidRDefault="00FA19B8" w:rsidP="00657ACB">
            <w:pPr>
              <w:pStyle w:val="TableText"/>
              <w:spacing w:before="40" w:after="40"/>
              <w:jc w:val="center"/>
              <w:rPr>
                <w:lang w:val="en-NZ" w:eastAsia="en-US" w:bidi="hi-IN"/>
              </w:rPr>
            </w:pPr>
            <w:r w:rsidRPr="001F13F3">
              <w:rPr>
                <w:lang w:val="en-NZ" w:eastAsia="en-US"/>
              </w:rPr>
              <w:t>5.5</w:t>
            </w:r>
          </w:p>
        </w:tc>
        <w:tc>
          <w:tcPr>
            <w:tcW w:w="849" w:type="dxa"/>
            <w:hideMark/>
          </w:tcPr>
          <w:p w14:paraId="17AE6A85" w14:textId="77777777" w:rsidR="00FA19B8" w:rsidRPr="001F13F3" w:rsidRDefault="00FA19B8" w:rsidP="00657ACB">
            <w:pPr>
              <w:pStyle w:val="TableText"/>
              <w:spacing w:before="40" w:after="40"/>
              <w:jc w:val="center"/>
              <w:rPr>
                <w:lang w:val="en-NZ" w:eastAsia="en-US" w:bidi="hi-IN"/>
              </w:rPr>
            </w:pPr>
            <w:r w:rsidRPr="001F13F3">
              <w:rPr>
                <w:lang w:val="en-NZ" w:eastAsia="en-US"/>
              </w:rPr>
              <w:t>76.0</w:t>
            </w:r>
          </w:p>
        </w:tc>
        <w:tc>
          <w:tcPr>
            <w:tcW w:w="849" w:type="dxa"/>
            <w:hideMark/>
          </w:tcPr>
          <w:p w14:paraId="19392DC3" w14:textId="77777777" w:rsidR="00FA19B8" w:rsidRPr="001F13F3" w:rsidRDefault="00FA19B8" w:rsidP="00657ACB">
            <w:pPr>
              <w:pStyle w:val="TableText"/>
              <w:spacing w:before="40" w:after="40"/>
              <w:jc w:val="center"/>
              <w:rPr>
                <w:lang w:val="en-NZ" w:eastAsia="en-US" w:bidi="hi-IN"/>
              </w:rPr>
            </w:pPr>
            <w:r w:rsidRPr="001F13F3">
              <w:rPr>
                <w:lang w:val="en-NZ" w:eastAsia="en-US"/>
              </w:rPr>
              <w:t>221.3</w:t>
            </w:r>
          </w:p>
        </w:tc>
      </w:tr>
      <w:tr w:rsidR="00FA19B8" w:rsidRPr="001F13F3" w14:paraId="231BE62D" w14:textId="77777777" w:rsidTr="00657ACB">
        <w:tc>
          <w:tcPr>
            <w:tcW w:w="993" w:type="dxa"/>
            <w:hideMark/>
          </w:tcPr>
          <w:p w14:paraId="492889B8" w14:textId="77777777" w:rsidR="00FA19B8" w:rsidRPr="001F13F3" w:rsidRDefault="00FA19B8" w:rsidP="00657ACB">
            <w:pPr>
              <w:pStyle w:val="TableText"/>
              <w:spacing w:before="40" w:after="40"/>
              <w:rPr>
                <w:b/>
                <w:bCs/>
                <w:lang w:val="en-NZ" w:eastAsia="en-US" w:bidi="hi-IN"/>
              </w:rPr>
            </w:pPr>
            <w:r w:rsidRPr="001F13F3">
              <w:rPr>
                <w:b/>
                <w:bCs/>
                <w:lang w:val="en-NZ" w:eastAsia="en-US"/>
              </w:rPr>
              <w:t>CDL</w:t>
            </w:r>
          </w:p>
        </w:tc>
        <w:tc>
          <w:tcPr>
            <w:tcW w:w="850" w:type="dxa"/>
            <w:hideMark/>
          </w:tcPr>
          <w:p w14:paraId="33383189"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720" w:type="dxa"/>
            <w:hideMark/>
          </w:tcPr>
          <w:p w14:paraId="0DD11882" w14:textId="77777777" w:rsidR="00FA19B8" w:rsidRPr="001F13F3" w:rsidRDefault="00FA19B8" w:rsidP="00657ACB">
            <w:pPr>
              <w:pStyle w:val="TableText"/>
              <w:spacing w:before="40" w:after="40"/>
              <w:jc w:val="center"/>
              <w:rPr>
                <w:lang w:val="en-NZ" w:eastAsia="en-US" w:bidi="hi-IN"/>
              </w:rPr>
            </w:pPr>
            <w:r w:rsidRPr="001F13F3">
              <w:rPr>
                <w:lang w:val="en-NZ" w:eastAsia="en-US"/>
              </w:rPr>
              <w:t>0.3</w:t>
            </w:r>
          </w:p>
        </w:tc>
        <w:tc>
          <w:tcPr>
            <w:tcW w:w="849" w:type="dxa"/>
            <w:hideMark/>
          </w:tcPr>
          <w:p w14:paraId="29A5EE7F" w14:textId="77777777" w:rsidR="00FA19B8" w:rsidRPr="001F13F3" w:rsidRDefault="00FA19B8" w:rsidP="00657ACB">
            <w:pPr>
              <w:pStyle w:val="TableText"/>
              <w:spacing w:before="40" w:after="40"/>
              <w:jc w:val="center"/>
              <w:rPr>
                <w:lang w:val="en-NZ" w:eastAsia="en-US" w:bidi="hi-IN"/>
              </w:rPr>
            </w:pPr>
            <w:r w:rsidRPr="001F13F3">
              <w:rPr>
                <w:lang w:val="en-NZ" w:eastAsia="en-US"/>
              </w:rPr>
              <w:t>2.4</w:t>
            </w:r>
          </w:p>
        </w:tc>
        <w:tc>
          <w:tcPr>
            <w:tcW w:w="849" w:type="dxa"/>
            <w:hideMark/>
          </w:tcPr>
          <w:p w14:paraId="5DBB4B9C"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755098D4" w14:textId="77777777" w:rsidR="00FA19B8" w:rsidRPr="001F13F3" w:rsidRDefault="00FA19B8" w:rsidP="00657ACB">
            <w:pPr>
              <w:pStyle w:val="TableText"/>
              <w:spacing w:before="40" w:after="40"/>
              <w:jc w:val="center"/>
              <w:rPr>
                <w:lang w:val="en-NZ" w:eastAsia="en-US" w:bidi="hi-IN"/>
              </w:rPr>
            </w:pPr>
            <w:r w:rsidRPr="001F13F3">
              <w:rPr>
                <w:lang w:val="en-NZ" w:eastAsia="en-US"/>
              </w:rPr>
              <w:t>1.1</w:t>
            </w:r>
          </w:p>
        </w:tc>
        <w:tc>
          <w:tcPr>
            <w:tcW w:w="849" w:type="dxa"/>
            <w:hideMark/>
          </w:tcPr>
          <w:p w14:paraId="3003F234" w14:textId="77777777" w:rsidR="00FA19B8" w:rsidRPr="001F13F3" w:rsidRDefault="00FA19B8" w:rsidP="00657ACB">
            <w:pPr>
              <w:pStyle w:val="TableText"/>
              <w:spacing w:before="40" w:after="40"/>
              <w:jc w:val="center"/>
              <w:rPr>
                <w:lang w:val="en-NZ" w:eastAsia="en-US" w:bidi="hi-IN"/>
              </w:rPr>
            </w:pPr>
            <w:r w:rsidRPr="001F13F3">
              <w:rPr>
                <w:lang w:val="en-NZ" w:eastAsia="en-US"/>
              </w:rPr>
              <w:t>11.7</w:t>
            </w:r>
          </w:p>
        </w:tc>
        <w:tc>
          <w:tcPr>
            <w:tcW w:w="849" w:type="dxa"/>
            <w:hideMark/>
          </w:tcPr>
          <w:p w14:paraId="226F9207" w14:textId="77777777" w:rsidR="00FA19B8" w:rsidRPr="001F13F3" w:rsidRDefault="00FA19B8" w:rsidP="00657ACB">
            <w:pPr>
              <w:pStyle w:val="TableText"/>
              <w:spacing w:before="40" w:after="40"/>
              <w:jc w:val="center"/>
              <w:rPr>
                <w:lang w:val="en-NZ" w:eastAsia="en-US" w:bidi="hi-IN"/>
              </w:rPr>
            </w:pPr>
            <w:r w:rsidRPr="001F13F3">
              <w:rPr>
                <w:lang w:val="en-NZ" w:eastAsia="en-US"/>
              </w:rPr>
              <w:t>6.0</w:t>
            </w:r>
          </w:p>
        </w:tc>
        <w:tc>
          <w:tcPr>
            <w:tcW w:w="849" w:type="dxa"/>
            <w:hideMark/>
          </w:tcPr>
          <w:p w14:paraId="2D41E7EB" w14:textId="77777777" w:rsidR="00FA19B8" w:rsidRPr="001F13F3" w:rsidRDefault="00FA19B8" w:rsidP="00657ACB">
            <w:pPr>
              <w:pStyle w:val="TableText"/>
              <w:spacing w:before="40" w:after="40"/>
              <w:jc w:val="center"/>
              <w:rPr>
                <w:lang w:val="en-NZ" w:eastAsia="en-US" w:bidi="hi-IN"/>
              </w:rPr>
            </w:pPr>
            <w:r w:rsidRPr="001F13F3">
              <w:rPr>
                <w:lang w:val="en-NZ" w:eastAsia="en-US"/>
              </w:rPr>
              <w:t>76.7</w:t>
            </w:r>
          </w:p>
        </w:tc>
        <w:tc>
          <w:tcPr>
            <w:tcW w:w="849" w:type="dxa"/>
            <w:hideMark/>
          </w:tcPr>
          <w:p w14:paraId="546ADFE3" w14:textId="77777777" w:rsidR="00FA19B8" w:rsidRPr="001F13F3" w:rsidRDefault="00FA19B8" w:rsidP="00657ACB">
            <w:pPr>
              <w:pStyle w:val="TableText"/>
              <w:spacing w:before="40" w:after="40"/>
              <w:jc w:val="center"/>
              <w:rPr>
                <w:lang w:val="en-NZ" w:eastAsia="en-US" w:bidi="hi-IN"/>
              </w:rPr>
            </w:pPr>
            <w:r w:rsidRPr="001F13F3">
              <w:rPr>
                <w:lang w:val="en-NZ" w:eastAsia="en-US"/>
              </w:rPr>
              <w:t>220.9</w:t>
            </w:r>
          </w:p>
        </w:tc>
      </w:tr>
      <w:tr w:rsidR="00FA19B8" w:rsidRPr="001F13F3" w14:paraId="09278CDB" w14:textId="77777777" w:rsidTr="00657ACB">
        <w:tc>
          <w:tcPr>
            <w:tcW w:w="993" w:type="dxa"/>
            <w:hideMark/>
          </w:tcPr>
          <w:p w14:paraId="005A169B" w14:textId="77777777" w:rsidR="00FA19B8" w:rsidRPr="001F13F3" w:rsidRDefault="00FA19B8" w:rsidP="00657ACB">
            <w:pPr>
              <w:pStyle w:val="TableText"/>
              <w:spacing w:before="40" w:after="40"/>
              <w:rPr>
                <w:b/>
                <w:bCs/>
                <w:lang w:val="en-NZ" w:eastAsia="en-US" w:bidi="hi-IN"/>
              </w:rPr>
            </w:pPr>
            <w:r w:rsidRPr="001F13F3">
              <w:rPr>
                <w:b/>
                <w:bCs/>
                <w:lang w:val="en-NZ" w:eastAsia="en-US"/>
              </w:rPr>
              <w:t>CDLk</w:t>
            </w:r>
          </w:p>
        </w:tc>
        <w:tc>
          <w:tcPr>
            <w:tcW w:w="850" w:type="dxa"/>
            <w:hideMark/>
          </w:tcPr>
          <w:p w14:paraId="1B21EC03"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720" w:type="dxa"/>
            <w:hideMark/>
          </w:tcPr>
          <w:p w14:paraId="7F67EF4D" w14:textId="77777777" w:rsidR="00FA19B8" w:rsidRPr="001F13F3" w:rsidRDefault="00FA19B8" w:rsidP="00657ACB">
            <w:pPr>
              <w:pStyle w:val="TableText"/>
              <w:spacing w:before="40" w:after="40"/>
              <w:jc w:val="center"/>
              <w:rPr>
                <w:lang w:val="en-NZ" w:eastAsia="en-US" w:bidi="hi-IN"/>
              </w:rPr>
            </w:pPr>
            <w:r w:rsidRPr="001F13F3">
              <w:rPr>
                <w:lang w:val="en-NZ" w:eastAsia="en-US"/>
              </w:rPr>
              <w:t>0.3</w:t>
            </w:r>
          </w:p>
        </w:tc>
        <w:tc>
          <w:tcPr>
            <w:tcW w:w="849" w:type="dxa"/>
            <w:hideMark/>
          </w:tcPr>
          <w:p w14:paraId="51545EBF" w14:textId="77777777" w:rsidR="00FA19B8" w:rsidRPr="001F13F3" w:rsidRDefault="00FA19B8" w:rsidP="00657ACB">
            <w:pPr>
              <w:pStyle w:val="TableText"/>
              <w:spacing w:before="40" w:after="40"/>
              <w:jc w:val="center"/>
              <w:rPr>
                <w:lang w:val="en-NZ" w:eastAsia="en-US" w:bidi="hi-IN"/>
              </w:rPr>
            </w:pPr>
            <w:r w:rsidRPr="001F13F3">
              <w:rPr>
                <w:lang w:val="en-NZ" w:eastAsia="en-US"/>
              </w:rPr>
              <w:t>2.6</w:t>
            </w:r>
          </w:p>
        </w:tc>
        <w:tc>
          <w:tcPr>
            <w:tcW w:w="849" w:type="dxa"/>
            <w:hideMark/>
          </w:tcPr>
          <w:p w14:paraId="2CC3B64E"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6B359DE8" w14:textId="77777777" w:rsidR="00FA19B8" w:rsidRPr="001F13F3" w:rsidRDefault="00FA19B8" w:rsidP="00657ACB">
            <w:pPr>
              <w:pStyle w:val="TableText"/>
              <w:spacing w:before="40" w:after="40"/>
              <w:jc w:val="center"/>
              <w:rPr>
                <w:lang w:val="en-NZ" w:eastAsia="en-US" w:bidi="hi-IN"/>
              </w:rPr>
            </w:pPr>
            <w:r w:rsidRPr="001F13F3">
              <w:rPr>
                <w:lang w:val="en-NZ" w:eastAsia="en-US"/>
              </w:rPr>
              <w:t>1.0</w:t>
            </w:r>
          </w:p>
        </w:tc>
        <w:tc>
          <w:tcPr>
            <w:tcW w:w="849" w:type="dxa"/>
            <w:hideMark/>
          </w:tcPr>
          <w:p w14:paraId="02F7C9BE" w14:textId="77777777" w:rsidR="00FA19B8" w:rsidRPr="001F13F3" w:rsidRDefault="00FA19B8" w:rsidP="00657ACB">
            <w:pPr>
              <w:pStyle w:val="TableText"/>
              <w:spacing w:before="40" w:after="40"/>
              <w:jc w:val="center"/>
              <w:rPr>
                <w:lang w:val="en-NZ" w:eastAsia="en-US" w:bidi="hi-IN"/>
              </w:rPr>
            </w:pPr>
            <w:r w:rsidRPr="001F13F3">
              <w:rPr>
                <w:lang w:val="en-NZ" w:eastAsia="en-US"/>
              </w:rPr>
              <w:t>12.4</w:t>
            </w:r>
          </w:p>
        </w:tc>
        <w:tc>
          <w:tcPr>
            <w:tcW w:w="849" w:type="dxa"/>
            <w:hideMark/>
          </w:tcPr>
          <w:p w14:paraId="77032642" w14:textId="77777777" w:rsidR="00FA19B8" w:rsidRPr="001F13F3" w:rsidRDefault="00FA19B8" w:rsidP="00657ACB">
            <w:pPr>
              <w:pStyle w:val="TableText"/>
              <w:spacing w:before="40" w:after="40"/>
              <w:jc w:val="center"/>
              <w:rPr>
                <w:lang w:val="en-NZ" w:eastAsia="en-US" w:bidi="hi-IN"/>
              </w:rPr>
            </w:pPr>
            <w:r w:rsidRPr="001F13F3">
              <w:rPr>
                <w:lang w:val="en-NZ" w:eastAsia="en-US"/>
              </w:rPr>
              <w:t>5.6</w:t>
            </w:r>
          </w:p>
        </w:tc>
        <w:tc>
          <w:tcPr>
            <w:tcW w:w="849" w:type="dxa"/>
            <w:hideMark/>
          </w:tcPr>
          <w:p w14:paraId="4EDFA093" w14:textId="77777777" w:rsidR="00FA19B8" w:rsidRPr="001F13F3" w:rsidRDefault="00FA19B8" w:rsidP="00657ACB">
            <w:pPr>
              <w:pStyle w:val="TableText"/>
              <w:spacing w:before="40" w:after="40"/>
              <w:jc w:val="center"/>
              <w:rPr>
                <w:lang w:val="en-NZ" w:eastAsia="en-US" w:bidi="hi-IN"/>
              </w:rPr>
            </w:pPr>
            <w:r w:rsidRPr="001F13F3">
              <w:rPr>
                <w:lang w:val="en-NZ" w:eastAsia="en-US"/>
              </w:rPr>
              <w:t>72.4</w:t>
            </w:r>
          </w:p>
        </w:tc>
        <w:tc>
          <w:tcPr>
            <w:tcW w:w="849" w:type="dxa"/>
            <w:hideMark/>
          </w:tcPr>
          <w:p w14:paraId="741FF5D9" w14:textId="77777777" w:rsidR="00FA19B8" w:rsidRPr="001F13F3" w:rsidRDefault="00FA19B8" w:rsidP="00657ACB">
            <w:pPr>
              <w:pStyle w:val="TableText"/>
              <w:spacing w:before="40" w:after="40"/>
              <w:jc w:val="center"/>
              <w:rPr>
                <w:lang w:val="en-NZ" w:eastAsia="en-US" w:bidi="hi-IN"/>
              </w:rPr>
            </w:pPr>
            <w:r w:rsidRPr="001F13F3">
              <w:rPr>
                <w:lang w:val="en-NZ" w:eastAsia="en-US"/>
              </w:rPr>
              <w:t>212.2</w:t>
            </w:r>
          </w:p>
        </w:tc>
      </w:tr>
      <w:tr w:rsidR="00FA19B8" w:rsidRPr="001F13F3" w14:paraId="2A94EA71" w14:textId="77777777" w:rsidTr="00657ACB">
        <w:tc>
          <w:tcPr>
            <w:tcW w:w="993" w:type="dxa"/>
            <w:hideMark/>
          </w:tcPr>
          <w:p w14:paraId="4D536D52" w14:textId="77777777" w:rsidR="00FA19B8" w:rsidRPr="001F13F3" w:rsidRDefault="00FA19B8" w:rsidP="00657ACB">
            <w:pPr>
              <w:pStyle w:val="TableText"/>
              <w:spacing w:before="40" w:after="40"/>
              <w:rPr>
                <w:b/>
                <w:bCs/>
                <w:lang w:val="en-NZ" w:eastAsia="en-US" w:bidi="hi-IN"/>
              </w:rPr>
            </w:pPr>
            <w:r w:rsidRPr="001F13F3">
              <w:rPr>
                <w:b/>
                <w:bCs/>
                <w:lang w:val="en-NZ" w:eastAsia="en-US"/>
              </w:rPr>
              <w:t>WXL</w:t>
            </w:r>
          </w:p>
        </w:tc>
        <w:tc>
          <w:tcPr>
            <w:tcW w:w="850" w:type="dxa"/>
            <w:hideMark/>
          </w:tcPr>
          <w:p w14:paraId="1495D2BC"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720" w:type="dxa"/>
            <w:hideMark/>
          </w:tcPr>
          <w:p w14:paraId="52C23802" w14:textId="77777777" w:rsidR="00FA19B8" w:rsidRPr="001F13F3" w:rsidRDefault="00FA19B8" w:rsidP="00657ACB">
            <w:pPr>
              <w:pStyle w:val="TableText"/>
              <w:spacing w:before="40" w:after="40"/>
              <w:jc w:val="center"/>
              <w:rPr>
                <w:lang w:val="en-NZ" w:eastAsia="en-US" w:bidi="hi-IN"/>
              </w:rPr>
            </w:pPr>
            <w:r w:rsidRPr="001F13F3">
              <w:rPr>
                <w:lang w:val="en-NZ" w:eastAsia="en-US"/>
              </w:rPr>
              <w:t>1.6</w:t>
            </w:r>
          </w:p>
        </w:tc>
        <w:tc>
          <w:tcPr>
            <w:tcW w:w="849" w:type="dxa"/>
            <w:hideMark/>
          </w:tcPr>
          <w:p w14:paraId="7FEB8A07" w14:textId="77777777" w:rsidR="00FA19B8" w:rsidRPr="001F13F3" w:rsidRDefault="00FA19B8" w:rsidP="00657ACB">
            <w:pPr>
              <w:pStyle w:val="TableText"/>
              <w:spacing w:before="40" w:after="40"/>
              <w:jc w:val="center"/>
              <w:rPr>
                <w:lang w:val="en-NZ" w:eastAsia="en-US" w:bidi="hi-IN"/>
              </w:rPr>
            </w:pPr>
            <w:r w:rsidRPr="001F13F3">
              <w:rPr>
                <w:lang w:val="en-NZ" w:eastAsia="en-US"/>
              </w:rPr>
              <w:t>11.5</w:t>
            </w:r>
          </w:p>
        </w:tc>
        <w:tc>
          <w:tcPr>
            <w:tcW w:w="849" w:type="dxa"/>
            <w:hideMark/>
          </w:tcPr>
          <w:p w14:paraId="0A1B1E90"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4D704311" w14:textId="77777777" w:rsidR="00FA19B8" w:rsidRPr="001F13F3" w:rsidRDefault="00FA19B8" w:rsidP="00657ACB">
            <w:pPr>
              <w:pStyle w:val="TableText"/>
              <w:spacing w:before="40" w:after="40"/>
              <w:jc w:val="center"/>
              <w:rPr>
                <w:lang w:val="en-NZ" w:eastAsia="en-US" w:bidi="hi-IN"/>
              </w:rPr>
            </w:pPr>
            <w:r w:rsidRPr="001F13F3">
              <w:rPr>
                <w:lang w:val="en-NZ" w:eastAsia="en-US"/>
              </w:rPr>
              <w:t>8.0</w:t>
            </w:r>
          </w:p>
        </w:tc>
        <w:tc>
          <w:tcPr>
            <w:tcW w:w="849" w:type="dxa"/>
            <w:hideMark/>
          </w:tcPr>
          <w:p w14:paraId="66C9CB53" w14:textId="77777777" w:rsidR="00FA19B8" w:rsidRPr="001F13F3" w:rsidRDefault="00FA19B8" w:rsidP="00657ACB">
            <w:pPr>
              <w:pStyle w:val="TableText"/>
              <w:spacing w:before="40" w:after="40"/>
              <w:jc w:val="center"/>
              <w:rPr>
                <w:lang w:val="en-NZ" w:eastAsia="en-US" w:bidi="hi-IN"/>
              </w:rPr>
            </w:pPr>
            <w:r w:rsidRPr="001F13F3">
              <w:rPr>
                <w:lang w:val="en-NZ" w:eastAsia="en-US"/>
              </w:rPr>
              <w:t>50.2</w:t>
            </w:r>
          </w:p>
        </w:tc>
        <w:tc>
          <w:tcPr>
            <w:tcW w:w="849" w:type="dxa"/>
            <w:hideMark/>
          </w:tcPr>
          <w:p w14:paraId="668A1B6C" w14:textId="77777777" w:rsidR="00FA19B8" w:rsidRPr="001F13F3" w:rsidRDefault="00FA19B8" w:rsidP="00657ACB">
            <w:pPr>
              <w:pStyle w:val="TableText"/>
              <w:spacing w:before="40" w:after="40"/>
              <w:jc w:val="center"/>
              <w:rPr>
                <w:lang w:val="en-NZ" w:eastAsia="en-US" w:bidi="hi-IN"/>
              </w:rPr>
            </w:pPr>
            <w:r w:rsidRPr="001F13F3">
              <w:rPr>
                <w:lang w:val="en-NZ" w:eastAsia="en-US"/>
              </w:rPr>
              <w:t>26.9</w:t>
            </w:r>
          </w:p>
        </w:tc>
        <w:tc>
          <w:tcPr>
            <w:tcW w:w="849" w:type="dxa"/>
            <w:hideMark/>
          </w:tcPr>
          <w:p w14:paraId="5B4AEA21" w14:textId="77777777" w:rsidR="00FA19B8" w:rsidRPr="001F13F3" w:rsidRDefault="00FA19B8" w:rsidP="00657ACB">
            <w:pPr>
              <w:pStyle w:val="TableText"/>
              <w:spacing w:before="40" w:after="40"/>
              <w:jc w:val="center"/>
              <w:rPr>
                <w:lang w:val="en-NZ" w:eastAsia="en-US" w:bidi="hi-IN"/>
              </w:rPr>
            </w:pPr>
            <w:r w:rsidRPr="001F13F3">
              <w:rPr>
                <w:lang w:val="en-NZ" w:eastAsia="en-US"/>
              </w:rPr>
              <w:t>201.3</w:t>
            </w:r>
          </w:p>
        </w:tc>
        <w:tc>
          <w:tcPr>
            <w:tcW w:w="849" w:type="dxa"/>
            <w:hideMark/>
          </w:tcPr>
          <w:p w14:paraId="6404E368" w14:textId="77777777" w:rsidR="00FA19B8" w:rsidRPr="001F13F3" w:rsidRDefault="00FA19B8" w:rsidP="00657ACB">
            <w:pPr>
              <w:pStyle w:val="TableText"/>
              <w:spacing w:before="40" w:after="40"/>
              <w:jc w:val="center"/>
              <w:rPr>
                <w:lang w:val="en-NZ" w:eastAsia="en-US" w:bidi="hi-IN"/>
              </w:rPr>
            </w:pPr>
            <w:r w:rsidRPr="001F13F3">
              <w:rPr>
                <w:lang w:val="en-NZ" w:eastAsia="en-US"/>
              </w:rPr>
              <w:t>293.9</w:t>
            </w:r>
          </w:p>
        </w:tc>
      </w:tr>
      <w:tr w:rsidR="00FA19B8" w:rsidRPr="001F13F3" w14:paraId="1A65F884" w14:textId="77777777" w:rsidTr="00657ACB">
        <w:tc>
          <w:tcPr>
            <w:tcW w:w="993" w:type="dxa"/>
            <w:hideMark/>
          </w:tcPr>
          <w:p w14:paraId="2DF2CCD7" w14:textId="77777777" w:rsidR="00FA19B8" w:rsidRPr="001F13F3" w:rsidRDefault="00FA19B8" w:rsidP="00657ACB">
            <w:pPr>
              <w:pStyle w:val="TableText"/>
              <w:spacing w:before="40" w:after="40"/>
              <w:rPr>
                <w:b/>
                <w:bCs/>
                <w:lang w:val="en-NZ" w:eastAsia="en-US" w:bidi="hi-IN"/>
              </w:rPr>
            </w:pPr>
            <w:r w:rsidRPr="001F13F3">
              <w:rPr>
                <w:b/>
                <w:bCs/>
                <w:lang w:val="en-NZ" w:eastAsia="en-US"/>
              </w:rPr>
              <w:t>WXH</w:t>
            </w:r>
          </w:p>
        </w:tc>
        <w:tc>
          <w:tcPr>
            <w:tcW w:w="850" w:type="dxa"/>
            <w:hideMark/>
          </w:tcPr>
          <w:p w14:paraId="56A91B23"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720" w:type="dxa"/>
            <w:hideMark/>
          </w:tcPr>
          <w:p w14:paraId="3082EF0C" w14:textId="77777777" w:rsidR="00FA19B8" w:rsidRPr="001F13F3" w:rsidRDefault="00FA19B8" w:rsidP="00657ACB">
            <w:pPr>
              <w:pStyle w:val="TableText"/>
              <w:spacing w:before="40" w:after="40"/>
              <w:jc w:val="center"/>
              <w:rPr>
                <w:lang w:val="en-NZ" w:eastAsia="en-US" w:bidi="hi-IN"/>
              </w:rPr>
            </w:pPr>
            <w:r w:rsidRPr="001F13F3">
              <w:rPr>
                <w:lang w:val="en-NZ" w:eastAsia="en-US"/>
              </w:rPr>
              <w:t>2.8</w:t>
            </w:r>
          </w:p>
        </w:tc>
        <w:tc>
          <w:tcPr>
            <w:tcW w:w="849" w:type="dxa"/>
            <w:hideMark/>
          </w:tcPr>
          <w:p w14:paraId="2A197754" w14:textId="77777777" w:rsidR="00FA19B8" w:rsidRPr="001F13F3" w:rsidRDefault="00FA19B8" w:rsidP="00657ACB">
            <w:pPr>
              <w:pStyle w:val="TableText"/>
              <w:spacing w:before="40" w:after="40"/>
              <w:jc w:val="center"/>
              <w:rPr>
                <w:lang w:val="en-NZ" w:eastAsia="en-US" w:bidi="hi-IN"/>
              </w:rPr>
            </w:pPr>
            <w:r w:rsidRPr="001F13F3">
              <w:rPr>
                <w:lang w:val="en-NZ" w:eastAsia="en-US"/>
              </w:rPr>
              <w:t>15.8</w:t>
            </w:r>
          </w:p>
        </w:tc>
        <w:tc>
          <w:tcPr>
            <w:tcW w:w="849" w:type="dxa"/>
            <w:hideMark/>
          </w:tcPr>
          <w:p w14:paraId="2E038E6F" w14:textId="77777777" w:rsidR="00FA19B8" w:rsidRPr="001F13F3" w:rsidRDefault="00FA19B8" w:rsidP="00657ACB">
            <w:pPr>
              <w:pStyle w:val="TableText"/>
              <w:spacing w:before="40" w:after="40"/>
              <w:jc w:val="center"/>
              <w:rPr>
                <w:lang w:val="en-NZ" w:eastAsia="en-US" w:bidi="hi-IN"/>
              </w:rPr>
            </w:pPr>
            <w:r w:rsidRPr="001F13F3">
              <w:rPr>
                <w:lang w:val="en-NZ" w:eastAsia="en-US"/>
              </w:rPr>
              <w:t>0.3</w:t>
            </w:r>
          </w:p>
        </w:tc>
        <w:tc>
          <w:tcPr>
            <w:tcW w:w="849" w:type="dxa"/>
            <w:hideMark/>
          </w:tcPr>
          <w:p w14:paraId="597C05A6" w14:textId="77777777" w:rsidR="00FA19B8" w:rsidRPr="001F13F3" w:rsidRDefault="00FA19B8" w:rsidP="00657ACB">
            <w:pPr>
              <w:pStyle w:val="TableText"/>
              <w:spacing w:before="40" w:after="40"/>
              <w:jc w:val="center"/>
              <w:rPr>
                <w:lang w:val="en-NZ" w:eastAsia="en-US" w:bidi="hi-IN"/>
              </w:rPr>
            </w:pPr>
            <w:r w:rsidRPr="001F13F3">
              <w:rPr>
                <w:lang w:val="en-NZ" w:eastAsia="en-US"/>
              </w:rPr>
              <w:t>13.9</w:t>
            </w:r>
          </w:p>
        </w:tc>
        <w:tc>
          <w:tcPr>
            <w:tcW w:w="849" w:type="dxa"/>
            <w:hideMark/>
          </w:tcPr>
          <w:p w14:paraId="05F19C88" w14:textId="77777777" w:rsidR="00FA19B8" w:rsidRPr="001F13F3" w:rsidRDefault="00FA19B8" w:rsidP="00657ACB">
            <w:pPr>
              <w:pStyle w:val="TableText"/>
              <w:spacing w:before="40" w:after="40"/>
              <w:jc w:val="center"/>
              <w:rPr>
                <w:lang w:val="en-NZ" w:eastAsia="en-US" w:bidi="hi-IN"/>
              </w:rPr>
            </w:pPr>
            <w:r w:rsidRPr="001F13F3">
              <w:rPr>
                <w:lang w:val="en-NZ" w:eastAsia="en-US"/>
              </w:rPr>
              <w:t>62.1</w:t>
            </w:r>
          </w:p>
        </w:tc>
        <w:tc>
          <w:tcPr>
            <w:tcW w:w="849" w:type="dxa"/>
            <w:hideMark/>
          </w:tcPr>
          <w:p w14:paraId="210EBE1D" w14:textId="77777777" w:rsidR="00FA19B8" w:rsidRPr="001F13F3" w:rsidRDefault="00FA19B8" w:rsidP="00657ACB">
            <w:pPr>
              <w:pStyle w:val="TableText"/>
              <w:spacing w:before="40" w:after="40"/>
              <w:jc w:val="center"/>
              <w:rPr>
                <w:lang w:val="en-NZ" w:eastAsia="en-US" w:bidi="hi-IN"/>
              </w:rPr>
            </w:pPr>
            <w:r w:rsidRPr="001F13F3">
              <w:rPr>
                <w:lang w:val="en-NZ" w:eastAsia="en-US"/>
              </w:rPr>
              <w:t>36.6</w:t>
            </w:r>
          </w:p>
        </w:tc>
        <w:tc>
          <w:tcPr>
            <w:tcW w:w="849" w:type="dxa"/>
            <w:hideMark/>
          </w:tcPr>
          <w:p w14:paraId="4DA0148F" w14:textId="77777777" w:rsidR="00FA19B8" w:rsidRPr="001F13F3" w:rsidRDefault="00FA19B8" w:rsidP="00657ACB">
            <w:pPr>
              <w:pStyle w:val="TableText"/>
              <w:spacing w:before="40" w:after="40"/>
              <w:jc w:val="center"/>
              <w:rPr>
                <w:lang w:val="en-NZ" w:eastAsia="en-US" w:bidi="hi-IN"/>
              </w:rPr>
            </w:pPr>
            <w:r w:rsidRPr="001F13F3">
              <w:rPr>
                <w:lang w:val="en-NZ" w:eastAsia="en-US"/>
              </w:rPr>
              <w:t>241.9</w:t>
            </w:r>
          </w:p>
        </w:tc>
        <w:tc>
          <w:tcPr>
            <w:tcW w:w="849" w:type="dxa"/>
            <w:hideMark/>
          </w:tcPr>
          <w:p w14:paraId="11418A5E" w14:textId="77777777" w:rsidR="00FA19B8" w:rsidRPr="001F13F3" w:rsidRDefault="00FA19B8" w:rsidP="00657ACB">
            <w:pPr>
              <w:pStyle w:val="TableText"/>
              <w:spacing w:before="40" w:after="40"/>
              <w:jc w:val="center"/>
              <w:rPr>
                <w:lang w:val="en-NZ" w:eastAsia="en-US" w:bidi="hi-IN"/>
              </w:rPr>
            </w:pPr>
            <w:r w:rsidRPr="001F13F3">
              <w:rPr>
                <w:lang w:val="en-NZ" w:eastAsia="en-US"/>
              </w:rPr>
              <w:t>305.8</w:t>
            </w:r>
          </w:p>
        </w:tc>
      </w:tr>
      <w:tr w:rsidR="00FA19B8" w:rsidRPr="001F13F3" w14:paraId="7C16640B" w14:textId="77777777" w:rsidTr="00657ACB">
        <w:tc>
          <w:tcPr>
            <w:tcW w:w="993" w:type="dxa"/>
            <w:hideMark/>
          </w:tcPr>
          <w:p w14:paraId="54FB948D" w14:textId="77777777" w:rsidR="00FA19B8" w:rsidRPr="001F13F3" w:rsidRDefault="00FA19B8" w:rsidP="00657ACB">
            <w:pPr>
              <w:pStyle w:val="TableText"/>
              <w:spacing w:before="40" w:after="40"/>
              <w:rPr>
                <w:b/>
                <w:bCs/>
                <w:lang w:val="en-NZ" w:eastAsia="en-US" w:bidi="hi-IN"/>
              </w:rPr>
            </w:pPr>
            <w:r w:rsidRPr="001F13F3">
              <w:rPr>
                <w:b/>
                <w:bCs/>
                <w:lang w:val="en-NZ" w:eastAsia="en-US"/>
              </w:rPr>
              <w:t>WWH</w:t>
            </w:r>
          </w:p>
        </w:tc>
        <w:tc>
          <w:tcPr>
            <w:tcW w:w="850" w:type="dxa"/>
            <w:hideMark/>
          </w:tcPr>
          <w:p w14:paraId="527ED2B1" w14:textId="77777777" w:rsidR="00FA19B8" w:rsidRPr="001F13F3" w:rsidRDefault="00FA19B8" w:rsidP="00657ACB">
            <w:pPr>
              <w:pStyle w:val="TableText"/>
              <w:spacing w:before="40" w:after="40"/>
              <w:jc w:val="center"/>
              <w:rPr>
                <w:lang w:val="en-NZ" w:eastAsia="en-US" w:bidi="hi-IN"/>
              </w:rPr>
            </w:pPr>
            <w:r w:rsidRPr="001F13F3">
              <w:rPr>
                <w:lang w:val="en-NZ" w:eastAsia="en-US"/>
              </w:rPr>
              <w:t>0.3</w:t>
            </w:r>
          </w:p>
        </w:tc>
        <w:tc>
          <w:tcPr>
            <w:tcW w:w="720" w:type="dxa"/>
            <w:hideMark/>
          </w:tcPr>
          <w:p w14:paraId="6665B899" w14:textId="77777777" w:rsidR="00FA19B8" w:rsidRPr="001F13F3" w:rsidRDefault="00FA19B8" w:rsidP="00657ACB">
            <w:pPr>
              <w:pStyle w:val="TableText"/>
              <w:spacing w:before="40" w:after="40"/>
              <w:jc w:val="center"/>
              <w:rPr>
                <w:lang w:val="en-NZ" w:eastAsia="en-US" w:bidi="hi-IN"/>
              </w:rPr>
            </w:pPr>
            <w:r w:rsidRPr="001F13F3">
              <w:rPr>
                <w:lang w:val="en-NZ" w:eastAsia="en-US"/>
              </w:rPr>
              <w:t>5.6</w:t>
            </w:r>
          </w:p>
        </w:tc>
        <w:tc>
          <w:tcPr>
            <w:tcW w:w="849" w:type="dxa"/>
            <w:hideMark/>
          </w:tcPr>
          <w:p w14:paraId="6767BFCA" w14:textId="77777777" w:rsidR="00FA19B8" w:rsidRPr="001F13F3" w:rsidRDefault="00FA19B8" w:rsidP="00657ACB">
            <w:pPr>
              <w:pStyle w:val="TableText"/>
              <w:spacing w:before="40" w:after="40"/>
              <w:jc w:val="center"/>
              <w:rPr>
                <w:lang w:val="en-NZ" w:eastAsia="en-US" w:bidi="hi-IN"/>
              </w:rPr>
            </w:pPr>
            <w:r w:rsidRPr="001F13F3">
              <w:rPr>
                <w:lang w:val="en-NZ" w:eastAsia="en-US"/>
              </w:rPr>
              <w:t>27.2</w:t>
            </w:r>
          </w:p>
        </w:tc>
        <w:tc>
          <w:tcPr>
            <w:tcW w:w="849" w:type="dxa"/>
            <w:hideMark/>
          </w:tcPr>
          <w:p w14:paraId="12358C0A" w14:textId="77777777" w:rsidR="00FA19B8" w:rsidRPr="001F13F3" w:rsidRDefault="00FA19B8" w:rsidP="00657ACB">
            <w:pPr>
              <w:pStyle w:val="TableText"/>
              <w:spacing w:before="40" w:after="40"/>
              <w:jc w:val="center"/>
              <w:rPr>
                <w:lang w:val="en-NZ" w:eastAsia="en-US" w:bidi="hi-IN"/>
              </w:rPr>
            </w:pPr>
            <w:r w:rsidRPr="001F13F3">
              <w:rPr>
                <w:lang w:val="en-NZ" w:eastAsia="en-US"/>
              </w:rPr>
              <w:t>0.6</w:t>
            </w:r>
          </w:p>
        </w:tc>
        <w:tc>
          <w:tcPr>
            <w:tcW w:w="849" w:type="dxa"/>
            <w:hideMark/>
          </w:tcPr>
          <w:p w14:paraId="2B4A2570" w14:textId="77777777" w:rsidR="00FA19B8" w:rsidRPr="001F13F3" w:rsidRDefault="00FA19B8" w:rsidP="00657ACB">
            <w:pPr>
              <w:pStyle w:val="TableText"/>
              <w:spacing w:before="40" w:after="40"/>
              <w:jc w:val="center"/>
              <w:rPr>
                <w:lang w:val="en-NZ" w:eastAsia="en-US" w:bidi="hi-IN"/>
              </w:rPr>
            </w:pPr>
            <w:r w:rsidRPr="001F13F3">
              <w:rPr>
                <w:lang w:val="en-NZ" w:eastAsia="en-US"/>
              </w:rPr>
              <w:t>26.5</w:t>
            </w:r>
          </w:p>
        </w:tc>
        <w:tc>
          <w:tcPr>
            <w:tcW w:w="849" w:type="dxa"/>
            <w:hideMark/>
          </w:tcPr>
          <w:p w14:paraId="568B104E" w14:textId="77777777" w:rsidR="00FA19B8" w:rsidRPr="001F13F3" w:rsidRDefault="00FA19B8" w:rsidP="00657ACB">
            <w:pPr>
              <w:pStyle w:val="TableText"/>
              <w:spacing w:before="40" w:after="40"/>
              <w:jc w:val="center"/>
              <w:rPr>
                <w:lang w:val="en-NZ" w:eastAsia="en-US" w:bidi="hi-IN"/>
              </w:rPr>
            </w:pPr>
            <w:r w:rsidRPr="001F13F3">
              <w:rPr>
                <w:lang w:val="en-NZ" w:eastAsia="en-US"/>
              </w:rPr>
              <w:t>96.9</w:t>
            </w:r>
          </w:p>
        </w:tc>
        <w:tc>
          <w:tcPr>
            <w:tcW w:w="849" w:type="dxa"/>
            <w:hideMark/>
          </w:tcPr>
          <w:p w14:paraId="2FFD5947" w14:textId="77777777" w:rsidR="00FA19B8" w:rsidRPr="001F13F3" w:rsidRDefault="00FA19B8" w:rsidP="00657ACB">
            <w:pPr>
              <w:pStyle w:val="TableText"/>
              <w:spacing w:before="40" w:after="40"/>
              <w:jc w:val="center"/>
              <w:rPr>
                <w:lang w:val="en-NZ" w:eastAsia="en-US" w:bidi="hi-IN"/>
              </w:rPr>
            </w:pPr>
            <w:r w:rsidRPr="001F13F3">
              <w:rPr>
                <w:lang w:val="en-NZ" w:eastAsia="en-US"/>
              </w:rPr>
              <w:t>60.3</w:t>
            </w:r>
          </w:p>
        </w:tc>
        <w:tc>
          <w:tcPr>
            <w:tcW w:w="849" w:type="dxa"/>
            <w:hideMark/>
          </w:tcPr>
          <w:p w14:paraId="2556C393" w14:textId="77777777" w:rsidR="00FA19B8" w:rsidRPr="001F13F3" w:rsidRDefault="00FA19B8" w:rsidP="00657ACB">
            <w:pPr>
              <w:pStyle w:val="TableText"/>
              <w:spacing w:before="40" w:after="40"/>
              <w:jc w:val="center"/>
              <w:rPr>
                <w:lang w:val="en-NZ" w:eastAsia="en-US" w:bidi="hi-IN"/>
              </w:rPr>
            </w:pPr>
            <w:r w:rsidRPr="001F13F3">
              <w:rPr>
                <w:lang w:val="en-NZ" w:eastAsia="en-US"/>
              </w:rPr>
              <w:t>287.5</w:t>
            </w:r>
          </w:p>
        </w:tc>
        <w:tc>
          <w:tcPr>
            <w:tcW w:w="849" w:type="dxa"/>
            <w:hideMark/>
          </w:tcPr>
          <w:p w14:paraId="0C999C85" w14:textId="77777777" w:rsidR="00FA19B8" w:rsidRPr="001F13F3" w:rsidRDefault="00FA19B8" w:rsidP="00657ACB">
            <w:pPr>
              <w:pStyle w:val="TableText"/>
              <w:spacing w:before="40" w:after="40"/>
              <w:jc w:val="center"/>
              <w:rPr>
                <w:lang w:val="en-NZ" w:eastAsia="en-US" w:bidi="hi-IN"/>
              </w:rPr>
            </w:pPr>
            <w:r w:rsidRPr="001F13F3">
              <w:rPr>
                <w:lang w:val="en-NZ" w:eastAsia="en-US"/>
              </w:rPr>
              <w:t>343.3</w:t>
            </w:r>
          </w:p>
        </w:tc>
      </w:tr>
      <w:tr w:rsidR="00FA19B8" w:rsidRPr="001F13F3" w14:paraId="0F7935CA" w14:textId="77777777" w:rsidTr="00657ACB">
        <w:tc>
          <w:tcPr>
            <w:tcW w:w="993" w:type="dxa"/>
            <w:hideMark/>
          </w:tcPr>
          <w:p w14:paraId="0208F003" w14:textId="77777777" w:rsidR="00FA19B8" w:rsidRPr="001F13F3" w:rsidRDefault="00FA19B8" w:rsidP="00657ACB">
            <w:pPr>
              <w:pStyle w:val="TableText"/>
              <w:spacing w:before="40" w:after="40"/>
              <w:rPr>
                <w:b/>
                <w:bCs/>
                <w:lang w:val="en-NZ" w:eastAsia="en-US" w:bidi="hi-IN"/>
              </w:rPr>
            </w:pPr>
            <w:r w:rsidRPr="001F13F3">
              <w:rPr>
                <w:b/>
                <w:bCs/>
                <w:lang w:val="en-NZ" w:eastAsia="en-US"/>
              </w:rPr>
              <w:t>WWL</w:t>
            </w:r>
          </w:p>
        </w:tc>
        <w:tc>
          <w:tcPr>
            <w:tcW w:w="850" w:type="dxa"/>
            <w:hideMark/>
          </w:tcPr>
          <w:p w14:paraId="2BEC59DD"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720" w:type="dxa"/>
            <w:hideMark/>
          </w:tcPr>
          <w:p w14:paraId="254044A9" w14:textId="77777777" w:rsidR="00FA19B8" w:rsidRPr="001F13F3" w:rsidRDefault="00FA19B8" w:rsidP="00657ACB">
            <w:pPr>
              <w:pStyle w:val="TableText"/>
              <w:spacing w:before="40" w:after="40"/>
              <w:jc w:val="center"/>
              <w:rPr>
                <w:lang w:val="en-NZ" w:eastAsia="en-US" w:bidi="hi-IN"/>
              </w:rPr>
            </w:pPr>
            <w:r w:rsidRPr="001F13F3">
              <w:rPr>
                <w:lang w:val="en-NZ" w:eastAsia="en-US"/>
              </w:rPr>
              <w:t>0.5</w:t>
            </w:r>
          </w:p>
        </w:tc>
        <w:tc>
          <w:tcPr>
            <w:tcW w:w="849" w:type="dxa"/>
            <w:hideMark/>
          </w:tcPr>
          <w:p w14:paraId="2D96DBEA" w14:textId="77777777" w:rsidR="00FA19B8" w:rsidRPr="001F13F3" w:rsidRDefault="00FA19B8" w:rsidP="00657ACB">
            <w:pPr>
              <w:pStyle w:val="TableText"/>
              <w:spacing w:before="40" w:after="40"/>
              <w:jc w:val="center"/>
              <w:rPr>
                <w:lang w:val="en-NZ" w:eastAsia="en-US" w:bidi="hi-IN"/>
              </w:rPr>
            </w:pPr>
            <w:r w:rsidRPr="001F13F3">
              <w:rPr>
                <w:lang w:val="en-NZ" w:eastAsia="en-US"/>
              </w:rPr>
              <w:t>3.2</w:t>
            </w:r>
          </w:p>
        </w:tc>
        <w:tc>
          <w:tcPr>
            <w:tcW w:w="849" w:type="dxa"/>
            <w:hideMark/>
          </w:tcPr>
          <w:p w14:paraId="0F7F75A7"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27D152BF" w14:textId="77777777" w:rsidR="00FA19B8" w:rsidRPr="001F13F3" w:rsidRDefault="00FA19B8" w:rsidP="00657ACB">
            <w:pPr>
              <w:pStyle w:val="TableText"/>
              <w:spacing w:before="40" w:after="40"/>
              <w:jc w:val="center"/>
              <w:rPr>
                <w:lang w:val="en-NZ" w:eastAsia="en-US" w:bidi="hi-IN"/>
              </w:rPr>
            </w:pPr>
            <w:r w:rsidRPr="001F13F3">
              <w:rPr>
                <w:lang w:val="en-NZ" w:eastAsia="en-US"/>
              </w:rPr>
              <w:t>1.9</w:t>
            </w:r>
          </w:p>
        </w:tc>
        <w:tc>
          <w:tcPr>
            <w:tcW w:w="849" w:type="dxa"/>
            <w:hideMark/>
          </w:tcPr>
          <w:p w14:paraId="24604361" w14:textId="77777777" w:rsidR="00FA19B8" w:rsidRPr="001F13F3" w:rsidRDefault="00FA19B8" w:rsidP="00657ACB">
            <w:pPr>
              <w:pStyle w:val="TableText"/>
              <w:spacing w:before="40" w:after="40"/>
              <w:jc w:val="center"/>
              <w:rPr>
                <w:lang w:val="en-NZ" w:eastAsia="en-US" w:bidi="hi-IN"/>
              </w:rPr>
            </w:pPr>
            <w:r w:rsidRPr="001F13F3">
              <w:rPr>
                <w:lang w:val="en-NZ" w:eastAsia="en-US"/>
              </w:rPr>
              <w:t>15.2</w:t>
            </w:r>
          </w:p>
        </w:tc>
        <w:tc>
          <w:tcPr>
            <w:tcW w:w="849" w:type="dxa"/>
            <w:hideMark/>
          </w:tcPr>
          <w:p w14:paraId="1C05997C" w14:textId="77777777" w:rsidR="00FA19B8" w:rsidRPr="001F13F3" w:rsidRDefault="00FA19B8" w:rsidP="00657ACB">
            <w:pPr>
              <w:pStyle w:val="TableText"/>
              <w:spacing w:before="40" w:after="40"/>
              <w:jc w:val="center"/>
              <w:rPr>
                <w:lang w:val="en-NZ" w:eastAsia="en-US" w:bidi="hi-IN"/>
              </w:rPr>
            </w:pPr>
            <w:r w:rsidRPr="001F13F3">
              <w:rPr>
                <w:lang w:val="en-NZ" w:eastAsia="en-US"/>
              </w:rPr>
              <w:t>7.9</w:t>
            </w:r>
          </w:p>
        </w:tc>
        <w:tc>
          <w:tcPr>
            <w:tcW w:w="849" w:type="dxa"/>
            <w:hideMark/>
          </w:tcPr>
          <w:p w14:paraId="1DDDFB32" w14:textId="77777777" w:rsidR="00FA19B8" w:rsidRPr="001F13F3" w:rsidRDefault="00FA19B8" w:rsidP="00657ACB">
            <w:pPr>
              <w:pStyle w:val="TableText"/>
              <w:spacing w:before="40" w:after="40"/>
              <w:jc w:val="center"/>
              <w:rPr>
                <w:lang w:val="en-NZ" w:eastAsia="en-US" w:bidi="hi-IN"/>
              </w:rPr>
            </w:pPr>
            <w:r w:rsidRPr="001F13F3">
              <w:rPr>
                <w:lang w:val="en-NZ" w:eastAsia="en-US"/>
              </w:rPr>
              <w:t>88.6</w:t>
            </w:r>
          </w:p>
        </w:tc>
        <w:tc>
          <w:tcPr>
            <w:tcW w:w="849" w:type="dxa"/>
            <w:hideMark/>
          </w:tcPr>
          <w:p w14:paraId="67FA7C23" w14:textId="77777777" w:rsidR="00FA19B8" w:rsidRPr="001F13F3" w:rsidRDefault="00FA19B8" w:rsidP="00657ACB">
            <w:pPr>
              <w:pStyle w:val="TableText"/>
              <w:spacing w:before="40" w:after="40"/>
              <w:jc w:val="center"/>
              <w:rPr>
                <w:lang w:val="en-NZ" w:eastAsia="en-US" w:bidi="hi-IN"/>
              </w:rPr>
            </w:pPr>
            <w:r w:rsidRPr="001F13F3">
              <w:rPr>
                <w:lang w:val="en-NZ" w:eastAsia="en-US"/>
              </w:rPr>
              <w:t>243.0</w:t>
            </w:r>
          </w:p>
        </w:tc>
      </w:tr>
      <w:tr w:rsidR="00FA19B8" w:rsidRPr="001F13F3" w14:paraId="037DBEBE" w14:textId="77777777" w:rsidTr="00657ACB">
        <w:tc>
          <w:tcPr>
            <w:tcW w:w="993" w:type="dxa"/>
            <w:hideMark/>
          </w:tcPr>
          <w:p w14:paraId="38114F83" w14:textId="77777777" w:rsidR="00FA19B8" w:rsidRPr="001F13F3" w:rsidRDefault="00FA19B8" w:rsidP="00657ACB">
            <w:pPr>
              <w:pStyle w:val="TableText"/>
              <w:spacing w:before="40" w:after="40"/>
              <w:rPr>
                <w:b/>
                <w:bCs/>
                <w:lang w:val="en-NZ" w:eastAsia="en-US" w:bidi="hi-IN"/>
              </w:rPr>
            </w:pPr>
            <w:r w:rsidRPr="001F13F3">
              <w:rPr>
                <w:b/>
                <w:bCs/>
                <w:lang w:val="en-NZ" w:eastAsia="en-US"/>
              </w:rPr>
              <w:t>WWLk</w:t>
            </w:r>
          </w:p>
        </w:tc>
        <w:tc>
          <w:tcPr>
            <w:tcW w:w="850" w:type="dxa"/>
            <w:hideMark/>
          </w:tcPr>
          <w:p w14:paraId="0B243939" w14:textId="77777777" w:rsidR="00FA19B8" w:rsidRPr="001F13F3" w:rsidRDefault="00FA19B8" w:rsidP="00657ACB">
            <w:pPr>
              <w:pStyle w:val="TableText"/>
              <w:spacing w:before="40" w:after="40"/>
              <w:jc w:val="center"/>
              <w:rPr>
                <w:lang w:val="en-NZ" w:eastAsia="en-US" w:bidi="hi-IN"/>
              </w:rPr>
            </w:pPr>
            <w:r w:rsidRPr="001F13F3">
              <w:rPr>
                <w:lang w:val="en-NZ" w:eastAsia="en-US"/>
              </w:rPr>
              <w:t>0.1</w:t>
            </w:r>
          </w:p>
        </w:tc>
        <w:tc>
          <w:tcPr>
            <w:tcW w:w="720" w:type="dxa"/>
            <w:hideMark/>
          </w:tcPr>
          <w:p w14:paraId="07B3F103" w14:textId="77777777" w:rsidR="00FA19B8" w:rsidRPr="001F13F3" w:rsidRDefault="00FA19B8" w:rsidP="00657ACB">
            <w:pPr>
              <w:pStyle w:val="TableText"/>
              <w:spacing w:before="40" w:after="40"/>
              <w:jc w:val="center"/>
              <w:rPr>
                <w:lang w:val="en-NZ" w:eastAsia="en-US" w:bidi="hi-IN"/>
              </w:rPr>
            </w:pPr>
            <w:r w:rsidRPr="001F13F3">
              <w:rPr>
                <w:lang w:val="en-NZ" w:eastAsia="en-US"/>
              </w:rPr>
              <w:t>0.4</w:t>
            </w:r>
          </w:p>
        </w:tc>
        <w:tc>
          <w:tcPr>
            <w:tcW w:w="849" w:type="dxa"/>
            <w:hideMark/>
          </w:tcPr>
          <w:p w14:paraId="1D31C780" w14:textId="77777777" w:rsidR="00FA19B8" w:rsidRPr="001F13F3" w:rsidRDefault="00FA19B8" w:rsidP="00657ACB">
            <w:pPr>
              <w:pStyle w:val="TableText"/>
              <w:spacing w:before="40" w:after="40"/>
              <w:jc w:val="center"/>
              <w:rPr>
                <w:lang w:val="en-NZ" w:eastAsia="en-US" w:bidi="hi-IN"/>
              </w:rPr>
            </w:pPr>
            <w:r w:rsidRPr="001F13F3">
              <w:rPr>
                <w:lang w:val="en-NZ" w:eastAsia="en-US"/>
              </w:rPr>
              <w:t>2.7</w:t>
            </w:r>
          </w:p>
        </w:tc>
        <w:tc>
          <w:tcPr>
            <w:tcW w:w="849" w:type="dxa"/>
            <w:hideMark/>
          </w:tcPr>
          <w:p w14:paraId="19BF30F3"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56C59DA3" w14:textId="77777777" w:rsidR="00FA19B8" w:rsidRPr="001F13F3" w:rsidRDefault="00FA19B8" w:rsidP="00657ACB">
            <w:pPr>
              <w:pStyle w:val="TableText"/>
              <w:spacing w:before="40" w:after="40"/>
              <w:jc w:val="center"/>
              <w:rPr>
                <w:lang w:val="en-NZ" w:eastAsia="en-US" w:bidi="hi-IN"/>
              </w:rPr>
            </w:pPr>
            <w:r w:rsidRPr="001F13F3">
              <w:rPr>
                <w:lang w:val="en-NZ" w:eastAsia="en-US"/>
              </w:rPr>
              <w:t>1.4</w:t>
            </w:r>
          </w:p>
        </w:tc>
        <w:tc>
          <w:tcPr>
            <w:tcW w:w="849" w:type="dxa"/>
            <w:hideMark/>
          </w:tcPr>
          <w:p w14:paraId="763D5B5D" w14:textId="77777777" w:rsidR="00FA19B8" w:rsidRPr="001F13F3" w:rsidRDefault="00FA19B8" w:rsidP="00657ACB">
            <w:pPr>
              <w:pStyle w:val="TableText"/>
              <w:spacing w:before="40" w:after="40"/>
              <w:jc w:val="center"/>
              <w:rPr>
                <w:lang w:val="en-NZ" w:eastAsia="en-US" w:bidi="hi-IN"/>
              </w:rPr>
            </w:pPr>
            <w:r w:rsidRPr="001F13F3">
              <w:rPr>
                <w:lang w:val="en-NZ" w:eastAsia="en-US"/>
              </w:rPr>
              <w:t>13.2</w:t>
            </w:r>
          </w:p>
        </w:tc>
        <w:tc>
          <w:tcPr>
            <w:tcW w:w="849" w:type="dxa"/>
            <w:hideMark/>
          </w:tcPr>
          <w:p w14:paraId="2AE7073B" w14:textId="77777777" w:rsidR="00FA19B8" w:rsidRPr="001F13F3" w:rsidRDefault="00FA19B8" w:rsidP="00657ACB">
            <w:pPr>
              <w:pStyle w:val="TableText"/>
              <w:spacing w:before="40" w:after="40"/>
              <w:jc w:val="center"/>
              <w:rPr>
                <w:lang w:val="en-NZ" w:eastAsia="en-US" w:bidi="hi-IN"/>
              </w:rPr>
            </w:pPr>
            <w:r w:rsidRPr="001F13F3">
              <w:rPr>
                <w:lang w:val="en-NZ" w:eastAsia="en-US"/>
              </w:rPr>
              <w:t>6.9</w:t>
            </w:r>
          </w:p>
        </w:tc>
        <w:tc>
          <w:tcPr>
            <w:tcW w:w="849" w:type="dxa"/>
            <w:hideMark/>
          </w:tcPr>
          <w:p w14:paraId="7C0D336E" w14:textId="77777777" w:rsidR="00FA19B8" w:rsidRPr="001F13F3" w:rsidRDefault="00FA19B8" w:rsidP="00657ACB">
            <w:pPr>
              <w:pStyle w:val="TableText"/>
              <w:spacing w:before="40" w:after="40"/>
              <w:jc w:val="center"/>
              <w:rPr>
                <w:lang w:val="en-NZ" w:eastAsia="en-US" w:bidi="hi-IN"/>
              </w:rPr>
            </w:pPr>
            <w:r w:rsidRPr="001F13F3">
              <w:rPr>
                <w:lang w:val="en-NZ" w:eastAsia="en-US"/>
              </w:rPr>
              <w:t>83.0</w:t>
            </w:r>
          </w:p>
        </w:tc>
        <w:tc>
          <w:tcPr>
            <w:tcW w:w="849" w:type="dxa"/>
            <w:hideMark/>
          </w:tcPr>
          <w:p w14:paraId="217AEA5D" w14:textId="77777777" w:rsidR="00FA19B8" w:rsidRPr="001F13F3" w:rsidRDefault="00FA19B8" w:rsidP="00657ACB">
            <w:pPr>
              <w:pStyle w:val="TableText"/>
              <w:spacing w:before="40" w:after="40"/>
              <w:jc w:val="center"/>
              <w:rPr>
                <w:lang w:val="en-NZ" w:eastAsia="en-US" w:bidi="hi-IN"/>
              </w:rPr>
            </w:pPr>
            <w:r w:rsidRPr="001F13F3">
              <w:rPr>
                <w:lang w:val="en-NZ" w:eastAsia="en-US"/>
              </w:rPr>
              <w:t>234.3</w:t>
            </w:r>
          </w:p>
        </w:tc>
      </w:tr>
      <w:tr w:rsidR="00FA19B8" w:rsidRPr="001F13F3" w14:paraId="58B4E8CC" w14:textId="77777777" w:rsidTr="00657ACB">
        <w:tc>
          <w:tcPr>
            <w:tcW w:w="993" w:type="dxa"/>
            <w:hideMark/>
          </w:tcPr>
          <w:p w14:paraId="0A0B210B" w14:textId="77777777" w:rsidR="00FA19B8" w:rsidRPr="001F13F3" w:rsidRDefault="00FA19B8" w:rsidP="00657ACB">
            <w:pPr>
              <w:pStyle w:val="TableText"/>
              <w:spacing w:before="40" w:after="40"/>
              <w:rPr>
                <w:b/>
                <w:bCs/>
                <w:lang w:val="en-NZ" w:eastAsia="en-US" w:bidi="hi-IN"/>
              </w:rPr>
            </w:pPr>
            <w:r w:rsidRPr="001F13F3">
              <w:rPr>
                <w:b/>
                <w:bCs/>
                <w:lang w:val="en-NZ" w:eastAsia="en-US"/>
              </w:rPr>
              <w:t>WDL</w:t>
            </w:r>
          </w:p>
        </w:tc>
        <w:tc>
          <w:tcPr>
            <w:tcW w:w="850" w:type="dxa"/>
            <w:hideMark/>
          </w:tcPr>
          <w:p w14:paraId="67FF684D" w14:textId="77777777" w:rsidR="00FA19B8" w:rsidRPr="001F13F3" w:rsidRDefault="00FA19B8" w:rsidP="00657ACB">
            <w:pPr>
              <w:pStyle w:val="TableText"/>
              <w:spacing w:before="40" w:after="40"/>
              <w:jc w:val="center"/>
              <w:rPr>
                <w:lang w:val="en-NZ" w:eastAsia="en-US" w:bidi="hi-IN"/>
              </w:rPr>
            </w:pPr>
            <w:r w:rsidRPr="001F13F3">
              <w:rPr>
                <w:lang w:val="en-NZ" w:eastAsia="en-US"/>
              </w:rPr>
              <w:t>0.1</w:t>
            </w:r>
          </w:p>
        </w:tc>
        <w:tc>
          <w:tcPr>
            <w:tcW w:w="720" w:type="dxa"/>
            <w:hideMark/>
          </w:tcPr>
          <w:p w14:paraId="4C5152D9" w14:textId="77777777" w:rsidR="00FA19B8" w:rsidRPr="001F13F3" w:rsidRDefault="00FA19B8" w:rsidP="00657ACB">
            <w:pPr>
              <w:pStyle w:val="TableText"/>
              <w:spacing w:before="40" w:after="40"/>
              <w:jc w:val="center"/>
              <w:rPr>
                <w:lang w:val="en-NZ" w:eastAsia="en-US" w:bidi="hi-IN"/>
              </w:rPr>
            </w:pPr>
            <w:r w:rsidRPr="001F13F3">
              <w:rPr>
                <w:lang w:val="en-NZ" w:eastAsia="en-US"/>
              </w:rPr>
              <w:t>0.1</w:t>
            </w:r>
          </w:p>
        </w:tc>
        <w:tc>
          <w:tcPr>
            <w:tcW w:w="849" w:type="dxa"/>
            <w:hideMark/>
          </w:tcPr>
          <w:p w14:paraId="66E438DA" w14:textId="77777777" w:rsidR="00FA19B8" w:rsidRPr="001F13F3" w:rsidRDefault="00FA19B8" w:rsidP="00657ACB">
            <w:pPr>
              <w:pStyle w:val="TableText"/>
              <w:spacing w:before="40" w:after="40"/>
              <w:jc w:val="center"/>
              <w:rPr>
                <w:lang w:val="en-NZ" w:eastAsia="en-US" w:bidi="hi-IN"/>
              </w:rPr>
            </w:pPr>
            <w:r w:rsidRPr="001F13F3">
              <w:rPr>
                <w:lang w:val="en-NZ" w:eastAsia="en-US"/>
              </w:rPr>
              <w:t>0.4</w:t>
            </w:r>
          </w:p>
        </w:tc>
        <w:tc>
          <w:tcPr>
            <w:tcW w:w="849" w:type="dxa"/>
            <w:hideMark/>
          </w:tcPr>
          <w:p w14:paraId="5C660438" w14:textId="77777777" w:rsidR="00FA19B8" w:rsidRPr="001F13F3" w:rsidRDefault="00FA19B8" w:rsidP="00657ACB">
            <w:pPr>
              <w:pStyle w:val="TableText"/>
              <w:spacing w:before="40" w:after="40"/>
              <w:jc w:val="center"/>
              <w:rPr>
                <w:lang w:val="en-NZ" w:eastAsia="en-US" w:bidi="hi-IN"/>
              </w:rPr>
            </w:pPr>
            <w:r w:rsidRPr="001F13F3">
              <w:rPr>
                <w:lang w:val="en-NZ" w:eastAsia="en-US"/>
              </w:rPr>
              <w:t>0.1</w:t>
            </w:r>
          </w:p>
        </w:tc>
        <w:tc>
          <w:tcPr>
            <w:tcW w:w="849" w:type="dxa"/>
            <w:hideMark/>
          </w:tcPr>
          <w:p w14:paraId="50BCD04E"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769012C1" w14:textId="77777777" w:rsidR="00FA19B8" w:rsidRPr="001F13F3" w:rsidRDefault="00FA19B8" w:rsidP="00657ACB">
            <w:pPr>
              <w:pStyle w:val="TableText"/>
              <w:spacing w:before="40" w:after="40"/>
              <w:jc w:val="center"/>
              <w:rPr>
                <w:lang w:val="en-NZ" w:eastAsia="en-US" w:bidi="hi-IN"/>
              </w:rPr>
            </w:pPr>
            <w:r w:rsidRPr="001F13F3">
              <w:rPr>
                <w:lang w:val="en-NZ" w:eastAsia="en-US"/>
              </w:rPr>
              <w:t>1.4</w:t>
            </w:r>
          </w:p>
        </w:tc>
        <w:tc>
          <w:tcPr>
            <w:tcW w:w="849" w:type="dxa"/>
            <w:hideMark/>
          </w:tcPr>
          <w:p w14:paraId="102C6ED3" w14:textId="77777777" w:rsidR="00FA19B8" w:rsidRPr="001F13F3" w:rsidRDefault="00FA19B8" w:rsidP="00657ACB">
            <w:pPr>
              <w:pStyle w:val="TableText"/>
              <w:spacing w:before="40" w:after="40"/>
              <w:jc w:val="center"/>
              <w:rPr>
                <w:lang w:val="en-NZ" w:eastAsia="en-US" w:bidi="hi-IN"/>
              </w:rPr>
            </w:pPr>
            <w:r w:rsidRPr="001F13F3">
              <w:rPr>
                <w:lang w:val="en-NZ" w:eastAsia="en-US"/>
              </w:rPr>
              <w:t>1.1</w:t>
            </w:r>
          </w:p>
        </w:tc>
        <w:tc>
          <w:tcPr>
            <w:tcW w:w="849" w:type="dxa"/>
            <w:hideMark/>
          </w:tcPr>
          <w:p w14:paraId="13A4601C" w14:textId="77777777" w:rsidR="00FA19B8" w:rsidRPr="001F13F3" w:rsidRDefault="00FA19B8" w:rsidP="00657ACB">
            <w:pPr>
              <w:pStyle w:val="TableText"/>
              <w:spacing w:before="40" w:after="40"/>
              <w:jc w:val="center"/>
              <w:rPr>
                <w:lang w:val="en-NZ" w:eastAsia="en-US" w:bidi="hi-IN"/>
              </w:rPr>
            </w:pPr>
            <w:r w:rsidRPr="001F13F3">
              <w:rPr>
                <w:lang w:val="en-NZ" w:eastAsia="en-US"/>
              </w:rPr>
              <w:t>22.9</w:t>
            </w:r>
          </w:p>
        </w:tc>
        <w:tc>
          <w:tcPr>
            <w:tcW w:w="849" w:type="dxa"/>
            <w:hideMark/>
          </w:tcPr>
          <w:p w14:paraId="2407C247" w14:textId="77777777" w:rsidR="00FA19B8" w:rsidRPr="001F13F3" w:rsidRDefault="00FA19B8" w:rsidP="00657ACB">
            <w:pPr>
              <w:pStyle w:val="TableText"/>
              <w:spacing w:before="40" w:after="40"/>
              <w:jc w:val="center"/>
              <w:rPr>
                <w:lang w:val="en-NZ" w:eastAsia="en-US" w:bidi="hi-IN"/>
              </w:rPr>
            </w:pPr>
            <w:r w:rsidRPr="001F13F3">
              <w:rPr>
                <w:lang w:val="en-NZ" w:eastAsia="en-US"/>
              </w:rPr>
              <w:t>81.5</w:t>
            </w:r>
          </w:p>
        </w:tc>
      </w:tr>
      <w:tr w:rsidR="00FA19B8" w:rsidRPr="001F13F3" w14:paraId="5E67BF5A" w14:textId="77777777" w:rsidTr="00657ACB">
        <w:tc>
          <w:tcPr>
            <w:tcW w:w="993" w:type="dxa"/>
            <w:hideMark/>
          </w:tcPr>
          <w:p w14:paraId="2F53AD22" w14:textId="77777777" w:rsidR="00FA19B8" w:rsidRPr="001F13F3" w:rsidRDefault="00FA19B8" w:rsidP="00657ACB">
            <w:pPr>
              <w:pStyle w:val="TableText"/>
              <w:spacing w:before="40" w:after="40"/>
              <w:rPr>
                <w:b/>
                <w:bCs/>
                <w:lang w:val="en-NZ" w:eastAsia="en-US" w:bidi="hi-IN"/>
              </w:rPr>
            </w:pPr>
            <w:r w:rsidRPr="001F13F3">
              <w:rPr>
                <w:b/>
                <w:bCs/>
                <w:lang w:val="en-NZ" w:eastAsia="en-US"/>
              </w:rPr>
              <w:t>WDLk</w:t>
            </w:r>
          </w:p>
        </w:tc>
        <w:tc>
          <w:tcPr>
            <w:tcW w:w="850" w:type="dxa"/>
            <w:hideMark/>
          </w:tcPr>
          <w:p w14:paraId="3825AEB8"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720" w:type="dxa"/>
            <w:hideMark/>
          </w:tcPr>
          <w:p w14:paraId="18AC999F" w14:textId="77777777" w:rsidR="00FA19B8" w:rsidRPr="001F13F3" w:rsidRDefault="00FA19B8" w:rsidP="00657ACB">
            <w:pPr>
              <w:pStyle w:val="TableText"/>
              <w:spacing w:before="40" w:after="40"/>
              <w:jc w:val="center"/>
              <w:rPr>
                <w:lang w:val="en-NZ" w:eastAsia="en-US" w:bidi="hi-IN"/>
              </w:rPr>
            </w:pPr>
            <w:r w:rsidRPr="001F13F3">
              <w:rPr>
                <w:lang w:val="en-NZ" w:eastAsia="en-US"/>
              </w:rPr>
              <w:t>0.4</w:t>
            </w:r>
          </w:p>
        </w:tc>
        <w:tc>
          <w:tcPr>
            <w:tcW w:w="849" w:type="dxa"/>
            <w:hideMark/>
          </w:tcPr>
          <w:p w14:paraId="308E14E5" w14:textId="77777777" w:rsidR="00FA19B8" w:rsidRPr="001F13F3" w:rsidRDefault="00FA19B8" w:rsidP="00657ACB">
            <w:pPr>
              <w:pStyle w:val="TableText"/>
              <w:spacing w:before="40" w:after="40"/>
              <w:jc w:val="center"/>
              <w:rPr>
                <w:lang w:val="en-NZ" w:eastAsia="en-US" w:bidi="hi-IN"/>
              </w:rPr>
            </w:pPr>
            <w:r w:rsidRPr="001F13F3">
              <w:rPr>
                <w:lang w:val="en-NZ" w:eastAsia="en-US"/>
              </w:rPr>
              <w:t>2.9</w:t>
            </w:r>
          </w:p>
        </w:tc>
        <w:tc>
          <w:tcPr>
            <w:tcW w:w="849" w:type="dxa"/>
            <w:hideMark/>
          </w:tcPr>
          <w:p w14:paraId="55C46E81" w14:textId="77777777" w:rsidR="00FA19B8" w:rsidRPr="001F13F3" w:rsidRDefault="00FA19B8" w:rsidP="00657ACB">
            <w:pPr>
              <w:pStyle w:val="TableText"/>
              <w:spacing w:before="40" w:after="40"/>
              <w:jc w:val="center"/>
              <w:rPr>
                <w:lang w:val="en-NZ" w:eastAsia="en-US" w:bidi="hi-IN"/>
              </w:rPr>
            </w:pPr>
            <w:r w:rsidRPr="001F13F3">
              <w:rPr>
                <w:lang w:val="en-NZ" w:eastAsia="en-US"/>
              </w:rPr>
              <w:t>0.2</w:t>
            </w:r>
          </w:p>
        </w:tc>
        <w:tc>
          <w:tcPr>
            <w:tcW w:w="849" w:type="dxa"/>
            <w:hideMark/>
          </w:tcPr>
          <w:p w14:paraId="6BD0387B" w14:textId="77777777" w:rsidR="00FA19B8" w:rsidRPr="001F13F3" w:rsidRDefault="00FA19B8" w:rsidP="00657ACB">
            <w:pPr>
              <w:pStyle w:val="TableText"/>
              <w:spacing w:before="40" w:after="40"/>
              <w:jc w:val="center"/>
              <w:rPr>
                <w:lang w:val="en-NZ" w:eastAsia="en-US" w:bidi="hi-IN"/>
              </w:rPr>
            </w:pPr>
            <w:r w:rsidRPr="001F13F3">
              <w:rPr>
                <w:lang w:val="en-NZ" w:eastAsia="en-US"/>
              </w:rPr>
              <w:t>1.3</w:t>
            </w:r>
          </w:p>
        </w:tc>
        <w:tc>
          <w:tcPr>
            <w:tcW w:w="849" w:type="dxa"/>
            <w:hideMark/>
          </w:tcPr>
          <w:p w14:paraId="2E13BCEC" w14:textId="77777777" w:rsidR="00FA19B8" w:rsidRPr="001F13F3" w:rsidRDefault="00FA19B8" w:rsidP="00657ACB">
            <w:pPr>
              <w:pStyle w:val="TableText"/>
              <w:spacing w:before="40" w:after="40"/>
              <w:jc w:val="center"/>
              <w:rPr>
                <w:lang w:val="en-NZ" w:eastAsia="en-US" w:bidi="hi-IN"/>
              </w:rPr>
            </w:pPr>
            <w:r w:rsidRPr="001F13F3">
              <w:rPr>
                <w:lang w:val="en-NZ" w:eastAsia="en-US"/>
              </w:rPr>
              <w:t>13.9</w:t>
            </w:r>
          </w:p>
        </w:tc>
        <w:tc>
          <w:tcPr>
            <w:tcW w:w="849" w:type="dxa"/>
            <w:hideMark/>
          </w:tcPr>
          <w:p w14:paraId="4643757D" w14:textId="77777777" w:rsidR="00FA19B8" w:rsidRPr="001F13F3" w:rsidRDefault="00FA19B8" w:rsidP="00657ACB">
            <w:pPr>
              <w:pStyle w:val="TableText"/>
              <w:spacing w:before="40" w:after="40"/>
              <w:jc w:val="center"/>
              <w:rPr>
                <w:lang w:val="en-NZ" w:eastAsia="en-US" w:bidi="hi-IN"/>
              </w:rPr>
            </w:pPr>
            <w:r w:rsidRPr="001F13F3">
              <w:rPr>
                <w:lang w:val="en-NZ" w:eastAsia="en-US"/>
              </w:rPr>
              <w:t>7.0</w:t>
            </w:r>
          </w:p>
        </w:tc>
        <w:tc>
          <w:tcPr>
            <w:tcW w:w="849" w:type="dxa"/>
            <w:hideMark/>
          </w:tcPr>
          <w:p w14:paraId="24FF0864" w14:textId="77777777" w:rsidR="00FA19B8" w:rsidRPr="001F13F3" w:rsidRDefault="00FA19B8" w:rsidP="00657ACB">
            <w:pPr>
              <w:pStyle w:val="TableText"/>
              <w:spacing w:before="40" w:after="40"/>
              <w:jc w:val="center"/>
              <w:rPr>
                <w:lang w:val="en-NZ" w:eastAsia="en-US" w:bidi="hi-IN"/>
              </w:rPr>
            </w:pPr>
            <w:r w:rsidRPr="001F13F3">
              <w:rPr>
                <w:lang w:val="en-NZ" w:eastAsia="en-US"/>
              </w:rPr>
              <w:t>84.3</w:t>
            </w:r>
          </w:p>
        </w:tc>
        <w:tc>
          <w:tcPr>
            <w:tcW w:w="849" w:type="dxa"/>
            <w:hideMark/>
          </w:tcPr>
          <w:p w14:paraId="66F19ED8" w14:textId="77777777" w:rsidR="00FA19B8" w:rsidRPr="001F13F3" w:rsidRDefault="00FA19B8" w:rsidP="00657ACB">
            <w:pPr>
              <w:pStyle w:val="TableText"/>
              <w:spacing w:before="40" w:after="40"/>
              <w:jc w:val="center"/>
              <w:rPr>
                <w:lang w:val="en-NZ" w:eastAsia="en-US" w:bidi="hi-IN"/>
              </w:rPr>
            </w:pPr>
            <w:r w:rsidRPr="001F13F3">
              <w:rPr>
                <w:lang w:val="en-NZ" w:eastAsia="en-US"/>
              </w:rPr>
              <w:t>235.1</w:t>
            </w:r>
          </w:p>
        </w:tc>
      </w:tr>
    </w:tbl>
    <w:p w14:paraId="5E8F99BA" w14:textId="12E31A5C" w:rsidR="00FA19B8" w:rsidRPr="001F13F3" w:rsidRDefault="00FA19B8" w:rsidP="00657ACB">
      <w:pPr>
        <w:pStyle w:val="Heading2"/>
        <w:spacing w:before="440"/>
        <w:rPr>
          <w:lang w:eastAsia="en-US" w:bidi="hi-IN"/>
        </w:rPr>
      </w:pPr>
      <w:bookmarkStart w:id="37" w:name="_Toc47357784"/>
      <w:r w:rsidRPr="001F13F3">
        <w:rPr>
          <w:lang w:eastAsia="en-US" w:bidi="hi-IN"/>
        </w:rPr>
        <w:t>Limitations and things to be aware of</w:t>
      </w:r>
      <w:bookmarkEnd w:id="37"/>
    </w:p>
    <w:p w14:paraId="5BED640D" w14:textId="4E1B3378" w:rsidR="00FA19B8" w:rsidRPr="001F13F3" w:rsidRDefault="00FA19B8" w:rsidP="00FA19B8">
      <w:pPr>
        <w:pStyle w:val="BodyText"/>
        <w:rPr>
          <w:lang w:eastAsia="en-US" w:bidi="hi-IN"/>
        </w:rPr>
      </w:pPr>
      <w:r w:rsidRPr="001F13F3">
        <w:rPr>
          <w:lang w:eastAsia="en-US" w:bidi="hi-IN"/>
        </w:rPr>
        <w:t>The nutrient targets above are intended to be guidance/starting points for defining nutrient concentrations for managing to the periphyton attribute states.</w:t>
      </w:r>
      <w:r w:rsidR="001F13F3" w:rsidRPr="001F13F3">
        <w:rPr>
          <w:lang w:eastAsia="en-US" w:bidi="hi-IN"/>
        </w:rPr>
        <w:t xml:space="preserve"> </w:t>
      </w:r>
    </w:p>
    <w:p w14:paraId="537B6959" w14:textId="1D08F2FD" w:rsidR="00FA19B8" w:rsidRPr="001F13F3" w:rsidRDefault="00FA19B8" w:rsidP="00FA19B8">
      <w:pPr>
        <w:pStyle w:val="BodyText"/>
        <w:rPr>
          <w:lang w:eastAsia="en-US" w:bidi="hi-IN"/>
        </w:rPr>
      </w:pPr>
      <w:r w:rsidRPr="001F13F3">
        <w:rPr>
          <w:lang w:eastAsia="en-US" w:bidi="hi-IN"/>
        </w:rPr>
        <w:t xml:space="preserve">If an individual site exceeds the </w:t>
      </w:r>
      <w:r w:rsidRPr="001F13F3">
        <w:rPr>
          <w:lang w:eastAsia="en-US"/>
        </w:rPr>
        <w:fldChar w:fldCharType="begin"/>
      </w:r>
      <w:r w:rsidRPr="001F13F3">
        <w:rPr>
          <w:lang w:eastAsia="en-US"/>
        </w:rPr>
        <w:instrText xml:space="preserve"> ADDIN ZOTERO_ITEM CSL_CITATION {"citationID":"Iey20VjS","properties":{"formattedCitation":"(Snelder {\\i{}et al.}, 2019)","plainCitation":"(Snelder et al., 2019)","dontUpdate":true,"noteIndex":0},"citationItems":[{"id":3608,"uris":["http://zotero.org/groups/2329384/items/SP3LJK3U"],"uri":["http://zotero.org/groups/2329384/items/SP3LJK3U"],"itemData":{"id":3608,"type":"article-journal","container-title":"JAWRA Journal of the American Water Resources Association","issue":"6","page":"1443–1463","source":"Google Scholar","title":"Nutrient Concentration Targets to Achieve Periphyton Biomass Objectives Incorporating Uncertainties","volume":"55","author":[{"family":"Snelder","given":"T. H."},{"family":"Moore","given":"C."},{"family":"Kilroy","given":"C."}],"issued":{"date-parts":[["2019"]]}}}],"schema":"https://github.com/citation-style-language/schema/raw/master/csl-citation.json"} </w:instrText>
      </w:r>
      <w:r w:rsidRPr="001F13F3">
        <w:rPr>
          <w:lang w:eastAsia="en-US"/>
        </w:rPr>
        <w:fldChar w:fldCharType="separate"/>
      </w:r>
      <w:r w:rsidRPr="001F13F3">
        <w:rPr>
          <w:rFonts w:cs="Calibri"/>
          <w:szCs w:val="24"/>
          <w:lang w:eastAsia="en-US"/>
        </w:rPr>
        <w:t xml:space="preserve">Snelder </w:t>
      </w:r>
      <w:r w:rsidRPr="001F13F3">
        <w:rPr>
          <w:rFonts w:cs="Calibri"/>
          <w:i/>
          <w:iCs/>
          <w:szCs w:val="24"/>
          <w:lang w:eastAsia="en-US"/>
        </w:rPr>
        <w:t>et al.</w:t>
      </w:r>
      <w:r w:rsidRPr="001F13F3">
        <w:rPr>
          <w:rFonts w:cs="Calibri"/>
          <w:szCs w:val="24"/>
          <w:lang w:eastAsia="en-US"/>
        </w:rPr>
        <w:t xml:space="preserve"> (2019)</w:t>
      </w:r>
      <w:r w:rsidRPr="001F13F3">
        <w:rPr>
          <w:lang w:eastAsia="en-US"/>
        </w:rPr>
        <w:fldChar w:fldCharType="end"/>
      </w:r>
      <w:r w:rsidRPr="001F13F3">
        <w:rPr>
          <w:lang w:eastAsia="en-US"/>
        </w:rPr>
        <w:t xml:space="preserve"> </w:t>
      </w:r>
      <w:r w:rsidRPr="001F13F3">
        <w:rPr>
          <w:lang w:eastAsia="en-US" w:bidi="hi-IN"/>
        </w:rPr>
        <w:t xml:space="preserve">targets, the correct interpretation is that it has an “unacceptably high risk” of failing to achieve the nominated biological threshold (or objective). Exceeding the target, however, does not mean that the site is exceeding the </w:t>
      </w:r>
      <w:r w:rsidRPr="001F13F3">
        <w:rPr>
          <w:lang w:eastAsia="en-US" w:bidi="hi-IN"/>
        </w:rPr>
        <w:lastRenderedPageBreak/>
        <w:t xml:space="preserve">biological threshold, because the nutrient targets are uncertain and only monitoring of periphyton can confirm the actual biomass. However, in the absence of biological information, the manager would interpret failing the target as evidence that there is an issue and may decide to act accordingly. </w:t>
      </w:r>
    </w:p>
    <w:p w14:paraId="7B5E995E" w14:textId="280B3A16" w:rsidR="00FA19B8" w:rsidRPr="001F13F3" w:rsidRDefault="00FA19B8" w:rsidP="00FA19B8">
      <w:pPr>
        <w:pStyle w:val="Heading3"/>
        <w:rPr>
          <w:lang w:eastAsia="en-US" w:bidi="hi-IN"/>
        </w:rPr>
      </w:pPr>
      <w:r w:rsidRPr="001F13F3">
        <w:rPr>
          <w:lang w:eastAsia="en-US" w:bidi="hi-IN"/>
        </w:rPr>
        <w:t>Other ways of managing periphyton</w:t>
      </w:r>
    </w:p>
    <w:p w14:paraId="514DAC0E" w14:textId="77777777" w:rsidR="00657ACB" w:rsidRPr="001F13F3" w:rsidRDefault="00FA19B8" w:rsidP="007451B1">
      <w:pPr>
        <w:pStyle w:val="BodyText"/>
      </w:pPr>
      <w:r w:rsidRPr="001F13F3">
        <w:t xml:space="preserve">To meet the periphyton </w:t>
      </w:r>
      <w:r w:rsidR="00A974EC" w:rsidRPr="001F13F3">
        <w:t>bottom-line</w:t>
      </w:r>
      <w:r w:rsidRPr="001F13F3">
        <w:t xml:space="preserve">, regional council may choose to employ any combination of mitigation methods. For example, there is potential to achieve periphyton objectives by stream shading in many waterways. The advantage of using shading to achieve periphyton objectives is sometimes only local because nutrients flow downstream to receiving environments that cannot be shaded. In these circumstances reduction of instream nutrient concentrations is necessary to achieve periphyton objectives in the downstream receiving environments and the overall benefit afforded by shading may be minor or zero. </w:t>
      </w:r>
    </w:p>
    <w:p w14:paraId="65F82D71" w14:textId="177DD47E" w:rsidR="007D374B" w:rsidRPr="001F13F3" w:rsidRDefault="007D374B" w:rsidP="00657ACB">
      <w:pPr>
        <w:pStyle w:val="BodyText"/>
        <w:rPr>
          <w:rStyle w:val="Heading1Char"/>
          <w:rFonts w:eastAsiaTheme="minorEastAsia" w:cstheme="minorBidi"/>
          <w:b w:val="0"/>
          <w:bCs w:val="0"/>
          <w:color w:val="auto"/>
          <w:sz w:val="22"/>
          <w:szCs w:val="22"/>
        </w:rPr>
      </w:pPr>
      <w:r w:rsidRPr="001F13F3">
        <w:rPr>
          <w:rStyle w:val="Heading1Char"/>
          <w:rFonts w:eastAsiaTheme="minorEastAsia" w:cstheme="minorBidi"/>
          <w:b w:val="0"/>
          <w:bCs w:val="0"/>
          <w:color w:val="auto"/>
          <w:sz w:val="22"/>
          <w:szCs w:val="22"/>
        </w:rPr>
        <w:br w:type="page"/>
      </w:r>
    </w:p>
    <w:p w14:paraId="33C47730" w14:textId="06838558" w:rsidR="005943B9" w:rsidRPr="001F13F3" w:rsidRDefault="00B43530" w:rsidP="00B43530">
      <w:pPr>
        <w:pStyle w:val="Heading1"/>
        <w:rPr>
          <w:rStyle w:val="Heading1Char"/>
          <w:b/>
          <w:bCs/>
        </w:rPr>
      </w:pPr>
      <w:bookmarkStart w:id="38" w:name="_Toc47357785"/>
      <w:r w:rsidRPr="001F13F3">
        <w:rPr>
          <w:rStyle w:val="Heading1Char"/>
          <w:b/>
          <w:bCs/>
        </w:rPr>
        <w:lastRenderedPageBreak/>
        <w:t>3.</w:t>
      </w:r>
      <w:r w:rsidRPr="001F13F3">
        <w:rPr>
          <w:rStyle w:val="Heading1Char"/>
          <w:b/>
          <w:bCs/>
        </w:rPr>
        <w:tab/>
      </w:r>
      <w:r w:rsidR="005943B9" w:rsidRPr="001F13F3">
        <w:rPr>
          <w:rStyle w:val="Heading1Char"/>
          <w:b/>
          <w:bCs/>
        </w:rPr>
        <w:t>Further information</w:t>
      </w:r>
      <w:bookmarkEnd w:id="38"/>
    </w:p>
    <w:p w14:paraId="2FC2E62D" w14:textId="36D5D868" w:rsidR="009C44C8" w:rsidRPr="001F13F3" w:rsidRDefault="009C44C8" w:rsidP="00B948F4">
      <w:pPr>
        <w:pStyle w:val="Heading3"/>
        <w:spacing w:before="240"/>
      </w:pPr>
      <w:bookmarkStart w:id="39" w:name="_Toc39145251"/>
      <w:r w:rsidRPr="001F13F3">
        <w:t xml:space="preserve">Action for healthy waterways and changes to the NPS-FM </w:t>
      </w:r>
    </w:p>
    <w:p w14:paraId="66FC5A0D" w14:textId="61ECDAD0" w:rsidR="003F3473" w:rsidRPr="009A38BC" w:rsidRDefault="00F02A9A" w:rsidP="00B948F4">
      <w:pPr>
        <w:pStyle w:val="Bullet"/>
        <w:spacing w:before="120"/>
      </w:pPr>
      <w:hyperlink r:id="rId24" w:history="1">
        <w:r w:rsidR="009A38BC" w:rsidRPr="009A38BC">
          <w:rPr>
            <w:rStyle w:val="Hyperlink"/>
          </w:rPr>
          <w:t>https://www.mfe.govt.nz/fresh-water/national-policy-statement/about-nps</w:t>
        </w:r>
      </w:hyperlink>
    </w:p>
    <w:p w14:paraId="7E6EFA72" w14:textId="50276E94" w:rsidR="009C44C8" w:rsidRPr="001F13F3" w:rsidRDefault="009C44C8" w:rsidP="009C44C8">
      <w:pPr>
        <w:pStyle w:val="Bullet"/>
      </w:pPr>
      <w:r w:rsidRPr="001F13F3">
        <w:t xml:space="preserve">Action for healthy waterways </w:t>
      </w:r>
      <w:r w:rsidR="00B948F4" w:rsidRPr="001F13F3">
        <w:t>–</w:t>
      </w:r>
      <w:r w:rsidRPr="001F13F3">
        <w:t xml:space="preserve"> </w:t>
      </w:r>
      <w:r w:rsidR="00937092">
        <w:t>i</w:t>
      </w:r>
      <w:r w:rsidRPr="001F13F3">
        <w:t xml:space="preserve">nformation about attributes in NPS freshwater management </w:t>
      </w:r>
      <w:hyperlink r:id="rId25" w:history="1">
        <w:r w:rsidR="00AC3C0A" w:rsidRPr="001F13F3">
          <w:rPr>
            <w:rStyle w:val="Hyperlink"/>
            <w:rFonts w:eastAsiaTheme="majorEastAsia"/>
          </w:rPr>
          <w:t>www.mfe.govt.nz/publications/fresh-water/action-healthy-waterways-information-about-attributes-nps-freshwater</w:t>
        </w:r>
      </w:hyperlink>
      <w:r w:rsidRPr="001F13F3">
        <w:t xml:space="preserve"> </w:t>
      </w:r>
    </w:p>
    <w:p w14:paraId="6CF82BC0" w14:textId="35B9B0DD" w:rsidR="009C44C8" w:rsidRPr="001F13F3" w:rsidRDefault="009C44C8" w:rsidP="009C44C8">
      <w:pPr>
        <w:pStyle w:val="Heading3"/>
      </w:pPr>
      <w:r w:rsidRPr="001F13F3">
        <w:t>Periphyton spatial exceedance criteria</w:t>
      </w:r>
    </w:p>
    <w:p w14:paraId="080A26B3" w14:textId="7FBE8D3D" w:rsidR="005943B9" w:rsidRPr="001F13F3" w:rsidRDefault="005943B9" w:rsidP="00B948F4">
      <w:pPr>
        <w:pStyle w:val="BodyText"/>
      </w:pPr>
      <w:r w:rsidRPr="001F13F3">
        <w:t>This approach is based on peer-reviewed, published science and further information can be</w:t>
      </w:r>
      <w:r w:rsidR="00AC3C0A" w:rsidRPr="001F13F3">
        <w:t> </w:t>
      </w:r>
      <w:r w:rsidRPr="001F13F3">
        <w:t xml:space="preserve">found </w:t>
      </w:r>
      <w:r w:rsidR="009C44C8" w:rsidRPr="001F13F3">
        <w:t>in the publications below, as well as the publications in the References section.</w:t>
      </w:r>
    </w:p>
    <w:p w14:paraId="4B2D43BE" w14:textId="319A351A" w:rsidR="00A5593A" w:rsidRPr="001F13F3" w:rsidRDefault="009C44C8" w:rsidP="00A5593A">
      <w:pPr>
        <w:pStyle w:val="Bullet"/>
      </w:pPr>
      <w:r w:rsidRPr="001F13F3">
        <w:rPr>
          <w:i/>
        </w:rPr>
        <w:t>Action for healthy waterways: Summary of modelling to inform environmental impact</w:t>
      </w:r>
      <w:r w:rsidR="00AC3C0A" w:rsidRPr="001F13F3">
        <w:rPr>
          <w:i/>
        </w:rPr>
        <w:t> </w:t>
      </w:r>
      <w:r w:rsidRPr="001F13F3">
        <w:rPr>
          <w:i/>
        </w:rPr>
        <w:t>assessment of nutrient proposals</w:t>
      </w:r>
      <w:r w:rsidRPr="001F13F3">
        <w:t>. Ministry for the Environment (2020).</w:t>
      </w:r>
      <w:r w:rsidR="00A5593A" w:rsidRPr="001F13F3">
        <w:t xml:space="preserve"> </w:t>
      </w:r>
      <w:hyperlink r:id="rId26" w:history="1">
        <w:r w:rsidR="00AC3C0A" w:rsidRPr="001F13F3">
          <w:rPr>
            <w:rStyle w:val="Hyperlink"/>
          </w:rPr>
          <w:t>www.mfe.govt.nz/publications/fresh-water/summary-of-modelling-inform-environmental-impact-assessment-of-nutrient</w:t>
        </w:r>
      </w:hyperlink>
    </w:p>
    <w:p w14:paraId="40356723" w14:textId="4A4E8CD8" w:rsidR="009C44C8" w:rsidRPr="001F13F3" w:rsidRDefault="009C44C8" w:rsidP="009C44C8">
      <w:pPr>
        <w:pStyle w:val="Bullet"/>
      </w:pPr>
      <w:r w:rsidRPr="001F13F3">
        <w:rPr>
          <w:i/>
        </w:rPr>
        <w:t>Nutrient Concentration Targets to Achieve Periphyton Biomass Objectives Incorporating Uncertainties</w:t>
      </w:r>
      <w:r w:rsidRPr="001F13F3">
        <w:t>. Snelder et al. (2019). Journal of the American Water Resources Association.</w:t>
      </w:r>
    </w:p>
    <w:p w14:paraId="4F1C0BA0" w14:textId="76FCFEC6" w:rsidR="009C44C8" w:rsidRPr="001F13F3" w:rsidRDefault="009C44C8" w:rsidP="009C44C8">
      <w:pPr>
        <w:pStyle w:val="Heading3"/>
      </w:pPr>
      <w:r w:rsidRPr="001F13F3">
        <w:t>How to set nutrient targets in catchments</w:t>
      </w:r>
    </w:p>
    <w:p w14:paraId="039B30C3" w14:textId="6F6029AD" w:rsidR="009C44C8" w:rsidRPr="001F13F3" w:rsidRDefault="009C44C8" w:rsidP="009C44C8">
      <w:pPr>
        <w:pStyle w:val="BodyText"/>
      </w:pPr>
      <w:r w:rsidRPr="001F13F3">
        <w:t xml:space="preserve">Guidance on setting nutrient targets </w:t>
      </w:r>
      <w:r w:rsidR="00A5593A" w:rsidRPr="001F13F3">
        <w:t xml:space="preserve">including those for downstream receiving environments </w:t>
      </w:r>
      <w:r w:rsidRPr="001F13F3">
        <w:t>as required by the 2014 (modified 2017) NPS-FM is available here:</w:t>
      </w:r>
    </w:p>
    <w:p w14:paraId="15A2C752" w14:textId="0AAB5FA0" w:rsidR="009C44C8" w:rsidRPr="001F13F3" w:rsidRDefault="009C44C8" w:rsidP="00783410">
      <w:pPr>
        <w:pStyle w:val="Bullet"/>
      </w:pPr>
      <w:r w:rsidRPr="001F13F3">
        <w:rPr>
          <w:i/>
        </w:rPr>
        <w:t>A draft technical guide to the Periphyton Attribute Note.</w:t>
      </w:r>
      <w:r w:rsidRPr="001F13F3">
        <w:t xml:space="preserve"> Ministry for the Environment (2018)</w:t>
      </w:r>
      <w:r w:rsidR="00783410" w:rsidRPr="001F13F3">
        <w:t xml:space="preserve"> </w:t>
      </w:r>
      <w:hyperlink r:id="rId27" w:history="1">
        <w:r w:rsidR="00AC3C0A" w:rsidRPr="001F13F3">
          <w:rPr>
            <w:rStyle w:val="Hyperlink"/>
          </w:rPr>
          <w:t>www.mfe.govt.nz/sites/default/files/media/Fresh%20water/Periphyton%20note%20draft%20technical%20guidance%20_FINAL.pdf</w:t>
        </w:r>
      </w:hyperlink>
    </w:p>
    <w:p w14:paraId="39AC1DB0" w14:textId="051C18B1" w:rsidR="009C44C8" w:rsidRPr="001F13F3" w:rsidRDefault="009C44C8" w:rsidP="009C44C8">
      <w:pPr>
        <w:pStyle w:val="BodyText"/>
      </w:pPr>
      <w:r w:rsidRPr="001F13F3">
        <w:t xml:space="preserve">This guidance </w:t>
      </w:r>
      <w:r w:rsidR="00A32FD0" w:rsidRPr="001F13F3">
        <w:t xml:space="preserve">has useful information that is still relevant regardless of the version of NPS, but </w:t>
      </w:r>
      <w:r w:rsidRPr="001F13F3">
        <w:t>will be updated to meet the requirements in the 2020 NPS-FM in due course.</w:t>
      </w:r>
    </w:p>
    <w:p w14:paraId="15E1FBC8" w14:textId="77777777" w:rsidR="009C44C8" w:rsidRPr="001F13F3" w:rsidRDefault="009C44C8" w:rsidP="009C44C8">
      <w:pPr>
        <w:pStyle w:val="References"/>
      </w:pPr>
    </w:p>
    <w:p w14:paraId="335089CB" w14:textId="77777777" w:rsidR="005943B9" w:rsidRPr="001F13F3" w:rsidRDefault="005943B9" w:rsidP="0011780A">
      <w:pPr>
        <w:pStyle w:val="BodyText"/>
      </w:pPr>
      <w:r w:rsidRPr="001F13F3">
        <w:br w:type="page"/>
      </w:r>
    </w:p>
    <w:p w14:paraId="17E79AE5" w14:textId="405C630C" w:rsidR="00875AFA" w:rsidRPr="001F13F3" w:rsidRDefault="00875AFA" w:rsidP="00875AFA">
      <w:pPr>
        <w:pStyle w:val="Heading1"/>
        <w:tabs>
          <w:tab w:val="clear" w:pos="851"/>
        </w:tabs>
      </w:pPr>
      <w:bookmarkStart w:id="40" w:name="_Toc47357786"/>
      <w:r w:rsidRPr="001F13F3">
        <w:lastRenderedPageBreak/>
        <w:t>References</w:t>
      </w:r>
      <w:bookmarkEnd w:id="39"/>
      <w:bookmarkEnd w:id="40"/>
    </w:p>
    <w:p w14:paraId="68335775" w14:textId="5C5B516A" w:rsidR="007D374B" w:rsidRPr="001F13F3" w:rsidRDefault="007D374B" w:rsidP="007D374B">
      <w:pPr>
        <w:pStyle w:val="References"/>
      </w:pPr>
      <w:r w:rsidRPr="001F13F3">
        <w:t>LWP</w:t>
      </w:r>
      <w:r w:rsidR="00AC3C0A" w:rsidRPr="001F13F3">
        <w:t>.</w:t>
      </w:r>
      <w:r w:rsidRPr="001F13F3">
        <w:t xml:space="preserve"> 2020. Definition of nutrient concentration targets for periphyton objectives including 30% spatial exceedance criteria. Memo to </w:t>
      </w:r>
      <w:r w:rsidR="002504E1">
        <w:t>the Ministry for the Environment.</w:t>
      </w:r>
      <w:r w:rsidRPr="001F13F3">
        <w:t>. 4th March 2020.</w:t>
      </w:r>
    </w:p>
    <w:p w14:paraId="49F181B2" w14:textId="379B2EFF" w:rsidR="009C44C8" w:rsidRPr="001F13F3" w:rsidRDefault="009C44C8" w:rsidP="00875AFA">
      <w:pPr>
        <w:pStyle w:val="References"/>
      </w:pPr>
      <w:r w:rsidRPr="001F13F3">
        <w:t>Ministry for the Environment. 2018. A draft technical guide to the Periphyton Attribute Note. Ministry for the Environment.</w:t>
      </w:r>
    </w:p>
    <w:p w14:paraId="0066BC5C" w14:textId="1A550019" w:rsidR="00875AFA" w:rsidRPr="001F13F3" w:rsidRDefault="00875AFA" w:rsidP="00875AFA">
      <w:pPr>
        <w:pStyle w:val="References"/>
      </w:pPr>
      <w:r w:rsidRPr="001F13F3">
        <w:t>Ministry for the Environment</w:t>
      </w:r>
      <w:r w:rsidR="00D877B1" w:rsidRPr="001F13F3">
        <w:t xml:space="preserve">. </w:t>
      </w:r>
      <w:r w:rsidRPr="001F13F3">
        <w:t>2019</w:t>
      </w:r>
      <w:r w:rsidR="00D877B1" w:rsidRPr="001F13F3">
        <w:t>.</w:t>
      </w:r>
      <w:r w:rsidRPr="001F13F3">
        <w:t xml:space="preserve"> </w:t>
      </w:r>
      <w:r w:rsidRPr="001F13F3">
        <w:rPr>
          <w:i/>
          <w:iCs/>
        </w:rPr>
        <w:t xml:space="preserve">Essential Freshwater: Impact of existing periphyton and proposed dissolved inorganic nitrogen </w:t>
      </w:r>
      <w:r w:rsidR="0067679D" w:rsidRPr="001F13F3">
        <w:rPr>
          <w:i/>
          <w:iCs/>
        </w:rPr>
        <w:t>bottom-line</w:t>
      </w:r>
      <w:r w:rsidRPr="001F13F3">
        <w:rPr>
          <w:i/>
          <w:iCs/>
        </w:rPr>
        <w:t>s</w:t>
      </w:r>
      <w:r w:rsidRPr="001F13F3">
        <w:t>. Ministry for the Environment.</w:t>
      </w:r>
    </w:p>
    <w:p w14:paraId="0054C5D4" w14:textId="08304D00" w:rsidR="00D877B1" w:rsidRPr="001F13F3" w:rsidRDefault="00D877B1" w:rsidP="00875AFA">
      <w:pPr>
        <w:pStyle w:val="References"/>
      </w:pPr>
      <w:r w:rsidRPr="001F13F3">
        <w:t xml:space="preserve">Ministry for the Environment. 2020. </w:t>
      </w:r>
      <w:r w:rsidR="00B17CE0" w:rsidRPr="001F13F3">
        <w:rPr>
          <w:i/>
          <w:iCs/>
        </w:rPr>
        <w:t xml:space="preserve">Action for healthy waterways: </w:t>
      </w:r>
      <w:r w:rsidRPr="001F13F3">
        <w:rPr>
          <w:i/>
          <w:iCs/>
        </w:rPr>
        <w:t>Regulatory Impact Analysis: Part II Detailed Analysis</w:t>
      </w:r>
      <w:r w:rsidRPr="001F13F3">
        <w:t>. Ministry for the Environment.</w:t>
      </w:r>
    </w:p>
    <w:p w14:paraId="4006A309" w14:textId="27DDF272" w:rsidR="005943B9" w:rsidRPr="001F13F3" w:rsidRDefault="005943B9" w:rsidP="00875AFA">
      <w:pPr>
        <w:pStyle w:val="References"/>
      </w:pPr>
      <w:r w:rsidRPr="001F13F3">
        <w:t xml:space="preserve">Ministry for the Environment. 2020. </w:t>
      </w:r>
      <w:r w:rsidRPr="001F13F3">
        <w:rPr>
          <w:i/>
          <w:iCs/>
        </w:rPr>
        <w:t>Action for healthy waterways:</w:t>
      </w:r>
      <w:r w:rsidR="009C44C8" w:rsidRPr="001F13F3">
        <w:rPr>
          <w:i/>
          <w:iCs/>
        </w:rPr>
        <w:t xml:space="preserve"> Summary of modelling to inform environmental impact assessment of nutrient proposals.</w:t>
      </w:r>
      <w:r w:rsidRPr="001F13F3">
        <w:rPr>
          <w:i/>
          <w:iCs/>
        </w:rPr>
        <w:t xml:space="preserve"> </w:t>
      </w:r>
      <w:r w:rsidRPr="001F13F3">
        <w:t>Ministry for the Environment.</w:t>
      </w:r>
    </w:p>
    <w:p w14:paraId="4115722C" w14:textId="7EBE5CD9" w:rsidR="00633A39" w:rsidRPr="001F13F3" w:rsidRDefault="00633A39" w:rsidP="00633A39">
      <w:pPr>
        <w:pStyle w:val="References"/>
      </w:pPr>
      <w:r w:rsidRPr="001F13F3">
        <w:t xml:space="preserve">Snelder, T. 2018. </w:t>
      </w:r>
      <w:r w:rsidRPr="001F13F3">
        <w:rPr>
          <w:i/>
          <w:iCs/>
        </w:rPr>
        <w:t>Nutrient Concentration Targets to Achieve Periphyton Biomass Objectives Incorporating Uncertainties</w:t>
      </w:r>
      <w:r w:rsidRPr="001F13F3">
        <w:t>. GNS Science Report, Geological and Nuclear Sciences, Wellington, New</w:t>
      </w:r>
      <w:r w:rsidR="0011780A" w:rsidRPr="001F13F3">
        <w:t> </w:t>
      </w:r>
      <w:r w:rsidRPr="001F13F3">
        <w:t>Zealand.</w:t>
      </w:r>
    </w:p>
    <w:p w14:paraId="4D75EBEB" w14:textId="45583E25" w:rsidR="007451B1" w:rsidRPr="001F13F3" w:rsidRDefault="00633A39" w:rsidP="007451B1">
      <w:pPr>
        <w:pStyle w:val="References"/>
      </w:pPr>
      <w:r w:rsidRPr="001F13F3">
        <w:t>Snelder, T.H., C. Moore, and C. Kilroy</w:t>
      </w:r>
      <w:r w:rsidR="00E77F04" w:rsidRPr="001F13F3">
        <w:t>.</w:t>
      </w:r>
      <w:r w:rsidRPr="001F13F3">
        <w:t xml:space="preserve"> 2019. Nutrient Concentration Targets to Achieve Periphyton Biomass Objectives Incorporating Uncertainties. JAWRA </w:t>
      </w:r>
      <w:r w:rsidRPr="001F13F3">
        <w:rPr>
          <w:i/>
          <w:iCs/>
        </w:rPr>
        <w:t>Journal of the American Water Resources Association</w:t>
      </w:r>
      <w:r w:rsidRPr="001F13F3">
        <w:t xml:space="preserve"> 55:1443–1463.</w:t>
      </w:r>
      <w:r w:rsidR="007D374B" w:rsidRPr="001F13F3">
        <w:t xml:space="preserve"> 10.1111/1752-1688.12794.</w:t>
      </w:r>
      <w:bookmarkStart w:id="41" w:name="_Toc39145252"/>
    </w:p>
    <w:p w14:paraId="583315F1" w14:textId="77777777" w:rsidR="0011780A" w:rsidRPr="001F13F3" w:rsidRDefault="0011780A" w:rsidP="0011780A">
      <w:pPr>
        <w:pStyle w:val="BodyText"/>
      </w:pPr>
    </w:p>
    <w:p w14:paraId="726D1312" w14:textId="197FD5A0" w:rsidR="007451B1" w:rsidRPr="001F13F3" w:rsidRDefault="007451B1" w:rsidP="0011780A">
      <w:pPr>
        <w:pStyle w:val="BodyText"/>
        <w:rPr>
          <w:sz w:val="20"/>
        </w:rPr>
      </w:pPr>
      <w:r w:rsidRPr="001F13F3">
        <w:br w:type="page"/>
      </w:r>
    </w:p>
    <w:p w14:paraId="5FC75E7A" w14:textId="187AD773" w:rsidR="007451B1" w:rsidRPr="001F13F3" w:rsidRDefault="007451B1" w:rsidP="007451B1">
      <w:pPr>
        <w:pStyle w:val="Heading1"/>
      </w:pPr>
      <w:bookmarkStart w:id="42" w:name="_Toc47357787"/>
      <w:r w:rsidRPr="001F13F3">
        <w:lastRenderedPageBreak/>
        <w:t>Appendix 1</w:t>
      </w:r>
      <w:r w:rsidR="0011780A" w:rsidRPr="001F13F3">
        <w:t>:</w:t>
      </w:r>
      <w:r w:rsidRPr="001F13F3">
        <w:t xml:space="preserve"> How do I work out the </w:t>
      </w:r>
      <w:r w:rsidR="00A32FD0" w:rsidRPr="001F13F3">
        <w:t>River</w:t>
      </w:r>
      <w:r w:rsidR="0011780A" w:rsidRPr="001F13F3">
        <w:t> </w:t>
      </w:r>
      <w:r w:rsidR="009A38BC">
        <w:t>Environment Classification</w:t>
      </w:r>
      <w:r w:rsidR="00A32FD0" w:rsidRPr="001F13F3">
        <w:t xml:space="preserve"> </w:t>
      </w:r>
      <w:r w:rsidRPr="001F13F3">
        <w:t>class of a particular site?</w:t>
      </w:r>
      <w:bookmarkEnd w:id="42"/>
    </w:p>
    <w:p w14:paraId="10A572B9" w14:textId="0ADF2BAB" w:rsidR="00A974EC" w:rsidRPr="001F13F3" w:rsidRDefault="00A974EC" w:rsidP="0011780A">
      <w:pPr>
        <w:pStyle w:val="BodyText"/>
      </w:pPr>
      <w:r w:rsidRPr="001F13F3">
        <w:t>The River Environment Classification (REC) System groups rivers and parts of river networks that share similar characteristics, including physical and biological. Rivers that share the same</w:t>
      </w:r>
      <w:r w:rsidR="0011780A" w:rsidRPr="001F13F3">
        <w:t> </w:t>
      </w:r>
      <w:r w:rsidRPr="001F13F3">
        <w:t>class can be treated as similar to one another and different to rivers in other classes. The</w:t>
      </w:r>
      <w:r w:rsidR="0011780A" w:rsidRPr="001F13F3">
        <w:t> </w:t>
      </w:r>
      <w:r w:rsidRPr="001F13F3">
        <w:t xml:space="preserve">REC system groups rivers according to several environmental factors that strongly influence or cause the rivers’ physical and ecological characteristics (climate, topography, geology and land cover). </w:t>
      </w:r>
    </w:p>
    <w:p w14:paraId="7E8060BB" w14:textId="134BC408" w:rsidR="007451B1" w:rsidRPr="001F13F3" w:rsidRDefault="007451B1" w:rsidP="0011780A">
      <w:pPr>
        <w:pStyle w:val="BodyText"/>
        <w:spacing w:before="0"/>
        <w:ind w:left="397" w:hanging="397"/>
      </w:pPr>
      <w:r w:rsidRPr="001F13F3">
        <w:t xml:space="preserve">1. </w:t>
      </w:r>
      <w:r w:rsidR="0011780A" w:rsidRPr="001F13F3">
        <w:tab/>
      </w:r>
      <w:r w:rsidRPr="001F13F3">
        <w:t xml:space="preserve">To view the REC dataset, go to </w:t>
      </w:r>
      <w:hyperlink r:id="rId28" w:history="1">
        <w:r w:rsidRPr="001F13F3">
          <w:rPr>
            <w:rStyle w:val="Hyperlink"/>
          </w:rPr>
          <w:t>https://data.mfe.govt.nz/data/category/fresh-water/</w:t>
        </w:r>
      </w:hyperlink>
    </w:p>
    <w:p w14:paraId="1E0BF426" w14:textId="09103717" w:rsidR="007451B1" w:rsidRPr="001F13F3" w:rsidRDefault="007451B1" w:rsidP="0011780A">
      <w:pPr>
        <w:pStyle w:val="BodyText"/>
        <w:spacing w:before="0"/>
        <w:ind w:left="397" w:hanging="397"/>
      </w:pPr>
      <w:r w:rsidRPr="001F13F3">
        <w:t xml:space="preserve">2. </w:t>
      </w:r>
      <w:r w:rsidR="0011780A" w:rsidRPr="001F13F3">
        <w:tab/>
      </w:r>
      <w:r w:rsidRPr="001F13F3">
        <w:t>Click on the + symbol for “River Environment Classification New Zealand (2010)”</w:t>
      </w:r>
    </w:p>
    <w:p w14:paraId="4BA2265A" w14:textId="4E1E3044" w:rsidR="007451B1" w:rsidRPr="001F13F3" w:rsidRDefault="007451B1" w:rsidP="0011780A">
      <w:pPr>
        <w:pStyle w:val="BodyText"/>
        <w:spacing w:before="0"/>
        <w:ind w:left="397" w:hanging="397"/>
      </w:pPr>
      <w:r w:rsidRPr="001F13F3">
        <w:t xml:space="preserve">3. </w:t>
      </w:r>
      <w:r w:rsidR="0011780A" w:rsidRPr="001F13F3">
        <w:tab/>
      </w:r>
      <w:r w:rsidRPr="001F13F3">
        <w:t>Navigate to your stream or river using the zoom.</w:t>
      </w:r>
    </w:p>
    <w:p w14:paraId="26A62EA7" w14:textId="772E8268" w:rsidR="007451B1" w:rsidRPr="001F13F3" w:rsidRDefault="007451B1" w:rsidP="0011780A">
      <w:pPr>
        <w:pStyle w:val="BodyText"/>
        <w:spacing w:before="0"/>
        <w:ind w:left="397" w:hanging="397"/>
      </w:pPr>
      <w:r w:rsidRPr="001F13F3">
        <w:t xml:space="preserve">4. </w:t>
      </w:r>
      <w:r w:rsidR="0011780A" w:rsidRPr="001F13F3">
        <w:tab/>
      </w:r>
      <w:r w:rsidRPr="001F13F3">
        <w:t>Click on the stream or river of interest, this will bring up a data table.</w:t>
      </w:r>
    </w:p>
    <w:p w14:paraId="50587BFB" w14:textId="4E4DCA97" w:rsidR="007451B1" w:rsidRPr="001F13F3" w:rsidRDefault="007451B1" w:rsidP="0011780A">
      <w:pPr>
        <w:pStyle w:val="BodyText"/>
        <w:spacing w:before="0" w:after="360"/>
        <w:ind w:left="397" w:hanging="397"/>
      </w:pPr>
      <w:r w:rsidRPr="001F13F3">
        <w:t xml:space="preserve">5. </w:t>
      </w:r>
      <w:r w:rsidR="0011780A" w:rsidRPr="001F13F3">
        <w:tab/>
      </w:r>
      <w:r w:rsidRPr="001F13F3">
        <w:t>Look under “Climate”. The codes used are as follows:</w:t>
      </w:r>
    </w:p>
    <w:tbl>
      <w:tblPr>
        <w:tblStyle w:val="TableGrid"/>
        <w:tblW w:w="8505" w:type="dxa"/>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ook w:val="04A0" w:firstRow="1" w:lastRow="0" w:firstColumn="1" w:lastColumn="0" w:noHBand="0" w:noVBand="1"/>
      </w:tblPr>
      <w:tblGrid>
        <w:gridCol w:w="4257"/>
        <w:gridCol w:w="4248"/>
      </w:tblGrid>
      <w:tr w:rsidR="00B22018" w:rsidRPr="001F13F3" w14:paraId="331CD470" w14:textId="77777777" w:rsidTr="00B22018">
        <w:tc>
          <w:tcPr>
            <w:tcW w:w="4508" w:type="dxa"/>
            <w:shd w:val="clear" w:color="auto" w:fill="1C556C" w:themeFill="accent1"/>
          </w:tcPr>
          <w:p w14:paraId="6D9938AD" w14:textId="77777777" w:rsidR="007451B1" w:rsidRPr="001F13F3" w:rsidRDefault="007451B1" w:rsidP="00B22018">
            <w:pPr>
              <w:pStyle w:val="TableTextbold"/>
              <w:rPr>
                <w:color w:val="FFFFFF" w:themeColor="background1"/>
              </w:rPr>
            </w:pPr>
            <w:r w:rsidRPr="001F13F3">
              <w:rPr>
                <w:color w:val="FFFFFF" w:themeColor="background1"/>
              </w:rPr>
              <w:t>Climate category</w:t>
            </w:r>
          </w:p>
        </w:tc>
        <w:tc>
          <w:tcPr>
            <w:tcW w:w="4508" w:type="dxa"/>
            <w:shd w:val="clear" w:color="auto" w:fill="1C556C" w:themeFill="accent1"/>
          </w:tcPr>
          <w:p w14:paraId="2A2045A7" w14:textId="77777777" w:rsidR="007451B1" w:rsidRPr="001F13F3" w:rsidRDefault="007451B1" w:rsidP="00B22018">
            <w:pPr>
              <w:pStyle w:val="TableTextbold"/>
              <w:rPr>
                <w:color w:val="FFFFFF" w:themeColor="background1"/>
              </w:rPr>
            </w:pPr>
            <w:r w:rsidRPr="001F13F3">
              <w:rPr>
                <w:color w:val="FFFFFF" w:themeColor="background1"/>
              </w:rPr>
              <w:t>Notation</w:t>
            </w:r>
          </w:p>
        </w:tc>
      </w:tr>
      <w:tr w:rsidR="007451B1" w:rsidRPr="001F13F3" w14:paraId="18E7F48B" w14:textId="77777777" w:rsidTr="00B22018">
        <w:tc>
          <w:tcPr>
            <w:tcW w:w="4508" w:type="dxa"/>
          </w:tcPr>
          <w:p w14:paraId="740E8C13" w14:textId="77777777" w:rsidR="007451B1" w:rsidRPr="001F13F3" w:rsidRDefault="007451B1" w:rsidP="0026299D">
            <w:pPr>
              <w:pStyle w:val="TableText"/>
            </w:pPr>
            <w:r w:rsidRPr="001F13F3">
              <w:t>Warm-Extremely-Wet</w:t>
            </w:r>
          </w:p>
        </w:tc>
        <w:tc>
          <w:tcPr>
            <w:tcW w:w="4508" w:type="dxa"/>
          </w:tcPr>
          <w:p w14:paraId="6D20A85D" w14:textId="77777777" w:rsidR="007451B1" w:rsidRPr="001F13F3" w:rsidRDefault="007451B1" w:rsidP="0026299D">
            <w:pPr>
              <w:pStyle w:val="TableText"/>
            </w:pPr>
            <w:r w:rsidRPr="001F13F3">
              <w:t>WX</w:t>
            </w:r>
          </w:p>
        </w:tc>
      </w:tr>
      <w:tr w:rsidR="007451B1" w:rsidRPr="001F13F3" w14:paraId="2489BC1B" w14:textId="77777777" w:rsidTr="00B22018">
        <w:tc>
          <w:tcPr>
            <w:tcW w:w="4508" w:type="dxa"/>
          </w:tcPr>
          <w:p w14:paraId="159D3C9C" w14:textId="77777777" w:rsidR="007451B1" w:rsidRPr="001F13F3" w:rsidRDefault="007451B1" w:rsidP="0026299D">
            <w:pPr>
              <w:pStyle w:val="TableText"/>
            </w:pPr>
            <w:r w:rsidRPr="001F13F3">
              <w:t>Warm-Wet</w:t>
            </w:r>
          </w:p>
        </w:tc>
        <w:tc>
          <w:tcPr>
            <w:tcW w:w="4508" w:type="dxa"/>
          </w:tcPr>
          <w:p w14:paraId="4C2AE46B" w14:textId="77777777" w:rsidR="007451B1" w:rsidRPr="001F13F3" w:rsidRDefault="007451B1" w:rsidP="0026299D">
            <w:pPr>
              <w:pStyle w:val="TableText"/>
            </w:pPr>
            <w:r w:rsidRPr="001F13F3">
              <w:t>WW</w:t>
            </w:r>
          </w:p>
        </w:tc>
      </w:tr>
      <w:tr w:rsidR="007451B1" w:rsidRPr="001F13F3" w14:paraId="31148BC1" w14:textId="77777777" w:rsidTr="00B22018">
        <w:tc>
          <w:tcPr>
            <w:tcW w:w="4508" w:type="dxa"/>
          </w:tcPr>
          <w:p w14:paraId="53022C7A" w14:textId="215A28B6" w:rsidR="007451B1" w:rsidRPr="001F13F3" w:rsidRDefault="005D6523" w:rsidP="0026299D">
            <w:pPr>
              <w:pStyle w:val="TableText"/>
            </w:pPr>
            <w:r w:rsidRPr="001F13F3">
              <w:t>Warm</w:t>
            </w:r>
            <w:r w:rsidR="007451B1" w:rsidRPr="001F13F3">
              <w:t>-Dry</w:t>
            </w:r>
          </w:p>
        </w:tc>
        <w:tc>
          <w:tcPr>
            <w:tcW w:w="4508" w:type="dxa"/>
          </w:tcPr>
          <w:p w14:paraId="157127E7" w14:textId="77777777" w:rsidR="007451B1" w:rsidRPr="001F13F3" w:rsidRDefault="007451B1" w:rsidP="0026299D">
            <w:pPr>
              <w:pStyle w:val="TableText"/>
            </w:pPr>
            <w:r w:rsidRPr="001F13F3">
              <w:t>WD</w:t>
            </w:r>
          </w:p>
        </w:tc>
      </w:tr>
      <w:tr w:rsidR="007451B1" w:rsidRPr="001F13F3" w14:paraId="341DCB4A" w14:textId="77777777" w:rsidTr="00B22018">
        <w:tc>
          <w:tcPr>
            <w:tcW w:w="4508" w:type="dxa"/>
          </w:tcPr>
          <w:p w14:paraId="7C4245D9" w14:textId="77777777" w:rsidR="007451B1" w:rsidRPr="001F13F3" w:rsidRDefault="007451B1" w:rsidP="0026299D">
            <w:pPr>
              <w:pStyle w:val="TableText"/>
            </w:pPr>
            <w:r w:rsidRPr="001F13F3">
              <w:t>Cool-Extremely-Wet</w:t>
            </w:r>
          </w:p>
        </w:tc>
        <w:tc>
          <w:tcPr>
            <w:tcW w:w="4508" w:type="dxa"/>
          </w:tcPr>
          <w:p w14:paraId="157E94C3" w14:textId="77777777" w:rsidR="007451B1" w:rsidRPr="001F13F3" w:rsidRDefault="007451B1" w:rsidP="0026299D">
            <w:pPr>
              <w:pStyle w:val="TableText"/>
            </w:pPr>
            <w:r w:rsidRPr="001F13F3">
              <w:t>CX</w:t>
            </w:r>
          </w:p>
        </w:tc>
      </w:tr>
      <w:tr w:rsidR="007451B1" w:rsidRPr="001F13F3" w14:paraId="4E94BE41" w14:textId="77777777" w:rsidTr="00B22018">
        <w:tc>
          <w:tcPr>
            <w:tcW w:w="4508" w:type="dxa"/>
          </w:tcPr>
          <w:p w14:paraId="760CB68A" w14:textId="77777777" w:rsidR="007451B1" w:rsidRPr="001F13F3" w:rsidRDefault="007451B1" w:rsidP="0026299D">
            <w:pPr>
              <w:pStyle w:val="TableText"/>
            </w:pPr>
            <w:r w:rsidRPr="001F13F3">
              <w:t>Cool-Wet</w:t>
            </w:r>
          </w:p>
        </w:tc>
        <w:tc>
          <w:tcPr>
            <w:tcW w:w="4508" w:type="dxa"/>
          </w:tcPr>
          <w:p w14:paraId="60C3B21C" w14:textId="77777777" w:rsidR="007451B1" w:rsidRPr="001F13F3" w:rsidRDefault="007451B1" w:rsidP="0026299D">
            <w:pPr>
              <w:pStyle w:val="TableText"/>
            </w:pPr>
            <w:r w:rsidRPr="001F13F3">
              <w:t>CW</w:t>
            </w:r>
          </w:p>
        </w:tc>
      </w:tr>
      <w:tr w:rsidR="007451B1" w:rsidRPr="001F13F3" w14:paraId="208A97F7" w14:textId="77777777" w:rsidTr="00B22018">
        <w:tc>
          <w:tcPr>
            <w:tcW w:w="4508" w:type="dxa"/>
          </w:tcPr>
          <w:p w14:paraId="3B539489" w14:textId="77777777" w:rsidR="007451B1" w:rsidRPr="001F13F3" w:rsidRDefault="007451B1" w:rsidP="0026299D">
            <w:pPr>
              <w:pStyle w:val="TableText"/>
            </w:pPr>
            <w:r w:rsidRPr="001F13F3">
              <w:t>Cool-Dry</w:t>
            </w:r>
          </w:p>
        </w:tc>
        <w:tc>
          <w:tcPr>
            <w:tcW w:w="4508" w:type="dxa"/>
          </w:tcPr>
          <w:p w14:paraId="10762C35" w14:textId="77777777" w:rsidR="007451B1" w:rsidRPr="001F13F3" w:rsidRDefault="007451B1" w:rsidP="0026299D">
            <w:pPr>
              <w:pStyle w:val="TableText"/>
            </w:pPr>
            <w:r w:rsidRPr="001F13F3">
              <w:t>CD</w:t>
            </w:r>
          </w:p>
        </w:tc>
      </w:tr>
    </w:tbl>
    <w:p w14:paraId="7FF4A6BC" w14:textId="77777777" w:rsidR="007451B1" w:rsidRPr="001F13F3" w:rsidRDefault="007451B1" w:rsidP="00B22018">
      <w:pPr>
        <w:pStyle w:val="BodyText"/>
        <w:spacing w:after="0"/>
      </w:pPr>
    </w:p>
    <w:p w14:paraId="67AD697D" w14:textId="5DA9361D" w:rsidR="007451B1" w:rsidRPr="001F13F3" w:rsidRDefault="007451B1" w:rsidP="00B22018">
      <w:pPr>
        <w:pStyle w:val="BodyText"/>
        <w:spacing w:after="240"/>
        <w:ind w:left="397" w:hanging="397"/>
      </w:pPr>
      <w:r w:rsidRPr="001F13F3">
        <w:t xml:space="preserve">6. </w:t>
      </w:r>
      <w:r w:rsidR="00B22018" w:rsidRPr="001F13F3">
        <w:tab/>
      </w:r>
      <w:r w:rsidRPr="001F13F3">
        <w:t>Next, look under “SRC_OF_FLW” (Source-of-Flow). The codes used are:</w:t>
      </w:r>
    </w:p>
    <w:tbl>
      <w:tblPr>
        <w:tblStyle w:val="TableGrid"/>
        <w:tblW w:w="0" w:type="auto"/>
        <w:tblBorders>
          <w:top w:val="single" w:sz="4" w:space="0" w:color="1C556C" w:themeColor="accent1"/>
          <w:left w:val="none" w:sz="0" w:space="0" w:color="auto"/>
          <w:bottom w:val="single" w:sz="4" w:space="0" w:color="1C556C" w:themeColor="accent1"/>
          <w:right w:val="none" w:sz="0" w:space="0" w:color="auto"/>
          <w:insideH w:val="single" w:sz="4" w:space="0" w:color="1C556C" w:themeColor="accent1"/>
          <w:insideV w:val="single" w:sz="4" w:space="0" w:color="1C556C" w:themeColor="accent1"/>
        </w:tblBorders>
        <w:tblLook w:val="04A0" w:firstRow="1" w:lastRow="0" w:firstColumn="1" w:lastColumn="0" w:noHBand="0" w:noVBand="1"/>
      </w:tblPr>
      <w:tblGrid>
        <w:gridCol w:w="4255"/>
        <w:gridCol w:w="4250"/>
      </w:tblGrid>
      <w:tr w:rsidR="00B22018" w:rsidRPr="001F13F3" w14:paraId="6F198212" w14:textId="77777777" w:rsidTr="00B22018">
        <w:tc>
          <w:tcPr>
            <w:tcW w:w="4508" w:type="dxa"/>
            <w:shd w:val="clear" w:color="auto" w:fill="1C556C" w:themeFill="accent1"/>
          </w:tcPr>
          <w:p w14:paraId="02B4CF88" w14:textId="77777777" w:rsidR="007451B1" w:rsidRPr="001F13F3" w:rsidRDefault="007451B1" w:rsidP="00B22018">
            <w:pPr>
              <w:pStyle w:val="TableTextbold"/>
              <w:rPr>
                <w:color w:val="FFFFFF" w:themeColor="background1"/>
              </w:rPr>
            </w:pPr>
            <w:r w:rsidRPr="001F13F3">
              <w:rPr>
                <w:color w:val="FFFFFF" w:themeColor="background1"/>
              </w:rPr>
              <w:t>Source-of-Flow</w:t>
            </w:r>
          </w:p>
        </w:tc>
        <w:tc>
          <w:tcPr>
            <w:tcW w:w="4508" w:type="dxa"/>
            <w:shd w:val="clear" w:color="auto" w:fill="1C556C" w:themeFill="accent1"/>
          </w:tcPr>
          <w:p w14:paraId="6D8A5631" w14:textId="77777777" w:rsidR="007451B1" w:rsidRPr="001F13F3" w:rsidRDefault="007451B1" w:rsidP="00B22018">
            <w:pPr>
              <w:pStyle w:val="TableTextbold"/>
              <w:rPr>
                <w:color w:val="FFFFFF" w:themeColor="background1"/>
              </w:rPr>
            </w:pPr>
            <w:r w:rsidRPr="001F13F3">
              <w:rPr>
                <w:color w:val="FFFFFF" w:themeColor="background1"/>
              </w:rPr>
              <w:t>Notation</w:t>
            </w:r>
          </w:p>
        </w:tc>
      </w:tr>
      <w:tr w:rsidR="007451B1" w:rsidRPr="001F13F3" w14:paraId="7ED977FC" w14:textId="77777777" w:rsidTr="00B22018">
        <w:tc>
          <w:tcPr>
            <w:tcW w:w="4508" w:type="dxa"/>
          </w:tcPr>
          <w:p w14:paraId="409FEF70" w14:textId="77777777" w:rsidR="007451B1" w:rsidRPr="001F13F3" w:rsidRDefault="007451B1" w:rsidP="0026299D">
            <w:pPr>
              <w:pStyle w:val="TableText"/>
            </w:pPr>
            <w:r w:rsidRPr="001F13F3">
              <w:t>Glacial-Mountain</w:t>
            </w:r>
          </w:p>
        </w:tc>
        <w:tc>
          <w:tcPr>
            <w:tcW w:w="4508" w:type="dxa"/>
          </w:tcPr>
          <w:p w14:paraId="52B1821D" w14:textId="77777777" w:rsidR="007451B1" w:rsidRPr="001F13F3" w:rsidRDefault="007451B1" w:rsidP="0026299D">
            <w:pPr>
              <w:pStyle w:val="TableText"/>
            </w:pPr>
            <w:r w:rsidRPr="001F13F3">
              <w:t>GM</w:t>
            </w:r>
          </w:p>
        </w:tc>
      </w:tr>
      <w:tr w:rsidR="007451B1" w:rsidRPr="001F13F3" w14:paraId="7F6EC8D9" w14:textId="77777777" w:rsidTr="00B22018">
        <w:tc>
          <w:tcPr>
            <w:tcW w:w="4508" w:type="dxa"/>
          </w:tcPr>
          <w:p w14:paraId="77DCFC80" w14:textId="77777777" w:rsidR="007451B1" w:rsidRPr="001F13F3" w:rsidRDefault="007451B1" w:rsidP="0026299D">
            <w:pPr>
              <w:pStyle w:val="TableText"/>
            </w:pPr>
            <w:r w:rsidRPr="001F13F3">
              <w:t>Mountain</w:t>
            </w:r>
          </w:p>
        </w:tc>
        <w:tc>
          <w:tcPr>
            <w:tcW w:w="4508" w:type="dxa"/>
          </w:tcPr>
          <w:p w14:paraId="73CFA160" w14:textId="77777777" w:rsidR="007451B1" w:rsidRPr="001F13F3" w:rsidRDefault="007451B1" w:rsidP="0026299D">
            <w:pPr>
              <w:pStyle w:val="TableText"/>
            </w:pPr>
            <w:r w:rsidRPr="001F13F3">
              <w:t>M</w:t>
            </w:r>
          </w:p>
        </w:tc>
      </w:tr>
      <w:tr w:rsidR="007451B1" w:rsidRPr="001F13F3" w14:paraId="02C366E6" w14:textId="77777777" w:rsidTr="00B22018">
        <w:tc>
          <w:tcPr>
            <w:tcW w:w="4508" w:type="dxa"/>
          </w:tcPr>
          <w:p w14:paraId="581C191A" w14:textId="77777777" w:rsidR="007451B1" w:rsidRPr="001F13F3" w:rsidRDefault="007451B1" w:rsidP="0026299D">
            <w:pPr>
              <w:pStyle w:val="TableText"/>
            </w:pPr>
            <w:r w:rsidRPr="001F13F3">
              <w:t>Hill</w:t>
            </w:r>
          </w:p>
        </w:tc>
        <w:tc>
          <w:tcPr>
            <w:tcW w:w="4508" w:type="dxa"/>
          </w:tcPr>
          <w:p w14:paraId="48FBE66B" w14:textId="77777777" w:rsidR="007451B1" w:rsidRPr="001F13F3" w:rsidRDefault="007451B1" w:rsidP="0026299D">
            <w:pPr>
              <w:pStyle w:val="TableText"/>
            </w:pPr>
            <w:r w:rsidRPr="001F13F3">
              <w:t>H</w:t>
            </w:r>
          </w:p>
        </w:tc>
      </w:tr>
      <w:tr w:rsidR="007451B1" w:rsidRPr="001F13F3" w14:paraId="5201AB98" w14:textId="77777777" w:rsidTr="00B22018">
        <w:tc>
          <w:tcPr>
            <w:tcW w:w="4508" w:type="dxa"/>
          </w:tcPr>
          <w:p w14:paraId="1D4F38BC" w14:textId="77777777" w:rsidR="007451B1" w:rsidRPr="001F13F3" w:rsidRDefault="007451B1" w:rsidP="0026299D">
            <w:pPr>
              <w:pStyle w:val="TableText"/>
            </w:pPr>
            <w:r w:rsidRPr="001F13F3">
              <w:t>Low-Elevation</w:t>
            </w:r>
          </w:p>
        </w:tc>
        <w:tc>
          <w:tcPr>
            <w:tcW w:w="4508" w:type="dxa"/>
          </w:tcPr>
          <w:p w14:paraId="03403A1A" w14:textId="77777777" w:rsidR="007451B1" w:rsidRPr="001F13F3" w:rsidRDefault="007451B1" w:rsidP="0026299D">
            <w:pPr>
              <w:pStyle w:val="TableText"/>
            </w:pPr>
            <w:r w:rsidRPr="001F13F3">
              <w:t>L</w:t>
            </w:r>
          </w:p>
        </w:tc>
      </w:tr>
      <w:tr w:rsidR="007451B1" w:rsidRPr="001F13F3" w14:paraId="4F633C55" w14:textId="77777777" w:rsidTr="00B22018">
        <w:tc>
          <w:tcPr>
            <w:tcW w:w="4508" w:type="dxa"/>
          </w:tcPr>
          <w:p w14:paraId="2520D03F" w14:textId="77777777" w:rsidR="007451B1" w:rsidRPr="001F13F3" w:rsidRDefault="007451B1" w:rsidP="0026299D">
            <w:pPr>
              <w:pStyle w:val="TableText"/>
            </w:pPr>
            <w:r w:rsidRPr="001F13F3">
              <w:t>Lake</w:t>
            </w:r>
          </w:p>
        </w:tc>
        <w:tc>
          <w:tcPr>
            <w:tcW w:w="4508" w:type="dxa"/>
          </w:tcPr>
          <w:p w14:paraId="76E1CC30" w14:textId="77777777" w:rsidR="007451B1" w:rsidRPr="001F13F3" w:rsidRDefault="007451B1" w:rsidP="0026299D">
            <w:pPr>
              <w:pStyle w:val="TableText"/>
            </w:pPr>
            <w:r w:rsidRPr="001F13F3">
              <w:t>Lk</w:t>
            </w:r>
          </w:p>
        </w:tc>
      </w:tr>
      <w:tr w:rsidR="007451B1" w:rsidRPr="001F13F3" w14:paraId="2C1580F7" w14:textId="77777777" w:rsidTr="00B22018">
        <w:tc>
          <w:tcPr>
            <w:tcW w:w="4508" w:type="dxa"/>
          </w:tcPr>
          <w:p w14:paraId="2D0E5C20" w14:textId="77777777" w:rsidR="007451B1" w:rsidRPr="001F13F3" w:rsidRDefault="007451B1" w:rsidP="0026299D">
            <w:pPr>
              <w:pStyle w:val="TableText"/>
            </w:pPr>
            <w:r w:rsidRPr="001F13F3">
              <w:t>Spring</w:t>
            </w:r>
          </w:p>
        </w:tc>
        <w:tc>
          <w:tcPr>
            <w:tcW w:w="4508" w:type="dxa"/>
          </w:tcPr>
          <w:p w14:paraId="1AF109E6" w14:textId="77777777" w:rsidR="007451B1" w:rsidRPr="001F13F3" w:rsidRDefault="007451B1" w:rsidP="0026299D">
            <w:pPr>
              <w:pStyle w:val="TableText"/>
            </w:pPr>
            <w:r w:rsidRPr="001F13F3">
              <w:t>Sp</w:t>
            </w:r>
          </w:p>
        </w:tc>
      </w:tr>
      <w:tr w:rsidR="007451B1" w:rsidRPr="001F13F3" w14:paraId="12157996" w14:textId="77777777" w:rsidTr="00B22018">
        <w:tc>
          <w:tcPr>
            <w:tcW w:w="4508" w:type="dxa"/>
          </w:tcPr>
          <w:p w14:paraId="5001575A" w14:textId="77777777" w:rsidR="007451B1" w:rsidRPr="001F13F3" w:rsidRDefault="007451B1" w:rsidP="0026299D">
            <w:pPr>
              <w:pStyle w:val="TableText"/>
            </w:pPr>
            <w:r w:rsidRPr="001F13F3">
              <w:t>Wetland</w:t>
            </w:r>
          </w:p>
        </w:tc>
        <w:tc>
          <w:tcPr>
            <w:tcW w:w="4508" w:type="dxa"/>
          </w:tcPr>
          <w:p w14:paraId="5E80E672" w14:textId="77777777" w:rsidR="007451B1" w:rsidRPr="001F13F3" w:rsidRDefault="007451B1" w:rsidP="0026299D">
            <w:pPr>
              <w:pStyle w:val="TableText"/>
            </w:pPr>
            <w:r w:rsidRPr="001F13F3">
              <w:t>W</w:t>
            </w:r>
          </w:p>
        </w:tc>
      </w:tr>
      <w:tr w:rsidR="007451B1" w:rsidRPr="001F13F3" w14:paraId="216B1BF0" w14:textId="77777777" w:rsidTr="00B22018">
        <w:tc>
          <w:tcPr>
            <w:tcW w:w="4508" w:type="dxa"/>
          </w:tcPr>
          <w:p w14:paraId="5CE61E9F" w14:textId="77777777" w:rsidR="007451B1" w:rsidRPr="001F13F3" w:rsidRDefault="007451B1" w:rsidP="0026299D">
            <w:pPr>
              <w:pStyle w:val="TableText"/>
            </w:pPr>
            <w:r w:rsidRPr="001F13F3">
              <w:t>Regulated</w:t>
            </w:r>
          </w:p>
        </w:tc>
        <w:tc>
          <w:tcPr>
            <w:tcW w:w="4508" w:type="dxa"/>
          </w:tcPr>
          <w:p w14:paraId="03319D45" w14:textId="77777777" w:rsidR="007451B1" w:rsidRPr="001F13F3" w:rsidRDefault="007451B1" w:rsidP="0026299D">
            <w:pPr>
              <w:pStyle w:val="TableText"/>
            </w:pPr>
            <w:r w:rsidRPr="001F13F3">
              <w:t>R</w:t>
            </w:r>
          </w:p>
        </w:tc>
      </w:tr>
      <w:bookmarkEnd w:id="5"/>
      <w:bookmarkEnd w:id="6"/>
      <w:bookmarkEnd w:id="41"/>
    </w:tbl>
    <w:p w14:paraId="495F4DA4" w14:textId="08CE2CCB" w:rsidR="006D73D5" w:rsidRPr="001F13F3" w:rsidRDefault="006D73D5" w:rsidP="00B22018">
      <w:pPr>
        <w:pStyle w:val="BodyText"/>
      </w:pPr>
    </w:p>
    <w:sectPr w:rsidR="006D73D5" w:rsidRPr="001F13F3" w:rsidSect="0096629C">
      <w:footerReference w:type="even" r:id="rId29"/>
      <w:footerReference w:type="default" r:id="rId30"/>
      <w:pgSz w:w="11907" w:h="16840" w:code="9"/>
      <w:pgMar w:top="1134" w:right="1701" w:bottom="1134" w:left="1701"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9A10" w16cex:dateUtc="2020-08-03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5CF844" w16cid:durableId="22D29679"/>
  <w16cid:commentId w16cid:paraId="57E9D843" w16cid:durableId="22D29A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A4EA0" w14:textId="77777777" w:rsidR="009A38BC" w:rsidRDefault="009A38BC" w:rsidP="0080531E">
      <w:pPr>
        <w:spacing w:before="0" w:after="0" w:line="240" w:lineRule="auto"/>
      </w:pPr>
      <w:r>
        <w:separator/>
      </w:r>
    </w:p>
    <w:p w14:paraId="2F370F84" w14:textId="77777777" w:rsidR="009A38BC" w:rsidRDefault="009A38BC"/>
  </w:endnote>
  <w:endnote w:type="continuationSeparator" w:id="0">
    <w:p w14:paraId="3550D768" w14:textId="77777777" w:rsidR="009A38BC" w:rsidRDefault="009A38BC" w:rsidP="0080531E">
      <w:pPr>
        <w:spacing w:before="0" w:after="0" w:line="240" w:lineRule="auto"/>
      </w:pPr>
      <w:r>
        <w:continuationSeparator/>
      </w:r>
    </w:p>
    <w:p w14:paraId="79646DD8" w14:textId="77777777" w:rsidR="009A38BC" w:rsidRDefault="009A38BC"/>
  </w:endnote>
  <w:endnote w:type="continuationNotice" w:id="1">
    <w:p w14:paraId="7E1EF0D8" w14:textId="77777777" w:rsidR="009A38BC" w:rsidRDefault="009A38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C600" w14:textId="77777777" w:rsidR="00F02A9A" w:rsidRDefault="00F02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06B6" w14:textId="04C7F3C8" w:rsidR="009A38BC" w:rsidRDefault="009A38BC" w:rsidP="00734B9A">
    <w:pPr>
      <w:spacing w:before="0" w:after="0" w:line="240" w:lineRule="auto"/>
      <w:ind w:left="-57"/>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73995" w14:textId="77777777" w:rsidR="00F02A9A" w:rsidRDefault="00F02A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DAC5" w14:textId="77777777" w:rsidR="009A38BC" w:rsidRDefault="009A38BC" w:rsidP="00E65427">
    <w:pPr>
      <w:spacing w:before="24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A0912" w14:textId="77777777" w:rsidR="009A38BC" w:rsidRDefault="009A38B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46A3" w14:textId="0A861D56" w:rsidR="009A38BC" w:rsidRDefault="009A38BC" w:rsidP="00077B39">
    <w:pPr>
      <w:pStyle w:val="Footereven"/>
    </w:pPr>
    <w:r>
      <w:fldChar w:fldCharType="begin"/>
    </w:r>
    <w:r>
      <w:instrText xml:space="preserve"> PAGE   \* MERGEFORMAT </w:instrText>
    </w:r>
    <w:r>
      <w:fldChar w:fldCharType="separate"/>
    </w:r>
    <w:r w:rsidR="00F02A9A">
      <w:rPr>
        <w:noProof/>
      </w:rPr>
      <w:t>16</w:t>
    </w:r>
    <w:r>
      <w:rPr>
        <w:noProof/>
      </w:rPr>
      <w:fldChar w:fldCharType="end"/>
    </w:r>
    <w:r>
      <w:rPr>
        <w:noProof/>
      </w:rPr>
      <w:tab/>
    </w:r>
    <w:r w:rsidRPr="00C83F5B">
      <w:t>Action for healthy waterways</w:t>
    </w:r>
    <w:r w:rsidRPr="00077B39">
      <w:rPr>
        <w:iCs/>
      </w:rPr>
      <w:t>: Guidance on look-up tables for setting nutrient targets for periphyton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4034D" w14:textId="27CFAD9E" w:rsidR="009A38BC" w:rsidRDefault="009A38BC" w:rsidP="0096629C">
    <w:pPr>
      <w:pStyle w:val="Footerodd"/>
    </w:pPr>
    <w:r>
      <w:tab/>
    </w:r>
    <w:r w:rsidRPr="00C83F5B">
      <w:t>Action for healthy waterways</w:t>
    </w:r>
    <w:r w:rsidRPr="00077B39">
      <w:rPr>
        <w:iCs/>
      </w:rPr>
      <w:t>: Guidance on look-up tables for setting nutrient targets for periphyton</w:t>
    </w:r>
    <w:r>
      <w:tab/>
    </w:r>
    <w:r>
      <w:fldChar w:fldCharType="begin"/>
    </w:r>
    <w:r>
      <w:instrText xml:space="preserve"> PAGE   \* MERGEFORMAT </w:instrText>
    </w:r>
    <w:r>
      <w:fldChar w:fldCharType="separate"/>
    </w:r>
    <w:r w:rsidR="00F02A9A">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40FB8" w14:textId="77777777" w:rsidR="009A38BC" w:rsidRDefault="009A38BC" w:rsidP="00CB5C5F">
      <w:pPr>
        <w:spacing w:before="0" w:after="80" w:line="240" w:lineRule="auto"/>
      </w:pPr>
      <w:r>
        <w:separator/>
      </w:r>
    </w:p>
  </w:footnote>
  <w:footnote w:type="continuationSeparator" w:id="0">
    <w:p w14:paraId="73839D3F" w14:textId="77777777" w:rsidR="009A38BC" w:rsidRDefault="009A38BC" w:rsidP="0080531E">
      <w:pPr>
        <w:spacing w:before="0" w:after="0" w:line="240" w:lineRule="auto"/>
      </w:pPr>
      <w:r>
        <w:continuationSeparator/>
      </w:r>
    </w:p>
    <w:p w14:paraId="1B3464F6" w14:textId="77777777" w:rsidR="009A38BC" w:rsidRDefault="009A38BC"/>
  </w:footnote>
  <w:footnote w:type="continuationNotice" w:id="1">
    <w:p w14:paraId="00C69EA4" w14:textId="77777777" w:rsidR="009A38BC" w:rsidRDefault="009A38BC">
      <w:pPr>
        <w:spacing w:before="0" w:after="0" w:line="240" w:lineRule="auto"/>
      </w:pPr>
    </w:p>
  </w:footnote>
  <w:footnote w:id="2">
    <w:p w14:paraId="39883CCE" w14:textId="7E14512E" w:rsidR="009A38BC" w:rsidRDefault="009A38BC" w:rsidP="0026299D">
      <w:pPr>
        <w:pStyle w:val="FootnoteText"/>
      </w:pPr>
      <w:r>
        <w:rPr>
          <w:rStyle w:val="FootnoteReference"/>
        </w:rPr>
        <w:footnoteRef/>
      </w:r>
      <w:r>
        <w:t xml:space="preserve"> </w:t>
      </w:r>
      <w:r>
        <w:tab/>
        <w:t>For instructions about looking up REC segment information see Appendix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37FE" w14:textId="77777777" w:rsidR="00F02A9A" w:rsidRDefault="00F02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D9A7" w14:textId="4546D35F" w:rsidR="009A38BC" w:rsidRPr="00DE7BF8" w:rsidRDefault="009A38BC" w:rsidP="00734B9A">
    <w:pPr>
      <w:pStyle w:val="Header"/>
      <w:ind w:left="-57"/>
      <w:jc w:val="left"/>
      <w:rPr>
        <w:rFonts w:ascii="Calibri" w:hAnsi="Calibri"/>
      </w:rPr>
    </w:pPr>
    <w:r>
      <w:rPr>
        <w:rFonts w:ascii="Calibri" w:hAnsi="Calibri"/>
        <w:noProof/>
      </w:rPr>
      <w:drawing>
        <wp:anchor distT="0" distB="0" distL="114300" distR="114300" simplePos="0" relativeHeight="251658240" behindDoc="0" locked="0" layoutInCell="1" allowOverlap="1" wp14:anchorId="21A1B26D" wp14:editId="3C32A4D6">
          <wp:simplePos x="0" y="0"/>
          <wp:positionH relativeFrom="page">
            <wp:posOffset>0</wp:posOffset>
          </wp:positionH>
          <wp:positionV relativeFrom="paragraph">
            <wp:posOffset>-397510</wp:posOffset>
          </wp:positionV>
          <wp:extent cx="7678420" cy="1085024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da1a6c3-3029-495a-a170-9911b321b576.png"/>
                  <pic:cNvPicPr/>
                </pic:nvPicPr>
                <pic:blipFill>
                  <a:blip r:embed="rId1">
                    <a:extLst>
                      <a:ext uri="{28A0092B-C50C-407E-A947-70E740481C1C}">
                        <a14:useLocalDpi xmlns:a14="http://schemas.microsoft.com/office/drawing/2010/main" val="0"/>
                      </a:ext>
                    </a:extLst>
                  </a:blip>
                  <a:stretch>
                    <a:fillRect/>
                  </a:stretch>
                </pic:blipFill>
                <pic:spPr>
                  <a:xfrm>
                    <a:off x="0" y="0"/>
                    <a:ext cx="7678420" cy="108502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FBE6B" w14:textId="77777777" w:rsidR="00F02A9A" w:rsidRDefault="00F02A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4494" w14:textId="77777777" w:rsidR="009A38BC" w:rsidRDefault="009A38BC" w:rsidP="0036151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A702" w14:textId="77777777" w:rsidR="009A38BC" w:rsidRDefault="009A3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5B3"/>
    <w:multiLevelType w:val="hybridMultilevel"/>
    <w:tmpl w:val="30F462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C054EF5"/>
    <w:multiLevelType w:val="hybridMultilevel"/>
    <w:tmpl w:val="BEE87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BF0FA8"/>
    <w:multiLevelType w:val="multilevel"/>
    <w:tmpl w:val="3CAC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Subclauselisti"/>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E10843"/>
    <w:multiLevelType w:val="multilevel"/>
    <w:tmpl w:val="212AA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626F03"/>
    <w:multiLevelType w:val="hybridMultilevel"/>
    <w:tmpl w:val="492EB9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57E0B55"/>
    <w:multiLevelType w:val="hybridMultilevel"/>
    <w:tmpl w:val="72FC905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31320D80"/>
    <w:multiLevelType w:val="multilevel"/>
    <w:tmpl w:val="6CD23AAC"/>
    <w:lvl w:ilvl="0">
      <w:start w:val="1"/>
      <w:numFmt w:val="decimal"/>
      <w:pStyle w:val="Subclause1"/>
      <w:lvlText w:val="(%1)"/>
      <w:lvlJc w:val="left"/>
      <w:pPr>
        <w:ind w:left="567" w:hanging="567"/>
      </w:pPr>
      <w:rPr>
        <w:rFonts w:ascii="Calibri" w:hAnsi="Calibri"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B0C781C"/>
    <w:multiLevelType w:val="hybridMultilevel"/>
    <w:tmpl w:val="8E12C9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465A16"/>
    <w:multiLevelType w:val="multilevel"/>
    <w:tmpl w:val="C3261C56"/>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D148D"/>
    <w:multiLevelType w:val="hybridMultilevel"/>
    <w:tmpl w:val="B6B27E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180823"/>
    <w:multiLevelType w:val="hybridMultilevel"/>
    <w:tmpl w:val="D48CB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5FE719A"/>
    <w:multiLevelType w:val="hybridMultilevel"/>
    <w:tmpl w:val="CE52A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6A3157F"/>
    <w:multiLevelType w:val="hybridMultilevel"/>
    <w:tmpl w:val="C8ACF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25" w15:restartNumberingAfterBreak="0">
    <w:nsid w:val="5498174A"/>
    <w:multiLevelType w:val="hybridMultilevel"/>
    <w:tmpl w:val="2B26DA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70D438A"/>
    <w:multiLevelType w:val="hybridMultilevel"/>
    <w:tmpl w:val="9B7EAD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C2010A"/>
    <w:multiLevelType w:val="hybridMultilevel"/>
    <w:tmpl w:val="FD8C9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F8C49CF"/>
    <w:multiLevelType w:val="hybridMultilevel"/>
    <w:tmpl w:val="92126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0A609AB"/>
    <w:multiLevelType w:val="hybridMultilevel"/>
    <w:tmpl w:val="51BE5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EB0B27"/>
    <w:multiLevelType w:val="multilevel"/>
    <w:tmpl w:val="72E413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Subclauselista"/>
      <w:lvlText w:val="(%5)"/>
      <w:lvlJc w:val="left"/>
      <w:pPr>
        <w:tabs>
          <w:tab w:val="num" w:pos="1134"/>
        </w:tabs>
        <w:ind w:left="1134" w:hanging="567"/>
      </w:pPr>
      <w:rPr>
        <w:rFonts w:ascii="Calibri" w:hAnsi="Calibri" w:hint="default"/>
        <w:b w:val="0"/>
        <w:i w:val="0"/>
        <w:sz w:val="22"/>
        <w:szCs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4"/>
  </w:num>
  <w:num w:numId="3">
    <w:abstractNumId w:val="17"/>
  </w:num>
  <w:num w:numId="4">
    <w:abstractNumId w:val="12"/>
  </w:num>
  <w:num w:numId="5">
    <w:abstractNumId w:val="8"/>
  </w:num>
  <w:num w:numId="6">
    <w:abstractNumId w:val="22"/>
  </w:num>
  <w:num w:numId="7">
    <w:abstractNumId w:val="19"/>
  </w:num>
  <w:num w:numId="8">
    <w:abstractNumId w:val="3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2"/>
  </w:num>
  <w:num w:numId="13">
    <w:abstractNumId w:val="10"/>
  </w:num>
  <w:num w:numId="14">
    <w:abstractNumId w:val="16"/>
  </w:num>
  <w:num w:numId="15">
    <w:abstractNumId w:val="7"/>
  </w:num>
  <w:num w:numId="16">
    <w:abstractNumId w:val="31"/>
  </w:num>
  <w:num w:numId="17">
    <w:abstractNumId w:val="18"/>
  </w:num>
  <w:num w:numId="18">
    <w:abstractNumId w:val="23"/>
  </w:num>
  <w:num w:numId="19">
    <w:abstractNumId w:val="29"/>
  </w:num>
  <w:num w:numId="20">
    <w:abstractNumId w:val="15"/>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1"/>
  </w:num>
  <w:num w:numId="27">
    <w:abstractNumId w:val="6"/>
  </w:num>
  <w:num w:numId="28">
    <w:abstractNumId w:val="27"/>
  </w:num>
  <w:num w:numId="29">
    <w:abstractNumId w:val="3"/>
  </w:num>
  <w:num w:numId="30">
    <w:abstractNumId w:val="9"/>
  </w:num>
  <w:num w:numId="31">
    <w:abstractNumId w:val="28"/>
  </w:num>
  <w:num w:numId="32">
    <w:abstractNumId w:val="20"/>
  </w:num>
  <w:num w:numId="33">
    <w:abstractNumId w:val="16"/>
  </w:num>
  <w:num w:numId="34">
    <w:abstractNumId w:val="16"/>
  </w:num>
  <w:num w:numId="35">
    <w:abstractNumId w:val="26"/>
  </w:num>
  <w:num w:numId="36">
    <w:abstractNumId w:val="25"/>
  </w:num>
  <w:num w:numId="37">
    <w:abstractNumId w:val="0"/>
  </w:num>
  <w:num w:numId="38">
    <w:abstractNumId w:val="16"/>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4"/>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397"/>
  <w:evenAndOddHeaders/>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F9"/>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C85"/>
    <w:rsid w:val="00010E15"/>
    <w:rsid w:val="00010F57"/>
    <w:rsid w:val="0001100C"/>
    <w:rsid w:val="00011188"/>
    <w:rsid w:val="00012555"/>
    <w:rsid w:val="00014236"/>
    <w:rsid w:val="0001475E"/>
    <w:rsid w:val="000148F6"/>
    <w:rsid w:val="00015217"/>
    <w:rsid w:val="000159D2"/>
    <w:rsid w:val="00016264"/>
    <w:rsid w:val="00016993"/>
    <w:rsid w:val="0001699C"/>
    <w:rsid w:val="00016CAB"/>
    <w:rsid w:val="00016E5B"/>
    <w:rsid w:val="0001749B"/>
    <w:rsid w:val="00017D75"/>
    <w:rsid w:val="00017FE5"/>
    <w:rsid w:val="0002076E"/>
    <w:rsid w:val="00021910"/>
    <w:rsid w:val="000220D1"/>
    <w:rsid w:val="00022E8D"/>
    <w:rsid w:val="00023287"/>
    <w:rsid w:val="0002348A"/>
    <w:rsid w:val="00024708"/>
    <w:rsid w:val="00024EE7"/>
    <w:rsid w:val="00025D06"/>
    <w:rsid w:val="00025F96"/>
    <w:rsid w:val="00025FAB"/>
    <w:rsid w:val="00026E89"/>
    <w:rsid w:val="0002737A"/>
    <w:rsid w:val="000275A3"/>
    <w:rsid w:val="000278BC"/>
    <w:rsid w:val="00030558"/>
    <w:rsid w:val="00030699"/>
    <w:rsid w:val="00030725"/>
    <w:rsid w:val="00030DB8"/>
    <w:rsid w:val="00031A83"/>
    <w:rsid w:val="0003213A"/>
    <w:rsid w:val="00032A81"/>
    <w:rsid w:val="000340D8"/>
    <w:rsid w:val="0003427D"/>
    <w:rsid w:val="00034A16"/>
    <w:rsid w:val="00034DFA"/>
    <w:rsid w:val="000357ED"/>
    <w:rsid w:val="00035E15"/>
    <w:rsid w:val="0003640E"/>
    <w:rsid w:val="0003688A"/>
    <w:rsid w:val="000368FC"/>
    <w:rsid w:val="00036DA3"/>
    <w:rsid w:val="000379BF"/>
    <w:rsid w:val="00037BEC"/>
    <w:rsid w:val="000400D9"/>
    <w:rsid w:val="0004035C"/>
    <w:rsid w:val="00040860"/>
    <w:rsid w:val="00040BB4"/>
    <w:rsid w:val="00040CED"/>
    <w:rsid w:val="00040EA1"/>
    <w:rsid w:val="00041B51"/>
    <w:rsid w:val="0004205F"/>
    <w:rsid w:val="000423C6"/>
    <w:rsid w:val="00042EDB"/>
    <w:rsid w:val="00044A50"/>
    <w:rsid w:val="00044C65"/>
    <w:rsid w:val="000458C7"/>
    <w:rsid w:val="00045991"/>
    <w:rsid w:val="00045E5C"/>
    <w:rsid w:val="00046288"/>
    <w:rsid w:val="000468E7"/>
    <w:rsid w:val="00047941"/>
    <w:rsid w:val="000506D9"/>
    <w:rsid w:val="00050A22"/>
    <w:rsid w:val="00050E27"/>
    <w:rsid w:val="0005144F"/>
    <w:rsid w:val="00051AF1"/>
    <w:rsid w:val="00051D42"/>
    <w:rsid w:val="000538A1"/>
    <w:rsid w:val="00055375"/>
    <w:rsid w:val="00056319"/>
    <w:rsid w:val="000564E7"/>
    <w:rsid w:val="00056770"/>
    <w:rsid w:val="00057386"/>
    <w:rsid w:val="00057EEF"/>
    <w:rsid w:val="000619CB"/>
    <w:rsid w:val="00061E4B"/>
    <w:rsid w:val="00062387"/>
    <w:rsid w:val="000640F0"/>
    <w:rsid w:val="0006434D"/>
    <w:rsid w:val="000643A1"/>
    <w:rsid w:val="00064679"/>
    <w:rsid w:val="0006486A"/>
    <w:rsid w:val="00064A13"/>
    <w:rsid w:val="00064AF4"/>
    <w:rsid w:val="00064BC5"/>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4765"/>
    <w:rsid w:val="0007517E"/>
    <w:rsid w:val="000756D3"/>
    <w:rsid w:val="000758D8"/>
    <w:rsid w:val="00075D29"/>
    <w:rsid w:val="00075FE1"/>
    <w:rsid w:val="00076667"/>
    <w:rsid w:val="00077473"/>
    <w:rsid w:val="00077481"/>
    <w:rsid w:val="000776F9"/>
    <w:rsid w:val="00077B39"/>
    <w:rsid w:val="00077EE0"/>
    <w:rsid w:val="000802F9"/>
    <w:rsid w:val="00080437"/>
    <w:rsid w:val="000809E8"/>
    <w:rsid w:val="0008145A"/>
    <w:rsid w:val="0008162D"/>
    <w:rsid w:val="000831C8"/>
    <w:rsid w:val="00083F5E"/>
    <w:rsid w:val="00084FDB"/>
    <w:rsid w:val="0008505C"/>
    <w:rsid w:val="00085C46"/>
    <w:rsid w:val="0008686A"/>
    <w:rsid w:val="00087175"/>
    <w:rsid w:val="00087D35"/>
    <w:rsid w:val="00091796"/>
    <w:rsid w:val="00091BA2"/>
    <w:rsid w:val="00091CB0"/>
    <w:rsid w:val="00092DFD"/>
    <w:rsid w:val="00093CD6"/>
    <w:rsid w:val="00094018"/>
    <w:rsid w:val="00094344"/>
    <w:rsid w:val="0009539C"/>
    <w:rsid w:val="000953C6"/>
    <w:rsid w:val="000953F4"/>
    <w:rsid w:val="0009590C"/>
    <w:rsid w:val="000959E7"/>
    <w:rsid w:val="00095E7D"/>
    <w:rsid w:val="000964DE"/>
    <w:rsid w:val="000972AB"/>
    <w:rsid w:val="00097AE0"/>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AB"/>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54A"/>
    <w:rsid w:val="000C17E7"/>
    <w:rsid w:val="000C3270"/>
    <w:rsid w:val="000C46AB"/>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0B04"/>
    <w:rsid w:val="000E12B0"/>
    <w:rsid w:val="000E1BC8"/>
    <w:rsid w:val="000E1D32"/>
    <w:rsid w:val="000E26D8"/>
    <w:rsid w:val="000E2B94"/>
    <w:rsid w:val="000E3156"/>
    <w:rsid w:val="000E35B6"/>
    <w:rsid w:val="000E3BB8"/>
    <w:rsid w:val="000E3D9B"/>
    <w:rsid w:val="000E3DFD"/>
    <w:rsid w:val="000E4261"/>
    <w:rsid w:val="000E4697"/>
    <w:rsid w:val="000E4C98"/>
    <w:rsid w:val="000E58C5"/>
    <w:rsid w:val="000E6203"/>
    <w:rsid w:val="000E64CB"/>
    <w:rsid w:val="000E6BC4"/>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5717"/>
    <w:rsid w:val="000F629F"/>
    <w:rsid w:val="000F6464"/>
    <w:rsid w:val="000F6628"/>
    <w:rsid w:val="000F6C1A"/>
    <w:rsid w:val="000F6C25"/>
    <w:rsid w:val="000F76EB"/>
    <w:rsid w:val="000F78AE"/>
    <w:rsid w:val="000F7E25"/>
    <w:rsid w:val="001007E2"/>
    <w:rsid w:val="001007EE"/>
    <w:rsid w:val="00100B6B"/>
    <w:rsid w:val="00100F76"/>
    <w:rsid w:val="0010148E"/>
    <w:rsid w:val="0010253C"/>
    <w:rsid w:val="00102696"/>
    <w:rsid w:val="00102B7F"/>
    <w:rsid w:val="00102BD1"/>
    <w:rsid w:val="0010486A"/>
    <w:rsid w:val="0010561C"/>
    <w:rsid w:val="00105C0F"/>
    <w:rsid w:val="00105E39"/>
    <w:rsid w:val="00106561"/>
    <w:rsid w:val="00106D63"/>
    <w:rsid w:val="001075F3"/>
    <w:rsid w:val="00107A01"/>
    <w:rsid w:val="00107B8F"/>
    <w:rsid w:val="00107C23"/>
    <w:rsid w:val="00107C57"/>
    <w:rsid w:val="00110307"/>
    <w:rsid w:val="00110C7F"/>
    <w:rsid w:val="00110EE2"/>
    <w:rsid w:val="00111A88"/>
    <w:rsid w:val="0011221A"/>
    <w:rsid w:val="00112C3B"/>
    <w:rsid w:val="00112F88"/>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1D0"/>
    <w:rsid w:val="001172B2"/>
    <w:rsid w:val="0011780A"/>
    <w:rsid w:val="00117F9B"/>
    <w:rsid w:val="00121211"/>
    <w:rsid w:val="00121628"/>
    <w:rsid w:val="0012167D"/>
    <w:rsid w:val="00122189"/>
    <w:rsid w:val="00122280"/>
    <w:rsid w:val="00122D42"/>
    <w:rsid w:val="00123345"/>
    <w:rsid w:val="001235B7"/>
    <w:rsid w:val="00123C46"/>
    <w:rsid w:val="0012470B"/>
    <w:rsid w:val="00125C75"/>
    <w:rsid w:val="00125C7E"/>
    <w:rsid w:val="00127945"/>
    <w:rsid w:val="00127D94"/>
    <w:rsid w:val="00127E90"/>
    <w:rsid w:val="001302C1"/>
    <w:rsid w:val="001306D3"/>
    <w:rsid w:val="001310BF"/>
    <w:rsid w:val="001327D4"/>
    <w:rsid w:val="00133E73"/>
    <w:rsid w:val="00133FDB"/>
    <w:rsid w:val="00134F4A"/>
    <w:rsid w:val="00135E4E"/>
    <w:rsid w:val="00136235"/>
    <w:rsid w:val="00136246"/>
    <w:rsid w:val="001364D4"/>
    <w:rsid w:val="001371C8"/>
    <w:rsid w:val="001372ED"/>
    <w:rsid w:val="001374C4"/>
    <w:rsid w:val="001412A4"/>
    <w:rsid w:val="001423D3"/>
    <w:rsid w:val="00142B50"/>
    <w:rsid w:val="00143873"/>
    <w:rsid w:val="001439E9"/>
    <w:rsid w:val="00143BF5"/>
    <w:rsid w:val="00143C55"/>
    <w:rsid w:val="00144C6F"/>
    <w:rsid w:val="00145089"/>
    <w:rsid w:val="001451E7"/>
    <w:rsid w:val="00145C8E"/>
    <w:rsid w:val="001462E3"/>
    <w:rsid w:val="0014720C"/>
    <w:rsid w:val="001472C2"/>
    <w:rsid w:val="00147300"/>
    <w:rsid w:val="00147458"/>
    <w:rsid w:val="00147E21"/>
    <w:rsid w:val="00150BA8"/>
    <w:rsid w:val="00150D19"/>
    <w:rsid w:val="0015160D"/>
    <w:rsid w:val="0015181B"/>
    <w:rsid w:val="001518BA"/>
    <w:rsid w:val="00151A9F"/>
    <w:rsid w:val="00152B87"/>
    <w:rsid w:val="00153A96"/>
    <w:rsid w:val="00153D1C"/>
    <w:rsid w:val="001543E2"/>
    <w:rsid w:val="00155B43"/>
    <w:rsid w:val="001565A2"/>
    <w:rsid w:val="001567C3"/>
    <w:rsid w:val="00156A12"/>
    <w:rsid w:val="00157B3F"/>
    <w:rsid w:val="00157F8A"/>
    <w:rsid w:val="0016081F"/>
    <w:rsid w:val="00160C3D"/>
    <w:rsid w:val="001615BD"/>
    <w:rsid w:val="00161B24"/>
    <w:rsid w:val="00161C41"/>
    <w:rsid w:val="00161DD5"/>
    <w:rsid w:val="001633A4"/>
    <w:rsid w:val="001633B1"/>
    <w:rsid w:val="001634D6"/>
    <w:rsid w:val="001648DD"/>
    <w:rsid w:val="00165705"/>
    <w:rsid w:val="00166389"/>
    <w:rsid w:val="00166E03"/>
    <w:rsid w:val="00166F35"/>
    <w:rsid w:val="00167E4C"/>
    <w:rsid w:val="00171449"/>
    <w:rsid w:val="0017199C"/>
    <w:rsid w:val="00171C7E"/>
    <w:rsid w:val="00171F35"/>
    <w:rsid w:val="00172552"/>
    <w:rsid w:val="00172873"/>
    <w:rsid w:val="00172CF7"/>
    <w:rsid w:val="0017319E"/>
    <w:rsid w:val="00173A1F"/>
    <w:rsid w:val="00173BC3"/>
    <w:rsid w:val="00173C55"/>
    <w:rsid w:val="00174128"/>
    <w:rsid w:val="00175C34"/>
    <w:rsid w:val="00175F9A"/>
    <w:rsid w:val="00176E98"/>
    <w:rsid w:val="00177996"/>
    <w:rsid w:val="00180B3F"/>
    <w:rsid w:val="00180C83"/>
    <w:rsid w:val="00180CE5"/>
    <w:rsid w:val="0018175B"/>
    <w:rsid w:val="001820A3"/>
    <w:rsid w:val="0018213E"/>
    <w:rsid w:val="0018332A"/>
    <w:rsid w:val="00183D80"/>
    <w:rsid w:val="001842C8"/>
    <w:rsid w:val="00185044"/>
    <w:rsid w:val="001850DB"/>
    <w:rsid w:val="0018599C"/>
    <w:rsid w:val="00185AD3"/>
    <w:rsid w:val="001869EE"/>
    <w:rsid w:val="00186D00"/>
    <w:rsid w:val="0018743A"/>
    <w:rsid w:val="00190A57"/>
    <w:rsid w:val="00190AD6"/>
    <w:rsid w:val="00190B3F"/>
    <w:rsid w:val="0019122C"/>
    <w:rsid w:val="00191908"/>
    <w:rsid w:val="001920A4"/>
    <w:rsid w:val="00192DF3"/>
    <w:rsid w:val="0019301F"/>
    <w:rsid w:val="00193286"/>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C04"/>
    <w:rsid w:val="001A7F30"/>
    <w:rsid w:val="001B06E2"/>
    <w:rsid w:val="001B103A"/>
    <w:rsid w:val="001B103D"/>
    <w:rsid w:val="001B1513"/>
    <w:rsid w:val="001B1767"/>
    <w:rsid w:val="001B2453"/>
    <w:rsid w:val="001B3D48"/>
    <w:rsid w:val="001B44ED"/>
    <w:rsid w:val="001B5AF9"/>
    <w:rsid w:val="001B6600"/>
    <w:rsid w:val="001B6B9B"/>
    <w:rsid w:val="001B6C27"/>
    <w:rsid w:val="001B7144"/>
    <w:rsid w:val="001B7B6C"/>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52"/>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2BD"/>
    <w:rsid w:val="001F139F"/>
    <w:rsid w:val="001F13F3"/>
    <w:rsid w:val="001F1892"/>
    <w:rsid w:val="001F2805"/>
    <w:rsid w:val="001F2E79"/>
    <w:rsid w:val="001F2F07"/>
    <w:rsid w:val="001F3123"/>
    <w:rsid w:val="001F376D"/>
    <w:rsid w:val="001F418C"/>
    <w:rsid w:val="001F4B2D"/>
    <w:rsid w:val="001F4D98"/>
    <w:rsid w:val="001F4F40"/>
    <w:rsid w:val="001F50E0"/>
    <w:rsid w:val="001F594C"/>
    <w:rsid w:val="001F69FC"/>
    <w:rsid w:val="001F6D62"/>
    <w:rsid w:val="001F7675"/>
    <w:rsid w:val="00200FAE"/>
    <w:rsid w:val="0020102D"/>
    <w:rsid w:val="002010E2"/>
    <w:rsid w:val="00201686"/>
    <w:rsid w:val="00201B73"/>
    <w:rsid w:val="00201C38"/>
    <w:rsid w:val="00202517"/>
    <w:rsid w:val="00202ADB"/>
    <w:rsid w:val="00202BB7"/>
    <w:rsid w:val="002032AA"/>
    <w:rsid w:val="0020422A"/>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AA1"/>
    <w:rsid w:val="00214EA2"/>
    <w:rsid w:val="002160FA"/>
    <w:rsid w:val="002166DD"/>
    <w:rsid w:val="002168A2"/>
    <w:rsid w:val="00217867"/>
    <w:rsid w:val="002205E4"/>
    <w:rsid w:val="00220945"/>
    <w:rsid w:val="00220D67"/>
    <w:rsid w:val="002215F8"/>
    <w:rsid w:val="00221F80"/>
    <w:rsid w:val="0022273A"/>
    <w:rsid w:val="00222D28"/>
    <w:rsid w:val="00223CF4"/>
    <w:rsid w:val="00224220"/>
    <w:rsid w:val="00224398"/>
    <w:rsid w:val="00224590"/>
    <w:rsid w:val="0022467D"/>
    <w:rsid w:val="00224A81"/>
    <w:rsid w:val="00224E91"/>
    <w:rsid w:val="00225B4C"/>
    <w:rsid w:val="00225E1E"/>
    <w:rsid w:val="00226129"/>
    <w:rsid w:val="0022614D"/>
    <w:rsid w:val="00226AA2"/>
    <w:rsid w:val="00227218"/>
    <w:rsid w:val="0022770A"/>
    <w:rsid w:val="00227BEE"/>
    <w:rsid w:val="00227FB4"/>
    <w:rsid w:val="0023057E"/>
    <w:rsid w:val="002312BC"/>
    <w:rsid w:val="002331D8"/>
    <w:rsid w:val="002337E5"/>
    <w:rsid w:val="00233C06"/>
    <w:rsid w:val="00233F24"/>
    <w:rsid w:val="00234BBB"/>
    <w:rsid w:val="002356F4"/>
    <w:rsid w:val="00235F02"/>
    <w:rsid w:val="00236D28"/>
    <w:rsid w:val="00237D8E"/>
    <w:rsid w:val="00237FE4"/>
    <w:rsid w:val="00240656"/>
    <w:rsid w:val="00241610"/>
    <w:rsid w:val="00241AED"/>
    <w:rsid w:val="00243115"/>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04E1"/>
    <w:rsid w:val="002517A8"/>
    <w:rsid w:val="00251EEE"/>
    <w:rsid w:val="00253177"/>
    <w:rsid w:val="002538B8"/>
    <w:rsid w:val="0025396F"/>
    <w:rsid w:val="00254319"/>
    <w:rsid w:val="00255326"/>
    <w:rsid w:val="0025539F"/>
    <w:rsid w:val="00256388"/>
    <w:rsid w:val="00256E44"/>
    <w:rsid w:val="00260919"/>
    <w:rsid w:val="002612FD"/>
    <w:rsid w:val="002613DC"/>
    <w:rsid w:val="00261755"/>
    <w:rsid w:val="00261AAA"/>
    <w:rsid w:val="00261CF5"/>
    <w:rsid w:val="00262097"/>
    <w:rsid w:val="0026299D"/>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03B7"/>
    <w:rsid w:val="002711D8"/>
    <w:rsid w:val="00272174"/>
    <w:rsid w:val="002721A6"/>
    <w:rsid w:val="002722E0"/>
    <w:rsid w:val="002730EC"/>
    <w:rsid w:val="00273100"/>
    <w:rsid w:val="00273324"/>
    <w:rsid w:val="002735CC"/>
    <w:rsid w:val="00274588"/>
    <w:rsid w:val="00274A67"/>
    <w:rsid w:val="00274AA2"/>
    <w:rsid w:val="002756EF"/>
    <w:rsid w:val="00275708"/>
    <w:rsid w:val="002768CF"/>
    <w:rsid w:val="00276F82"/>
    <w:rsid w:val="00277CB6"/>
    <w:rsid w:val="002805DF"/>
    <w:rsid w:val="002806D7"/>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1E9E"/>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2C5A"/>
    <w:rsid w:val="002B3ED7"/>
    <w:rsid w:val="002B4778"/>
    <w:rsid w:val="002B75B2"/>
    <w:rsid w:val="002B79B7"/>
    <w:rsid w:val="002C141D"/>
    <w:rsid w:val="002C19C0"/>
    <w:rsid w:val="002C211E"/>
    <w:rsid w:val="002C2485"/>
    <w:rsid w:val="002C25E0"/>
    <w:rsid w:val="002C2A2D"/>
    <w:rsid w:val="002C33E1"/>
    <w:rsid w:val="002C36C0"/>
    <w:rsid w:val="002C3928"/>
    <w:rsid w:val="002C3B33"/>
    <w:rsid w:val="002C435E"/>
    <w:rsid w:val="002C43BB"/>
    <w:rsid w:val="002C44AB"/>
    <w:rsid w:val="002C5E39"/>
    <w:rsid w:val="002C5FA2"/>
    <w:rsid w:val="002C7A02"/>
    <w:rsid w:val="002C7BD4"/>
    <w:rsid w:val="002C7CED"/>
    <w:rsid w:val="002D0107"/>
    <w:rsid w:val="002D062E"/>
    <w:rsid w:val="002D0A2A"/>
    <w:rsid w:val="002D0D43"/>
    <w:rsid w:val="002D15C2"/>
    <w:rsid w:val="002D2B10"/>
    <w:rsid w:val="002D386A"/>
    <w:rsid w:val="002D4100"/>
    <w:rsid w:val="002D477F"/>
    <w:rsid w:val="002D4F48"/>
    <w:rsid w:val="002D519B"/>
    <w:rsid w:val="002D621E"/>
    <w:rsid w:val="002D66DA"/>
    <w:rsid w:val="002D693C"/>
    <w:rsid w:val="002D6B25"/>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7B"/>
    <w:rsid w:val="002F10EC"/>
    <w:rsid w:val="002F1136"/>
    <w:rsid w:val="002F1231"/>
    <w:rsid w:val="002F1521"/>
    <w:rsid w:val="002F15EE"/>
    <w:rsid w:val="002F353E"/>
    <w:rsid w:val="002F3632"/>
    <w:rsid w:val="002F3A0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112"/>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A04"/>
    <w:rsid w:val="00310BC9"/>
    <w:rsid w:val="00311762"/>
    <w:rsid w:val="00311979"/>
    <w:rsid w:val="00311E98"/>
    <w:rsid w:val="00312215"/>
    <w:rsid w:val="0031249C"/>
    <w:rsid w:val="003125C3"/>
    <w:rsid w:val="00312896"/>
    <w:rsid w:val="00313EAC"/>
    <w:rsid w:val="003142F4"/>
    <w:rsid w:val="0031454E"/>
    <w:rsid w:val="00314FF1"/>
    <w:rsid w:val="0031611F"/>
    <w:rsid w:val="0031712F"/>
    <w:rsid w:val="00317A33"/>
    <w:rsid w:val="00320339"/>
    <w:rsid w:val="00321214"/>
    <w:rsid w:val="003213D5"/>
    <w:rsid w:val="00323737"/>
    <w:rsid w:val="00323AD6"/>
    <w:rsid w:val="00323F27"/>
    <w:rsid w:val="003242EF"/>
    <w:rsid w:val="00325339"/>
    <w:rsid w:val="003255AA"/>
    <w:rsid w:val="0033090F"/>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01A"/>
    <w:rsid w:val="00343D76"/>
    <w:rsid w:val="00344B46"/>
    <w:rsid w:val="00344DFD"/>
    <w:rsid w:val="003451D3"/>
    <w:rsid w:val="00346631"/>
    <w:rsid w:val="00346AAD"/>
    <w:rsid w:val="00346D96"/>
    <w:rsid w:val="0034736A"/>
    <w:rsid w:val="0034747C"/>
    <w:rsid w:val="00347B6C"/>
    <w:rsid w:val="00351195"/>
    <w:rsid w:val="0035151C"/>
    <w:rsid w:val="00352254"/>
    <w:rsid w:val="003522A3"/>
    <w:rsid w:val="00353929"/>
    <w:rsid w:val="00353F9E"/>
    <w:rsid w:val="003540D1"/>
    <w:rsid w:val="003545BF"/>
    <w:rsid w:val="0035586A"/>
    <w:rsid w:val="0035611A"/>
    <w:rsid w:val="0035659C"/>
    <w:rsid w:val="00356C3D"/>
    <w:rsid w:val="00357C93"/>
    <w:rsid w:val="003604BE"/>
    <w:rsid w:val="00360B75"/>
    <w:rsid w:val="0036151C"/>
    <w:rsid w:val="003618BB"/>
    <w:rsid w:val="00361A9B"/>
    <w:rsid w:val="00362CCF"/>
    <w:rsid w:val="003631DB"/>
    <w:rsid w:val="0036438E"/>
    <w:rsid w:val="00364524"/>
    <w:rsid w:val="0036513A"/>
    <w:rsid w:val="00365237"/>
    <w:rsid w:val="0036559C"/>
    <w:rsid w:val="0036587E"/>
    <w:rsid w:val="003660CD"/>
    <w:rsid w:val="00366B08"/>
    <w:rsid w:val="00367496"/>
    <w:rsid w:val="003678BE"/>
    <w:rsid w:val="00367B46"/>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616"/>
    <w:rsid w:val="00381022"/>
    <w:rsid w:val="003814B8"/>
    <w:rsid w:val="003816D1"/>
    <w:rsid w:val="00382909"/>
    <w:rsid w:val="00382EE1"/>
    <w:rsid w:val="00384258"/>
    <w:rsid w:val="00385131"/>
    <w:rsid w:val="0038620B"/>
    <w:rsid w:val="00387647"/>
    <w:rsid w:val="0038791A"/>
    <w:rsid w:val="00390056"/>
    <w:rsid w:val="0039020F"/>
    <w:rsid w:val="0039055C"/>
    <w:rsid w:val="00390718"/>
    <w:rsid w:val="00390767"/>
    <w:rsid w:val="00390883"/>
    <w:rsid w:val="00391470"/>
    <w:rsid w:val="003920C4"/>
    <w:rsid w:val="00392184"/>
    <w:rsid w:val="00392652"/>
    <w:rsid w:val="00392B41"/>
    <w:rsid w:val="0039456F"/>
    <w:rsid w:val="003945C8"/>
    <w:rsid w:val="003946F7"/>
    <w:rsid w:val="0039480D"/>
    <w:rsid w:val="00395446"/>
    <w:rsid w:val="00396725"/>
    <w:rsid w:val="00396904"/>
    <w:rsid w:val="0039720D"/>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0623"/>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764"/>
    <w:rsid w:val="003C0887"/>
    <w:rsid w:val="003C08AF"/>
    <w:rsid w:val="003C170C"/>
    <w:rsid w:val="003C2EDD"/>
    <w:rsid w:val="003C3220"/>
    <w:rsid w:val="003C3A47"/>
    <w:rsid w:val="003C3A79"/>
    <w:rsid w:val="003C48F2"/>
    <w:rsid w:val="003C5177"/>
    <w:rsid w:val="003C52B0"/>
    <w:rsid w:val="003C5911"/>
    <w:rsid w:val="003C598B"/>
    <w:rsid w:val="003C5CDB"/>
    <w:rsid w:val="003C6465"/>
    <w:rsid w:val="003C65E4"/>
    <w:rsid w:val="003C7712"/>
    <w:rsid w:val="003C7862"/>
    <w:rsid w:val="003C7ECD"/>
    <w:rsid w:val="003D007D"/>
    <w:rsid w:val="003D01A1"/>
    <w:rsid w:val="003D04D6"/>
    <w:rsid w:val="003D04F6"/>
    <w:rsid w:val="003D18CC"/>
    <w:rsid w:val="003D2D41"/>
    <w:rsid w:val="003D2F10"/>
    <w:rsid w:val="003D3583"/>
    <w:rsid w:val="003D391E"/>
    <w:rsid w:val="003D3B6F"/>
    <w:rsid w:val="003D40E8"/>
    <w:rsid w:val="003D455E"/>
    <w:rsid w:val="003D476B"/>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3473"/>
    <w:rsid w:val="003F5AD2"/>
    <w:rsid w:val="003F5B9C"/>
    <w:rsid w:val="003F5CA4"/>
    <w:rsid w:val="003F6D50"/>
    <w:rsid w:val="003F7006"/>
    <w:rsid w:val="003F7507"/>
    <w:rsid w:val="003F7C72"/>
    <w:rsid w:val="003F7D10"/>
    <w:rsid w:val="00400422"/>
    <w:rsid w:val="004009B5"/>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496"/>
    <w:rsid w:val="0041351F"/>
    <w:rsid w:val="004137C8"/>
    <w:rsid w:val="00413BF9"/>
    <w:rsid w:val="00413C25"/>
    <w:rsid w:val="00415531"/>
    <w:rsid w:val="00416330"/>
    <w:rsid w:val="004176C7"/>
    <w:rsid w:val="00417877"/>
    <w:rsid w:val="00417D9F"/>
    <w:rsid w:val="00420229"/>
    <w:rsid w:val="00420C65"/>
    <w:rsid w:val="00420DBA"/>
    <w:rsid w:val="00421311"/>
    <w:rsid w:val="00422E13"/>
    <w:rsid w:val="0042350F"/>
    <w:rsid w:val="00423599"/>
    <w:rsid w:val="0042384C"/>
    <w:rsid w:val="00423893"/>
    <w:rsid w:val="004239A2"/>
    <w:rsid w:val="00423BC9"/>
    <w:rsid w:val="004255B4"/>
    <w:rsid w:val="004256CC"/>
    <w:rsid w:val="00425DE5"/>
    <w:rsid w:val="00426766"/>
    <w:rsid w:val="004267D0"/>
    <w:rsid w:val="004279CA"/>
    <w:rsid w:val="00427A82"/>
    <w:rsid w:val="00427D47"/>
    <w:rsid w:val="00427EA2"/>
    <w:rsid w:val="00430115"/>
    <w:rsid w:val="00430A4B"/>
    <w:rsid w:val="00431C46"/>
    <w:rsid w:val="004327E6"/>
    <w:rsid w:val="004329DC"/>
    <w:rsid w:val="00432AC6"/>
    <w:rsid w:val="00432D39"/>
    <w:rsid w:val="00434C5E"/>
    <w:rsid w:val="00435765"/>
    <w:rsid w:val="004360B6"/>
    <w:rsid w:val="004362E5"/>
    <w:rsid w:val="00436356"/>
    <w:rsid w:val="00437902"/>
    <w:rsid w:val="00440722"/>
    <w:rsid w:val="004425D9"/>
    <w:rsid w:val="00443244"/>
    <w:rsid w:val="00444AF6"/>
    <w:rsid w:val="00444EFC"/>
    <w:rsid w:val="0044519D"/>
    <w:rsid w:val="00445544"/>
    <w:rsid w:val="00445C0B"/>
    <w:rsid w:val="00446195"/>
    <w:rsid w:val="004474A6"/>
    <w:rsid w:val="00447CD0"/>
    <w:rsid w:val="00447FC2"/>
    <w:rsid w:val="004502F4"/>
    <w:rsid w:val="004506F4"/>
    <w:rsid w:val="004509D1"/>
    <w:rsid w:val="00450A42"/>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990"/>
    <w:rsid w:val="00456ADA"/>
    <w:rsid w:val="00456B0D"/>
    <w:rsid w:val="0045770D"/>
    <w:rsid w:val="0045790F"/>
    <w:rsid w:val="00457D63"/>
    <w:rsid w:val="00457E21"/>
    <w:rsid w:val="0046007E"/>
    <w:rsid w:val="0046024B"/>
    <w:rsid w:val="00460E36"/>
    <w:rsid w:val="00461155"/>
    <w:rsid w:val="0046218C"/>
    <w:rsid w:val="004623D4"/>
    <w:rsid w:val="00463944"/>
    <w:rsid w:val="00464AE1"/>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0D1"/>
    <w:rsid w:val="0047612E"/>
    <w:rsid w:val="004765F4"/>
    <w:rsid w:val="00476B4D"/>
    <w:rsid w:val="00476CBC"/>
    <w:rsid w:val="00476E6C"/>
    <w:rsid w:val="00477282"/>
    <w:rsid w:val="00477947"/>
    <w:rsid w:val="00480FA1"/>
    <w:rsid w:val="0048107C"/>
    <w:rsid w:val="00481850"/>
    <w:rsid w:val="00481FD7"/>
    <w:rsid w:val="00482DE5"/>
    <w:rsid w:val="00483079"/>
    <w:rsid w:val="00483266"/>
    <w:rsid w:val="0048352E"/>
    <w:rsid w:val="004836A9"/>
    <w:rsid w:val="00483B23"/>
    <w:rsid w:val="004840D7"/>
    <w:rsid w:val="004846F4"/>
    <w:rsid w:val="00484F7A"/>
    <w:rsid w:val="00485C26"/>
    <w:rsid w:val="00485EC0"/>
    <w:rsid w:val="00486D55"/>
    <w:rsid w:val="004875E1"/>
    <w:rsid w:val="00487B37"/>
    <w:rsid w:val="00490636"/>
    <w:rsid w:val="00490FF0"/>
    <w:rsid w:val="004910FE"/>
    <w:rsid w:val="00491198"/>
    <w:rsid w:val="004917E0"/>
    <w:rsid w:val="004919EB"/>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A4F5C"/>
    <w:rsid w:val="004B00BD"/>
    <w:rsid w:val="004B1199"/>
    <w:rsid w:val="004B16C4"/>
    <w:rsid w:val="004B1867"/>
    <w:rsid w:val="004B2A64"/>
    <w:rsid w:val="004B41DA"/>
    <w:rsid w:val="004B470D"/>
    <w:rsid w:val="004B4764"/>
    <w:rsid w:val="004B4846"/>
    <w:rsid w:val="004B5394"/>
    <w:rsid w:val="004B5775"/>
    <w:rsid w:val="004B5BDD"/>
    <w:rsid w:val="004B6A33"/>
    <w:rsid w:val="004B6E9E"/>
    <w:rsid w:val="004B6F83"/>
    <w:rsid w:val="004B7540"/>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3B5"/>
    <w:rsid w:val="004C6572"/>
    <w:rsid w:val="004C6D4F"/>
    <w:rsid w:val="004C74FF"/>
    <w:rsid w:val="004C7541"/>
    <w:rsid w:val="004D1E71"/>
    <w:rsid w:val="004D2CDF"/>
    <w:rsid w:val="004D33CE"/>
    <w:rsid w:val="004D4AAE"/>
    <w:rsid w:val="004D67E9"/>
    <w:rsid w:val="004D7C86"/>
    <w:rsid w:val="004E0197"/>
    <w:rsid w:val="004E1122"/>
    <w:rsid w:val="004E1409"/>
    <w:rsid w:val="004E1A87"/>
    <w:rsid w:val="004E1B7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A2B"/>
    <w:rsid w:val="004E6FF1"/>
    <w:rsid w:val="004E76DB"/>
    <w:rsid w:val="004E7A2A"/>
    <w:rsid w:val="004F1F90"/>
    <w:rsid w:val="004F2401"/>
    <w:rsid w:val="004F2A44"/>
    <w:rsid w:val="004F2DAD"/>
    <w:rsid w:val="004F34F7"/>
    <w:rsid w:val="004F402C"/>
    <w:rsid w:val="004F474A"/>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4357"/>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301"/>
    <w:rsid w:val="005305FF"/>
    <w:rsid w:val="00530C34"/>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38"/>
    <w:rsid w:val="0054027D"/>
    <w:rsid w:val="0054064F"/>
    <w:rsid w:val="00540F63"/>
    <w:rsid w:val="00541222"/>
    <w:rsid w:val="00541A8D"/>
    <w:rsid w:val="00541C14"/>
    <w:rsid w:val="00544DA0"/>
    <w:rsid w:val="005454BD"/>
    <w:rsid w:val="005457E4"/>
    <w:rsid w:val="00546B62"/>
    <w:rsid w:val="00546C49"/>
    <w:rsid w:val="0055010B"/>
    <w:rsid w:val="00550D59"/>
    <w:rsid w:val="0055110D"/>
    <w:rsid w:val="00551F81"/>
    <w:rsid w:val="0055210F"/>
    <w:rsid w:val="00552CD7"/>
    <w:rsid w:val="005533BE"/>
    <w:rsid w:val="00554B30"/>
    <w:rsid w:val="00554FFB"/>
    <w:rsid w:val="00555D93"/>
    <w:rsid w:val="005567EF"/>
    <w:rsid w:val="005568DE"/>
    <w:rsid w:val="00557C50"/>
    <w:rsid w:val="005606B6"/>
    <w:rsid w:val="005608D6"/>
    <w:rsid w:val="00560F19"/>
    <w:rsid w:val="00561598"/>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77C9A"/>
    <w:rsid w:val="00580062"/>
    <w:rsid w:val="005808EB"/>
    <w:rsid w:val="00580D11"/>
    <w:rsid w:val="00580D37"/>
    <w:rsid w:val="00581FA0"/>
    <w:rsid w:val="00582B90"/>
    <w:rsid w:val="005831A7"/>
    <w:rsid w:val="00583321"/>
    <w:rsid w:val="0058341E"/>
    <w:rsid w:val="005846F5"/>
    <w:rsid w:val="00584F3A"/>
    <w:rsid w:val="005853AB"/>
    <w:rsid w:val="00585705"/>
    <w:rsid w:val="00585748"/>
    <w:rsid w:val="005859C5"/>
    <w:rsid w:val="00585C79"/>
    <w:rsid w:val="00585D2F"/>
    <w:rsid w:val="00585F8A"/>
    <w:rsid w:val="00586144"/>
    <w:rsid w:val="00587785"/>
    <w:rsid w:val="0058788D"/>
    <w:rsid w:val="00587E29"/>
    <w:rsid w:val="00587FE6"/>
    <w:rsid w:val="005911EC"/>
    <w:rsid w:val="00591698"/>
    <w:rsid w:val="0059238F"/>
    <w:rsid w:val="00593B87"/>
    <w:rsid w:val="00593C1C"/>
    <w:rsid w:val="00593E94"/>
    <w:rsid w:val="00594143"/>
    <w:rsid w:val="005943B9"/>
    <w:rsid w:val="00594543"/>
    <w:rsid w:val="00594612"/>
    <w:rsid w:val="00595873"/>
    <w:rsid w:val="00595CDD"/>
    <w:rsid w:val="005964BB"/>
    <w:rsid w:val="00596A70"/>
    <w:rsid w:val="00596BD3"/>
    <w:rsid w:val="00596BE7"/>
    <w:rsid w:val="00596C3E"/>
    <w:rsid w:val="005977DD"/>
    <w:rsid w:val="005A02B2"/>
    <w:rsid w:val="005A04BD"/>
    <w:rsid w:val="005A0A3F"/>
    <w:rsid w:val="005A114F"/>
    <w:rsid w:val="005A1F49"/>
    <w:rsid w:val="005A2364"/>
    <w:rsid w:val="005A2480"/>
    <w:rsid w:val="005A2B2C"/>
    <w:rsid w:val="005A2D6B"/>
    <w:rsid w:val="005A3252"/>
    <w:rsid w:val="005A33F7"/>
    <w:rsid w:val="005A40CF"/>
    <w:rsid w:val="005A4A9C"/>
    <w:rsid w:val="005A4BAE"/>
    <w:rsid w:val="005A4BBB"/>
    <w:rsid w:val="005A4F39"/>
    <w:rsid w:val="005A574D"/>
    <w:rsid w:val="005A5B5C"/>
    <w:rsid w:val="005A6E93"/>
    <w:rsid w:val="005A707A"/>
    <w:rsid w:val="005A7340"/>
    <w:rsid w:val="005A756E"/>
    <w:rsid w:val="005A7BD8"/>
    <w:rsid w:val="005A7EB2"/>
    <w:rsid w:val="005A7F93"/>
    <w:rsid w:val="005B06F8"/>
    <w:rsid w:val="005B07EA"/>
    <w:rsid w:val="005B0B20"/>
    <w:rsid w:val="005B0BB6"/>
    <w:rsid w:val="005B0BD6"/>
    <w:rsid w:val="005B0EFB"/>
    <w:rsid w:val="005B1060"/>
    <w:rsid w:val="005B12B9"/>
    <w:rsid w:val="005B17C1"/>
    <w:rsid w:val="005B21CC"/>
    <w:rsid w:val="005B3737"/>
    <w:rsid w:val="005B3A42"/>
    <w:rsid w:val="005B5D40"/>
    <w:rsid w:val="005B5EFC"/>
    <w:rsid w:val="005B6412"/>
    <w:rsid w:val="005B6698"/>
    <w:rsid w:val="005B67C8"/>
    <w:rsid w:val="005B68A7"/>
    <w:rsid w:val="005B6AC3"/>
    <w:rsid w:val="005B7A63"/>
    <w:rsid w:val="005C055E"/>
    <w:rsid w:val="005C0FA1"/>
    <w:rsid w:val="005C1615"/>
    <w:rsid w:val="005C197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5A3"/>
    <w:rsid w:val="005D2779"/>
    <w:rsid w:val="005D3242"/>
    <w:rsid w:val="005D610C"/>
    <w:rsid w:val="005D6523"/>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102"/>
    <w:rsid w:val="005F0E5C"/>
    <w:rsid w:val="005F134E"/>
    <w:rsid w:val="005F1365"/>
    <w:rsid w:val="005F275C"/>
    <w:rsid w:val="005F2C1F"/>
    <w:rsid w:val="005F2E44"/>
    <w:rsid w:val="005F3690"/>
    <w:rsid w:val="005F3986"/>
    <w:rsid w:val="005F466B"/>
    <w:rsid w:val="005F4C57"/>
    <w:rsid w:val="005F6774"/>
    <w:rsid w:val="005F79AA"/>
    <w:rsid w:val="0060044B"/>
    <w:rsid w:val="006013D7"/>
    <w:rsid w:val="006014CA"/>
    <w:rsid w:val="006014DB"/>
    <w:rsid w:val="00601587"/>
    <w:rsid w:val="00602079"/>
    <w:rsid w:val="006022F3"/>
    <w:rsid w:val="00602579"/>
    <w:rsid w:val="006026D8"/>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3B"/>
    <w:rsid w:val="0061599E"/>
    <w:rsid w:val="00615AC7"/>
    <w:rsid w:val="00615ED7"/>
    <w:rsid w:val="006162E6"/>
    <w:rsid w:val="00616C8A"/>
    <w:rsid w:val="006171A5"/>
    <w:rsid w:val="00620309"/>
    <w:rsid w:val="0062159D"/>
    <w:rsid w:val="00621680"/>
    <w:rsid w:val="006218F6"/>
    <w:rsid w:val="00621EC5"/>
    <w:rsid w:val="006223E0"/>
    <w:rsid w:val="006224D0"/>
    <w:rsid w:val="00622BCE"/>
    <w:rsid w:val="00622E29"/>
    <w:rsid w:val="006233ED"/>
    <w:rsid w:val="00623643"/>
    <w:rsid w:val="00624018"/>
    <w:rsid w:val="006240C4"/>
    <w:rsid w:val="0062463C"/>
    <w:rsid w:val="00625304"/>
    <w:rsid w:val="0062560D"/>
    <w:rsid w:val="0062581B"/>
    <w:rsid w:val="006261F4"/>
    <w:rsid w:val="0063164E"/>
    <w:rsid w:val="0063191D"/>
    <w:rsid w:val="00633488"/>
    <w:rsid w:val="00633581"/>
    <w:rsid w:val="006339AF"/>
    <w:rsid w:val="00633A39"/>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2A0A"/>
    <w:rsid w:val="00643AC1"/>
    <w:rsid w:val="00643D62"/>
    <w:rsid w:val="00644A5E"/>
    <w:rsid w:val="00644A6C"/>
    <w:rsid w:val="00644D69"/>
    <w:rsid w:val="006457A8"/>
    <w:rsid w:val="00645EA0"/>
    <w:rsid w:val="00645F76"/>
    <w:rsid w:val="0064668F"/>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57ACB"/>
    <w:rsid w:val="0066137B"/>
    <w:rsid w:val="0066174E"/>
    <w:rsid w:val="00661BBB"/>
    <w:rsid w:val="00661E57"/>
    <w:rsid w:val="006629E4"/>
    <w:rsid w:val="00663783"/>
    <w:rsid w:val="00663E47"/>
    <w:rsid w:val="006644A7"/>
    <w:rsid w:val="00664A93"/>
    <w:rsid w:val="00664BDE"/>
    <w:rsid w:val="0066565B"/>
    <w:rsid w:val="00665C44"/>
    <w:rsid w:val="00665F75"/>
    <w:rsid w:val="00666284"/>
    <w:rsid w:val="006667F3"/>
    <w:rsid w:val="00667AEA"/>
    <w:rsid w:val="006704FA"/>
    <w:rsid w:val="00670687"/>
    <w:rsid w:val="00670AC3"/>
    <w:rsid w:val="00670DC5"/>
    <w:rsid w:val="00671652"/>
    <w:rsid w:val="00671FAA"/>
    <w:rsid w:val="006727B3"/>
    <w:rsid w:val="00675DA5"/>
    <w:rsid w:val="0067679D"/>
    <w:rsid w:val="00680482"/>
    <w:rsid w:val="006808DC"/>
    <w:rsid w:val="006816B6"/>
    <w:rsid w:val="00681C57"/>
    <w:rsid w:val="006820EB"/>
    <w:rsid w:val="00682128"/>
    <w:rsid w:val="0068220C"/>
    <w:rsid w:val="00682AB1"/>
    <w:rsid w:val="00682E9F"/>
    <w:rsid w:val="00683252"/>
    <w:rsid w:val="0068343A"/>
    <w:rsid w:val="006834D4"/>
    <w:rsid w:val="0068413D"/>
    <w:rsid w:val="006842B2"/>
    <w:rsid w:val="006844BA"/>
    <w:rsid w:val="006845A2"/>
    <w:rsid w:val="00684BF8"/>
    <w:rsid w:val="00684D9B"/>
    <w:rsid w:val="006858AA"/>
    <w:rsid w:val="00685BCF"/>
    <w:rsid w:val="0068623C"/>
    <w:rsid w:val="006871D0"/>
    <w:rsid w:val="0068751F"/>
    <w:rsid w:val="006900D1"/>
    <w:rsid w:val="00690297"/>
    <w:rsid w:val="00690C0C"/>
    <w:rsid w:val="0069115A"/>
    <w:rsid w:val="006912F1"/>
    <w:rsid w:val="00691387"/>
    <w:rsid w:val="006927F2"/>
    <w:rsid w:val="006931E1"/>
    <w:rsid w:val="00694310"/>
    <w:rsid w:val="00694700"/>
    <w:rsid w:val="00694803"/>
    <w:rsid w:val="00694CE8"/>
    <w:rsid w:val="0069569E"/>
    <w:rsid w:val="006956C6"/>
    <w:rsid w:val="00696243"/>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4D14"/>
    <w:rsid w:val="006A561D"/>
    <w:rsid w:val="006A5A0C"/>
    <w:rsid w:val="006A5BA0"/>
    <w:rsid w:val="006A5BB1"/>
    <w:rsid w:val="006A5F88"/>
    <w:rsid w:val="006A7D95"/>
    <w:rsid w:val="006B0A6D"/>
    <w:rsid w:val="006B120D"/>
    <w:rsid w:val="006B13C1"/>
    <w:rsid w:val="006B2CC7"/>
    <w:rsid w:val="006B3AF9"/>
    <w:rsid w:val="006B44C5"/>
    <w:rsid w:val="006B555F"/>
    <w:rsid w:val="006B6242"/>
    <w:rsid w:val="006B6AC7"/>
    <w:rsid w:val="006B6C7C"/>
    <w:rsid w:val="006B6EA4"/>
    <w:rsid w:val="006B77BB"/>
    <w:rsid w:val="006B7F8F"/>
    <w:rsid w:val="006B7FC5"/>
    <w:rsid w:val="006C02E5"/>
    <w:rsid w:val="006C055E"/>
    <w:rsid w:val="006C0D13"/>
    <w:rsid w:val="006C17CB"/>
    <w:rsid w:val="006C187F"/>
    <w:rsid w:val="006C19BC"/>
    <w:rsid w:val="006C19D5"/>
    <w:rsid w:val="006C1B44"/>
    <w:rsid w:val="006C1F77"/>
    <w:rsid w:val="006C2211"/>
    <w:rsid w:val="006C3031"/>
    <w:rsid w:val="006C31D0"/>
    <w:rsid w:val="006C3607"/>
    <w:rsid w:val="006C3990"/>
    <w:rsid w:val="006C3ED2"/>
    <w:rsid w:val="006C4233"/>
    <w:rsid w:val="006C42E7"/>
    <w:rsid w:val="006C4301"/>
    <w:rsid w:val="006C4422"/>
    <w:rsid w:val="006C5CCA"/>
    <w:rsid w:val="006C625F"/>
    <w:rsid w:val="006C75E3"/>
    <w:rsid w:val="006C78A6"/>
    <w:rsid w:val="006C7AB4"/>
    <w:rsid w:val="006D006B"/>
    <w:rsid w:val="006D105C"/>
    <w:rsid w:val="006D30E7"/>
    <w:rsid w:val="006D48E7"/>
    <w:rsid w:val="006D4947"/>
    <w:rsid w:val="006D5F16"/>
    <w:rsid w:val="006D63AD"/>
    <w:rsid w:val="006D6764"/>
    <w:rsid w:val="006D67D9"/>
    <w:rsid w:val="006D6C93"/>
    <w:rsid w:val="006D73D5"/>
    <w:rsid w:val="006D7573"/>
    <w:rsid w:val="006E0340"/>
    <w:rsid w:val="006E06F9"/>
    <w:rsid w:val="006E07A9"/>
    <w:rsid w:val="006E08B4"/>
    <w:rsid w:val="006E0D91"/>
    <w:rsid w:val="006E1706"/>
    <w:rsid w:val="006E3CB2"/>
    <w:rsid w:val="006E3DA8"/>
    <w:rsid w:val="006E4ADA"/>
    <w:rsid w:val="006E5DAA"/>
    <w:rsid w:val="006E66A6"/>
    <w:rsid w:val="006E7006"/>
    <w:rsid w:val="006E7AE8"/>
    <w:rsid w:val="006F00E7"/>
    <w:rsid w:val="006F0EEB"/>
    <w:rsid w:val="006F0F6E"/>
    <w:rsid w:val="006F1B22"/>
    <w:rsid w:val="006F1BA4"/>
    <w:rsid w:val="006F2259"/>
    <w:rsid w:val="006F23E1"/>
    <w:rsid w:val="006F2F8F"/>
    <w:rsid w:val="006F2FDA"/>
    <w:rsid w:val="006F2FE5"/>
    <w:rsid w:val="006F3460"/>
    <w:rsid w:val="006F34FE"/>
    <w:rsid w:val="006F35BD"/>
    <w:rsid w:val="006F3615"/>
    <w:rsid w:val="006F3FA3"/>
    <w:rsid w:val="006F48BA"/>
    <w:rsid w:val="006F4AF9"/>
    <w:rsid w:val="006F4C50"/>
    <w:rsid w:val="006F54EB"/>
    <w:rsid w:val="006F5CC1"/>
    <w:rsid w:val="006F67A5"/>
    <w:rsid w:val="006F762D"/>
    <w:rsid w:val="00700492"/>
    <w:rsid w:val="0070167E"/>
    <w:rsid w:val="00701E1B"/>
    <w:rsid w:val="007028FC"/>
    <w:rsid w:val="007029FE"/>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3E03"/>
    <w:rsid w:val="00714004"/>
    <w:rsid w:val="0071458E"/>
    <w:rsid w:val="007145C9"/>
    <w:rsid w:val="00714631"/>
    <w:rsid w:val="00714B6E"/>
    <w:rsid w:val="0071512F"/>
    <w:rsid w:val="00716256"/>
    <w:rsid w:val="007169AC"/>
    <w:rsid w:val="007169DD"/>
    <w:rsid w:val="007171FC"/>
    <w:rsid w:val="00717679"/>
    <w:rsid w:val="00717B67"/>
    <w:rsid w:val="007206A2"/>
    <w:rsid w:val="00720B38"/>
    <w:rsid w:val="00720CA7"/>
    <w:rsid w:val="0072147B"/>
    <w:rsid w:val="007217F5"/>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69EE"/>
    <w:rsid w:val="00737566"/>
    <w:rsid w:val="00737C7E"/>
    <w:rsid w:val="007404BF"/>
    <w:rsid w:val="007406B5"/>
    <w:rsid w:val="00741BA2"/>
    <w:rsid w:val="00741CF4"/>
    <w:rsid w:val="00741DCC"/>
    <w:rsid w:val="00741DE2"/>
    <w:rsid w:val="007421A1"/>
    <w:rsid w:val="007427FE"/>
    <w:rsid w:val="0074290A"/>
    <w:rsid w:val="00742C51"/>
    <w:rsid w:val="00743445"/>
    <w:rsid w:val="00744F8C"/>
    <w:rsid w:val="007451B1"/>
    <w:rsid w:val="00745E01"/>
    <w:rsid w:val="0074666B"/>
    <w:rsid w:val="0074679E"/>
    <w:rsid w:val="007468D6"/>
    <w:rsid w:val="00746BFF"/>
    <w:rsid w:val="007473E1"/>
    <w:rsid w:val="00747897"/>
    <w:rsid w:val="00747E47"/>
    <w:rsid w:val="00750192"/>
    <w:rsid w:val="007504E1"/>
    <w:rsid w:val="00750544"/>
    <w:rsid w:val="00750804"/>
    <w:rsid w:val="007509AB"/>
    <w:rsid w:val="00751689"/>
    <w:rsid w:val="007524AA"/>
    <w:rsid w:val="00753744"/>
    <w:rsid w:val="007537F3"/>
    <w:rsid w:val="00753A93"/>
    <w:rsid w:val="00755663"/>
    <w:rsid w:val="00756386"/>
    <w:rsid w:val="00756603"/>
    <w:rsid w:val="00756E50"/>
    <w:rsid w:val="007575C0"/>
    <w:rsid w:val="00757D2F"/>
    <w:rsid w:val="0076000E"/>
    <w:rsid w:val="007604E0"/>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6FC7"/>
    <w:rsid w:val="007770F9"/>
    <w:rsid w:val="00777179"/>
    <w:rsid w:val="00777945"/>
    <w:rsid w:val="00777D40"/>
    <w:rsid w:val="00780B8D"/>
    <w:rsid w:val="00780B8E"/>
    <w:rsid w:val="00781649"/>
    <w:rsid w:val="007823D6"/>
    <w:rsid w:val="0078254E"/>
    <w:rsid w:val="00782628"/>
    <w:rsid w:val="007826AB"/>
    <w:rsid w:val="00783410"/>
    <w:rsid w:val="007840E2"/>
    <w:rsid w:val="0078509A"/>
    <w:rsid w:val="0078569F"/>
    <w:rsid w:val="00785803"/>
    <w:rsid w:val="00785EB4"/>
    <w:rsid w:val="0078609A"/>
    <w:rsid w:val="00786F85"/>
    <w:rsid w:val="0078731A"/>
    <w:rsid w:val="00787487"/>
    <w:rsid w:val="007879F2"/>
    <w:rsid w:val="007879FC"/>
    <w:rsid w:val="007906F1"/>
    <w:rsid w:val="00790EDA"/>
    <w:rsid w:val="00791349"/>
    <w:rsid w:val="00791D85"/>
    <w:rsid w:val="00791DAF"/>
    <w:rsid w:val="0079220B"/>
    <w:rsid w:val="007924CA"/>
    <w:rsid w:val="00794CBF"/>
    <w:rsid w:val="00795052"/>
    <w:rsid w:val="00795365"/>
    <w:rsid w:val="0079567E"/>
    <w:rsid w:val="007961D5"/>
    <w:rsid w:val="00796A6F"/>
    <w:rsid w:val="00796C5D"/>
    <w:rsid w:val="00797B06"/>
    <w:rsid w:val="00797B9C"/>
    <w:rsid w:val="007A0483"/>
    <w:rsid w:val="007A076D"/>
    <w:rsid w:val="007A1065"/>
    <w:rsid w:val="007A185B"/>
    <w:rsid w:val="007A1D86"/>
    <w:rsid w:val="007A2A97"/>
    <w:rsid w:val="007A2CDC"/>
    <w:rsid w:val="007A371B"/>
    <w:rsid w:val="007A3832"/>
    <w:rsid w:val="007A3A0F"/>
    <w:rsid w:val="007A3E60"/>
    <w:rsid w:val="007A407D"/>
    <w:rsid w:val="007A464F"/>
    <w:rsid w:val="007A4798"/>
    <w:rsid w:val="007A50D9"/>
    <w:rsid w:val="007A6196"/>
    <w:rsid w:val="007A63D5"/>
    <w:rsid w:val="007A689A"/>
    <w:rsid w:val="007A68EA"/>
    <w:rsid w:val="007A6B7D"/>
    <w:rsid w:val="007A7629"/>
    <w:rsid w:val="007B100A"/>
    <w:rsid w:val="007B1027"/>
    <w:rsid w:val="007B1691"/>
    <w:rsid w:val="007B174F"/>
    <w:rsid w:val="007B1863"/>
    <w:rsid w:val="007B22E0"/>
    <w:rsid w:val="007B28CA"/>
    <w:rsid w:val="007B358D"/>
    <w:rsid w:val="007B5401"/>
    <w:rsid w:val="007B5FB4"/>
    <w:rsid w:val="007B6B2B"/>
    <w:rsid w:val="007B7636"/>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74B"/>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072"/>
    <w:rsid w:val="007E6719"/>
    <w:rsid w:val="007E68ED"/>
    <w:rsid w:val="007E69ED"/>
    <w:rsid w:val="007E7B2D"/>
    <w:rsid w:val="007F0221"/>
    <w:rsid w:val="007F034B"/>
    <w:rsid w:val="007F0557"/>
    <w:rsid w:val="007F07B9"/>
    <w:rsid w:val="007F0928"/>
    <w:rsid w:val="007F15CE"/>
    <w:rsid w:val="007F1A16"/>
    <w:rsid w:val="007F1E88"/>
    <w:rsid w:val="007F2514"/>
    <w:rsid w:val="007F2CD7"/>
    <w:rsid w:val="007F3568"/>
    <w:rsid w:val="007F3F76"/>
    <w:rsid w:val="007F422D"/>
    <w:rsid w:val="007F4DBA"/>
    <w:rsid w:val="007F519C"/>
    <w:rsid w:val="007F534D"/>
    <w:rsid w:val="007F54A2"/>
    <w:rsid w:val="007F54FE"/>
    <w:rsid w:val="007F5535"/>
    <w:rsid w:val="007F5D32"/>
    <w:rsid w:val="007F6D5C"/>
    <w:rsid w:val="007F72DC"/>
    <w:rsid w:val="007F795F"/>
    <w:rsid w:val="0080019A"/>
    <w:rsid w:val="0080069C"/>
    <w:rsid w:val="008006FD"/>
    <w:rsid w:val="0080148D"/>
    <w:rsid w:val="0080156B"/>
    <w:rsid w:val="00801A3A"/>
    <w:rsid w:val="00804114"/>
    <w:rsid w:val="008045ED"/>
    <w:rsid w:val="00804634"/>
    <w:rsid w:val="008047E8"/>
    <w:rsid w:val="0080531E"/>
    <w:rsid w:val="00805723"/>
    <w:rsid w:val="00805C3D"/>
    <w:rsid w:val="00806F1D"/>
    <w:rsid w:val="008077ED"/>
    <w:rsid w:val="00807B6F"/>
    <w:rsid w:val="00807E93"/>
    <w:rsid w:val="00810172"/>
    <w:rsid w:val="00810762"/>
    <w:rsid w:val="00810858"/>
    <w:rsid w:val="00810EFF"/>
    <w:rsid w:val="00811314"/>
    <w:rsid w:val="00811A39"/>
    <w:rsid w:val="00811AE8"/>
    <w:rsid w:val="00811FFF"/>
    <w:rsid w:val="0081291B"/>
    <w:rsid w:val="00813622"/>
    <w:rsid w:val="00813BBA"/>
    <w:rsid w:val="00813DCF"/>
    <w:rsid w:val="00813FAB"/>
    <w:rsid w:val="0081498C"/>
    <w:rsid w:val="00814AE1"/>
    <w:rsid w:val="0081597F"/>
    <w:rsid w:val="00815D31"/>
    <w:rsid w:val="0081601F"/>
    <w:rsid w:val="00816064"/>
    <w:rsid w:val="008172FB"/>
    <w:rsid w:val="008174B2"/>
    <w:rsid w:val="00817CFF"/>
    <w:rsid w:val="0082000D"/>
    <w:rsid w:val="0082037E"/>
    <w:rsid w:val="00820C9C"/>
    <w:rsid w:val="00820F55"/>
    <w:rsid w:val="00821572"/>
    <w:rsid w:val="0082219D"/>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0F5B"/>
    <w:rsid w:val="00831652"/>
    <w:rsid w:val="0083202E"/>
    <w:rsid w:val="00832965"/>
    <w:rsid w:val="0083304F"/>
    <w:rsid w:val="008334C9"/>
    <w:rsid w:val="0083398E"/>
    <w:rsid w:val="00833DAE"/>
    <w:rsid w:val="00834122"/>
    <w:rsid w:val="008352C5"/>
    <w:rsid w:val="008358A6"/>
    <w:rsid w:val="008359FB"/>
    <w:rsid w:val="00835C56"/>
    <w:rsid w:val="008360FC"/>
    <w:rsid w:val="00836B43"/>
    <w:rsid w:val="00836E81"/>
    <w:rsid w:val="008377C1"/>
    <w:rsid w:val="00837C90"/>
    <w:rsid w:val="00837EB1"/>
    <w:rsid w:val="0084042B"/>
    <w:rsid w:val="008406A6"/>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6756"/>
    <w:rsid w:val="008469E8"/>
    <w:rsid w:val="00846DBD"/>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737"/>
    <w:rsid w:val="00867844"/>
    <w:rsid w:val="0086793D"/>
    <w:rsid w:val="00867B1C"/>
    <w:rsid w:val="008713D6"/>
    <w:rsid w:val="00871643"/>
    <w:rsid w:val="0087281D"/>
    <w:rsid w:val="008732D8"/>
    <w:rsid w:val="00873377"/>
    <w:rsid w:val="00873577"/>
    <w:rsid w:val="0087409F"/>
    <w:rsid w:val="00874553"/>
    <w:rsid w:val="00874D58"/>
    <w:rsid w:val="008750D2"/>
    <w:rsid w:val="00875AB5"/>
    <w:rsid w:val="00875AFA"/>
    <w:rsid w:val="00875C91"/>
    <w:rsid w:val="00875F85"/>
    <w:rsid w:val="00876C6B"/>
    <w:rsid w:val="00876DC9"/>
    <w:rsid w:val="00877125"/>
    <w:rsid w:val="008777C2"/>
    <w:rsid w:val="008806C8"/>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CD8"/>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5FBC"/>
    <w:rsid w:val="008A62DB"/>
    <w:rsid w:val="008A69C9"/>
    <w:rsid w:val="008A720F"/>
    <w:rsid w:val="008A7C72"/>
    <w:rsid w:val="008B04F2"/>
    <w:rsid w:val="008B0D0E"/>
    <w:rsid w:val="008B12BB"/>
    <w:rsid w:val="008B1411"/>
    <w:rsid w:val="008B17A2"/>
    <w:rsid w:val="008B25F2"/>
    <w:rsid w:val="008B2643"/>
    <w:rsid w:val="008B2B2B"/>
    <w:rsid w:val="008B2FAE"/>
    <w:rsid w:val="008B3317"/>
    <w:rsid w:val="008B414B"/>
    <w:rsid w:val="008B45ED"/>
    <w:rsid w:val="008B4E0E"/>
    <w:rsid w:val="008B4FB9"/>
    <w:rsid w:val="008B5715"/>
    <w:rsid w:val="008B5A2D"/>
    <w:rsid w:val="008B5BC2"/>
    <w:rsid w:val="008B60BB"/>
    <w:rsid w:val="008B6732"/>
    <w:rsid w:val="008B6786"/>
    <w:rsid w:val="008B68EC"/>
    <w:rsid w:val="008B711E"/>
    <w:rsid w:val="008C042F"/>
    <w:rsid w:val="008C057B"/>
    <w:rsid w:val="008C0CAC"/>
    <w:rsid w:val="008C13B4"/>
    <w:rsid w:val="008C1557"/>
    <w:rsid w:val="008C1B8C"/>
    <w:rsid w:val="008C2306"/>
    <w:rsid w:val="008C2378"/>
    <w:rsid w:val="008C26D1"/>
    <w:rsid w:val="008C2B7F"/>
    <w:rsid w:val="008C36AC"/>
    <w:rsid w:val="008C4953"/>
    <w:rsid w:val="008C4E44"/>
    <w:rsid w:val="008C5E36"/>
    <w:rsid w:val="008C6255"/>
    <w:rsid w:val="008C684B"/>
    <w:rsid w:val="008C6ABD"/>
    <w:rsid w:val="008C6F18"/>
    <w:rsid w:val="008C7685"/>
    <w:rsid w:val="008D007A"/>
    <w:rsid w:val="008D07DE"/>
    <w:rsid w:val="008D0831"/>
    <w:rsid w:val="008D0E40"/>
    <w:rsid w:val="008D0E9B"/>
    <w:rsid w:val="008D1822"/>
    <w:rsid w:val="008D1E7F"/>
    <w:rsid w:val="008D2367"/>
    <w:rsid w:val="008D427A"/>
    <w:rsid w:val="008D4DD5"/>
    <w:rsid w:val="008D513D"/>
    <w:rsid w:val="008D5657"/>
    <w:rsid w:val="008D6752"/>
    <w:rsid w:val="008D69A5"/>
    <w:rsid w:val="008D69E7"/>
    <w:rsid w:val="008D6FC1"/>
    <w:rsid w:val="008D78FF"/>
    <w:rsid w:val="008E0140"/>
    <w:rsid w:val="008E0639"/>
    <w:rsid w:val="008E0688"/>
    <w:rsid w:val="008E0BEF"/>
    <w:rsid w:val="008E228F"/>
    <w:rsid w:val="008E266D"/>
    <w:rsid w:val="008E2CE8"/>
    <w:rsid w:val="008E2D6C"/>
    <w:rsid w:val="008E2F0C"/>
    <w:rsid w:val="008E3E23"/>
    <w:rsid w:val="008E547B"/>
    <w:rsid w:val="008E5DF8"/>
    <w:rsid w:val="008E6F3C"/>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5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4B6C"/>
    <w:rsid w:val="0091526F"/>
    <w:rsid w:val="009153D2"/>
    <w:rsid w:val="00915EC0"/>
    <w:rsid w:val="00916286"/>
    <w:rsid w:val="00916595"/>
    <w:rsid w:val="00916C47"/>
    <w:rsid w:val="0091713F"/>
    <w:rsid w:val="009171AD"/>
    <w:rsid w:val="00917569"/>
    <w:rsid w:val="00920174"/>
    <w:rsid w:val="00920852"/>
    <w:rsid w:val="009219D2"/>
    <w:rsid w:val="00921A4E"/>
    <w:rsid w:val="00921E37"/>
    <w:rsid w:val="00922511"/>
    <w:rsid w:val="00922F07"/>
    <w:rsid w:val="00923463"/>
    <w:rsid w:val="009236E7"/>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092"/>
    <w:rsid w:val="00937371"/>
    <w:rsid w:val="009379C4"/>
    <w:rsid w:val="0094041A"/>
    <w:rsid w:val="00940938"/>
    <w:rsid w:val="00940D32"/>
    <w:rsid w:val="0094190D"/>
    <w:rsid w:val="00942354"/>
    <w:rsid w:val="00942681"/>
    <w:rsid w:val="00943A7E"/>
    <w:rsid w:val="00943E42"/>
    <w:rsid w:val="00943E5D"/>
    <w:rsid w:val="00944728"/>
    <w:rsid w:val="009453E8"/>
    <w:rsid w:val="00945664"/>
    <w:rsid w:val="00945AD1"/>
    <w:rsid w:val="0094613D"/>
    <w:rsid w:val="00946ECB"/>
    <w:rsid w:val="00947268"/>
    <w:rsid w:val="0094750E"/>
    <w:rsid w:val="00947C94"/>
    <w:rsid w:val="0095019C"/>
    <w:rsid w:val="009507C8"/>
    <w:rsid w:val="0095115E"/>
    <w:rsid w:val="0095118A"/>
    <w:rsid w:val="00952468"/>
    <w:rsid w:val="0095463E"/>
    <w:rsid w:val="00954767"/>
    <w:rsid w:val="0095487A"/>
    <w:rsid w:val="009548FB"/>
    <w:rsid w:val="0095538B"/>
    <w:rsid w:val="00957AF7"/>
    <w:rsid w:val="009604CB"/>
    <w:rsid w:val="00960ACA"/>
    <w:rsid w:val="00960C4F"/>
    <w:rsid w:val="00960D36"/>
    <w:rsid w:val="00960E4F"/>
    <w:rsid w:val="0096217C"/>
    <w:rsid w:val="00962441"/>
    <w:rsid w:val="00963277"/>
    <w:rsid w:val="00964B53"/>
    <w:rsid w:val="00964C3F"/>
    <w:rsid w:val="00964C6C"/>
    <w:rsid w:val="00965176"/>
    <w:rsid w:val="00965240"/>
    <w:rsid w:val="00965847"/>
    <w:rsid w:val="00965A3E"/>
    <w:rsid w:val="00965C48"/>
    <w:rsid w:val="0096629C"/>
    <w:rsid w:val="00966C10"/>
    <w:rsid w:val="00966D9D"/>
    <w:rsid w:val="00966E4A"/>
    <w:rsid w:val="00967041"/>
    <w:rsid w:val="009670C6"/>
    <w:rsid w:val="00970918"/>
    <w:rsid w:val="0097099E"/>
    <w:rsid w:val="00970D6C"/>
    <w:rsid w:val="00971761"/>
    <w:rsid w:val="0097216F"/>
    <w:rsid w:val="00972C3B"/>
    <w:rsid w:val="00973057"/>
    <w:rsid w:val="00974D50"/>
    <w:rsid w:val="009751AF"/>
    <w:rsid w:val="00975326"/>
    <w:rsid w:val="00975DEA"/>
    <w:rsid w:val="009777E2"/>
    <w:rsid w:val="00977CDF"/>
    <w:rsid w:val="0098043F"/>
    <w:rsid w:val="00980D10"/>
    <w:rsid w:val="00981038"/>
    <w:rsid w:val="0098106E"/>
    <w:rsid w:val="00981511"/>
    <w:rsid w:val="00981D1C"/>
    <w:rsid w:val="00981E1C"/>
    <w:rsid w:val="00982118"/>
    <w:rsid w:val="00982C62"/>
    <w:rsid w:val="00982C91"/>
    <w:rsid w:val="00982F76"/>
    <w:rsid w:val="00982FA3"/>
    <w:rsid w:val="009840FD"/>
    <w:rsid w:val="009842EC"/>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8BC"/>
    <w:rsid w:val="009A3C93"/>
    <w:rsid w:val="009A3FD0"/>
    <w:rsid w:val="009A5099"/>
    <w:rsid w:val="009A51C7"/>
    <w:rsid w:val="009A59EC"/>
    <w:rsid w:val="009A5B0D"/>
    <w:rsid w:val="009A5C56"/>
    <w:rsid w:val="009A5CA8"/>
    <w:rsid w:val="009A6AD0"/>
    <w:rsid w:val="009A6ED0"/>
    <w:rsid w:val="009A706A"/>
    <w:rsid w:val="009A71AB"/>
    <w:rsid w:val="009A7745"/>
    <w:rsid w:val="009A7C3D"/>
    <w:rsid w:val="009B00A0"/>
    <w:rsid w:val="009B0156"/>
    <w:rsid w:val="009B0295"/>
    <w:rsid w:val="009B05BA"/>
    <w:rsid w:val="009B0F83"/>
    <w:rsid w:val="009B1B0E"/>
    <w:rsid w:val="009B2596"/>
    <w:rsid w:val="009B42B6"/>
    <w:rsid w:val="009B42CC"/>
    <w:rsid w:val="009B43D6"/>
    <w:rsid w:val="009B5081"/>
    <w:rsid w:val="009B57D7"/>
    <w:rsid w:val="009B6985"/>
    <w:rsid w:val="009B69B3"/>
    <w:rsid w:val="009B7011"/>
    <w:rsid w:val="009B71E4"/>
    <w:rsid w:val="009C00F7"/>
    <w:rsid w:val="009C04EE"/>
    <w:rsid w:val="009C0CD4"/>
    <w:rsid w:val="009C15E7"/>
    <w:rsid w:val="009C17BC"/>
    <w:rsid w:val="009C17C8"/>
    <w:rsid w:val="009C385B"/>
    <w:rsid w:val="009C3E3C"/>
    <w:rsid w:val="009C416A"/>
    <w:rsid w:val="009C424E"/>
    <w:rsid w:val="009C4353"/>
    <w:rsid w:val="009C44C8"/>
    <w:rsid w:val="009C49C2"/>
    <w:rsid w:val="009C4E2D"/>
    <w:rsid w:val="009C58BE"/>
    <w:rsid w:val="009C60BB"/>
    <w:rsid w:val="009C62C0"/>
    <w:rsid w:val="009C6A88"/>
    <w:rsid w:val="009C765D"/>
    <w:rsid w:val="009C7ADA"/>
    <w:rsid w:val="009D000A"/>
    <w:rsid w:val="009D01A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50"/>
    <w:rsid w:val="009E37D3"/>
    <w:rsid w:val="009E5028"/>
    <w:rsid w:val="009E50FB"/>
    <w:rsid w:val="009E5280"/>
    <w:rsid w:val="009E5386"/>
    <w:rsid w:val="009E5DD1"/>
    <w:rsid w:val="009E60AD"/>
    <w:rsid w:val="009E60DB"/>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5194"/>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3D0"/>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1B7D"/>
    <w:rsid w:val="00A23931"/>
    <w:rsid w:val="00A23E9C"/>
    <w:rsid w:val="00A23FD6"/>
    <w:rsid w:val="00A25317"/>
    <w:rsid w:val="00A25706"/>
    <w:rsid w:val="00A25C43"/>
    <w:rsid w:val="00A25D84"/>
    <w:rsid w:val="00A26029"/>
    <w:rsid w:val="00A262E4"/>
    <w:rsid w:val="00A268EA"/>
    <w:rsid w:val="00A27448"/>
    <w:rsid w:val="00A31C21"/>
    <w:rsid w:val="00A31CE0"/>
    <w:rsid w:val="00A31FA9"/>
    <w:rsid w:val="00A32FD0"/>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08E"/>
    <w:rsid w:val="00A432D1"/>
    <w:rsid w:val="00A43716"/>
    <w:rsid w:val="00A441C4"/>
    <w:rsid w:val="00A442C5"/>
    <w:rsid w:val="00A44712"/>
    <w:rsid w:val="00A44AF5"/>
    <w:rsid w:val="00A44B8B"/>
    <w:rsid w:val="00A44F67"/>
    <w:rsid w:val="00A45EC4"/>
    <w:rsid w:val="00A46EB0"/>
    <w:rsid w:val="00A47212"/>
    <w:rsid w:val="00A474EA"/>
    <w:rsid w:val="00A475BB"/>
    <w:rsid w:val="00A501B2"/>
    <w:rsid w:val="00A5034A"/>
    <w:rsid w:val="00A50FFA"/>
    <w:rsid w:val="00A539D1"/>
    <w:rsid w:val="00A54DAE"/>
    <w:rsid w:val="00A5593A"/>
    <w:rsid w:val="00A56D3B"/>
    <w:rsid w:val="00A57450"/>
    <w:rsid w:val="00A57479"/>
    <w:rsid w:val="00A57C08"/>
    <w:rsid w:val="00A600D9"/>
    <w:rsid w:val="00A604CD"/>
    <w:rsid w:val="00A621E7"/>
    <w:rsid w:val="00A628EC"/>
    <w:rsid w:val="00A637A0"/>
    <w:rsid w:val="00A63ECD"/>
    <w:rsid w:val="00A64093"/>
    <w:rsid w:val="00A640EB"/>
    <w:rsid w:val="00A64759"/>
    <w:rsid w:val="00A647DC"/>
    <w:rsid w:val="00A64815"/>
    <w:rsid w:val="00A65043"/>
    <w:rsid w:val="00A66DF9"/>
    <w:rsid w:val="00A704E4"/>
    <w:rsid w:val="00A7136A"/>
    <w:rsid w:val="00A71C44"/>
    <w:rsid w:val="00A72296"/>
    <w:rsid w:val="00A7388E"/>
    <w:rsid w:val="00A73C57"/>
    <w:rsid w:val="00A74544"/>
    <w:rsid w:val="00A74548"/>
    <w:rsid w:val="00A74DF2"/>
    <w:rsid w:val="00A74E4D"/>
    <w:rsid w:val="00A7510A"/>
    <w:rsid w:val="00A7592E"/>
    <w:rsid w:val="00A75FC7"/>
    <w:rsid w:val="00A76913"/>
    <w:rsid w:val="00A76C1F"/>
    <w:rsid w:val="00A803FC"/>
    <w:rsid w:val="00A8071A"/>
    <w:rsid w:val="00A80B7C"/>
    <w:rsid w:val="00A80DD9"/>
    <w:rsid w:val="00A80FCA"/>
    <w:rsid w:val="00A81CBC"/>
    <w:rsid w:val="00A822D3"/>
    <w:rsid w:val="00A82506"/>
    <w:rsid w:val="00A837CE"/>
    <w:rsid w:val="00A83DB5"/>
    <w:rsid w:val="00A83FBA"/>
    <w:rsid w:val="00A84636"/>
    <w:rsid w:val="00A84FE1"/>
    <w:rsid w:val="00A85080"/>
    <w:rsid w:val="00A85E40"/>
    <w:rsid w:val="00A86406"/>
    <w:rsid w:val="00A86853"/>
    <w:rsid w:val="00A86B75"/>
    <w:rsid w:val="00A86E75"/>
    <w:rsid w:val="00A86F33"/>
    <w:rsid w:val="00A87D98"/>
    <w:rsid w:val="00A9065F"/>
    <w:rsid w:val="00A90B0E"/>
    <w:rsid w:val="00A91AA1"/>
    <w:rsid w:val="00A91C8C"/>
    <w:rsid w:val="00A91F0D"/>
    <w:rsid w:val="00A9235A"/>
    <w:rsid w:val="00A92FF7"/>
    <w:rsid w:val="00A93069"/>
    <w:rsid w:val="00A9468F"/>
    <w:rsid w:val="00A9498D"/>
    <w:rsid w:val="00A95335"/>
    <w:rsid w:val="00A9566B"/>
    <w:rsid w:val="00A960E7"/>
    <w:rsid w:val="00A9657F"/>
    <w:rsid w:val="00A974EC"/>
    <w:rsid w:val="00A9797D"/>
    <w:rsid w:val="00AA015F"/>
    <w:rsid w:val="00AA0C3A"/>
    <w:rsid w:val="00AA1723"/>
    <w:rsid w:val="00AA190D"/>
    <w:rsid w:val="00AA1FDD"/>
    <w:rsid w:val="00AA22C3"/>
    <w:rsid w:val="00AA230D"/>
    <w:rsid w:val="00AA265B"/>
    <w:rsid w:val="00AA3CD2"/>
    <w:rsid w:val="00AA4941"/>
    <w:rsid w:val="00AA49E9"/>
    <w:rsid w:val="00AA5475"/>
    <w:rsid w:val="00AA5876"/>
    <w:rsid w:val="00AA6733"/>
    <w:rsid w:val="00AA6A8A"/>
    <w:rsid w:val="00AA6DD8"/>
    <w:rsid w:val="00AA6FA3"/>
    <w:rsid w:val="00AA70BB"/>
    <w:rsid w:val="00AA757C"/>
    <w:rsid w:val="00AA7F10"/>
    <w:rsid w:val="00AB0309"/>
    <w:rsid w:val="00AB0391"/>
    <w:rsid w:val="00AB2151"/>
    <w:rsid w:val="00AB2C59"/>
    <w:rsid w:val="00AB2C8A"/>
    <w:rsid w:val="00AB42B6"/>
    <w:rsid w:val="00AB4D67"/>
    <w:rsid w:val="00AB545D"/>
    <w:rsid w:val="00AB54D7"/>
    <w:rsid w:val="00AB57D3"/>
    <w:rsid w:val="00AB59BE"/>
    <w:rsid w:val="00AB6886"/>
    <w:rsid w:val="00AB6AE4"/>
    <w:rsid w:val="00AB6E00"/>
    <w:rsid w:val="00AB6F37"/>
    <w:rsid w:val="00AB769E"/>
    <w:rsid w:val="00AB7D55"/>
    <w:rsid w:val="00AC0681"/>
    <w:rsid w:val="00AC154B"/>
    <w:rsid w:val="00AC1636"/>
    <w:rsid w:val="00AC1B72"/>
    <w:rsid w:val="00AC26FE"/>
    <w:rsid w:val="00AC350D"/>
    <w:rsid w:val="00AC3568"/>
    <w:rsid w:val="00AC3C0A"/>
    <w:rsid w:val="00AC3CF2"/>
    <w:rsid w:val="00AC47EC"/>
    <w:rsid w:val="00AC4BDB"/>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096A"/>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2058"/>
    <w:rsid w:val="00AF2EAE"/>
    <w:rsid w:val="00AF39AF"/>
    <w:rsid w:val="00AF3E3B"/>
    <w:rsid w:val="00AF3E5A"/>
    <w:rsid w:val="00AF4136"/>
    <w:rsid w:val="00AF46FE"/>
    <w:rsid w:val="00AF486F"/>
    <w:rsid w:val="00AF548B"/>
    <w:rsid w:val="00AF55E0"/>
    <w:rsid w:val="00AF5666"/>
    <w:rsid w:val="00AF5870"/>
    <w:rsid w:val="00AF6619"/>
    <w:rsid w:val="00AF6CFD"/>
    <w:rsid w:val="00AF7DC1"/>
    <w:rsid w:val="00B000AE"/>
    <w:rsid w:val="00B0040B"/>
    <w:rsid w:val="00B0067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172"/>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17CE0"/>
    <w:rsid w:val="00B20934"/>
    <w:rsid w:val="00B21736"/>
    <w:rsid w:val="00B218B1"/>
    <w:rsid w:val="00B21A33"/>
    <w:rsid w:val="00B22018"/>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2403"/>
    <w:rsid w:val="00B32CB8"/>
    <w:rsid w:val="00B333FE"/>
    <w:rsid w:val="00B3382B"/>
    <w:rsid w:val="00B35094"/>
    <w:rsid w:val="00B350F0"/>
    <w:rsid w:val="00B357AC"/>
    <w:rsid w:val="00B35992"/>
    <w:rsid w:val="00B35E4B"/>
    <w:rsid w:val="00B35FCC"/>
    <w:rsid w:val="00B36518"/>
    <w:rsid w:val="00B378CC"/>
    <w:rsid w:val="00B40DE9"/>
    <w:rsid w:val="00B41615"/>
    <w:rsid w:val="00B41FD8"/>
    <w:rsid w:val="00B420DF"/>
    <w:rsid w:val="00B428E2"/>
    <w:rsid w:val="00B42A2C"/>
    <w:rsid w:val="00B42A5C"/>
    <w:rsid w:val="00B42A98"/>
    <w:rsid w:val="00B42C64"/>
    <w:rsid w:val="00B43530"/>
    <w:rsid w:val="00B448EF"/>
    <w:rsid w:val="00B44C9E"/>
    <w:rsid w:val="00B47493"/>
    <w:rsid w:val="00B474C8"/>
    <w:rsid w:val="00B474DF"/>
    <w:rsid w:val="00B47915"/>
    <w:rsid w:val="00B50494"/>
    <w:rsid w:val="00B50ACE"/>
    <w:rsid w:val="00B50C21"/>
    <w:rsid w:val="00B50E18"/>
    <w:rsid w:val="00B513A9"/>
    <w:rsid w:val="00B51568"/>
    <w:rsid w:val="00B51610"/>
    <w:rsid w:val="00B5167B"/>
    <w:rsid w:val="00B520E3"/>
    <w:rsid w:val="00B52336"/>
    <w:rsid w:val="00B5388C"/>
    <w:rsid w:val="00B559A1"/>
    <w:rsid w:val="00B55CED"/>
    <w:rsid w:val="00B55D57"/>
    <w:rsid w:val="00B55F80"/>
    <w:rsid w:val="00B5618B"/>
    <w:rsid w:val="00B56480"/>
    <w:rsid w:val="00B565D6"/>
    <w:rsid w:val="00B576A4"/>
    <w:rsid w:val="00B57998"/>
    <w:rsid w:val="00B57CD0"/>
    <w:rsid w:val="00B57DA9"/>
    <w:rsid w:val="00B57EBE"/>
    <w:rsid w:val="00B60035"/>
    <w:rsid w:val="00B60177"/>
    <w:rsid w:val="00B60639"/>
    <w:rsid w:val="00B6308E"/>
    <w:rsid w:val="00B63D58"/>
    <w:rsid w:val="00B64E8A"/>
    <w:rsid w:val="00B65588"/>
    <w:rsid w:val="00B658D1"/>
    <w:rsid w:val="00B6600E"/>
    <w:rsid w:val="00B66064"/>
    <w:rsid w:val="00B66995"/>
    <w:rsid w:val="00B671A1"/>
    <w:rsid w:val="00B675A6"/>
    <w:rsid w:val="00B6794D"/>
    <w:rsid w:val="00B67B55"/>
    <w:rsid w:val="00B67C6C"/>
    <w:rsid w:val="00B70C61"/>
    <w:rsid w:val="00B70CEF"/>
    <w:rsid w:val="00B70E5A"/>
    <w:rsid w:val="00B7220D"/>
    <w:rsid w:val="00B749B6"/>
    <w:rsid w:val="00B7509A"/>
    <w:rsid w:val="00B7613E"/>
    <w:rsid w:val="00B766C1"/>
    <w:rsid w:val="00B76966"/>
    <w:rsid w:val="00B76B96"/>
    <w:rsid w:val="00B76EFB"/>
    <w:rsid w:val="00B77129"/>
    <w:rsid w:val="00B771BB"/>
    <w:rsid w:val="00B77C37"/>
    <w:rsid w:val="00B807BF"/>
    <w:rsid w:val="00B809B1"/>
    <w:rsid w:val="00B8206A"/>
    <w:rsid w:val="00B82543"/>
    <w:rsid w:val="00B82998"/>
    <w:rsid w:val="00B834B0"/>
    <w:rsid w:val="00B837F6"/>
    <w:rsid w:val="00B83DAE"/>
    <w:rsid w:val="00B84FB4"/>
    <w:rsid w:val="00B856A6"/>
    <w:rsid w:val="00B8756E"/>
    <w:rsid w:val="00B87DF9"/>
    <w:rsid w:val="00B91951"/>
    <w:rsid w:val="00B91A58"/>
    <w:rsid w:val="00B91B09"/>
    <w:rsid w:val="00B91EAD"/>
    <w:rsid w:val="00B920B9"/>
    <w:rsid w:val="00B930D2"/>
    <w:rsid w:val="00B937CD"/>
    <w:rsid w:val="00B938BC"/>
    <w:rsid w:val="00B93997"/>
    <w:rsid w:val="00B93C98"/>
    <w:rsid w:val="00B948F4"/>
    <w:rsid w:val="00B976BB"/>
    <w:rsid w:val="00BA01A7"/>
    <w:rsid w:val="00BA0224"/>
    <w:rsid w:val="00BA05C8"/>
    <w:rsid w:val="00BA09AA"/>
    <w:rsid w:val="00BA0AD5"/>
    <w:rsid w:val="00BA0CA0"/>
    <w:rsid w:val="00BA0E3C"/>
    <w:rsid w:val="00BA1F74"/>
    <w:rsid w:val="00BA1F76"/>
    <w:rsid w:val="00BA1FE7"/>
    <w:rsid w:val="00BA2B1D"/>
    <w:rsid w:val="00BA3D14"/>
    <w:rsid w:val="00BA3EA9"/>
    <w:rsid w:val="00BA435A"/>
    <w:rsid w:val="00BA54BA"/>
    <w:rsid w:val="00BA5603"/>
    <w:rsid w:val="00BA56D9"/>
    <w:rsid w:val="00BA609E"/>
    <w:rsid w:val="00BA6194"/>
    <w:rsid w:val="00BA77C0"/>
    <w:rsid w:val="00BA7EEE"/>
    <w:rsid w:val="00BB2008"/>
    <w:rsid w:val="00BB29DF"/>
    <w:rsid w:val="00BB2CFC"/>
    <w:rsid w:val="00BB34DC"/>
    <w:rsid w:val="00BB35D0"/>
    <w:rsid w:val="00BB3AC4"/>
    <w:rsid w:val="00BB4999"/>
    <w:rsid w:val="00BB4BCD"/>
    <w:rsid w:val="00BB56C7"/>
    <w:rsid w:val="00BB5B62"/>
    <w:rsid w:val="00BB6502"/>
    <w:rsid w:val="00BB6BCD"/>
    <w:rsid w:val="00BB70F9"/>
    <w:rsid w:val="00BB7C9B"/>
    <w:rsid w:val="00BC1527"/>
    <w:rsid w:val="00BC21BD"/>
    <w:rsid w:val="00BC2306"/>
    <w:rsid w:val="00BC2B55"/>
    <w:rsid w:val="00BC2F31"/>
    <w:rsid w:val="00BC3CAF"/>
    <w:rsid w:val="00BC4036"/>
    <w:rsid w:val="00BC4F0A"/>
    <w:rsid w:val="00BC509F"/>
    <w:rsid w:val="00BC51D2"/>
    <w:rsid w:val="00BC64BE"/>
    <w:rsid w:val="00BC7155"/>
    <w:rsid w:val="00BC7550"/>
    <w:rsid w:val="00BC788B"/>
    <w:rsid w:val="00BD0931"/>
    <w:rsid w:val="00BD0B72"/>
    <w:rsid w:val="00BD0D87"/>
    <w:rsid w:val="00BD2668"/>
    <w:rsid w:val="00BD3924"/>
    <w:rsid w:val="00BD450F"/>
    <w:rsid w:val="00BD4512"/>
    <w:rsid w:val="00BD52AA"/>
    <w:rsid w:val="00BE0F0F"/>
    <w:rsid w:val="00BE1061"/>
    <w:rsid w:val="00BE1321"/>
    <w:rsid w:val="00BE2893"/>
    <w:rsid w:val="00BE2EB4"/>
    <w:rsid w:val="00BE2F5A"/>
    <w:rsid w:val="00BE37D3"/>
    <w:rsid w:val="00BE522A"/>
    <w:rsid w:val="00BE57B5"/>
    <w:rsid w:val="00BE7A7C"/>
    <w:rsid w:val="00BF0A44"/>
    <w:rsid w:val="00BF0CEC"/>
    <w:rsid w:val="00BF1323"/>
    <w:rsid w:val="00BF186C"/>
    <w:rsid w:val="00BF1A44"/>
    <w:rsid w:val="00BF1EDF"/>
    <w:rsid w:val="00BF4D3D"/>
    <w:rsid w:val="00BF5B8C"/>
    <w:rsid w:val="00BF66B7"/>
    <w:rsid w:val="00BF6A68"/>
    <w:rsid w:val="00BF7152"/>
    <w:rsid w:val="00BF734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722"/>
    <w:rsid w:val="00C16897"/>
    <w:rsid w:val="00C200C9"/>
    <w:rsid w:val="00C21D8E"/>
    <w:rsid w:val="00C22525"/>
    <w:rsid w:val="00C22EC8"/>
    <w:rsid w:val="00C23155"/>
    <w:rsid w:val="00C238B0"/>
    <w:rsid w:val="00C23DBB"/>
    <w:rsid w:val="00C23FE1"/>
    <w:rsid w:val="00C2410D"/>
    <w:rsid w:val="00C24BAF"/>
    <w:rsid w:val="00C253BF"/>
    <w:rsid w:val="00C25F8B"/>
    <w:rsid w:val="00C2635A"/>
    <w:rsid w:val="00C265C0"/>
    <w:rsid w:val="00C26B9E"/>
    <w:rsid w:val="00C272EF"/>
    <w:rsid w:val="00C2732B"/>
    <w:rsid w:val="00C2753F"/>
    <w:rsid w:val="00C276A8"/>
    <w:rsid w:val="00C27975"/>
    <w:rsid w:val="00C300BC"/>
    <w:rsid w:val="00C3146C"/>
    <w:rsid w:val="00C318F7"/>
    <w:rsid w:val="00C319D2"/>
    <w:rsid w:val="00C31E37"/>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2D60"/>
    <w:rsid w:val="00C432E5"/>
    <w:rsid w:val="00C434C2"/>
    <w:rsid w:val="00C43940"/>
    <w:rsid w:val="00C44342"/>
    <w:rsid w:val="00C44694"/>
    <w:rsid w:val="00C44744"/>
    <w:rsid w:val="00C457C1"/>
    <w:rsid w:val="00C46625"/>
    <w:rsid w:val="00C46870"/>
    <w:rsid w:val="00C47545"/>
    <w:rsid w:val="00C47593"/>
    <w:rsid w:val="00C5044B"/>
    <w:rsid w:val="00C506BD"/>
    <w:rsid w:val="00C507F4"/>
    <w:rsid w:val="00C50E55"/>
    <w:rsid w:val="00C51426"/>
    <w:rsid w:val="00C51622"/>
    <w:rsid w:val="00C51FB3"/>
    <w:rsid w:val="00C5223C"/>
    <w:rsid w:val="00C52A35"/>
    <w:rsid w:val="00C53213"/>
    <w:rsid w:val="00C53722"/>
    <w:rsid w:val="00C53917"/>
    <w:rsid w:val="00C541DE"/>
    <w:rsid w:val="00C54C11"/>
    <w:rsid w:val="00C54C67"/>
    <w:rsid w:val="00C54CC6"/>
    <w:rsid w:val="00C54E65"/>
    <w:rsid w:val="00C56324"/>
    <w:rsid w:val="00C5653B"/>
    <w:rsid w:val="00C565A3"/>
    <w:rsid w:val="00C577F7"/>
    <w:rsid w:val="00C605BB"/>
    <w:rsid w:val="00C60667"/>
    <w:rsid w:val="00C61AB9"/>
    <w:rsid w:val="00C61F84"/>
    <w:rsid w:val="00C62FF7"/>
    <w:rsid w:val="00C63135"/>
    <w:rsid w:val="00C637DC"/>
    <w:rsid w:val="00C63EE8"/>
    <w:rsid w:val="00C6432E"/>
    <w:rsid w:val="00C654E6"/>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4E43"/>
    <w:rsid w:val="00C755E6"/>
    <w:rsid w:val="00C757B8"/>
    <w:rsid w:val="00C76906"/>
    <w:rsid w:val="00C76B7C"/>
    <w:rsid w:val="00C76CC7"/>
    <w:rsid w:val="00C76F81"/>
    <w:rsid w:val="00C776A4"/>
    <w:rsid w:val="00C800DD"/>
    <w:rsid w:val="00C80920"/>
    <w:rsid w:val="00C80B03"/>
    <w:rsid w:val="00C8204B"/>
    <w:rsid w:val="00C821A9"/>
    <w:rsid w:val="00C8243F"/>
    <w:rsid w:val="00C8289B"/>
    <w:rsid w:val="00C82D54"/>
    <w:rsid w:val="00C82F3B"/>
    <w:rsid w:val="00C837C4"/>
    <w:rsid w:val="00C83829"/>
    <w:rsid w:val="00C83EDD"/>
    <w:rsid w:val="00C83F5B"/>
    <w:rsid w:val="00C84BF1"/>
    <w:rsid w:val="00C84CA2"/>
    <w:rsid w:val="00C85A36"/>
    <w:rsid w:val="00C85CD1"/>
    <w:rsid w:val="00C86C56"/>
    <w:rsid w:val="00C8773E"/>
    <w:rsid w:val="00C90601"/>
    <w:rsid w:val="00C90D16"/>
    <w:rsid w:val="00C9116A"/>
    <w:rsid w:val="00C9265D"/>
    <w:rsid w:val="00C92824"/>
    <w:rsid w:val="00C92B6F"/>
    <w:rsid w:val="00C937BA"/>
    <w:rsid w:val="00C938F2"/>
    <w:rsid w:val="00C949FC"/>
    <w:rsid w:val="00C960CF"/>
    <w:rsid w:val="00C964A0"/>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3A65"/>
    <w:rsid w:val="00CA5AD3"/>
    <w:rsid w:val="00CA62DD"/>
    <w:rsid w:val="00CA69BA"/>
    <w:rsid w:val="00CA7DE6"/>
    <w:rsid w:val="00CB0339"/>
    <w:rsid w:val="00CB110E"/>
    <w:rsid w:val="00CB11F8"/>
    <w:rsid w:val="00CB225B"/>
    <w:rsid w:val="00CB2EF5"/>
    <w:rsid w:val="00CB33E4"/>
    <w:rsid w:val="00CB4207"/>
    <w:rsid w:val="00CB4230"/>
    <w:rsid w:val="00CB431B"/>
    <w:rsid w:val="00CB4A77"/>
    <w:rsid w:val="00CB4EA5"/>
    <w:rsid w:val="00CB557F"/>
    <w:rsid w:val="00CB592B"/>
    <w:rsid w:val="00CB5C5F"/>
    <w:rsid w:val="00CB600E"/>
    <w:rsid w:val="00CB65B8"/>
    <w:rsid w:val="00CB6655"/>
    <w:rsid w:val="00CB6CDF"/>
    <w:rsid w:val="00CB7264"/>
    <w:rsid w:val="00CB730F"/>
    <w:rsid w:val="00CB761C"/>
    <w:rsid w:val="00CB76B5"/>
    <w:rsid w:val="00CB7AD6"/>
    <w:rsid w:val="00CC0495"/>
    <w:rsid w:val="00CC110F"/>
    <w:rsid w:val="00CC11B8"/>
    <w:rsid w:val="00CC1AF9"/>
    <w:rsid w:val="00CC1C7C"/>
    <w:rsid w:val="00CC20E0"/>
    <w:rsid w:val="00CC2818"/>
    <w:rsid w:val="00CC2EFB"/>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1E88"/>
    <w:rsid w:val="00CE2298"/>
    <w:rsid w:val="00CE3064"/>
    <w:rsid w:val="00CE39E4"/>
    <w:rsid w:val="00CE4282"/>
    <w:rsid w:val="00CE47B0"/>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B16"/>
    <w:rsid w:val="00CF3D1C"/>
    <w:rsid w:val="00CF4713"/>
    <w:rsid w:val="00CF4B12"/>
    <w:rsid w:val="00CF58FE"/>
    <w:rsid w:val="00CF5EBE"/>
    <w:rsid w:val="00CF783B"/>
    <w:rsid w:val="00CF786A"/>
    <w:rsid w:val="00CF7A80"/>
    <w:rsid w:val="00CF7D97"/>
    <w:rsid w:val="00CF7EEC"/>
    <w:rsid w:val="00D001C2"/>
    <w:rsid w:val="00D00779"/>
    <w:rsid w:val="00D009D8"/>
    <w:rsid w:val="00D012E1"/>
    <w:rsid w:val="00D01318"/>
    <w:rsid w:val="00D01665"/>
    <w:rsid w:val="00D01D1E"/>
    <w:rsid w:val="00D02580"/>
    <w:rsid w:val="00D03BF7"/>
    <w:rsid w:val="00D03EE9"/>
    <w:rsid w:val="00D03F1E"/>
    <w:rsid w:val="00D0428E"/>
    <w:rsid w:val="00D04426"/>
    <w:rsid w:val="00D0482F"/>
    <w:rsid w:val="00D04A33"/>
    <w:rsid w:val="00D05892"/>
    <w:rsid w:val="00D06824"/>
    <w:rsid w:val="00D06C03"/>
    <w:rsid w:val="00D1037A"/>
    <w:rsid w:val="00D10D09"/>
    <w:rsid w:val="00D1163E"/>
    <w:rsid w:val="00D12362"/>
    <w:rsid w:val="00D128F4"/>
    <w:rsid w:val="00D12A4F"/>
    <w:rsid w:val="00D13100"/>
    <w:rsid w:val="00D14C15"/>
    <w:rsid w:val="00D15CB3"/>
    <w:rsid w:val="00D15F51"/>
    <w:rsid w:val="00D16ED5"/>
    <w:rsid w:val="00D202B1"/>
    <w:rsid w:val="00D20662"/>
    <w:rsid w:val="00D20EBD"/>
    <w:rsid w:val="00D21291"/>
    <w:rsid w:val="00D2183A"/>
    <w:rsid w:val="00D21C8A"/>
    <w:rsid w:val="00D2297E"/>
    <w:rsid w:val="00D22DE5"/>
    <w:rsid w:val="00D233BD"/>
    <w:rsid w:val="00D233D7"/>
    <w:rsid w:val="00D23CBB"/>
    <w:rsid w:val="00D2490F"/>
    <w:rsid w:val="00D25806"/>
    <w:rsid w:val="00D25E9D"/>
    <w:rsid w:val="00D25F1C"/>
    <w:rsid w:val="00D26DE6"/>
    <w:rsid w:val="00D26EE7"/>
    <w:rsid w:val="00D30718"/>
    <w:rsid w:val="00D30FC1"/>
    <w:rsid w:val="00D322FB"/>
    <w:rsid w:val="00D32475"/>
    <w:rsid w:val="00D32EF4"/>
    <w:rsid w:val="00D33F81"/>
    <w:rsid w:val="00D34850"/>
    <w:rsid w:val="00D35060"/>
    <w:rsid w:val="00D369D4"/>
    <w:rsid w:val="00D36AD7"/>
    <w:rsid w:val="00D37331"/>
    <w:rsid w:val="00D373E9"/>
    <w:rsid w:val="00D37C61"/>
    <w:rsid w:val="00D37E53"/>
    <w:rsid w:val="00D403FF"/>
    <w:rsid w:val="00D404C4"/>
    <w:rsid w:val="00D40CE9"/>
    <w:rsid w:val="00D412EB"/>
    <w:rsid w:val="00D42115"/>
    <w:rsid w:val="00D42D37"/>
    <w:rsid w:val="00D42EFD"/>
    <w:rsid w:val="00D457D1"/>
    <w:rsid w:val="00D458AA"/>
    <w:rsid w:val="00D46338"/>
    <w:rsid w:val="00D46A96"/>
    <w:rsid w:val="00D46BA2"/>
    <w:rsid w:val="00D47234"/>
    <w:rsid w:val="00D47281"/>
    <w:rsid w:val="00D47581"/>
    <w:rsid w:val="00D50295"/>
    <w:rsid w:val="00D5069A"/>
    <w:rsid w:val="00D50E43"/>
    <w:rsid w:val="00D51469"/>
    <w:rsid w:val="00D52B45"/>
    <w:rsid w:val="00D530EB"/>
    <w:rsid w:val="00D53393"/>
    <w:rsid w:val="00D535B6"/>
    <w:rsid w:val="00D55235"/>
    <w:rsid w:val="00D55390"/>
    <w:rsid w:val="00D55D78"/>
    <w:rsid w:val="00D56771"/>
    <w:rsid w:val="00D572B2"/>
    <w:rsid w:val="00D57F53"/>
    <w:rsid w:val="00D60CAB"/>
    <w:rsid w:val="00D610FD"/>
    <w:rsid w:val="00D612AF"/>
    <w:rsid w:val="00D619F3"/>
    <w:rsid w:val="00D62A5B"/>
    <w:rsid w:val="00D62B43"/>
    <w:rsid w:val="00D62ECD"/>
    <w:rsid w:val="00D63748"/>
    <w:rsid w:val="00D639F0"/>
    <w:rsid w:val="00D63C1B"/>
    <w:rsid w:val="00D63D76"/>
    <w:rsid w:val="00D64690"/>
    <w:rsid w:val="00D64BFF"/>
    <w:rsid w:val="00D64DE1"/>
    <w:rsid w:val="00D64E3F"/>
    <w:rsid w:val="00D653D0"/>
    <w:rsid w:val="00D653FF"/>
    <w:rsid w:val="00D6692A"/>
    <w:rsid w:val="00D66E55"/>
    <w:rsid w:val="00D674E9"/>
    <w:rsid w:val="00D6799A"/>
    <w:rsid w:val="00D7009C"/>
    <w:rsid w:val="00D70F17"/>
    <w:rsid w:val="00D712DA"/>
    <w:rsid w:val="00D719EF"/>
    <w:rsid w:val="00D72327"/>
    <w:rsid w:val="00D72491"/>
    <w:rsid w:val="00D727E0"/>
    <w:rsid w:val="00D7297D"/>
    <w:rsid w:val="00D72B87"/>
    <w:rsid w:val="00D72C72"/>
    <w:rsid w:val="00D74160"/>
    <w:rsid w:val="00D75D22"/>
    <w:rsid w:val="00D75DA5"/>
    <w:rsid w:val="00D76C58"/>
    <w:rsid w:val="00D76CF2"/>
    <w:rsid w:val="00D76E32"/>
    <w:rsid w:val="00D76E7C"/>
    <w:rsid w:val="00D80B40"/>
    <w:rsid w:val="00D8155B"/>
    <w:rsid w:val="00D815C4"/>
    <w:rsid w:val="00D81E79"/>
    <w:rsid w:val="00D825A5"/>
    <w:rsid w:val="00D825B7"/>
    <w:rsid w:val="00D8290E"/>
    <w:rsid w:val="00D82AD1"/>
    <w:rsid w:val="00D82E6E"/>
    <w:rsid w:val="00D83040"/>
    <w:rsid w:val="00D8323B"/>
    <w:rsid w:val="00D83489"/>
    <w:rsid w:val="00D83703"/>
    <w:rsid w:val="00D83D13"/>
    <w:rsid w:val="00D841AC"/>
    <w:rsid w:val="00D8589D"/>
    <w:rsid w:val="00D858DE"/>
    <w:rsid w:val="00D85A81"/>
    <w:rsid w:val="00D85CEC"/>
    <w:rsid w:val="00D86466"/>
    <w:rsid w:val="00D870E8"/>
    <w:rsid w:val="00D87423"/>
    <w:rsid w:val="00D87452"/>
    <w:rsid w:val="00D87485"/>
    <w:rsid w:val="00D877B1"/>
    <w:rsid w:val="00D87B0D"/>
    <w:rsid w:val="00D907CB"/>
    <w:rsid w:val="00D91891"/>
    <w:rsid w:val="00D91BF2"/>
    <w:rsid w:val="00D91C48"/>
    <w:rsid w:val="00D937E4"/>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501"/>
    <w:rsid w:val="00DA2FD5"/>
    <w:rsid w:val="00DA353E"/>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21E"/>
    <w:rsid w:val="00DB5366"/>
    <w:rsid w:val="00DB586E"/>
    <w:rsid w:val="00DB5F2A"/>
    <w:rsid w:val="00DB6A77"/>
    <w:rsid w:val="00DB6F45"/>
    <w:rsid w:val="00DB72B7"/>
    <w:rsid w:val="00DB7546"/>
    <w:rsid w:val="00DB7827"/>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4FED"/>
    <w:rsid w:val="00DC54EB"/>
    <w:rsid w:val="00DC580A"/>
    <w:rsid w:val="00DC5B50"/>
    <w:rsid w:val="00DC5C3E"/>
    <w:rsid w:val="00DC66BC"/>
    <w:rsid w:val="00DC727F"/>
    <w:rsid w:val="00DC7560"/>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CFE"/>
    <w:rsid w:val="00DE1E1E"/>
    <w:rsid w:val="00DE223E"/>
    <w:rsid w:val="00DE2951"/>
    <w:rsid w:val="00DE2D33"/>
    <w:rsid w:val="00DE34EB"/>
    <w:rsid w:val="00DE3592"/>
    <w:rsid w:val="00DE3E78"/>
    <w:rsid w:val="00DE41F8"/>
    <w:rsid w:val="00DE45AA"/>
    <w:rsid w:val="00DE4B9D"/>
    <w:rsid w:val="00DE50EA"/>
    <w:rsid w:val="00DE545C"/>
    <w:rsid w:val="00DE56A4"/>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9EB"/>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6A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289"/>
    <w:rsid w:val="00E253A3"/>
    <w:rsid w:val="00E25402"/>
    <w:rsid w:val="00E259B0"/>
    <w:rsid w:val="00E25AF8"/>
    <w:rsid w:val="00E2604C"/>
    <w:rsid w:val="00E26AEC"/>
    <w:rsid w:val="00E2757B"/>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543"/>
    <w:rsid w:val="00E42F07"/>
    <w:rsid w:val="00E4370F"/>
    <w:rsid w:val="00E4441D"/>
    <w:rsid w:val="00E45242"/>
    <w:rsid w:val="00E453AB"/>
    <w:rsid w:val="00E462E6"/>
    <w:rsid w:val="00E463A0"/>
    <w:rsid w:val="00E474DF"/>
    <w:rsid w:val="00E47839"/>
    <w:rsid w:val="00E51CDE"/>
    <w:rsid w:val="00E5210B"/>
    <w:rsid w:val="00E53197"/>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3DD3"/>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639B"/>
    <w:rsid w:val="00E770F2"/>
    <w:rsid w:val="00E77E05"/>
    <w:rsid w:val="00E77EAC"/>
    <w:rsid w:val="00E77F04"/>
    <w:rsid w:val="00E81069"/>
    <w:rsid w:val="00E817AD"/>
    <w:rsid w:val="00E817EF"/>
    <w:rsid w:val="00E8184F"/>
    <w:rsid w:val="00E828D5"/>
    <w:rsid w:val="00E82D81"/>
    <w:rsid w:val="00E83259"/>
    <w:rsid w:val="00E839BE"/>
    <w:rsid w:val="00E83CAC"/>
    <w:rsid w:val="00E84C89"/>
    <w:rsid w:val="00E85E56"/>
    <w:rsid w:val="00E860DD"/>
    <w:rsid w:val="00E8713D"/>
    <w:rsid w:val="00E87B1D"/>
    <w:rsid w:val="00E90329"/>
    <w:rsid w:val="00E910D5"/>
    <w:rsid w:val="00E9147F"/>
    <w:rsid w:val="00E922C4"/>
    <w:rsid w:val="00E943AE"/>
    <w:rsid w:val="00E947B0"/>
    <w:rsid w:val="00E94C69"/>
    <w:rsid w:val="00E95D82"/>
    <w:rsid w:val="00E95F21"/>
    <w:rsid w:val="00E96273"/>
    <w:rsid w:val="00E96E97"/>
    <w:rsid w:val="00E97D49"/>
    <w:rsid w:val="00EA0251"/>
    <w:rsid w:val="00EA1065"/>
    <w:rsid w:val="00EA1434"/>
    <w:rsid w:val="00EA3C3E"/>
    <w:rsid w:val="00EA4694"/>
    <w:rsid w:val="00EA48D3"/>
    <w:rsid w:val="00EA520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3FA1"/>
    <w:rsid w:val="00EB59F8"/>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65C4"/>
    <w:rsid w:val="00EC7808"/>
    <w:rsid w:val="00EC7BFA"/>
    <w:rsid w:val="00ED042E"/>
    <w:rsid w:val="00ED1295"/>
    <w:rsid w:val="00ED12BB"/>
    <w:rsid w:val="00ED2725"/>
    <w:rsid w:val="00ED34D1"/>
    <w:rsid w:val="00ED35CC"/>
    <w:rsid w:val="00ED367F"/>
    <w:rsid w:val="00ED4206"/>
    <w:rsid w:val="00ED58A2"/>
    <w:rsid w:val="00ED58C3"/>
    <w:rsid w:val="00ED5C71"/>
    <w:rsid w:val="00ED5EEE"/>
    <w:rsid w:val="00ED667C"/>
    <w:rsid w:val="00ED7966"/>
    <w:rsid w:val="00EE01CC"/>
    <w:rsid w:val="00EE04EE"/>
    <w:rsid w:val="00EE1760"/>
    <w:rsid w:val="00EE287D"/>
    <w:rsid w:val="00EE317B"/>
    <w:rsid w:val="00EE3B32"/>
    <w:rsid w:val="00EE3CFF"/>
    <w:rsid w:val="00EE3F39"/>
    <w:rsid w:val="00EE414C"/>
    <w:rsid w:val="00EE44FE"/>
    <w:rsid w:val="00EE4512"/>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5A5"/>
    <w:rsid w:val="00EF79CE"/>
    <w:rsid w:val="00F00152"/>
    <w:rsid w:val="00F00352"/>
    <w:rsid w:val="00F00B1B"/>
    <w:rsid w:val="00F00E37"/>
    <w:rsid w:val="00F010EE"/>
    <w:rsid w:val="00F01383"/>
    <w:rsid w:val="00F0167D"/>
    <w:rsid w:val="00F0177A"/>
    <w:rsid w:val="00F019D5"/>
    <w:rsid w:val="00F02500"/>
    <w:rsid w:val="00F02A9A"/>
    <w:rsid w:val="00F032E2"/>
    <w:rsid w:val="00F037E3"/>
    <w:rsid w:val="00F03FF2"/>
    <w:rsid w:val="00F04F9E"/>
    <w:rsid w:val="00F063A4"/>
    <w:rsid w:val="00F06A47"/>
    <w:rsid w:val="00F0717F"/>
    <w:rsid w:val="00F0747A"/>
    <w:rsid w:val="00F07849"/>
    <w:rsid w:val="00F07882"/>
    <w:rsid w:val="00F07883"/>
    <w:rsid w:val="00F10177"/>
    <w:rsid w:val="00F10D83"/>
    <w:rsid w:val="00F1196B"/>
    <w:rsid w:val="00F11A6A"/>
    <w:rsid w:val="00F120A9"/>
    <w:rsid w:val="00F126BD"/>
    <w:rsid w:val="00F13433"/>
    <w:rsid w:val="00F134FC"/>
    <w:rsid w:val="00F1350E"/>
    <w:rsid w:val="00F14419"/>
    <w:rsid w:val="00F1470E"/>
    <w:rsid w:val="00F147A5"/>
    <w:rsid w:val="00F147FB"/>
    <w:rsid w:val="00F14AA7"/>
    <w:rsid w:val="00F15884"/>
    <w:rsid w:val="00F15B8E"/>
    <w:rsid w:val="00F15C16"/>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4E3D"/>
    <w:rsid w:val="00F256AE"/>
    <w:rsid w:val="00F25773"/>
    <w:rsid w:val="00F257FA"/>
    <w:rsid w:val="00F26004"/>
    <w:rsid w:val="00F270E8"/>
    <w:rsid w:val="00F27EF5"/>
    <w:rsid w:val="00F27FDB"/>
    <w:rsid w:val="00F30251"/>
    <w:rsid w:val="00F305CC"/>
    <w:rsid w:val="00F3179A"/>
    <w:rsid w:val="00F31D54"/>
    <w:rsid w:val="00F32357"/>
    <w:rsid w:val="00F32684"/>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4A21"/>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63EF"/>
    <w:rsid w:val="00F5736B"/>
    <w:rsid w:val="00F57880"/>
    <w:rsid w:val="00F608AB"/>
    <w:rsid w:val="00F60AA0"/>
    <w:rsid w:val="00F60BE7"/>
    <w:rsid w:val="00F6159C"/>
    <w:rsid w:val="00F61714"/>
    <w:rsid w:val="00F6238F"/>
    <w:rsid w:val="00F63E59"/>
    <w:rsid w:val="00F64BE0"/>
    <w:rsid w:val="00F65B68"/>
    <w:rsid w:val="00F66DFD"/>
    <w:rsid w:val="00F67846"/>
    <w:rsid w:val="00F67B42"/>
    <w:rsid w:val="00F7001F"/>
    <w:rsid w:val="00F70B72"/>
    <w:rsid w:val="00F70DEF"/>
    <w:rsid w:val="00F70EA3"/>
    <w:rsid w:val="00F71398"/>
    <w:rsid w:val="00F718C7"/>
    <w:rsid w:val="00F7294C"/>
    <w:rsid w:val="00F72C5F"/>
    <w:rsid w:val="00F72CAD"/>
    <w:rsid w:val="00F72D52"/>
    <w:rsid w:val="00F73549"/>
    <w:rsid w:val="00F75782"/>
    <w:rsid w:val="00F75A71"/>
    <w:rsid w:val="00F773EB"/>
    <w:rsid w:val="00F80846"/>
    <w:rsid w:val="00F80C1D"/>
    <w:rsid w:val="00F81130"/>
    <w:rsid w:val="00F816F3"/>
    <w:rsid w:val="00F818F7"/>
    <w:rsid w:val="00F82E92"/>
    <w:rsid w:val="00F8325D"/>
    <w:rsid w:val="00F832A9"/>
    <w:rsid w:val="00F832B0"/>
    <w:rsid w:val="00F83307"/>
    <w:rsid w:val="00F833A5"/>
    <w:rsid w:val="00F8342D"/>
    <w:rsid w:val="00F844D3"/>
    <w:rsid w:val="00F84629"/>
    <w:rsid w:val="00F84B71"/>
    <w:rsid w:val="00F84F0E"/>
    <w:rsid w:val="00F8515D"/>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9B8"/>
    <w:rsid w:val="00FA1A68"/>
    <w:rsid w:val="00FA1B1A"/>
    <w:rsid w:val="00FA2747"/>
    <w:rsid w:val="00FA2A33"/>
    <w:rsid w:val="00FA2A78"/>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A5E"/>
    <w:rsid w:val="00FB3BC4"/>
    <w:rsid w:val="00FB3F9C"/>
    <w:rsid w:val="00FB3FDE"/>
    <w:rsid w:val="00FB4676"/>
    <w:rsid w:val="00FB5552"/>
    <w:rsid w:val="00FB5789"/>
    <w:rsid w:val="00FB5F3A"/>
    <w:rsid w:val="00FB606C"/>
    <w:rsid w:val="00FB64E5"/>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8D0"/>
    <w:rsid w:val="00FD3CC7"/>
    <w:rsid w:val="00FD4148"/>
    <w:rsid w:val="00FD4D5B"/>
    <w:rsid w:val="00FD4FFE"/>
    <w:rsid w:val="00FD6453"/>
    <w:rsid w:val="00FD67FD"/>
    <w:rsid w:val="00FD7224"/>
    <w:rsid w:val="00FD7CB2"/>
    <w:rsid w:val="00FD7D46"/>
    <w:rsid w:val="00FD7D8B"/>
    <w:rsid w:val="00FE0AF2"/>
    <w:rsid w:val="00FE1C47"/>
    <w:rsid w:val="00FE22DD"/>
    <w:rsid w:val="00FE2CFB"/>
    <w:rsid w:val="00FE3F10"/>
    <w:rsid w:val="00FE4A60"/>
    <w:rsid w:val="00FE54E0"/>
    <w:rsid w:val="00FE55F0"/>
    <w:rsid w:val="00FE6331"/>
    <w:rsid w:val="00FE685B"/>
    <w:rsid w:val="00FE6C12"/>
    <w:rsid w:val="00FE7894"/>
    <w:rsid w:val="00FF01FA"/>
    <w:rsid w:val="00FF0BB0"/>
    <w:rsid w:val="00FF110C"/>
    <w:rsid w:val="00FF21B5"/>
    <w:rsid w:val="00FF21C3"/>
    <w:rsid w:val="00FF2A11"/>
    <w:rsid w:val="00FF2AA0"/>
    <w:rsid w:val="00FF3977"/>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02CF949F"/>
    <w:rsid w:val="037B9E7B"/>
    <w:rsid w:val="03911ED5"/>
    <w:rsid w:val="050AC09F"/>
    <w:rsid w:val="071CB7DB"/>
    <w:rsid w:val="0783C56A"/>
    <w:rsid w:val="0935AB13"/>
    <w:rsid w:val="094E5959"/>
    <w:rsid w:val="09C73FDD"/>
    <w:rsid w:val="09D2AD3C"/>
    <w:rsid w:val="0A4ACA47"/>
    <w:rsid w:val="0A7B6593"/>
    <w:rsid w:val="0B2F7AB8"/>
    <w:rsid w:val="0CD942BB"/>
    <w:rsid w:val="0DD0369D"/>
    <w:rsid w:val="0F0AAF76"/>
    <w:rsid w:val="0F92269D"/>
    <w:rsid w:val="0FB082EF"/>
    <w:rsid w:val="11978458"/>
    <w:rsid w:val="11B85219"/>
    <w:rsid w:val="11BBF3C0"/>
    <w:rsid w:val="11BED681"/>
    <w:rsid w:val="1228DE59"/>
    <w:rsid w:val="130F5729"/>
    <w:rsid w:val="146D317E"/>
    <w:rsid w:val="14712242"/>
    <w:rsid w:val="14C3A201"/>
    <w:rsid w:val="15CFC308"/>
    <w:rsid w:val="16DE3F62"/>
    <w:rsid w:val="1A97A52B"/>
    <w:rsid w:val="1CAE61EA"/>
    <w:rsid w:val="20AE78F4"/>
    <w:rsid w:val="217F9DA9"/>
    <w:rsid w:val="21B3703A"/>
    <w:rsid w:val="2436830E"/>
    <w:rsid w:val="25E68D5B"/>
    <w:rsid w:val="275171C0"/>
    <w:rsid w:val="27BCC2BE"/>
    <w:rsid w:val="28356C3E"/>
    <w:rsid w:val="28B401F6"/>
    <w:rsid w:val="28D5C1BE"/>
    <w:rsid w:val="2A1DE801"/>
    <w:rsid w:val="2A5F7339"/>
    <w:rsid w:val="2AF0AABD"/>
    <w:rsid w:val="2D9C9F0B"/>
    <w:rsid w:val="2E154098"/>
    <w:rsid w:val="2F5DEA7C"/>
    <w:rsid w:val="30E0E85F"/>
    <w:rsid w:val="318014BA"/>
    <w:rsid w:val="31D25B84"/>
    <w:rsid w:val="32FD13BB"/>
    <w:rsid w:val="349316DA"/>
    <w:rsid w:val="35365517"/>
    <w:rsid w:val="37F2790C"/>
    <w:rsid w:val="3976C5C7"/>
    <w:rsid w:val="3A125505"/>
    <w:rsid w:val="3A7D0CD5"/>
    <w:rsid w:val="3BD3B805"/>
    <w:rsid w:val="3C547F45"/>
    <w:rsid w:val="3C5A2B35"/>
    <w:rsid w:val="3E3C9CA3"/>
    <w:rsid w:val="3E9067F3"/>
    <w:rsid w:val="3EE392FB"/>
    <w:rsid w:val="40267EAC"/>
    <w:rsid w:val="469AA727"/>
    <w:rsid w:val="48AD03CB"/>
    <w:rsid w:val="49840553"/>
    <w:rsid w:val="4ABFB34F"/>
    <w:rsid w:val="4D30F38A"/>
    <w:rsid w:val="4D3296AF"/>
    <w:rsid w:val="50D373B4"/>
    <w:rsid w:val="51E677D5"/>
    <w:rsid w:val="53BA30AE"/>
    <w:rsid w:val="543991C2"/>
    <w:rsid w:val="573B2AB3"/>
    <w:rsid w:val="57835F6F"/>
    <w:rsid w:val="57A5F14F"/>
    <w:rsid w:val="580175AE"/>
    <w:rsid w:val="5A193151"/>
    <w:rsid w:val="5A79CDD6"/>
    <w:rsid w:val="5CBC9D91"/>
    <w:rsid w:val="5F271558"/>
    <w:rsid w:val="626B5E98"/>
    <w:rsid w:val="63C8FFC5"/>
    <w:rsid w:val="6464CC33"/>
    <w:rsid w:val="65171C6E"/>
    <w:rsid w:val="6731E774"/>
    <w:rsid w:val="679D9011"/>
    <w:rsid w:val="691075F6"/>
    <w:rsid w:val="69DC76C1"/>
    <w:rsid w:val="6A95227B"/>
    <w:rsid w:val="6B273AA9"/>
    <w:rsid w:val="6CCF3B0E"/>
    <w:rsid w:val="6D25D72D"/>
    <w:rsid w:val="6D26B9A0"/>
    <w:rsid w:val="6D40DFDB"/>
    <w:rsid w:val="6DAB383F"/>
    <w:rsid w:val="6E2BDE09"/>
    <w:rsid w:val="6F5DB097"/>
    <w:rsid w:val="71DF9933"/>
    <w:rsid w:val="71FFF277"/>
    <w:rsid w:val="7229EA2D"/>
    <w:rsid w:val="7394F82E"/>
    <w:rsid w:val="741953C5"/>
    <w:rsid w:val="741F388D"/>
    <w:rsid w:val="7447A775"/>
    <w:rsid w:val="75D00216"/>
    <w:rsid w:val="76BAC1E5"/>
    <w:rsid w:val="7855D343"/>
    <w:rsid w:val="78AB1347"/>
    <w:rsid w:val="79EBB37E"/>
    <w:rsid w:val="7AB194FD"/>
    <w:rsid w:val="7ADF2EA3"/>
    <w:rsid w:val="7B965D58"/>
    <w:rsid w:val="7C07F25E"/>
    <w:rsid w:val="7D5306F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5AF447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D2490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uiPriority w:val="1"/>
    <w:qFormat/>
    <w:rsid w:val="008B68EC"/>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uiPriority w:val="1"/>
    <w:qFormat/>
    <w:rsid w:val="00B51610"/>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uiPriority w:val="1"/>
    <w:qFormat/>
    <w:rsid w:val="008B68EC"/>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uiPriority w:val="1"/>
    <w:qFormat/>
    <w:rsid w:val="00B51610"/>
    <w:pPr>
      <w:outlineLvl w:val="3"/>
    </w:pPr>
    <w:rPr>
      <w:color w:val="0F7B7D"/>
      <w:sz w:val="24"/>
    </w:rPr>
  </w:style>
  <w:style w:type="paragraph" w:styleId="Heading5">
    <w:name w:val="heading 5"/>
    <w:basedOn w:val="Normal"/>
    <w:next w:val="BodyText"/>
    <w:link w:val="Heading5Char"/>
    <w:uiPriority w:val="1"/>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uiPriority w:val="9"/>
    <w:semiHidden/>
    <w:qFormat/>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uiPriority w:val="9"/>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uiPriority w:val="9"/>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uiPriority w:val="9"/>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6AD0"/>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uiPriority w:val="1"/>
    <w:rsid w:val="009A6AD0"/>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uiPriority w:val="1"/>
    <w:rsid w:val="009A6AD0"/>
    <w:rPr>
      <w:rFonts w:ascii="Calibri" w:eastAsiaTheme="majorEastAsia" w:hAnsi="Calibri" w:cstheme="majorBidi"/>
      <w:b/>
      <w:bCs/>
      <w:sz w:val="28"/>
      <w:lang w:eastAsia="en-NZ"/>
    </w:rPr>
  </w:style>
  <w:style w:type="character" w:customStyle="1" w:styleId="Heading4Char">
    <w:name w:val="Heading 4 Char"/>
    <w:basedOn w:val="DefaultParagraphFont"/>
    <w:link w:val="Heading4"/>
    <w:uiPriority w:val="1"/>
    <w:rsid w:val="009A6AD0"/>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uiPriority w:val="1"/>
    <w:rsid w:val="009A6AD0"/>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3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29"/>
    <w:semiHidden/>
    <w:qFormat/>
    <w:rsid w:val="00684D9B"/>
    <w:pPr>
      <w:spacing w:before="60" w:after="60"/>
      <w:ind w:left="567" w:right="567"/>
      <w:jc w:val="left"/>
    </w:pPr>
    <w:rPr>
      <w:sz w:val="20"/>
    </w:rPr>
  </w:style>
  <w:style w:type="character" w:customStyle="1" w:styleId="QuoteChar">
    <w:name w:val="Quote Char"/>
    <w:basedOn w:val="DefaultParagraphFont"/>
    <w:link w:val="Quote"/>
    <w:uiPriority w:val="29"/>
    <w:semiHidden/>
    <w:rsid w:val="00314FF1"/>
    <w:rPr>
      <w:rFonts w:ascii="Calibri" w:eastAsiaTheme="minorEastAsia" w:hAnsi="Calibri"/>
      <w:sz w:val="20"/>
      <w:lang w:eastAsia="en-NZ"/>
    </w:rPr>
  </w:style>
  <w:style w:type="paragraph" w:customStyle="1" w:styleId="Box">
    <w:name w:val="Box"/>
    <w:basedOn w:val="Normal"/>
    <w:uiPriority w:val="4"/>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4"/>
    <w:semiHidden/>
    <w:qFormat/>
    <w:rsid w:val="00A56D3B"/>
    <w:pPr>
      <w:tabs>
        <w:tab w:val="left" w:pos="680"/>
      </w:tabs>
      <w:spacing w:before="0"/>
      <w:ind w:left="681" w:hanging="397"/>
    </w:pPr>
  </w:style>
  <w:style w:type="paragraph" w:customStyle="1" w:styleId="Boxheading">
    <w:name w:val="Box heading"/>
    <w:basedOn w:val="Box"/>
    <w:next w:val="Box"/>
    <w:uiPriority w:val="4"/>
    <w:semiHidden/>
    <w:qFormat/>
    <w:rsid w:val="001820A3"/>
    <w:pPr>
      <w:keepNext/>
      <w:spacing w:after="0"/>
    </w:pPr>
    <w:rPr>
      <w:b/>
    </w:rPr>
  </w:style>
  <w:style w:type="paragraph" w:customStyle="1" w:styleId="Bullet">
    <w:name w:val="Bullet"/>
    <w:basedOn w:val="Normal"/>
    <w:link w:val="BulletChar"/>
    <w:qFormat/>
    <w:rsid w:val="003C170C"/>
    <w:pPr>
      <w:numPr>
        <w:numId w:val="14"/>
      </w:numPr>
      <w:spacing w:before="0" w:line="280" w:lineRule="exact"/>
      <w:jc w:val="left"/>
    </w:pPr>
    <w:rPr>
      <w:rFonts w:eastAsia="Times New Roman" w:cs="Times New Roman"/>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201686"/>
    <w:pPr>
      <w:spacing w:line="260" w:lineRule="atLeast"/>
    </w:pPr>
    <w:rPr>
      <w:sz w:val="18"/>
      <w:lang w:val="en-US" w:eastAsia="en-US" w:bidi="hi-IN"/>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10"/>
    <w:semiHidden/>
    <w:qFormat/>
    <w:rsid w:val="00624018"/>
    <w:pPr>
      <w:spacing w:line="360" w:lineRule="auto"/>
      <w:jc w:val="center"/>
    </w:pPr>
    <w:rPr>
      <w:b/>
      <w:color w:val="17556C"/>
      <w:sz w:val="52"/>
    </w:rPr>
  </w:style>
  <w:style w:type="character" w:customStyle="1" w:styleId="TitleChar">
    <w:name w:val="Title Char"/>
    <w:basedOn w:val="DefaultParagraphFont"/>
    <w:link w:val="Title"/>
    <w:uiPriority w:val="10"/>
    <w:semiHidden/>
    <w:rsid w:val="00314FF1"/>
    <w:rPr>
      <w:rFonts w:ascii="Calibri" w:eastAsiaTheme="minorEastAsia" w:hAnsi="Calibri"/>
      <w:b/>
      <w:color w:val="17556C"/>
      <w:sz w:val="52"/>
      <w:lang w:eastAsia="en-NZ"/>
    </w:rPr>
  </w:style>
  <w:style w:type="paragraph" w:styleId="Subtitle">
    <w:name w:val="Subtitle"/>
    <w:basedOn w:val="Title"/>
    <w:link w:val="SubtitleChar"/>
    <w:uiPriority w:val="11"/>
    <w:semiHidden/>
    <w:qFormat/>
    <w:rsid w:val="00D94120"/>
    <w:pPr>
      <w:spacing w:before="600" w:line="240" w:lineRule="auto"/>
    </w:pPr>
    <w:rPr>
      <w:sz w:val="36"/>
      <w:szCs w:val="36"/>
    </w:rPr>
  </w:style>
  <w:style w:type="character" w:customStyle="1" w:styleId="SubtitleChar">
    <w:name w:val="Subtitle Char"/>
    <w:basedOn w:val="DefaultParagraphFont"/>
    <w:link w:val="Subtitle"/>
    <w:uiPriority w:val="11"/>
    <w:semiHidden/>
    <w:rsid w:val="00314FF1"/>
    <w:rPr>
      <w:rFonts w:ascii="Calibri" w:eastAsiaTheme="minorEastAsia" w:hAnsi="Calibri"/>
      <w:b/>
      <w:color w:val="17556C"/>
      <w:sz w:val="36"/>
      <w:szCs w:val="36"/>
      <w:lang w:eastAsia="en-NZ"/>
    </w:rPr>
  </w:style>
  <w:style w:type="paragraph" w:customStyle="1" w:styleId="Tableheading">
    <w:name w:val="Table heading"/>
    <w:basedOn w:val="Normal"/>
    <w:next w:val="Normal"/>
    <w:uiPriority w:val="2"/>
    <w:qFormat/>
    <w:rsid w:val="00EA64B4"/>
    <w:pPr>
      <w:keepNext/>
      <w:ind w:left="1134" w:hanging="1134"/>
      <w:jc w:val="left"/>
    </w:pPr>
    <w:rPr>
      <w:b/>
      <w:sz w:val="20"/>
    </w:rPr>
  </w:style>
  <w:style w:type="paragraph" w:customStyle="1" w:styleId="TableText">
    <w:name w:val="TableText"/>
    <w:basedOn w:val="Normal"/>
    <w:uiPriority w:val="2"/>
    <w:qFormat/>
    <w:rsid w:val="00EA64B4"/>
    <w:pPr>
      <w:spacing w:before="60" w:after="60" w:line="240" w:lineRule="atLeast"/>
      <w:jc w:val="left"/>
    </w:pPr>
    <w:rPr>
      <w:sz w:val="18"/>
    </w:rPr>
  </w:style>
  <w:style w:type="paragraph" w:customStyle="1" w:styleId="TableTextbold">
    <w:name w:val="TableText bold"/>
    <w:basedOn w:val="TableText"/>
    <w:uiPriority w:val="2"/>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D37331"/>
    <w:pPr>
      <w:tabs>
        <w:tab w:val="right" w:pos="8505"/>
      </w:tabs>
      <w:spacing w:after="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4"/>
    <w:semiHidden/>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ind w:left="397" w:hanging="397"/>
      <w:jc w:val="left"/>
    </w:pPr>
  </w:style>
  <w:style w:type="paragraph" w:customStyle="1" w:styleId="Sub-lista">
    <w:name w:val="Sub-list a"/>
    <w:aliases w:val="b"/>
    <w:basedOn w:val="Normal"/>
    <w:uiPriority w:val="2"/>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uiPriority w:val="39"/>
    <w:semiHidden/>
    <w:rsid w:val="00EA64B4"/>
    <w:pPr>
      <w:ind w:left="440"/>
    </w:pPr>
  </w:style>
  <w:style w:type="paragraph" w:styleId="TableofFigures">
    <w:name w:val="table of figures"/>
    <w:basedOn w:val="Normal"/>
    <w:next w:val="Normal"/>
    <w:uiPriority w:val="99"/>
    <w:rsid w:val="000F629F"/>
    <w:pPr>
      <w:tabs>
        <w:tab w:val="right" w:pos="8494"/>
      </w:tabs>
      <w:spacing w:before="0"/>
      <w:ind w:left="1134" w:right="567" w:hanging="1134"/>
      <w:jc w:val="left"/>
    </w:pPr>
    <w:rPr>
      <w:noProof/>
    </w:r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uiPriority w:val="2"/>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uiPriority w:val="2"/>
    <w:qFormat/>
    <w:rsid w:val="005E3BCD"/>
    <w:pPr>
      <w:numPr>
        <w:numId w:val="8"/>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uiPriority w:val="99"/>
    <w:semiHidden/>
    <w:unhideWhenUsed/>
    <w:rsid w:val="00EA64B4"/>
    <w:rPr>
      <w:rFonts w:ascii="Tahoma" w:hAnsi="Tahoma"/>
      <w:sz w:val="16"/>
      <w:szCs w:val="16"/>
    </w:rPr>
  </w:style>
  <w:style w:type="character" w:customStyle="1" w:styleId="BalloonTextChar">
    <w:name w:val="Balloon Text Char"/>
    <w:basedOn w:val="DefaultParagraphFont"/>
    <w:link w:val="BalloonText"/>
    <w:uiPriority w:val="99"/>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uiPriority w:val="9"/>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uiPriority w:val="9"/>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uiPriority w:val="9"/>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uiPriority w:val="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3C170C"/>
    <w:rPr>
      <w:rFonts w:ascii="Calibri" w:eastAsia="Times New Roman" w:hAnsi="Calibri" w:cs="Times New Roman"/>
      <w:szCs w:val="20"/>
      <w:lang w:eastAsia="en-NZ"/>
    </w:rPr>
  </w:style>
  <w:style w:type="paragraph" w:customStyle="1" w:styleId="Casestudyheading">
    <w:name w:val="Case study heading"/>
    <w:basedOn w:val="BodyText"/>
    <w:uiPriority w:val="4"/>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4"/>
    <w:semiHidden/>
    <w:rsid w:val="00C15722"/>
    <w:pPr>
      <w:numPr>
        <w:numId w:val="12"/>
      </w:numPr>
      <w:spacing w:before="0"/>
      <w:ind w:left="681" w:hanging="397"/>
    </w:pPr>
  </w:style>
  <w:style w:type="paragraph" w:customStyle="1" w:styleId="Greentext-casestudytables">
    <w:name w:val="Green text - case study tables"/>
    <w:basedOn w:val="BodyText"/>
    <w:uiPriority w:val="4"/>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4"/>
    <w:semiHidden/>
    <w:rsid w:val="0051754D"/>
    <w:pPr>
      <w:keepNext/>
      <w:spacing w:before="240" w:after="0"/>
    </w:pPr>
    <w:rPr>
      <w:rFonts w:eastAsia="Times New Roman"/>
      <w:b/>
    </w:rPr>
  </w:style>
  <w:style w:type="numbering" w:customStyle="1" w:styleId="Style3">
    <w:name w:val="Style3"/>
    <w:uiPriority w:val="99"/>
    <w:rsid w:val="008B5A2D"/>
    <w:pPr>
      <w:numPr>
        <w:numId w:val="13"/>
      </w:numPr>
    </w:pPr>
  </w:style>
  <w:style w:type="paragraph" w:customStyle="1" w:styleId="Blueboxtext">
    <w:name w:val="Blue box text"/>
    <w:basedOn w:val="Normal"/>
    <w:uiPriority w:val="4"/>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4"/>
    <w:semiHidden/>
    <w:qFormat/>
    <w:rsid w:val="005D3242"/>
    <w:pPr>
      <w:numPr>
        <w:numId w:val="2"/>
      </w:num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4"/>
    <w:semiHidden/>
    <w:qFormat/>
    <w:rsid w:val="007823D6"/>
    <w:pPr>
      <w:keepNext/>
      <w:spacing w:before="240" w:after="0"/>
    </w:pPr>
    <w:rPr>
      <w:rFonts w:cs="Times New Roman"/>
      <w:b/>
      <w:szCs w:val="20"/>
    </w:rPr>
  </w:style>
  <w:style w:type="paragraph" w:customStyle="1" w:styleId="Blue-boxsub-bullet">
    <w:name w:val="Blue-box sub-bullet"/>
    <w:basedOn w:val="Blueboxtext"/>
    <w:uiPriority w:val="4"/>
    <w:semiHidden/>
    <w:qFormat/>
    <w:rsid w:val="007823D6"/>
    <w:pPr>
      <w:numPr>
        <w:numId w:val="15"/>
      </w:numPr>
      <w:spacing w:before="0"/>
    </w:pPr>
    <w:rPr>
      <w:rFonts w:cs="Times New Roman"/>
      <w:szCs w:val="20"/>
    </w:rPr>
  </w:style>
  <w:style w:type="paragraph" w:customStyle="1" w:styleId="Greensub-bullet-casestudytables">
    <w:name w:val="Green sub-bullet - case study tables"/>
    <w:basedOn w:val="Greentext-casestudytables"/>
    <w:uiPriority w:val="4"/>
    <w:semiHidden/>
    <w:qFormat/>
    <w:rsid w:val="00C15722"/>
    <w:pPr>
      <w:numPr>
        <w:numId w:val="16"/>
      </w:numPr>
      <w:spacing w:before="0"/>
      <w:ind w:left="1077" w:hanging="397"/>
    </w:pPr>
  </w:style>
  <w:style w:type="paragraph" w:styleId="CommentText">
    <w:name w:val="annotation text"/>
    <w:basedOn w:val="Normal"/>
    <w:link w:val="CommentTextChar"/>
    <w:uiPriority w:val="99"/>
    <w:semiHidden/>
    <w:rsid w:val="00665F75"/>
    <w:pPr>
      <w:spacing w:line="240" w:lineRule="auto"/>
    </w:pPr>
    <w:rPr>
      <w:sz w:val="20"/>
      <w:szCs w:val="20"/>
    </w:rPr>
  </w:style>
  <w:style w:type="character" w:customStyle="1" w:styleId="CommentTextChar">
    <w:name w:val="Comment Text Char"/>
    <w:basedOn w:val="DefaultParagraphFont"/>
    <w:link w:val="CommentText"/>
    <w:uiPriority w:val="99"/>
    <w:semiHidden/>
    <w:rsid w:val="00665F75"/>
    <w:rPr>
      <w:rFonts w:ascii="Calibri" w:eastAsiaTheme="minorEastAsia" w:hAnsi="Calibri"/>
      <w:sz w:val="20"/>
      <w:szCs w:val="20"/>
      <w:lang w:eastAsia="en-NZ"/>
    </w:rPr>
  </w:style>
  <w:style w:type="character" w:styleId="Emphasis">
    <w:name w:val="Emphasis"/>
    <w:basedOn w:val="DefaultParagraphFont"/>
    <w:uiPriority w:val="20"/>
    <w:semiHidden/>
    <w:qFormat/>
    <w:rsid w:val="0078509A"/>
    <w:rPr>
      <w:b/>
      <w:i/>
      <w:spacing w:val="10"/>
      <w:shd w:val="clear" w:color="auto" w:fill="auto"/>
    </w:rPr>
  </w:style>
  <w:style w:type="paragraph" w:styleId="NoSpacing">
    <w:name w:val="No Spacing"/>
    <w:basedOn w:val="Normal"/>
    <w:link w:val="NoSpacingChar"/>
    <w:uiPriority w:val="1"/>
    <w:semiHidden/>
    <w:qFormat/>
    <w:rsid w:val="0078509A"/>
    <w:pPr>
      <w:spacing w:before="0" w:after="0" w:line="240" w:lineRule="auto"/>
      <w:jc w:val="left"/>
    </w:pPr>
    <w:rPr>
      <w:rFonts w:asciiTheme="minorHAnsi" w:hAnsiTheme="minorHAnsi" w:cs="Times New Roman"/>
      <w:lang w:val="en-US" w:eastAsia="en-US"/>
    </w:rPr>
  </w:style>
  <w:style w:type="paragraph" w:styleId="IntenseQuote">
    <w:name w:val="Intense Quote"/>
    <w:basedOn w:val="Normal"/>
    <w:next w:val="Normal"/>
    <w:link w:val="IntenseQuoteChar"/>
    <w:uiPriority w:val="30"/>
    <w:semiHidden/>
    <w:qFormat/>
    <w:rsid w:val="0078509A"/>
    <w:pPr>
      <w:pBdr>
        <w:bottom w:val="single" w:sz="4" w:space="1" w:color="auto"/>
      </w:pBdr>
      <w:spacing w:before="200" w:after="280" w:line="276" w:lineRule="auto"/>
      <w:ind w:left="1008" w:right="1152"/>
    </w:pPr>
    <w:rPr>
      <w:rFonts w:asciiTheme="minorHAnsi" w:hAnsiTheme="minorHAnsi" w:cs="Times New Roman"/>
      <w:b/>
      <w:bCs/>
      <w:i/>
      <w:iCs/>
      <w:lang w:val="en-US" w:eastAsia="en-US"/>
    </w:rPr>
  </w:style>
  <w:style w:type="character" w:customStyle="1" w:styleId="IntenseQuoteChar">
    <w:name w:val="Intense Quote Char"/>
    <w:basedOn w:val="DefaultParagraphFont"/>
    <w:link w:val="IntenseQuote"/>
    <w:uiPriority w:val="30"/>
    <w:semiHidden/>
    <w:rsid w:val="009A6AD0"/>
    <w:rPr>
      <w:rFonts w:eastAsiaTheme="minorEastAsia" w:cs="Times New Roman"/>
      <w:b/>
      <w:bCs/>
      <w:i/>
      <w:iCs/>
      <w:lang w:val="en-US"/>
    </w:rPr>
  </w:style>
  <w:style w:type="character" w:styleId="SubtleEmphasis">
    <w:name w:val="Subtle Emphasis"/>
    <w:basedOn w:val="DefaultParagraphFont"/>
    <w:uiPriority w:val="19"/>
    <w:semiHidden/>
    <w:qFormat/>
    <w:rsid w:val="0078509A"/>
    <w:rPr>
      <w:i/>
    </w:rPr>
  </w:style>
  <w:style w:type="character" w:styleId="IntenseEmphasis">
    <w:name w:val="Intense Emphasis"/>
    <w:basedOn w:val="DefaultParagraphFont"/>
    <w:uiPriority w:val="21"/>
    <w:semiHidden/>
    <w:qFormat/>
    <w:rsid w:val="0078509A"/>
    <w:rPr>
      <w:b/>
    </w:rPr>
  </w:style>
  <w:style w:type="character" w:styleId="SubtleReference">
    <w:name w:val="Subtle Reference"/>
    <w:basedOn w:val="DefaultParagraphFont"/>
    <w:uiPriority w:val="31"/>
    <w:semiHidden/>
    <w:qFormat/>
    <w:rsid w:val="0078509A"/>
    <w:rPr>
      <w:smallCaps/>
    </w:rPr>
  </w:style>
  <w:style w:type="character" w:styleId="IntenseReference">
    <w:name w:val="Intense Reference"/>
    <w:basedOn w:val="DefaultParagraphFont"/>
    <w:uiPriority w:val="32"/>
    <w:semiHidden/>
    <w:qFormat/>
    <w:rsid w:val="0078509A"/>
    <w:rPr>
      <w:smallCaps/>
      <w:spacing w:val="5"/>
      <w:u w:val="single"/>
    </w:rPr>
  </w:style>
  <w:style w:type="character" w:styleId="BookTitle">
    <w:name w:val="Book Title"/>
    <w:basedOn w:val="DefaultParagraphFont"/>
    <w:uiPriority w:val="33"/>
    <w:semiHidden/>
    <w:qFormat/>
    <w:rsid w:val="0078509A"/>
    <w:rPr>
      <w:i/>
      <w:smallCaps/>
      <w:spacing w:val="5"/>
    </w:rPr>
  </w:style>
  <w:style w:type="paragraph" w:styleId="TOCHeading">
    <w:name w:val="TOC Heading"/>
    <w:basedOn w:val="Heading1"/>
    <w:next w:val="Normal"/>
    <w:uiPriority w:val="39"/>
    <w:unhideWhenUsed/>
    <w:qFormat/>
    <w:rsid w:val="0078509A"/>
    <w:pPr>
      <w:keepNext w:val="0"/>
      <w:tabs>
        <w:tab w:val="clear" w:pos="851"/>
      </w:tabs>
      <w:spacing w:before="480" w:after="0" w:line="276" w:lineRule="auto"/>
      <w:contextualSpacing/>
      <w:outlineLvl w:val="9"/>
    </w:pPr>
    <w:rPr>
      <w:rFonts w:asciiTheme="majorHAnsi" w:hAnsiTheme="majorHAnsi" w:cs="Times New Roman"/>
      <w:color w:val="auto"/>
      <w:sz w:val="28"/>
      <w:lang w:val="en-US" w:eastAsia="en-US"/>
    </w:rPr>
  </w:style>
  <w:style w:type="character" w:customStyle="1" w:styleId="NoSpacingChar">
    <w:name w:val="No Spacing Char"/>
    <w:basedOn w:val="DefaultParagraphFont"/>
    <w:link w:val="NoSpacing"/>
    <w:uiPriority w:val="1"/>
    <w:semiHidden/>
    <w:locked/>
    <w:rsid w:val="009A6AD0"/>
    <w:rPr>
      <w:rFonts w:eastAsiaTheme="minorEastAsia" w:cs="Times New Roman"/>
      <w:lang w:val="en-US"/>
    </w:rPr>
  </w:style>
  <w:style w:type="paragraph" w:styleId="Bibliography">
    <w:name w:val="Bibliography"/>
    <w:basedOn w:val="Normal"/>
    <w:next w:val="Normal"/>
    <w:uiPriority w:val="37"/>
    <w:semiHidden/>
    <w:rsid w:val="0078509A"/>
    <w:pPr>
      <w:spacing w:before="0" w:after="240" w:line="240" w:lineRule="auto"/>
      <w:ind w:left="720" w:hanging="720"/>
      <w:jc w:val="left"/>
    </w:pPr>
    <w:rPr>
      <w:rFonts w:asciiTheme="minorHAnsi" w:hAnsiTheme="minorHAnsi" w:cs="Times New Roman"/>
      <w:lang w:val="en-US" w:eastAsia="en-US"/>
    </w:rPr>
  </w:style>
  <w:style w:type="numbering" w:customStyle="1" w:styleId="NoList1">
    <w:name w:val="No List1"/>
    <w:next w:val="NoList"/>
    <w:uiPriority w:val="99"/>
    <w:semiHidden/>
    <w:unhideWhenUsed/>
    <w:rsid w:val="0078509A"/>
  </w:style>
  <w:style w:type="table" w:customStyle="1" w:styleId="TableGrid1">
    <w:name w:val="Table Grid1"/>
    <w:basedOn w:val="TableNormal"/>
    <w:next w:val="TableGrid"/>
    <w:uiPriority w:val="59"/>
    <w:rsid w:val="0078509A"/>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7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B7636"/>
    <w:pPr>
      <w:spacing w:after="0" w:line="240" w:lineRule="auto"/>
    </w:pPr>
    <w:rPr>
      <w:rFonts w:ascii="Calibri" w:eastAsia="SimSun" w:hAnsi="Calibri" w:cs="Arial"/>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398E"/>
    <w:rPr>
      <w:color w:val="605E5C"/>
      <w:shd w:val="clear" w:color="auto" w:fill="E1DFDD"/>
    </w:rPr>
  </w:style>
  <w:style w:type="paragraph" w:customStyle="1" w:styleId="Subclause1">
    <w:name w:val="Subclause (1)"/>
    <w:aliases w:val="(2)"/>
    <w:basedOn w:val="Subclauselista"/>
    <w:uiPriority w:val="2"/>
    <w:qFormat/>
    <w:rsid w:val="00713E03"/>
    <w:pPr>
      <w:numPr>
        <w:ilvl w:val="0"/>
        <w:numId w:val="42"/>
      </w:numPr>
      <w:spacing w:before="120"/>
    </w:pPr>
  </w:style>
  <w:style w:type="paragraph" w:customStyle="1" w:styleId="Subclauselista">
    <w:name w:val="Subclause list (a)"/>
    <w:basedOn w:val="Normal"/>
    <w:uiPriority w:val="2"/>
    <w:qFormat/>
    <w:rsid w:val="00713E03"/>
    <w:pPr>
      <w:numPr>
        <w:ilvl w:val="4"/>
        <w:numId w:val="40"/>
      </w:numPr>
      <w:spacing w:before="0"/>
      <w:jc w:val="left"/>
    </w:pPr>
    <w:rPr>
      <w:lang w:eastAsia="en-US"/>
    </w:rPr>
  </w:style>
  <w:style w:type="paragraph" w:customStyle="1" w:styleId="Subclauselisti">
    <w:name w:val="Subclause list (i)"/>
    <w:aliases w:val="(ii)"/>
    <w:basedOn w:val="BodyText"/>
    <w:uiPriority w:val="2"/>
    <w:qFormat/>
    <w:rsid w:val="00713E03"/>
    <w:pPr>
      <w:numPr>
        <w:ilvl w:val="5"/>
        <w:numId w:val="39"/>
      </w:numPr>
      <w:spacing w:before="0"/>
    </w:pPr>
    <w:rPr>
      <w:lang w:eastAsia="en-US"/>
    </w:rPr>
  </w:style>
  <w:style w:type="character" w:customStyle="1" w:styleId="UnresolvedMention">
    <w:name w:val="Unresolved Mention"/>
    <w:basedOn w:val="DefaultParagraphFont"/>
    <w:uiPriority w:val="99"/>
    <w:semiHidden/>
    <w:unhideWhenUsed/>
    <w:rsid w:val="00AC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4174">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459149375">
      <w:bodyDiv w:val="1"/>
      <w:marLeft w:val="0"/>
      <w:marRight w:val="0"/>
      <w:marTop w:val="0"/>
      <w:marBottom w:val="0"/>
      <w:divBdr>
        <w:top w:val="none" w:sz="0" w:space="0" w:color="auto"/>
        <w:left w:val="none" w:sz="0" w:space="0" w:color="auto"/>
        <w:bottom w:val="none" w:sz="0" w:space="0" w:color="auto"/>
        <w:right w:val="none" w:sz="0" w:space="0" w:color="auto"/>
      </w:divBdr>
    </w:div>
    <w:div w:id="939415675">
      <w:bodyDiv w:val="1"/>
      <w:marLeft w:val="0"/>
      <w:marRight w:val="0"/>
      <w:marTop w:val="0"/>
      <w:marBottom w:val="0"/>
      <w:divBdr>
        <w:top w:val="none" w:sz="0" w:space="0" w:color="auto"/>
        <w:left w:val="none" w:sz="0" w:space="0" w:color="auto"/>
        <w:bottom w:val="none" w:sz="0" w:space="0" w:color="auto"/>
        <w:right w:val="none" w:sz="0" w:space="0" w:color="auto"/>
      </w:divBdr>
    </w:div>
    <w:div w:id="951519907">
      <w:bodyDiv w:val="1"/>
      <w:marLeft w:val="0"/>
      <w:marRight w:val="0"/>
      <w:marTop w:val="0"/>
      <w:marBottom w:val="0"/>
      <w:divBdr>
        <w:top w:val="none" w:sz="0" w:space="0" w:color="auto"/>
        <w:left w:val="none" w:sz="0" w:space="0" w:color="auto"/>
        <w:bottom w:val="none" w:sz="0" w:space="0" w:color="auto"/>
        <w:right w:val="none" w:sz="0" w:space="0" w:color="auto"/>
      </w:divBdr>
    </w:div>
    <w:div w:id="1104763384">
      <w:bodyDiv w:val="1"/>
      <w:marLeft w:val="0"/>
      <w:marRight w:val="0"/>
      <w:marTop w:val="0"/>
      <w:marBottom w:val="0"/>
      <w:divBdr>
        <w:top w:val="none" w:sz="0" w:space="0" w:color="auto"/>
        <w:left w:val="none" w:sz="0" w:space="0" w:color="auto"/>
        <w:bottom w:val="none" w:sz="0" w:space="0" w:color="auto"/>
        <w:right w:val="none" w:sz="0" w:space="0" w:color="auto"/>
      </w:divBdr>
    </w:div>
    <w:div w:id="1125729761">
      <w:bodyDiv w:val="1"/>
      <w:marLeft w:val="0"/>
      <w:marRight w:val="0"/>
      <w:marTop w:val="0"/>
      <w:marBottom w:val="0"/>
      <w:divBdr>
        <w:top w:val="none" w:sz="0" w:space="0" w:color="auto"/>
        <w:left w:val="none" w:sz="0" w:space="0" w:color="auto"/>
        <w:bottom w:val="none" w:sz="0" w:space="0" w:color="auto"/>
        <w:right w:val="none" w:sz="0" w:space="0" w:color="auto"/>
      </w:divBdr>
    </w:div>
    <w:div w:id="1152136182">
      <w:bodyDiv w:val="1"/>
      <w:marLeft w:val="0"/>
      <w:marRight w:val="0"/>
      <w:marTop w:val="0"/>
      <w:marBottom w:val="0"/>
      <w:divBdr>
        <w:top w:val="none" w:sz="0" w:space="0" w:color="auto"/>
        <w:left w:val="none" w:sz="0" w:space="0" w:color="auto"/>
        <w:bottom w:val="none" w:sz="0" w:space="0" w:color="auto"/>
        <w:right w:val="none" w:sz="0" w:space="0" w:color="auto"/>
      </w:divBdr>
    </w:div>
    <w:div w:id="1234703671">
      <w:bodyDiv w:val="1"/>
      <w:marLeft w:val="0"/>
      <w:marRight w:val="0"/>
      <w:marTop w:val="0"/>
      <w:marBottom w:val="0"/>
      <w:divBdr>
        <w:top w:val="none" w:sz="0" w:space="0" w:color="auto"/>
        <w:left w:val="none" w:sz="0" w:space="0" w:color="auto"/>
        <w:bottom w:val="none" w:sz="0" w:space="0" w:color="auto"/>
        <w:right w:val="none" w:sz="0" w:space="0" w:color="auto"/>
      </w:divBdr>
    </w:div>
    <w:div w:id="1293292164">
      <w:bodyDiv w:val="1"/>
      <w:marLeft w:val="0"/>
      <w:marRight w:val="0"/>
      <w:marTop w:val="0"/>
      <w:marBottom w:val="0"/>
      <w:divBdr>
        <w:top w:val="none" w:sz="0" w:space="0" w:color="auto"/>
        <w:left w:val="none" w:sz="0" w:space="0" w:color="auto"/>
        <w:bottom w:val="none" w:sz="0" w:space="0" w:color="auto"/>
        <w:right w:val="none" w:sz="0" w:space="0" w:color="auto"/>
      </w:divBdr>
    </w:div>
    <w:div w:id="1329673074">
      <w:bodyDiv w:val="1"/>
      <w:marLeft w:val="0"/>
      <w:marRight w:val="0"/>
      <w:marTop w:val="0"/>
      <w:marBottom w:val="0"/>
      <w:divBdr>
        <w:top w:val="none" w:sz="0" w:space="0" w:color="auto"/>
        <w:left w:val="none" w:sz="0" w:space="0" w:color="auto"/>
        <w:bottom w:val="none" w:sz="0" w:space="0" w:color="auto"/>
        <w:right w:val="none" w:sz="0" w:space="0" w:color="auto"/>
      </w:divBdr>
    </w:div>
    <w:div w:id="1407999308">
      <w:bodyDiv w:val="1"/>
      <w:marLeft w:val="0"/>
      <w:marRight w:val="0"/>
      <w:marTop w:val="0"/>
      <w:marBottom w:val="0"/>
      <w:divBdr>
        <w:top w:val="none" w:sz="0" w:space="0" w:color="auto"/>
        <w:left w:val="none" w:sz="0" w:space="0" w:color="auto"/>
        <w:bottom w:val="none" w:sz="0" w:space="0" w:color="auto"/>
        <w:right w:val="none" w:sz="0" w:space="0" w:color="auto"/>
      </w:divBdr>
    </w:div>
    <w:div w:id="1430463263">
      <w:bodyDiv w:val="1"/>
      <w:marLeft w:val="0"/>
      <w:marRight w:val="0"/>
      <w:marTop w:val="0"/>
      <w:marBottom w:val="0"/>
      <w:divBdr>
        <w:top w:val="none" w:sz="0" w:space="0" w:color="auto"/>
        <w:left w:val="none" w:sz="0" w:space="0" w:color="auto"/>
        <w:bottom w:val="none" w:sz="0" w:space="0" w:color="auto"/>
        <w:right w:val="none" w:sz="0" w:space="0" w:color="auto"/>
      </w:divBdr>
    </w:div>
    <w:div w:id="143663617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565331268">
      <w:bodyDiv w:val="1"/>
      <w:marLeft w:val="0"/>
      <w:marRight w:val="0"/>
      <w:marTop w:val="0"/>
      <w:marBottom w:val="0"/>
      <w:divBdr>
        <w:top w:val="none" w:sz="0" w:space="0" w:color="auto"/>
        <w:left w:val="none" w:sz="0" w:space="0" w:color="auto"/>
        <w:bottom w:val="none" w:sz="0" w:space="0" w:color="auto"/>
        <w:right w:val="none" w:sz="0" w:space="0" w:color="auto"/>
      </w:divBdr>
    </w:div>
    <w:div w:id="1571577867">
      <w:bodyDiv w:val="1"/>
      <w:marLeft w:val="0"/>
      <w:marRight w:val="0"/>
      <w:marTop w:val="0"/>
      <w:marBottom w:val="0"/>
      <w:divBdr>
        <w:top w:val="none" w:sz="0" w:space="0" w:color="auto"/>
        <w:left w:val="none" w:sz="0" w:space="0" w:color="auto"/>
        <w:bottom w:val="none" w:sz="0" w:space="0" w:color="auto"/>
        <w:right w:val="none" w:sz="0" w:space="0" w:color="auto"/>
      </w:divBdr>
    </w:div>
    <w:div w:id="1610969707">
      <w:bodyDiv w:val="1"/>
      <w:marLeft w:val="0"/>
      <w:marRight w:val="0"/>
      <w:marTop w:val="0"/>
      <w:marBottom w:val="0"/>
      <w:divBdr>
        <w:top w:val="none" w:sz="0" w:space="0" w:color="auto"/>
        <w:left w:val="none" w:sz="0" w:space="0" w:color="auto"/>
        <w:bottom w:val="none" w:sz="0" w:space="0" w:color="auto"/>
        <w:right w:val="none" w:sz="0" w:space="0" w:color="auto"/>
      </w:divBdr>
    </w:div>
    <w:div w:id="1770078052">
      <w:bodyDiv w:val="1"/>
      <w:marLeft w:val="0"/>
      <w:marRight w:val="0"/>
      <w:marTop w:val="0"/>
      <w:marBottom w:val="0"/>
      <w:divBdr>
        <w:top w:val="none" w:sz="0" w:space="0" w:color="auto"/>
        <w:left w:val="none" w:sz="0" w:space="0" w:color="auto"/>
        <w:bottom w:val="none" w:sz="0" w:space="0" w:color="auto"/>
        <w:right w:val="none" w:sz="0" w:space="0" w:color="auto"/>
      </w:divBdr>
    </w:div>
    <w:div w:id="19199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mfe.govt.nz/publications/fresh-water/summary-of-modelling-inform-environmental-impact-assessment-of-nutrient"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mfe.govt.nz/publications/fresh-water/action-healthy-waterways-information-about-attributes-nps-freshwater"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fe.govt.nz/fresh-water/national-policy-statement/about-np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s://data.mfe.govt.nz/data/category/fresh-water/"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fe.govt.nz" TargetMode="External"/><Relationship Id="rId22" Type="http://schemas.openxmlformats.org/officeDocument/2006/relationships/image" Target="media/image5.png"/><Relationship Id="rId27" Type="http://schemas.openxmlformats.org/officeDocument/2006/relationships/hyperlink" Target="https://www.mfe.govt.nz/sites/default/files/media/Fresh%20water/Periphyton%20note%20draft%20technical%20guidance%20_FINAL.pdf" TargetMode="External"/><Relationship Id="rId30"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DD632-52C6-495E-9488-8CE19627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2020-08-04T21:50:00Z</dcterms:created>
  <dcterms:modified xsi:type="dcterms:W3CDTF">2020-08-04T21:51:00Z</dcterms:modified>
</cp:coreProperties>
</file>