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79EEB" w14:textId="2FE6910D" w:rsidR="00FE5028" w:rsidRPr="00D162EE" w:rsidRDefault="00FE5028" w:rsidP="00962E35">
      <w:pPr>
        <w:pStyle w:val="BodyText"/>
        <w:rPr>
          <w:rFonts w:eastAsiaTheme="majorEastAsia" w:cstheme="majorBidi"/>
          <w:b/>
          <w:bCs/>
          <w:color w:val="1C556C"/>
          <w:sz w:val="48"/>
          <w:szCs w:val="28"/>
        </w:rPr>
      </w:pPr>
      <w:bookmarkStart w:id="0" w:name="_Toc38552512"/>
      <w:bookmarkStart w:id="1" w:name="_Toc38552691"/>
      <w:bookmarkStart w:id="2" w:name="_Toc38606125"/>
      <w:bookmarkStart w:id="3" w:name="_Toc38606277"/>
      <w:bookmarkStart w:id="4" w:name="_Toc38606354"/>
      <w:bookmarkStart w:id="5" w:name="_Toc39146238"/>
      <w:bookmarkStart w:id="6" w:name="_GoBack"/>
      <w:bookmarkEnd w:id="6"/>
      <w:r w:rsidRPr="00D162EE">
        <w:rPr>
          <w:noProof/>
        </w:rPr>
        <w:drawing>
          <wp:anchor distT="0" distB="0" distL="114300" distR="114300" simplePos="0" relativeHeight="251658240" behindDoc="0" locked="0" layoutInCell="1" allowOverlap="1" wp14:anchorId="52C92A43" wp14:editId="778298B7">
            <wp:simplePos x="0" y="0"/>
            <wp:positionH relativeFrom="column">
              <wp:posOffset>-1097280</wp:posOffset>
            </wp:positionH>
            <wp:positionV relativeFrom="page">
              <wp:posOffset>0</wp:posOffset>
            </wp:positionV>
            <wp:extent cx="7580630" cy="1071181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091bdb3-10bb-4a2e-b1e0-583b195ba7fa (1).png"/>
                    <pic:cNvPicPr/>
                  </pic:nvPicPr>
                  <pic:blipFill>
                    <a:blip r:embed="rId8">
                      <a:extLst>
                        <a:ext uri="{28A0092B-C50C-407E-A947-70E740481C1C}">
                          <a14:useLocalDpi xmlns:a14="http://schemas.microsoft.com/office/drawing/2010/main" val="0"/>
                        </a:ext>
                      </a:extLst>
                    </a:blip>
                    <a:stretch>
                      <a:fillRect/>
                    </a:stretch>
                  </pic:blipFill>
                  <pic:spPr>
                    <a:xfrm>
                      <a:off x="0" y="0"/>
                      <a:ext cx="7580630" cy="10711815"/>
                    </a:xfrm>
                    <a:prstGeom prst="rect">
                      <a:avLst/>
                    </a:prstGeom>
                  </pic:spPr>
                </pic:pic>
              </a:graphicData>
            </a:graphic>
            <wp14:sizeRelH relativeFrom="margin">
              <wp14:pctWidth>0</wp14:pctWidth>
            </wp14:sizeRelH>
            <wp14:sizeRelV relativeFrom="margin">
              <wp14:pctHeight>0</wp14:pctHeight>
            </wp14:sizeRelV>
          </wp:anchor>
        </w:drawing>
      </w:r>
      <w:r w:rsidR="005409AE">
        <w:t>mes</w:t>
      </w:r>
      <w:r w:rsidRPr="00D162EE">
        <w:br w:type="page"/>
      </w:r>
    </w:p>
    <w:bookmarkEnd w:id="0"/>
    <w:bookmarkEnd w:id="1"/>
    <w:bookmarkEnd w:id="2"/>
    <w:bookmarkEnd w:id="3"/>
    <w:bookmarkEnd w:id="4"/>
    <w:bookmarkEnd w:id="5"/>
    <w:p w14:paraId="17A7712D" w14:textId="77777777" w:rsidR="00D162EE" w:rsidRPr="00D162EE" w:rsidRDefault="00D162EE" w:rsidP="00D162EE">
      <w:pPr>
        <w:pStyle w:val="Imprint"/>
        <w:spacing w:after="0"/>
      </w:pPr>
    </w:p>
    <w:p w14:paraId="56347BD0" w14:textId="77777777" w:rsidR="00D162EE" w:rsidRPr="00D162EE" w:rsidRDefault="00D162EE" w:rsidP="00D162EE">
      <w:pPr>
        <w:pStyle w:val="Imprint"/>
        <w:spacing w:after="0"/>
      </w:pPr>
    </w:p>
    <w:p w14:paraId="7BBF2EAB" w14:textId="0DAD8E30" w:rsidR="000C4D35" w:rsidRPr="00D162EE" w:rsidRDefault="000C4D35" w:rsidP="00D162EE">
      <w:pPr>
        <w:pStyle w:val="Imprint"/>
        <w:spacing w:after="0"/>
        <w:rPr>
          <w:b/>
          <w:bCs/>
        </w:rPr>
      </w:pPr>
      <w:r w:rsidRPr="00D162EE">
        <w:rPr>
          <w:b/>
          <w:bCs/>
        </w:rPr>
        <w:t>Disclaimer</w:t>
      </w:r>
    </w:p>
    <w:p w14:paraId="706E5319" w14:textId="51B17062" w:rsidR="000C4D35" w:rsidRPr="00D162EE" w:rsidRDefault="000C4D35" w:rsidP="000C4D35">
      <w:pPr>
        <w:pStyle w:val="Imprint"/>
        <w:rPr>
          <w:rFonts w:eastAsia="Times New Roman" w:cs="Times New Roman"/>
        </w:rPr>
      </w:pPr>
      <w:r w:rsidRPr="00D162EE">
        <w:rPr>
          <w:rFonts w:eastAsia="Times New Roman" w:cs="Times New Roman"/>
        </w:rPr>
        <w:t>The information in this publication is, according to the Ministry for the Environment’s best efforts, accurate at the time of publication. However, users of this publication are advised that:</w:t>
      </w:r>
    </w:p>
    <w:p w14:paraId="5376E562" w14:textId="4F5F6ACF" w:rsidR="000C4D35" w:rsidRPr="00D162EE" w:rsidRDefault="000C4D35" w:rsidP="000C4D35">
      <w:pPr>
        <w:pStyle w:val="Bullet"/>
      </w:pPr>
      <w:r w:rsidRPr="00D162EE">
        <w:t xml:space="preserve">the information provided </w:t>
      </w:r>
      <w:r w:rsidR="008836E3" w:rsidRPr="00D162EE">
        <w:t xml:space="preserve">has no official status and </w:t>
      </w:r>
      <w:r w:rsidRPr="00D162EE">
        <w:t>does not alter the laws of New Zealand and other official guidelines or requirements</w:t>
      </w:r>
    </w:p>
    <w:p w14:paraId="134AD1D2" w14:textId="148D2C38" w:rsidR="000C4D35" w:rsidRPr="00D162EE" w:rsidRDefault="008836E3" w:rsidP="000C4D35">
      <w:pPr>
        <w:pStyle w:val="Bullet"/>
      </w:pPr>
      <w:r w:rsidRPr="00D162EE">
        <w:t xml:space="preserve">it does not constitute legal advice, and </w:t>
      </w:r>
      <w:r w:rsidR="000C4D35" w:rsidRPr="00D162EE">
        <w:t xml:space="preserve">users should take specific advice from </w:t>
      </w:r>
      <w:r w:rsidR="00A97773" w:rsidRPr="00D162EE">
        <w:t xml:space="preserve">a </w:t>
      </w:r>
      <w:r w:rsidR="000C4D35" w:rsidRPr="00D162EE">
        <w:t xml:space="preserve">qualified professional (with expertise in resource management) before undertaking any action as a result of information obtained from this publication </w:t>
      </w:r>
    </w:p>
    <w:p w14:paraId="38602A60" w14:textId="318E2481" w:rsidR="000C4D35" w:rsidRPr="00D162EE" w:rsidRDefault="000C4D35" w:rsidP="000C4D35">
      <w:pPr>
        <w:pStyle w:val="Bullet"/>
      </w:pPr>
      <w:r w:rsidRPr="00D162EE">
        <w:t xml:space="preserve">the Ministry for the Environment does not accept any responsibility or liability whatsoever whether in contract, tort, equity or otherwise, for any action taken as a result of reading, or reliance placed on </w:t>
      </w:r>
      <w:r w:rsidR="008836E3" w:rsidRPr="00D162EE">
        <w:t>this publication</w:t>
      </w:r>
      <w:r w:rsidRPr="00D162EE">
        <w:t xml:space="preserve"> because of having read, any part, or all, of the information in this publication, or for any error, inadequacy, deficiency, flaw in, or omission from the information provided in this publication </w:t>
      </w:r>
    </w:p>
    <w:p w14:paraId="5C466A7B" w14:textId="556CE0EA" w:rsidR="000C4D35" w:rsidRPr="00D162EE" w:rsidRDefault="000C4D35" w:rsidP="000C4D35">
      <w:pPr>
        <w:pStyle w:val="Bullet"/>
      </w:pPr>
      <w:r w:rsidRPr="00D162EE">
        <w:t>all references to websites, organisations or people not within the Ministry for the Environment are provided for convenience only and should not be taken as endorsement of those websites or information contained in those websites, nor of the organisations or people referred to.</w:t>
      </w:r>
    </w:p>
    <w:p w14:paraId="4B3517AF" w14:textId="354BEBFD" w:rsidR="000C4D35" w:rsidRPr="00D162EE" w:rsidRDefault="000C4D35" w:rsidP="000C4D35">
      <w:pPr>
        <w:pStyle w:val="Imprint"/>
        <w:ind w:right="-568"/>
      </w:pPr>
      <w:r w:rsidRPr="00D162EE">
        <w:t xml:space="preserve">This document may be cited as: Ministry for the Environment. </w:t>
      </w:r>
      <w:r w:rsidRPr="00CD2F9C">
        <w:t xml:space="preserve">2020. </w:t>
      </w:r>
      <w:r w:rsidR="00C67400">
        <w:rPr>
          <w:b/>
          <w:i/>
        </w:rPr>
        <w:t>A new Freshwater Planning Process: Technical guidance for councils</w:t>
      </w:r>
      <w:r w:rsidRPr="00D162EE">
        <w:t>. Wellington: Ministry</w:t>
      </w:r>
      <w:r w:rsidR="00D162EE">
        <w:t> </w:t>
      </w:r>
      <w:r w:rsidRPr="00D162EE">
        <w:t>for</w:t>
      </w:r>
      <w:r w:rsidR="00D162EE">
        <w:t> </w:t>
      </w:r>
      <w:r w:rsidRPr="00D162EE">
        <w:t>the</w:t>
      </w:r>
      <w:r w:rsidR="00D162EE">
        <w:t> </w:t>
      </w:r>
      <w:r w:rsidRPr="00D162EE">
        <w:t>Environment.</w:t>
      </w:r>
    </w:p>
    <w:p w14:paraId="4EDA6E6A" w14:textId="367EB321" w:rsidR="000C4D35" w:rsidRDefault="000C4D35" w:rsidP="000C4D35">
      <w:pPr>
        <w:pStyle w:val="Imprint"/>
      </w:pPr>
    </w:p>
    <w:p w14:paraId="35AAC74A" w14:textId="73AC349A" w:rsidR="00D162EE" w:rsidRDefault="00D162EE" w:rsidP="000C4D35">
      <w:pPr>
        <w:pStyle w:val="Imprint"/>
      </w:pPr>
    </w:p>
    <w:p w14:paraId="306AE62B" w14:textId="100CBA98" w:rsidR="00D162EE" w:rsidRDefault="00D162EE" w:rsidP="000C4D35">
      <w:pPr>
        <w:pStyle w:val="Imprint"/>
      </w:pPr>
    </w:p>
    <w:p w14:paraId="535F0AD2" w14:textId="77777777" w:rsidR="00D162EE" w:rsidRPr="00D162EE" w:rsidRDefault="00D162EE" w:rsidP="00D162EE">
      <w:pPr>
        <w:pStyle w:val="Imprint"/>
        <w:spacing w:after="0"/>
      </w:pPr>
    </w:p>
    <w:p w14:paraId="75EF8019" w14:textId="6A87F22E" w:rsidR="000C4D35" w:rsidRPr="00D162EE" w:rsidRDefault="000C4D35" w:rsidP="000C4D35">
      <w:pPr>
        <w:pStyle w:val="Imprint"/>
      </w:pPr>
      <w:r w:rsidRPr="00D162EE">
        <w:t xml:space="preserve">Published in </w:t>
      </w:r>
      <w:r w:rsidR="00C919B2">
        <w:t>September</w:t>
      </w:r>
      <w:r w:rsidR="00C00268">
        <w:t xml:space="preserve"> </w:t>
      </w:r>
      <w:r w:rsidRPr="00D162EE">
        <w:t>2020 by the</w:t>
      </w:r>
      <w:r w:rsidRPr="00D162EE">
        <w:br/>
        <w:t xml:space="preserve">Ministry for the Environment </w:t>
      </w:r>
      <w:r w:rsidRPr="00D162EE">
        <w:br/>
        <w:t>Manatū Mō Te Taiao</w:t>
      </w:r>
      <w:r w:rsidRPr="00D162EE">
        <w:br/>
        <w:t>PO Box 10362, Wellington 6143, New Zealand</w:t>
      </w:r>
    </w:p>
    <w:p w14:paraId="001233AD" w14:textId="01E35658" w:rsidR="000C4D35" w:rsidRPr="00D162EE" w:rsidRDefault="000C4D35" w:rsidP="000C4D35">
      <w:pPr>
        <w:pStyle w:val="Imprint"/>
      </w:pPr>
      <w:r w:rsidRPr="00D162EE">
        <w:t xml:space="preserve">ISBN: </w:t>
      </w:r>
      <w:r w:rsidR="00222ECB" w:rsidRPr="00D162EE">
        <w:t>978-1-99-003312-4 (online)</w:t>
      </w:r>
      <w:r w:rsidRPr="00D162EE">
        <w:br/>
      </w:r>
      <w:r w:rsidR="00222ECB" w:rsidRPr="00D162EE">
        <w:t>Publication number: ME 1524</w:t>
      </w:r>
    </w:p>
    <w:p w14:paraId="5555193C" w14:textId="77777777" w:rsidR="000C4D35" w:rsidRPr="00D162EE" w:rsidRDefault="000C4D35" w:rsidP="000C4D35">
      <w:pPr>
        <w:pStyle w:val="Imprint"/>
        <w:spacing w:after="80"/>
      </w:pPr>
      <w:r w:rsidRPr="00D162EE">
        <w:t>© Crown copyright New Zealand 2020</w:t>
      </w:r>
    </w:p>
    <w:p w14:paraId="3CB60524" w14:textId="77777777" w:rsidR="000C4D35" w:rsidRPr="00D162EE" w:rsidRDefault="000C4D35" w:rsidP="000C4D35">
      <w:pPr>
        <w:pStyle w:val="Imprint"/>
        <w:spacing w:before="240" w:after="0"/>
        <w:rPr>
          <w:rStyle w:val="Hyperlink"/>
        </w:rPr>
      </w:pPr>
      <w:r w:rsidRPr="00D162EE">
        <w:t xml:space="preserve">This document is available on the Ministry for the Environment website: </w:t>
      </w:r>
      <w:hyperlink r:id="rId9" w:history="1">
        <w:r w:rsidRPr="00D162EE">
          <w:rPr>
            <w:rStyle w:val="Hyperlink"/>
          </w:rPr>
          <w:t>www.mfe.govt.nz</w:t>
        </w:r>
      </w:hyperlink>
      <w:r w:rsidRPr="00D162EE">
        <w:rPr>
          <w:rStyle w:val="Hyperlink"/>
        </w:rPr>
        <w:t>.</w:t>
      </w:r>
    </w:p>
    <w:p w14:paraId="2DEFFE3C" w14:textId="77777777" w:rsidR="000C4D35" w:rsidRPr="00D162EE" w:rsidRDefault="000C4D35" w:rsidP="000C4D35">
      <w:pPr>
        <w:pStyle w:val="Imprint"/>
        <w:spacing w:before="240" w:after="0"/>
      </w:pPr>
      <w:r w:rsidRPr="00D162EE">
        <w:rPr>
          <w:noProof/>
        </w:rPr>
        <w:drawing>
          <wp:inline distT="0" distB="0" distL="0" distR="0" wp14:anchorId="0534B43D" wp14:editId="51F33305">
            <wp:extent cx="2712746" cy="11708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2746" cy="1170842"/>
                    </a:xfrm>
                    <a:prstGeom prst="rect">
                      <a:avLst/>
                    </a:prstGeom>
                    <a:noFill/>
                  </pic:spPr>
                </pic:pic>
              </a:graphicData>
            </a:graphic>
          </wp:inline>
        </w:drawing>
      </w:r>
    </w:p>
    <w:p w14:paraId="6AF91A90" w14:textId="77777777" w:rsidR="000C4D35" w:rsidRPr="00D162EE" w:rsidRDefault="000C4D35" w:rsidP="000C4D35">
      <w:pPr>
        <w:sectPr w:rsidR="000C4D35" w:rsidRPr="00D162EE" w:rsidSect="00962E35">
          <w:headerReference w:type="even" r:id="rId11"/>
          <w:headerReference w:type="default" r:id="rId12"/>
          <w:footerReference w:type="even" r:id="rId13"/>
          <w:footerReference w:type="default" r:id="rId14"/>
          <w:headerReference w:type="first" r:id="rId15"/>
          <w:footerReference w:type="first" r:id="rId16"/>
          <w:pgSz w:w="11907" w:h="16840" w:code="9"/>
          <w:pgMar w:top="1134" w:right="1701" w:bottom="1134" w:left="1701" w:header="567" w:footer="567" w:gutter="0"/>
          <w:pgNumType w:fmt="lowerRoman"/>
          <w:cols w:space="720"/>
          <w:formProt w:val="0"/>
        </w:sectPr>
      </w:pPr>
    </w:p>
    <w:p w14:paraId="75FE4F56" w14:textId="1E0859A6" w:rsidR="001C4D65" w:rsidRPr="00D162EE" w:rsidRDefault="000C4D35" w:rsidP="002A3F6E">
      <w:pPr>
        <w:pStyle w:val="Heading"/>
      </w:pPr>
      <w:bookmarkStart w:id="7" w:name="_Toc38552513"/>
      <w:bookmarkStart w:id="8" w:name="_Toc38552692"/>
      <w:bookmarkStart w:id="9" w:name="_Toc38606126"/>
      <w:bookmarkStart w:id="10" w:name="_Toc38606278"/>
      <w:bookmarkStart w:id="11" w:name="_Toc38606355"/>
      <w:bookmarkStart w:id="12" w:name="_Toc39146239"/>
      <w:bookmarkStart w:id="13" w:name="_Toc50020629"/>
      <w:r w:rsidRPr="00D162EE">
        <w:lastRenderedPageBreak/>
        <w:t>Contents</w:t>
      </w:r>
      <w:bookmarkEnd w:id="7"/>
      <w:bookmarkEnd w:id="8"/>
      <w:bookmarkEnd w:id="9"/>
      <w:bookmarkEnd w:id="10"/>
      <w:bookmarkEnd w:id="11"/>
      <w:bookmarkEnd w:id="12"/>
      <w:bookmarkEnd w:id="13"/>
    </w:p>
    <w:p w14:paraId="1F784787" w14:textId="4F9F93C8" w:rsidR="00F97ADE" w:rsidRDefault="001C4D65">
      <w:pPr>
        <w:pStyle w:val="TOC1"/>
        <w:tabs>
          <w:tab w:val="right" w:pos="8494"/>
        </w:tabs>
        <w:rPr>
          <w:rFonts w:asciiTheme="minorHAnsi" w:hAnsiTheme="minorHAnsi"/>
          <w:bCs w:val="0"/>
          <w:iCs w:val="0"/>
          <w:noProof/>
          <w:szCs w:val="22"/>
        </w:rPr>
      </w:pPr>
      <w:r w:rsidRPr="00D162EE">
        <w:rPr>
          <w:rFonts w:eastAsiaTheme="majorEastAsia" w:cstheme="majorBidi"/>
          <w:color w:val="1C556C"/>
          <w:sz w:val="48"/>
          <w:szCs w:val="28"/>
        </w:rPr>
        <w:fldChar w:fldCharType="begin"/>
      </w:r>
      <w:r w:rsidRPr="00D162EE">
        <w:rPr>
          <w:rFonts w:eastAsiaTheme="majorEastAsia" w:cstheme="majorBidi"/>
          <w:color w:val="1C556C"/>
          <w:sz w:val="48"/>
          <w:szCs w:val="28"/>
        </w:rPr>
        <w:instrText xml:space="preserve"> TOC \o "2-2" \h \z \t "Heading 1,1" </w:instrText>
      </w:r>
      <w:r w:rsidRPr="00D162EE">
        <w:rPr>
          <w:rFonts w:eastAsiaTheme="majorEastAsia" w:cstheme="majorBidi"/>
          <w:color w:val="1C556C"/>
          <w:sz w:val="48"/>
          <w:szCs w:val="28"/>
        </w:rPr>
        <w:fldChar w:fldCharType="separate"/>
      </w:r>
      <w:hyperlink w:anchor="_Toc50469793" w:history="1">
        <w:r w:rsidR="00F97ADE" w:rsidRPr="00886B80">
          <w:rPr>
            <w:rStyle w:val="Hyperlink"/>
            <w:rFonts w:eastAsia="Times New Roman"/>
            <w:noProof/>
          </w:rPr>
          <w:t>Freshwater Planning Process at a glance</w:t>
        </w:r>
        <w:r w:rsidR="00F97ADE">
          <w:rPr>
            <w:noProof/>
            <w:webHidden/>
          </w:rPr>
          <w:tab/>
        </w:r>
        <w:r w:rsidR="00F97ADE">
          <w:rPr>
            <w:noProof/>
            <w:webHidden/>
          </w:rPr>
          <w:fldChar w:fldCharType="begin"/>
        </w:r>
        <w:r w:rsidR="00F97ADE">
          <w:rPr>
            <w:noProof/>
            <w:webHidden/>
          </w:rPr>
          <w:instrText xml:space="preserve"> PAGEREF _Toc50469793 \h </w:instrText>
        </w:r>
        <w:r w:rsidR="00F97ADE">
          <w:rPr>
            <w:noProof/>
            <w:webHidden/>
          </w:rPr>
        </w:r>
        <w:r w:rsidR="00F97ADE">
          <w:rPr>
            <w:noProof/>
            <w:webHidden/>
          </w:rPr>
          <w:fldChar w:fldCharType="separate"/>
        </w:r>
        <w:r w:rsidR="00F97ADE">
          <w:rPr>
            <w:noProof/>
            <w:webHidden/>
          </w:rPr>
          <w:t>5</w:t>
        </w:r>
        <w:r w:rsidR="00F97ADE">
          <w:rPr>
            <w:noProof/>
            <w:webHidden/>
          </w:rPr>
          <w:fldChar w:fldCharType="end"/>
        </w:r>
      </w:hyperlink>
    </w:p>
    <w:p w14:paraId="645CCCEC" w14:textId="6A9033C1" w:rsidR="00F97ADE" w:rsidRDefault="007A4C71">
      <w:pPr>
        <w:pStyle w:val="TOC1"/>
        <w:tabs>
          <w:tab w:val="right" w:pos="8494"/>
        </w:tabs>
        <w:rPr>
          <w:rFonts w:asciiTheme="minorHAnsi" w:hAnsiTheme="minorHAnsi"/>
          <w:bCs w:val="0"/>
          <w:iCs w:val="0"/>
          <w:noProof/>
          <w:szCs w:val="22"/>
        </w:rPr>
      </w:pPr>
      <w:hyperlink w:anchor="_Toc50469794" w:history="1">
        <w:r w:rsidR="00F97ADE" w:rsidRPr="00886B80">
          <w:rPr>
            <w:rStyle w:val="Hyperlink"/>
            <w:noProof/>
            <w:lang w:eastAsia="en-US"/>
          </w:rPr>
          <w:t>Part o</w:t>
        </w:r>
        <w:r w:rsidR="00F97ADE" w:rsidRPr="00886B80">
          <w:rPr>
            <w:rStyle w:val="Hyperlink"/>
            <w:rFonts w:eastAsia="Times New Roman" w:cs="Times New Roman"/>
            <w:noProof/>
          </w:rPr>
          <w:t>ne –</w:t>
        </w:r>
        <w:r w:rsidR="00F97ADE" w:rsidRPr="00886B80">
          <w:rPr>
            <w:rStyle w:val="Hyperlink"/>
            <w:noProof/>
            <w:lang w:eastAsia="en-US"/>
          </w:rPr>
          <w:t xml:space="preserve"> </w:t>
        </w:r>
        <w:r w:rsidR="00F97ADE" w:rsidRPr="00886B80">
          <w:rPr>
            <w:rStyle w:val="Hyperlink"/>
            <w:noProof/>
          </w:rPr>
          <w:t>introduction</w:t>
        </w:r>
        <w:r w:rsidR="00F97ADE">
          <w:rPr>
            <w:noProof/>
            <w:webHidden/>
          </w:rPr>
          <w:tab/>
        </w:r>
        <w:r w:rsidR="00F97ADE">
          <w:rPr>
            <w:noProof/>
            <w:webHidden/>
          </w:rPr>
          <w:fldChar w:fldCharType="begin"/>
        </w:r>
        <w:r w:rsidR="00F97ADE">
          <w:rPr>
            <w:noProof/>
            <w:webHidden/>
          </w:rPr>
          <w:instrText xml:space="preserve"> PAGEREF _Toc50469794 \h </w:instrText>
        </w:r>
        <w:r w:rsidR="00F97ADE">
          <w:rPr>
            <w:noProof/>
            <w:webHidden/>
          </w:rPr>
        </w:r>
        <w:r w:rsidR="00F97ADE">
          <w:rPr>
            <w:noProof/>
            <w:webHidden/>
          </w:rPr>
          <w:fldChar w:fldCharType="separate"/>
        </w:r>
        <w:r w:rsidR="00F97ADE">
          <w:rPr>
            <w:noProof/>
            <w:webHidden/>
          </w:rPr>
          <w:t>7</w:t>
        </w:r>
        <w:r w:rsidR="00F97ADE">
          <w:rPr>
            <w:noProof/>
            <w:webHidden/>
          </w:rPr>
          <w:fldChar w:fldCharType="end"/>
        </w:r>
      </w:hyperlink>
    </w:p>
    <w:p w14:paraId="572E737E" w14:textId="5BFABD15" w:rsidR="00F97ADE" w:rsidRDefault="007A4C71">
      <w:pPr>
        <w:pStyle w:val="TOC2"/>
        <w:tabs>
          <w:tab w:val="right" w:pos="8494"/>
        </w:tabs>
        <w:rPr>
          <w:rFonts w:asciiTheme="minorHAnsi" w:hAnsiTheme="minorHAnsi"/>
          <w:bCs w:val="0"/>
          <w:noProof/>
        </w:rPr>
      </w:pPr>
      <w:hyperlink w:anchor="_Toc50469795" w:history="1">
        <w:r w:rsidR="00F97ADE" w:rsidRPr="00886B80">
          <w:rPr>
            <w:rStyle w:val="Hyperlink"/>
            <w:noProof/>
            <w:lang w:eastAsia="en-US"/>
          </w:rPr>
          <w:t>Purpose of this guide</w:t>
        </w:r>
        <w:r w:rsidR="00F97ADE">
          <w:rPr>
            <w:noProof/>
            <w:webHidden/>
          </w:rPr>
          <w:tab/>
        </w:r>
        <w:r w:rsidR="00F97ADE">
          <w:rPr>
            <w:noProof/>
            <w:webHidden/>
          </w:rPr>
          <w:fldChar w:fldCharType="begin"/>
        </w:r>
        <w:r w:rsidR="00F97ADE">
          <w:rPr>
            <w:noProof/>
            <w:webHidden/>
          </w:rPr>
          <w:instrText xml:space="preserve"> PAGEREF _Toc50469795 \h </w:instrText>
        </w:r>
        <w:r w:rsidR="00F97ADE">
          <w:rPr>
            <w:noProof/>
            <w:webHidden/>
          </w:rPr>
        </w:r>
        <w:r w:rsidR="00F97ADE">
          <w:rPr>
            <w:noProof/>
            <w:webHidden/>
          </w:rPr>
          <w:fldChar w:fldCharType="separate"/>
        </w:r>
        <w:r w:rsidR="00F97ADE">
          <w:rPr>
            <w:noProof/>
            <w:webHidden/>
          </w:rPr>
          <w:t>7</w:t>
        </w:r>
        <w:r w:rsidR="00F97ADE">
          <w:rPr>
            <w:noProof/>
            <w:webHidden/>
          </w:rPr>
          <w:fldChar w:fldCharType="end"/>
        </w:r>
      </w:hyperlink>
    </w:p>
    <w:p w14:paraId="2C1188FC" w14:textId="2C6E6462" w:rsidR="00F97ADE" w:rsidRDefault="007A4C71">
      <w:pPr>
        <w:pStyle w:val="TOC2"/>
        <w:tabs>
          <w:tab w:val="right" w:pos="8494"/>
        </w:tabs>
        <w:rPr>
          <w:rFonts w:asciiTheme="minorHAnsi" w:hAnsiTheme="minorHAnsi"/>
          <w:bCs w:val="0"/>
          <w:noProof/>
        </w:rPr>
      </w:pPr>
      <w:hyperlink w:anchor="_Toc50469796" w:history="1">
        <w:r w:rsidR="00F97ADE" w:rsidRPr="00886B80">
          <w:rPr>
            <w:rStyle w:val="Hyperlink"/>
            <w:noProof/>
          </w:rPr>
          <w:t>Background to the 2020 amendments</w:t>
        </w:r>
        <w:r w:rsidR="00F97ADE">
          <w:rPr>
            <w:noProof/>
            <w:webHidden/>
          </w:rPr>
          <w:tab/>
        </w:r>
        <w:r w:rsidR="00F97ADE">
          <w:rPr>
            <w:noProof/>
            <w:webHidden/>
          </w:rPr>
          <w:fldChar w:fldCharType="begin"/>
        </w:r>
        <w:r w:rsidR="00F97ADE">
          <w:rPr>
            <w:noProof/>
            <w:webHidden/>
          </w:rPr>
          <w:instrText xml:space="preserve"> PAGEREF _Toc50469796 \h </w:instrText>
        </w:r>
        <w:r w:rsidR="00F97ADE">
          <w:rPr>
            <w:noProof/>
            <w:webHidden/>
          </w:rPr>
        </w:r>
        <w:r w:rsidR="00F97ADE">
          <w:rPr>
            <w:noProof/>
            <w:webHidden/>
          </w:rPr>
          <w:fldChar w:fldCharType="separate"/>
        </w:r>
        <w:r w:rsidR="00F97ADE">
          <w:rPr>
            <w:noProof/>
            <w:webHidden/>
          </w:rPr>
          <w:t>7</w:t>
        </w:r>
        <w:r w:rsidR="00F97ADE">
          <w:rPr>
            <w:noProof/>
            <w:webHidden/>
          </w:rPr>
          <w:fldChar w:fldCharType="end"/>
        </w:r>
      </w:hyperlink>
    </w:p>
    <w:p w14:paraId="37C0E7B7" w14:textId="0568B298" w:rsidR="00F97ADE" w:rsidRDefault="007A4C71">
      <w:pPr>
        <w:pStyle w:val="TOC1"/>
        <w:tabs>
          <w:tab w:val="right" w:pos="8494"/>
        </w:tabs>
        <w:rPr>
          <w:rFonts w:asciiTheme="minorHAnsi" w:hAnsiTheme="minorHAnsi"/>
          <w:bCs w:val="0"/>
          <w:iCs w:val="0"/>
          <w:noProof/>
          <w:szCs w:val="22"/>
        </w:rPr>
      </w:pPr>
      <w:hyperlink w:anchor="_Toc50469797" w:history="1">
        <w:r w:rsidR="00F97ADE" w:rsidRPr="00886B80">
          <w:rPr>
            <w:rStyle w:val="Hyperlink"/>
            <w:noProof/>
          </w:rPr>
          <w:t>Part two – new roles under the Freshwater Planning Process</w:t>
        </w:r>
        <w:r w:rsidR="00F97ADE">
          <w:rPr>
            <w:noProof/>
            <w:webHidden/>
          </w:rPr>
          <w:tab/>
        </w:r>
        <w:r w:rsidR="00F97ADE">
          <w:rPr>
            <w:noProof/>
            <w:webHidden/>
          </w:rPr>
          <w:fldChar w:fldCharType="begin"/>
        </w:r>
        <w:r w:rsidR="00F97ADE">
          <w:rPr>
            <w:noProof/>
            <w:webHidden/>
          </w:rPr>
          <w:instrText xml:space="preserve"> PAGEREF _Toc50469797 \h </w:instrText>
        </w:r>
        <w:r w:rsidR="00F97ADE">
          <w:rPr>
            <w:noProof/>
            <w:webHidden/>
          </w:rPr>
        </w:r>
        <w:r w:rsidR="00F97ADE">
          <w:rPr>
            <w:noProof/>
            <w:webHidden/>
          </w:rPr>
          <w:fldChar w:fldCharType="separate"/>
        </w:r>
        <w:r w:rsidR="00F97ADE">
          <w:rPr>
            <w:noProof/>
            <w:webHidden/>
          </w:rPr>
          <w:t>8</w:t>
        </w:r>
        <w:r w:rsidR="00F97ADE">
          <w:rPr>
            <w:noProof/>
            <w:webHidden/>
          </w:rPr>
          <w:fldChar w:fldCharType="end"/>
        </w:r>
      </w:hyperlink>
    </w:p>
    <w:p w14:paraId="7E862BD9" w14:textId="1362D6BC" w:rsidR="00F97ADE" w:rsidRDefault="007A4C71">
      <w:pPr>
        <w:pStyle w:val="TOC2"/>
        <w:tabs>
          <w:tab w:val="right" w:pos="8494"/>
        </w:tabs>
        <w:rPr>
          <w:rFonts w:asciiTheme="minorHAnsi" w:hAnsiTheme="minorHAnsi"/>
          <w:bCs w:val="0"/>
          <w:noProof/>
        </w:rPr>
      </w:pPr>
      <w:hyperlink w:anchor="_Toc50469798" w:history="1">
        <w:r w:rsidR="00F97ADE" w:rsidRPr="00886B80">
          <w:rPr>
            <w:rStyle w:val="Hyperlink"/>
            <w:noProof/>
          </w:rPr>
          <w:t>Chief Freshwater Commissioner</w:t>
        </w:r>
        <w:r w:rsidR="00F97ADE">
          <w:rPr>
            <w:noProof/>
            <w:webHidden/>
          </w:rPr>
          <w:tab/>
        </w:r>
        <w:r w:rsidR="00F97ADE">
          <w:rPr>
            <w:noProof/>
            <w:webHidden/>
          </w:rPr>
          <w:fldChar w:fldCharType="begin"/>
        </w:r>
        <w:r w:rsidR="00F97ADE">
          <w:rPr>
            <w:noProof/>
            <w:webHidden/>
          </w:rPr>
          <w:instrText xml:space="preserve"> PAGEREF _Toc50469798 \h </w:instrText>
        </w:r>
        <w:r w:rsidR="00F97ADE">
          <w:rPr>
            <w:noProof/>
            <w:webHidden/>
          </w:rPr>
        </w:r>
        <w:r w:rsidR="00F97ADE">
          <w:rPr>
            <w:noProof/>
            <w:webHidden/>
          </w:rPr>
          <w:fldChar w:fldCharType="separate"/>
        </w:r>
        <w:r w:rsidR="00F97ADE">
          <w:rPr>
            <w:noProof/>
            <w:webHidden/>
          </w:rPr>
          <w:t>8</w:t>
        </w:r>
        <w:r w:rsidR="00F97ADE">
          <w:rPr>
            <w:noProof/>
            <w:webHidden/>
          </w:rPr>
          <w:fldChar w:fldCharType="end"/>
        </w:r>
      </w:hyperlink>
    </w:p>
    <w:p w14:paraId="7C4D11E6" w14:textId="68645C2E" w:rsidR="00F97ADE" w:rsidRDefault="007A4C71">
      <w:pPr>
        <w:pStyle w:val="TOC2"/>
        <w:tabs>
          <w:tab w:val="right" w:pos="8494"/>
        </w:tabs>
        <w:rPr>
          <w:rFonts w:asciiTheme="minorHAnsi" w:hAnsiTheme="minorHAnsi"/>
          <w:bCs w:val="0"/>
          <w:noProof/>
        </w:rPr>
      </w:pPr>
      <w:hyperlink w:anchor="_Toc50469799" w:history="1">
        <w:r w:rsidR="00F97ADE" w:rsidRPr="00886B80">
          <w:rPr>
            <w:rStyle w:val="Hyperlink"/>
            <w:noProof/>
          </w:rPr>
          <w:t>Freshwater commissioners</w:t>
        </w:r>
        <w:r w:rsidR="00F97ADE">
          <w:rPr>
            <w:noProof/>
            <w:webHidden/>
          </w:rPr>
          <w:tab/>
        </w:r>
        <w:r w:rsidR="00F97ADE">
          <w:rPr>
            <w:noProof/>
            <w:webHidden/>
          </w:rPr>
          <w:fldChar w:fldCharType="begin"/>
        </w:r>
        <w:r w:rsidR="00F97ADE">
          <w:rPr>
            <w:noProof/>
            <w:webHidden/>
          </w:rPr>
          <w:instrText xml:space="preserve"> PAGEREF _Toc50469799 \h </w:instrText>
        </w:r>
        <w:r w:rsidR="00F97ADE">
          <w:rPr>
            <w:noProof/>
            <w:webHidden/>
          </w:rPr>
        </w:r>
        <w:r w:rsidR="00F97ADE">
          <w:rPr>
            <w:noProof/>
            <w:webHidden/>
          </w:rPr>
          <w:fldChar w:fldCharType="separate"/>
        </w:r>
        <w:r w:rsidR="00F97ADE">
          <w:rPr>
            <w:noProof/>
            <w:webHidden/>
          </w:rPr>
          <w:t>9</w:t>
        </w:r>
        <w:r w:rsidR="00F97ADE">
          <w:rPr>
            <w:noProof/>
            <w:webHidden/>
          </w:rPr>
          <w:fldChar w:fldCharType="end"/>
        </w:r>
      </w:hyperlink>
    </w:p>
    <w:p w14:paraId="33B49E50" w14:textId="168FC2FA" w:rsidR="00F97ADE" w:rsidRDefault="007A4C71">
      <w:pPr>
        <w:pStyle w:val="TOC1"/>
        <w:tabs>
          <w:tab w:val="right" w:pos="8494"/>
        </w:tabs>
        <w:rPr>
          <w:rFonts w:asciiTheme="minorHAnsi" w:hAnsiTheme="minorHAnsi"/>
          <w:bCs w:val="0"/>
          <w:iCs w:val="0"/>
          <w:noProof/>
          <w:szCs w:val="22"/>
        </w:rPr>
      </w:pPr>
      <w:hyperlink w:anchor="_Toc50469800" w:history="1">
        <w:r w:rsidR="00F97ADE" w:rsidRPr="00886B80">
          <w:rPr>
            <w:rStyle w:val="Hyperlink"/>
            <w:noProof/>
          </w:rPr>
          <w:t>Part three – the Freshwater Planning Process</w:t>
        </w:r>
        <w:r w:rsidR="00F97ADE">
          <w:rPr>
            <w:noProof/>
            <w:webHidden/>
          </w:rPr>
          <w:tab/>
        </w:r>
        <w:r w:rsidR="00F97ADE">
          <w:rPr>
            <w:noProof/>
            <w:webHidden/>
          </w:rPr>
          <w:fldChar w:fldCharType="begin"/>
        </w:r>
        <w:r w:rsidR="00F97ADE">
          <w:rPr>
            <w:noProof/>
            <w:webHidden/>
          </w:rPr>
          <w:instrText xml:space="preserve"> PAGEREF _Toc50469800 \h </w:instrText>
        </w:r>
        <w:r w:rsidR="00F97ADE">
          <w:rPr>
            <w:noProof/>
            <w:webHidden/>
          </w:rPr>
        </w:r>
        <w:r w:rsidR="00F97ADE">
          <w:rPr>
            <w:noProof/>
            <w:webHidden/>
          </w:rPr>
          <w:fldChar w:fldCharType="separate"/>
        </w:r>
        <w:r w:rsidR="00F97ADE">
          <w:rPr>
            <w:noProof/>
            <w:webHidden/>
          </w:rPr>
          <w:t>11</w:t>
        </w:r>
        <w:r w:rsidR="00F97ADE">
          <w:rPr>
            <w:noProof/>
            <w:webHidden/>
          </w:rPr>
          <w:fldChar w:fldCharType="end"/>
        </w:r>
      </w:hyperlink>
    </w:p>
    <w:p w14:paraId="332A4359" w14:textId="08A926A0" w:rsidR="00F97ADE" w:rsidRDefault="007A4C71">
      <w:pPr>
        <w:pStyle w:val="TOC2"/>
        <w:tabs>
          <w:tab w:val="right" w:pos="8494"/>
        </w:tabs>
        <w:rPr>
          <w:rFonts w:asciiTheme="minorHAnsi" w:hAnsiTheme="minorHAnsi"/>
          <w:bCs w:val="0"/>
          <w:noProof/>
        </w:rPr>
      </w:pPr>
      <w:hyperlink w:anchor="_Toc50469801" w:history="1">
        <w:r w:rsidR="00F97ADE" w:rsidRPr="00886B80">
          <w:rPr>
            <w:rStyle w:val="Hyperlink"/>
            <w:noProof/>
          </w:rPr>
          <w:t>Step 1: Pre-notification plan development and consultation</w:t>
        </w:r>
        <w:r w:rsidR="00F97ADE">
          <w:rPr>
            <w:noProof/>
            <w:webHidden/>
          </w:rPr>
          <w:tab/>
        </w:r>
        <w:r w:rsidR="00F97ADE">
          <w:rPr>
            <w:noProof/>
            <w:webHidden/>
          </w:rPr>
          <w:fldChar w:fldCharType="begin"/>
        </w:r>
        <w:r w:rsidR="00F97ADE">
          <w:rPr>
            <w:noProof/>
            <w:webHidden/>
          </w:rPr>
          <w:instrText xml:space="preserve"> PAGEREF _Toc50469801 \h </w:instrText>
        </w:r>
        <w:r w:rsidR="00F97ADE">
          <w:rPr>
            <w:noProof/>
            <w:webHidden/>
          </w:rPr>
        </w:r>
        <w:r w:rsidR="00F97ADE">
          <w:rPr>
            <w:noProof/>
            <w:webHidden/>
          </w:rPr>
          <w:fldChar w:fldCharType="separate"/>
        </w:r>
        <w:r w:rsidR="00F97ADE">
          <w:rPr>
            <w:noProof/>
            <w:webHidden/>
          </w:rPr>
          <w:t>11</w:t>
        </w:r>
        <w:r w:rsidR="00F97ADE">
          <w:rPr>
            <w:noProof/>
            <w:webHidden/>
          </w:rPr>
          <w:fldChar w:fldCharType="end"/>
        </w:r>
      </w:hyperlink>
    </w:p>
    <w:p w14:paraId="77667077" w14:textId="7226C76C" w:rsidR="00F97ADE" w:rsidRDefault="007A4C71">
      <w:pPr>
        <w:pStyle w:val="TOC2"/>
        <w:tabs>
          <w:tab w:val="right" w:pos="8494"/>
        </w:tabs>
        <w:rPr>
          <w:rFonts w:asciiTheme="minorHAnsi" w:hAnsiTheme="minorHAnsi"/>
          <w:bCs w:val="0"/>
          <w:noProof/>
        </w:rPr>
      </w:pPr>
      <w:hyperlink w:anchor="_Toc50469802" w:history="1">
        <w:r w:rsidR="00F97ADE" w:rsidRPr="00886B80">
          <w:rPr>
            <w:rStyle w:val="Hyperlink"/>
            <w:rFonts w:eastAsia="Calibri"/>
            <w:noProof/>
            <w:lang w:eastAsia="en-US"/>
          </w:rPr>
          <w:t>Step 2: Notification and pre-hearing stages</w:t>
        </w:r>
        <w:r w:rsidR="00F97ADE">
          <w:rPr>
            <w:noProof/>
            <w:webHidden/>
          </w:rPr>
          <w:tab/>
        </w:r>
        <w:r w:rsidR="00F97ADE">
          <w:rPr>
            <w:noProof/>
            <w:webHidden/>
          </w:rPr>
          <w:fldChar w:fldCharType="begin"/>
        </w:r>
        <w:r w:rsidR="00F97ADE">
          <w:rPr>
            <w:noProof/>
            <w:webHidden/>
          </w:rPr>
          <w:instrText xml:space="preserve"> PAGEREF _Toc50469802 \h </w:instrText>
        </w:r>
        <w:r w:rsidR="00F97ADE">
          <w:rPr>
            <w:noProof/>
            <w:webHidden/>
          </w:rPr>
        </w:r>
        <w:r w:rsidR="00F97ADE">
          <w:rPr>
            <w:noProof/>
            <w:webHidden/>
          </w:rPr>
          <w:fldChar w:fldCharType="separate"/>
        </w:r>
        <w:r w:rsidR="00F97ADE">
          <w:rPr>
            <w:noProof/>
            <w:webHidden/>
          </w:rPr>
          <w:t>13</w:t>
        </w:r>
        <w:r w:rsidR="00F97ADE">
          <w:rPr>
            <w:noProof/>
            <w:webHidden/>
          </w:rPr>
          <w:fldChar w:fldCharType="end"/>
        </w:r>
      </w:hyperlink>
    </w:p>
    <w:p w14:paraId="2FF57BD8" w14:textId="043CEA5E" w:rsidR="00F97ADE" w:rsidRDefault="007A4C71">
      <w:pPr>
        <w:pStyle w:val="TOC2"/>
        <w:tabs>
          <w:tab w:val="right" w:pos="8494"/>
        </w:tabs>
        <w:rPr>
          <w:rFonts w:asciiTheme="minorHAnsi" w:hAnsiTheme="minorHAnsi"/>
          <w:bCs w:val="0"/>
          <w:noProof/>
        </w:rPr>
      </w:pPr>
      <w:hyperlink w:anchor="_Toc50469803" w:history="1">
        <w:r w:rsidR="00F97ADE" w:rsidRPr="00886B80">
          <w:rPr>
            <w:rStyle w:val="Hyperlink"/>
            <w:rFonts w:eastAsia="Calibri"/>
            <w:noProof/>
            <w:lang w:eastAsia="en-US"/>
          </w:rPr>
          <w:t xml:space="preserve">Step 3: Hearing on </w:t>
        </w:r>
        <w:r w:rsidR="00F97ADE" w:rsidRPr="00886B80">
          <w:rPr>
            <w:rStyle w:val="Hyperlink"/>
            <w:noProof/>
          </w:rPr>
          <w:t>freshwater</w:t>
        </w:r>
        <w:r w:rsidR="00F97ADE" w:rsidRPr="00886B80">
          <w:rPr>
            <w:rStyle w:val="Hyperlink"/>
            <w:rFonts w:eastAsia="Calibri"/>
            <w:noProof/>
            <w:lang w:eastAsia="en-US"/>
          </w:rPr>
          <w:t xml:space="preserve"> planning instrument</w:t>
        </w:r>
        <w:r w:rsidR="00F97ADE">
          <w:rPr>
            <w:noProof/>
            <w:webHidden/>
          </w:rPr>
          <w:tab/>
        </w:r>
        <w:r w:rsidR="00F97ADE">
          <w:rPr>
            <w:noProof/>
            <w:webHidden/>
          </w:rPr>
          <w:fldChar w:fldCharType="begin"/>
        </w:r>
        <w:r w:rsidR="00F97ADE">
          <w:rPr>
            <w:noProof/>
            <w:webHidden/>
          </w:rPr>
          <w:instrText xml:space="preserve"> PAGEREF _Toc50469803 \h </w:instrText>
        </w:r>
        <w:r w:rsidR="00F97ADE">
          <w:rPr>
            <w:noProof/>
            <w:webHidden/>
          </w:rPr>
        </w:r>
        <w:r w:rsidR="00F97ADE">
          <w:rPr>
            <w:noProof/>
            <w:webHidden/>
          </w:rPr>
          <w:fldChar w:fldCharType="separate"/>
        </w:r>
        <w:r w:rsidR="00F97ADE">
          <w:rPr>
            <w:noProof/>
            <w:webHidden/>
          </w:rPr>
          <w:t>14</w:t>
        </w:r>
        <w:r w:rsidR="00F97ADE">
          <w:rPr>
            <w:noProof/>
            <w:webHidden/>
          </w:rPr>
          <w:fldChar w:fldCharType="end"/>
        </w:r>
      </w:hyperlink>
    </w:p>
    <w:p w14:paraId="779CD59F" w14:textId="52E38CEC" w:rsidR="00F97ADE" w:rsidRDefault="007A4C71">
      <w:pPr>
        <w:pStyle w:val="TOC2"/>
        <w:tabs>
          <w:tab w:val="right" w:pos="8494"/>
        </w:tabs>
        <w:rPr>
          <w:rFonts w:asciiTheme="minorHAnsi" w:hAnsiTheme="minorHAnsi"/>
          <w:bCs w:val="0"/>
          <w:noProof/>
        </w:rPr>
      </w:pPr>
      <w:hyperlink w:anchor="_Toc50469804" w:history="1">
        <w:r w:rsidR="00F97ADE" w:rsidRPr="00886B80">
          <w:rPr>
            <w:rStyle w:val="Hyperlink"/>
            <w:rFonts w:eastAsia="Calibri"/>
            <w:noProof/>
            <w:lang w:eastAsia="en-US"/>
          </w:rPr>
          <w:t xml:space="preserve">Step 4: </w:t>
        </w:r>
        <w:r w:rsidR="00F97ADE" w:rsidRPr="00886B80">
          <w:rPr>
            <w:rStyle w:val="Hyperlink"/>
            <w:noProof/>
          </w:rPr>
          <w:t>Freshwater</w:t>
        </w:r>
        <w:r w:rsidR="00F97ADE" w:rsidRPr="00886B80">
          <w:rPr>
            <w:rStyle w:val="Hyperlink"/>
            <w:rFonts w:eastAsia="Calibri"/>
            <w:noProof/>
            <w:lang w:eastAsia="en-US"/>
          </w:rPr>
          <w:t xml:space="preserve"> hearings panel provides recommendations</w:t>
        </w:r>
        <w:r w:rsidR="00F97ADE">
          <w:rPr>
            <w:noProof/>
            <w:webHidden/>
          </w:rPr>
          <w:tab/>
        </w:r>
        <w:r w:rsidR="00F97ADE">
          <w:rPr>
            <w:noProof/>
            <w:webHidden/>
          </w:rPr>
          <w:fldChar w:fldCharType="begin"/>
        </w:r>
        <w:r w:rsidR="00F97ADE">
          <w:rPr>
            <w:noProof/>
            <w:webHidden/>
          </w:rPr>
          <w:instrText xml:space="preserve"> PAGEREF _Toc50469804 \h </w:instrText>
        </w:r>
        <w:r w:rsidR="00F97ADE">
          <w:rPr>
            <w:noProof/>
            <w:webHidden/>
          </w:rPr>
        </w:r>
        <w:r w:rsidR="00F97ADE">
          <w:rPr>
            <w:noProof/>
            <w:webHidden/>
          </w:rPr>
          <w:fldChar w:fldCharType="separate"/>
        </w:r>
        <w:r w:rsidR="00F97ADE">
          <w:rPr>
            <w:noProof/>
            <w:webHidden/>
          </w:rPr>
          <w:t>19</w:t>
        </w:r>
        <w:r w:rsidR="00F97ADE">
          <w:rPr>
            <w:noProof/>
            <w:webHidden/>
          </w:rPr>
          <w:fldChar w:fldCharType="end"/>
        </w:r>
      </w:hyperlink>
    </w:p>
    <w:p w14:paraId="56BC31E4" w14:textId="2BD59491" w:rsidR="00F97ADE" w:rsidRDefault="007A4C71">
      <w:pPr>
        <w:pStyle w:val="TOC2"/>
        <w:tabs>
          <w:tab w:val="right" w:pos="8494"/>
        </w:tabs>
        <w:rPr>
          <w:rFonts w:asciiTheme="minorHAnsi" w:hAnsiTheme="minorHAnsi"/>
          <w:bCs w:val="0"/>
          <w:noProof/>
        </w:rPr>
      </w:pPr>
      <w:hyperlink w:anchor="_Toc50469805" w:history="1">
        <w:r w:rsidR="00F97ADE" w:rsidRPr="00886B80">
          <w:rPr>
            <w:rStyle w:val="Hyperlink"/>
            <w:rFonts w:eastAsia="Calibri"/>
            <w:noProof/>
            <w:lang w:eastAsia="en-US"/>
          </w:rPr>
          <w:t xml:space="preserve">Step 5: Regional council considers </w:t>
        </w:r>
        <w:r w:rsidR="00F97ADE" w:rsidRPr="00886B80">
          <w:rPr>
            <w:rStyle w:val="Hyperlink"/>
            <w:noProof/>
          </w:rPr>
          <w:t>recommendations</w:t>
        </w:r>
        <w:r w:rsidR="00F97ADE" w:rsidRPr="00886B80">
          <w:rPr>
            <w:rStyle w:val="Hyperlink"/>
            <w:rFonts w:eastAsia="Calibri"/>
            <w:noProof/>
            <w:lang w:eastAsia="en-US"/>
          </w:rPr>
          <w:t xml:space="preserve"> and publicly notifies decisions</w:t>
        </w:r>
        <w:r w:rsidR="00F97ADE">
          <w:rPr>
            <w:noProof/>
            <w:webHidden/>
          </w:rPr>
          <w:tab/>
        </w:r>
        <w:r w:rsidR="00F97ADE">
          <w:rPr>
            <w:noProof/>
            <w:webHidden/>
          </w:rPr>
          <w:fldChar w:fldCharType="begin"/>
        </w:r>
        <w:r w:rsidR="00F97ADE">
          <w:rPr>
            <w:noProof/>
            <w:webHidden/>
          </w:rPr>
          <w:instrText xml:space="preserve"> PAGEREF _Toc50469805 \h </w:instrText>
        </w:r>
        <w:r w:rsidR="00F97ADE">
          <w:rPr>
            <w:noProof/>
            <w:webHidden/>
          </w:rPr>
        </w:r>
        <w:r w:rsidR="00F97ADE">
          <w:rPr>
            <w:noProof/>
            <w:webHidden/>
          </w:rPr>
          <w:fldChar w:fldCharType="separate"/>
        </w:r>
        <w:r w:rsidR="00F97ADE">
          <w:rPr>
            <w:noProof/>
            <w:webHidden/>
          </w:rPr>
          <w:t>20</w:t>
        </w:r>
        <w:r w:rsidR="00F97ADE">
          <w:rPr>
            <w:noProof/>
            <w:webHidden/>
          </w:rPr>
          <w:fldChar w:fldCharType="end"/>
        </w:r>
      </w:hyperlink>
    </w:p>
    <w:p w14:paraId="0CD2DEDC" w14:textId="1A563764" w:rsidR="00F97ADE" w:rsidRDefault="007A4C71">
      <w:pPr>
        <w:pStyle w:val="TOC2"/>
        <w:tabs>
          <w:tab w:val="right" w:pos="8494"/>
        </w:tabs>
        <w:rPr>
          <w:rFonts w:asciiTheme="minorHAnsi" w:hAnsiTheme="minorHAnsi"/>
          <w:bCs w:val="0"/>
          <w:noProof/>
        </w:rPr>
      </w:pPr>
      <w:hyperlink w:anchor="_Toc50469806" w:history="1">
        <w:r w:rsidR="00F97ADE" w:rsidRPr="00886B80">
          <w:rPr>
            <w:rStyle w:val="Hyperlink"/>
            <w:rFonts w:eastAsia="Calibri"/>
            <w:noProof/>
            <w:lang w:eastAsia="en-US"/>
          </w:rPr>
          <w:t>Step 6: Right of appeal</w:t>
        </w:r>
        <w:r w:rsidR="00F97ADE">
          <w:rPr>
            <w:noProof/>
            <w:webHidden/>
          </w:rPr>
          <w:tab/>
        </w:r>
        <w:r w:rsidR="00F97ADE">
          <w:rPr>
            <w:noProof/>
            <w:webHidden/>
          </w:rPr>
          <w:fldChar w:fldCharType="begin"/>
        </w:r>
        <w:r w:rsidR="00F97ADE">
          <w:rPr>
            <w:noProof/>
            <w:webHidden/>
          </w:rPr>
          <w:instrText xml:space="preserve"> PAGEREF _Toc50469806 \h </w:instrText>
        </w:r>
        <w:r w:rsidR="00F97ADE">
          <w:rPr>
            <w:noProof/>
            <w:webHidden/>
          </w:rPr>
        </w:r>
        <w:r w:rsidR="00F97ADE">
          <w:rPr>
            <w:noProof/>
            <w:webHidden/>
          </w:rPr>
          <w:fldChar w:fldCharType="separate"/>
        </w:r>
        <w:r w:rsidR="00F97ADE">
          <w:rPr>
            <w:noProof/>
            <w:webHidden/>
          </w:rPr>
          <w:t>21</w:t>
        </w:r>
        <w:r w:rsidR="00F97ADE">
          <w:rPr>
            <w:noProof/>
            <w:webHidden/>
          </w:rPr>
          <w:fldChar w:fldCharType="end"/>
        </w:r>
      </w:hyperlink>
    </w:p>
    <w:p w14:paraId="10BC4809" w14:textId="6F8B9AF8" w:rsidR="00F97ADE" w:rsidRDefault="007A4C71">
      <w:pPr>
        <w:pStyle w:val="TOC2"/>
        <w:tabs>
          <w:tab w:val="right" w:pos="8494"/>
        </w:tabs>
        <w:rPr>
          <w:rFonts w:asciiTheme="minorHAnsi" w:hAnsiTheme="minorHAnsi"/>
          <w:bCs w:val="0"/>
          <w:noProof/>
        </w:rPr>
      </w:pPr>
      <w:hyperlink w:anchor="_Toc50469807" w:history="1">
        <w:r w:rsidR="00F97ADE" w:rsidRPr="00886B80">
          <w:rPr>
            <w:rStyle w:val="Hyperlink"/>
            <w:rFonts w:eastAsia="Calibri"/>
            <w:noProof/>
            <w:lang w:eastAsia="en-US"/>
          </w:rPr>
          <w:t>Step 7: Approving the freshwater planning instrument and making it operative</w:t>
        </w:r>
        <w:r w:rsidR="00F97ADE">
          <w:rPr>
            <w:noProof/>
            <w:webHidden/>
          </w:rPr>
          <w:tab/>
        </w:r>
        <w:r w:rsidR="00F97ADE">
          <w:rPr>
            <w:noProof/>
            <w:webHidden/>
          </w:rPr>
          <w:fldChar w:fldCharType="begin"/>
        </w:r>
        <w:r w:rsidR="00F97ADE">
          <w:rPr>
            <w:noProof/>
            <w:webHidden/>
          </w:rPr>
          <w:instrText xml:space="preserve"> PAGEREF _Toc50469807 \h </w:instrText>
        </w:r>
        <w:r w:rsidR="00F97ADE">
          <w:rPr>
            <w:noProof/>
            <w:webHidden/>
          </w:rPr>
        </w:r>
        <w:r w:rsidR="00F97ADE">
          <w:rPr>
            <w:noProof/>
            <w:webHidden/>
          </w:rPr>
          <w:fldChar w:fldCharType="separate"/>
        </w:r>
        <w:r w:rsidR="00F97ADE">
          <w:rPr>
            <w:noProof/>
            <w:webHidden/>
          </w:rPr>
          <w:t>22</w:t>
        </w:r>
        <w:r w:rsidR="00F97ADE">
          <w:rPr>
            <w:noProof/>
            <w:webHidden/>
          </w:rPr>
          <w:fldChar w:fldCharType="end"/>
        </w:r>
      </w:hyperlink>
    </w:p>
    <w:p w14:paraId="222437E5" w14:textId="769F8699" w:rsidR="00F97ADE" w:rsidRDefault="007A4C71">
      <w:pPr>
        <w:pStyle w:val="TOC2"/>
        <w:tabs>
          <w:tab w:val="right" w:pos="8494"/>
        </w:tabs>
        <w:rPr>
          <w:rFonts w:asciiTheme="minorHAnsi" w:hAnsiTheme="minorHAnsi"/>
          <w:bCs w:val="0"/>
          <w:noProof/>
        </w:rPr>
      </w:pPr>
      <w:hyperlink w:anchor="_Toc50469808" w:history="1">
        <w:r w:rsidR="00F97ADE" w:rsidRPr="00886B80">
          <w:rPr>
            <w:rStyle w:val="Hyperlink"/>
            <w:noProof/>
          </w:rPr>
          <w:t>Requesting an extension to the Freshwater Planning Process timeframes</w:t>
        </w:r>
        <w:r w:rsidR="00F97ADE">
          <w:rPr>
            <w:noProof/>
            <w:webHidden/>
          </w:rPr>
          <w:tab/>
        </w:r>
        <w:r w:rsidR="00F97ADE">
          <w:rPr>
            <w:noProof/>
            <w:webHidden/>
          </w:rPr>
          <w:fldChar w:fldCharType="begin"/>
        </w:r>
        <w:r w:rsidR="00F97ADE">
          <w:rPr>
            <w:noProof/>
            <w:webHidden/>
          </w:rPr>
          <w:instrText xml:space="preserve"> PAGEREF _Toc50469808 \h </w:instrText>
        </w:r>
        <w:r w:rsidR="00F97ADE">
          <w:rPr>
            <w:noProof/>
            <w:webHidden/>
          </w:rPr>
        </w:r>
        <w:r w:rsidR="00F97ADE">
          <w:rPr>
            <w:noProof/>
            <w:webHidden/>
          </w:rPr>
          <w:fldChar w:fldCharType="separate"/>
        </w:r>
        <w:r w:rsidR="00F97ADE">
          <w:rPr>
            <w:noProof/>
            <w:webHidden/>
          </w:rPr>
          <w:t>23</w:t>
        </w:r>
        <w:r w:rsidR="00F97ADE">
          <w:rPr>
            <w:noProof/>
            <w:webHidden/>
          </w:rPr>
          <w:fldChar w:fldCharType="end"/>
        </w:r>
      </w:hyperlink>
    </w:p>
    <w:p w14:paraId="62810FA0" w14:textId="303258BB" w:rsidR="00F97ADE" w:rsidRDefault="007A4C71">
      <w:pPr>
        <w:pStyle w:val="TOC2"/>
        <w:tabs>
          <w:tab w:val="right" w:pos="8494"/>
        </w:tabs>
        <w:rPr>
          <w:rFonts w:asciiTheme="minorHAnsi" w:hAnsiTheme="minorHAnsi"/>
          <w:bCs w:val="0"/>
          <w:noProof/>
        </w:rPr>
      </w:pPr>
      <w:hyperlink w:anchor="_Toc50469809" w:history="1">
        <w:r w:rsidR="00F97ADE" w:rsidRPr="00886B80">
          <w:rPr>
            <w:rStyle w:val="Hyperlink"/>
            <w:noProof/>
          </w:rPr>
          <w:t>Variations to a freshwater planning instrument</w:t>
        </w:r>
        <w:r w:rsidR="00F97ADE">
          <w:rPr>
            <w:noProof/>
            <w:webHidden/>
          </w:rPr>
          <w:tab/>
        </w:r>
        <w:r w:rsidR="00F97ADE">
          <w:rPr>
            <w:noProof/>
            <w:webHidden/>
          </w:rPr>
          <w:fldChar w:fldCharType="begin"/>
        </w:r>
        <w:r w:rsidR="00F97ADE">
          <w:rPr>
            <w:noProof/>
            <w:webHidden/>
          </w:rPr>
          <w:instrText xml:space="preserve"> PAGEREF _Toc50469809 \h </w:instrText>
        </w:r>
        <w:r w:rsidR="00F97ADE">
          <w:rPr>
            <w:noProof/>
            <w:webHidden/>
          </w:rPr>
        </w:r>
        <w:r w:rsidR="00F97ADE">
          <w:rPr>
            <w:noProof/>
            <w:webHidden/>
          </w:rPr>
          <w:fldChar w:fldCharType="separate"/>
        </w:r>
        <w:r w:rsidR="00F97ADE">
          <w:rPr>
            <w:noProof/>
            <w:webHidden/>
          </w:rPr>
          <w:t>23</w:t>
        </w:r>
        <w:r w:rsidR="00F97ADE">
          <w:rPr>
            <w:noProof/>
            <w:webHidden/>
          </w:rPr>
          <w:fldChar w:fldCharType="end"/>
        </w:r>
      </w:hyperlink>
    </w:p>
    <w:p w14:paraId="0C415940" w14:textId="31695D76" w:rsidR="00F97ADE" w:rsidRDefault="007A4C71">
      <w:pPr>
        <w:pStyle w:val="TOC2"/>
        <w:tabs>
          <w:tab w:val="right" w:pos="8494"/>
        </w:tabs>
        <w:rPr>
          <w:rFonts w:asciiTheme="minorHAnsi" w:hAnsiTheme="minorHAnsi"/>
          <w:bCs w:val="0"/>
          <w:noProof/>
        </w:rPr>
      </w:pPr>
      <w:hyperlink w:anchor="_Toc50469810" w:history="1">
        <w:r w:rsidR="00F97ADE" w:rsidRPr="00886B80">
          <w:rPr>
            <w:rStyle w:val="Hyperlink"/>
            <w:noProof/>
          </w:rPr>
          <w:t>Implications for relevant iwi participation legislation, joint management agreement, Mana Whakahono ā Rohe</w:t>
        </w:r>
        <w:r w:rsidR="00F97ADE">
          <w:rPr>
            <w:noProof/>
            <w:webHidden/>
          </w:rPr>
          <w:tab/>
        </w:r>
        <w:r w:rsidR="00F97ADE">
          <w:rPr>
            <w:noProof/>
            <w:webHidden/>
          </w:rPr>
          <w:fldChar w:fldCharType="begin"/>
        </w:r>
        <w:r w:rsidR="00F97ADE">
          <w:rPr>
            <w:noProof/>
            <w:webHidden/>
          </w:rPr>
          <w:instrText xml:space="preserve"> PAGEREF _Toc50469810 \h </w:instrText>
        </w:r>
        <w:r w:rsidR="00F97ADE">
          <w:rPr>
            <w:noProof/>
            <w:webHidden/>
          </w:rPr>
        </w:r>
        <w:r w:rsidR="00F97ADE">
          <w:rPr>
            <w:noProof/>
            <w:webHidden/>
          </w:rPr>
          <w:fldChar w:fldCharType="separate"/>
        </w:r>
        <w:r w:rsidR="00F97ADE">
          <w:rPr>
            <w:noProof/>
            <w:webHidden/>
          </w:rPr>
          <w:t>24</w:t>
        </w:r>
        <w:r w:rsidR="00F97ADE">
          <w:rPr>
            <w:noProof/>
            <w:webHidden/>
          </w:rPr>
          <w:fldChar w:fldCharType="end"/>
        </w:r>
      </w:hyperlink>
    </w:p>
    <w:p w14:paraId="4209A3D9" w14:textId="738AD8AD" w:rsidR="00F97ADE" w:rsidRDefault="007A4C71">
      <w:pPr>
        <w:pStyle w:val="TOC2"/>
        <w:tabs>
          <w:tab w:val="right" w:pos="8494"/>
        </w:tabs>
        <w:rPr>
          <w:rFonts w:asciiTheme="minorHAnsi" w:hAnsiTheme="minorHAnsi"/>
          <w:bCs w:val="0"/>
          <w:noProof/>
        </w:rPr>
      </w:pPr>
      <w:hyperlink w:anchor="_Toc50469811" w:history="1">
        <w:r w:rsidR="00F97ADE" w:rsidRPr="00886B80">
          <w:rPr>
            <w:rStyle w:val="Hyperlink"/>
            <w:rFonts w:eastAsia="Calibri"/>
            <w:noProof/>
            <w:lang w:eastAsia="en-US"/>
          </w:rPr>
          <w:t xml:space="preserve">Other </w:t>
        </w:r>
        <w:r w:rsidR="00F97ADE" w:rsidRPr="00886B80">
          <w:rPr>
            <w:rStyle w:val="Hyperlink"/>
            <w:noProof/>
          </w:rPr>
          <w:t>process</w:t>
        </w:r>
        <w:r w:rsidR="00F97ADE" w:rsidRPr="00886B80">
          <w:rPr>
            <w:rStyle w:val="Hyperlink"/>
            <w:rFonts w:eastAsia="Calibri"/>
            <w:noProof/>
            <w:lang w:eastAsia="en-US"/>
          </w:rPr>
          <w:t xml:space="preserve"> matters for the Freshwater Planning Process</w:t>
        </w:r>
        <w:r w:rsidR="00F97ADE">
          <w:rPr>
            <w:noProof/>
            <w:webHidden/>
          </w:rPr>
          <w:tab/>
        </w:r>
        <w:r w:rsidR="00F97ADE">
          <w:rPr>
            <w:noProof/>
            <w:webHidden/>
          </w:rPr>
          <w:fldChar w:fldCharType="begin"/>
        </w:r>
        <w:r w:rsidR="00F97ADE">
          <w:rPr>
            <w:noProof/>
            <w:webHidden/>
          </w:rPr>
          <w:instrText xml:space="preserve"> PAGEREF _Toc50469811 \h </w:instrText>
        </w:r>
        <w:r w:rsidR="00F97ADE">
          <w:rPr>
            <w:noProof/>
            <w:webHidden/>
          </w:rPr>
        </w:r>
        <w:r w:rsidR="00F97ADE">
          <w:rPr>
            <w:noProof/>
            <w:webHidden/>
          </w:rPr>
          <w:fldChar w:fldCharType="separate"/>
        </w:r>
        <w:r w:rsidR="00F97ADE">
          <w:rPr>
            <w:noProof/>
            <w:webHidden/>
          </w:rPr>
          <w:t>25</w:t>
        </w:r>
        <w:r w:rsidR="00F97ADE">
          <w:rPr>
            <w:noProof/>
            <w:webHidden/>
          </w:rPr>
          <w:fldChar w:fldCharType="end"/>
        </w:r>
      </w:hyperlink>
    </w:p>
    <w:p w14:paraId="06DF8D22" w14:textId="1FAEA320" w:rsidR="00F97ADE" w:rsidRDefault="007A4C71">
      <w:pPr>
        <w:pStyle w:val="TOC1"/>
        <w:tabs>
          <w:tab w:val="right" w:pos="8494"/>
        </w:tabs>
        <w:rPr>
          <w:rFonts w:asciiTheme="minorHAnsi" w:hAnsiTheme="minorHAnsi"/>
          <w:bCs w:val="0"/>
          <w:iCs w:val="0"/>
          <w:noProof/>
          <w:szCs w:val="22"/>
        </w:rPr>
      </w:pPr>
      <w:hyperlink w:anchor="_Toc50469812" w:history="1">
        <w:r w:rsidR="00F97ADE" w:rsidRPr="00886B80">
          <w:rPr>
            <w:rStyle w:val="Hyperlink"/>
            <w:noProof/>
          </w:rPr>
          <w:t>Part 1 of Schedule 1 processes that apply to the Freshwater Planning Process</w:t>
        </w:r>
        <w:r w:rsidR="00F97ADE">
          <w:rPr>
            <w:noProof/>
            <w:webHidden/>
          </w:rPr>
          <w:tab/>
        </w:r>
        <w:r w:rsidR="00F97ADE">
          <w:rPr>
            <w:noProof/>
            <w:webHidden/>
          </w:rPr>
          <w:fldChar w:fldCharType="begin"/>
        </w:r>
        <w:r w:rsidR="00F97ADE">
          <w:rPr>
            <w:noProof/>
            <w:webHidden/>
          </w:rPr>
          <w:instrText xml:space="preserve"> PAGEREF _Toc50469812 \h </w:instrText>
        </w:r>
        <w:r w:rsidR="00F97ADE">
          <w:rPr>
            <w:noProof/>
            <w:webHidden/>
          </w:rPr>
        </w:r>
        <w:r w:rsidR="00F97ADE">
          <w:rPr>
            <w:noProof/>
            <w:webHidden/>
          </w:rPr>
          <w:fldChar w:fldCharType="separate"/>
        </w:r>
        <w:r w:rsidR="00F97ADE">
          <w:rPr>
            <w:noProof/>
            <w:webHidden/>
          </w:rPr>
          <w:t>25</w:t>
        </w:r>
        <w:r w:rsidR="00F97ADE">
          <w:rPr>
            <w:noProof/>
            <w:webHidden/>
          </w:rPr>
          <w:fldChar w:fldCharType="end"/>
        </w:r>
      </w:hyperlink>
    </w:p>
    <w:p w14:paraId="493607E6" w14:textId="785B4B57" w:rsidR="00F97ADE" w:rsidRDefault="007A4C71">
      <w:pPr>
        <w:pStyle w:val="TOC2"/>
        <w:tabs>
          <w:tab w:val="right" w:pos="8494"/>
        </w:tabs>
        <w:rPr>
          <w:rFonts w:asciiTheme="minorHAnsi" w:hAnsiTheme="minorHAnsi"/>
          <w:bCs w:val="0"/>
          <w:noProof/>
        </w:rPr>
      </w:pPr>
      <w:hyperlink w:anchor="_Toc50469813" w:history="1">
        <w:r w:rsidR="00F97ADE" w:rsidRPr="00886B80">
          <w:rPr>
            <w:rStyle w:val="Hyperlink"/>
            <w:noProof/>
          </w:rPr>
          <w:t>The Freshwater Planning Process and other planning processes</w:t>
        </w:r>
        <w:r w:rsidR="00F97ADE">
          <w:rPr>
            <w:noProof/>
            <w:webHidden/>
          </w:rPr>
          <w:tab/>
        </w:r>
        <w:r w:rsidR="00F97ADE">
          <w:rPr>
            <w:noProof/>
            <w:webHidden/>
          </w:rPr>
          <w:fldChar w:fldCharType="begin"/>
        </w:r>
        <w:r w:rsidR="00F97ADE">
          <w:rPr>
            <w:noProof/>
            <w:webHidden/>
          </w:rPr>
          <w:instrText xml:space="preserve"> PAGEREF _Toc50469813 \h </w:instrText>
        </w:r>
        <w:r w:rsidR="00F97ADE">
          <w:rPr>
            <w:noProof/>
            <w:webHidden/>
          </w:rPr>
        </w:r>
        <w:r w:rsidR="00F97ADE">
          <w:rPr>
            <w:noProof/>
            <w:webHidden/>
          </w:rPr>
          <w:fldChar w:fldCharType="separate"/>
        </w:r>
        <w:r w:rsidR="00F97ADE">
          <w:rPr>
            <w:noProof/>
            <w:webHidden/>
          </w:rPr>
          <w:t>26</w:t>
        </w:r>
        <w:r w:rsidR="00F97ADE">
          <w:rPr>
            <w:noProof/>
            <w:webHidden/>
          </w:rPr>
          <w:fldChar w:fldCharType="end"/>
        </w:r>
      </w:hyperlink>
    </w:p>
    <w:p w14:paraId="69742A9B" w14:textId="28996304" w:rsidR="008D6237" w:rsidRPr="00D162EE" w:rsidRDefault="001C4D65" w:rsidP="008D6237">
      <w:pPr>
        <w:pStyle w:val="BodyText"/>
        <w:rPr>
          <w:rFonts w:eastAsiaTheme="majorEastAsia"/>
        </w:rPr>
      </w:pPr>
      <w:r w:rsidRPr="00D162EE">
        <w:rPr>
          <w:rFonts w:eastAsiaTheme="majorEastAsia"/>
        </w:rPr>
        <w:fldChar w:fldCharType="end"/>
      </w:r>
    </w:p>
    <w:p w14:paraId="38D83068" w14:textId="58C5D847" w:rsidR="008D6237" w:rsidRPr="00D162EE" w:rsidRDefault="008D6237">
      <w:pPr>
        <w:spacing w:before="0" w:after="160" w:line="259" w:lineRule="auto"/>
        <w:jc w:val="left"/>
        <w:rPr>
          <w:rFonts w:eastAsiaTheme="majorEastAsia"/>
        </w:rPr>
      </w:pPr>
      <w:r w:rsidRPr="00D162EE">
        <w:rPr>
          <w:rFonts w:eastAsiaTheme="majorEastAsia"/>
        </w:rPr>
        <w:br w:type="page"/>
      </w:r>
    </w:p>
    <w:p w14:paraId="3906F51C" w14:textId="523BAAFD" w:rsidR="008D6237" w:rsidRPr="00D162EE" w:rsidRDefault="008D6237" w:rsidP="00895B28">
      <w:pPr>
        <w:pStyle w:val="Heading"/>
      </w:pPr>
      <w:r w:rsidRPr="00D162EE">
        <w:lastRenderedPageBreak/>
        <w:t>Figure</w:t>
      </w:r>
      <w:r w:rsidR="00895B28" w:rsidRPr="00D162EE">
        <w:t>s</w:t>
      </w:r>
    </w:p>
    <w:p w14:paraId="3A7C6D54" w14:textId="55BC51B3" w:rsidR="00F97ADE" w:rsidRDefault="00895B28">
      <w:pPr>
        <w:pStyle w:val="TableofFigures"/>
        <w:tabs>
          <w:tab w:val="right" w:pos="8494"/>
        </w:tabs>
        <w:rPr>
          <w:rFonts w:asciiTheme="minorHAnsi" w:hAnsiTheme="minorHAnsi"/>
          <w:iCs w:val="0"/>
          <w:noProof/>
          <w:szCs w:val="22"/>
        </w:rPr>
      </w:pPr>
      <w:r w:rsidRPr="00D162EE">
        <w:rPr>
          <w:rFonts w:eastAsiaTheme="majorEastAsia"/>
        </w:rPr>
        <w:fldChar w:fldCharType="begin"/>
      </w:r>
      <w:r w:rsidRPr="00D162EE">
        <w:rPr>
          <w:rFonts w:eastAsiaTheme="majorEastAsia"/>
        </w:rPr>
        <w:instrText xml:space="preserve"> TOC \h \z \t "Figure heading" \c </w:instrText>
      </w:r>
      <w:r w:rsidRPr="00D162EE">
        <w:rPr>
          <w:rFonts w:eastAsiaTheme="majorEastAsia"/>
        </w:rPr>
        <w:fldChar w:fldCharType="separate"/>
      </w:r>
      <w:hyperlink w:anchor="_Toc50469814" w:history="1">
        <w:r w:rsidR="00F97ADE" w:rsidRPr="00212579">
          <w:rPr>
            <w:rStyle w:val="Hyperlink"/>
            <w:noProof/>
          </w:rPr>
          <w:t xml:space="preserve">Figure 1: </w:t>
        </w:r>
        <w:r w:rsidR="00F97ADE">
          <w:rPr>
            <w:rFonts w:asciiTheme="minorHAnsi" w:hAnsiTheme="minorHAnsi"/>
            <w:iCs w:val="0"/>
            <w:noProof/>
            <w:szCs w:val="22"/>
          </w:rPr>
          <w:tab/>
        </w:r>
        <w:r w:rsidR="00F97ADE" w:rsidRPr="00212579">
          <w:rPr>
            <w:rStyle w:val="Hyperlink"/>
            <w:noProof/>
          </w:rPr>
          <w:t>Steps in the Freshwater Planning Process</w:t>
        </w:r>
        <w:r w:rsidR="00F97ADE">
          <w:rPr>
            <w:noProof/>
            <w:webHidden/>
          </w:rPr>
          <w:tab/>
        </w:r>
        <w:r w:rsidR="00F97ADE">
          <w:rPr>
            <w:noProof/>
            <w:webHidden/>
          </w:rPr>
          <w:fldChar w:fldCharType="begin"/>
        </w:r>
        <w:r w:rsidR="00F97ADE">
          <w:rPr>
            <w:noProof/>
            <w:webHidden/>
          </w:rPr>
          <w:instrText xml:space="preserve"> PAGEREF _Toc50469814 \h </w:instrText>
        </w:r>
        <w:r w:rsidR="00F97ADE">
          <w:rPr>
            <w:noProof/>
            <w:webHidden/>
          </w:rPr>
        </w:r>
        <w:r w:rsidR="00F97ADE">
          <w:rPr>
            <w:noProof/>
            <w:webHidden/>
          </w:rPr>
          <w:fldChar w:fldCharType="separate"/>
        </w:r>
        <w:r w:rsidR="00F97ADE">
          <w:rPr>
            <w:noProof/>
            <w:webHidden/>
          </w:rPr>
          <w:t>6</w:t>
        </w:r>
        <w:r w:rsidR="00F97ADE">
          <w:rPr>
            <w:noProof/>
            <w:webHidden/>
          </w:rPr>
          <w:fldChar w:fldCharType="end"/>
        </w:r>
      </w:hyperlink>
    </w:p>
    <w:p w14:paraId="527AF785" w14:textId="266BACEE" w:rsidR="00F97ADE" w:rsidRDefault="007A4C71">
      <w:pPr>
        <w:pStyle w:val="TableofFigures"/>
        <w:tabs>
          <w:tab w:val="right" w:pos="8494"/>
        </w:tabs>
        <w:rPr>
          <w:rFonts w:asciiTheme="minorHAnsi" w:hAnsiTheme="minorHAnsi"/>
          <w:iCs w:val="0"/>
          <w:noProof/>
          <w:szCs w:val="22"/>
        </w:rPr>
      </w:pPr>
      <w:hyperlink w:anchor="_Toc50469815" w:history="1">
        <w:r w:rsidR="00F97ADE" w:rsidRPr="00212579">
          <w:rPr>
            <w:rStyle w:val="Hyperlink"/>
            <w:noProof/>
          </w:rPr>
          <w:t xml:space="preserve">Figure 2: </w:t>
        </w:r>
        <w:r w:rsidR="00F97ADE">
          <w:rPr>
            <w:rFonts w:asciiTheme="minorHAnsi" w:hAnsiTheme="minorHAnsi"/>
            <w:iCs w:val="0"/>
            <w:noProof/>
            <w:szCs w:val="22"/>
          </w:rPr>
          <w:tab/>
        </w:r>
        <w:r w:rsidR="00F97ADE" w:rsidRPr="00212579">
          <w:rPr>
            <w:rStyle w:val="Hyperlink"/>
            <w:noProof/>
          </w:rPr>
          <w:t>Freshwater Commissioners and Freshwater Hearings Panels</w:t>
        </w:r>
        <w:r w:rsidR="00F97ADE">
          <w:rPr>
            <w:noProof/>
            <w:webHidden/>
          </w:rPr>
          <w:tab/>
        </w:r>
        <w:r w:rsidR="00F97ADE">
          <w:rPr>
            <w:noProof/>
            <w:webHidden/>
          </w:rPr>
          <w:fldChar w:fldCharType="begin"/>
        </w:r>
        <w:r w:rsidR="00F97ADE">
          <w:rPr>
            <w:noProof/>
            <w:webHidden/>
          </w:rPr>
          <w:instrText xml:space="preserve"> PAGEREF _Toc50469815 \h </w:instrText>
        </w:r>
        <w:r w:rsidR="00F97ADE">
          <w:rPr>
            <w:noProof/>
            <w:webHidden/>
          </w:rPr>
        </w:r>
        <w:r w:rsidR="00F97ADE">
          <w:rPr>
            <w:noProof/>
            <w:webHidden/>
          </w:rPr>
          <w:fldChar w:fldCharType="separate"/>
        </w:r>
        <w:r w:rsidR="00F97ADE">
          <w:rPr>
            <w:noProof/>
            <w:webHidden/>
          </w:rPr>
          <w:t>8</w:t>
        </w:r>
        <w:r w:rsidR="00F97ADE">
          <w:rPr>
            <w:noProof/>
            <w:webHidden/>
          </w:rPr>
          <w:fldChar w:fldCharType="end"/>
        </w:r>
      </w:hyperlink>
    </w:p>
    <w:p w14:paraId="52769882" w14:textId="2A5DCC96" w:rsidR="00F97ADE" w:rsidRDefault="007A4C71">
      <w:pPr>
        <w:pStyle w:val="TableofFigures"/>
        <w:tabs>
          <w:tab w:val="right" w:pos="8494"/>
        </w:tabs>
        <w:rPr>
          <w:rFonts w:asciiTheme="minorHAnsi" w:hAnsiTheme="minorHAnsi"/>
          <w:iCs w:val="0"/>
          <w:noProof/>
          <w:szCs w:val="22"/>
        </w:rPr>
      </w:pPr>
      <w:hyperlink w:anchor="_Toc50469816" w:history="1">
        <w:r w:rsidR="00F97ADE" w:rsidRPr="00212579">
          <w:rPr>
            <w:rStyle w:val="Hyperlink"/>
            <w:rFonts w:eastAsia="Calibri"/>
            <w:noProof/>
            <w:lang w:eastAsia="en-US"/>
          </w:rPr>
          <w:t xml:space="preserve">Figure 3: </w:t>
        </w:r>
        <w:r w:rsidR="00F97ADE">
          <w:rPr>
            <w:rFonts w:asciiTheme="minorHAnsi" w:hAnsiTheme="minorHAnsi"/>
            <w:iCs w:val="0"/>
            <w:noProof/>
            <w:szCs w:val="22"/>
          </w:rPr>
          <w:tab/>
        </w:r>
        <w:r w:rsidR="00F97ADE" w:rsidRPr="00212579">
          <w:rPr>
            <w:rStyle w:val="Hyperlink"/>
            <w:rFonts w:eastAsia="Calibri"/>
            <w:noProof/>
            <w:lang w:eastAsia="en-US"/>
          </w:rPr>
          <w:t>Appeal rights under the Freshwater Planning Process</w:t>
        </w:r>
        <w:r w:rsidR="00F97ADE">
          <w:rPr>
            <w:noProof/>
            <w:webHidden/>
          </w:rPr>
          <w:tab/>
        </w:r>
        <w:r w:rsidR="00F97ADE">
          <w:rPr>
            <w:noProof/>
            <w:webHidden/>
          </w:rPr>
          <w:fldChar w:fldCharType="begin"/>
        </w:r>
        <w:r w:rsidR="00F97ADE">
          <w:rPr>
            <w:noProof/>
            <w:webHidden/>
          </w:rPr>
          <w:instrText xml:space="preserve"> PAGEREF _Toc50469816 \h </w:instrText>
        </w:r>
        <w:r w:rsidR="00F97ADE">
          <w:rPr>
            <w:noProof/>
            <w:webHidden/>
          </w:rPr>
        </w:r>
        <w:r w:rsidR="00F97ADE">
          <w:rPr>
            <w:noProof/>
            <w:webHidden/>
          </w:rPr>
          <w:fldChar w:fldCharType="separate"/>
        </w:r>
        <w:r w:rsidR="00F97ADE">
          <w:rPr>
            <w:noProof/>
            <w:webHidden/>
          </w:rPr>
          <w:t>22</w:t>
        </w:r>
        <w:r w:rsidR="00F97ADE">
          <w:rPr>
            <w:noProof/>
            <w:webHidden/>
          </w:rPr>
          <w:fldChar w:fldCharType="end"/>
        </w:r>
      </w:hyperlink>
    </w:p>
    <w:p w14:paraId="561B9855" w14:textId="57D5A734" w:rsidR="00895B28" w:rsidRPr="00D162EE" w:rsidRDefault="00895B28" w:rsidP="008D6237">
      <w:pPr>
        <w:pStyle w:val="BodyText"/>
        <w:rPr>
          <w:rFonts w:eastAsiaTheme="majorEastAsia"/>
        </w:rPr>
      </w:pPr>
      <w:r w:rsidRPr="00D162EE">
        <w:rPr>
          <w:rFonts w:eastAsiaTheme="majorEastAsia"/>
        </w:rPr>
        <w:fldChar w:fldCharType="end"/>
      </w:r>
    </w:p>
    <w:p w14:paraId="21A5E583" w14:textId="74628AB5" w:rsidR="00895B28" w:rsidRPr="00D162EE" w:rsidRDefault="00895B28" w:rsidP="008D6237">
      <w:pPr>
        <w:pStyle w:val="BodyText"/>
        <w:rPr>
          <w:rFonts w:eastAsiaTheme="majorEastAsia"/>
        </w:rPr>
      </w:pPr>
    </w:p>
    <w:p w14:paraId="037043D5" w14:textId="04E70272" w:rsidR="00895B28" w:rsidRPr="00D162EE" w:rsidRDefault="00895B28" w:rsidP="008D6237">
      <w:pPr>
        <w:pStyle w:val="BodyText"/>
        <w:rPr>
          <w:rFonts w:eastAsiaTheme="majorEastAsia"/>
        </w:rPr>
      </w:pPr>
    </w:p>
    <w:p w14:paraId="2D558E81" w14:textId="4D0E85FB" w:rsidR="00895B28" w:rsidRPr="00D162EE" w:rsidRDefault="00975F2F" w:rsidP="00975F2F">
      <w:pPr>
        <w:pStyle w:val="Heading"/>
      </w:pPr>
      <w:r w:rsidRPr="00D162EE">
        <w:t>Table</w:t>
      </w:r>
    </w:p>
    <w:p w14:paraId="00FC1AEB" w14:textId="6D015A8A" w:rsidR="00F97ADE" w:rsidRDefault="00975F2F">
      <w:pPr>
        <w:pStyle w:val="TableofFigures"/>
        <w:tabs>
          <w:tab w:val="right" w:pos="8494"/>
        </w:tabs>
        <w:rPr>
          <w:rFonts w:asciiTheme="minorHAnsi" w:hAnsiTheme="minorHAnsi"/>
          <w:iCs w:val="0"/>
          <w:noProof/>
          <w:szCs w:val="22"/>
        </w:rPr>
      </w:pPr>
      <w:r w:rsidRPr="00D162EE">
        <w:rPr>
          <w:rFonts w:eastAsiaTheme="majorEastAsia"/>
        </w:rPr>
        <w:fldChar w:fldCharType="begin"/>
      </w:r>
      <w:r w:rsidRPr="00D162EE">
        <w:rPr>
          <w:rFonts w:eastAsiaTheme="majorEastAsia"/>
        </w:rPr>
        <w:instrText xml:space="preserve"> TOC \h \z \t "Table heading" \c </w:instrText>
      </w:r>
      <w:r w:rsidRPr="00D162EE">
        <w:rPr>
          <w:rFonts w:eastAsiaTheme="majorEastAsia"/>
        </w:rPr>
        <w:fldChar w:fldCharType="separate"/>
      </w:r>
      <w:hyperlink w:anchor="_Toc50469817" w:history="1">
        <w:r w:rsidR="00F97ADE" w:rsidRPr="004C18DF">
          <w:rPr>
            <w:rStyle w:val="Hyperlink"/>
            <w:noProof/>
          </w:rPr>
          <w:t>Table 1: Duties and powers of freshwater hearings panels</w:t>
        </w:r>
        <w:r w:rsidR="00F97ADE">
          <w:rPr>
            <w:noProof/>
            <w:webHidden/>
          </w:rPr>
          <w:tab/>
        </w:r>
        <w:r w:rsidR="00F97ADE">
          <w:rPr>
            <w:noProof/>
            <w:webHidden/>
          </w:rPr>
          <w:fldChar w:fldCharType="begin"/>
        </w:r>
        <w:r w:rsidR="00F97ADE">
          <w:rPr>
            <w:noProof/>
            <w:webHidden/>
          </w:rPr>
          <w:instrText xml:space="preserve"> PAGEREF _Toc50469817 \h </w:instrText>
        </w:r>
        <w:r w:rsidR="00F97ADE">
          <w:rPr>
            <w:noProof/>
            <w:webHidden/>
          </w:rPr>
        </w:r>
        <w:r w:rsidR="00F97ADE">
          <w:rPr>
            <w:noProof/>
            <w:webHidden/>
          </w:rPr>
          <w:fldChar w:fldCharType="separate"/>
        </w:r>
        <w:r w:rsidR="00F97ADE">
          <w:rPr>
            <w:noProof/>
            <w:webHidden/>
          </w:rPr>
          <w:t>15</w:t>
        </w:r>
        <w:r w:rsidR="00F97ADE">
          <w:rPr>
            <w:noProof/>
            <w:webHidden/>
          </w:rPr>
          <w:fldChar w:fldCharType="end"/>
        </w:r>
      </w:hyperlink>
    </w:p>
    <w:p w14:paraId="024FDE44" w14:textId="2ACFCD1A" w:rsidR="00975F2F" w:rsidRPr="00D162EE" w:rsidRDefault="00975F2F" w:rsidP="008D6237">
      <w:pPr>
        <w:pStyle w:val="BodyText"/>
        <w:rPr>
          <w:rFonts w:eastAsiaTheme="majorEastAsia"/>
        </w:rPr>
      </w:pPr>
      <w:r w:rsidRPr="00D162EE">
        <w:rPr>
          <w:rFonts w:eastAsiaTheme="majorEastAsia"/>
        </w:rPr>
        <w:fldChar w:fldCharType="end"/>
      </w:r>
    </w:p>
    <w:p w14:paraId="69DCCC5B" w14:textId="5C59508D" w:rsidR="000C4D35" w:rsidRPr="00D162EE" w:rsidRDefault="000C4D35" w:rsidP="00C26167">
      <w:pPr>
        <w:pStyle w:val="TOC1"/>
        <w:tabs>
          <w:tab w:val="right" w:pos="9498"/>
        </w:tabs>
        <w:ind w:right="425"/>
        <w:rPr>
          <w:rStyle w:val="Heading1Char"/>
          <w:rFonts w:asciiTheme="minorHAnsi" w:eastAsiaTheme="minorEastAsia" w:hAnsiTheme="minorHAnsi" w:cstheme="minorBidi"/>
          <w:b w:val="0"/>
          <w:bCs/>
          <w:color w:val="auto"/>
          <w:sz w:val="24"/>
          <w:szCs w:val="24"/>
        </w:rPr>
      </w:pPr>
      <w:r w:rsidRPr="00D162EE">
        <w:rPr>
          <w:rStyle w:val="Heading1Char"/>
          <w:rFonts w:eastAsia="Times New Roman" w:cs="Times New Roman"/>
        </w:rPr>
        <w:br w:type="page"/>
      </w:r>
    </w:p>
    <w:p w14:paraId="72FE7071" w14:textId="5271BCBC" w:rsidR="00AA45FD" w:rsidRPr="00D162EE" w:rsidRDefault="00AA45FD" w:rsidP="00C73EC6">
      <w:pPr>
        <w:pStyle w:val="Heading1"/>
      </w:pPr>
      <w:bookmarkStart w:id="14" w:name="_Toc50020630"/>
      <w:bookmarkStart w:id="15" w:name="_Toc50469793"/>
      <w:r w:rsidRPr="00D162EE">
        <w:rPr>
          <w:rFonts w:eastAsia="Times New Roman"/>
        </w:rPr>
        <w:lastRenderedPageBreak/>
        <w:t>F</w:t>
      </w:r>
      <w:r w:rsidR="00C67400">
        <w:rPr>
          <w:rFonts w:eastAsia="Times New Roman"/>
        </w:rPr>
        <w:t>reshwater Planning Process</w:t>
      </w:r>
      <w:r w:rsidRPr="00D162EE">
        <w:rPr>
          <w:rFonts w:eastAsia="Times New Roman"/>
        </w:rPr>
        <w:t xml:space="preserve"> at a glance</w:t>
      </w:r>
      <w:bookmarkEnd w:id="14"/>
      <w:bookmarkEnd w:id="15"/>
    </w:p>
    <w:p w14:paraId="18FC78C3" w14:textId="0DDED4E9" w:rsidR="00501957" w:rsidRPr="00D162EE" w:rsidRDefault="00AA45FD" w:rsidP="00C73EC6">
      <w:pPr>
        <w:pStyle w:val="Bullet"/>
      </w:pPr>
      <w:r w:rsidRPr="00D162EE">
        <w:t xml:space="preserve">The </w:t>
      </w:r>
      <w:r w:rsidR="00882F54" w:rsidRPr="00D162EE">
        <w:t>Freshwater Planning Process (</w:t>
      </w:r>
      <w:r w:rsidRPr="00D162EE">
        <w:t>FPP</w:t>
      </w:r>
      <w:r w:rsidR="00882F54" w:rsidRPr="00D162EE">
        <w:t>)</w:t>
      </w:r>
      <w:r w:rsidRPr="00D162EE">
        <w:t xml:space="preserve"> is a new plan-making process that regional councils must follow when preparing, changing, or varying regional policy statements and regional plans that give effect to </w:t>
      </w:r>
      <w:r w:rsidR="00882F54" w:rsidRPr="00D162EE">
        <w:t>any</w:t>
      </w:r>
      <w:r w:rsidRPr="00D162EE">
        <w:t xml:space="preserve"> </w:t>
      </w:r>
      <w:r w:rsidR="00882F54" w:rsidRPr="00D162EE">
        <w:t>national policy statement for freshwater management</w:t>
      </w:r>
      <w:r w:rsidRPr="00D162EE">
        <w:t>, or otherwise relate to freshwater (‘freshwater planning instruments’).</w:t>
      </w:r>
    </w:p>
    <w:p w14:paraId="051E4628" w14:textId="595DCDC9" w:rsidR="00644889" w:rsidRPr="00D162EE" w:rsidRDefault="00644889" w:rsidP="00C73EC6">
      <w:pPr>
        <w:pStyle w:val="Bullet"/>
      </w:pPr>
      <w:r w:rsidRPr="00D162EE">
        <w:t>Regional councils must use the FPP for all freshwater planning instruments even if they</w:t>
      </w:r>
      <w:r w:rsidR="00CF1945">
        <w:t> </w:t>
      </w:r>
      <w:r w:rsidRPr="00D162EE">
        <w:t>are not intended to give effect to the National Policy Statement for Freshwater Management 2020</w:t>
      </w:r>
      <w:r w:rsidR="00C67400">
        <w:t xml:space="preserve"> (NPS-FM 2020)</w:t>
      </w:r>
      <w:r w:rsidRPr="00D162EE">
        <w:t>. If parts of a policy statement or plan relate to freshwater and parts do</w:t>
      </w:r>
      <w:r w:rsidR="00CF1945">
        <w:t> </w:t>
      </w:r>
      <w:r w:rsidRPr="00D162EE">
        <w:t>not, only the freshwater related parts can use the FPP.</w:t>
      </w:r>
    </w:p>
    <w:p w14:paraId="62DDC2BC" w14:textId="61CCDA78" w:rsidR="00AA45FD" w:rsidRPr="00D162EE" w:rsidRDefault="00AA45FD" w:rsidP="00C73EC6">
      <w:pPr>
        <w:pStyle w:val="Bullet"/>
      </w:pPr>
      <w:r w:rsidRPr="00D162EE">
        <w:t>The FPP is ov</w:t>
      </w:r>
      <w:r w:rsidR="00D748A9" w:rsidRPr="00D162EE">
        <w:t>erseen by the Chief Freshwater C</w:t>
      </w:r>
      <w:r w:rsidRPr="00D162EE">
        <w:t>ommissioner, who is supported by highly-skilled freshwater commissioners</w:t>
      </w:r>
      <w:r w:rsidR="0057791F" w:rsidRPr="00D162EE">
        <w:t xml:space="preserve"> – all appointed by the Minister for the Environment.</w:t>
      </w:r>
    </w:p>
    <w:p w14:paraId="7DC3DE62" w14:textId="07C71CCF" w:rsidR="00AA45FD" w:rsidRPr="00D162EE" w:rsidRDefault="00AA45FD" w:rsidP="00C73EC6">
      <w:pPr>
        <w:pStyle w:val="Bullet"/>
      </w:pPr>
      <w:r w:rsidRPr="00D162EE">
        <w:t>A FPP starts when the freshwater planning instrument is publicly notified and must be completed within two years.</w:t>
      </w:r>
    </w:p>
    <w:p w14:paraId="6773277B" w14:textId="18BDA774" w:rsidR="00AA45FD" w:rsidRPr="00D162EE" w:rsidRDefault="00AA45FD" w:rsidP="00C73EC6">
      <w:pPr>
        <w:pStyle w:val="Bullet"/>
      </w:pPr>
      <w:r w:rsidRPr="00D162EE">
        <w:t xml:space="preserve">If the purpose of the freshwater planning instrument is to give effect to the </w:t>
      </w:r>
      <w:r w:rsidR="00183B6D" w:rsidRPr="00D162EE">
        <w:t>NPS-FM</w:t>
      </w:r>
      <w:r w:rsidR="00C67400">
        <w:t xml:space="preserve"> 2020</w:t>
      </w:r>
      <w:r w:rsidRPr="00D162EE">
        <w:t xml:space="preserve">, it must be </w:t>
      </w:r>
      <w:r w:rsidR="000A04F1" w:rsidRPr="00D162EE">
        <w:t>p</w:t>
      </w:r>
      <w:r w:rsidR="00183B6D" w:rsidRPr="00D162EE">
        <w:t>ublic</w:t>
      </w:r>
      <w:r w:rsidR="000A04F1" w:rsidRPr="00D162EE">
        <w:t xml:space="preserve">ly </w:t>
      </w:r>
      <w:r w:rsidRPr="00D162EE">
        <w:t>notified by no later than 31 December 2024. Extensions can be sought to any part of the process within the 2-year timeframe up to a total of 12 months but changes to the notification date are not possible.</w:t>
      </w:r>
    </w:p>
    <w:p w14:paraId="483EA676" w14:textId="097F9595" w:rsidR="0052763D" w:rsidRPr="00D162EE" w:rsidRDefault="00AA45FD" w:rsidP="00C73EC6">
      <w:pPr>
        <w:pStyle w:val="Bullet"/>
      </w:pPr>
      <w:r w:rsidRPr="00D162EE">
        <w:t>Shortly after a proposed freshwater planning instrument or change is notified, the Chief</w:t>
      </w:r>
      <w:r w:rsidR="000139D9">
        <w:t> </w:t>
      </w:r>
      <w:r w:rsidRPr="00D162EE">
        <w:t xml:space="preserve">will convene a freshwater hearings panel to hear submissions and make recommendations. The freshwater hearings panel </w:t>
      </w:r>
      <w:r w:rsidR="00D748A9" w:rsidRPr="00D162EE">
        <w:t xml:space="preserve">will </w:t>
      </w:r>
      <w:r w:rsidRPr="00D162EE">
        <w:t xml:space="preserve">normally </w:t>
      </w:r>
      <w:r w:rsidR="00D748A9" w:rsidRPr="00D162EE">
        <w:t xml:space="preserve">be </w:t>
      </w:r>
      <w:r w:rsidRPr="00D162EE">
        <w:t>made up of two freshwater commissioners, two council nominees and one tangata whenua nominee.</w:t>
      </w:r>
      <w:r w:rsidR="0052763D" w:rsidRPr="00D162EE">
        <w:t xml:space="preserve"> </w:t>
      </w:r>
    </w:p>
    <w:p w14:paraId="6B5C8B6C" w14:textId="08A0133F" w:rsidR="00AA45FD" w:rsidRPr="00D162EE" w:rsidRDefault="00BA6DC3" w:rsidP="00C73EC6">
      <w:pPr>
        <w:pStyle w:val="Bullet"/>
      </w:pPr>
      <w:r w:rsidRPr="00D162EE">
        <w:t>The freshwater hearings panel</w:t>
      </w:r>
      <w:r w:rsidR="0052763D" w:rsidRPr="00D162EE">
        <w:t xml:space="preserve"> must provide the report and recommendations to the council 40 days before the 2</w:t>
      </w:r>
      <w:r w:rsidR="00C67400">
        <w:t>-</w:t>
      </w:r>
      <w:r w:rsidR="0052763D" w:rsidRPr="00D162EE">
        <w:t>year decision making timeframe expires.</w:t>
      </w:r>
      <w:r w:rsidRPr="00D162EE">
        <w:t xml:space="preserve"> </w:t>
      </w:r>
      <w:r w:rsidR="00AA45FD" w:rsidRPr="00D162EE">
        <w:t>The regional council</w:t>
      </w:r>
      <w:r w:rsidR="00DC2A3A" w:rsidRPr="00D162EE">
        <w:t> </w:t>
      </w:r>
      <w:r w:rsidR="00AA45FD" w:rsidRPr="00D162EE">
        <w:t>must make decisions on the</w:t>
      </w:r>
      <w:r w:rsidR="00A54946" w:rsidRPr="00D162EE">
        <w:t xml:space="preserve"> freshwater hearing panel’s </w:t>
      </w:r>
      <w:r w:rsidR="00AA45FD" w:rsidRPr="00D162EE">
        <w:t>recommendations within 40 working days</w:t>
      </w:r>
      <w:r w:rsidR="0052763D" w:rsidRPr="00D162EE">
        <w:t xml:space="preserve"> of receiving them</w:t>
      </w:r>
      <w:r w:rsidR="00C67400">
        <w:t>.</w:t>
      </w:r>
    </w:p>
    <w:p w14:paraId="78F624D2" w14:textId="01DCED63" w:rsidR="00AA45FD" w:rsidRPr="00D162EE" w:rsidRDefault="0057791F" w:rsidP="00C73EC6">
      <w:pPr>
        <w:pStyle w:val="Bullet"/>
      </w:pPr>
      <w:r w:rsidRPr="00D162EE">
        <w:t xml:space="preserve">Appeal rights </w:t>
      </w:r>
      <w:r w:rsidR="00F21268" w:rsidRPr="00D162EE">
        <w:t xml:space="preserve">are </w:t>
      </w:r>
      <w:r w:rsidR="00B44E11" w:rsidRPr="00D162EE">
        <w:t xml:space="preserve">limited </w:t>
      </w:r>
      <w:r w:rsidR="00F21268" w:rsidRPr="00D162EE">
        <w:t xml:space="preserve">compared to the </w:t>
      </w:r>
      <w:r w:rsidR="00AA45FD" w:rsidRPr="00D162EE">
        <w:t>standard plan-making process under the RMA.</w:t>
      </w:r>
      <w:r w:rsidR="00F21268" w:rsidRPr="00D162EE">
        <w:t xml:space="preserve"> Where a council accepts the panel’s recommendation, a person who submitted on that matter can appeal to the High Court on a point of law. Where a council rejects the panel’s recommendation, a merit appeal is available to the Environment Court by a person whose submission </w:t>
      </w:r>
      <w:r w:rsidR="009B71CF" w:rsidRPr="00D162EE">
        <w:t xml:space="preserve">addressed </w:t>
      </w:r>
      <w:r w:rsidR="00F21268" w:rsidRPr="00D162EE">
        <w:t>that particular matter.</w:t>
      </w:r>
    </w:p>
    <w:p w14:paraId="6796AAE2" w14:textId="13D4672D" w:rsidR="00AA45FD" w:rsidRPr="00D162EE" w:rsidRDefault="00AA45FD" w:rsidP="0091657C">
      <w:pPr>
        <w:pStyle w:val="BodyText"/>
      </w:pPr>
      <w:r w:rsidRPr="00D162EE">
        <w:t>Figure 1 summarises the main steps of the freshwater planning process and statutory timeframes.</w:t>
      </w:r>
    </w:p>
    <w:p w14:paraId="1C707F9D" w14:textId="5E2C186F" w:rsidR="00AA45FD" w:rsidRPr="00D162EE" w:rsidRDefault="00AA45FD" w:rsidP="00F86C63">
      <w:pPr>
        <w:pStyle w:val="Figureheading"/>
      </w:pPr>
      <w:bookmarkStart w:id="16" w:name="_Toc50469814"/>
      <w:r w:rsidRPr="00D162EE">
        <w:lastRenderedPageBreak/>
        <w:t xml:space="preserve">Figure 1: </w:t>
      </w:r>
      <w:r w:rsidR="00F86C63" w:rsidRPr="00D162EE">
        <w:tab/>
      </w:r>
      <w:r w:rsidRPr="00D162EE">
        <w:t>Steps in the Freshwater Planning Process</w:t>
      </w:r>
      <w:bookmarkEnd w:id="16"/>
      <w:r w:rsidRPr="00D162EE">
        <w:t xml:space="preserve"> </w:t>
      </w:r>
    </w:p>
    <w:p w14:paraId="03DB1D0F" w14:textId="2D0F8757" w:rsidR="00C95952" w:rsidRPr="00D162EE" w:rsidRDefault="009431E3" w:rsidP="006C063E">
      <w:pPr>
        <w:pStyle w:val="BodyText"/>
      </w:pPr>
      <w:r>
        <w:rPr>
          <w:noProof/>
        </w:rPr>
        <w:drawing>
          <wp:inline distT="0" distB="0" distL="0" distR="0" wp14:anchorId="47C7EF45" wp14:editId="59786919">
            <wp:extent cx="5713614" cy="8252998"/>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vsd - Figure 1 FPP process diagram.png"/>
                    <pic:cNvPicPr/>
                  </pic:nvPicPr>
                  <pic:blipFill>
                    <a:blip r:embed="rId17">
                      <a:extLst>
                        <a:ext uri="{28A0092B-C50C-407E-A947-70E740481C1C}">
                          <a14:useLocalDpi xmlns:a14="http://schemas.microsoft.com/office/drawing/2010/main" val="0"/>
                        </a:ext>
                      </a:extLst>
                    </a:blip>
                    <a:stretch>
                      <a:fillRect/>
                    </a:stretch>
                  </pic:blipFill>
                  <pic:spPr>
                    <a:xfrm>
                      <a:off x="0" y="0"/>
                      <a:ext cx="5716425" cy="8257059"/>
                    </a:xfrm>
                    <a:prstGeom prst="rect">
                      <a:avLst/>
                    </a:prstGeom>
                  </pic:spPr>
                </pic:pic>
              </a:graphicData>
            </a:graphic>
          </wp:inline>
        </w:drawing>
      </w:r>
    </w:p>
    <w:p w14:paraId="54ECB1CD" w14:textId="65BC808A" w:rsidR="00AA45FD" w:rsidRPr="00D162EE" w:rsidRDefault="00AA45FD" w:rsidP="00710C43">
      <w:pPr>
        <w:pStyle w:val="BodyText"/>
      </w:pPr>
      <w:r w:rsidRPr="00D162EE">
        <w:rPr>
          <w:lang w:eastAsia="en-US"/>
        </w:rPr>
        <w:br w:type="page"/>
      </w:r>
    </w:p>
    <w:p w14:paraId="5698B6A5" w14:textId="489B3DB7" w:rsidR="000C4D35" w:rsidRPr="00D162EE" w:rsidRDefault="000C4D35" w:rsidP="00373558">
      <w:pPr>
        <w:pStyle w:val="Heading1"/>
        <w:rPr>
          <w:lang w:eastAsia="en-US"/>
        </w:rPr>
      </w:pPr>
      <w:bookmarkStart w:id="17" w:name="_Toc50020631"/>
      <w:bookmarkStart w:id="18" w:name="_Toc50469794"/>
      <w:r w:rsidRPr="00D162EE">
        <w:rPr>
          <w:lang w:eastAsia="en-US"/>
        </w:rPr>
        <w:lastRenderedPageBreak/>
        <w:t>Part o</w:t>
      </w:r>
      <w:r w:rsidRPr="00D162EE">
        <w:rPr>
          <w:rStyle w:val="Heading1Char"/>
          <w:rFonts w:eastAsia="Times New Roman" w:cs="Times New Roman"/>
          <w:b/>
        </w:rPr>
        <w:t>ne –</w:t>
      </w:r>
      <w:r w:rsidRPr="00D162EE">
        <w:rPr>
          <w:lang w:eastAsia="en-US"/>
        </w:rPr>
        <w:t xml:space="preserve"> </w:t>
      </w:r>
      <w:r w:rsidR="00416350">
        <w:t>i</w:t>
      </w:r>
      <w:r w:rsidRPr="00D162EE">
        <w:t>ntroduction</w:t>
      </w:r>
      <w:bookmarkEnd w:id="17"/>
      <w:bookmarkEnd w:id="18"/>
    </w:p>
    <w:p w14:paraId="3BA3ADE2" w14:textId="6A232A0B" w:rsidR="000C4D35" w:rsidRPr="00D162EE" w:rsidRDefault="000C4D35" w:rsidP="003C04B1">
      <w:pPr>
        <w:pStyle w:val="Heading2"/>
        <w:spacing w:before="240"/>
      </w:pPr>
      <w:bookmarkStart w:id="19" w:name="_Toc50020632"/>
      <w:bookmarkStart w:id="20" w:name="_Toc50469795"/>
      <w:r w:rsidRPr="00D162EE">
        <w:rPr>
          <w:lang w:eastAsia="en-US"/>
        </w:rPr>
        <w:t>Purpose of this guide</w:t>
      </w:r>
      <w:bookmarkEnd w:id="19"/>
      <w:bookmarkEnd w:id="20"/>
    </w:p>
    <w:p w14:paraId="11529E0E" w14:textId="363097C2" w:rsidR="000C4D35" w:rsidRPr="00D162EE" w:rsidRDefault="000C4D35" w:rsidP="00373558">
      <w:pPr>
        <w:pStyle w:val="BodyText"/>
      </w:pPr>
      <w:r w:rsidRPr="00D162EE">
        <w:rPr>
          <w:rFonts w:eastAsia="Times New Roman"/>
        </w:rPr>
        <w:t xml:space="preserve">The purpose of this guide is to assist regional councils and unitary authorities (‘regional councils’) who are preparing regional </w:t>
      </w:r>
      <w:r w:rsidRPr="00D162EE">
        <w:t>policy</w:t>
      </w:r>
      <w:r w:rsidRPr="00D162EE">
        <w:rPr>
          <w:rFonts w:eastAsia="Times New Roman"/>
        </w:rPr>
        <w:t xml:space="preserve"> statements and regional plans (including changes) under the Freshwater Planning Process (FPP)</w:t>
      </w:r>
      <w:r w:rsidR="008E0734" w:rsidRPr="00D162EE">
        <w:rPr>
          <w:rFonts w:eastAsia="Times New Roman"/>
        </w:rPr>
        <w:t>. The FPP is</w:t>
      </w:r>
      <w:r w:rsidRPr="00D162EE">
        <w:rPr>
          <w:rFonts w:eastAsia="Times New Roman"/>
        </w:rPr>
        <w:t xml:space="preserve"> </w:t>
      </w:r>
      <w:r w:rsidR="00FF25F8" w:rsidRPr="00D162EE">
        <w:rPr>
          <w:rFonts w:eastAsia="Times New Roman"/>
        </w:rPr>
        <w:t>set out in</w:t>
      </w:r>
      <w:r w:rsidRPr="00D162EE">
        <w:rPr>
          <w:rFonts w:eastAsia="Times New Roman"/>
        </w:rPr>
        <w:t xml:space="preserve"> </w:t>
      </w:r>
      <w:r w:rsidR="00A17143" w:rsidRPr="00D162EE">
        <w:rPr>
          <w:rFonts w:eastAsia="Times New Roman"/>
        </w:rPr>
        <w:t xml:space="preserve">section 80A and </w:t>
      </w:r>
      <w:hyperlink r:id="rId18" w:history="1">
        <w:r w:rsidRPr="00D162EE">
          <w:rPr>
            <w:rFonts w:eastAsia="Times New Roman"/>
          </w:rPr>
          <w:t xml:space="preserve">Part </w:t>
        </w:r>
        <w:r w:rsidR="00D3743D" w:rsidRPr="00D162EE">
          <w:rPr>
            <w:rFonts w:eastAsia="Times New Roman"/>
          </w:rPr>
          <w:t>4</w:t>
        </w:r>
        <w:r w:rsidRPr="00D162EE">
          <w:rPr>
            <w:rFonts w:eastAsia="Times New Roman"/>
          </w:rPr>
          <w:t xml:space="preserve"> </w:t>
        </w:r>
        <w:r w:rsidR="00FF25F8" w:rsidRPr="00D162EE">
          <w:rPr>
            <w:rFonts w:eastAsia="Times New Roman"/>
          </w:rPr>
          <w:t xml:space="preserve">of </w:t>
        </w:r>
        <w:r w:rsidRPr="00D162EE">
          <w:rPr>
            <w:rFonts w:eastAsia="Times New Roman"/>
          </w:rPr>
          <w:t xml:space="preserve">Schedule 1 </w:t>
        </w:r>
      </w:hyperlink>
      <w:r w:rsidRPr="00D162EE">
        <w:rPr>
          <w:rFonts w:eastAsia="Times New Roman"/>
        </w:rPr>
        <w:t>of the Re</w:t>
      </w:r>
      <w:r w:rsidR="00D3743D" w:rsidRPr="00D162EE">
        <w:rPr>
          <w:rFonts w:eastAsia="Times New Roman"/>
        </w:rPr>
        <w:t>source Management Act 1991 (RMA</w:t>
      </w:r>
      <w:r w:rsidRPr="00D162EE">
        <w:rPr>
          <w:rFonts w:eastAsia="Times New Roman"/>
        </w:rPr>
        <w:t xml:space="preserve">). </w:t>
      </w:r>
    </w:p>
    <w:p w14:paraId="29864898" w14:textId="43832C16" w:rsidR="000C4D35" w:rsidRPr="00D162EE" w:rsidRDefault="000C4D35" w:rsidP="00373558">
      <w:pPr>
        <w:pStyle w:val="BodyText"/>
        <w:rPr>
          <w:rFonts w:eastAsia="Calibri"/>
          <w:lang w:eastAsia="en-US"/>
        </w:rPr>
      </w:pPr>
      <w:r w:rsidRPr="00D162EE">
        <w:rPr>
          <w:rFonts w:eastAsia="Calibri"/>
          <w:b/>
          <w:lang w:eastAsia="en-US"/>
        </w:rPr>
        <w:t>Part one</w:t>
      </w:r>
      <w:r w:rsidRPr="00D162EE">
        <w:rPr>
          <w:rFonts w:eastAsia="Calibri"/>
          <w:lang w:eastAsia="en-US"/>
        </w:rPr>
        <w:t xml:space="preserve"> of this guide provides background information, summarises the FPP and sets out which requirements of the </w:t>
      </w:r>
      <w:r w:rsidRPr="00D162EE">
        <w:t>standard</w:t>
      </w:r>
      <w:r w:rsidRPr="00D162EE">
        <w:rPr>
          <w:rFonts w:eastAsia="Calibri"/>
          <w:lang w:eastAsia="en-US"/>
        </w:rPr>
        <w:t xml:space="preserve"> Part 1 Schedule 1 process still apply. </w:t>
      </w:r>
    </w:p>
    <w:p w14:paraId="31D42BCB" w14:textId="580CC96D" w:rsidR="000C4D35" w:rsidRPr="00D162EE" w:rsidRDefault="000C4D35" w:rsidP="000C4D35">
      <w:pPr>
        <w:pStyle w:val="BodyText"/>
        <w:rPr>
          <w:rFonts w:eastAsia="Calibri"/>
          <w:lang w:eastAsia="en-US"/>
        </w:rPr>
      </w:pPr>
      <w:r w:rsidRPr="00D162EE">
        <w:rPr>
          <w:rFonts w:eastAsia="Calibri"/>
          <w:b/>
          <w:lang w:eastAsia="en-US"/>
        </w:rPr>
        <w:t>Part t</w:t>
      </w:r>
      <w:r w:rsidR="00710C43" w:rsidRPr="00D162EE">
        <w:rPr>
          <w:rFonts w:eastAsia="Calibri"/>
          <w:b/>
          <w:lang w:eastAsia="en-US"/>
        </w:rPr>
        <w:t>wo</w:t>
      </w:r>
      <w:r w:rsidRPr="00D162EE">
        <w:rPr>
          <w:rFonts w:eastAsia="Calibri"/>
          <w:lang w:eastAsia="en-US"/>
        </w:rPr>
        <w:t xml:space="preserve"> details</w:t>
      </w:r>
      <w:r w:rsidR="00A17143" w:rsidRPr="00D162EE">
        <w:rPr>
          <w:rFonts w:eastAsia="Calibri"/>
          <w:lang w:eastAsia="en-US"/>
        </w:rPr>
        <w:t xml:space="preserve"> the new </w:t>
      </w:r>
      <w:r w:rsidR="0052763D" w:rsidRPr="00D162EE">
        <w:rPr>
          <w:rFonts w:eastAsia="Calibri"/>
          <w:lang w:eastAsia="en-US"/>
        </w:rPr>
        <w:t xml:space="preserve">freshwater </w:t>
      </w:r>
      <w:r w:rsidR="00A17143" w:rsidRPr="00D162EE">
        <w:rPr>
          <w:rFonts w:eastAsia="Calibri"/>
          <w:lang w:eastAsia="en-US"/>
        </w:rPr>
        <w:t>commissioner and hearing panel roles created for the</w:t>
      </w:r>
      <w:r w:rsidR="00DC2A3A" w:rsidRPr="00D162EE">
        <w:rPr>
          <w:rFonts w:eastAsia="Calibri"/>
          <w:lang w:eastAsia="en-US"/>
        </w:rPr>
        <w:t> </w:t>
      </w:r>
      <w:r w:rsidR="00A17143" w:rsidRPr="00D162EE">
        <w:rPr>
          <w:rFonts w:eastAsia="Calibri"/>
          <w:lang w:eastAsia="en-US"/>
        </w:rPr>
        <w:t>process.</w:t>
      </w:r>
    </w:p>
    <w:p w14:paraId="33A0D407" w14:textId="428702AF" w:rsidR="000C4D35" w:rsidRPr="00D162EE" w:rsidRDefault="00710C43" w:rsidP="000C4D35">
      <w:pPr>
        <w:pStyle w:val="BodyText"/>
        <w:rPr>
          <w:rFonts w:eastAsia="Calibri"/>
          <w:lang w:eastAsia="en-US"/>
        </w:rPr>
      </w:pPr>
      <w:r w:rsidRPr="00D162EE">
        <w:rPr>
          <w:rFonts w:eastAsia="Calibri"/>
          <w:b/>
          <w:lang w:eastAsia="en-US"/>
        </w:rPr>
        <w:t>Part three</w:t>
      </w:r>
      <w:r w:rsidRPr="00D162EE">
        <w:rPr>
          <w:rFonts w:eastAsia="Calibri"/>
          <w:lang w:eastAsia="en-US"/>
        </w:rPr>
        <w:t xml:space="preserve"> sets out the main steps of the FPP and other process matters.</w:t>
      </w:r>
    </w:p>
    <w:p w14:paraId="3BF2DCBF" w14:textId="6A4A1EE6" w:rsidR="000C4D35" w:rsidRPr="00D162EE" w:rsidRDefault="000C4D35" w:rsidP="00373558">
      <w:pPr>
        <w:pStyle w:val="BodyText"/>
        <w:rPr>
          <w:rFonts w:eastAsia="Calibri"/>
          <w:lang w:eastAsia="en-US"/>
        </w:rPr>
      </w:pPr>
      <w:r w:rsidRPr="00D162EE">
        <w:rPr>
          <w:rFonts w:eastAsia="Calibri"/>
          <w:lang w:eastAsia="en-US"/>
        </w:rPr>
        <w:t xml:space="preserve">This guide has been written for a regional council audience. </w:t>
      </w:r>
      <w:r w:rsidR="00D25566" w:rsidRPr="00D162EE">
        <w:rPr>
          <w:rFonts w:eastAsia="Calibri"/>
          <w:lang w:eastAsia="en-US"/>
        </w:rPr>
        <w:t>Regional councils</w:t>
      </w:r>
      <w:r w:rsidRPr="00D162EE">
        <w:rPr>
          <w:rFonts w:eastAsia="Calibri"/>
          <w:lang w:eastAsia="en-US"/>
        </w:rPr>
        <w:t xml:space="preserve"> are welcome to</w:t>
      </w:r>
      <w:r w:rsidR="00DC2A3A" w:rsidRPr="00D162EE">
        <w:rPr>
          <w:rFonts w:eastAsia="Calibri"/>
          <w:lang w:eastAsia="en-US"/>
        </w:rPr>
        <w:t> </w:t>
      </w:r>
      <w:r w:rsidRPr="00D162EE">
        <w:rPr>
          <w:rFonts w:eastAsia="Calibri"/>
          <w:lang w:eastAsia="en-US"/>
        </w:rPr>
        <w:t xml:space="preserve">share this guide with the public, or use </w:t>
      </w:r>
      <w:r w:rsidRPr="00D162EE">
        <w:t>information</w:t>
      </w:r>
      <w:r w:rsidRPr="00D162EE">
        <w:rPr>
          <w:rFonts w:eastAsia="Calibri"/>
          <w:lang w:eastAsia="en-US"/>
        </w:rPr>
        <w:t xml:space="preserve"> in the guide to develop their own customer</w:t>
      </w:r>
      <w:r w:rsidR="00DC2A3A" w:rsidRPr="00D162EE">
        <w:rPr>
          <w:rFonts w:eastAsia="Calibri"/>
          <w:lang w:eastAsia="en-US"/>
        </w:rPr>
        <w:t> </w:t>
      </w:r>
      <w:r w:rsidRPr="00D162EE">
        <w:rPr>
          <w:rFonts w:eastAsia="Calibri"/>
          <w:lang w:eastAsia="en-US"/>
        </w:rPr>
        <w:t>information about the FPP. Please note this guide has no legal status and is not a</w:t>
      </w:r>
      <w:r w:rsidR="00DC2A3A" w:rsidRPr="00D162EE">
        <w:rPr>
          <w:rFonts w:eastAsia="Calibri"/>
          <w:lang w:eastAsia="en-US"/>
        </w:rPr>
        <w:t> </w:t>
      </w:r>
      <w:r w:rsidRPr="00D162EE">
        <w:rPr>
          <w:rFonts w:eastAsia="Calibri"/>
          <w:lang w:eastAsia="en-US"/>
        </w:rPr>
        <w:t xml:space="preserve">legal interpretation of the RMA. </w:t>
      </w:r>
    </w:p>
    <w:p w14:paraId="6F0B5ACF" w14:textId="49A14898" w:rsidR="000C4D35" w:rsidRPr="00D162EE" w:rsidRDefault="000C4D35" w:rsidP="00373558">
      <w:pPr>
        <w:pStyle w:val="Heading2"/>
      </w:pPr>
      <w:bookmarkStart w:id="21" w:name="_Toc50020633"/>
      <w:bookmarkStart w:id="22" w:name="_Toc50469796"/>
      <w:r w:rsidRPr="00D162EE">
        <w:t xml:space="preserve">Background to the 2020 </w:t>
      </w:r>
      <w:r w:rsidR="00EA2925">
        <w:t>a</w:t>
      </w:r>
      <w:r w:rsidRPr="00D162EE">
        <w:t>mendments</w:t>
      </w:r>
      <w:bookmarkEnd w:id="21"/>
      <w:bookmarkEnd w:id="22"/>
    </w:p>
    <w:p w14:paraId="21A7A5B8" w14:textId="1DC5A025" w:rsidR="005A0A3F" w:rsidRPr="00D162EE" w:rsidRDefault="00A17143" w:rsidP="000C4D35">
      <w:pPr>
        <w:pStyle w:val="BodyText"/>
        <w:rPr>
          <w:rFonts w:eastAsia="Times New Roman"/>
        </w:rPr>
      </w:pPr>
      <w:r w:rsidRPr="00D162EE">
        <w:rPr>
          <w:rFonts w:eastAsia="Times New Roman"/>
        </w:rPr>
        <w:t>To address the declining quality of freshwater, t</w:t>
      </w:r>
      <w:r w:rsidR="00D53301" w:rsidRPr="00D162EE">
        <w:rPr>
          <w:rFonts w:eastAsia="Times New Roman"/>
        </w:rPr>
        <w:t>he Government provides</w:t>
      </w:r>
      <w:r w:rsidR="000C4D35" w:rsidRPr="00D162EE">
        <w:rPr>
          <w:rFonts w:eastAsia="Times New Roman"/>
        </w:rPr>
        <w:t xml:space="preserve"> national direction on freshwater management </w:t>
      </w:r>
      <w:r w:rsidRPr="00D162EE">
        <w:rPr>
          <w:rFonts w:eastAsia="Times New Roman"/>
        </w:rPr>
        <w:t xml:space="preserve">through </w:t>
      </w:r>
      <w:r w:rsidR="000C4D35" w:rsidRPr="00D162EE">
        <w:rPr>
          <w:rFonts w:eastAsia="Times New Roman"/>
        </w:rPr>
        <w:t>the National Policy Statement for Freshwater Management</w:t>
      </w:r>
      <w:r w:rsidR="00DC2A3A" w:rsidRPr="00D162EE">
        <w:rPr>
          <w:rFonts w:eastAsia="Times New Roman"/>
        </w:rPr>
        <w:t>.</w:t>
      </w:r>
      <w:r w:rsidR="00D53301" w:rsidRPr="00D162EE">
        <w:rPr>
          <w:rStyle w:val="FootnoteReference"/>
          <w:rFonts w:eastAsia="Times New Roman"/>
        </w:rPr>
        <w:footnoteReference w:id="1"/>
      </w:r>
      <w:r w:rsidRPr="00D162EE">
        <w:rPr>
          <w:rFonts w:eastAsia="Times New Roman"/>
        </w:rPr>
        <w:t xml:space="preserve"> </w:t>
      </w:r>
      <w:r w:rsidR="005A0A3F" w:rsidRPr="00D162EE">
        <w:rPr>
          <w:rFonts w:eastAsia="Times New Roman"/>
        </w:rPr>
        <w:t xml:space="preserve">The NPS-FM 2020 </w:t>
      </w:r>
      <w:r w:rsidR="00BC33FF" w:rsidRPr="00D162EE">
        <w:rPr>
          <w:rFonts w:eastAsia="Times New Roman"/>
        </w:rPr>
        <w:t>came into force</w:t>
      </w:r>
      <w:r w:rsidR="009B71CF" w:rsidRPr="00D162EE">
        <w:rPr>
          <w:rFonts w:eastAsia="Times New Roman"/>
        </w:rPr>
        <w:t xml:space="preserve"> on</w:t>
      </w:r>
      <w:r w:rsidR="00BC33FF" w:rsidRPr="00D162EE">
        <w:rPr>
          <w:rFonts w:eastAsia="Times New Roman"/>
        </w:rPr>
        <w:t xml:space="preserve"> 3 September 2020</w:t>
      </w:r>
      <w:r w:rsidR="002B625F" w:rsidRPr="00D162EE">
        <w:rPr>
          <w:rFonts w:eastAsia="Times New Roman"/>
        </w:rPr>
        <w:t>.</w:t>
      </w:r>
    </w:p>
    <w:p w14:paraId="378D5AB0" w14:textId="15BB95D6" w:rsidR="000C4D35" w:rsidRPr="00D162EE" w:rsidRDefault="00F21268" w:rsidP="000C4D35">
      <w:pPr>
        <w:pStyle w:val="BodyText"/>
        <w:rPr>
          <w:rFonts w:eastAsia="Calibri"/>
          <w:lang w:eastAsia="en-US"/>
        </w:rPr>
      </w:pPr>
      <w:r w:rsidRPr="00D162EE">
        <w:rPr>
          <w:rFonts w:eastAsia="Times New Roman"/>
        </w:rPr>
        <w:t>In 2017</w:t>
      </w:r>
      <w:r w:rsidR="000C4D35" w:rsidRPr="00D162EE">
        <w:rPr>
          <w:rFonts w:eastAsia="Times New Roman"/>
        </w:rPr>
        <w:t xml:space="preserve"> the Ministry for the Environment reviewed</w:t>
      </w:r>
      <w:r w:rsidR="009B71CF" w:rsidRPr="00D162EE">
        <w:rPr>
          <w:rFonts w:eastAsia="Times New Roman"/>
        </w:rPr>
        <w:t xml:space="preserve"> regional</w:t>
      </w:r>
      <w:r w:rsidR="000C4D35" w:rsidRPr="00D162EE">
        <w:rPr>
          <w:rFonts w:eastAsia="Times New Roman"/>
        </w:rPr>
        <w:t xml:space="preserve"> councils’ progress in implementing the </w:t>
      </w:r>
      <w:r w:rsidR="00D3743D" w:rsidRPr="00D162EE">
        <w:rPr>
          <w:rFonts w:eastAsia="Times New Roman"/>
        </w:rPr>
        <w:t xml:space="preserve">previous </w:t>
      </w:r>
      <w:r w:rsidR="000C4D35" w:rsidRPr="00D162EE">
        <w:rPr>
          <w:rFonts w:eastAsia="Times New Roman"/>
        </w:rPr>
        <w:t>NPS-</w:t>
      </w:r>
      <w:r w:rsidR="00710C43" w:rsidRPr="00D162EE">
        <w:rPr>
          <w:rFonts w:eastAsia="Times New Roman"/>
        </w:rPr>
        <w:t>FM 2014 (amended 2017)</w:t>
      </w:r>
      <w:r w:rsidR="005A0A3F" w:rsidRPr="00D162EE">
        <w:rPr>
          <w:rFonts w:eastAsia="Times New Roman"/>
        </w:rPr>
        <w:t>.</w:t>
      </w:r>
      <w:r w:rsidRPr="00D162EE">
        <w:rPr>
          <w:rStyle w:val="FootnoteReference"/>
          <w:rFonts w:eastAsia="Times New Roman"/>
        </w:rPr>
        <w:footnoteReference w:id="2"/>
      </w:r>
      <w:r w:rsidR="005A0A3F" w:rsidRPr="00D162EE">
        <w:rPr>
          <w:rFonts w:eastAsia="Times New Roman"/>
        </w:rPr>
        <w:t xml:space="preserve"> The review </w:t>
      </w:r>
      <w:r w:rsidR="000C4D35" w:rsidRPr="00D162EE">
        <w:rPr>
          <w:rFonts w:eastAsia="Times New Roman"/>
        </w:rPr>
        <w:t>found that most councils w</w:t>
      </w:r>
      <w:r w:rsidR="00710C43" w:rsidRPr="00D162EE">
        <w:rPr>
          <w:rFonts w:eastAsia="Times New Roman"/>
        </w:rPr>
        <w:t>ere unable to fully implement the NPS-FM 2014</w:t>
      </w:r>
      <w:r w:rsidR="000C4D35" w:rsidRPr="00D162EE">
        <w:rPr>
          <w:rFonts w:eastAsia="Times New Roman"/>
        </w:rPr>
        <w:t xml:space="preserve"> for up to another decade. There were</w:t>
      </w:r>
      <w:r w:rsidR="00FA1B68" w:rsidRPr="00D162EE">
        <w:rPr>
          <w:rFonts w:eastAsia="Times New Roman"/>
        </w:rPr>
        <w:t xml:space="preserve"> several reasons </w:t>
      </w:r>
      <w:r w:rsidR="00BC68A0" w:rsidRPr="00D162EE">
        <w:rPr>
          <w:rFonts w:eastAsia="Times New Roman"/>
        </w:rPr>
        <w:t xml:space="preserve">identified </w:t>
      </w:r>
      <w:r w:rsidR="00FA1B68" w:rsidRPr="00D162EE">
        <w:rPr>
          <w:rFonts w:eastAsia="Times New Roman"/>
        </w:rPr>
        <w:t>for this</w:t>
      </w:r>
      <w:r w:rsidR="00FF25F8" w:rsidRPr="00D162EE">
        <w:rPr>
          <w:rFonts w:eastAsia="Times New Roman"/>
        </w:rPr>
        <w:t>, including</w:t>
      </w:r>
      <w:r w:rsidR="00D3743D" w:rsidRPr="00D162EE">
        <w:rPr>
          <w:rFonts w:eastAsia="Times New Roman"/>
        </w:rPr>
        <w:t xml:space="preserve"> that </w:t>
      </w:r>
      <w:r w:rsidR="000C4D35" w:rsidRPr="00D162EE">
        <w:rPr>
          <w:rFonts w:eastAsia="Times New Roman"/>
        </w:rPr>
        <w:t xml:space="preserve">the </w:t>
      </w:r>
      <w:r w:rsidR="00710C43" w:rsidRPr="00D162EE">
        <w:rPr>
          <w:rFonts w:eastAsia="Times New Roman"/>
        </w:rPr>
        <w:t>standard</w:t>
      </w:r>
      <w:r w:rsidR="002B625F" w:rsidRPr="00D162EE">
        <w:rPr>
          <w:rFonts w:eastAsia="Times New Roman"/>
        </w:rPr>
        <w:t xml:space="preserve"> </w:t>
      </w:r>
      <w:r w:rsidR="00D3743D" w:rsidRPr="00D162EE">
        <w:rPr>
          <w:rFonts w:eastAsia="Times New Roman"/>
        </w:rPr>
        <w:t>Schedule 1</w:t>
      </w:r>
      <w:r w:rsidR="002B625F" w:rsidRPr="00D162EE">
        <w:rPr>
          <w:rFonts w:eastAsia="Times New Roman"/>
        </w:rPr>
        <w:t xml:space="preserve"> </w:t>
      </w:r>
      <w:r w:rsidR="00FF25F8" w:rsidRPr="00D162EE">
        <w:rPr>
          <w:rFonts w:eastAsia="Times New Roman"/>
        </w:rPr>
        <w:t>plan making</w:t>
      </w:r>
      <w:r w:rsidR="00D3743D" w:rsidRPr="00D162EE">
        <w:rPr>
          <w:rFonts w:eastAsia="Times New Roman"/>
        </w:rPr>
        <w:t xml:space="preserve"> process</w:t>
      </w:r>
      <w:r w:rsidR="000C4D35" w:rsidRPr="00D162EE">
        <w:rPr>
          <w:rFonts w:eastAsia="Times New Roman"/>
        </w:rPr>
        <w:t xml:space="preserve"> </w:t>
      </w:r>
      <w:r w:rsidR="00BC33FF" w:rsidRPr="00D162EE">
        <w:rPr>
          <w:rFonts w:eastAsia="Times New Roman"/>
        </w:rPr>
        <w:t>would not deliver</w:t>
      </w:r>
      <w:r w:rsidR="001F44A7" w:rsidRPr="00D162EE">
        <w:rPr>
          <w:rFonts w:eastAsia="Times New Roman"/>
        </w:rPr>
        <w:t xml:space="preserve"> </w:t>
      </w:r>
      <w:r w:rsidR="000C4D35" w:rsidRPr="00D162EE">
        <w:rPr>
          <w:rFonts w:eastAsia="Times New Roman"/>
        </w:rPr>
        <w:t>plan changes in a</w:t>
      </w:r>
      <w:r w:rsidR="0065461D" w:rsidRPr="00D162EE">
        <w:rPr>
          <w:rFonts w:eastAsia="Times New Roman"/>
        </w:rPr>
        <w:t>n acceptable</w:t>
      </w:r>
      <w:r w:rsidR="000C4D35" w:rsidRPr="00D162EE">
        <w:rPr>
          <w:rFonts w:eastAsia="Times New Roman"/>
        </w:rPr>
        <w:t xml:space="preserve"> timeframe </w:t>
      </w:r>
      <w:r w:rsidR="0065461D" w:rsidRPr="00D162EE">
        <w:rPr>
          <w:rFonts w:eastAsia="Times New Roman"/>
        </w:rPr>
        <w:t>to achieve</w:t>
      </w:r>
      <w:r w:rsidR="000C4D35" w:rsidRPr="00D162EE">
        <w:rPr>
          <w:rFonts w:eastAsia="Times New Roman"/>
        </w:rPr>
        <w:t xml:space="preserve"> </w:t>
      </w:r>
      <w:r w:rsidR="00BC33FF" w:rsidRPr="00D162EE">
        <w:rPr>
          <w:rFonts w:eastAsia="Times New Roman"/>
        </w:rPr>
        <w:t>improved</w:t>
      </w:r>
      <w:r w:rsidR="000C4D35" w:rsidRPr="00D162EE">
        <w:rPr>
          <w:rFonts w:eastAsia="Times New Roman"/>
        </w:rPr>
        <w:t xml:space="preserve"> </w:t>
      </w:r>
      <w:r w:rsidR="00D3743D" w:rsidRPr="00D162EE">
        <w:rPr>
          <w:rFonts w:eastAsia="Times New Roman"/>
        </w:rPr>
        <w:t xml:space="preserve">freshwater </w:t>
      </w:r>
      <w:r w:rsidR="000C4D35" w:rsidRPr="00D162EE">
        <w:rPr>
          <w:rFonts w:eastAsia="Times New Roman"/>
        </w:rPr>
        <w:t>outcomes.</w:t>
      </w:r>
      <w:r w:rsidR="000C4D35" w:rsidRPr="00D162EE">
        <w:rPr>
          <w:rFonts w:eastAsia="Calibri"/>
          <w:highlight w:val="cyan"/>
          <w:lang w:eastAsia="en-US"/>
        </w:rPr>
        <w:t xml:space="preserve"> </w:t>
      </w:r>
    </w:p>
    <w:p w14:paraId="1581A2DD" w14:textId="632DCF8A" w:rsidR="00523010" w:rsidRPr="00D162EE" w:rsidRDefault="00A17143" w:rsidP="000C4D35">
      <w:pPr>
        <w:pStyle w:val="BodyText"/>
        <w:rPr>
          <w:rFonts w:eastAsia="Calibri"/>
          <w:lang w:eastAsia="en-US"/>
        </w:rPr>
      </w:pPr>
      <w:r w:rsidRPr="00D162EE">
        <w:rPr>
          <w:rFonts w:eastAsia="Times New Roman"/>
        </w:rPr>
        <w:t xml:space="preserve">A new plan-making process, referred to as the </w:t>
      </w:r>
      <w:r w:rsidR="00EA2925">
        <w:rPr>
          <w:rFonts w:eastAsia="Times New Roman"/>
        </w:rPr>
        <w:t>F</w:t>
      </w:r>
      <w:r w:rsidRPr="00D162EE">
        <w:rPr>
          <w:rFonts w:eastAsia="Times New Roman"/>
        </w:rPr>
        <w:t xml:space="preserve">reshwater </w:t>
      </w:r>
      <w:r w:rsidR="00EA2925">
        <w:rPr>
          <w:rFonts w:eastAsia="Times New Roman"/>
        </w:rPr>
        <w:t>P</w:t>
      </w:r>
      <w:r w:rsidRPr="00D162EE">
        <w:rPr>
          <w:rFonts w:eastAsia="Times New Roman"/>
        </w:rPr>
        <w:t xml:space="preserve">lanning </w:t>
      </w:r>
      <w:r w:rsidR="00EA2925">
        <w:rPr>
          <w:rFonts w:eastAsia="Times New Roman"/>
        </w:rPr>
        <w:t>P</w:t>
      </w:r>
      <w:r w:rsidRPr="00D162EE">
        <w:rPr>
          <w:rFonts w:eastAsia="Times New Roman"/>
        </w:rPr>
        <w:t xml:space="preserve">rocess (FPP) was introduced by the </w:t>
      </w:r>
      <w:hyperlink r:id="rId19" w:history="1">
        <w:r w:rsidRPr="00D162EE">
          <w:rPr>
            <w:rFonts w:eastAsia="Times New Roman"/>
          </w:rPr>
          <w:t>Resource Management Amendment Act 2020</w:t>
        </w:r>
      </w:hyperlink>
      <w:r w:rsidRPr="00D162EE">
        <w:rPr>
          <w:rFonts w:eastAsia="Times New Roman"/>
        </w:rPr>
        <w:t xml:space="preserve"> (Amendment Act) to </w:t>
      </w:r>
      <w:r w:rsidR="000C4D35" w:rsidRPr="00D162EE">
        <w:rPr>
          <w:rFonts w:eastAsia="Times New Roman"/>
        </w:rPr>
        <w:t>support</w:t>
      </w:r>
      <w:r w:rsidR="006B4C8A" w:rsidRPr="00D162EE">
        <w:rPr>
          <w:rFonts w:eastAsia="Times New Roman"/>
        </w:rPr>
        <w:t> </w:t>
      </w:r>
      <w:r w:rsidR="000C4D35" w:rsidRPr="00D162EE">
        <w:rPr>
          <w:rFonts w:eastAsia="Times New Roman"/>
        </w:rPr>
        <w:t>the need for urgent action to improve freshwater outcomes</w:t>
      </w:r>
      <w:r w:rsidRPr="00D162EE">
        <w:rPr>
          <w:rFonts w:eastAsia="Times New Roman"/>
        </w:rPr>
        <w:t xml:space="preserve">. </w:t>
      </w:r>
      <w:r w:rsidR="00C62C53" w:rsidRPr="00D162EE">
        <w:rPr>
          <w:rFonts w:eastAsia="Calibri"/>
          <w:lang w:eastAsia="en-US"/>
        </w:rPr>
        <w:t xml:space="preserve">This </w:t>
      </w:r>
      <w:r w:rsidR="00523010" w:rsidRPr="00D162EE">
        <w:rPr>
          <w:rFonts w:eastAsia="Calibri"/>
          <w:lang w:eastAsia="en-US"/>
        </w:rPr>
        <w:t xml:space="preserve">process is </w:t>
      </w:r>
      <w:r w:rsidR="00C62C53" w:rsidRPr="00D162EE">
        <w:rPr>
          <w:rFonts w:eastAsia="Calibri"/>
          <w:lang w:eastAsia="en-US"/>
        </w:rPr>
        <w:t>set out in</w:t>
      </w:r>
      <w:r w:rsidR="00715E0E">
        <w:rPr>
          <w:rFonts w:eastAsia="Calibri"/>
          <w:lang w:eastAsia="en-US"/>
        </w:rPr>
        <w:t> </w:t>
      </w:r>
      <w:r w:rsidRPr="00D162EE">
        <w:rPr>
          <w:rFonts w:eastAsia="Calibri"/>
          <w:lang w:eastAsia="en-US"/>
        </w:rPr>
        <w:t xml:space="preserve">section 80A and </w:t>
      </w:r>
      <w:r w:rsidR="00523010" w:rsidRPr="00D162EE">
        <w:rPr>
          <w:rFonts w:eastAsia="Calibri"/>
          <w:lang w:eastAsia="en-US"/>
        </w:rPr>
        <w:t>new Part 4</w:t>
      </w:r>
      <w:r w:rsidR="00FF25F8" w:rsidRPr="00D162EE">
        <w:rPr>
          <w:rFonts w:eastAsia="Calibri"/>
          <w:lang w:eastAsia="en-US"/>
        </w:rPr>
        <w:t xml:space="preserve"> of</w:t>
      </w:r>
      <w:r w:rsidR="00523010" w:rsidRPr="00D162EE">
        <w:rPr>
          <w:rFonts w:eastAsia="Calibri"/>
          <w:lang w:eastAsia="en-US"/>
        </w:rPr>
        <w:t xml:space="preserve"> Schedule 1</w:t>
      </w:r>
      <w:r w:rsidR="00C62C53" w:rsidRPr="00D162EE">
        <w:rPr>
          <w:rFonts w:eastAsia="Calibri"/>
          <w:lang w:eastAsia="en-US"/>
        </w:rPr>
        <w:t xml:space="preserve"> of the RMA</w:t>
      </w:r>
      <w:r w:rsidR="00523010" w:rsidRPr="00D162EE">
        <w:rPr>
          <w:rFonts w:eastAsia="Calibri"/>
          <w:lang w:eastAsia="en-US"/>
        </w:rPr>
        <w:t>.</w:t>
      </w:r>
      <w:r w:rsidR="00C62C53" w:rsidRPr="00D162EE">
        <w:rPr>
          <w:rStyle w:val="FootnoteReference"/>
          <w:rFonts w:eastAsia="Calibri"/>
          <w:lang w:eastAsia="en-US"/>
        </w:rPr>
        <w:footnoteReference w:id="3"/>
      </w:r>
      <w:r w:rsidR="00C62C53" w:rsidRPr="00D162EE">
        <w:rPr>
          <w:rFonts w:eastAsia="Calibri"/>
          <w:lang w:eastAsia="en-US"/>
        </w:rPr>
        <w:t xml:space="preserve"> </w:t>
      </w:r>
      <w:r w:rsidR="00641697" w:rsidRPr="00D162EE">
        <w:rPr>
          <w:rFonts w:eastAsia="Times New Roman"/>
        </w:rPr>
        <w:t xml:space="preserve">The Amendment Act </w:t>
      </w:r>
      <w:r w:rsidR="00C62C53" w:rsidRPr="00D162EE">
        <w:rPr>
          <w:rFonts w:eastAsia="Times New Roman"/>
        </w:rPr>
        <w:t xml:space="preserve">came into </w:t>
      </w:r>
      <w:r w:rsidR="009B71CF" w:rsidRPr="00D162EE">
        <w:rPr>
          <w:rFonts w:eastAsia="Times New Roman"/>
        </w:rPr>
        <w:t>force</w:t>
      </w:r>
      <w:r w:rsidR="00715E0E">
        <w:rPr>
          <w:rFonts w:eastAsia="Times New Roman"/>
        </w:rPr>
        <w:t> </w:t>
      </w:r>
      <w:r w:rsidR="00C62C53" w:rsidRPr="00D162EE">
        <w:rPr>
          <w:rFonts w:eastAsia="Times New Roman"/>
        </w:rPr>
        <w:t>on 1 July 2020</w:t>
      </w:r>
      <w:r w:rsidR="00C62C53" w:rsidRPr="00D162EE">
        <w:rPr>
          <w:rFonts w:eastAsia="Calibri"/>
          <w:lang w:eastAsia="en-US"/>
        </w:rPr>
        <w:t>.</w:t>
      </w:r>
    </w:p>
    <w:p w14:paraId="6E5355D9" w14:textId="4FD4CE19" w:rsidR="00874213" w:rsidRPr="00D162EE" w:rsidRDefault="00523010" w:rsidP="003C04B1">
      <w:pPr>
        <w:pStyle w:val="BodyText"/>
      </w:pPr>
      <w:r w:rsidRPr="00D162EE">
        <w:rPr>
          <w:rFonts w:eastAsia="Calibri"/>
          <w:lang w:eastAsia="en-US"/>
        </w:rPr>
        <w:t xml:space="preserve">The FPP </w:t>
      </w:r>
      <w:r w:rsidR="00C62C53" w:rsidRPr="00D162EE">
        <w:rPr>
          <w:rFonts w:eastAsia="Calibri"/>
          <w:lang w:eastAsia="en-US"/>
        </w:rPr>
        <w:t>will enable the</w:t>
      </w:r>
      <w:r w:rsidRPr="00D162EE">
        <w:rPr>
          <w:rFonts w:eastAsia="Calibri"/>
          <w:lang w:eastAsia="en-US"/>
        </w:rPr>
        <w:t xml:space="preserve"> timely implementation of the NPS-FM by imposing a deadline for notifying proposed freshwater planning instruments that give effect</w:t>
      </w:r>
      <w:r w:rsidR="00C62C53" w:rsidRPr="00D162EE">
        <w:rPr>
          <w:rFonts w:eastAsia="Calibri"/>
          <w:lang w:eastAsia="en-US"/>
        </w:rPr>
        <w:t xml:space="preserve"> to the NPS-FM</w:t>
      </w:r>
      <w:r w:rsidR="00EA2925">
        <w:rPr>
          <w:rFonts w:eastAsia="Calibri"/>
          <w:lang w:eastAsia="en-US"/>
        </w:rPr>
        <w:t xml:space="preserve"> 2020</w:t>
      </w:r>
      <w:r w:rsidRPr="00D162EE">
        <w:rPr>
          <w:rFonts w:eastAsia="Calibri"/>
          <w:lang w:eastAsia="en-US"/>
        </w:rPr>
        <w:t xml:space="preserve">, </w:t>
      </w:r>
      <w:r w:rsidR="0043607A" w:rsidRPr="00D162EE">
        <w:rPr>
          <w:rFonts w:eastAsia="Calibri"/>
          <w:lang w:eastAsia="en-US"/>
        </w:rPr>
        <w:t xml:space="preserve">retaining </w:t>
      </w:r>
      <w:r w:rsidRPr="00D162EE">
        <w:rPr>
          <w:rFonts w:eastAsia="Calibri"/>
          <w:lang w:eastAsia="en-US"/>
        </w:rPr>
        <w:t>a</w:t>
      </w:r>
      <w:r w:rsidR="00715E0E">
        <w:rPr>
          <w:rFonts w:eastAsia="Calibri"/>
          <w:lang w:eastAsia="en-US"/>
        </w:rPr>
        <w:t> </w:t>
      </w:r>
      <w:r w:rsidRPr="00D162EE">
        <w:rPr>
          <w:rFonts w:eastAsia="Calibri"/>
          <w:lang w:eastAsia="en-US"/>
        </w:rPr>
        <w:t>two-year</w:t>
      </w:r>
      <w:r w:rsidR="002B625F" w:rsidRPr="00D162EE">
        <w:rPr>
          <w:rFonts w:eastAsia="Calibri"/>
          <w:lang w:eastAsia="en-US"/>
        </w:rPr>
        <w:t xml:space="preserve"> time limit for </w:t>
      </w:r>
      <w:r w:rsidR="00C62C53" w:rsidRPr="00D162EE">
        <w:rPr>
          <w:rFonts w:eastAsia="Calibri"/>
          <w:lang w:eastAsia="en-US"/>
        </w:rPr>
        <w:t>decision-making</w:t>
      </w:r>
      <w:r w:rsidR="00382923" w:rsidRPr="00D162EE">
        <w:rPr>
          <w:rFonts w:eastAsia="Calibri"/>
          <w:lang w:eastAsia="en-US"/>
        </w:rPr>
        <w:t xml:space="preserve">, and </w:t>
      </w:r>
      <w:r w:rsidR="0027200A" w:rsidRPr="00D162EE">
        <w:rPr>
          <w:rFonts w:eastAsia="Calibri"/>
          <w:lang w:eastAsia="en-US"/>
        </w:rPr>
        <w:t xml:space="preserve">restricting certain appeals. </w:t>
      </w:r>
      <w:r w:rsidR="00874213" w:rsidRPr="00D162EE">
        <w:br w:type="page"/>
      </w:r>
    </w:p>
    <w:p w14:paraId="03643BD6" w14:textId="20881B3A" w:rsidR="00954A80" w:rsidRPr="00D162EE" w:rsidRDefault="00954A80" w:rsidP="003C04B1">
      <w:pPr>
        <w:pStyle w:val="Heading1"/>
      </w:pPr>
      <w:bookmarkStart w:id="23" w:name="_Part_two_–"/>
      <w:bookmarkStart w:id="24" w:name="_Toc50020634"/>
      <w:bookmarkStart w:id="25" w:name="_Toc50469797"/>
      <w:bookmarkEnd w:id="23"/>
      <w:r w:rsidRPr="00D162EE">
        <w:lastRenderedPageBreak/>
        <w:t>Part two – new roles under the F</w:t>
      </w:r>
      <w:r w:rsidR="00EA2925">
        <w:t xml:space="preserve">reshwater </w:t>
      </w:r>
      <w:r w:rsidRPr="00D162EE">
        <w:t>P</w:t>
      </w:r>
      <w:r w:rsidR="00EA2925">
        <w:t xml:space="preserve">lanning </w:t>
      </w:r>
      <w:r w:rsidRPr="00D162EE">
        <w:t>P</w:t>
      </w:r>
      <w:bookmarkEnd w:id="24"/>
      <w:r w:rsidR="00EA2925">
        <w:t>rocess</w:t>
      </w:r>
      <w:bookmarkEnd w:id="25"/>
    </w:p>
    <w:p w14:paraId="375835F1" w14:textId="38FEE4A6" w:rsidR="00954A80" w:rsidRPr="00D162EE" w:rsidRDefault="00F0608B" w:rsidP="008D3ACE">
      <w:pPr>
        <w:pStyle w:val="BodyText"/>
      </w:pPr>
      <w:r w:rsidRPr="00D162EE">
        <w:t xml:space="preserve">New freshwater commissioner roles and freshwater hearings panels have been created to support the FPP – see </w:t>
      </w:r>
      <w:r w:rsidR="00EA2925">
        <w:t>f</w:t>
      </w:r>
      <w:r w:rsidR="006A1A22" w:rsidRPr="00D162EE">
        <w:t>igure 2</w:t>
      </w:r>
      <w:r w:rsidR="00954A80" w:rsidRPr="00D162EE">
        <w:t>.</w:t>
      </w:r>
    </w:p>
    <w:p w14:paraId="5EBE6854" w14:textId="6B4D818B" w:rsidR="00954A80" w:rsidRPr="00D162EE" w:rsidRDefault="00954A80" w:rsidP="008D3ACE">
      <w:pPr>
        <w:pStyle w:val="Figureheading"/>
      </w:pPr>
      <w:bookmarkStart w:id="26" w:name="_Toc50469815"/>
      <w:r w:rsidRPr="00D162EE">
        <w:t xml:space="preserve">Figure </w:t>
      </w:r>
      <w:r w:rsidR="006A1A22" w:rsidRPr="00D162EE">
        <w:t>2</w:t>
      </w:r>
      <w:r w:rsidRPr="00D162EE">
        <w:t xml:space="preserve">: </w:t>
      </w:r>
      <w:r w:rsidR="008D3ACE" w:rsidRPr="00D162EE">
        <w:tab/>
      </w:r>
      <w:r w:rsidR="0065461D" w:rsidRPr="00D162EE">
        <w:t>Freshwater Commissioners and Freshwater Hearings Panels</w:t>
      </w:r>
      <w:bookmarkEnd w:id="26"/>
    </w:p>
    <w:p w14:paraId="08129EF5" w14:textId="1F171C77" w:rsidR="00471D4F" w:rsidRPr="00D162EE" w:rsidRDefault="00416350" w:rsidP="00954A80">
      <w:pPr>
        <w:pStyle w:val="BodyText"/>
      </w:pPr>
      <w:r>
        <w:rPr>
          <w:noProof/>
        </w:rPr>
        <w:drawing>
          <wp:inline distT="0" distB="0" distL="0" distR="0" wp14:anchorId="54ABCA82" wp14:editId="1228C9D8">
            <wp:extent cx="5400040" cy="403303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vsd -Figure 2 FPP commissioner and hearing panel role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00040" cy="4033036"/>
                    </a:xfrm>
                    <a:prstGeom prst="rect">
                      <a:avLst/>
                    </a:prstGeom>
                  </pic:spPr>
                </pic:pic>
              </a:graphicData>
            </a:graphic>
          </wp:inline>
        </w:drawing>
      </w:r>
    </w:p>
    <w:p w14:paraId="179D6FB3" w14:textId="2F2381A5" w:rsidR="00954A80" w:rsidRPr="00D162EE" w:rsidRDefault="00954A80" w:rsidP="00954A80">
      <w:pPr>
        <w:pStyle w:val="Heading2"/>
      </w:pPr>
      <w:bookmarkStart w:id="27" w:name="_Toc50020635"/>
      <w:bookmarkStart w:id="28" w:name="_Toc50469798"/>
      <w:r w:rsidRPr="00D162EE">
        <w:t>Chief Freshwater Commissioner</w:t>
      </w:r>
      <w:bookmarkEnd w:id="27"/>
      <w:bookmarkEnd w:id="28"/>
    </w:p>
    <w:p w14:paraId="0DD2E545" w14:textId="4E494CD7" w:rsidR="00954A80" w:rsidRPr="00D162EE" w:rsidRDefault="00954A80" w:rsidP="003C06BA">
      <w:pPr>
        <w:pStyle w:val="BodyText"/>
      </w:pPr>
      <w:r w:rsidRPr="00D162EE">
        <w:t>The Chief Freshwater Commissioner</w:t>
      </w:r>
      <w:r w:rsidR="00407254" w:rsidRPr="00D162EE">
        <w:rPr>
          <w:rStyle w:val="FootnoteReference"/>
        </w:rPr>
        <w:footnoteReference w:id="4"/>
      </w:r>
      <w:r w:rsidRPr="00D162EE">
        <w:t xml:space="preserve"> </w:t>
      </w:r>
      <w:r w:rsidR="00ED293D" w:rsidRPr="00D162EE">
        <w:t xml:space="preserve">(‘Chief’) </w:t>
      </w:r>
      <w:r w:rsidRPr="00D162EE">
        <w:t>is appointed by the Minister for the Environment and must be a current or retired Environment Court Judge (Schedule 1, clause 65(3))</w:t>
      </w:r>
      <w:r w:rsidR="003C5145" w:rsidRPr="00D162EE">
        <w:t>.</w:t>
      </w:r>
    </w:p>
    <w:p w14:paraId="486380FE" w14:textId="170089CD" w:rsidR="00954A80" w:rsidRPr="00D162EE" w:rsidRDefault="00954A80" w:rsidP="00954A80">
      <w:pPr>
        <w:pStyle w:val="BodyText"/>
      </w:pPr>
      <w:r w:rsidRPr="00D162EE">
        <w:t xml:space="preserve">The Chief is tasked with overseeing the scheduling of freshwater hearings, convening each freshwater hearings panel, and managing the group of freshwater commissioners. </w:t>
      </w:r>
    </w:p>
    <w:p w14:paraId="2C58731B" w14:textId="1D31C1C6" w:rsidR="00954A80" w:rsidRPr="00D162EE" w:rsidRDefault="00954A80" w:rsidP="00954A80">
      <w:pPr>
        <w:pStyle w:val="BodyText"/>
      </w:pPr>
      <w:r w:rsidRPr="00D162EE">
        <w:t>The Chief has the following powers and functions:</w:t>
      </w:r>
    </w:p>
    <w:p w14:paraId="58449CB0" w14:textId="0C4B0537" w:rsidR="00954A80" w:rsidRPr="00D162EE" w:rsidRDefault="00954A80" w:rsidP="003C06BA">
      <w:pPr>
        <w:pStyle w:val="Bullet"/>
      </w:pPr>
      <w:r w:rsidRPr="00D162EE">
        <w:t>de</w:t>
      </w:r>
      <w:r w:rsidR="004B6BD6" w:rsidRPr="00D162EE">
        <w:t>ciding</w:t>
      </w:r>
      <w:r w:rsidRPr="00D162EE">
        <w:t xml:space="preserve"> when freshwater hearings panels are to be convened</w:t>
      </w:r>
      <w:r w:rsidR="00407254" w:rsidRPr="00D162EE">
        <w:t xml:space="preserve"> (clause 58)</w:t>
      </w:r>
    </w:p>
    <w:p w14:paraId="5B3BE986" w14:textId="315C507B" w:rsidR="00954A80" w:rsidRPr="00D162EE" w:rsidRDefault="004B6BD6" w:rsidP="003C06BA">
      <w:pPr>
        <w:pStyle w:val="Bullet"/>
      </w:pPr>
      <w:r w:rsidRPr="00D162EE">
        <w:t>determining</w:t>
      </w:r>
      <w:r w:rsidR="00954A80" w:rsidRPr="00D162EE">
        <w:t xml:space="preserve"> the appropriate size and composition of a freshwater hearings panel</w:t>
      </w:r>
      <w:r w:rsidR="00407254" w:rsidRPr="00D162EE">
        <w:t xml:space="preserve"> (clauses</w:t>
      </w:r>
      <w:r w:rsidR="003C06BA" w:rsidRPr="00D162EE">
        <w:t> </w:t>
      </w:r>
      <w:r w:rsidR="00407254" w:rsidRPr="00D162EE">
        <w:t>58, 59)</w:t>
      </w:r>
    </w:p>
    <w:p w14:paraId="247A8E80" w14:textId="6EB242FF" w:rsidR="00954A80" w:rsidRPr="00D162EE" w:rsidRDefault="00954A80" w:rsidP="003C06BA">
      <w:pPr>
        <w:pStyle w:val="Bullet"/>
      </w:pPr>
      <w:r w:rsidRPr="00D162EE">
        <w:lastRenderedPageBreak/>
        <w:t>consider</w:t>
      </w:r>
      <w:r w:rsidR="004B6BD6" w:rsidRPr="00D162EE">
        <w:t>ing</w:t>
      </w:r>
      <w:r w:rsidRPr="00D162EE">
        <w:t xml:space="preserve"> council and tangata whenua nominations to a freshwater hearings panel</w:t>
      </w:r>
      <w:r w:rsidR="00407254" w:rsidRPr="00D162EE">
        <w:t xml:space="preserve"> (clauses 58, 59)</w:t>
      </w:r>
    </w:p>
    <w:p w14:paraId="0CB98FA8" w14:textId="21D48C34" w:rsidR="00954A80" w:rsidRPr="00D162EE" w:rsidRDefault="00954A80" w:rsidP="003C06BA">
      <w:pPr>
        <w:pStyle w:val="Bullet"/>
      </w:pPr>
      <w:r w:rsidRPr="00D162EE">
        <w:t>appoint</w:t>
      </w:r>
      <w:r w:rsidR="004B6BD6" w:rsidRPr="00D162EE">
        <w:t>ing</w:t>
      </w:r>
      <w:r w:rsidRPr="00D162EE">
        <w:t xml:space="preserve"> members to a freshwater hearings panel, including the chairperson who may be the Chief </w:t>
      </w:r>
      <w:r w:rsidR="00407254" w:rsidRPr="00D162EE">
        <w:t>(clauses 58, 59, 60)</w:t>
      </w:r>
    </w:p>
    <w:p w14:paraId="45C8DAA0" w14:textId="08222EF6" w:rsidR="00954A80" w:rsidRPr="00D162EE" w:rsidRDefault="00E61058" w:rsidP="003C06BA">
      <w:pPr>
        <w:pStyle w:val="Bullet"/>
      </w:pPr>
      <w:r w:rsidRPr="00D162EE">
        <w:t>approving or declining</w:t>
      </w:r>
      <w:r w:rsidR="00954A80" w:rsidRPr="00D162EE">
        <w:t xml:space="preserve"> requests from the chair of </w:t>
      </w:r>
      <w:r w:rsidRPr="00D162EE">
        <w:t xml:space="preserve">a freshwater hearings panel </w:t>
      </w:r>
      <w:r w:rsidR="00954A80" w:rsidRPr="00D162EE">
        <w:t xml:space="preserve">or a </w:t>
      </w:r>
      <w:r w:rsidRPr="00D162EE">
        <w:t xml:space="preserve">regional </w:t>
      </w:r>
      <w:r w:rsidR="00954A80" w:rsidRPr="00D162EE">
        <w:t>council to extend any part of the two-year freshwater planning process, including approving the request but with a different timeframe</w:t>
      </w:r>
      <w:r w:rsidRPr="00D162EE">
        <w:t xml:space="preserve"> (clause 47)</w:t>
      </w:r>
    </w:p>
    <w:p w14:paraId="4578079D" w14:textId="4BCAAA27" w:rsidR="00954A80" w:rsidRPr="00D162EE" w:rsidRDefault="00954A80" w:rsidP="003C06BA">
      <w:pPr>
        <w:pStyle w:val="Bullet"/>
      </w:pPr>
      <w:r w:rsidRPr="00D162EE">
        <w:t>to direct that a h</w:t>
      </w:r>
      <w:r w:rsidR="00E61058" w:rsidRPr="00D162EE">
        <w:t>earings panel be split into two</w:t>
      </w:r>
      <w:r w:rsidRPr="00D162EE">
        <w:t xml:space="preserve"> panels to hear a freshwater planning instrument, and to appoint additional chairpersons if required</w:t>
      </w:r>
      <w:r w:rsidR="00E61058" w:rsidRPr="00D162EE">
        <w:t xml:space="preserve"> (clause 58)</w:t>
      </w:r>
    </w:p>
    <w:p w14:paraId="28C8E38F" w14:textId="27E6BFFD" w:rsidR="00954A80" w:rsidRPr="00D162EE" w:rsidRDefault="00954A80" w:rsidP="003C06BA">
      <w:pPr>
        <w:pStyle w:val="Bullet"/>
      </w:pPr>
      <w:r w:rsidRPr="00D162EE">
        <w:t>to notify, remove and appoint</w:t>
      </w:r>
      <w:r w:rsidR="00407254" w:rsidRPr="00D162EE">
        <w:t xml:space="preserve"> new members to</w:t>
      </w:r>
      <w:r w:rsidRPr="00D162EE">
        <w:t xml:space="preserve"> a freshwater hearings panel</w:t>
      </w:r>
      <w:r w:rsidR="00407254" w:rsidRPr="00D162EE">
        <w:t xml:space="preserve"> (clause 62)</w:t>
      </w:r>
    </w:p>
    <w:p w14:paraId="3DCEB067" w14:textId="6E1E6C9B" w:rsidR="00954A80" w:rsidRPr="00D162EE" w:rsidRDefault="00954A80" w:rsidP="003C06BA">
      <w:pPr>
        <w:pStyle w:val="Bullet"/>
      </w:pPr>
      <w:r w:rsidRPr="00D162EE">
        <w:t>to accept or reject a variation to the freshwater planning instrument made after the council has provided documentation</w:t>
      </w:r>
      <w:r w:rsidR="00407254" w:rsidRPr="00D162EE">
        <w:t xml:space="preserve"> (clause 53</w:t>
      </w:r>
      <w:r w:rsidRPr="00D162EE">
        <w:t>).</w:t>
      </w:r>
    </w:p>
    <w:p w14:paraId="4F869E9D" w14:textId="67B8FC13" w:rsidR="00954A80" w:rsidRPr="00D162EE" w:rsidRDefault="00954A80" w:rsidP="00D42CAB">
      <w:pPr>
        <w:pStyle w:val="BodyText"/>
      </w:pPr>
      <w:r w:rsidRPr="00D162EE">
        <w:t xml:space="preserve">The Chief will be supported by secretariat services provided by the Government (such as the Ministry for the Environment or Environmental Protection Authority). The </w:t>
      </w:r>
      <w:r w:rsidR="0065461D" w:rsidRPr="00D162EE">
        <w:t>Crown</w:t>
      </w:r>
      <w:r w:rsidRPr="00D162EE">
        <w:t xml:space="preserve"> is responsible for funding the Chief and support</w:t>
      </w:r>
      <w:r w:rsidR="0065461D" w:rsidRPr="00D162EE">
        <w:t xml:space="preserve"> for</w:t>
      </w:r>
      <w:r w:rsidRPr="00D162EE">
        <w:t xml:space="preserve"> the role. </w:t>
      </w:r>
      <w:r w:rsidR="0065461D" w:rsidRPr="00D162EE">
        <w:t>R</w:t>
      </w:r>
      <w:r w:rsidRPr="00D162EE">
        <w:t>egional councils will</w:t>
      </w:r>
      <w:r w:rsidR="0065461D" w:rsidRPr="00D162EE">
        <w:t xml:space="preserve"> only</w:t>
      </w:r>
      <w:r w:rsidRPr="00D162EE">
        <w:t xml:space="preserve"> be responsib</w:t>
      </w:r>
      <w:r w:rsidR="0065461D" w:rsidRPr="00D162EE">
        <w:t>le for the costs of the Chief</w:t>
      </w:r>
      <w:r w:rsidRPr="00D162EE">
        <w:t xml:space="preserve"> if </w:t>
      </w:r>
      <w:r w:rsidR="0065461D" w:rsidRPr="00D162EE">
        <w:t>they are</w:t>
      </w:r>
      <w:r w:rsidRPr="00D162EE">
        <w:t xml:space="preserve"> appointed to a specific freshwater hearings panel. </w:t>
      </w:r>
    </w:p>
    <w:p w14:paraId="4C2E146F" w14:textId="1ED7C818" w:rsidR="00954A80" w:rsidRPr="00D162EE" w:rsidRDefault="00954A80" w:rsidP="001576C6">
      <w:pPr>
        <w:pStyle w:val="Heading2"/>
      </w:pPr>
      <w:bookmarkStart w:id="29" w:name="_Toc50020636"/>
      <w:bookmarkStart w:id="30" w:name="_Toc50469799"/>
      <w:r w:rsidRPr="00D162EE">
        <w:t>Freshwater commissioners</w:t>
      </w:r>
      <w:bookmarkEnd w:id="29"/>
      <w:bookmarkEnd w:id="30"/>
    </w:p>
    <w:p w14:paraId="1ED2B7D9" w14:textId="7351F496" w:rsidR="00954A80" w:rsidRPr="00D162EE" w:rsidRDefault="00954A80" w:rsidP="00954A80">
      <w:pPr>
        <w:pStyle w:val="BodyText"/>
      </w:pPr>
      <w:r w:rsidRPr="00D162EE">
        <w:t>The Minister for the Environment will appoint freshwater commissioners</w:t>
      </w:r>
      <w:r w:rsidR="001576C6" w:rsidRPr="00D162EE">
        <w:rPr>
          <w:rStyle w:val="FootnoteReference"/>
        </w:rPr>
        <w:footnoteReference w:id="5"/>
      </w:r>
      <w:r w:rsidR="001510A5" w:rsidRPr="00D162EE">
        <w:t xml:space="preserve"> (clause 65(1)</w:t>
      </w:r>
      <w:r w:rsidR="00A00DFE" w:rsidRPr="00D162EE">
        <w:t>)</w:t>
      </w:r>
      <w:r w:rsidR="002B18EC" w:rsidRPr="00D162EE">
        <w:t>.</w:t>
      </w:r>
      <w:r w:rsidRPr="00D162EE">
        <w:t xml:space="preserve"> The purpose of these appointments is to create a group of highly skilled commissioners who will be</w:t>
      </w:r>
      <w:r w:rsidR="00613EBE">
        <w:t> </w:t>
      </w:r>
      <w:r w:rsidRPr="00D162EE">
        <w:t>placed on specific freshwater hearings panels (in a similar way that the Chief Environment Court Judge appoints Environment Commissioners). This group of freshwater commissioners will be overseen by the Chief Freshwater Commissioner.</w:t>
      </w:r>
    </w:p>
    <w:p w14:paraId="01FA85FE" w14:textId="31C4DFD5" w:rsidR="00954A80" w:rsidRPr="00D162EE" w:rsidRDefault="00954A80" w:rsidP="001576C6">
      <w:pPr>
        <w:pStyle w:val="Heading3"/>
      </w:pPr>
      <w:bookmarkStart w:id="31" w:name="_Toc50020637"/>
      <w:r w:rsidRPr="00D162EE">
        <w:t>Skills and experience of freshwater commissioners</w:t>
      </w:r>
      <w:bookmarkEnd w:id="31"/>
    </w:p>
    <w:p w14:paraId="02F305EB" w14:textId="1EBD2FC3" w:rsidR="00954A80" w:rsidRPr="00D162EE" w:rsidRDefault="00954A80" w:rsidP="00954A80">
      <w:pPr>
        <w:pStyle w:val="BodyText"/>
      </w:pPr>
      <w:r w:rsidRPr="00D162EE">
        <w:t>Freshwater commissioners must be accredited under section 39</w:t>
      </w:r>
      <w:r w:rsidR="00A00DFE" w:rsidRPr="00D162EE">
        <w:t>A</w:t>
      </w:r>
      <w:r w:rsidRPr="00D162EE">
        <w:t xml:space="preserve"> of the RMA and collectively they must have knowledge of and expertise in</w:t>
      </w:r>
      <w:r w:rsidR="000317E6">
        <w:t xml:space="preserve"> </w:t>
      </w:r>
      <w:r w:rsidR="000317E6" w:rsidRPr="00D162EE">
        <w:t>(clause 65(2))</w:t>
      </w:r>
      <w:r w:rsidRPr="00D162EE">
        <w:t>:</w:t>
      </w:r>
      <w:r w:rsidR="001510A5" w:rsidRPr="00D162EE">
        <w:t xml:space="preserve"> </w:t>
      </w:r>
    </w:p>
    <w:p w14:paraId="4036B508" w14:textId="77777777" w:rsidR="00954A80" w:rsidRPr="00D162EE" w:rsidRDefault="00954A80" w:rsidP="006A1A22">
      <w:pPr>
        <w:pStyle w:val="Bullet"/>
        <w:tabs>
          <w:tab w:val="clear" w:pos="539"/>
          <w:tab w:val="num" w:pos="426"/>
        </w:tabs>
        <w:ind w:left="426"/>
      </w:pPr>
      <w:r w:rsidRPr="00D162EE">
        <w:t>judicial processes and cross-examination</w:t>
      </w:r>
    </w:p>
    <w:p w14:paraId="0DCBC846" w14:textId="77777777" w:rsidR="00954A80" w:rsidRPr="00D162EE" w:rsidRDefault="00954A80" w:rsidP="006A1A22">
      <w:pPr>
        <w:pStyle w:val="Bullet"/>
        <w:tabs>
          <w:tab w:val="clear" w:pos="539"/>
          <w:tab w:val="num" w:pos="426"/>
        </w:tabs>
        <w:ind w:left="426"/>
      </w:pPr>
      <w:r w:rsidRPr="00D162EE">
        <w:t>freshwater quality, quantity and ecology</w:t>
      </w:r>
    </w:p>
    <w:p w14:paraId="5DCEE57E" w14:textId="77777777" w:rsidR="00954A80" w:rsidRPr="00D162EE" w:rsidRDefault="00954A80" w:rsidP="006A1A22">
      <w:pPr>
        <w:pStyle w:val="Bullet"/>
        <w:tabs>
          <w:tab w:val="clear" w:pos="539"/>
          <w:tab w:val="num" w:pos="426"/>
        </w:tabs>
        <w:ind w:left="426"/>
      </w:pPr>
      <w:r w:rsidRPr="00D162EE">
        <w:t>the RMA</w:t>
      </w:r>
    </w:p>
    <w:p w14:paraId="6546F839" w14:textId="0DC66BE8" w:rsidR="00954A80" w:rsidRPr="00D162EE" w:rsidRDefault="00954A80" w:rsidP="006A1A22">
      <w:pPr>
        <w:pStyle w:val="Bullet"/>
        <w:tabs>
          <w:tab w:val="clear" w:pos="539"/>
          <w:tab w:val="num" w:pos="426"/>
        </w:tabs>
        <w:ind w:left="426"/>
      </w:pPr>
      <w:r w:rsidRPr="00D162EE">
        <w:t xml:space="preserve">tikanga Māori and mātauranga Māori. </w:t>
      </w:r>
    </w:p>
    <w:p w14:paraId="15F95A33" w14:textId="616607D8" w:rsidR="00954A80" w:rsidRPr="00D162EE" w:rsidRDefault="00954A80" w:rsidP="00954A80">
      <w:pPr>
        <w:pStyle w:val="Heading3"/>
      </w:pPr>
      <w:bookmarkStart w:id="32" w:name="_Toc50020638"/>
      <w:r w:rsidRPr="00D162EE">
        <w:t>Roles and funding of freshwater commissioners</w:t>
      </w:r>
      <w:bookmarkEnd w:id="32"/>
      <w:r w:rsidRPr="00D162EE">
        <w:t xml:space="preserve"> </w:t>
      </w:r>
    </w:p>
    <w:p w14:paraId="1A061219" w14:textId="543E9D6D" w:rsidR="00954A80" w:rsidRPr="00D162EE" w:rsidRDefault="002B18EC" w:rsidP="001576C6">
      <w:pPr>
        <w:pStyle w:val="BodyText"/>
      </w:pPr>
      <w:r w:rsidRPr="00D162EE">
        <w:t>The principal</w:t>
      </w:r>
      <w:r w:rsidR="00954A80" w:rsidRPr="00D162EE">
        <w:t xml:space="preserve"> role of freshwater commissioners is to chair and/or otherwise sit on freshwater hearings panels. When convening a fres</w:t>
      </w:r>
      <w:r w:rsidRPr="00D162EE">
        <w:t>hwater hearings panel, clause 59</w:t>
      </w:r>
      <w:r w:rsidR="00954A80" w:rsidRPr="00D162EE">
        <w:t xml:space="preserve"> requires the Chief to</w:t>
      </w:r>
      <w:r w:rsidR="00613EBE">
        <w:t> </w:t>
      </w:r>
      <w:r w:rsidR="00954A80" w:rsidRPr="00D162EE">
        <w:t>appoint two freshwater commissioners to the panel (or one freshwater commissioner if the panel consists of fewer than five members). The Chief is also required to appoint one of those freshwater commissioners as the chairperson</w:t>
      </w:r>
      <w:r w:rsidR="001510A5" w:rsidRPr="00D162EE">
        <w:t xml:space="preserve"> (clause 60(</w:t>
      </w:r>
      <w:r w:rsidR="0093673D" w:rsidRPr="00D162EE">
        <w:t>1</w:t>
      </w:r>
      <w:r w:rsidR="001510A5" w:rsidRPr="00D162EE">
        <w:t>)</w:t>
      </w:r>
      <w:r w:rsidR="0043607A" w:rsidRPr="00D162EE">
        <w:t xml:space="preserve"> and (3)</w:t>
      </w:r>
      <w:r w:rsidR="001510A5" w:rsidRPr="00D162EE">
        <w:t>)</w:t>
      </w:r>
      <w:r w:rsidR="00ED293D" w:rsidRPr="00D162EE">
        <w:t>.</w:t>
      </w:r>
      <w:r w:rsidR="00954A80" w:rsidRPr="00D162EE">
        <w:t xml:space="preserve"> </w:t>
      </w:r>
    </w:p>
    <w:p w14:paraId="75F10C11" w14:textId="461C2BC6" w:rsidR="00954A80" w:rsidRPr="00D162EE" w:rsidRDefault="00954A80" w:rsidP="00954A80">
      <w:pPr>
        <w:pStyle w:val="BodyText"/>
      </w:pPr>
      <w:r w:rsidRPr="00D162EE">
        <w:lastRenderedPageBreak/>
        <w:t>From time-to-time, freshwater commissioners may also be called on by the Chief to perform non-hearing</w:t>
      </w:r>
      <w:r w:rsidR="00ED293D" w:rsidRPr="00D162EE">
        <w:t>s</w:t>
      </w:r>
      <w:r w:rsidRPr="00D162EE">
        <w:t xml:space="preserve"> related tasks. For example, t</w:t>
      </w:r>
      <w:r w:rsidR="00ED293D" w:rsidRPr="00D162EE">
        <w:t>he Chief may hold induction, scheduling and procedural</w:t>
      </w:r>
      <w:r w:rsidR="001510A5" w:rsidRPr="00D162EE">
        <w:t xml:space="preserve"> meetings</w:t>
      </w:r>
      <w:r w:rsidRPr="00D162EE">
        <w:t xml:space="preserve">. </w:t>
      </w:r>
    </w:p>
    <w:p w14:paraId="3B68D0DA" w14:textId="73AD928B" w:rsidR="00954A80" w:rsidRPr="00D162EE" w:rsidRDefault="00954A80" w:rsidP="00F14064">
      <w:pPr>
        <w:pStyle w:val="BodyText"/>
      </w:pPr>
      <w:r w:rsidRPr="00D162EE">
        <w:t xml:space="preserve">When freshwater commissioners perform tasks </w:t>
      </w:r>
      <w:r w:rsidR="00454E47" w:rsidRPr="00D162EE">
        <w:t xml:space="preserve">as part of or related to their role </w:t>
      </w:r>
      <w:r w:rsidRPr="00D162EE">
        <w:t>on a specific</w:t>
      </w:r>
      <w:r w:rsidR="001510A5" w:rsidRPr="00D162EE">
        <w:t xml:space="preserve"> freshwater</w:t>
      </w:r>
      <w:r w:rsidRPr="00D162EE">
        <w:t xml:space="preserve"> hearing</w:t>
      </w:r>
      <w:r w:rsidR="001510A5" w:rsidRPr="00D162EE">
        <w:t>s</w:t>
      </w:r>
      <w:r w:rsidRPr="00D162EE">
        <w:t xml:space="preserve"> panel, the costs of those commissioners </w:t>
      </w:r>
      <w:r w:rsidR="001510A5" w:rsidRPr="00D162EE">
        <w:t>are paid by</w:t>
      </w:r>
      <w:r w:rsidRPr="00D162EE">
        <w:t xml:space="preserve"> the relevant regional council. However, when freshwater commissioners perform tasks that are directed by the Chief and are not specific to a freshwater hearings panel, the costs </w:t>
      </w:r>
      <w:r w:rsidR="001510A5" w:rsidRPr="00D162EE">
        <w:t>will be met by</w:t>
      </w:r>
      <w:r w:rsidRPr="00D162EE">
        <w:t xml:space="preserve"> the Government</w:t>
      </w:r>
      <w:r w:rsidR="00F240E1" w:rsidRPr="00D162EE">
        <w:t xml:space="preserve"> (clauses 63(1) and 66(2)(c))</w:t>
      </w:r>
      <w:r w:rsidR="00454E47" w:rsidRPr="00D162EE">
        <w:t>.</w:t>
      </w:r>
    </w:p>
    <w:p w14:paraId="64DBC3CC" w14:textId="77777777" w:rsidR="00F14064" w:rsidRPr="00D162EE" w:rsidRDefault="00F14064" w:rsidP="00F14064">
      <w:pPr>
        <w:pStyle w:val="BodyText"/>
      </w:pPr>
    </w:p>
    <w:p w14:paraId="1AC11E5E" w14:textId="77777777" w:rsidR="00F14064" w:rsidRPr="00D162EE" w:rsidRDefault="00F14064" w:rsidP="00F14064">
      <w:pPr>
        <w:pStyle w:val="BodyText"/>
        <w:rPr>
          <w:rStyle w:val="Heading1Char"/>
          <w:rFonts w:eastAsiaTheme="minorEastAsia" w:cstheme="minorBidi"/>
          <w:b w:val="0"/>
          <w:bCs w:val="0"/>
          <w:color w:val="auto"/>
          <w:sz w:val="22"/>
          <w:szCs w:val="22"/>
        </w:rPr>
      </w:pPr>
      <w:bookmarkStart w:id="33" w:name="_Freshwater_hearings_panels"/>
      <w:bookmarkEnd w:id="33"/>
      <w:r w:rsidRPr="00D162EE">
        <w:rPr>
          <w:rStyle w:val="Heading1Char"/>
          <w:rFonts w:eastAsiaTheme="minorEastAsia" w:cstheme="minorBidi"/>
          <w:b w:val="0"/>
          <w:bCs w:val="0"/>
          <w:color w:val="auto"/>
          <w:sz w:val="22"/>
          <w:szCs w:val="22"/>
        </w:rPr>
        <w:br w:type="page"/>
      </w:r>
    </w:p>
    <w:p w14:paraId="6D258871" w14:textId="5C9E18CB" w:rsidR="00E31926" w:rsidRPr="00D162EE" w:rsidRDefault="00F240E1" w:rsidP="006872C0">
      <w:pPr>
        <w:pStyle w:val="Heading1"/>
        <w:rPr>
          <w:rStyle w:val="Heading1Char"/>
          <w:b/>
          <w:bCs/>
        </w:rPr>
      </w:pPr>
      <w:bookmarkStart w:id="34" w:name="_Toc50020639"/>
      <w:bookmarkStart w:id="35" w:name="_Toc50469800"/>
      <w:r w:rsidRPr="00D162EE">
        <w:rPr>
          <w:rStyle w:val="Heading1Char"/>
          <w:b/>
          <w:bCs/>
        </w:rPr>
        <w:lastRenderedPageBreak/>
        <w:t>Part three</w:t>
      </w:r>
      <w:r w:rsidR="00E31926" w:rsidRPr="00D162EE">
        <w:rPr>
          <w:rStyle w:val="Heading1Char"/>
          <w:b/>
          <w:bCs/>
        </w:rPr>
        <w:t xml:space="preserve"> – </w:t>
      </w:r>
      <w:r w:rsidR="00531E35">
        <w:rPr>
          <w:rStyle w:val="Heading1Char"/>
          <w:b/>
          <w:bCs/>
        </w:rPr>
        <w:t>t</w:t>
      </w:r>
      <w:r w:rsidR="002F2B98" w:rsidRPr="00D162EE">
        <w:rPr>
          <w:rStyle w:val="Heading1Char"/>
          <w:b/>
          <w:bCs/>
        </w:rPr>
        <w:t xml:space="preserve">he </w:t>
      </w:r>
      <w:r w:rsidR="00CD2F9C">
        <w:rPr>
          <w:rStyle w:val="Heading1Char"/>
          <w:b/>
          <w:bCs/>
        </w:rPr>
        <w:t>F</w:t>
      </w:r>
      <w:r w:rsidR="002F2B98" w:rsidRPr="00D162EE">
        <w:rPr>
          <w:rStyle w:val="Heading1Char"/>
          <w:b/>
          <w:bCs/>
        </w:rPr>
        <w:t xml:space="preserve">reshwater </w:t>
      </w:r>
      <w:r w:rsidR="00CD2F9C">
        <w:rPr>
          <w:rStyle w:val="Heading1Char"/>
          <w:b/>
          <w:bCs/>
        </w:rPr>
        <w:t>P</w:t>
      </w:r>
      <w:r w:rsidR="002F2B98" w:rsidRPr="00D162EE">
        <w:rPr>
          <w:rStyle w:val="Heading1Char"/>
          <w:b/>
          <w:bCs/>
        </w:rPr>
        <w:t xml:space="preserve">lanning </w:t>
      </w:r>
      <w:r w:rsidR="00CD2F9C">
        <w:rPr>
          <w:rStyle w:val="Heading1Char"/>
          <w:b/>
          <w:bCs/>
        </w:rPr>
        <w:t>P</w:t>
      </w:r>
      <w:r w:rsidR="00E31926" w:rsidRPr="00D162EE">
        <w:rPr>
          <w:rStyle w:val="Heading1Char"/>
          <w:b/>
          <w:bCs/>
        </w:rPr>
        <w:t>rocess</w:t>
      </w:r>
      <w:bookmarkEnd w:id="34"/>
      <w:bookmarkEnd w:id="35"/>
    </w:p>
    <w:p w14:paraId="5E6BFE12" w14:textId="4DA9D288" w:rsidR="00052A77" w:rsidRPr="00D162EE" w:rsidRDefault="00052A77" w:rsidP="006872C0">
      <w:pPr>
        <w:pStyle w:val="Heading2"/>
        <w:spacing w:before="240"/>
      </w:pPr>
      <w:bookmarkStart w:id="36" w:name="_Toc50020640"/>
      <w:bookmarkStart w:id="37" w:name="_Toc50469801"/>
      <w:r w:rsidRPr="00D162EE">
        <w:t xml:space="preserve">Step 1: Pre-notification plan development </w:t>
      </w:r>
      <w:r w:rsidR="00622646" w:rsidRPr="00D162EE">
        <w:t>and</w:t>
      </w:r>
      <w:r w:rsidR="006872C0" w:rsidRPr="00D162EE">
        <w:t> </w:t>
      </w:r>
      <w:r w:rsidR="00622646" w:rsidRPr="00D162EE">
        <w:t>consultation</w:t>
      </w:r>
      <w:bookmarkEnd w:id="36"/>
      <w:bookmarkEnd w:id="37"/>
    </w:p>
    <w:p w14:paraId="6FFEF105" w14:textId="0BBF1794" w:rsidR="00052A77" w:rsidRPr="00D162EE" w:rsidRDefault="00052A77" w:rsidP="00052A77">
      <w:pPr>
        <w:pStyle w:val="BodyText"/>
        <w:rPr>
          <w:rFonts w:eastAsia="Calibri"/>
          <w:lang w:eastAsia="en-US"/>
        </w:rPr>
      </w:pPr>
      <w:r w:rsidRPr="00D162EE">
        <w:rPr>
          <w:rFonts w:eastAsia="Calibri"/>
          <w:lang w:eastAsia="en-US"/>
        </w:rPr>
        <w:t>The freshwater planning process</w:t>
      </w:r>
      <w:r w:rsidR="00F240E1" w:rsidRPr="00D162EE">
        <w:rPr>
          <w:rStyle w:val="FootnoteReference"/>
        </w:rPr>
        <w:footnoteReference w:id="6"/>
      </w:r>
      <w:r w:rsidRPr="00D162EE">
        <w:rPr>
          <w:rFonts w:eastAsia="Calibri"/>
          <w:lang w:eastAsia="en-US"/>
        </w:rPr>
        <w:t xml:space="preserve"> does not affect regional councils’ pre-notification requirements</w:t>
      </w:r>
      <w:r w:rsidR="00406511" w:rsidRPr="00D162EE">
        <w:rPr>
          <w:rFonts w:eastAsia="Calibri"/>
          <w:lang w:eastAsia="en-US"/>
        </w:rPr>
        <w:t xml:space="preserve"> under the RMA</w:t>
      </w:r>
      <w:r w:rsidRPr="00D162EE">
        <w:rPr>
          <w:rFonts w:eastAsia="Calibri"/>
          <w:lang w:eastAsia="en-US"/>
        </w:rPr>
        <w:t xml:space="preserve">. </w:t>
      </w:r>
      <w:r w:rsidR="00382923" w:rsidRPr="00D162EE">
        <w:rPr>
          <w:rFonts w:eastAsia="Calibri"/>
          <w:lang w:eastAsia="en-US"/>
        </w:rPr>
        <w:t>T</w:t>
      </w:r>
      <w:r w:rsidR="003A1C08" w:rsidRPr="00D162EE">
        <w:rPr>
          <w:rFonts w:eastAsia="Calibri"/>
          <w:lang w:eastAsia="en-US"/>
        </w:rPr>
        <w:t xml:space="preserve">he </w:t>
      </w:r>
      <w:r w:rsidRPr="00D162EE">
        <w:rPr>
          <w:rFonts w:eastAsia="Calibri"/>
          <w:lang w:eastAsia="en-US"/>
        </w:rPr>
        <w:t xml:space="preserve">standard </w:t>
      </w:r>
      <w:r w:rsidR="003A1C08" w:rsidRPr="00D162EE">
        <w:rPr>
          <w:rFonts w:eastAsia="Calibri"/>
          <w:lang w:eastAsia="en-US"/>
        </w:rPr>
        <w:t>Schedule 1 processes</w:t>
      </w:r>
      <w:r w:rsidR="004C67C7" w:rsidRPr="00D162EE">
        <w:rPr>
          <w:rFonts w:eastAsia="Calibri"/>
          <w:lang w:eastAsia="en-US"/>
        </w:rPr>
        <w:t xml:space="preserve"> will apply</w:t>
      </w:r>
      <w:r w:rsidR="003A1C08" w:rsidRPr="00D162EE">
        <w:rPr>
          <w:rFonts w:eastAsia="Calibri"/>
          <w:lang w:eastAsia="en-US"/>
        </w:rPr>
        <w:t xml:space="preserve"> until the proposed</w:t>
      </w:r>
      <w:r w:rsidR="00613EBE">
        <w:rPr>
          <w:rFonts w:eastAsia="Calibri"/>
          <w:lang w:eastAsia="en-US"/>
        </w:rPr>
        <w:t> </w:t>
      </w:r>
      <w:r w:rsidR="00382923" w:rsidRPr="00D162EE">
        <w:rPr>
          <w:rFonts w:eastAsia="Calibri"/>
          <w:lang w:eastAsia="en-US"/>
        </w:rPr>
        <w:t>freshwater planning instrument</w:t>
      </w:r>
      <w:r w:rsidR="004C67C7" w:rsidRPr="00D162EE">
        <w:rPr>
          <w:rFonts w:eastAsia="Calibri"/>
          <w:lang w:eastAsia="en-US"/>
        </w:rPr>
        <w:t xml:space="preserve"> is notified</w:t>
      </w:r>
      <w:r w:rsidR="0043607A" w:rsidRPr="00D162EE">
        <w:rPr>
          <w:rFonts w:eastAsia="Calibri"/>
          <w:lang w:eastAsia="en-US"/>
        </w:rPr>
        <w:t>, submissions and further submissions are</w:t>
      </w:r>
      <w:r w:rsidR="00613EBE">
        <w:rPr>
          <w:rFonts w:eastAsia="Calibri"/>
          <w:lang w:eastAsia="en-US"/>
        </w:rPr>
        <w:t> </w:t>
      </w:r>
      <w:r w:rsidR="0043607A" w:rsidRPr="00D162EE">
        <w:rPr>
          <w:rFonts w:eastAsia="Calibri"/>
          <w:lang w:eastAsia="en-US"/>
        </w:rPr>
        <w:t>called for and documentation is provided to the Chief (clause 37)</w:t>
      </w:r>
      <w:r w:rsidR="004C67C7" w:rsidRPr="00D162EE">
        <w:rPr>
          <w:rFonts w:eastAsia="Calibri"/>
          <w:lang w:eastAsia="en-US"/>
        </w:rPr>
        <w:t xml:space="preserve">. </w:t>
      </w:r>
    </w:p>
    <w:p w14:paraId="22715005" w14:textId="78820C07" w:rsidR="00622646" w:rsidRPr="00D162EE" w:rsidRDefault="00622646" w:rsidP="0013058A">
      <w:pPr>
        <w:pStyle w:val="Heading3"/>
      </w:pPr>
      <w:bookmarkStart w:id="38" w:name="_Toc50020641"/>
      <w:r w:rsidRPr="00D162EE">
        <w:t xml:space="preserve">Pre-notification consultation on the proposed </w:t>
      </w:r>
      <w:r w:rsidR="003A1C08" w:rsidRPr="00D162EE">
        <w:t xml:space="preserve">freshwater </w:t>
      </w:r>
      <w:r w:rsidRPr="00D162EE">
        <w:t>planning instrument</w:t>
      </w:r>
      <w:r w:rsidR="00C50D6B" w:rsidRPr="00D162EE">
        <w:t xml:space="preserve"> and section 32 evaluation report</w:t>
      </w:r>
      <w:bookmarkEnd w:id="38"/>
    </w:p>
    <w:p w14:paraId="70178563" w14:textId="7BEE1281" w:rsidR="00622646" w:rsidRPr="00D162EE" w:rsidRDefault="00552F8C" w:rsidP="0013058A">
      <w:pPr>
        <w:pStyle w:val="BodyText"/>
        <w:rPr>
          <w:highlight w:val="cyan"/>
        </w:rPr>
      </w:pPr>
      <w:r w:rsidRPr="00D162EE">
        <w:t xml:space="preserve">Before the proposed freshwater planning instrument can be notified, </w:t>
      </w:r>
      <w:r w:rsidR="007F1876" w:rsidRPr="00D162EE">
        <w:t xml:space="preserve">as with Part 1 of </w:t>
      </w:r>
      <w:r w:rsidR="00B83CB9" w:rsidRPr="00D162EE">
        <w:t>S</w:t>
      </w:r>
      <w:r w:rsidR="007F1876" w:rsidRPr="00D162EE">
        <w:t xml:space="preserve">chedule 1 </w:t>
      </w:r>
      <w:r w:rsidRPr="00D162EE">
        <w:t>r</w:t>
      </w:r>
      <w:r w:rsidR="003A1C08" w:rsidRPr="00D162EE">
        <w:t>egional</w:t>
      </w:r>
      <w:r w:rsidR="00622646" w:rsidRPr="00D162EE">
        <w:t xml:space="preserve"> </w:t>
      </w:r>
      <w:r w:rsidR="003A1C08" w:rsidRPr="00D162EE">
        <w:t xml:space="preserve">councils </w:t>
      </w:r>
      <w:r w:rsidRPr="00D162EE">
        <w:t>must</w:t>
      </w:r>
      <w:r w:rsidR="00622646" w:rsidRPr="00D162EE">
        <w:t xml:space="preserve"> consult with</w:t>
      </w:r>
      <w:r w:rsidR="000E0C9F" w:rsidRPr="00D162EE">
        <w:t>:</w:t>
      </w:r>
      <w:r w:rsidRPr="00D162EE">
        <w:rPr>
          <w:rStyle w:val="FootnoteReference"/>
        </w:rPr>
        <w:footnoteReference w:id="7"/>
      </w:r>
      <w:r w:rsidR="000E0C9F" w:rsidRPr="00D162EE">
        <w:t xml:space="preserve"> </w:t>
      </w:r>
    </w:p>
    <w:p w14:paraId="5165224C" w14:textId="77777777" w:rsidR="00622646" w:rsidRPr="00D162EE" w:rsidRDefault="00622646" w:rsidP="0013058A">
      <w:pPr>
        <w:pStyle w:val="Bullet"/>
      </w:pPr>
      <w:r w:rsidRPr="00D162EE">
        <w:t>the Minister for the Environment</w:t>
      </w:r>
    </w:p>
    <w:p w14:paraId="2FE196DA" w14:textId="1A992349" w:rsidR="00622646" w:rsidRPr="00D162EE" w:rsidRDefault="00622646" w:rsidP="0013058A">
      <w:pPr>
        <w:pStyle w:val="Bullet"/>
      </w:pPr>
      <w:r w:rsidRPr="00D162EE">
        <w:t xml:space="preserve">other Ministers of the Crown who may be affected by the </w:t>
      </w:r>
      <w:r w:rsidR="000E0C9F" w:rsidRPr="00D162EE">
        <w:t xml:space="preserve">regional </w:t>
      </w:r>
      <w:r w:rsidRPr="00D162EE">
        <w:t>policy statement or</w:t>
      </w:r>
      <w:r w:rsidR="00613EBE">
        <w:t> </w:t>
      </w:r>
      <w:r w:rsidR="000E0C9F" w:rsidRPr="00D162EE">
        <w:t xml:space="preserve">regional </w:t>
      </w:r>
      <w:r w:rsidRPr="00D162EE">
        <w:t>plan</w:t>
      </w:r>
    </w:p>
    <w:p w14:paraId="7C64E97B" w14:textId="77777777" w:rsidR="00622646" w:rsidRPr="00D162EE" w:rsidRDefault="000E0C9F" w:rsidP="0013058A">
      <w:pPr>
        <w:pStyle w:val="Bullet"/>
      </w:pPr>
      <w:r w:rsidRPr="00D162EE">
        <w:t xml:space="preserve">local authorities who may be </w:t>
      </w:r>
      <w:r w:rsidR="00622646" w:rsidRPr="00D162EE">
        <w:t>affected</w:t>
      </w:r>
    </w:p>
    <w:p w14:paraId="465E0E0B" w14:textId="26D5E2BE" w:rsidR="00622646" w:rsidRPr="00D162EE" w:rsidRDefault="00622646" w:rsidP="0013058A">
      <w:pPr>
        <w:pStyle w:val="Bullet"/>
      </w:pPr>
      <w:r w:rsidRPr="00D162EE">
        <w:t>the t</w:t>
      </w:r>
      <w:r w:rsidR="002F0F7E">
        <w:t>angata</w:t>
      </w:r>
      <w:r w:rsidRPr="00D162EE">
        <w:t xml:space="preserve"> whenua of the area who may be affected, through iwi authorities</w:t>
      </w:r>
    </w:p>
    <w:p w14:paraId="214D874D" w14:textId="77777777" w:rsidR="00622646" w:rsidRPr="00D162EE" w:rsidRDefault="00622646" w:rsidP="0013058A">
      <w:pPr>
        <w:pStyle w:val="Bullet"/>
      </w:pPr>
      <w:r w:rsidRPr="00D162EE">
        <w:t>any customary marine title group in the area.</w:t>
      </w:r>
    </w:p>
    <w:p w14:paraId="364C5D81" w14:textId="63B4F758" w:rsidR="00622646" w:rsidRPr="00D162EE" w:rsidRDefault="000E0C9F" w:rsidP="0013058A">
      <w:pPr>
        <w:pStyle w:val="BodyText"/>
      </w:pPr>
      <w:r w:rsidRPr="00D162EE">
        <w:t>The regional</w:t>
      </w:r>
      <w:r w:rsidR="00622646" w:rsidRPr="00D162EE">
        <w:t xml:space="preserve"> </w:t>
      </w:r>
      <w:r w:rsidR="003A1C08" w:rsidRPr="00D162EE">
        <w:t xml:space="preserve">council </w:t>
      </w:r>
      <w:r w:rsidR="00622646" w:rsidRPr="00D162EE">
        <w:t xml:space="preserve">can </w:t>
      </w:r>
      <w:r w:rsidRPr="00D162EE">
        <w:t xml:space="preserve">also </w:t>
      </w:r>
      <w:r w:rsidR="00622646" w:rsidRPr="00D162EE">
        <w:t xml:space="preserve">consult </w:t>
      </w:r>
      <w:r w:rsidR="00552F8C" w:rsidRPr="00D162EE">
        <w:t xml:space="preserve">with </w:t>
      </w:r>
      <w:r w:rsidR="00622646" w:rsidRPr="00D162EE">
        <w:t>anyone else during the preparation</w:t>
      </w:r>
      <w:r w:rsidR="00382923" w:rsidRPr="00D162EE">
        <w:t xml:space="preserve"> of </w:t>
      </w:r>
      <w:r w:rsidR="00B83CB9" w:rsidRPr="00D162EE">
        <w:t xml:space="preserve">a </w:t>
      </w:r>
      <w:r w:rsidR="00382923" w:rsidRPr="00D162EE">
        <w:t>proposed</w:t>
      </w:r>
      <w:r w:rsidR="009B7B68" w:rsidRPr="00D162EE">
        <w:t> </w:t>
      </w:r>
      <w:r w:rsidR="00B83CB9" w:rsidRPr="00D162EE">
        <w:t>plan</w:t>
      </w:r>
      <w:r w:rsidRPr="00D162EE">
        <w:t xml:space="preserve">. </w:t>
      </w:r>
    </w:p>
    <w:p w14:paraId="3C4CD473" w14:textId="1607BEE9" w:rsidR="00C50D6B" w:rsidRPr="00D162EE" w:rsidRDefault="00C50D6B" w:rsidP="0013058A">
      <w:pPr>
        <w:pStyle w:val="BodyText"/>
      </w:pPr>
      <w:r w:rsidRPr="00D162EE">
        <w:t>As required under the standard Schedule 1 process, regional councils must prepare an evaluation report under section 32. This will include a summary of all advice concerning the</w:t>
      </w:r>
      <w:r w:rsidR="00613EBE">
        <w:t> </w:t>
      </w:r>
      <w:r w:rsidRPr="00D162EE">
        <w:t>proposal received from iwi authorities and the response to the advice, including any provisions</w:t>
      </w:r>
      <w:r w:rsidR="009B7B68" w:rsidRPr="00D162EE">
        <w:t> </w:t>
      </w:r>
      <w:r w:rsidRPr="00D162EE">
        <w:t>of the proposal that are intended to give effect to the advice.</w:t>
      </w:r>
    </w:p>
    <w:p w14:paraId="2AABF11C" w14:textId="5242555C" w:rsidR="00B95145" w:rsidRPr="00D162EE" w:rsidRDefault="005E0F05" w:rsidP="0013058A">
      <w:pPr>
        <w:pStyle w:val="Heading3"/>
      </w:pPr>
      <w:bookmarkStart w:id="39" w:name="_Toc50020642"/>
      <w:r w:rsidRPr="00D162EE">
        <w:t>Requirements w</w:t>
      </w:r>
      <w:r w:rsidR="00F240E1" w:rsidRPr="00D162EE">
        <w:t>here the</w:t>
      </w:r>
      <w:r w:rsidR="00B95145" w:rsidRPr="00D162EE">
        <w:t xml:space="preserve"> freshwater planning instrument gives</w:t>
      </w:r>
      <w:r w:rsidR="0013058A" w:rsidRPr="00D162EE">
        <w:t> </w:t>
      </w:r>
      <w:r w:rsidR="00B95145" w:rsidRPr="00D162EE">
        <w:t>effect</w:t>
      </w:r>
      <w:r w:rsidR="0013058A" w:rsidRPr="00D162EE">
        <w:t> </w:t>
      </w:r>
      <w:r w:rsidR="00B95145" w:rsidRPr="00D162EE">
        <w:t>to</w:t>
      </w:r>
      <w:r w:rsidR="0013058A" w:rsidRPr="00D162EE">
        <w:t> </w:t>
      </w:r>
      <w:r w:rsidR="00531E35">
        <w:t xml:space="preserve">the National Policy Statement for Freshwater Management </w:t>
      </w:r>
      <w:r w:rsidR="00B95145" w:rsidRPr="00D162EE">
        <w:t>2020</w:t>
      </w:r>
      <w:bookmarkEnd w:id="39"/>
    </w:p>
    <w:p w14:paraId="0CCB7854" w14:textId="4E878062" w:rsidR="00552F8C" w:rsidRPr="00D162EE" w:rsidRDefault="00A23464" w:rsidP="0013058A">
      <w:pPr>
        <w:pStyle w:val="BodyText"/>
        <w:rPr>
          <w:rFonts w:eastAsia="Calibri"/>
          <w:lang w:eastAsia="en-US"/>
        </w:rPr>
      </w:pPr>
      <w:r w:rsidRPr="00D162EE">
        <w:rPr>
          <w:rFonts w:eastAsia="Calibri"/>
          <w:lang w:eastAsia="en-US"/>
        </w:rPr>
        <w:t>R</w:t>
      </w:r>
      <w:r w:rsidR="00D0749A" w:rsidRPr="00D162EE">
        <w:rPr>
          <w:rFonts w:eastAsia="Calibri"/>
          <w:lang w:eastAsia="en-US"/>
        </w:rPr>
        <w:t>egional</w:t>
      </w:r>
      <w:r w:rsidR="00B95145" w:rsidRPr="00D162EE">
        <w:rPr>
          <w:rFonts w:eastAsia="Calibri"/>
          <w:lang w:eastAsia="en-US"/>
        </w:rPr>
        <w:t xml:space="preserve"> council</w:t>
      </w:r>
      <w:r w:rsidRPr="00D162EE">
        <w:rPr>
          <w:rFonts w:eastAsia="Calibri"/>
          <w:lang w:eastAsia="en-US"/>
        </w:rPr>
        <w:t>s</w:t>
      </w:r>
      <w:r w:rsidR="00B95145" w:rsidRPr="00D162EE">
        <w:rPr>
          <w:rFonts w:eastAsia="Calibri"/>
          <w:lang w:eastAsia="en-US"/>
        </w:rPr>
        <w:t xml:space="preserve"> must </w:t>
      </w:r>
      <w:r w:rsidR="00D0749A" w:rsidRPr="00D162EE">
        <w:rPr>
          <w:rFonts w:eastAsia="Calibri"/>
          <w:lang w:eastAsia="en-US"/>
        </w:rPr>
        <w:t xml:space="preserve">publicly </w:t>
      </w:r>
      <w:r w:rsidR="00B95145" w:rsidRPr="00D162EE">
        <w:rPr>
          <w:rFonts w:eastAsia="Calibri"/>
          <w:lang w:eastAsia="en-US"/>
        </w:rPr>
        <w:t xml:space="preserve">notify </w:t>
      </w:r>
      <w:r w:rsidR="00B83CB9" w:rsidRPr="00D162EE">
        <w:rPr>
          <w:rFonts w:eastAsia="Calibri"/>
          <w:lang w:eastAsia="en-US"/>
        </w:rPr>
        <w:t xml:space="preserve">any </w:t>
      </w:r>
      <w:r w:rsidRPr="00D162EE">
        <w:rPr>
          <w:rFonts w:eastAsia="Calibri"/>
          <w:lang w:eastAsia="en-US"/>
        </w:rPr>
        <w:t>freshwater planning instruments</w:t>
      </w:r>
      <w:r w:rsidR="00B95145" w:rsidRPr="00D162EE">
        <w:rPr>
          <w:rFonts w:eastAsia="Calibri"/>
          <w:lang w:eastAsia="en-US"/>
        </w:rPr>
        <w:t xml:space="preserve"> by 31 December 202</w:t>
      </w:r>
      <w:r w:rsidR="00552F8C" w:rsidRPr="00D162EE">
        <w:rPr>
          <w:rFonts w:eastAsia="Calibri"/>
          <w:lang w:eastAsia="en-US"/>
        </w:rPr>
        <w:t>4</w:t>
      </w:r>
      <w:r w:rsidRPr="00D162EE">
        <w:rPr>
          <w:rFonts w:eastAsia="Calibri"/>
          <w:lang w:eastAsia="en-US"/>
        </w:rPr>
        <w:t xml:space="preserve"> if the purpose of the instrument is to give effect to the NPS-FM 2020</w:t>
      </w:r>
      <w:r w:rsidR="00F240E1" w:rsidRPr="00D162EE">
        <w:rPr>
          <w:rFonts w:eastAsia="Calibri"/>
          <w:lang w:eastAsia="en-US"/>
        </w:rPr>
        <w:t>.</w:t>
      </w:r>
      <w:r w:rsidR="00B95145" w:rsidRPr="00D162EE">
        <w:rPr>
          <w:rStyle w:val="FootnoteReference"/>
          <w:rFonts w:eastAsia="Calibri"/>
          <w:lang w:eastAsia="en-US"/>
        </w:rPr>
        <w:footnoteReference w:id="8"/>
      </w:r>
      <w:r w:rsidR="00B95145" w:rsidRPr="00D162EE">
        <w:rPr>
          <w:rFonts w:eastAsia="Calibri"/>
          <w:lang w:eastAsia="en-US"/>
        </w:rPr>
        <w:t xml:space="preserve"> </w:t>
      </w:r>
      <w:r w:rsidR="00CC7A63" w:rsidRPr="00D162EE">
        <w:rPr>
          <w:rFonts w:eastAsia="Calibri"/>
          <w:lang w:eastAsia="en-US"/>
        </w:rPr>
        <w:t xml:space="preserve">This is a critical deadline for </w:t>
      </w:r>
      <w:r w:rsidR="00F240E1" w:rsidRPr="00D162EE">
        <w:rPr>
          <w:rFonts w:eastAsia="Calibri"/>
          <w:lang w:eastAsia="en-US"/>
        </w:rPr>
        <w:t xml:space="preserve">the FPP which aims to </w:t>
      </w:r>
      <w:r w:rsidR="00CC7A63" w:rsidRPr="00D162EE">
        <w:rPr>
          <w:rFonts w:eastAsia="Calibri"/>
          <w:lang w:eastAsia="en-US"/>
        </w:rPr>
        <w:t xml:space="preserve">ensure that the NPS-FM 2020 is implemented </w:t>
      </w:r>
      <w:r w:rsidR="00081FC0" w:rsidRPr="00D162EE">
        <w:rPr>
          <w:rFonts w:eastAsia="Calibri"/>
          <w:lang w:eastAsia="en-US"/>
        </w:rPr>
        <w:t xml:space="preserve">swiftly to improve </w:t>
      </w:r>
      <w:r w:rsidR="00CC7A63" w:rsidRPr="00D162EE">
        <w:rPr>
          <w:rFonts w:eastAsia="Calibri"/>
          <w:lang w:eastAsia="en-US"/>
        </w:rPr>
        <w:t xml:space="preserve">freshwater </w:t>
      </w:r>
      <w:r w:rsidR="00081FC0" w:rsidRPr="00D162EE">
        <w:rPr>
          <w:rFonts w:eastAsia="Calibri"/>
          <w:lang w:eastAsia="en-US"/>
        </w:rPr>
        <w:t>outcomes</w:t>
      </w:r>
      <w:r w:rsidR="00CC7A63" w:rsidRPr="00D162EE">
        <w:rPr>
          <w:rFonts w:eastAsia="Calibri"/>
          <w:lang w:eastAsia="en-US"/>
        </w:rPr>
        <w:t>.</w:t>
      </w:r>
    </w:p>
    <w:p w14:paraId="37D186D3" w14:textId="4C5B9B7D" w:rsidR="00A23464" w:rsidRPr="00D162EE" w:rsidRDefault="00382923" w:rsidP="0013058A">
      <w:pPr>
        <w:pStyle w:val="BodyText"/>
        <w:rPr>
          <w:rFonts w:eastAsia="Calibri"/>
          <w:lang w:eastAsia="en-US"/>
        </w:rPr>
      </w:pPr>
      <w:r w:rsidRPr="00D162EE">
        <w:rPr>
          <w:rFonts w:eastAsia="Calibri"/>
          <w:lang w:eastAsia="en-US"/>
        </w:rPr>
        <w:lastRenderedPageBreak/>
        <w:t>We recommend that r</w:t>
      </w:r>
      <w:r w:rsidR="00A23464" w:rsidRPr="00D162EE">
        <w:rPr>
          <w:rFonts w:eastAsia="Calibri"/>
          <w:lang w:eastAsia="en-US"/>
        </w:rPr>
        <w:t>egional councils</w:t>
      </w:r>
      <w:r w:rsidRPr="00D162EE">
        <w:rPr>
          <w:rFonts w:eastAsia="Calibri"/>
          <w:lang w:eastAsia="en-US"/>
        </w:rPr>
        <w:t xml:space="preserve"> </w:t>
      </w:r>
      <w:r w:rsidR="00A23464" w:rsidRPr="00D162EE">
        <w:rPr>
          <w:rFonts w:eastAsia="Calibri"/>
          <w:lang w:eastAsia="en-US"/>
        </w:rPr>
        <w:t>start planning to meet this timeframe</w:t>
      </w:r>
      <w:r w:rsidR="00F240E1" w:rsidRPr="00D162EE">
        <w:rPr>
          <w:rFonts w:eastAsia="Calibri"/>
          <w:lang w:eastAsia="en-US"/>
        </w:rPr>
        <w:t xml:space="preserve"> as soon as possible</w:t>
      </w:r>
      <w:r w:rsidR="00A23464" w:rsidRPr="00D162EE">
        <w:rPr>
          <w:rFonts w:eastAsia="Calibri"/>
          <w:lang w:eastAsia="en-US"/>
        </w:rPr>
        <w:t xml:space="preserve">. </w:t>
      </w:r>
      <w:r w:rsidR="00EE5066" w:rsidRPr="00D162EE">
        <w:rPr>
          <w:rFonts w:eastAsia="Calibri"/>
          <w:lang w:eastAsia="en-US"/>
        </w:rPr>
        <w:t>R</w:t>
      </w:r>
      <w:r w:rsidR="00CE0C11" w:rsidRPr="00D162EE">
        <w:rPr>
          <w:rFonts w:eastAsia="Calibri"/>
          <w:lang w:eastAsia="en-US"/>
        </w:rPr>
        <w:t xml:space="preserve">egional councils should begin to </w:t>
      </w:r>
      <w:r w:rsidR="009511FA" w:rsidRPr="00D162EE">
        <w:rPr>
          <w:rFonts w:eastAsia="Calibri"/>
          <w:lang w:eastAsia="en-US"/>
        </w:rPr>
        <w:t>consider wh</w:t>
      </w:r>
      <w:r w:rsidR="00D748D1" w:rsidRPr="00D162EE">
        <w:rPr>
          <w:rFonts w:eastAsia="Calibri"/>
          <w:lang w:eastAsia="en-US"/>
        </w:rPr>
        <w:t xml:space="preserve">ere gaps lie in technical information required </w:t>
      </w:r>
      <w:r w:rsidR="00EE5066" w:rsidRPr="00D162EE">
        <w:rPr>
          <w:rFonts w:eastAsia="Calibri"/>
          <w:lang w:eastAsia="en-US"/>
        </w:rPr>
        <w:t>to implement</w:t>
      </w:r>
      <w:r w:rsidR="00CE0C11" w:rsidRPr="00D162EE">
        <w:rPr>
          <w:rFonts w:eastAsia="Calibri"/>
          <w:lang w:eastAsia="en-US"/>
        </w:rPr>
        <w:t xml:space="preserve"> the NPS-FM 2020 </w:t>
      </w:r>
      <w:r w:rsidR="00D748D1" w:rsidRPr="00D162EE">
        <w:rPr>
          <w:rFonts w:eastAsia="Calibri"/>
          <w:lang w:eastAsia="en-US"/>
        </w:rPr>
        <w:t xml:space="preserve">in their </w:t>
      </w:r>
      <w:r w:rsidR="00CE0C11" w:rsidRPr="00D162EE">
        <w:rPr>
          <w:rFonts w:eastAsia="Calibri"/>
          <w:lang w:eastAsia="en-US"/>
        </w:rPr>
        <w:t>regional policy statement and regional plans</w:t>
      </w:r>
      <w:r w:rsidR="00EE5066" w:rsidRPr="00D162EE">
        <w:rPr>
          <w:rFonts w:eastAsia="Calibri"/>
          <w:lang w:eastAsia="en-US"/>
        </w:rPr>
        <w:t>,</w:t>
      </w:r>
      <w:r w:rsidR="009B7B68" w:rsidRPr="00D162EE">
        <w:rPr>
          <w:rFonts w:eastAsia="Calibri"/>
          <w:lang w:eastAsia="en-US"/>
        </w:rPr>
        <w:t> </w:t>
      </w:r>
      <w:r w:rsidR="00EE5066" w:rsidRPr="00D162EE">
        <w:rPr>
          <w:rFonts w:eastAsia="Calibri"/>
          <w:lang w:eastAsia="en-US"/>
        </w:rPr>
        <w:t>for example, to identify baselines and set targets for attribute states</w:t>
      </w:r>
      <w:r w:rsidR="00CE0C11" w:rsidRPr="00D162EE">
        <w:rPr>
          <w:rFonts w:eastAsia="Calibri"/>
          <w:lang w:eastAsia="en-US"/>
        </w:rPr>
        <w:t xml:space="preserve">. </w:t>
      </w:r>
      <w:r w:rsidR="00EE5066" w:rsidRPr="00D162EE">
        <w:rPr>
          <w:rFonts w:eastAsia="Calibri"/>
          <w:lang w:eastAsia="en-US"/>
        </w:rPr>
        <w:t>Consideration also</w:t>
      </w:r>
      <w:r w:rsidR="009B7B68" w:rsidRPr="00D162EE">
        <w:rPr>
          <w:rFonts w:eastAsia="Calibri"/>
          <w:lang w:eastAsia="en-US"/>
        </w:rPr>
        <w:t> </w:t>
      </w:r>
      <w:r w:rsidR="00EE5066" w:rsidRPr="00D162EE">
        <w:rPr>
          <w:rFonts w:eastAsia="Calibri"/>
          <w:lang w:eastAsia="en-US"/>
        </w:rPr>
        <w:t xml:space="preserve">needs to be given about </w:t>
      </w:r>
      <w:r w:rsidR="00CE0C11" w:rsidRPr="00D162EE">
        <w:rPr>
          <w:rFonts w:eastAsia="Calibri"/>
          <w:lang w:eastAsia="en-US"/>
        </w:rPr>
        <w:t xml:space="preserve">how </w:t>
      </w:r>
      <w:r w:rsidR="00EE5066" w:rsidRPr="00D162EE">
        <w:rPr>
          <w:rFonts w:eastAsia="Calibri"/>
          <w:lang w:eastAsia="en-US"/>
        </w:rPr>
        <w:t xml:space="preserve">best </w:t>
      </w:r>
      <w:r w:rsidR="00CE0C11" w:rsidRPr="00D162EE">
        <w:rPr>
          <w:rFonts w:eastAsia="Calibri"/>
          <w:lang w:eastAsia="en-US"/>
        </w:rPr>
        <w:t xml:space="preserve">to engage with </w:t>
      </w:r>
      <w:r w:rsidR="00E9032D" w:rsidRPr="00D162EE">
        <w:rPr>
          <w:rFonts w:eastAsia="Calibri"/>
          <w:lang w:eastAsia="en-US"/>
        </w:rPr>
        <w:t>tangata whenua</w:t>
      </w:r>
      <w:r w:rsidR="00EE5066" w:rsidRPr="00D162EE">
        <w:rPr>
          <w:rFonts w:eastAsia="Calibri"/>
          <w:lang w:eastAsia="en-US"/>
        </w:rPr>
        <w:t>, particularly regarding</w:t>
      </w:r>
      <w:r w:rsidR="00E9032D" w:rsidRPr="00D162EE">
        <w:rPr>
          <w:rFonts w:eastAsia="Calibri"/>
          <w:lang w:eastAsia="en-US"/>
        </w:rPr>
        <w:t xml:space="preserve"> the requirement to give effect to</w:t>
      </w:r>
      <w:r w:rsidR="00EE5066" w:rsidRPr="00D162EE">
        <w:rPr>
          <w:rFonts w:eastAsia="Calibri"/>
          <w:lang w:eastAsia="en-US"/>
        </w:rPr>
        <w:t xml:space="preserve"> Te Mana o te Wai. Bearing in mind that this must be carried out</w:t>
      </w:r>
      <w:r w:rsidR="00CE0C11" w:rsidRPr="00D162EE">
        <w:rPr>
          <w:rFonts w:eastAsia="Calibri"/>
          <w:lang w:eastAsia="en-US"/>
        </w:rPr>
        <w:t xml:space="preserve"> in a manner that is consistent with obligations under existing iwi participation legislation, Mana Whakahono </w:t>
      </w:r>
      <w:r w:rsidRPr="00D162EE">
        <w:rPr>
          <w:rFonts w:eastAsia="Calibri" w:cs="Calibri"/>
          <w:lang w:eastAsia="en-US"/>
        </w:rPr>
        <w:t>ā</w:t>
      </w:r>
      <w:r w:rsidR="00CE0C11" w:rsidRPr="00D162EE">
        <w:rPr>
          <w:rFonts w:eastAsia="Calibri"/>
          <w:lang w:eastAsia="en-US"/>
        </w:rPr>
        <w:t xml:space="preserve"> Rohe or joint management agreements, and within the time constraints of the notification deadline.</w:t>
      </w:r>
    </w:p>
    <w:p w14:paraId="7C2E2045" w14:textId="2A1E26B0" w:rsidR="00CC7A63" w:rsidRPr="00D162EE" w:rsidRDefault="00763522" w:rsidP="0013058A">
      <w:pPr>
        <w:pStyle w:val="BodyText"/>
        <w:rPr>
          <w:rFonts w:eastAsia="Calibri"/>
          <w:lang w:eastAsia="en-US"/>
        </w:rPr>
      </w:pPr>
      <w:r w:rsidRPr="00D162EE">
        <w:rPr>
          <w:rFonts w:eastAsia="Calibri"/>
          <w:lang w:eastAsia="en-US"/>
        </w:rPr>
        <w:t xml:space="preserve">The Ministry for the Environment </w:t>
      </w:r>
      <w:r w:rsidR="00382923" w:rsidRPr="00D162EE">
        <w:rPr>
          <w:rFonts w:eastAsia="Calibri"/>
          <w:lang w:eastAsia="en-US"/>
        </w:rPr>
        <w:t xml:space="preserve">(‘the Ministry’) </w:t>
      </w:r>
      <w:r w:rsidRPr="00D162EE">
        <w:rPr>
          <w:rFonts w:eastAsia="Calibri"/>
          <w:lang w:eastAsia="en-US"/>
        </w:rPr>
        <w:t xml:space="preserve">is </w:t>
      </w:r>
      <w:r w:rsidR="00CE0C11" w:rsidRPr="00D162EE">
        <w:rPr>
          <w:rFonts w:eastAsia="Calibri"/>
          <w:lang w:eastAsia="en-US"/>
        </w:rPr>
        <w:t xml:space="preserve">developing </w:t>
      </w:r>
      <w:r w:rsidR="00CE0C11" w:rsidRPr="00D162EE">
        <w:t>an</w:t>
      </w:r>
      <w:r w:rsidRPr="00D162EE">
        <w:rPr>
          <w:rFonts w:eastAsia="Calibri"/>
          <w:lang w:eastAsia="en-US"/>
        </w:rPr>
        <w:t xml:space="preserve"> implementation support</w:t>
      </w:r>
      <w:r w:rsidR="009B7B68" w:rsidRPr="00D162EE">
        <w:rPr>
          <w:rFonts w:eastAsia="Calibri"/>
          <w:lang w:eastAsia="en-US"/>
        </w:rPr>
        <w:t> </w:t>
      </w:r>
      <w:r w:rsidR="00CE0C11" w:rsidRPr="00D162EE">
        <w:rPr>
          <w:rFonts w:eastAsia="Calibri"/>
          <w:lang w:eastAsia="en-US"/>
        </w:rPr>
        <w:t xml:space="preserve">package </w:t>
      </w:r>
      <w:r w:rsidR="00D22B79" w:rsidRPr="00D162EE">
        <w:rPr>
          <w:rFonts w:eastAsia="Calibri"/>
          <w:lang w:eastAsia="en-US"/>
        </w:rPr>
        <w:t>for</w:t>
      </w:r>
      <w:r w:rsidRPr="00D162EE">
        <w:rPr>
          <w:rFonts w:eastAsia="Calibri"/>
          <w:lang w:eastAsia="en-US"/>
        </w:rPr>
        <w:t xml:space="preserve"> regional councils</w:t>
      </w:r>
      <w:r w:rsidR="00D22B79" w:rsidRPr="00D162EE">
        <w:rPr>
          <w:rFonts w:eastAsia="Calibri"/>
          <w:lang w:eastAsia="en-US"/>
        </w:rPr>
        <w:t>, Treaty partners</w:t>
      </w:r>
      <w:r w:rsidR="00E9032D" w:rsidRPr="00D162EE">
        <w:rPr>
          <w:rFonts w:eastAsia="Calibri"/>
          <w:lang w:eastAsia="en-US"/>
        </w:rPr>
        <w:t>,</w:t>
      </w:r>
      <w:r w:rsidR="00087A6F" w:rsidRPr="00D162EE">
        <w:rPr>
          <w:rFonts w:eastAsia="Calibri"/>
          <w:lang w:eastAsia="en-US"/>
        </w:rPr>
        <w:t xml:space="preserve"> </w:t>
      </w:r>
      <w:r w:rsidR="00D22B79" w:rsidRPr="00D162EE">
        <w:rPr>
          <w:rFonts w:eastAsia="Calibri"/>
          <w:lang w:eastAsia="en-US"/>
        </w:rPr>
        <w:t>the primary sector</w:t>
      </w:r>
      <w:r w:rsidR="00E9032D" w:rsidRPr="00D162EE">
        <w:rPr>
          <w:rFonts w:eastAsia="Calibri"/>
          <w:lang w:eastAsia="en-US"/>
        </w:rPr>
        <w:t>, E</w:t>
      </w:r>
      <w:r w:rsidR="0043607A" w:rsidRPr="00D162EE">
        <w:rPr>
          <w:rFonts w:eastAsia="Calibri"/>
          <w:lang w:eastAsia="en-US"/>
        </w:rPr>
        <w:t xml:space="preserve">nvironmental </w:t>
      </w:r>
      <w:r w:rsidR="00E9032D" w:rsidRPr="00D162EE">
        <w:rPr>
          <w:rFonts w:eastAsia="Calibri"/>
          <w:lang w:eastAsia="en-US"/>
        </w:rPr>
        <w:t>N</w:t>
      </w:r>
      <w:r w:rsidR="0043607A" w:rsidRPr="00D162EE">
        <w:rPr>
          <w:rFonts w:eastAsia="Calibri"/>
          <w:lang w:eastAsia="en-US"/>
        </w:rPr>
        <w:t>on</w:t>
      </w:r>
      <w:r w:rsidR="009B7B68" w:rsidRPr="00D162EE">
        <w:rPr>
          <w:rFonts w:eastAsia="Calibri"/>
          <w:lang w:eastAsia="en-US"/>
        </w:rPr>
        <w:noBreakHyphen/>
      </w:r>
      <w:r w:rsidR="00E9032D" w:rsidRPr="00D162EE">
        <w:rPr>
          <w:rFonts w:eastAsia="Calibri"/>
          <w:lang w:eastAsia="en-US"/>
        </w:rPr>
        <w:t>G</w:t>
      </w:r>
      <w:r w:rsidR="0043607A" w:rsidRPr="00D162EE">
        <w:rPr>
          <w:rFonts w:eastAsia="Calibri"/>
          <w:lang w:eastAsia="en-US"/>
        </w:rPr>
        <w:t xml:space="preserve">overnmental </w:t>
      </w:r>
      <w:r w:rsidR="00E9032D" w:rsidRPr="00D162EE">
        <w:rPr>
          <w:rFonts w:eastAsia="Calibri"/>
          <w:lang w:eastAsia="en-US"/>
        </w:rPr>
        <w:t>O</w:t>
      </w:r>
      <w:r w:rsidR="0043607A" w:rsidRPr="00D162EE">
        <w:rPr>
          <w:rFonts w:eastAsia="Calibri"/>
          <w:lang w:eastAsia="en-US"/>
        </w:rPr>
        <w:t>rganisation</w:t>
      </w:r>
      <w:r w:rsidR="00E9032D" w:rsidRPr="00D162EE">
        <w:rPr>
          <w:rFonts w:eastAsia="Calibri"/>
          <w:lang w:eastAsia="en-US"/>
        </w:rPr>
        <w:t xml:space="preserve">s, and </w:t>
      </w:r>
      <w:r w:rsidR="00640DA0" w:rsidRPr="00D162EE">
        <w:rPr>
          <w:rFonts w:eastAsia="Calibri"/>
          <w:lang w:eastAsia="en-US"/>
        </w:rPr>
        <w:t>the wider public</w:t>
      </w:r>
      <w:r w:rsidR="00D22B79" w:rsidRPr="00D162EE">
        <w:rPr>
          <w:rFonts w:eastAsia="Calibri"/>
          <w:lang w:eastAsia="en-US"/>
        </w:rPr>
        <w:t xml:space="preserve"> to help give effect to the NPS-FM 2020.</w:t>
      </w:r>
      <w:r w:rsidR="00F96FE3" w:rsidRPr="00D162EE">
        <w:rPr>
          <w:rFonts w:eastAsia="Calibri"/>
          <w:lang w:eastAsia="en-US"/>
        </w:rPr>
        <w:t xml:space="preserve"> Contact</w:t>
      </w:r>
      <w:r w:rsidR="00A30382" w:rsidRPr="00D162EE">
        <w:rPr>
          <w:rFonts w:eastAsia="Calibri"/>
          <w:lang w:eastAsia="en-US"/>
        </w:rPr>
        <w:t xml:space="preserve"> </w:t>
      </w:r>
      <w:hyperlink r:id="rId21" w:history="1">
        <w:r w:rsidR="00A30382" w:rsidRPr="00D162EE">
          <w:rPr>
            <w:rStyle w:val="Hyperlink"/>
          </w:rPr>
          <w:t>freshwater@mfe.govt.nz</w:t>
        </w:r>
      </w:hyperlink>
      <w:r w:rsidR="00A30382" w:rsidRPr="00D162EE">
        <w:rPr>
          <w:rFonts w:eastAsia="Calibri"/>
          <w:lang w:eastAsia="en-US"/>
        </w:rPr>
        <w:t xml:space="preserve"> </w:t>
      </w:r>
      <w:r w:rsidR="00F96FE3" w:rsidRPr="00D162EE">
        <w:rPr>
          <w:rFonts w:eastAsia="Calibri"/>
          <w:lang w:eastAsia="en-US"/>
        </w:rPr>
        <w:t>for further information on the implementation programme.</w:t>
      </w:r>
    </w:p>
    <w:p w14:paraId="1098EC2F" w14:textId="14854740" w:rsidR="00B95145" w:rsidRPr="00D162EE" w:rsidRDefault="00D22B79" w:rsidP="0013058A">
      <w:pPr>
        <w:pStyle w:val="Heading3"/>
      </w:pPr>
      <w:bookmarkStart w:id="40" w:name="_Toc50020643"/>
      <w:r w:rsidRPr="00D162EE">
        <w:t>When will a planning instrument need to use the freshwater</w:t>
      </w:r>
      <w:r w:rsidR="0013058A" w:rsidRPr="00D162EE">
        <w:t> </w:t>
      </w:r>
      <w:r w:rsidRPr="00D162EE">
        <w:t>planning</w:t>
      </w:r>
      <w:r w:rsidR="0013058A" w:rsidRPr="00D162EE">
        <w:t> </w:t>
      </w:r>
      <w:r w:rsidRPr="00D162EE">
        <w:t>process?</w:t>
      </w:r>
      <w:bookmarkEnd w:id="40"/>
    </w:p>
    <w:p w14:paraId="55A976F4" w14:textId="798D714C" w:rsidR="00D748D1" w:rsidRPr="00D162EE" w:rsidRDefault="00D22B79" w:rsidP="0013058A">
      <w:pPr>
        <w:pStyle w:val="BodyText"/>
      </w:pPr>
      <w:r w:rsidRPr="00D162EE">
        <w:rPr>
          <w:rFonts w:eastAsia="Calibri"/>
          <w:lang w:eastAsia="en-US"/>
        </w:rPr>
        <w:t xml:space="preserve">A </w:t>
      </w:r>
      <w:r w:rsidR="0032382F" w:rsidRPr="00D162EE">
        <w:rPr>
          <w:rFonts w:eastAsia="Calibri"/>
          <w:lang w:eastAsia="en-US"/>
        </w:rPr>
        <w:t>‘</w:t>
      </w:r>
      <w:r w:rsidR="00D748D1" w:rsidRPr="00D162EE">
        <w:rPr>
          <w:rFonts w:eastAsia="Calibri"/>
          <w:lang w:eastAsia="en-US"/>
        </w:rPr>
        <w:t xml:space="preserve">freshwater planning </w:t>
      </w:r>
      <w:r w:rsidR="00D748D1" w:rsidRPr="00D162EE">
        <w:t>instrument</w:t>
      </w:r>
      <w:r w:rsidR="0032382F" w:rsidRPr="00D162EE">
        <w:t>’</w:t>
      </w:r>
      <w:r w:rsidR="00D748D1" w:rsidRPr="00D162EE">
        <w:t xml:space="preserve"> </w:t>
      </w:r>
      <w:r w:rsidR="0032382F" w:rsidRPr="00D162EE">
        <w:t>means</w:t>
      </w:r>
      <w:r w:rsidR="00CE0C11" w:rsidRPr="00D162EE">
        <w:t xml:space="preserve"> a proposed regional policy statement or regional plan </w:t>
      </w:r>
      <w:r w:rsidR="00453F84" w:rsidRPr="00D162EE">
        <w:t>(or change or variation)</w:t>
      </w:r>
      <w:r w:rsidRPr="00D162EE">
        <w:t xml:space="preserve"> that will give</w:t>
      </w:r>
      <w:r w:rsidR="00CE0C11" w:rsidRPr="00D162EE">
        <w:t xml:space="preserve"> effect to </w:t>
      </w:r>
      <w:r w:rsidR="0043607A" w:rsidRPr="00D162EE">
        <w:t xml:space="preserve">the </w:t>
      </w:r>
      <w:r w:rsidR="00CE0C11" w:rsidRPr="00D162EE">
        <w:t>NPS-FM</w:t>
      </w:r>
      <w:r w:rsidR="00531E35">
        <w:t xml:space="preserve"> 2020</w:t>
      </w:r>
      <w:r w:rsidR="00CE0C11" w:rsidRPr="00D162EE">
        <w:t xml:space="preserve">, </w:t>
      </w:r>
      <w:r w:rsidRPr="00D162EE">
        <w:t xml:space="preserve">or </w:t>
      </w:r>
      <w:r w:rsidR="00640DA0" w:rsidRPr="00D162EE">
        <w:t xml:space="preserve">otherwise </w:t>
      </w:r>
      <w:r w:rsidRPr="00D162EE">
        <w:t>relate</w:t>
      </w:r>
      <w:r w:rsidR="00640DA0" w:rsidRPr="00D162EE">
        <w:t>s</w:t>
      </w:r>
      <w:r w:rsidR="00453F84" w:rsidRPr="00D162EE">
        <w:t xml:space="preserve"> to freshwater</w:t>
      </w:r>
      <w:r w:rsidRPr="00D162EE">
        <w:t xml:space="preserve"> (section 80A(2))</w:t>
      </w:r>
      <w:r w:rsidR="00453F84" w:rsidRPr="00D162EE">
        <w:t xml:space="preserve">. </w:t>
      </w:r>
      <w:r w:rsidR="003242BE" w:rsidRPr="00D162EE">
        <w:t>This does not include p</w:t>
      </w:r>
      <w:r w:rsidR="00453F84" w:rsidRPr="00D162EE">
        <w:t>roposed regional coastal plan</w:t>
      </w:r>
      <w:r w:rsidR="003242BE" w:rsidRPr="00D162EE">
        <w:t>s.</w:t>
      </w:r>
      <w:r w:rsidR="003242BE" w:rsidRPr="00D162EE">
        <w:rPr>
          <w:rStyle w:val="FootnoteReference"/>
          <w:color w:val="auto"/>
        </w:rPr>
        <w:footnoteReference w:id="9"/>
      </w:r>
    </w:p>
    <w:p w14:paraId="53D99C18" w14:textId="53C81F53" w:rsidR="00E150D1" w:rsidRPr="00D162EE" w:rsidRDefault="00382923" w:rsidP="0013058A">
      <w:pPr>
        <w:pStyle w:val="BodyText"/>
      </w:pPr>
      <w:r w:rsidRPr="00D162EE">
        <w:t>Therefore, w</w:t>
      </w:r>
      <w:r w:rsidR="006E3C96" w:rsidRPr="00D162EE">
        <w:t xml:space="preserve">hen preparing or changing </w:t>
      </w:r>
      <w:r w:rsidR="0043706F" w:rsidRPr="00D162EE">
        <w:t>regional policy</w:t>
      </w:r>
      <w:r w:rsidR="00D22B79" w:rsidRPr="00D162EE">
        <w:t xml:space="preserve"> statements and regional plans,</w:t>
      </w:r>
      <w:r w:rsidRPr="00D162EE">
        <w:t xml:space="preserve"> </w:t>
      </w:r>
      <w:r w:rsidR="0043706F" w:rsidRPr="00D162EE">
        <w:t xml:space="preserve">councils will need to </w:t>
      </w:r>
      <w:r w:rsidR="00C55F21" w:rsidRPr="00D162EE">
        <w:t>consider</w:t>
      </w:r>
      <w:r w:rsidR="0043706F" w:rsidRPr="00D162EE">
        <w:t xml:space="preserve"> whether all or part of the proposed provisions must use the FPP. </w:t>
      </w:r>
      <w:r w:rsidR="003242BE" w:rsidRPr="00D162EE">
        <w:t>P</w:t>
      </w:r>
      <w:r w:rsidR="00981675" w:rsidRPr="00D162EE">
        <w:t>roposed</w:t>
      </w:r>
      <w:r w:rsidR="00E150D1" w:rsidRPr="00D162EE">
        <w:t xml:space="preserve"> </w:t>
      </w:r>
      <w:r w:rsidRPr="00D162EE">
        <w:t xml:space="preserve">provisions that do not relate to freshwater </w:t>
      </w:r>
      <w:r w:rsidR="003242BE" w:rsidRPr="00D162EE">
        <w:t>cannot be considered using</w:t>
      </w:r>
      <w:r w:rsidR="00CD7729" w:rsidRPr="00D162EE">
        <w:t xml:space="preserve"> the FPP</w:t>
      </w:r>
      <w:r w:rsidRPr="00D162EE">
        <w:t>.</w:t>
      </w:r>
      <w:r w:rsidR="00E150D1" w:rsidRPr="00D162EE">
        <w:t xml:space="preserve"> </w:t>
      </w:r>
    </w:p>
    <w:p w14:paraId="25AC0D29" w14:textId="259BBA01" w:rsidR="00E150D1" w:rsidRPr="00D162EE" w:rsidRDefault="00EB6DE4" w:rsidP="0013058A">
      <w:pPr>
        <w:pStyle w:val="BodyText"/>
      </w:pPr>
      <w:r w:rsidRPr="00D162EE">
        <w:t>This</w:t>
      </w:r>
      <w:r w:rsidR="00E150D1" w:rsidRPr="00D162EE">
        <w:t xml:space="preserve"> </w:t>
      </w:r>
      <w:r w:rsidR="003242BE" w:rsidRPr="00D162EE">
        <w:t>exercise</w:t>
      </w:r>
      <w:r w:rsidRPr="00D162EE">
        <w:t xml:space="preserve"> will be straightforward if the proposed provisions </w:t>
      </w:r>
      <w:r w:rsidR="003242BE" w:rsidRPr="00D162EE">
        <w:t>are included in a specific</w:t>
      </w:r>
      <w:r w:rsidRPr="00D162EE">
        <w:t xml:space="preserve"> regional freshwater plan, or</w:t>
      </w:r>
      <w:r w:rsidR="003242BE" w:rsidRPr="00D162EE">
        <w:t xml:space="preserve"> a plan change that </w:t>
      </w:r>
      <w:r w:rsidRPr="00D162EE">
        <w:t xml:space="preserve">only </w:t>
      </w:r>
      <w:r w:rsidR="003242BE" w:rsidRPr="00D162EE">
        <w:t>gives</w:t>
      </w:r>
      <w:r w:rsidR="00216EAD" w:rsidRPr="00D162EE">
        <w:t xml:space="preserve"> effect to the</w:t>
      </w:r>
      <w:r w:rsidRPr="00D162EE">
        <w:t xml:space="preserve"> NPS-FM</w:t>
      </w:r>
      <w:r w:rsidR="003242BE" w:rsidRPr="00D162EE">
        <w:t xml:space="preserve"> 2020. In these</w:t>
      </w:r>
      <w:r w:rsidR="0041441C" w:rsidRPr="00D162EE">
        <w:t> </w:t>
      </w:r>
      <w:r w:rsidR="003242BE" w:rsidRPr="00D162EE">
        <w:t>situations,</w:t>
      </w:r>
      <w:r w:rsidRPr="00D162EE">
        <w:t xml:space="preserve"> </w:t>
      </w:r>
      <w:r w:rsidR="00E150D1" w:rsidRPr="00D162EE">
        <w:t>provisions</w:t>
      </w:r>
      <w:r w:rsidRPr="00D162EE">
        <w:t xml:space="preserve"> will go through the FPP. </w:t>
      </w:r>
    </w:p>
    <w:p w14:paraId="7C761D3D" w14:textId="675DDB78" w:rsidR="0043706F" w:rsidRPr="00D162EE" w:rsidRDefault="006527B2" w:rsidP="0013058A">
      <w:pPr>
        <w:pStyle w:val="BodyText"/>
        <w:rPr>
          <w:rFonts w:eastAsia="Calibri"/>
          <w:lang w:eastAsia="en-US"/>
        </w:rPr>
      </w:pPr>
      <w:r w:rsidRPr="00D162EE">
        <w:t>However, i</w:t>
      </w:r>
      <w:r w:rsidR="00EB6DE4" w:rsidRPr="00D162EE">
        <w:t>t will be more complicated where proposed provisions are no</w:t>
      </w:r>
      <w:r w:rsidR="00E150D1" w:rsidRPr="00D162EE">
        <w:t xml:space="preserve">t limited to freshwater </w:t>
      </w:r>
      <w:r w:rsidR="003242BE" w:rsidRPr="00D162EE">
        <w:t>and</w:t>
      </w:r>
      <w:r w:rsidRPr="00D162EE">
        <w:t xml:space="preserve"> NPS-FM</w:t>
      </w:r>
      <w:r w:rsidR="00531E35">
        <w:t xml:space="preserve"> 2020</w:t>
      </w:r>
      <w:r w:rsidRPr="00D162EE">
        <w:t xml:space="preserve"> </w:t>
      </w:r>
      <w:r w:rsidR="00E150D1" w:rsidRPr="00D162EE">
        <w:t>matters. For example</w:t>
      </w:r>
      <w:r w:rsidR="00C55F21" w:rsidRPr="00D162EE">
        <w:t>, when changes are proposed across a number of domains (such as freshwater, coast, air, urban etc) during the review of a regional policy statement</w:t>
      </w:r>
      <w:r w:rsidR="00F345BB" w:rsidRPr="00D162EE">
        <w:t>,</w:t>
      </w:r>
      <w:r w:rsidR="00BC7EE6" w:rsidRPr="00D162EE">
        <w:t xml:space="preserve"> or </w:t>
      </w:r>
      <w:r w:rsidR="00F345BB" w:rsidRPr="00D162EE">
        <w:t>development or</w:t>
      </w:r>
      <w:r w:rsidR="00981675" w:rsidRPr="00D162EE">
        <w:t xml:space="preserve"> review of a </w:t>
      </w:r>
      <w:r w:rsidR="00BC7EE6" w:rsidRPr="00D162EE">
        <w:t>combined planning document (such as a combined regional policy statement and regional plan</w:t>
      </w:r>
      <w:r w:rsidR="008C55F6" w:rsidRPr="00D162EE">
        <w:t>,</w:t>
      </w:r>
      <w:r w:rsidR="0043607A" w:rsidRPr="00D162EE">
        <w:t xml:space="preserve"> or unitary plan</w:t>
      </w:r>
      <w:r w:rsidR="00BC7EE6" w:rsidRPr="00D162EE">
        <w:t>).</w:t>
      </w:r>
      <w:r w:rsidR="00981675" w:rsidRPr="00D162EE">
        <w:t xml:space="preserve"> </w:t>
      </w:r>
      <w:r w:rsidR="00E150D1" w:rsidRPr="00D162EE">
        <w:t xml:space="preserve">In these situations, a regional council </w:t>
      </w:r>
      <w:r w:rsidR="003242BE" w:rsidRPr="00D162EE">
        <w:t>will need</w:t>
      </w:r>
      <w:r w:rsidR="00E150D1" w:rsidRPr="00D162EE">
        <w:t xml:space="preserve"> to identify which provisions will go through FPP and which provisions will go through the standard Schedule 1 process. </w:t>
      </w:r>
      <w:r w:rsidR="00CD7729" w:rsidRPr="00D162EE">
        <w:t xml:space="preserve">Councils </w:t>
      </w:r>
      <w:r w:rsidR="00087A6F" w:rsidRPr="00D162EE">
        <w:t>are required to</w:t>
      </w:r>
      <w:r w:rsidR="00A30382" w:rsidRPr="00D162EE">
        <w:t xml:space="preserve"> provide reasons for </w:t>
      </w:r>
      <w:r w:rsidR="00087A6F" w:rsidRPr="00D162EE">
        <w:t>which parts will undergo the FPP and w</w:t>
      </w:r>
      <w:r w:rsidR="00087A6F" w:rsidRPr="00D162EE">
        <w:rPr>
          <w:rFonts w:eastAsia="Calibri"/>
          <w:lang w:eastAsia="en-US"/>
        </w:rPr>
        <w:t>hich parts will not in the public notice</w:t>
      </w:r>
      <w:r w:rsidR="00A30382" w:rsidRPr="00D162EE">
        <w:rPr>
          <w:rFonts w:eastAsia="Calibri"/>
          <w:lang w:eastAsia="en-US"/>
        </w:rPr>
        <w:t xml:space="preserve">, </w:t>
      </w:r>
      <w:r w:rsidR="00087A6F" w:rsidRPr="00D162EE">
        <w:rPr>
          <w:rFonts w:eastAsia="Calibri"/>
          <w:lang w:eastAsia="en-US"/>
        </w:rPr>
        <w:t>and reasons could be discussed</w:t>
      </w:r>
      <w:r w:rsidR="00A30382" w:rsidRPr="00D162EE">
        <w:rPr>
          <w:rFonts w:eastAsia="Calibri"/>
          <w:lang w:eastAsia="en-US"/>
        </w:rPr>
        <w:t xml:space="preserve"> </w:t>
      </w:r>
      <w:r w:rsidR="00CD7729" w:rsidRPr="00D162EE">
        <w:rPr>
          <w:rFonts w:eastAsia="Calibri"/>
          <w:lang w:eastAsia="en-US"/>
        </w:rPr>
        <w:t xml:space="preserve">in the relevant section 32 report. </w:t>
      </w:r>
      <w:r w:rsidRPr="00D162EE">
        <w:rPr>
          <w:rFonts w:eastAsia="Calibri"/>
          <w:lang w:eastAsia="en-US"/>
        </w:rPr>
        <w:t xml:space="preserve">Refer to </w:t>
      </w:r>
      <w:hyperlink w:anchor="_Step_2:_Notification" w:history="1">
        <w:r w:rsidRPr="00D162EE">
          <w:rPr>
            <w:rStyle w:val="Hyperlink"/>
          </w:rPr>
          <w:t>Step 2: Notification and pre-hearing stages</w:t>
        </w:r>
      </w:hyperlink>
      <w:r w:rsidR="006C6AD9" w:rsidRPr="00D162EE">
        <w:rPr>
          <w:rFonts w:eastAsia="Calibri"/>
          <w:lang w:eastAsia="en-US"/>
        </w:rPr>
        <w:t xml:space="preserve"> </w:t>
      </w:r>
      <w:r w:rsidRPr="00D162EE">
        <w:rPr>
          <w:rFonts w:eastAsia="Calibri"/>
          <w:lang w:eastAsia="en-US"/>
        </w:rPr>
        <w:t>for more information on what is required in the public notice.</w:t>
      </w:r>
    </w:p>
    <w:p w14:paraId="0BE9BD67" w14:textId="49D2E755" w:rsidR="00087A6F" w:rsidRPr="00D162EE" w:rsidRDefault="00087A6F" w:rsidP="0013058A">
      <w:pPr>
        <w:pStyle w:val="BodyText"/>
        <w:rPr>
          <w:rFonts w:eastAsia="Calibri"/>
          <w:lang w:eastAsia="en-US"/>
        </w:rPr>
      </w:pPr>
      <w:r w:rsidRPr="00D162EE">
        <w:rPr>
          <w:rFonts w:eastAsia="Calibri"/>
          <w:lang w:eastAsia="en-US"/>
        </w:rPr>
        <w:t xml:space="preserve">Contact </w:t>
      </w:r>
      <w:hyperlink r:id="rId22" w:history="1">
        <w:r w:rsidRPr="00D162EE">
          <w:rPr>
            <w:rStyle w:val="Hyperlink"/>
          </w:rPr>
          <w:t>freshwater@mfe.govt.nz</w:t>
        </w:r>
      </w:hyperlink>
      <w:r w:rsidRPr="00D162EE">
        <w:rPr>
          <w:rFonts w:eastAsia="Calibri"/>
          <w:lang w:eastAsia="en-US"/>
        </w:rPr>
        <w:t xml:space="preserve"> for further </w:t>
      </w:r>
      <w:r w:rsidRPr="00D162EE">
        <w:t>information</w:t>
      </w:r>
      <w:r w:rsidRPr="00D162EE">
        <w:rPr>
          <w:rFonts w:eastAsia="Calibri"/>
          <w:lang w:eastAsia="en-US"/>
        </w:rPr>
        <w:t xml:space="preserve"> on the freshwater planning process.</w:t>
      </w:r>
    </w:p>
    <w:p w14:paraId="5AC141A3" w14:textId="7329FE7E" w:rsidR="00981675" w:rsidRPr="00D162EE" w:rsidRDefault="005E0F05" w:rsidP="0013058A">
      <w:pPr>
        <w:pStyle w:val="Heading4"/>
      </w:pPr>
      <w:r w:rsidRPr="00D162EE">
        <w:t xml:space="preserve">Separate </w:t>
      </w:r>
      <w:r w:rsidR="00981675" w:rsidRPr="00D162EE">
        <w:t>hearing panels</w:t>
      </w:r>
      <w:r w:rsidRPr="00D162EE">
        <w:t xml:space="preserve"> needed for </w:t>
      </w:r>
      <w:r w:rsidR="00981675" w:rsidRPr="00D162EE">
        <w:t>F</w:t>
      </w:r>
      <w:r w:rsidR="008460F2">
        <w:t>reshwater Planning Process</w:t>
      </w:r>
      <w:r w:rsidR="00981675" w:rsidRPr="00D162EE">
        <w:t xml:space="preserve"> and </w:t>
      </w:r>
      <w:r w:rsidR="009337EA" w:rsidRPr="00D162EE">
        <w:t>another</w:t>
      </w:r>
      <w:r w:rsidR="00981675" w:rsidRPr="00D162EE">
        <w:t xml:space="preserve"> </w:t>
      </w:r>
      <w:r w:rsidR="009337EA" w:rsidRPr="00D162EE">
        <w:t xml:space="preserve">Schedule 1 </w:t>
      </w:r>
      <w:r w:rsidR="00981675" w:rsidRPr="00D162EE">
        <w:t>plan</w:t>
      </w:r>
      <w:r w:rsidRPr="00D162EE">
        <w:t>-making process</w:t>
      </w:r>
    </w:p>
    <w:p w14:paraId="3222DD73" w14:textId="4283F1BC" w:rsidR="0000433E" w:rsidRPr="00D162EE" w:rsidRDefault="005E0F05" w:rsidP="00613EBE">
      <w:pPr>
        <w:pStyle w:val="BodyText"/>
        <w:spacing w:after="100"/>
        <w:rPr>
          <w:rFonts w:eastAsia="Calibri"/>
          <w:lang w:eastAsia="en-US"/>
        </w:rPr>
      </w:pPr>
      <w:r w:rsidRPr="00D162EE">
        <w:rPr>
          <w:rFonts w:eastAsia="Calibri"/>
          <w:lang w:eastAsia="en-US"/>
        </w:rPr>
        <w:t>Regional councils will need to use t</w:t>
      </w:r>
      <w:r w:rsidR="006C6AD9" w:rsidRPr="00D162EE">
        <w:rPr>
          <w:rFonts w:eastAsia="Calibri"/>
          <w:lang w:eastAsia="en-US"/>
        </w:rPr>
        <w:t>wo separate hearing</w:t>
      </w:r>
      <w:r w:rsidRPr="00D162EE">
        <w:rPr>
          <w:rFonts w:eastAsia="Calibri"/>
          <w:lang w:eastAsia="en-US"/>
        </w:rPr>
        <w:t>s</w:t>
      </w:r>
      <w:r w:rsidR="006C6AD9" w:rsidRPr="00D162EE">
        <w:rPr>
          <w:rFonts w:eastAsia="Calibri"/>
          <w:lang w:eastAsia="en-US"/>
        </w:rPr>
        <w:t xml:space="preserve"> processes </w:t>
      </w:r>
      <w:r w:rsidRPr="00D162EE">
        <w:rPr>
          <w:rFonts w:eastAsia="Calibri"/>
          <w:lang w:eastAsia="en-US"/>
        </w:rPr>
        <w:t>where the</w:t>
      </w:r>
      <w:r w:rsidR="006C6AD9" w:rsidRPr="00D162EE">
        <w:rPr>
          <w:rFonts w:eastAsia="Calibri"/>
          <w:lang w:eastAsia="en-US"/>
        </w:rPr>
        <w:t xml:space="preserve"> council</w:t>
      </w:r>
      <w:r w:rsidR="00981675" w:rsidRPr="00D162EE">
        <w:rPr>
          <w:rFonts w:eastAsia="Calibri"/>
          <w:lang w:eastAsia="en-US"/>
        </w:rPr>
        <w:t xml:space="preserve"> determines that </w:t>
      </w:r>
      <w:r w:rsidRPr="00D162EE">
        <w:rPr>
          <w:rFonts w:eastAsia="Calibri"/>
          <w:lang w:eastAsia="en-US"/>
        </w:rPr>
        <w:t xml:space="preserve">only some of the proposed planning instrument provisions implement the </w:t>
      </w:r>
      <w:r w:rsidRPr="00D162EE">
        <w:rPr>
          <w:rFonts w:eastAsia="Calibri"/>
          <w:lang w:eastAsia="en-US"/>
        </w:rPr>
        <w:lastRenderedPageBreak/>
        <w:t>NPS-FM</w:t>
      </w:r>
      <w:r w:rsidR="008460F2">
        <w:rPr>
          <w:rFonts w:eastAsia="Calibri"/>
          <w:lang w:eastAsia="en-US"/>
        </w:rPr>
        <w:t xml:space="preserve"> 2020</w:t>
      </w:r>
      <w:r w:rsidRPr="00D162EE">
        <w:rPr>
          <w:rFonts w:eastAsia="Calibri"/>
          <w:lang w:eastAsia="en-US"/>
        </w:rPr>
        <w:t xml:space="preserve"> or are </w:t>
      </w:r>
      <w:r w:rsidR="00BD3B0D" w:rsidRPr="00D162EE">
        <w:rPr>
          <w:rFonts w:eastAsia="Calibri"/>
          <w:lang w:eastAsia="en-US"/>
        </w:rPr>
        <w:t xml:space="preserve">otherwise </w:t>
      </w:r>
      <w:r w:rsidRPr="00D162EE">
        <w:rPr>
          <w:rFonts w:eastAsia="Calibri"/>
          <w:lang w:eastAsia="en-US"/>
        </w:rPr>
        <w:t xml:space="preserve">freshwater related. </w:t>
      </w:r>
      <w:r w:rsidRPr="00D162EE">
        <w:t>Non</w:t>
      </w:r>
      <w:r w:rsidRPr="00D162EE">
        <w:rPr>
          <w:rFonts w:eastAsia="Calibri"/>
          <w:lang w:eastAsia="en-US"/>
        </w:rPr>
        <w:t xml:space="preserve">-freshwater provisions will need to use another </w:t>
      </w:r>
      <w:r w:rsidR="006C6AD9" w:rsidRPr="00D162EE">
        <w:rPr>
          <w:rFonts w:eastAsia="Calibri"/>
          <w:lang w:eastAsia="en-US"/>
        </w:rPr>
        <w:t xml:space="preserve">Schedule 1 process. To maintain consistency across </w:t>
      </w:r>
      <w:r w:rsidR="00981675" w:rsidRPr="00D162EE">
        <w:rPr>
          <w:rFonts w:eastAsia="Calibri"/>
          <w:lang w:eastAsia="en-US"/>
        </w:rPr>
        <w:t>these separate hearings</w:t>
      </w:r>
      <w:r w:rsidR="006C6AD9" w:rsidRPr="00D162EE">
        <w:rPr>
          <w:rFonts w:eastAsia="Calibri"/>
          <w:lang w:eastAsia="en-US"/>
        </w:rPr>
        <w:t xml:space="preserve">, councils could consider the following: </w:t>
      </w:r>
    </w:p>
    <w:p w14:paraId="258E1265" w14:textId="16548BBA" w:rsidR="006C6AD9" w:rsidRPr="00D162EE" w:rsidRDefault="005E0F05" w:rsidP="00613EBE">
      <w:pPr>
        <w:pStyle w:val="Bullet"/>
        <w:spacing w:after="100"/>
      </w:pPr>
      <w:r w:rsidRPr="00D162EE">
        <w:t>utilising</w:t>
      </w:r>
      <w:r w:rsidR="006C6AD9" w:rsidRPr="00D162EE">
        <w:t xml:space="preserve"> one or more hearing members </w:t>
      </w:r>
      <w:r w:rsidRPr="00D162EE">
        <w:t xml:space="preserve">for both hearing panels (eg, </w:t>
      </w:r>
      <w:r w:rsidR="006C6AD9" w:rsidRPr="00D162EE">
        <w:t>the regional council and tangata whenua nominated members of the freshwater hearing</w:t>
      </w:r>
      <w:r w:rsidR="00981675" w:rsidRPr="00D162EE">
        <w:t>s</w:t>
      </w:r>
      <w:r w:rsidR="006C6AD9" w:rsidRPr="00D162EE">
        <w:t xml:space="preserve"> panel)</w:t>
      </w:r>
    </w:p>
    <w:p w14:paraId="56BE94D4" w14:textId="5558EFDE" w:rsidR="00981675" w:rsidRPr="00D162EE" w:rsidRDefault="00981675" w:rsidP="00613EBE">
      <w:pPr>
        <w:pStyle w:val="Bullet"/>
        <w:spacing w:after="100"/>
      </w:pPr>
      <w:r w:rsidRPr="00D162EE">
        <w:t>hold both hearings concurrently</w:t>
      </w:r>
      <w:r w:rsidR="005E0F05" w:rsidRPr="00D162EE">
        <w:t xml:space="preserve"> if timetabling can accommodate</w:t>
      </w:r>
    </w:p>
    <w:p w14:paraId="1136E96A" w14:textId="0116A1AF" w:rsidR="0000433E" w:rsidRPr="00D162EE" w:rsidRDefault="005E0F05" w:rsidP="00613EBE">
      <w:pPr>
        <w:pStyle w:val="Bullet"/>
        <w:spacing w:after="100"/>
      </w:pPr>
      <w:r w:rsidRPr="00D162EE">
        <w:t xml:space="preserve">sequencing the hearings so that the provisions of the planning instrument that drive/guide content of the other provisions are heard first (eg, </w:t>
      </w:r>
      <w:r w:rsidR="009337EA" w:rsidRPr="00D162EE">
        <w:t xml:space="preserve">giving effect to Te Mana o te Wai may act as a driver for other </w:t>
      </w:r>
      <w:r w:rsidR="00BD3B0D" w:rsidRPr="00D162EE">
        <w:t>plan provisions</w:t>
      </w:r>
      <w:r w:rsidRPr="00D162EE">
        <w:t>).</w:t>
      </w:r>
    </w:p>
    <w:p w14:paraId="578C2BC5" w14:textId="72B4726B" w:rsidR="00D94182" w:rsidRPr="00D162EE" w:rsidRDefault="00D94182" w:rsidP="00613EBE">
      <w:pPr>
        <w:pStyle w:val="Heading3"/>
        <w:spacing w:before="320"/>
      </w:pPr>
      <w:bookmarkStart w:id="41" w:name="_Toc50020644"/>
      <w:r w:rsidRPr="00D162EE">
        <w:t>F</w:t>
      </w:r>
      <w:r w:rsidR="008460F2">
        <w:t xml:space="preserve">reshwater </w:t>
      </w:r>
      <w:r w:rsidRPr="00D162EE">
        <w:t>P</w:t>
      </w:r>
      <w:r w:rsidR="008460F2">
        <w:t xml:space="preserve">lanning </w:t>
      </w:r>
      <w:r w:rsidRPr="00D162EE">
        <w:t>P</w:t>
      </w:r>
      <w:r w:rsidR="008460F2">
        <w:t>rocess</w:t>
      </w:r>
      <w:r w:rsidRPr="00D162EE">
        <w:t xml:space="preserve"> </w:t>
      </w:r>
      <w:r w:rsidR="00986B32" w:rsidRPr="00D162EE">
        <w:t xml:space="preserve">must </w:t>
      </w:r>
      <w:r w:rsidRPr="00D162EE">
        <w:t>be consistent with obligations</w:t>
      </w:r>
      <w:r w:rsidR="005E0F05" w:rsidRPr="00D162EE">
        <w:t xml:space="preserve"> to Treaty partners</w:t>
      </w:r>
      <w:bookmarkEnd w:id="41"/>
    </w:p>
    <w:p w14:paraId="4AC38D5A" w14:textId="14DA620B" w:rsidR="00BD3B0D" w:rsidRPr="00D162EE" w:rsidRDefault="00D94182" w:rsidP="00D94182">
      <w:pPr>
        <w:pStyle w:val="BodyText"/>
      </w:pPr>
      <w:r w:rsidRPr="00D162EE">
        <w:t xml:space="preserve">Regional councils will need to consider if the </w:t>
      </w:r>
      <w:r w:rsidR="00986B32" w:rsidRPr="00D162EE">
        <w:t xml:space="preserve">FPP </w:t>
      </w:r>
      <w:r w:rsidRPr="00D162EE">
        <w:t xml:space="preserve">will impact any iwi participation legislation, </w:t>
      </w:r>
      <w:r w:rsidR="00986B32" w:rsidRPr="00D162EE">
        <w:t xml:space="preserve">joint management agreement or </w:t>
      </w:r>
      <w:r w:rsidRPr="00D162EE">
        <w:t xml:space="preserve">Mana Whakahono ā Rohe </w:t>
      </w:r>
      <w:r w:rsidR="00986B32" w:rsidRPr="00D162EE">
        <w:t>that are relevant</w:t>
      </w:r>
      <w:r w:rsidR="003242BE" w:rsidRPr="00D162EE">
        <w:rPr>
          <w:rStyle w:val="FootnoteReference"/>
          <w:color w:val="auto"/>
        </w:rPr>
        <w:footnoteReference w:id="10"/>
      </w:r>
      <w:r w:rsidR="00986B32" w:rsidRPr="00D162EE">
        <w:rPr>
          <w:vertAlign w:val="superscript"/>
        </w:rPr>
        <w:t xml:space="preserve"> </w:t>
      </w:r>
      <w:r w:rsidR="00986B32" w:rsidRPr="00D162EE">
        <w:t>to</w:t>
      </w:r>
      <w:r w:rsidRPr="00D162EE">
        <w:t xml:space="preserve"> iwi p</w:t>
      </w:r>
      <w:r w:rsidR="00986B32" w:rsidRPr="00D162EE">
        <w:t>articipation in the RMA plan-making</w:t>
      </w:r>
      <w:r w:rsidRPr="00D162EE">
        <w:t xml:space="preserve"> process. </w:t>
      </w:r>
      <w:r w:rsidR="00986B32" w:rsidRPr="00D162EE">
        <w:t>The FPP must be consistent with any obligations</w:t>
      </w:r>
      <w:r w:rsidR="004E4C4E" w:rsidRPr="00D162EE">
        <w:t> </w:t>
      </w:r>
      <w:r w:rsidR="00986B32" w:rsidRPr="00D162EE">
        <w:t xml:space="preserve">set out in these documents, so the </w:t>
      </w:r>
      <w:r w:rsidRPr="00D162EE">
        <w:t xml:space="preserve">nature of these obligations must be well understood </w:t>
      </w:r>
      <w:r w:rsidR="00986B32" w:rsidRPr="00D162EE">
        <w:t>as regional councils</w:t>
      </w:r>
      <w:r w:rsidR="00BD3B0D" w:rsidRPr="00D162EE">
        <w:t xml:space="preserve"> begin to plan for the process.</w:t>
      </w:r>
    </w:p>
    <w:p w14:paraId="26AB8A5C" w14:textId="662C0D49" w:rsidR="00986B32" w:rsidRPr="00D162EE" w:rsidRDefault="00BD3B0D" w:rsidP="00D94182">
      <w:pPr>
        <w:pStyle w:val="BodyText"/>
      </w:pPr>
      <w:r w:rsidRPr="00D162EE">
        <w:t xml:space="preserve">Considerations will not be limited to </w:t>
      </w:r>
      <w:r w:rsidR="00986B32" w:rsidRPr="00D162EE">
        <w:t>obligations</w:t>
      </w:r>
      <w:r w:rsidRPr="00D162EE">
        <w:t xml:space="preserve"> under the RMA and NPS-FM 2020</w:t>
      </w:r>
      <w:r w:rsidR="00986B32" w:rsidRPr="00D162EE">
        <w:t xml:space="preserve"> to engage with iwi through the development of regional policy statement/regional plan content, but also the </w:t>
      </w:r>
      <w:r w:rsidR="007F2EE0" w:rsidRPr="00D162EE">
        <w:t>size and composition</w:t>
      </w:r>
      <w:r w:rsidR="00986B32" w:rsidRPr="00D162EE">
        <w:t xml:space="preserve"> of</w:t>
      </w:r>
      <w:r w:rsidR="007F2EE0" w:rsidRPr="00D162EE">
        <w:t xml:space="preserve"> the</w:t>
      </w:r>
      <w:r w:rsidR="00986B32" w:rsidRPr="00D162EE">
        <w:t xml:space="preserve"> freshwater hearing</w:t>
      </w:r>
      <w:r w:rsidR="007F2EE0" w:rsidRPr="00D162EE">
        <w:t>s panel</w:t>
      </w:r>
      <w:r w:rsidR="00986B32" w:rsidRPr="00D162EE">
        <w:t xml:space="preserve"> and the decision-making arrangements </w:t>
      </w:r>
      <w:r w:rsidR="007F2EE0" w:rsidRPr="00D162EE">
        <w:t>for approving</w:t>
      </w:r>
      <w:r w:rsidR="00986B32" w:rsidRPr="00D162EE">
        <w:t xml:space="preserve"> the final </w:t>
      </w:r>
      <w:r w:rsidR="007F2EE0" w:rsidRPr="00D162EE">
        <w:t>regional policy statement/regional plan</w:t>
      </w:r>
      <w:r w:rsidRPr="00D162EE">
        <w:t xml:space="preserve"> or changes</w:t>
      </w:r>
      <w:r w:rsidR="007F2EE0" w:rsidRPr="00D162EE">
        <w:t>. Refer to ‘</w:t>
      </w:r>
      <w:hyperlink w:anchor="_Implications_for_any" w:history="1">
        <w:r w:rsidR="007F2EE0" w:rsidRPr="00D162EE">
          <w:rPr>
            <w:rStyle w:val="Hyperlink"/>
          </w:rPr>
          <w:t>Implications for any relevant iwi participation legislation, joint management agreement or Mana Whakahono ā Rohe</w:t>
        </w:r>
      </w:hyperlink>
      <w:r w:rsidR="007F2EE0" w:rsidRPr="00D162EE">
        <w:t>’ for further information.</w:t>
      </w:r>
    </w:p>
    <w:p w14:paraId="304F889A" w14:textId="70980AB8" w:rsidR="00D25566" w:rsidRPr="00D162EE" w:rsidRDefault="00052A77" w:rsidP="00D25566">
      <w:pPr>
        <w:pStyle w:val="Heading2"/>
        <w:rPr>
          <w:rFonts w:eastAsia="Calibri"/>
          <w:lang w:eastAsia="en-US"/>
        </w:rPr>
      </w:pPr>
      <w:bookmarkStart w:id="42" w:name="_Step_2:_Notification"/>
      <w:bookmarkStart w:id="43" w:name="_Toc50020645"/>
      <w:bookmarkStart w:id="44" w:name="_Toc50469802"/>
      <w:bookmarkEnd w:id="42"/>
      <w:r w:rsidRPr="00D162EE">
        <w:rPr>
          <w:rFonts w:eastAsia="Calibri"/>
          <w:lang w:eastAsia="en-US"/>
        </w:rPr>
        <w:t xml:space="preserve">Step 2: </w:t>
      </w:r>
      <w:r w:rsidR="00D25566" w:rsidRPr="00D162EE">
        <w:rPr>
          <w:rFonts w:eastAsia="Calibri"/>
          <w:lang w:eastAsia="en-US"/>
        </w:rPr>
        <w:t>Notification and pre-hearing stages</w:t>
      </w:r>
      <w:bookmarkEnd w:id="43"/>
      <w:bookmarkEnd w:id="44"/>
    </w:p>
    <w:p w14:paraId="02326D8C" w14:textId="392541BB" w:rsidR="00CA6649" w:rsidRPr="00D162EE" w:rsidRDefault="00CA6649" w:rsidP="005A76F1">
      <w:pPr>
        <w:pStyle w:val="Heading3"/>
        <w:spacing w:before="240"/>
      </w:pPr>
      <w:bookmarkStart w:id="45" w:name="_Toc50020646"/>
      <w:r w:rsidRPr="00D162EE">
        <w:t>Notification</w:t>
      </w:r>
      <w:r w:rsidR="00920325" w:rsidRPr="00D162EE">
        <w:t xml:space="preserve"> and submissions</w:t>
      </w:r>
      <w:bookmarkEnd w:id="45"/>
    </w:p>
    <w:p w14:paraId="315368D4" w14:textId="74CB78CF" w:rsidR="00BB2F7B" w:rsidRPr="00D162EE" w:rsidRDefault="008F6913" w:rsidP="005A76F1">
      <w:pPr>
        <w:pStyle w:val="BodyText"/>
        <w:rPr>
          <w:rFonts w:eastAsia="Calibri"/>
          <w:lang w:eastAsia="en-US"/>
        </w:rPr>
      </w:pPr>
      <w:r w:rsidRPr="00D162EE">
        <w:rPr>
          <w:rFonts w:eastAsia="Calibri"/>
          <w:lang w:eastAsia="en-US"/>
        </w:rPr>
        <w:t>Once a freshwater planning instrument is prepared, it must be</w:t>
      </w:r>
      <w:r w:rsidR="00BB2F7B" w:rsidRPr="00D162EE">
        <w:rPr>
          <w:rFonts w:eastAsia="Calibri"/>
          <w:lang w:eastAsia="en-US"/>
        </w:rPr>
        <w:t xml:space="preserve"> publicly notified.</w:t>
      </w:r>
      <w:r w:rsidRPr="00D162EE">
        <w:rPr>
          <w:rStyle w:val="FootnoteReference"/>
          <w:rFonts w:eastAsia="Calibri"/>
          <w:lang w:eastAsia="en-US"/>
        </w:rPr>
        <w:footnoteReference w:id="11"/>
      </w:r>
      <w:r w:rsidR="00BB2F7B" w:rsidRPr="00D162EE">
        <w:rPr>
          <w:rFonts w:eastAsia="Calibri"/>
          <w:lang w:eastAsia="en-US"/>
        </w:rPr>
        <w:t xml:space="preserve"> </w:t>
      </w:r>
      <w:r w:rsidRPr="00D162EE">
        <w:rPr>
          <w:rFonts w:eastAsia="Calibri"/>
          <w:lang w:eastAsia="en-US"/>
        </w:rPr>
        <w:t>Public n</w:t>
      </w:r>
      <w:r w:rsidR="00BB2F7B" w:rsidRPr="00D162EE">
        <w:rPr>
          <w:rFonts w:eastAsia="Calibri"/>
          <w:lang w:eastAsia="en-US"/>
        </w:rPr>
        <w:t>otif</w:t>
      </w:r>
      <w:r w:rsidR="00981675" w:rsidRPr="00D162EE">
        <w:rPr>
          <w:rFonts w:eastAsia="Calibri"/>
          <w:lang w:eastAsia="en-US"/>
        </w:rPr>
        <w:t xml:space="preserve">ication occurs </w:t>
      </w:r>
      <w:r w:rsidR="00981675" w:rsidRPr="00D162EE">
        <w:t>in</w:t>
      </w:r>
      <w:r w:rsidR="00981675" w:rsidRPr="00D162EE">
        <w:rPr>
          <w:rFonts w:eastAsia="Calibri"/>
          <w:lang w:eastAsia="en-US"/>
        </w:rPr>
        <w:t xml:space="preserve"> the same way </w:t>
      </w:r>
      <w:r w:rsidR="00BB2F7B" w:rsidRPr="00D162EE">
        <w:rPr>
          <w:rFonts w:eastAsia="Calibri"/>
          <w:lang w:eastAsia="en-US"/>
        </w:rPr>
        <w:t xml:space="preserve">as the </w:t>
      </w:r>
      <w:r w:rsidR="009337EA" w:rsidRPr="00D162EE">
        <w:rPr>
          <w:rFonts w:eastAsia="Calibri"/>
          <w:lang w:eastAsia="en-US"/>
        </w:rPr>
        <w:t xml:space="preserve">Part 1 </w:t>
      </w:r>
      <w:r w:rsidR="00BB2F7B" w:rsidRPr="00D162EE">
        <w:rPr>
          <w:rFonts w:eastAsia="Calibri"/>
          <w:lang w:eastAsia="en-US"/>
        </w:rPr>
        <w:t xml:space="preserve">Schedule 1 plan-making process, </w:t>
      </w:r>
      <w:r w:rsidR="00CA6649" w:rsidRPr="00D162EE">
        <w:rPr>
          <w:rFonts w:eastAsia="Calibri"/>
          <w:lang w:eastAsia="en-US"/>
        </w:rPr>
        <w:t>but</w:t>
      </w:r>
      <w:r w:rsidR="00BB2F7B" w:rsidRPr="00D162EE">
        <w:rPr>
          <w:rFonts w:eastAsia="Calibri"/>
          <w:lang w:eastAsia="en-US"/>
        </w:rPr>
        <w:t xml:space="preserve"> the public notice</w:t>
      </w:r>
      <w:r w:rsidR="00CA6649" w:rsidRPr="00D162EE">
        <w:rPr>
          <w:rFonts w:eastAsia="Calibri"/>
          <w:lang w:eastAsia="en-US"/>
        </w:rPr>
        <w:t xml:space="preserve"> must</w:t>
      </w:r>
      <w:r w:rsidRPr="00D162EE">
        <w:rPr>
          <w:rFonts w:eastAsia="Calibri"/>
          <w:lang w:eastAsia="en-US"/>
        </w:rPr>
        <w:t xml:space="preserve"> also</w:t>
      </w:r>
      <w:r w:rsidR="00CA6649" w:rsidRPr="00D162EE">
        <w:rPr>
          <w:rFonts w:eastAsia="Calibri"/>
          <w:lang w:eastAsia="en-US"/>
        </w:rPr>
        <w:t xml:space="preserve"> state</w:t>
      </w:r>
      <w:r w:rsidR="00863E0F" w:rsidRPr="00D162EE">
        <w:rPr>
          <w:rFonts w:eastAsia="Calibri"/>
          <w:lang w:eastAsia="en-US"/>
        </w:rPr>
        <w:t xml:space="preserve"> (clause 5(2A))</w:t>
      </w:r>
      <w:r w:rsidR="002B41EA" w:rsidRPr="00D162EE">
        <w:rPr>
          <w:rFonts w:eastAsia="Calibri"/>
          <w:lang w:eastAsia="en-US"/>
        </w:rPr>
        <w:t>:</w:t>
      </w:r>
    </w:p>
    <w:p w14:paraId="223FA98A" w14:textId="57BA0049" w:rsidR="00CA6649" w:rsidRPr="00D162EE" w:rsidRDefault="00CA6649" w:rsidP="005A76F1">
      <w:pPr>
        <w:pStyle w:val="Bullet"/>
      </w:pPr>
      <w:r w:rsidRPr="00D162EE">
        <w:t>whether all of part of the instrument is subject to the FPP</w:t>
      </w:r>
    </w:p>
    <w:p w14:paraId="15A9D7A0" w14:textId="3CC12B08" w:rsidR="00CA6649" w:rsidRPr="00D162EE" w:rsidRDefault="00F93E19" w:rsidP="005A76F1">
      <w:pPr>
        <w:pStyle w:val="Bullet"/>
      </w:pPr>
      <w:r>
        <w:t>i</w:t>
      </w:r>
      <w:r w:rsidR="00CA6649" w:rsidRPr="00D162EE">
        <w:t xml:space="preserve">f applicable, </w:t>
      </w:r>
      <w:r w:rsidR="008F6913" w:rsidRPr="00D162EE">
        <w:t xml:space="preserve">state </w:t>
      </w:r>
      <w:r w:rsidR="00CA6649" w:rsidRPr="00D162EE">
        <w:t>which part will undergo the FPP and which part will undergo the standard Part 1 process, with reasons why</w:t>
      </w:r>
      <w:r w:rsidR="00CA6649" w:rsidRPr="00D162EE">
        <w:rPr>
          <w:i/>
        </w:rPr>
        <w:t>.</w:t>
      </w:r>
    </w:p>
    <w:p w14:paraId="35EBB937" w14:textId="7B86427B" w:rsidR="00B2075C" w:rsidRPr="00D162EE" w:rsidRDefault="00087A6F" w:rsidP="00D25566">
      <w:pPr>
        <w:pStyle w:val="BodyText"/>
        <w:rPr>
          <w:rFonts w:eastAsia="Calibri"/>
          <w:lang w:eastAsia="en-US"/>
        </w:rPr>
      </w:pPr>
      <w:r w:rsidRPr="00D162EE">
        <w:rPr>
          <w:rFonts w:eastAsia="Calibri"/>
          <w:lang w:eastAsia="en-US"/>
        </w:rPr>
        <w:t>Form 4A</w:t>
      </w:r>
      <w:r w:rsidR="00B2075C" w:rsidRPr="00D162EE">
        <w:rPr>
          <w:rFonts w:eastAsia="Calibri"/>
          <w:lang w:eastAsia="en-US"/>
        </w:rPr>
        <w:t xml:space="preserve"> of the Resource Management (Forms, Fees, and Procedure) Regulations 2003 provides the </w:t>
      </w:r>
      <w:r w:rsidR="008F6913" w:rsidRPr="00D162EE">
        <w:rPr>
          <w:rFonts w:eastAsia="Calibri"/>
          <w:lang w:eastAsia="en-US"/>
        </w:rPr>
        <w:t xml:space="preserve">template form: </w:t>
      </w:r>
      <w:r w:rsidR="00B2075C" w:rsidRPr="00D162EE">
        <w:rPr>
          <w:rFonts w:eastAsia="Calibri"/>
          <w:lang w:eastAsia="en-US"/>
        </w:rPr>
        <w:t xml:space="preserve">‘Public notice for freshwater planning instruments under the Freshwater Planning Process’. </w:t>
      </w:r>
    </w:p>
    <w:p w14:paraId="7BAFBB95" w14:textId="30208932" w:rsidR="00C979FF" w:rsidRPr="00D162EE" w:rsidRDefault="00C979FF" w:rsidP="00C979FF">
      <w:pPr>
        <w:pStyle w:val="BodyText"/>
        <w:rPr>
          <w:color w:val="000000"/>
          <w:shd w:val="clear" w:color="auto" w:fill="FFFFFF"/>
        </w:rPr>
      </w:pPr>
      <w:r w:rsidRPr="00D162EE">
        <w:rPr>
          <w:color w:val="000000"/>
          <w:shd w:val="clear" w:color="auto" w:fill="FFFFFF"/>
        </w:rPr>
        <w:t xml:space="preserve">While rules </w:t>
      </w:r>
      <w:r w:rsidR="00602AE2" w:rsidRPr="00D162EE">
        <w:rPr>
          <w:color w:val="000000"/>
          <w:shd w:val="clear" w:color="auto" w:fill="FFFFFF"/>
        </w:rPr>
        <w:t xml:space="preserve">in a proposed plan </w:t>
      </w:r>
      <w:r w:rsidRPr="00D162EE">
        <w:rPr>
          <w:color w:val="000000"/>
          <w:shd w:val="clear" w:color="auto" w:fill="FFFFFF"/>
        </w:rPr>
        <w:t>will generally not have any legal effect until after decisions on submissions have been made, rules in a freshwater planning instrument will have immediate legal effect on notification if they protect or relate to water (section 86B(3)</w:t>
      </w:r>
      <w:r w:rsidR="008F6913" w:rsidRPr="00D162EE">
        <w:rPr>
          <w:color w:val="000000"/>
          <w:shd w:val="clear" w:color="auto" w:fill="FFFFFF"/>
        </w:rPr>
        <w:t>(a)</w:t>
      </w:r>
      <w:r w:rsidRPr="00D162EE">
        <w:rPr>
          <w:color w:val="000000"/>
          <w:shd w:val="clear" w:color="auto" w:fill="FFFFFF"/>
        </w:rPr>
        <w:t>).</w:t>
      </w:r>
    </w:p>
    <w:p w14:paraId="631F66CA" w14:textId="738EE48B" w:rsidR="00920325" w:rsidRPr="00D162EE" w:rsidRDefault="00CA6649" w:rsidP="00D25566">
      <w:pPr>
        <w:pStyle w:val="BodyText"/>
        <w:rPr>
          <w:rFonts w:eastAsia="Calibri"/>
          <w:lang w:eastAsia="en-US"/>
        </w:rPr>
      </w:pPr>
      <w:r w:rsidRPr="00D162EE">
        <w:rPr>
          <w:rFonts w:eastAsia="Calibri"/>
          <w:lang w:eastAsia="en-US"/>
        </w:rPr>
        <w:lastRenderedPageBreak/>
        <w:t>Under the FPP</w:t>
      </w:r>
      <w:r w:rsidR="00863E0F" w:rsidRPr="00D162EE">
        <w:rPr>
          <w:rFonts w:eastAsia="Calibri"/>
          <w:lang w:eastAsia="en-US"/>
        </w:rPr>
        <w:t>,</w:t>
      </w:r>
      <w:r w:rsidRPr="00D162EE">
        <w:rPr>
          <w:rFonts w:eastAsia="Calibri"/>
          <w:lang w:eastAsia="en-US"/>
        </w:rPr>
        <w:t xml:space="preserve"> </w:t>
      </w:r>
      <w:r w:rsidR="00863E0F" w:rsidRPr="00D162EE">
        <w:rPr>
          <w:rFonts w:eastAsia="Calibri"/>
          <w:lang w:eastAsia="en-US"/>
        </w:rPr>
        <w:t>r</w:t>
      </w:r>
      <w:r w:rsidR="002A6CCD" w:rsidRPr="00D162EE">
        <w:rPr>
          <w:rFonts w:eastAsia="Calibri"/>
          <w:lang w:eastAsia="en-US"/>
        </w:rPr>
        <w:t>egional c</w:t>
      </w:r>
      <w:r w:rsidR="00D25566" w:rsidRPr="00D162EE">
        <w:rPr>
          <w:rFonts w:eastAsia="Calibri"/>
          <w:lang w:eastAsia="en-US"/>
        </w:rPr>
        <w:t xml:space="preserve">ouncils </w:t>
      </w:r>
      <w:r w:rsidRPr="00D162EE">
        <w:rPr>
          <w:rFonts w:eastAsia="Calibri"/>
          <w:lang w:eastAsia="en-US"/>
        </w:rPr>
        <w:t xml:space="preserve">will </w:t>
      </w:r>
      <w:r w:rsidR="00D25566" w:rsidRPr="00D162EE">
        <w:rPr>
          <w:rFonts w:eastAsia="Calibri"/>
          <w:lang w:eastAsia="en-US"/>
        </w:rPr>
        <w:t xml:space="preserve">administer the submission and further submission </w:t>
      </w:r>
      <w:r w:rsidR="00981675" w:rsidRPr="00D162EE">
        <w:rPr>
          <w:rFonts w:eastAsia="Calibri"/>
          <w:lang w:eastAsia="en-US"/>
        </w:rPr>
        <w:t>stages</w:t>
      </w:r>
      <w:r w:rsidR="00D25566" w:rsidRPr="00D162EE">
        <w:rPr>
          <w:rFonts w:eastAsia="Calibri"/>
          <w:lang w:eastAsia="en-US"/>
        </w:rPr>
        <w:t xml:space="preserve"> as they would under the standard plan-making process</w:t>
      </w:r>
      <w:r w:rsidR="002A6CCD" w:rsidRPr="00D162EE">
        <w:rPr>
          <w:rFonts w:eastAsia="Calibri"/>
          <w:lang w:eastAsia="en-US"/>
        </w:rPr>
        <w:t xml:space="preserve">. </w:t>
      </w:r>
    </w:p>
    <w:p w14:paraId="4BE2943E" w14:textId="374DF86E" w:rsidR="00920325" w:rsidRPr="00D162EE" w:rsidRDefault="00920325" w:rsidP="008C55F6">
      <w:pPr>
        <w:pStyle w:val="Heading3"/>
      </w:pPr>
      <w:bookmarkStart w:id="46" w:name="_Toc50020647"/>
      <w:r w:rsidRPr="00D162EE">
        <w:t>Council to provide documentation to the Chief</w:t>
      </w:r>
      <w:bookmarkEnd w:id="46"/>
    </w:p>
    <w:p w14:paraId="1394953F" w14:textId="6023C423" w:rsidR="00D25566" w:rsidRPr="00D162EE" w:rsidRDefault="00920325" w:rsidP="00C31EA8">
      <w:pPr>
        <w:pStyle w:val="BodyText"/>
        <w:rPr>
          <w:rFonts w:eastAsia="Calibri"/>
          <w:lang w:eastAsia="en-US"/>
        </w:rPr>
      </w:pPr>
      <w:r w:rsidRPr="00D162EE">
        <w:rPr>
          <w:rFonts w:eastAsia="Calibri"/>
          <w:lang w:eastAsia="en-US"/>
        </w:rPr>
        <w:t>W</w:t>
      </w:r>
      <w:r w:rsidR="00D25566" w:rsidRPr="00D162EE">
        <w:rPr>
          <w:rFonts w:eastAsia="Calibri"/>
          <w:lang w:eastAsia="en-US"/>
        </w:rPr>
        <w:t xml:space="preserve">ithin </w:t>
      </w:r>
      <w:r w:rsidR="00D25566" w:rsidRPr="00D162EE">
        <w:rPr>
          <w:rFonts w:eastAsia="Calibri"/>
          <w:b/>
          <w:lang w:eastAsia="en-US"/>
        </w:rPr>
        <w:t>six months</w:t>
      </w:r>
      <w:r w:rsidR="00D25566" w:rsidRPr="00D162EE">
        <w:rPr>
          <w:rFonts w:eastAsia="Calibri"/>
          <w:lang w:eastAsia="en-US"/>
        </w:rPr>
        <w:t xml:space="preserve"> of notifying the freshwater planning instrument, </w:t>
      </w:r>
      <w:r w:rsidR="002A6CCD" w:rsidRPr="00D162EE">
        <w:rPr>
          <w:rFonts w:eastAsia="Calibri"/>
          <w:lang w:eastAsia="en-US"/>
        </w:rPr>
        <w:t xml:space="preserve">regional </w:t>
      </w:r>
      <w:r w:rsidR="00D25566" w:rsidRPr="00D162EE">
        <w:rPr>
          <w:rFonts w:eastAsia="Calibri"/>
          <w:lang w:eastAsia="en-US"/>
        </w:rPr>
        <w:t xml:space="preserve">councils must provide </w:t>
      </w:r>
      <w:r w:rsidR="00D25566" w:rsidRPr="00D162EE">
        <w:t>the</w:t>
      </w:r>
      <w:r w:rsidR="00D25566" w:rsidRPr="00D162EE">
        <w:rPr>
          <w:rFonts w:eastAsia="Calibri"/>
          <w:lang w:eastAsia="en-US"/>
        </w:rPr>
        <w:t xml:space="preserve"> following documentation to the Chief Freshwater Commissioner</w:t>
      </w:r>
      <w:r w:rsidR="00863E0F" w:rsidRPr="00D162EE">
        <w:rPr>
          <w:rFonts w:eastAsia="Calibri"/>
          <w:lang w:eastAsia="en-US"/>
        </w:rPr>
        <w:t xml:space="preserve"> (section 80A(4)(c) and clause 37</w:t>
      </w:r>
      <w:r w:rsidR="00602AE2" w:rsidRPr="00D162EE">
        <w:rPr>
          <w:rFonts w:eastAsia="Calibri"/>
          <w:lang w:eastAsia="en-US"/>
        </w:rPr>
        <w:t>(1)</w:t>
      </w:r>
      <w:r w:rsidR="00863E0F" w:rsidRPr="00D162EE">
        <w:rPr>
          <w:rFonts w:eastAsia="Calibri"/>
          <w:lang w:eastAsia="en-US"/>
        </w:rPr>
        <w:t>)</w:t>
      </w:r>
      <w:r w:rsidR="00D25566" w:rsidRPr="00D162EE">
        <w:rPr>
          <w:rFonts w:eastAsia="Calibri"/>
          <w:lang w:eastAsia="en-US"/>
        </w:rPr>
        <w:t>:</w:t>
      </w:r>
    </w:p>
    <w:p w14:paraId="462E5B8B" w14:textId="5D26A1DD" w:rsidR="00D25566" w:rsidRPr="00D162EE" w:rsidRDefault="00D25566" w:rsidP="00C31EA8">
      <w:pPr>
        <w:pStyle w:val="Bullet"/>
      </w:pPr>
      <w:r w:rsidRPr="00D162EE">
        <w:t>the freshwater planning instrument that was publicly notified</w:t>
      </w:r>
    </w:p>
    <w:p w14:paraId="7B7AAC2C" w14:textId="77777777" w:rsidR="00D25566" w:rsidRPr="00D162EE" w:rsidRDefault="00D25566" w:rsidP="00C31EA8">
      <w:pPr>
        <w:pStyle w:val="Bullet"/>
      </w:pPr>
      <w:r w:rsidRPr="00D162EE">
        <w:t>any variation made to the freshwater planning instrument</w:t>
      </w:r>
    </w:p>
    <w:p w14:paraId="2C2C1B88" w14:textId="77777777" w:rsidR="00D25566" w:rsidRPr="00D162EE" w:rsidRDefault="00D25566" w:rsidP="00C31EA8">
      <w:pPr>
        <w:pStyle w:val="Bullet"/>
      </w:pPr>
      <w:r w:rsidRPr="00D162EE">
        <w:t>the section 32 evaluation report</w:t>
      </w:r>
    </w:p>
    <w:p w14:paraId="3328FA83" w14:textId="77777777" w:rsidR="00D25566" w:rsidRPr="00D162EE" w:rsidRDefault="00D25566" w:rsidP="00C31EA8">
      <w:pPr>
        <w:pStyle w:val="Bullet"/>
      </w:pPr>
      <w:r w:rsidRPr="00D162EE">
        <w:t>submissions and further submissions received, including a summary of the decisions requested by submitters</w:t>
      </w:r>
    </w:p>
    <w:p w14:paraId="461F3FB8" w14:textId="0489BACE" w:rsidR="00D25566" w:rsidRPr="00D162EE" w:rsidRDefault="00D25566" w:rsidP="00C31EA8">
      <w:pPr>
        <w:pStyle w:val="Bullet"/>
      </w:pPr>
      <w:r w:rsidRPr="00D162EE">
        <w:t>late submissions, including information on when these were received</w:t>
      </w:r>
    </w:p>
    <w:p w14:paraId="37DC3E4D" w14:textId="31CE0FDD" w:rsidR="00D25566" w:rsidRPr="00D162EE" w:rsidRDefault="00D25566" w:rsidP="00C31EA8">
      <w:pPr>
        <w:pStyle w:val="Bullet"/>
      </w:pPr>
      <w:r w:rsidRPr="00D162EE">
        <w:t>any planning documents recognised by an iwi authority and lodged with the regional</w:t>
      </w:r>
      <w:r w:rsidR="008D6237" w:rsidRPr="00D162EE">
        <w:t> </w:t>
      </w:r>
      <w:r w:rsidRPr="00D162EE">
        <w:t>council</w:t>
      </w:r>
    </w:p>
    <w:p w14:paraId="72EB9BE8" w14:textId="509F6407" w:rsidR="002A6CCD" w:rsidRPr="00D162EE" w:rsidRDefault="00D25566" w:rsidP="00C31EA8">
      <w:pPr>
        <w:pStyle w:val="Bullet"/>
      </w:pPr>
      <w:r w:rsidRPr="00D162EE">
        <w:t xml:space="preserve">documentation relevant to any obligations arising under relevant iwi participation legislation, </w:t>
      </w:r>
      <w:r w:rsidR="002A6CCD" w:rsidRPr="00D162EE">
        <w:t>joint management agreement</w:t>
      </w:r>
      <w:r w:rsidR="00E07F47" w:rsidRPr="00D162EE">
        <w:t>s</w:t>
      </w:r>
      <w:r w:rsidR="002A6CCD" w:rsidRPr="00D162EE">
        <w:t xml:space="preserve">, or </w:t>
      </w:r>
      <w:r w:rsidRPr="00D162EE">
        <w:t xml:space="preserve">Mana Whakahono </w:t>
      </w:r>
      <w:r w:rsidR="006F3195" w:rsidRPr="00D162EE">
        <w:t>ā</w:t>
      </w:r>
      <w:r w:rsidRPr="00D162EE">
        <w:t xml:space="preserve"> Rohe </w:t>
      </w:r>
    </w:p>
    <w:p w14:paraId="174EDC41" w14:textId="12F22C7E" w:rsidR="00D25566" w:rsidRPr="00D162EE" w:rsidRDefault="002A6CCD" w:rsidP="00C31EA8">
      <w:pPr>
        <w:pStyle w:val="Bullet"/>
      </w:pPr>
      <w:r w:rsidRPr="00D162EE">
        <w:t>any other relevant information</w:t>
      </w:r>
      <w:r w:rsidR="00CA6649" w:rsidRPr="00D162EE">
        <w:t>.</w:t>
      </w:r>
    </w:p>
    <w:p w14:paraId="797A7D94" w14:textId="257388F1" w:rsidR="00920325" w:rsidRPr="00D162EE" w:rsidRDefault="002A6CCD" w:rsidP="00C31EA8">
      <w:pPr>
        <w:pStyle w:val="BodyText"/>
        <w:rPr>
          <w:rFonts w:eastAsia="Calibri"/>
          <w:lang w:eastAsia="en-US"/>
        </w:rPr>
      </w:pPr>
      <w:r w:rsidRPr="00D162EE">
        <w:rPr>
          <w:rFonts w:eastAsia="Calibri"/>
          <w:lang w:eastAsia="en-US"/>
        </w:rPr>
        <w:t>Regional c</w:t>
      </w:r>
      <w:r w:rsidR="00D25566" w:rsidRPr="00D162EE">
        <w:rPr>
          <w:rFonts w:eastAsia="Calibri"/>
          <w:lang w:eastAsia="en-US"/>
        </w:rPr>
        <w:t xml:space="preserve">ouncils </w:t>
      </w:r>
      <w:r w:rsidR="00D25566" w:rsidRPr="00D162EE">
        <w:t>must</w:t>
      </w:r>
      <w:r w:rsidR="00D25566" w:rsidRPr="00D162EE">
        <w:rPr>
          <w:rFonts w:eastAsia="Calibri"/>
          <w:lang w:eastAsia="en-US"/>
        </w:rPr>
        <w:t xml:space="preserve"> give the Chief </w:t>
      </w:r>
      <w:r w:rsidR="00E07F47" w:rsidRPr="00D162EE">
        <w:rPr>
          <w:rFonts w:eastAsia="Calibri"/>
          <w:lang w:eastAsia="en-US"/>
        </w:rPr>
        <w:t xml:space="preserve">at least </w:t>
      </w:r>
      <w:r w:rsidR="00D25566" w:rsidRPr="00D162EE">
        <w:rPr>
          <w:rFonts w:eastAsia="Calibri"/>
          <w:b/>
          <w:lang w:eastAsia="en-US"/>
        </w:rPr>
        <w:t>20 working days’ notice</w:t>
      </w:r>
      <w:r w:rsidR="00863E0F" w:rsidRPr="00D162EE">
        <w:rPr>
          <w:rFonts w:eastAsia="Calibri"/>
          <w:lang w:eastAsia="en-US"/>
        </w:rPr>
        <w:t xml:space="preserve"> </w:t>
      </w:r>
      <w:r w:rsidR="00183B6D" w:rsidRPr="00D162EE">
        <w:rPr>
          <w:rFonts w:eastAsia="Calibri"/>
          <w:lang w:eastAsia="en-US"/>
        </w:rPr>
        <w:t>of when they</w:t>
      </w:r>
      <w:r w:rsidR="00863E0F" w:rsidRPr="00D162EE">
        <w:rPr>
          <w:rFonts w:eastAsia="Calibri"/>
          <w:lang w:eastAsia="en-US"/>
        </w:rPr>
        <w:t xml:space="preserve"> </w:t>
      </w:r>
      <w:r w:rsidR="00E07F47" w:rsidRPr="00D162EE">
        <w:rPr>
          <w:rFonts w:eastAsia="Calibri"/>
          <w:lang w:eastAsia="en-US"/>
        </w:rPr>
        <w:t>intend to</w:t>
      </w:r>
      <w:r w:rsidR="008D6237" w:rsidRPr="00D162EE">
        <w:rPr>
          <w:rFonts w:eastAsia="Calibri"/>
          <w:lang w:eastAsia="en-US"/>
        </w:rPr>
        <w:t> </w:t>
      </w:r>
      <w:r w:rsidR="00E07F47" w:rsidRPr="00D162EE">
        <w:rPr>
          <w:rFonts w:eastAsia="Calibri"/>
          <w:lang w:eastAsia="en-US"/>
        </w:rPr>
        <w:t>provide</w:t>
      </w:r>
      <w:r w:rsidR="00863E0F" w:rsidRPr="00D162EE">
        <w:rPr>
          <w:rFonts w:eastAsia="Calibri"/>
          <w:lang w:eastAsia="en-US"/>
        </w:rPr>
        <w:t xml:space="preserve"> this documentation (section 80A(4)(c) and clause 37(2))</w:t>
      </w:r>
      <w:r w:rsidR="00B44386" w:rsidRPr="00D162EE">
        <w:rPr>
          <w:rFonts w:eastAsia="Calibri"/>
          <w:lang w:eastAsia="en-US"/>
        </w:rPr>
        <w:t xml:space="preserve">. </w:t>
      </w:r>
      <w:r w:rsidR="00920325" w:rsidRPr="00D162EE">
        <w:rPr>
          <w:rFonts w:eastAsia="Calibri"/>
          <w:lang w:eastAsia="en-US"/>
        </w:rPr>
        <w:t>However, it is anticipated that</w:t>
      </w:r>
      <w:r w:rsidR="008D6237" w:rsidRPr="00D162EE">
        <w:rPr>
          <w:rFonts w:eastAsia="Calibri"/>
          <w:lang w:eastAsia="en-US"/>
        </w:rPr>
        <w:t> </w:t>
      </w:r>
      <w:r w:rsidR="00920325" w:rsidRPr="00D162EE">
        <w:rPr>
          <w:rFonts w:eastAsia="Calibri"/>
          <w:lang w:eastAsia="en-US"/>
        </w:rPr>
        <w:t>the Chief will be in regular contact with regional councils about their work programme to</w:t>
      </w:r>
      <w:r w:rsidR="008D6237" w:rsidRPr="00D162EE">
        <w:rPr>
          <w:rFonts w:eastAsia="Calibri"/>
          <w:lang w:eastAsia="en-US"/>
        </w:rPr>
        <w:t> </w:t>
      </w:r>
      <w:r w:rsidR="00920325" w:rsidRPr="00D162EE">
        <w:rPr>
          <w:rFonts w:eastAsia="Calibri"/>
          <w:lang w:eastAsia="en-US"/>
        </w:rPr>
        <w:t>ensure that hearings can be scheduled promptly and appropriately resourced.</w:t>
      </w:r>
    </w:p>
    <w:p w14:paraId="476459A4" w14:textId="2EB483BE" w:rsidR="00D25566" w:rsidRPr="00D162EE" w:rsidRDefault="00920325" w:rsidP="00D25566">
      <w:pPr>
        <w:pStyle w:val="BodyText"/>
        <w:rPr>
          <w:rFonts w:eastAsia="Calibri"/>
          <w:lang w:eastAsia="en-US"/>
        </w:rPr>
      </w:pPr>
      <w:r w:rsidRPr="00D162EE">
        <w:rPr>
          <w:rFonts w:eastAsia="Calibri"/>
          <w:lang w:eastAsia="en-US"/>
        </w:rPr>
        <w:t>Regional councils</w:t>
      </w:r>
      <w:r w:rsidR="00D25566" w:rsidRPr="00D162EE">
        <w:rPr>
          <w:rFonts w:eastAsia="Calibri"/>
          <w:lang w:eastAsia="en-US"/>
        </w:rPr>
        <w:t xml:space="preserve"> must also provide nominations to the freshwater hearings panel</w:t>
      </w:r>
      <w:r w:rsidR="00514F29" w:rsidRPr="00D162EE">
        <w:rPr>
          <w:rFonts w:eastAsia="Calibri"/>
          <w:lang w:eastAsia="en-US"/>
        </w:rPr>
        <w:t xml:space="preserve"> from </w:t>
      </w:r>
      <w:r w:rsidR="00D25566" w:rsidRPr="00D162EE">
        <w:rPr>
          <w:rFonts w:eastAsia="Calibri"/>
          <w:lang w:eastAsia="en-US"/>
        </w:rPr>
        <w:t>the</w:t>
      </w:r>
      <w:r w:rsidR="008D6237" w:rsidRPr="00D162EE">
        <w:rPr>
          <w:rFonts w:eastAsia="Calibri"/>
          <w:lang w:eastAsia="en-US"/>
        </w:rPr>
        <w:t> </w:t>
      </w:r>
      <w:r w:rsidR="00D25566" w:rsidRPr="00D162EE">
        <w:rPr>
          <w:rFonts w:eastAsia="Calibri"/>
          <w:lang w:eastAsia="en-US"/>
        </w:rPr>
        <w:t>council</w:t>
      </w:r>
      <w:r w:rsidR="00514F29" w:rsidRPr="00D162EE">
        <w:rPr>
          <w:rFonts w:eastAsia="Calibri"/>
          <w:lang w:eastAsia="en-US"/>
        </w:rPr>
        <w:t xml:space="preserve"> and </w:t>
      </w:r>
      <w:r w:rsidR="00D25566" w:rsidRPr="00D162EE">
        <w:rPr>
          <w:rFonts w:eastAsia="Calibri"/>
          <w:lang w:eastAsia="en-US"/>
        </w:rPr>
        <w:t>tangata</w:t>
      </w:r>
      <w:r w:rsidR="00CA6649" w:rsidRPr="00D162EE">
        <w:rPr>
          <w:rFonts w:eastAsia="Calibri"/>
          <w:lang w:eastAsia="en-US"/>
        </w:rPr>
        <w:t xml:space="preserve"> whenua</w:t>
      </w:r>
      <w:r w:rsidR="00B44386" w:rsidRPr="00D162EE">
        <w:rPr>
          <w:rFonts w:eastAsia="Calibri"/>
          <w:lang w:eastAsia="en-US"/>
        </w:rPr>
        <w:t xml:space="preserve"> at the same time</w:t>
      </w:r>
      <w:r w:rsidR="00D25566" w:rsidRPr="00D162EE">
        <w:rPr>
          <w:rFonts w:eastAsia="Calibri"/>
          <w:lang w:eastAsia="en-US"/>
        </w:rPr>
        <w:t xml:space="preserve"> (further information on nominees is provided in</w:t>
      </w:r>
      <w:r w:rsidR="008D6237" w:rsidRPr="00D162EE">
        <w:rPr>
          <w:rFonts w:eastAsia="Calibri"/>
          <w:lang w:eastAsia="en-US"/>
        </w:rPr>
        <w:t> </w:t>
      </w:r>
      <w:r w:rsidR="00D25566" w:rsidRPr="00D162EE">
        <w:rPr>
          <w:rFonts w:eastAsia="Calibri"/>
          <w:lang w:eastAsia="en-US"/>
        </w:rPr>
        <w:t>‘</w:t>
      </w:r>
      <w:hyperlink w:anchor="_Freshwater_hearings_panels" w:history="1">
        <w:r w:rsidR="00D25566" w:rsidRPr="00D162EE">
          <w:rPr>
            <w:rStyle w:val="Hyperlink"/>
          </w:rPr>
          <w:t>Freshwater Hearings Panels</w:t>
        </w:r>
      </w:hyperlink>
      <w:r w:rsidR="00D25566" w:rsidRPr="00D162EE">
        <w:rPr>
          <w:rFonts w:eastAsia="Calibri"/>
          <w:lang w:eastAsia="en-US"/>
        </w:rPr>
        <w:t xml:space="preserve">’). </w:t>
      </w:r>
      <w:r w:rsidR="00095619" w:rsidRPr="00D162EE">
        <w:rPr>
          <w:rFonts w:eastAsia="Calibri"/>
          <w:lang w:eastAsia="en-US"/>
        </w:rPr>
        <w:t>Councils should contact tangata whenua about providing a nominee to freshwater hearings panels during the development of freshwater planning instruments.</w:t>
      </w:r>
    </w:p>
    <w:p w14:paraId="5AA134BC" w14:textId="08CAF188" w:rsidR="00514F29" w:rsidRPr="00D162EE" w:rsidRDefault="00454A18" w:rsidP="00B44386">
      <w:pPr>
        <w:pStyle w:val="Heading3"/>
      </w:pPr>
      <w:bookmarkStart w:id="47" w:name="_Toc50020648"/>
      <w:r w:rsidRPr="00D162EE">
        <w:t>R</w:t>
      </w:r>
      <w:r w:rsidR="00514F29" w:rsidRPr="00D162EE">
        <w:t>egional council</w:t>
      </w:r>
      <w:r w:rsidRPr="00D162EE">
        <w:t xml:space="preserve">s can request an </w:t>
      </w:r>
      <w:r w:rsidR="00514F29" w:rsidRPr="00D162EE">
        <w:t>extension</w:t>
      </w:r>
      <w:r w:rsidRPr="00D162EE">
        <w:t xml:space="preserve"> to the</w:t>
      </w:r>
      <w:r w:rsidR="00514F29" w:rsidRPr="00D162EE">
        <w:t xml:space="preserve"> </w:t>
      </w:r>
      <w:r w:rsidRPr="00D162EE">
        <w:t xml:space="preserve">timeframe </w:t>
      </w:r>
      <w:r w:rsidR="00514F29" w:rsidRPr="00D162EE">
        <w:t xml:space="preserve">for providing </w:t>
      </w:r>
      <w:r w:rsidR="00FF46AC" w:rsidRPr="00D162EE">
        <w:t>documentation</w:t>
      </w:r>
      <w:bookmarkEnd w:id="47"/>
    </w:p>
    <w:p w14:paraId="08782CBE" w14:textId="52E345DF" w:rsidR="00454A18" w:rsidRPr="00D162EE" w:rsidRDefault="00454A18" w:rsidP="00C31EA8">
      <w:pPr>
        <w:pStyle w:val="BodyText"/>
        <w:rPr>
          <w:lang w:eastAsia="en-US"/>
        </w:rPr>
      </w:pPr>
      <w:r w:rsidRPr="00D162EE">
        <w:rPr>
          <w:lang w:eastAsia="en-US"/>
        </w:rPr>
        <w:t>There may be situations where a regional council requires longer than six months to provide some of the clause 37 documentation. For example, when a proposed freshwater planning instrument receives a large number of submission</w:t>
      </w:r>
      <w:r w:rsidR="00CA6649" w:rsidRPr="00D162EE">
        <w:rPr>
          <w:lang w:eastAsia="en-US"/>
        </w:rPr>
        <w:t>s</w:t>
      </w:r>
      <w:r w:rsidRPr="00D162EE">
        <w:rPr>
          <w:lang w:eastAsia="en-US"/>
        </w:rPr>
        <w:t xml:space="preserve"> that cannot be summarised in time. We recommend that the council raises this with the Chief </w:t>
      </w:r>
      <w:r w:rsidR="00B44386" w:rsidRPr="00D162EE">
        <w:rPr>
          <w:lang w:eastAsia="en-US"/>
        </w:rPr>
        <w:t>as soon as possible. A</w:t>
      </w:r>
      <w:r w:rsidR="00E07F47" w:rsidRPr="00D162EE">
        <w:rPr>
          <w:lang w:eastAsia="en-US"/>
        </w:rPr>
        <w:t xml:space="preserve"> regional council may seek an</w:t>
      </w:r>
      <w:r w:rsidRPr="00D162EE">
        <w:rPr>
          <w:lang w:eastAsia="en-US"/>
        </w:rPr>
        <w:t xml:space="preserve"> extension</w:t>
      </w:r>
      <w:r w:rsidR="00FF46AC" w:rsidRPr="00D162EE">
        <w:rPr>
          <w:lang w:eastAsia="en-US"/>
        </w:rPr>
        <w:t xml:space="preserve"> </w:t>
      </w:r>
      <w:r w:rsidR="00E07F47" w:rsidRPr="00D162EE">
        <w:rPr>
          <w:lang w:eastAsia="en-US"/>
        </w:rPr>
        <w:t>of timeframes</w:t>
      </w:r>
      <w:r w:rsidR="00FF46AC" w:rsidRPr="00D162EE">
        <w:rPr>
          <w:lang w:eastAsia="en-US"/>
        </w:rPr>
        <w:t xml:space="preserve"> under clause 47</w:t>
      </w:r>
      <w:r w:rsidRPr="00D162EE">
        <w:rPr>
          <w:lang w:eastAsia="en-US"/>
        </w:rPr>
        <w:t xml:space="preserve"> if appropriate. </w:t>
      </w:r>
      <w:r w:rsidRPr="00D162EE">
        <w:rPr>
          <w:rFonts w:eastAsia="Calibri"/>
          <w:lang w:eastAsia="en-US"/>
        </w:rPr>
        <w:t xml:space="preserve">Refer to </w:t>
      </w:r>
      <w:hyperlink w:anchor="_Requesting_an_extension" w:history="1">
        <w:r w:rsidRPr="00D162EE">
          <w:rPr>
            <w:rStyle w:val="Hyperlink"/>
            <w:rFonts w:eastAsia="Calibri"/>
            <w:lang w:eastAsia="en-US"/>
          </w:rPr>
          <w:t>Requesting an extension to the timeframes</w:t>
        </w:r>
      </w:hyperlink>
      <w:r w:rsidRPr="00D162EE">
        <w:rPr>
          <w:rFonts w:eastAsia="Calibri"/>
          <w:lang w:eastAsia="en-US"/>
        </w:rPr>
        <w:t xml:space="preserve"> for further information.</w:t>
      </w:r>
    </w:p>
    <w:p w14:paraId="6FCFD2F9" w14:textId="41848B91" w:rsidR="00D25566" w:rsidRPr="00D162EE" w:rsidRDefault="002F641E" w:rsidP="00C31EA8">
      <w:pPr>
        <w:pStyle w:val="Heading2"/>
        <w:rPr>
          <w:rFonts w:eastAsia="Calibri"/>
          <w:lang w:eastAsia="en-US"/>
        </w:rPr>
      </w:pPr>
      <w:bookmarkStart w:id="48" w:name="_Toc50020649"/>
      <w:bookmarkStart w:id="49" w:name="_Toc50469803"/>
      <w:r w:rsidRPr="00D162EE">
        <w:rPr>
          <w:rFonts w:eastAsia="Calibri"/>
          <w:lang w:eastAsia="en-US"/>
        </w:rPr>
        <w:t xml:space="preserve">Step 3: </w:t>
      </w:r>
      <w:r w:rsidR="002223C0" w:rsidRPr="00D162EE">
        <w:rPr>
          <w:rFonts w:eastAsia="Calibri"/>
          <w:lang w:eastAsia="en-US"/>
        </w:rPr>
        <w:t>H</w:t>
      </w:r>
      <w:r w:rsidR="00D25566" w:rsidRPr="00D162EE">
        <w:rPr>
          <w:rFonts w:eastAsia="Calibri"/>
          <w:lang w:eastAsia="en-US"/>
        </w:rPr>
        <w:t>earing</w:t>
      </w:r>
      <w:r w:rsidR="002223C0" w:rsidRPr="00D162EE">
        <w:rPr>
          <w:rFonts w:eastAsia="Calibri"/>
          <w:lang w:eastAsia="en-US"/>
        </w:rPr>
        <w:t xml:space="preserve"> on </w:t>
      </w:r>
      <w:r w:rsidR="002223C0" w:rsidRPr="00D162EE">
        <w:t>freshwater</w:t>
      </w:r>
      <w:r w:rsidR="002223C0" w:rsidRPr="00D162EE">
        <w:rPr>
          <w:rFonts w:eastAsia="Calibri"/>
          <w:lang w:eastAsia="en-US"/>
        </w:rPr>
        <w:t xml:space="preserve"> planning instrument</w:t>
      </w:r>
      <w:bookmarkEnd w:id="48"/>
      <w:bookmarkEnd w:id="49"/>
    </w:p>
    <w:p w14:paraId="43B8DF46" w14:textId="50DB86F8" w:rsidR="00514F29" w:rsidRPr="00D162EE" w:rsidRDefault="002223C0" w:rsidP="00D25566">
      <w:pPr>
        <w:pStyle w:val="BodyText"/>
        <w:rPr>
          <w:rFonts w:eastAsia="Calibri"/>
          <w:lang w:eastAsia="en-US"/>
        </w:rPr>
      </w:pPr>
      <w:r w:rsidRPr="00D162EE">
        <w:rPr>
          <w:rFonts w:eastAsia="Calibri"/>
          <w:lang w:eastAsia="en-US"/>
        </w:rPr>
        <w:t xml:space="preserve">The Chief </w:t>
      </w:r>
      <w:r w:rsidR="00E07F47" w:rsidRPr="00D162EE">
        <w:rPr>
          <w:rFonts w:eastAsia="Calibri"/>
          <w:lang w:eastAsia="en-US"/>
        </w:rPr>
        <w:t xml:space="preserve">must </w:t>
      </w:r>
      <w:r w:rsidRPr="00D162EE">
        <w:rPr>
          <w:rFonts w:eastAsia="Calibri"/>
          <w:lang w:eastAsia="en-US"/>
        </w:rPr>
        <w:t xml:space="preserve">convene a </w:t>
      </w:r>
      <w:r w:rsidR="00D25566" w:rsidRPr="00D162EE">
        <w:rPr>
          <w:rFonts w:eastAsia="Calibri"/>
          <w:lang w:eastAsia="en-US"/>
        </w:rPr>
        <w:t>freshwater hearings panel</w:t>
      </w:r>
      <w:r w:rsidRPr="00D162EE">
        <w:rPr>
          <w:rFonts w:eastAsia="Calibri"/>
          <w:lang w:eastAsia="en-US"/>
        </w:rPr>
        <w:t xml:space="preserve"> as soon as practicable after receiving the clause 37(1) documentation</w:t>
      </w:r>
      <w:r w:rsidR="00334EA1" w:rsidRPr="00D162EE">
        <w:rPr>
          <w:rFonts w:eastAsia="Calibri"/>
          <w:lang w:eastAsia="en-US"/>
        </w:rPr>
        <w:t xml:space="preserve"> (clause 38)</w:t>
      </w:r>
      <w:r w:rsidRPr="00D162EE">
        <w:rPr>
          <w:rFonts w:eastAsia="Calibri"/>
          <w:lang w:eastAsia="en-US"/>
        </w:rPr>
        <w:t>.</w:t>
      </w:r>
      <w:r w:rsidR="00D25566" w:rsidRPr="00D162EE">
        <w:rPr>
          <w:rFonts w:eastAsia="Calibri"/>
          <w:lang w:eastAsia="en-US"/>
        </w:rPr>
        <w:t xml:space="preserve"> </w:t>
      </w:r>
      <w:r w:rsidR="00C27D16" w:rsidRPr="00D162EE">
        <w:rPr>
          <w:rFonts w:eastAsia="Calibri"/>
          <w:lang w:eastAsia="en-US"/>
        </w:rPr>
        <w:t xml:space="preserve">The chief will </w:t>
      </w:r>
      <w:r w:rsidR="008C55F6" w:rsidRPr="00D162EE">
        <w:rPr>
          <w:rFonts w:eastAsia="Calibri"/>
          <w:lang w:eastAsia="en-US"/>
        </w:rPr>
        <w:t xml:space="preserve">discuss the scheduling </w:t>
      </w:r>
      <w:r w:rsidR="00A30382" w:rsidRPr="00D162EE">
        <w:rPr>
          <w:rFonts w:eastAsia="Calibri"/>
          <w:lang w:eastAsia="en-US"/>
        </w:rPr>
        <w:t>of upcoming freshwater planning instruments</w:t>
      </w:r>
      <w:r w:rsidR="008C55F6" w:rsidRPr="00D162EE">
        <w:rPr>
          <w:rFonts w:eastAsia="Calibri"/>
          <w:lang w:eastAsia="en-US"/>
        </w:rPr>
        <w:t xml:space="preserve"> with councils</w:t>
      </w:r>
      <w:r w:rsidR="00A30382" w:rsidRPr="00D162EE">
        <w:rPr>
          <w:rFonts w:eastAsia="Calibri"/>
          <w:lang w:eastAsia="en-US"/>
        </w:rPr>
        <w:t xml:space="preserve"> to ensure a panel can be convened promptly.</w:t>
      </w:r>
    </w:p>
    <w:p w14:paraId="39616D04" w14:textId="52207406" w:rsidR="002223C0" w:rsidRPr="00D162EE" w:rsidRDefault="002223C0" w:rsidP="00C31EA8">
      <w:pPr>
        <w:pStyle w:val="BodyText"/>
        <w:rPr>
          <w:rFonts w:eastAsia="Calibri"/>
          <w:lang w:eastAsia="en-US"/>
        </w:rPr>
      </w:pPr>
      <w:r w:rsidRPr="00D162EE">
        <w:rPr>
          <w:rFonts w:eastAsia="Calibri"/>
          <w:lang w:eastAsia="en-US"/>
        </w:rPr>
        <w:lastRenderedPageBreak/>
        <w:t xml:space="preserve">The freshwater hearings </w:t>
      </w:r>
      <w:r w:rsidRPr="00D162EE">
        <w:t>panel</w:t>
      </w:r>
      <w:r w:rsidRPr="00D162EE">
        <w:rPr>
          <w:rFonts w:eastAsia="Calibri"/>
          <w:lang w:eastAsia="en-US"/>
        </w:rPr>
        <w:t xml:space="preserve"> </w:t>
      </w:r>
      <w:r w:rsidR="00D25566" w:rsidRPr="00D162EE">
        <w:rPr>
          <w:rFonts w:eastAsia="Calibri"/>
          <w:lang w:eastAsia="en-US"/>
        </w:rPr>
        <w:t>will conduct the hearing of submissions on a freshwater planning instrument</w:t>
      </w:r>
      <w:r w:rsidRPr="00D162EE">
        <w:rPr>
          <w:rFonts w:eastAsia="Calibri"/>
          <w:lang w:eastAsia="en-US"/>
        </w:rPr>
        <w:t xml:space="preserve"> and make recommendations on submissions and proposed provisions to the relevant regional council. </w:t>
      </w:r>
    </w:p>
    <w:p w14:paraId="0D7E46E8" w14:textId="08897BF4" w:rsidR="00334EA1" w:rsidRPr="00D162EE" w:rsidRDefault="00334EA1" w:rsidP="00C50D6B">
      <w:pPr>
        <w:pStyle w:val="Heading3"/>
      </w:pPr>
      <w:bookmarkStart w:id="50" w:name="_Toc50020650"/>
      <w:r w:rsidRPr="00D162EE">
        <w:t>Freshwater hearings panels</w:t>
      </w:r>
      <w:bookmarkEnd w:id="50"/>
    </w:p>
    <w:p w14:paraId="4072F3D8" w14:textId="40C1EDB1" w:rsidR="00334EA1" w:rsidRPr="00D162EE" w:rsidRDefault="00334EA1" w:rsidP="00C31EA8">
      <w:pPr>
        <w:pStyle w:val="BodyText"/>
      </w:pPr>
      <w:r w:rsidRPr="00D162EE">
        <w:t>A freshwater hearings panel</w:t>
      </w:r>
      <w:r w:rsidRPr="00D162EE">
        <w:rPr>
          <w:rStyle w:val="FootnoteReference"/>
        </w:rPr>
        <w:footnoteReference w:id="12"/>
      </w:r>
      <w:r w:rsidRPr="00D162EE">
        <w:t xml:space="preserve"> is independent from the regional council. The Chief will determine the </w:t>
      </w:r>
      <w:r w:rsidR="00347ED0" w:rsidRPr="00D162EE">
        <w:t xml:space="preserve">appropriate </w:t>
      </w:r>
      <w:r w:rsidRPr="00D162EE">
        <w:t xml:space="preserve">size and composition of each freshwater hearings panel, and convenes the panel. </w:t>
      </w:r>
    </w:p>
    <w:p w14:paraId="751EEFA3" w14:textId="77777777" w:rsidR="00334EA1" w:rsidRPr="00D162EE" w:rsidRDefault="00334EA1" w:rsidP="00C31EA8">
      <w:pPr>
        <w:pStyle w:val="Heading4"/>
      </w:pPr>
      <w:r w:rsidRPr="00D162EE">
        <w:t>Functions of freshwater hearings panels</w:t>
      </w:r>
    </w:p>
    <w:p w14:paraId="3EDC2E82" w14:textId="77777777" w:rsidR="00334EA1" w:rsidRPr="00D162EE" w:rsidRDefault="00334EA1" w:rsidP="00C31EA8">
      <w:pPr>
        <w:pStyle w:val="BodyText"/>
      </w:pPr>
      <w:r w:rsidRPr="00D162EE">
        <w:t>The functions of freshwater hearings panels are to (clause 39):</w:t>
      </w:r>
    </w:p>
    <w:p w14:paraId="1FF11974" w14:textId="77777777" w:rsidR="00334EA1" w:rsidRPr="00D162EE" w:rsidRDefault="00334EA1" w:rsidP="00C31EA8">
      <w:pPr>
        <w:pStyle w:val="Bullet"/>
      </w:pPr>
      <w:r w:rsidRPr="00D162EE">
        <w:t>conduct a hearing of submissions on a freshwater planning instrument</w:t>
      </w:r>
    </w:p>
    <w:p w14:paraId="7F6A4403" w14:textId="77777777" w:rsidR="00334EA1" w:rsidRPr="00D162EE" w:rsidRDefault="00334EA1" w:rsidP="00C31EA8">
      <w:pPr>
        <w:pStyle w:val="Bullet"/>
      </w:pPr>
      <w:r w:rsidRPr="00D162EE">
        <w:t xml:space="preserve">make recommendations to the relevant regional council or unitary authority after the hearing of submissions has concluded </w:t>
      </w:r>
    </w:p>
    <w:p w14:paraId="2AC0353B" w14:textId="2707AA10" w:rsidR="00334EA1" w:rsidRPr="00D162EE" w:rsidRDefault="00334EA1" w:rsidP="00C31EA8">
      <w:pPr>
        <w:pStyle w:val="Bullet"/>
      </w:pPr>
      <w:r w:rsidRPr="00D162EE">
        <w:t xml:space="preserve">hear any objections relating to a decision to </w:t>
      </w:r>
      <w:r w:rsidR="00FE5BE4" w:rsidRPr="00D162EE">
        <w:t>strike out a</w:t>
      </w:r>
      <w:r w:rsidRPr="00D162EE">
        <w:t xml:space="preserve"> submission.</w:t>
      </w:r>
    </w:p>
    <w:p w14:paraId="2AC6E1F1" w14:textId="7F0BBB2F" w:rsidR="00334EA1" w:rsidRPr="00D162EE" w:rsidRDefault="00334EA1" w:rsidP="00C31EA8">
      <w:pPr>
        <w:pStyle w:val="BodyText"/>
      </w:pPr>
      <w:r w:rsidRPr="00D162EE">
        <w:t>Freshwater hearings panels have enhanced powers in comparison to hearing</w:t>
      </w:r>
      <w:r w:rsidR="00932268" w:rsidRPr="00D162EE">
        <w:t>s</w:t>
      </w:r>
      <w:r w:rsidRPr="00D162EE">
        <w:t xml:space="preserve"> panels under the standard plan-making process. </w:t>
      </w:r>
      <w:r w:rsidRPr="00D162EE">
        <w:rPr>
          <w:rFonts w:eastAsia="Calibri"/>
          <w:lang w:eastAsia="en-US"/>
        </w:rPr>
        <w:t xml:space="preserve">This is necessary to robustly test the freshwater planning instrument and submitter information because appeal rights are constrained to certain circumstances under the FPP. </w:t>
      </w:r>
      <w:r w:rsidRPr="00D162EE">
        <w:t>A summary of freshwater hearings panel duties a</w:t>
      </w:r>
      <w:r w:rsidR="003A4CB5" w:rsidRPr="00D162EE">
        <w:t xml:space="preserve">nd powers is provided in </w:t>
      </w:r>
      <w:r w:rsidR="000317E6">
        <w:t>t</w:t>
      </w:r>
      <w:r w:rsidR="003A4CB5" w:rsidRPr="00D162EE">
        <w:t>able 1</w:t>
      </w:r>
      <w:r w:rsidRPr="00D162EE">
        <w:t>.</w:t>
      </w:r>
    </w:p>
    <w:p w14:paraId="2AD6954C" w14:textId="54A0C7A2" w:rsidR="00334EA1" w:rsidRPr="00D162EE" w:rsidRDefault="003A4CB5" w:rsidP="00C31EA8">
      <w:pPr>
        <w:pStyle w:val="Tableheading"/>
      </w:pPr>
      <w:bookmarkStart w:id="51" w:name="_Toc50469817"/>
      <w:r w:rsidRPr="00D162EE">
        <w:t>Table 1</w:t>
      </w:r>
      <w:r w:rsidR="00334EA1" w:rsidRPr="00D162EE">
        <w:t>: Duties and powers of freshwater hearings panels</w:t>
      </w:r>
      <w:bookmarkEnd w:id="51"/>
    </w:p>
    <w:tbl>
      <w:tblPr>
        <w:tblStyle w:val="TableGrid"/>
        <w:tblW w:w="8505" w:type="dxa"/>
        <w:tblBorders>
          <w:top w:val="single" w:sz="4" w:space="0" w:color="1C556C" w:themeColor="accent1"/>
          <w:left w:val="none" w:sz="0" w:space="0" w:color="auto"/>
          <w:bottom w:val="single" w:sz="4" w:space="0" w:color="1C556C" w:themeColor="accent1"/>
          <w:right w:val="none" w:sz="0" w:space="0" w:color="auto"/>
          <w:insideH w:val="single" w:sz="4" w:space="0" w:color="1C556C" w:themeColor="accent1"/>
          <w:insideV w:val="single" w:sz="4" w:space="0" w:color="1C556C" w:themeColor="accent1"/>
        </w:tblBorders>
        <w:tblLook w:val="04A0" w:firstRow="1" w:lastRow="0" w:firstColumn="1" w:lastColumn="0" w:noHBand="0" w:noVBand="1"/>
      </w:tblPr>
      <w:tblGrid>
        <w:gridCol w:w="4255"/>
        <w:gridCol w:w="4250"/>
      </w:tblGrid>
      <w:tr w:rsidR="00C31EA8" w:rsidRPr="00D162EE" w14:paraId="6F02DD67" w14:textId="77777777" w:rsidTr="00C31EA8">
        <w:tc>
          <w:tcPr>
            <w:tcW w:w="4508" w:type="dxa"/>
            <w:shd w:val="clear" w:color="auto" w:fill="1C556C" w:themeFill="accent1"/>
          </w:tcPr>
          <w:p w14:paraId="052A47AD" w14:textId="2A273C54" w:rsidR="00CD7729" w:rsidRPr="00D162EE" w:rsidRDefault="00334EA1" w:rsidP="00C31EA8">
            <w:pPr>
              <w:pStyle w:val="TableTextbold"/>
              <w:rPr>
                <w:color w:val="FFFFFF" w:themeColor="background1"/>
              </w:rPr>
            </w:pPr>
            <w:r w:rsidRPr="00D162EE">
              <w:rPr>
                <w:color w:val="FFFFFF" w:themeColor="background1"/>
              </w:rPr>
              <w:t>Standard duties and powers</w:t>
            </w:r>
            <w:r w:rsidR="00A30382" w:rsidRPr="00D162EE">
              <w:rPr>
                <w:color w:val="FFFFFF" w:themeColor="background1"/>
              </w:rPr>
              <w:t xml:space="preserve"> </w:t>
            </w:r>
            <w:r w:rsidR="00CD7729" w:rsidRPr="00D162EE">
              <w:rPr>
                <w:color w:val="FFFFFF" w:themeColor="background1"/>
              </w:rPr>
              <w:t>(</w:t>
            </w:r>
            <w:r w:rsidR="00855FD1" w:rsidRPr="00D162EE">
              <w:rPr>
                <w:color w:val="FFFFFF" w:themeColor="background1"/>
              </w:rPr>
              <w:t xml:space="preserve">also </w:t>
            </w:r>
            <w:r w:rsidR="00A30382" w:rsidRPr="00D162EE">
              <w:rPr>
                <w:color w:val="FFFFFF" w:themeColor="background1"/>
              </w:rPr>
              <w:t>applicable to freshwater hearings panels</w:t>
            </w:r>
            <w:r w:rsidR="00CD7729" w:rsidRPr="00D162EE">
              <w:rPr>
                <w:color w:val="FFFFFF" w:themeColor="background1"/>
              </w:rPr>
              <w:t>)</w:t>
            </w:r>
          </w:p>
        </w:tc>
        <w:tc>
          <w:tcPr>
            <w:tcW w:w="4508" w:type="dxa"/>
            <w:shd w:val="clear" w:color="auto" w:fill="1C556C" w:themeFill="accent1"/>
          </w:tcPr>
          <w:p w14:paraId="420C5AC4" w14:textId="7457568D" w:rsidR="00334EA1" w:rsidRPr="00D162EE" w:rsidRDefault="00FE5BE4" w:rsidP="00C31EA8">
            <w:pPr>
              <w:pStyle w:val="TableTextbold"/>
              <w:rPr>
                <w:color w:val="FFFFFF" w:themeColor="background1"/>
              </w:rPr>
            </w:pPr>
            <w:r w:rsidRPr="00D162EE">
              <w:rPr>
                <w:color w:val="FFFFFF" w:themeColor="background1"/>
              </w:rPr>
              <w:t xml:space="preserve">Additional duties and powers that apply to </w:t>
            </w:r>
            <w:r w:rsidR="00CD7729" w:rsidRPr="00D162EE">
              <w:rPr>
                <w:color w:val="FFFFFF" w:themeColor="background1"/>
              </w:rPr>
              <w:t>Freshwater hearings</w:t>
            </w:r>
            <w:r w:rsidR="00334EA1" w:rsidRPr="00D162EE">
              <w:rPr>
                <w:color w:val="FFFFFF" w:themeColor="background1"/>
              </w:rPr>
              <w:t xml:space="preserve"> </w:t>
            </w:r>
            <w:r w:rsidR="00CD7729" w:rsidRPr="00D162EE">
              <w:rPr>
                <w:color w:val="FFFFFF" w:themeColor="background1"/>
              </w:rPr>
              <w:t>panels</w:t>
            </w:r>
            <w:r w:rsidR="006A1A22" w:rsidRPr="00D162EE">
              <w:rPr>
                <w:color w:val="FFFFFF" w:themeColor="background1"/>
              </w:rPr>
              <w:t xml:space="preserve"> specifi</w:t>
            </w:r>
            <w:r w:rsidRPr="00D162EE">
              <w:rPr>
                <w:color w:val="FFFFFF" w:themeColor="background1"/>
              </w:rPr>
              <w:t>cally</w:t>
            </w:r>
          </w:p>
        </w:tc>
      </w:tr>
      <w:tr w:rsidR="00334EA1" w:rsidRPr="00D162EE" w14:paraId="1DA5005B" w14:textId="77777777" w:rsidTr="00C31EA8">
        <w:tc>
          <w:tcPr>
            <w:tcW w:w="4508" w:type="dxa"/>
          </w:tcPr>
          <w:p w14:paraId="5BF4AE34" w14:textId="77777777" w:rsidR="00334EA1" w:rsidRPr="00D162EE" w:rsidRDefault="00334EA1" w:rsidP="00C31EA8">
            <w:pPr>
              <w:pStyle w:val="TableBullet"/>
              <w:spacing w:before="60"/>
            </w:pPr>
            <w:r w:rsidRPr="00D162EE">
              <w:t>hearings to be public and without unnecessary formality (section 39, except restrictions on cross-examination)</w:t>
            </w:r>
          </w:p>
          <w:p w14:paraId="54CBEF69" w14:textId="77777777" w:rsidR="00334EA1" w:rsidRPr="00D162EE" w:rsidRDefault="00334EA1" w:rsidP="00C31EA8">
            <w:pPr>
              <w:pStyle w:val="TableBullet"/>
            </w:pPr>
            <w:r w:rsidRPr="00D162EE">
              <w:t>limit number of parties with the same interest to speak or call evidence (section 40)</w:t>
            </w:r>
          </w:p>
          <w:p w14:paraId="2EAC65EA" w14:textId="77777777" w:rsidR="00334EA1" w:rsidRPr="00D162EE" w:rsidRDefault="00334EA1" w:rsidP="00C31EA8">
            <w:pPr>
              <w:pStyle w:val="TableBullet"/>
            </w:pPr>
            <w:r w:rsidRPr="00D162EE">
              <w:t>exercise powers under the Commissions of Inquiry Act 1908 (section 41, eg, power to maintain order and summon witnesses)</w:t>
            </w:r>
          </w:p>
          <w:p w14:paraId="26CE8286" w14:textId="77777777" w:rsidR="00334EA1" w:rsidRPr="00D162EE" w:rsidRDefault="00334EA1" w:rsidP="00C31EA8">
            <w:pPr>
              <w:pStyle w:val="TableBullet"/>
            </w:pPr>
            <w:r w:rsidRPr="00D162EE">
              <w:t>direct applicants to provide briefs of evidence before the hearing (section 41B)</w:t>
            </w:r>
          </w:p>
          <w:p w14:paraId="5B721137" w14:textId="57180379" w:rsidR="00334EA1" w:rsidRPr="00D162EE" w:rsidRDefault="00334EA1" w:rsidP="00C31EA8">
            <w:pPr>
              <w:pStyle w:val="TableBullet"/>
            </w:pPr>
            <w:r w:rsidRPr="00D162EE">
              <w:t>direct order of business, take evidence and submissions as read, and limit speaking time (section 41C)</w:t>
            </w:r>
          </w:p>
          <w:p w14:paraId="420B5035" w14:textId="77777777" w:rsidR="00334EA1" w:rsidRPr="00D162EE" w:rsidRDefault="00334EA1" w:rsidP="00C31EA8">
            <w:pPr>
              <w:pStyle w:val="TableBullet"/>
            </w:pPr>
            <w:r w:rsidRPr="00D162EE">
              <w:t>request further information (section 41C)</w:t>
            </w:r>
          </w:p>
          <w:p w14:paraId="4710EA4E" w14:textId="77777777" w:rsidR="00334EA1" w:rsidRPr="00D162EE" w:rsidRDefault="00334EA1" w:rsidP="00C31EA8">
            <w:pPr>
              <w:pStyle w:val="TableBullet"/>
            </w:pPr>
            <w:r w:rsidRPr="00D162EE">
              <w:t>strike out a submission (section 41D)</w:t>
            </w:r>
          </w:p>
          <w:p w14:paraId="6EF97F23" w14:textId="77777777" w:rsidR="00334EA1" w:rsidRPr="00D162EE" w:rsidRDefault="00334EA1" w:rsidP="00C31EA8">
            <w:pPr>
              <w:pStyle w:val="TableBullet"/>
            </w:pPr>
            <w:r w:rsidRPr="00D162EE">
              <w:t>protect sensitive information (section 42)</w:t>
            </w:r>
          </w:p>
          <w:p w14:paraId="748F4285" w14:textId="0D291D91" w:rsidR="00334EA1" w:rsidRPr="00D162EE" w:rsidRDefault="00334EA1" w:rsidP="00C31EA8">
            <w:pPr>
              <w:pStyle w:val="TableBullet"/>
            </w:pPr>
            <w:r w:rsidRPr="00D162EE">
              <w:t>commission hearing</w:t>
            </w:r>
            <w:r w:rsidR="00A30382" w:rsidRPr="00D162EE">
              <w:t>s</w:t>
            </w:r>
            <w:r w:rsidRPr="00D162EE">
              <w:t xml:space="preserve"> reports (section 42A).</w:t>
            </w:r>
          </w:p>
        </w:tc>
        <w:tc>
          <w:tcPr>
            <w:tcW w:w="4508" w:type="dxa"/>
          </w:tcPr>
          <w:p w14:paraId="36F7DC3B" w14:textId="6012B222" w:rsidR="00334EA1" w:rsidRPr="00D162EE" w:rsidRDefault="00334EA1" w:rsidP="00C31EA8">
            <w:pPr>
              <w:pStyle w:val="TableBullet"/>
              <w:spacing w:before="60"/>
            </w:pPr>
            <w:r w:rsidRPr="00D162EE">
              <w:t>permit, regulate or prohibit cross examination</w:t>
            </w:r>
            <w:r w:rsidR="00A30382" w:rsidRPr="00D162EE">
              <w:t xml:space="preserve"> (clause 48(2))</w:t>
            </w:r>
          </w:p>
          <w:p w14:paraId="5DC89D45" w14:textId="77777777" w:rsidR="00334EA1" w:rsidRPr="00D162EE" w:rsidRDefault="00334EA1" w:rsidP="00C31EA8">
            <w:pPr>
              <w:pStyle w:val="TableBullet"/>
            </w:pPr>
            <w:r w:rsidRPr="00D162EE">
              <w:t>convene pre-hearing meetings (clause 41)</w:t>
            </w:r>
          </w:p>
          <w:p w14:paraId="74465819" w14:textId="77777777" w:rsidR="00334EA1" w:rsidRPr="00D162EE" w:rsidRDefault="00334EA1" w:rsidP="00C31EA8">
            <w:pPr>
              <w:pStyle w:val="TableBullet"/>
            </w:pPr>
            <w:r w:rsidRPr="00D162EE">
              <w:t>direct a conference of experts (clause 43)</w:t>
            </w:r>
          </w:p>
          <w:p w14:paraId="49AEB6D6" w14:textId="77777777" w:rsidR="00334EA1" w:rsidRPr="00D162EE" w:rsidRDefault="00334EA1" w:rsidP="00C31EA8">
            <w:pPr>
              <w:pStyle w:val="TableBullet"/>
            </w:pPr>
            <w:r w:rsidRPr="00D162EE">
              <w:t>refer submitters to alternative dispute resolution, such as mediation (clause 44)</w:t>
            </w:r>
          </w:p>
          <w:p w14:paraId="4EA8FE0B" w14:textId="4C43D8A9" w:rsidR="00334EA1" w:rsidRPr="00D162EE" w:rsidRDefault="00334EA1" w:rsidP="00C31EA8">
            <w:pPr>
              <w:pStyle w:val="TableBullet"/>
            </w:pPr>
            <w:r w:rsidRPr="00D162EE">
              <w:t>commission reports</w:t>
            </w:r>
            <w:r w:rsidR="000317E6">
              <w:t xml:space="preserve"> </w:t>
            </w:r>
            <w:r w:rsidRPr="00D162EE">
              <w:t>(clause 45)</w:t>
            </w:r>
            <w:r w:rsidRPr="00D162EE">
              <w:rPr>
                <w:rStyle w:val="CommentReference"/>
                <w:rFonts w:cstheme="minorBidi"/>
              </w:rPr>
              <w:t xml:space="preserve"> </w:t>
            </w:r>
          </w:p>
          <w:p w14:paraId="4426BEB8" w14:textId="77777777" w:rsidR="00334EA1" w:rsidRPr="00D162EE" w:rsidRDefault="00334EA1" w:rsidP="00C31EA8">
            <w:pPr>
              <w:pStyle w:val="TableBullet"/>
            </w:pPr>
            <w:r w:rsidRPr="00D162EE">
              <w:t>appoint a special advisor(s) (clause 46)</w:t>
            </w:r>
          </w:p>
          <w:p w14:paraId="1D6F60B4" w14:textId="77777777" w:rsidR="00334EA1" w:rsidRPr="00D162EE" w:rsidRDefault="00334EA1" w:rsidP="00C31EA8">
            <w:pPr>
              <w:pStyle w:val="TableBullet"/>
            </w:pPr>
            <w:r w:rsidRPr="00D162EE">
              <w:t>appoint a friend of the submitter (clause 46)</w:t>
            </w:r>
          </w:p>
          <w:p w14:paraId="54DD9449" w14:textId="77777777" w:rsidR="00334EA1" w:rsidRPr="00D162EE" w:rsidRDefault="00334EA1" w:rsidP="00C31EA8">
            <w:pPr>
              <w:pStyle w:val="TableBullet"/>
            </w:pPr>
            <w:r w:rsidRPr="00D162EE">
              <w:t>accept or reject any late submissions (clause 40(3))</w:t>
            </w:r>
          </w:p>
          <w:p w14:paraId="538E8584" w14:textId="77777777" w:rsidR="00334EA1" w:rsidRPr="00D162EE" w:rsidRDefault="00334EA1" w:rsidP="00C31EA8">
            <w:pPr>
              <w:pStyle w:val="TableBullet"/>
            </w:pPr>
            <w:r w:rsidRPr="00D162EE">
              <w:t>recommend to the relevant regional council that a variation be made to a freshwater planning instrument (clause 40(4)).</w:t>
            </w:r>
          </w:p>
        </w:tc>
      </w:tr>
    </w:tbl>
    <w:p w14:paraId="77D4EB78" w14:textId="59B129B4" w:rsidR="00334EA1" w:rsidRPr="00D162EE" w:rsidRDefault="00334EA1" w:rsidP="00C31EA8">
      <w:pPr>
        <w:pStyle w:val="BodyText"/>
        <w:spacing w:before="240"/>
      </w:pPr>
      <w:r w:rsidRPr="00D162EE">
        <w:t>Freshwater hearings panels are required to regulate their proceedings in a manner that is appropriate and fair in the circumstances, and keep a full record of proceedings</w:t>
      </w:r>
      <w:r w:rsidR="000F3B2F" w:rsidRPr="00D162EE">
        <w:t xml:space="preserve"> (clause 48)</w:t>
      </w:r>
      <w:r w:rsidRPr="00D162EE">
        <w:t>.</w:t>
      </w:r>
    </w:p>
    <w:p w14:paraId="2846794B" w14:textId="77777777" w:rsidR="00334EA1" w:rsidRPr="00D162EE" w:rsidRDefault="00334EA1" w:rsidP="00374BEB">
      <w:pPr>
        <w:pStyle w:val="Heading4"/>
      </w:pPr>
      <w:bookmarkStart w:id="52" w:name="_Size_and_composition"/>
      <w:bookmarkEnd w:id="52"/>
      <w:r w:rsidRPr="00D162EE">
        <w:lastRenderedPageBreak/>
        <w:t>Size and composition of a freshwater hearings panel</w:t>
      </w:r>
    </w:p>
    <w:p w14:paraId="32A7FCE0" w14:textId="7D1BDDAA" w:rsidR="00334EA1" w:rsidRPr="00D162EE" w:rsidRDefault="00334EA1" w:rsidP="00613EBE">
      <w:pPr>
        <w:pStyle w:val="BodyText"/>
        <w:keepNext/>
      </w:pPr>
      <w:r w:rsidRPr="00D162EE">
        <w:t>Under most circumstances a freshwater hearings panel will consist of five members as follows (clause 59):</w:t>
      </w:r>
    </w:p>
    <w:p w14:paraId="719CF3EA" w14:textId="77777777" w:rsidR="00334EA1" w:rsidRPr="00D162EE" w:rsidRDefault="00334EA1" w:rsidP="00374BEB">
      <w:pPr>
        <w:pStyle w:val="Bullet"/>
      </w:pPr>
      <w:r w:rsidRPr="00D162EE">
        <w:t>two freshwater commissioners</w:t>
      </w:r>
    </w:p>
    <w:p w14:paraId="2D465058" w14:textId="2D500736" w:rsidR="00334EA1" w:rsidRPr="00D162EE" w:rsidRDefault="00334EA1" w:rsidP="00374BEB">
      <w:pPr>
        <w:pStyle w:val="Bullet"/>
      </w:pPr>
      <w:r w:rsidRPr="00D162EE">
        <w:t>two members who are nominated by the relevant council, who may be elected councillors</w:t>
      </w:r>
    </w:p>
    <w:p w14:paraId="7D850F04" w14:textId="318A53DB" w:rsidR="00334EA1" w:rsidRPr="00D162EE" w:rsidRDefault="00334EA1" w:rsidP="00374BEB">
      <w:pPr>
        <w:pStyle w:val="Bullet"/>
      </w:pPr>
      <w:r w:rsidRPr="00D162EE">
        <w:t>one member with an understanding of tikanga Māori and mātauranga Māori who is nominated by tangata whenua. If no nomination is received, the Chief will appoint an accredited person to this role.</w:t>
      </w:r>
    </w:p>
    <w:p w14:paraId="749DFE7E" w14:textId="43ADAF78" w:rsidR="00334EA1" w:rsidRPr="00D162EE" w:rsidRDefault="00334EA1" w:rsidP="00374BEB">
      <w:pPr>
        <w:pStyle w:val="BodyText"/>
      </w:pPr>
      <w:r w:rsidRPr="00D162EE">
        <w:t>However, there may be circumstances in which more panel members are necessary. For example, t</w:t>
      </w:r>
      <w:r w:rsidRPr="00D162EE">
        <w:rPr>
          <w:rFonts w:eastAsia="Calibri"/>
          <w:lang w:eastAsia="en-US"/>
        </w:rPr>
        <w:t xml:space="preserve">he FPP does not </w:t>
      </w:r>
      <w:r w:rsidR="00A212C5" w:rsidRPr="00D162EE">
        <w:rPr>
          <w:rFonts w:eastAsia="Calibri"/>
          <w:lang w:eastAsia="en-US"/>
        </w:rPr>
        <w:t xml:space="preserve">alter </w:t>
      </w:r>
      <w:r w:rsidRPr="00D162EE">
        <w:rPr>
          <w:rFonts w:eastAsia="Calibri"/>
          <w:lang w:eastAsia="en-US"/>
        </w:rPr>
        <w:t>any</w:t>
      </w:r>
      <w:r w:rsidR="00A212C5" w:rsidRPr="00D162EE">
        <w:rPr>
          <w:rFonts w:eastAsia="Calibri"/>
          <w:lang w:eastAsia="en-US"/>
        </w:rPr>
        <w:t xml:space="preserve"> existing</w:t>
      </w:r>
      <w:r w:rsidRPr="00D162EE">
        <w:rPr>
          <w:rFonts w:eastAsia="Calibri"/>
          <w:lang w:eastAsia="en-US"/>
        </w:rPr>
        <w:t xml:space="preserve"> obligations on hearing</w:t>
      </w:r>
      <w:r w:rsidR="00932268" w:rsidRPr="00D162EE">
        <w:rPr>
          <w:rFonts w:eastAsia="Calibri"/>
          <w:lang w:eastAsia="en-US"/>
        </w:rPr>
        <w:t>s</w:t>
      </w:r>
      <w:r w:rsidRPr="00D162EE">
        <w:rPr>
          <w:rFonts w:eastAsia="Calibri"/>
          <w:lang w:eastAsia="en-US"/>
        </w:rPr>
        <w:t xml:space="preserve"> panel membership/representation that </w:t>
      </w:r>
      <w:r w:rsidR="00932268" w:rsidRPr="00D162EE">
        <w:rPr>
          <w:rFonts w:eastAsia="Calibri"/>
          <w:lang w:eastAsia="en-US"/>
        </w:rPr>
        <w:t>arise from</w:t>
      </w:r>
      <w:r w:rsidRPr="00D162EE">
        <w:rPr>
          <w:rFonts w:eastAsia="Calibri"/>
          <w:lang w:eastAsia="en-US"/>
        </w:rPr>
        <w:t xml:space="preserve"> </w:t>
      </w:r>
      <w:r w:rsidRPr="00D162EE">
        <w:t>iwi participation legislation, joint management agreements, or Mana Whakahono ā Rohe</w:t>
      </w:r>
      <w:r w:rsidR="006022CD" w:rsidRPr="00D162EE">
        <w:t>. Clause 59</w:t>
      </w:r>
      <w:r w:rsidRPr="00D162EE">
        <w:t>(5) requires the Chief to convene each freshwater</w:t>
      </w:r>
      <w:r w:rsidR="006022CD" w:rsidRPr="00D162EE">
        <w:t xml:space="preserve"> hearings panel in a manner</w:t>
      </w:r>
      <w:r w:rsidRPr="00D162EE">
        <w:t xml:space="preserve"> consistent with these obligations, which</w:t>
      </w:r>
      <w:r w:rsidR="006022CD" w:rsidRPr="00D162EE">
        <w:t xml:space="preserve"> could potentially require a larger panel</w:t>
      </w:r>
      <w:r w:rsidRPr="00D162EE">
        <w:t xml:space="preserve"> (refer to ‘</w:t>
      </w:r>
      <w:hyperlink w:anchor="_Implications_for_any" w:history="1">
        <w:r w:rsidRPr="00D162EE">
          <w:rPr>
            <w:rStyle w:val="Hyperlink"/>
          </w:rPr>
          <w:t>Implications for any relevant iwi participation legislation, joint management agreement or Mana Whakahono ā Rohe</w:t>
        </w:r>
      </w:hyperlink>
      <w:r w:rsidRPr="00D162EE">
        <w:t>’ for further information).</w:t>
      </w:r>
    </w:p>
    <w:p w14:paraId="6C39134B" w14:textId="6A2ECCC9" w:rsidR="00334EA1" w:rsidRPr="00D162EE" w:rsidRDefault="006022CD" w:rsidP="00334EA1">
      <w:pPr>
        <w:pStyle w:val="BodyText"/>
      </w:pPr>
      <w:r w:rsidRPr="00D162EE">
        <w:t>In addition, clause 59</w:t>
      </w:r>
      <w:r w:rsidR="00334EA1" w:rsidRPr="00D162EE">
        <w:t xml:space="preserve">(2)(a) enables a panel </w:t>
      </w:r>
      <w:r w:rsidR="00A212C5" w:rsidRPr="00D162EE">
        <w:t>to have</w:t>
      </w:r>
      <w:r w:rsidR="00334EA1" w:rsidRPr="00D162EE">
        <w:t xml:space="preserve"> more than five members if</w:t>
      </w:r>
      <w:r w:rsidRPr="00D162EE">
        <w:t xml:space="preserve"> </w:t>
      </w:r>
      <w:r w:rsidR="00A212C5" w:rsidRPr="00D162EE">
        <w:t>the Chief considers there are</w:t>
      </w:r>
      <w:r w:rsidR="00334EA1" w:rsidRPr="00D162EE">
        <w:t xml:space="preserve"> “special circums</w:t>
      </w:r>
      <w:r w:rsidRPr="00D162EE">
        <w:t>tances” in the region</w:t>
      </w:r>
      <w:r w:rsidR="00334EA1" w:rsidRPr="00D162EE">
        <w:t>. We recommend that as soon as possible in the process, regional councils consider whether more than five panel members would be appropriate. While “special circumstances” is not defined in relation to clause 58(2)(a) the following may be relevant:</w:t>
      </w:r>
    </w:p>
    <w:p w14:paraId="6C4CBF9B" w14:textId="4402B680" w:rsidR="003C0751" w:rsidRPr="00D162EE" w:rsidRDefault="003C0751" w:rsidP="004B6EF7">
      <w:pPr>
        <w:pStyle w:val="Bullet"/>
      </w:pPr>
      <w:r w:rsidRPr="00D162EE">
        <w:t>the complexity of the freshwater planning instrument</w:t>
      </w:r>
    </w:p>
    <w:p w14:paraId="64A61742" w14:textId="629E41BC" w:rsidR="00334EA1" w:rsidRPr="00D162EE" w:rsidRDefault="00334EA1" w:rsidP="004B6EF7">
      <w:pPr>
        <w:pStyle w:val="Bullet"/>
      </w:pPr>
      <w:r w:rsidRPr="00D162EE">
        <w:t>the number of catchments in the region and differences between them</w:t>
      </w:r>
    </w:p>
    <w:p w14:paraId="52D73849" w14:textId="2D7B05FD" w:rsidR="00334EA1" w:rsidRPr="00D162EE" w:rsidRDefault="00334EA1" w:rsidP="004B6EF7">
      <w:pPr>
        <w:pStyle w:val="Bullet"/>
      </w:pPr>
      <w:r w:rsidRPr="00D162EE">
        <w:t>the nu</w:t>
      </w:r>
      <w:r w:rsidR="003C0751" w:rsidRPr="00D162EE">
        <w:t>mber of different iwi/hapū</w:t>
      </w:r>
      <w:r w:rsidRPr="00D162EE">
        <w:t xml:space="preserve"> in the region</w:t>
      </w:r>
    </w:p>
    <w:p w14:paraId="25972548" w14:textId="5AD64797" w:rsidR="00334EA1" w:rsidRPr="00D162EE" w:rsidRDefault="00334EA1" w:rsidP="004B6EF7">
      <w:pPr>
        <w:pStyle w:val="Bullet"/>
      </w:pPr>
      <w:r w:rsidRPr="00D162EE">
        <w:t>the range of freshwater interests in the region</w:t>
      </w:r>
      <w:r w:rsidR="003C0751" w:rsidRPr="00D162EE">
        <w:t>.</w:t>
      </w:r>
    </w:p>
    <w:p w14:paraId="293A94D9" w14:textId="49888468" w:rsidR="00334EA1" w:rsidRPr="00D162EE" w:rsidRDefault="00545E1D" w:rsidP="004B6EF7">
      <w:pPr>
        <w:pStyle w:val="BodyText"/>
      </w:pPr>
      <w:r w:rsidRPr="00D162EE">
        <w:t xml:space="preserve">A </w:t>
      </w:r>
      <w:r w:rsidR="00334EA1" w:rsidRPr="00D162EE">
        <w:t xml:space="preserve">panel of fewer than five members (but no less than three) may be convened </w:t>
      </w:r>
      <w:r w:rsidR="00E241BA" w:rsidRPr="00D162EE">
        <w:t xml:space="preserve">if </w:t>
      </w:r>
      <w:r w:rsidR="00334EA1" w:rsidRPr="00D162EE">
        <w:t xml:space="preserve">the </w:t>
      </w:r>
      <w:r w:rsidR="00A212C5" w:rsidRPr="00D162EE">
        <w:t xml:space="preserve">Chief considers that the </w:t>
      </w:r>
      <w:r w:rsidR="00334EA1" w:rsidRPr="00D162EE">
        <w:t>scale and complexity of the freshwater planning instrument</w:t>
      </w:r>
      <w:r w:rsidR="00E241BA" w:rsidRPr="00D162EE">
        <w:t xml:space="preserve"> does not warrant </w:t>
      </w:r>
      <w:r w:rsidR="00A212C5" w:rsidRPr="00D162EE">
        <w:t>five members</w:t>
      </w:r>
      <w:r w:rsidR="00334EA1" w:rsidRPr="00D162EE">
        <w:t>.</w:t>
      </w:r>
    </w:p>
    <w:p w14:paraId="476CFF4E" w14:textId="52BF7118" w:rsidR="00334EA1" w:rsidRPr="00D162EE" w:rsidRDefault="00334EA1" w:rsidP="004B6EF7">
      <w:pPr>
        <w:pStyle w:val="BodyText"/>
      </w:pPr>
      <w:r w:rsidRPr="00D162EE">
        <w:t xml:space="preserve">If a regional council considers that there is good reason to have more, or less than the default of five members, it should provide this information to the Chief as soon as possible in the process, and at least at the time of providing nominations to the freshwater hearings panel under clause 37(2). </w:t>
      </w:r>
    </w:p>
    <w:p w14:paraId="3B8B2F33" w14:textId="08131BE5" w:rsidR="00334EA1" w:rsidRPr="00D162EE" w:rsidRDefault="00FD5406" w:rsidP="009F7755">
      <w:pPr>
        <w:pStyle w:val="Heading4"/>
      </w:pPr>
      <w:r w:rsidRPr="00D162EE">
        <w:t>Tangata whenua freshwater hearings panel nominations</w:t>
      </w:r>
    </w:p>
    <w:p w14:paraId="659E8587" w14:textId="03D0A81A" w:rsidR="00334EA1" w:rsidRPr="00D162EE" w:rsidRDefault="00334EA1" w:rsidP="00334EA1">
      <w:pPr>
        <w:pStyle w:val="BodyText"/>
      </w:pPr>
      <w:r w:rsidRPr="00D162EE">
        <w:t xml:space="preserve">Clause 37(2)(b) requires a regional council to provide the Chief with a nomination made by tangata whenua for one person with an understanding of tikanga </w:t>
      </w:r>
      <w:r w:rsidR="00FD5406" w:rsidRPr="00D162EE">
        <w:t>Māori</w:t>
      </w:r>
      <w:r w:rsidRPr="00D162EE">
        <w:t xml:space="preserve"> and </w:t>
      </w:r>
      <w:r w:rsidR="00FD5406" w:rsidRPr="00D162EE">
        <w:t xml:space="preserve">mātauranga Māori </w:t>
      </w:r>
      <w:r w:rsidRPr="00D162EE">
        <w:t>to sit on a freshwater hearings panel. It is intended that regional councils will use their</w:t>
      </w:r>
      <w:r w:rsidR="00757D4D">
        <w:t> </w:t>
      </w:r>
      <w:r w:rsidRPr="00D162EE">
        <w:t xml:space="preserve">established iwi engagement channels to request </w:t>
      </w:r>
      <w:r w:rsidR="009F7755" w:rsidRPr="00D162EE">
        <w:t>a nominee</w:t>
      </w:r>
      <w:r w:rsidRPr="00D162EE">
        <w:t xml:space="preserve"> and pass </w:t>
      </w:r>
      <w:r w:rsidR="009F7755" w:rsidRPr="00D162EE">
        <w:t>this information</w:t>
      </w:r>
      <w:r w:rsidRPr="00D162EE">
        <w:t xml:space="preserve"> to</w:t>
      </w:r>
      <w:r w:rsidR="00757D4D">
        <w:t> </w:t>
      </w:r>
      <w:r w:rsidRPr="00D162EE">
        <w:t xml:space="preserve">the Chief. </w:t>
      </w:r>
    </w:p>
    <w:p w14:paraId="0D756942" w14:textId="4B6F3AB7" w:rsidR="00334EA1" w:rsidRPr="00D162EE" w:rsidRDefault="00334EA1" w:rsidP="00334EA1">
      <w:pPr>
        <w:pStyle w:val="BodyText"/>
      </w:pPr>
      <w:r w:rsidRPr="00D162EE">
        <w:t>If no n</w:t>
      </w:r>
      <w:r w:rsidR="00FD5406" w:rsidRPr="00D162EE">
        <w:t>omination is received, clause 59</w:t>
      </w:r>
      <w:r w:rsidRPr="00D162EE">
        <w:t xml:space="preserve">(1)(c)(ii) enables the Chief </w:t>
      </w:r>
      <w:r w:rsidR="009F7755" w:rsidRPr="00D162EE">
        <w:t>to</w:t>
      </w:r>
      <w:r w:rsidRPr="00D162EE">
        <w:t xml:space="preserve"> appoint an accredited person with an understanding of tikanga Maori and Mātuaranga Māori of his/her own choosing. The RMA does not specify the process if tangata whenua submit more than one nomination to a regional council. In this situation, a regional council would be obliged to </w:t>
      </w:r>
      <w:r w:rsidRPr="00D162EE">
        <w:lastRenderedPageBreak/>
        <w:t>forward all nominations to the Chief for his/her consideration. As noted above, there may be</w:t>
      </w:r>
      <w:r w:rsidR="00757D4D">
        <w:t> </w:t>
      </w:r>
      <w:r w:rsidRPr="00D162EE">
        <w:t xml:space="preserve">situations where the Chief considers it appropriate to convene a larger panel with more tangata whenua nominees. </w:t>
      </w:r>
    </w:p>
    <w:p w14:paraId="63380266" w14:textId="4EA9D872" w:rsidR="00334EA1" w:rsidRPr="00D162EE" w:rsidRDefault="00334EA1" w:rsidP="004B6EF7">
      <w:pPr>
        <w:pStyle w:val="Heading4"/>
      </w:pPr>
      <w:r w:rsidRPr="00D162EE">
        <w:t>Skills and experience of members on a freshwater hearings panel</w:t>
      </w:r>
    </w:p>
    <w:p w14:paraId="76C0E249" w14:textId="1025A066" w:rsidR="00334EA1" w:rsidRPr="00D162EE" w:rsidRDefault="00334EA1" w:rsidP="00334EA1">
      <w:pPr>
        <w:pStyle w:val="BodyText"/>
      </w:pPr>
      <w:r w:rsidRPr="00D162EE">
        <w:t>Panel members must be accredited under section 39A of the RMA unless the Chief is satisfied there are “special circumstances</w:t>
      </w:r>
      <w:r w:rsidR="008D3ECE" w:rsidRPr="00D162EE">
        <w:t>”</w:t>
      </w:r>
      <w:r w:rsidR="00344765" w:rsidRPr="00D162EE">
        <w:t xml:space="preserve"> (clause 59(7))</w:t>
      </w:r>
      <w:r w:rsidRPr="00D162EE">
        <w:t>.</w:t>
      </w:r>
      <w:r w:rsidR="009F7755" w:rsidRPr="00D162EE">
        <w:t xml:space="preserve"> In practice, this means that panel members must normally be accredited under the Making Good Decisions </w:t>
      </w:r>
      <w:r w:rsidR="00243D1C" w:rsidRPr="00D162EE">
        <w:t>p</w:t>
      </w:r>
      <w:r w:rsidR="009F7755" w:rsidRPr="00D162EE">
        <w:t>rogramme.</w:t>
      </w:r>
      <w:r w:rsidR="00344765" w:rsidRPr="00D162EE">
        <w:t xml:space="preserve"> What amou</w:t>
      </w:r>
      <w:r w:rsidR="009F7755" w:rsidRPr="00D162EE">
        <w:t>nts to</w:t>
      </w:r>
      <w:r w:rsidR="00757D4D">
        <w:t> </w:t>
      </w:r>
      <w:r w:rsidR="00344765" w:rsidRPr="00D162EE">
        <w:t>“s</w:t>
      </w:r>
      <w:r w:rsidRPr="00D162EE">
        <w:t>pecial circumstances” is not defined</w:t>
      </w:r>
      <w:r w:rsidR="002A3F6E" w:rsidRPr="00D162EE">
        <w:t>, but it is anticipated this c</w:t>
      </w:r>
      <w:r w:rsidRPr="00D162EE">
        <w:t xml:space="preserve">ould apply to people with specialist technical skills, such as </w:t>
      </w:r>
      <w:r w:rsidR="002A3F6E" w:rsidRPr="00D162EE">
        <w:t xml:space="preserve">those with mātauranga Māori expertise, </w:t>
      </w:r>
      <w:r w:rsidRPr="00D162EE">
        <w:t>hydrologists and other scientists.</w:t>
      </w:r>
    </w:p>
    <w:p w14:paraId="60B6058D" w14:textId="6ED1B0EC" w:rsidR="00334EA1" w:rsidRPr="00D162EE" w:rsidRDefault="00334EA1" w:rsidP="00334EA1">
      <w:pPr>
        <w:pStyle w:val="BodyText"/>
      </w:pPr>
      <w:r w:rsidRPr="00D162EE">
        <w:t xml:space="preserve">In appointing members to a freshwater hearings panel, the Chief Freshwater Commissioner will consider the need for </w:t>
      </w:r>
      <w:r w:rsidR="002A3F6E" w:rsidRPr="00D162EE">
        <w:t xml:space="preserve">the panel to </w:t>
      </w:r>
      <w:r w:rsidRPr="00D162EE">
        <w:t>collective</w:t>
      </w:r>
      <w:r w:rsidR="002A3F6E" w:rsidRPr="00D162EE">
        <w:t>ly have knowledge of and</w:t>
      </w:r>
      <w:r w:rsidRPr="00D162EE">
        <w:t xml:space="preserve"> expert</w:t>
      </w:r>
      <w:r w:rsidR="002A3F6E" w:rsidRPr="00D162EE">
        <w:t>ise across the</w:t>
      </w:r>
      <w:r w:rsidR="00757D4D">
        <w:t> </w:t>
      </w:r>
      <w:r w:rsidR="002A3F6E" w:rsidRPr="00D162EE">
        <w:t>following areas (clause 59(6))</w:t>
      </w:r>
      <w:r w:rsidRPr="00D162EE">
        <w:t>:</w:t>
      </w:r>
    </w:p>
    <w:p w14:paraId="41FFD5F4" w14:textId="77777777" w:rsidR="00334EA1" w:rsidRPr="00D162EE" w:rsidRDefault="00334EA1" w:rsidP="004B6EF7">
      <w:pPr>
        <w:pStyle w:val="Bullet"/>
      </w:pPr>
      <w:r w:rsidRPr="00D162EE">
        <w:t>judicial processes and cross-examining witnesses</w:t>
      </w:r>
    </w:p>
    <w:p w14:paraId="0EBFC26B" w14:textId="77777777" w:rsidR="00334EA1" w:rsidRPr="00D162EE" w:rsidRDefault="00334EA1" w:rsidP="004B6EF7">
      <w:pPr>
        <w:pStyle w:val="Bullet"/>
      </w:pPr>
      <w:r w:rsidRPr="00D162EE">
        <w:t>freshwater quality, quantity and ecology</w:t>
      </w:r>
    </w:p>
    <w:p w14:paraId="6D922F00" w14:textId="77777777" w:rsidR="00334EA1" w:rsidRPr="00D162EE" w:rsidRDefault="00334EA1" w:rsidP="004B6EF7">
      <w:pPr>
        <w:pStyle w:val="Bullet"/>
      </w:pPr>
      <w:r w:rsidRPr="00D162EE">
        <w:t>the RMA</w:t>
      </w:r>
    </w:p>
    <w:p w14:paraId="1C2212AE" w14:textId="77777777" w:rsidR="00334EA1" w:rsidRPr="00D162EE" w:rsidRDefault="00334EA1" w:rsidP="004B6EF7">
      <w:pPr>
        <w:pStyle w:val="Bullet"/>
      </w:pPr>
      <w:r w:rsidRPr="00D162EE">
        <w:t>tikanga Māori and mātauranga Māori</w:t>
      </w:r>
    </w:p>
    <w:p w14:paraId="62336477" w14:textId="77777777" w:rsidR="00334EA1" w:rsidRPr="00D162EE" w:rsidRDefault="00334EA1" w:rsidP="004B6EF7">
      <w:pPr>
        <w:pStyle w:val="Bullet"/>
      </w:pPr>
      <w:r w:rsidRPr="00D162EE">
        <w:t>Te Mana o te Wai</w:t>
      </w:r>
    </w:p>
    <w:p w14:paraId="68A21F77" w14:textId="77777777" w:rsidR="00334EA1" w:rsidRPr="00D162EE" w:rsidRDefault="00334EA1" w:rsidP="004B6EF7">
      <w:pPr>
        <w:pStyle w:val="Bullet"/>
      </w:pPr>
      <w:r w:rsidRPr="00D162EE">
        <w:t>water use in the local community</w:t>
      </w:r>
    </w:p>
    <w:p w14:paraId="2E9E0A33" w14:textId="66EA59DE" w:rsidR="00334EA1" w:rsidRPr="00D162EE" w:rsidRDefault="00334EA1" w:rsidP="004B6EF7">
      <w:pPr>
        <w:pStyle w:val="Bullet"/>
      </w:pPr>
      <w:r w:rsidRPr="00D162EE">
        <w:t>subject areas likely to be relevant to the work of the panel.</w:t>
      </w:r>
    </w:p>
    <w:p w14:paraId="358E17CD" w14:textId="3446701F" w:rsidR="00334EA1" w:rsidRPr="00D162EE" w:rsidRDefault="00334EA1" w:rsidP="004B6EF7">
      <w:pPr>
        <w:pStyle w:val="Heading4"/>
      </w:pPr>
      <w:bookmarkStart w:id="53" w:name="_Regional_councils_are"/>
      <w:bookmarkEnd w:id="53"/>
      <w:r w:rsidRPr="00D162EE">
        <w:t>Regional councils are responsible for costs of freshwater hearings panels</w:t>
      </w:r>
    </w:p>
    <w:p w14:paraId="2733E752" w14:textId="49026863" w:rsidR="00334EA1" w:rsidRPr="00D162EE" w:rsidRDefault="00334EA1" w:rsidP="004B6EF7">
      <w:pPr>
        <w:pStyle w:val="BodyText"/>
        <w:rPr>
          <w:rFonts w:eastAsia="Times New Roman"/>
        </w:rPr>
      </w:pPr>
      <w:r w:rsidRPr="00D162EE">
        <w:rPr>
          <w:rFonts w:eastAsia="Times New Roman"/>
        </w:rPr>
        <w:t>Regional councils are responsible for all costs associated with freshwater hearings panels, in the same way they are responsible for hearing costs under the standard plan-making process</w:t>
      </w:r>
      <w:r w:rsidR="009F7755" w:rsidRPr="00D162EE">
        <w:rPr>
          <w:rFonts w:eastAsia="Times New Roman"/>
        </w:rPr>
        <w:t xml:space="preserve"> (clause 63)</w:t>
      </w:r>
      <w:r w:rsidRPr="00D162EE">
        <w:rPr>
          <w:rFonts w:eastAsia="Times New Roman"/>
        </w:rPr>
        <w:t>. Costs include:</w:t>
      </w:r>
    </w:p>
    <w:p w14:paraId="0D3DF215" w14:textId="77777777" w:rsidR="00334EA1" w:rsidRPr="00D162EE" w:rsidRDefault="00334EA1" w:rsidP="004B6EF7">
      <w:pPr>
        <w:pStyle w:val="Bullet"/>
      </w:pPr>
      <w:r w:rsidRPr="00D162EE">
        <w:t>remuneration and expenses of freshwater hearings panel members</w:t>
      </w:r>
    </w:p>
    <w:p w14:paraId="1C7CD970" w14:textId="77777777" w:rsidR="00334EA1" w:rsidRPr="00D162EE" w:rsidRDefault="00334EA1" w:rsidP="004B6EF7">
      <w:pPr>
        <w:pStyle w:val="Bullet"/>
      </w:pPr>
      <w:r w:rsidRPr="00D162EE">
        <w:t>administrative costs of each hearing session, including venue hire and public notices</w:t>
      </w:r>
    </w:p>
    <w:p w14:paraId="7CAE4DF0" w14:textId="574A1E01" w:rsidR="00334EA1" w:rsidRPr="00D162EE" w:rsidRDefault="00334EA1" w:rsidP="004B6EF7">
      <w:pPr>
        <w:pStyle w:val="Bullet"/>
      </w:pPr>
      <w:r w:rsidRPr="00D162EE">
        <w:t>remuneration of any expert, mediator or other dispute resolution facilitator, or other person whose service</w:t>
      </w:r>
      <w:r w:rsidR="008D3ECE" w:rsidRPr="00D162EE">
        <w:t>s</w:t>
      </w:r>
      <w:r w:rsidRPr="00D162EE">
        <w:t xml:space="preserve"> are engage</w:t>
      </w:r>
      <w:r w:rsidR="008D3ECE" w:rsidRPr="00D162EE">
        <w:t>d</w:t>
      </w:r>
      <w:r w:rsidRPr="00D162EE">
        <w:t xml:space="preserve"> by the panel</w:t>
      </w:r>
      <w:r w:rsidR="008D3ECE" w:rsidRPr="00D162EE">
        <w:t xml:space="preserve"> as part of this process</w:t>
      </w:r>
    </w:p>
    <w:p w14:paraId="45F0EF7E" w14:textId="77777777" w:rsidR="00334EA1" w:rsidRPr="00D162EE" w:rsidRDefault="00334EA1" w:rsidP="004B6EF7">
      <w:pPr>
        <w:pStyle w:val="Bullet"/>
      </w:pPr>
      <w:r w:rsidRPr="00D162EE">
        <w:t>allowances payable to any witness called by the panel</w:t>
      </w:r>
    </w:p>
    <w:p w14:paraId="47207FA0" w14:textId="77777777" w:rsidR="00334EA1" w:rsidRPr="00D162EE" w:rsidRDefault="00334EA1" w:rsidP="004B6EF7">
      <w:pPr>
        <w:pStyle w:val="Bullet"/>
      </w:pPr>
      <w:r w:rsidRPr="00D162EE">
        <w:t>costs of any special advisor or friend of a submitter appointed by the panel</w:t>
      </w:r>
    </w:p>
    <w:p w14:paraId="44CD0892" w14:textId="77777777" w:rsidR="00334EA1" w:rsidRPr="00D162EE" w:rsidRDefault="00334EA1" w:rsidP="004B6EF7">
      <w:pPr>
        <w:pStyle w:val="Bullet"/>
      </w:pPr>
      <w:r w:rsidRPr="00D162EE">
        <w:t>administrative and secretarial support services to the panel as required.</w:t>
      </w:r>
    </w:p>
    <w:p w14:paraId="08CEB504" w14:textId="4A0FCE59" w:rsidR="00334EA1" w:rsidRPr="00D162EE" w:rsidRDefault="00334EA1" w:rsidP="004B6EF7">
      <w:pPr>
        <w:pStyle w:val="BodyText"/>
        <w:rPr>
          <w:rFonts w:eastAsia="Times New Roman"/>
        </w:rPr>
      </w:pPr>
      <w:r w:rsidRPr="00D162EE">
        <w:rPr>
          <w:rFonts w:eastAsia="Times New Roman"/>
        </w:rPr>
        <w:t xml:space="preserve">A regional council will </w:t>
      </w:r>
      <w:r w:rsidR="009F7755" w:rsidRPr="00D162EE">
        <w:rPr>
          <w:rFonts w:eastAsia="Times New Roman"/>
        </w:rPr>
        <w:t xml:space="preserve">be required to pay costs for the </w:t>
      </w:r>
      <w:r w:rsidRPr="00D162EE">
        <w:rPr>
          <w:rFonts w:eastAsia="Times New Roman"/>
        </w:rPr>
        <w:t>freshwater hearings panel from the date</w:t>
      </w:r>
      <w:r w:rsidR="00757D4D">
        <w:rPr>
          <w:rFonts w:eastAsia="Times New Roman"/>
        </w:rPr>
        <w:t> </w:t>
      </w:r>
      <w:r w:rsidRPr="00D162EE">
        <w:rPr>
          <w:rFonts w:eastAsia="Times New Roman"/>
        </w:rPr>
        <w:t xml:space="preserve">members are appointed to the </w:t>
      </w:r>
      <w:r w:rsidRPr="00D162EE">
        <w:t>panel</w:t>
      </w:r>
      <w:r w:rsidRPr="00D162EE">
        <w:rPr>
          <w:rFonts w:eastAsia="Times New Roman"/>
        </w:rPr>
        <w:t>. The fees</w:t>
      </w:r>
      <w:r w:rsidR="009F7755" w:rsidRPr="00D162EE">
        <w:rPr>
          <w:rFonts w:eastAsia="Times New Roman"/>
        </w:rPr>
        <w:t xml:space="preserve"> for members’ time are</w:t>
      </w:r>
      <w:r w:rsidRPr="00D162EE">
        <w:rPr>
          <w:rFonts w:eastAsia="Times New Roman"/>
        </w:rPr>
        <w:t xml:space="preserve"> set by the Minister for the Environment and will apply to all members on a panel except accredited councillors. Regional councils will continue to have control over the fees payable to any accredited councillors on a freshwater hearings panel. </w:t>
      </w:r>
    </w:p>
    <w:p w14:paraId="75344831" w14:textId="1FD6990A" w:rsidR="002B355D" w:rsidRPr="00D162EE" w:rsidRDefault="006F3195">
      <w:pPr>
        <w:pStyle w:val="Heading3"/>
      </w:pPr>
      <w:bookmarkStart w:id="54" w:name="_Toc50020651"/>
      <w:r w:rsidRPr="00D162EE">
        <w:lastRenderedPageBreak/>
        <w:t>The role</w:t>
      </w:r>
      <w:r w:rsidR="008A459C" w:rsidRPr="00D162EE">
        <w:t xml:space="preserve"> of reg</w:t>
      </w:r>
      <w:r w:rsidR="002B355D" w:rsidRPr="00D162EE">
        <w:t>ional council</w:t>
      </w:r>
      <w:r w:rsidR="008A459C" w:rsidRPr="00D162EE">
        <w:t>s during the hearing process</w:t>
      </w:r>
      <w:bookmarkEnd w:id="54"/>
    </w:p>
    <w:p w14:paraId="14FA247B" w14:textId="50D81F49" w:rsidR="005252EC" w:rsidRPr="00D162EE" w:rsidRDefault="0052127E" w:rsidP="004B6EF7">
      <w:pPr>
        <w:pStyle w:val="BodyText"/>
        <w:rPr>
          <w:lang w:eastAsia="en-US"/>
        </w:rPr>
      </w:pPr>
      <w:r w:rsidRPr="00D162EE">
        <w:rPr>
          <w:lang w:eastAsia="en-US"/>
        </w:rPr>
        <w:t xml:space="preserve">Under the </w:t>
      </w:r>
      <w:r w:rsidR="001542C1" w:rsidRPr="00D162EE">
        <w:rPr>
          <w:lang w:eastAsia="en-US"/>
        </w:rPr>
        <w:t>FPP</w:t>
      </w:r>
      <w:r w:rsidR="00BD4600" w:rsidRPr="00D162EE">
        <w:rPr>
          <w:lang w:eastAsia="en-US"/>
        </w:rPr>
        <w:t xml:space="preserve"> regional councils</w:t>
      </w:r>
      <w:r w:rsidRPr="00D162EE">
        <w:rPr>
          <w:lang w:eastAsia="en-US"/>
        </w:rPr>
        <w:t xml:space="preserve"> can perform a number of roles</w:t>
      </w:r>
      <w:r w:rsidR="00BD4600" w:rsidRPr="00D162EE">
        <w:rPr>
          <w:lang w:eastAsia="en-US"/>
        </w:rPr>
        <w:t xml:space="preserve"> </w:t>
      </w:r>
      <w:r w:rsidR="00907477" w:rsidRPr="00D162EE">
        <w:rPr>
          <w:lang w:eastAsia="en-US"/>
        </w:rPr>
        <w:t>during the hearing process</w:t>
      </w:r>
      <w:r w:rsidRPr="00D162EE">
        <w:rPr>
          <w:lang w:eastAsia="en-US"/>
        </w:rPr>
        <w:t>, including:</w:t>
      </w:r>
    </w:p>
    <w:p w14:paraId="689ADE8A" w14:textId="0A67048F" w:rsidR="0052127E" w:rsidRPr="00D162EE" w:rsidRDefault="0052127E" w:rsidP="004B6EF7">
      <w:pPr>
        <w:pStyle w:val="Bullet"/>
      </w:pPr>
      <w:r w:rsidRPr="00D162EE">
        <w:t xml:space="preserve">attending pre-hearing meetings, which </w:t>
      </w:r>
      <w:r w:rsidR="005252EC" w:rsidRPr="00D162EE">
        <w:t xml:space="preserve">may be convened </w:t>
      </w:r>
      <w:r w:rsidR="00E22635" w:rsidRPr="00D162EE">
        <w:t xml:space="preserve">by the </w:t>
      </w:r>
      <w:r w:rsidRPr="00D162EE">
        <w:t xml:space="preserve">panel </w:t>
      </w:r>
      <w:r w:rsidR="00E22635" w:rsidRPr="00D162EE">
        <w:t xml:space="preserve">chair </w:t>
      </w:r>
      <w:r w:rsidR="005252EC" w:rsidRPr="00D162EE">
        <w:t>to clarify or facilitate</w:t>
      </w:r>
      <w:r w:rsidR="008A459C" w:rsidRPr="00D162EE">
        <w:t xml:space="preserve"> the</w:t>
      </w:r>
      <w:r w:rsidR="005252EC" w:rsidRPr="00D162EE">
        <w:t xml:space="preserve"> resolution of a matter or issue, or</w:t>
      </w:r>
      <w:r w:rsidR="008A459C" w:rsidRPr="00D162EE">
        <w:t xml:space="preserve"> to address</w:t>
      </w:r>
      <w:r w:rsidR="005252EC" w:rsidRPr="00D162EE">
        <w:t xml:space="preserve"> administrative or procedural matters</w:t>
      </w:r>
      <w:r w:rsidRPr="00D162EE">
        <w:t xml:space="preserve"> (clause 41</w:t>
      </w:r>
      <w:r w:rsidR="0059558F" w:rsidRPr="00D162EE">
        <w:t>(2)(b)</w:t>
      </w:r>
      <w:r w:rsidRPr="00D162EE">
        <w:t>)</w:t>
      </w:r>
    </w:p>
    <w:p w14:paraId="498EA2A7" w14:textId="704A408E" w:rsidR="005252EC" w:rsidRPr="00D162EE" w:rsidRDefault="0052127E" w:rsidP="004B6EF7">
      <w:pPr>
        <w:pStyle w:val="Bullet"/>
      </w:pPr>
      <w:r w:rsidRPr="00D162EE">
        <w:t>producing a</w:t>
      </w:r>
      <w:r w:rsidR="00907477" w:rsidRPr="00D162EE">
        <w:t xml:space="preserve"> section 42A hearing</w:t>
      </w:r>
      <w:r w:rsidRPr="00D162EE">
        <w:t>s</w:t>
      </w:r>
      <w:r w:rsidR="00907477" w:rsidRPr="00D162EE">
        <w:t xml:space="preserve"> report</w:t>
      </w:r>
      <w:r w:rsidRPr="00D162EE">
        <w:t xml:space="preserve"> at the request of the panel (clause 42(5))</w:t>
      </w:r>
    </w:p>
    <w:p w14:paraId="63F2A659" w14:textId="61036943" w:rsidR="00907477" w:rsidRPr="00D162EE" w:rsidRDefault="0052127E" w:rsidP="004B6EF7">
      <w:pPr>
        <w:pStyle w:val="Bullet"/>
      </w:pPr>
      <w:r w:rsidRPr="00D162EE">
        <w:t>attending hearings to assist the panel by clarifying/discussing matters in the freshwater planning instrument, giving evidence, speaking to submissions or addressing issues raised by them, providing relevant information requested by the panel (clause 42(1))</w:t>
      </w:r>
      <w:r w:rsidRPr="00D162EE">
        <w:rPr>
          <w:rStyle w:val="FootnoteReference"/>
          <w:rFonts w:cstheme="minorHAnsi"/>
        </w:rPr>
        <w:footnoteReference w:id="13"/>
      </w:r>
    </w:p>
    <w:p w14:paraId="5AEA14B8" w14:textId="14F2D0F2" w:rsidR="0004366D" w:rsidRPr="00D162EE" w:rsidRDefault="0004366D" w:rsidP="004B6EF7">
      <w:pPr>
        <w:pStyle w:val="Bullet"/>
      </w:pPr>
      <w:r w:rsidRPr="00D162EE">
        <w:t>attending a conference of experts and/or participating in mediation or other alternative dispute resolution (clauses 43 and 44).</w:t>
      </w:r>
    </w:p>
    <w:p w14:paraId="7074A314" w14:textId="77777777" w:rsidR="002D3B19" w:rsidRPr="00D162EE" w:rsidRDefault="008A459C" w:rsidP="004B6EF7">
      <w:pPr>
        <w:pStyle w:val="BodyText"/>
        <w:rPr>
          <w:lang w:eastAsia="en-US"/>
        </w:rPr>
      </w:pPr>
      <w:r w:rsidRPr="00D162EE">
        <w:rPr>
          <w:lang w:eastAsia="en-US"/>
        </w:rPr>
        <w:t xml:space="preserve">Regional councils </w:t>
      </w:r>
      <w:r w:rsidR="008C55F6" w:rsidRPr="00D162EE">
        <w:rPr>
          <w:lang w:eastAsia="en-US"/>
        </w:rPr>
        <w:t>are</w:t>
      </w:r>
      <w:r w:rsidR="00C27D16" w:rsidRPr="00D162EE">
        <w:rPr>
          <w:lang w:eastAsia="en-US"/>
        </w:rPr>
        <w:t xml:space="preserve"> responsible for </w:t>
      </w:r>
      <w:r w:rsidR="008C55F6" w:rsidRPr="00D162EE">
        <w:rPr>
          <w:lang w:eastAsia="en-US"/>
        </w:rPr>
        <w:t>providing administrative and secretarial support services to the panel as required (clause 63</w:t>
      </w:r>
      <w:r w:rsidR="0059558F" w:rsidRPr="00D162EE">
        <w:rPr>
          <w:lang w:eastAsia="en-US"/>
        </w:rPr>
        <w:t>(3)</w:t>
      </w:r>
      <w:r w:rsidR="008C55F6" w:rsidRPr="00D162EE">
        <w:rPr>
          <w:lang w:eastAsia="en-US"/>
        </w:rPr>
        <w:t>(f)).</w:t>
      </w:r>
      <w:r w:rsidRPr="00D162EE">
        <w:rPr>
          <w:lang w:eastAsia="en-US"/>
        </w:rPr>
        <w:t xml:space="preserve"> </w:t>
      </w:r>
      <w:r w:rsidR="008C55F6" w:rsidRPr="00D162EE">
        <w:rPr>
          <w:lang w:eastAsia="en-US"/>
        </w:rPr>
        <w:t>Regional councils are also responsible for</w:t>
      </w:r>
      <w:r w:rsidR="002D3B19" w:rsidRPr="00D162EE">
        <w:rPr>
          <w:lang w:eastAsia="en-US"/>
        </w:rPr>
        <w:t>:</w:t>
      </w:r>
    </w:p>
    <w:p w14:paraId="64C1F210" w14:textId="77777777" w:rsidR="002D3B19" w:rsidRPr="00D162EE" w:rsidRDefault="00854811" w:rsidP="004B6EF7">
      <w:pPr>
        <w:pStyle w:val="Bullet"/>
      </w:pPr>
      <w:r w:rsidRPr="00D162EE">
        <w:t>making reports commissioned by the panel available for inspection on the relevant regional council’s internet site and at its offices</w:t>
      </w:r>
      <w:r w:rsidR="002D3B19" w:rsidRPr="00D162EE">
        <w:t xml:space="preserve"> (clause 45(4)(b))</w:t>
      </w:r>
    </w:p>
    <w:p w14:paraId="4C063C4A" w14:textId="42931761" w:rsidR="0004366D" w:rsidRPr="00D162EE" w:rsidRDefault="00854811" w:rsidP="004B6EF7">
      <w:pPr>
        <w:pStyle w:val="Bullet"/>
      </w:pPr>
      <w:r w:rsidRPr="00D162EE">
        <w:t>publicly notify</w:t>
      </w:r>
      <w:r w:rsidR="0042251E" w:rsidRPr="00D162EE">
        <w:t>ing</w:t>
      </w:r>
      <w:r w:rsidRPr="00D162EE">
        <w:t xml:space="preserve"> the </w:t>
      </w:r>
      <w:r w:rsidR="002D3B19" w:rsidRPr="00D162EE">
        <w:t xml:space="preserve">freshwater hearings panel’s </w:t>
      </w:r>
      <w:r w:rsidRPr="00D162EE">
        <w:t>recommendations report</w:t>
      </w:r>
      <w:r w:rsidR="0059558F" w:rsidRPr="00D162EE">
        <w:t>, the council’s decision on the recommendations, and where the report and decisions may be viewed or accessed</w:t>
      </w:r>
      <w:r w:rsidR="0004366D" w:rsidRPr="00D162EE">
        <w:t xml:space="preserve"> (clause 52(8))</w:t>
      </w:r>
      <w:r w:rsidRPr="00D162EE">
        <w:t>.</w:t>
      </w:r>
    </w:p>
    <w:p w14:paraId="5B63B7C0" w14:textId="70D396CB" w:rsidR="00454A18" w:rsidRPr="00D162EE" w:rsidRDefault="00454A18" w:rsidP="00B44386">
      <w:pPr>
        <w:pStyle w:val="Heading3"/>
      </w:pPr>
      <w:bookmarkStart w:id="55" w:name="_Toc50020652"/>
      <w:r w:rsidRPr="00D162EE">
        <w:t>Consider whether a Friend of Submitter role would be beneficial</w:t>
      </w:r>
      <w:bookmarkEnd w:id="55"/>
    </w:p>
    <w:p w14:paraId="30CE9348" w14:textId="4EAE9031" w:rsidR="00454A18" w:rsidRPr="00D162EE" w:rsidRDefault="00E87086" w:rsidP="004B6EF7">
      <w:pPr>
        <w:pStyle w:val="BodyText"/>
      </w:pPr>
      <w:r w:rsidRPr="00D162EE">
        <w:t>Clause 46(3) enables the chair of a freshwater hearings panel to appoint a ‘friend of submitter’ to support submit</w:t>
      </w:r>
      <w:r w:rsidR="0004366D" w:rsidRPr="00D162EE">
        <w:t>ters during the hearing process. However, t</w:t>
      </w:r>
      <w:r w:rsidRPr="00D162EE">
        <w:t xml:space="preserve">he chair is required to consult with the relevant council </w:t>
      </w:r>
      <w:r w:rsidR="0004366D" w:rsidRPr="00D162EE">
        <w:t>before making an appointment</w:t>
      </w:r>
      <w:r w:rsidRPr="00D162EE">
        <w:t xml:space="preserve">. The intent of the friend of submitter role is to provide assistance to submitters on the hearing process because of the more </w:t>
      </w:r>
      <w:r w:rsidR="0059558F" w:rsidRPr="00D162EE">
        <w:t>formal</w:t>
      </w:r>
      <w:r w:rsidRPr="00D162EE">
        <w:t xml:space="preserve"> nature of a freshwater hearing (such as the ability for cross examination) and potential complexitie</w:t>
      </w:r>
      <w:r w:rsidR="0004366D" w:rsidRPr="00D162EE">
        <w:t xml:space="preserve">s where </w:t>
      </w:r>
      <w:r w:rsidR="00205EB7" w:rsidRPr="00D162EE">
        <w:t xml:space="preserve">some </w:t>
      </w:r>
      <w:r w:rsidR="0004366D" w:rsidRPr="00D162EE">
        <w:t>parts of a</w:t>
      </w:r>
      <w:r w:rsidRPr="00D162EE">
        <w:t xml:space="preserve"> prop</w:t>
      </w:r>
      <w:r w:rsidR="0004366D" w:rsidRPr="00D162EE">
        <w:t>osed regional policy statement or regional</w:t>
      </w:r>
      <w:r w:rsidRPr="00D162EE">
        <w:t xml:space="preserve"> plan </w:t>
      </w:r>
      <w:r w:rsidR="0004366D" w:rsidRPr="00D162EE">
        <w:t>are being</w:t>
      </w:r>
      <w:r w:rsidRPr="00D162EE">
        <w:t xml:space="preserve"> addressed through</w:t>
      </w:r>
      <w:r w:rsidR="0004366D" w:rsidRPr="00D162EE">
        <w:t xml:space="preserve"> </w:t>
      </w:r>
      <w:r w:rsidRPr="00D162EE">
        <w:t xml:space="preserve">the FPP and </w:t>
      </w:r>
      <w:r w:rsidR="0004366D" w:rsidRPr="00D162EE">
        <w:t>others</w:t>
      </w:r>
      <w:r w:rsidRPr="00D162EE">
        <w:t xml:space="preserve"> through the standard Schedule 1 process. </w:t>
      </w:r>
    </w:p>
    <w:p w14:paraId="665F06D7" w14:textId="2C66BA0D" w:rsidR="00195C93" w:rsidRPr="00D162EE" w:rsidRDefault="00195C93" w:rsidP="004B6EF7">
      <w:pPr>
        <w:pStyle w:val="BodyText"/>
      </w:pPr>
      <w:r w:rsidRPr="00D162EE">
        <w:t>If a regional council considers that a friend of submitter role would be beneficial to support its communities, we recommend this is raised with the chair as soon as possible (or even with the Chief if the need is anticipated prior to convening a freshwater hearings panel). The council could also assist the chair by identifying a person who would be suitable to fulfil the role.</w:t>
      </w:r>
    </w:p>
    <w:p w14:paraId="4F7D5AA6" w14:textId="4309B7CF" w:rsidR="00D25566" w:rsidRPr="00D162EE" w:rsidRDefault="002F641E" w:rsidP="004B6EF7">
      <w:pPr>
        <w:pStyle w:val="Heading2"/>
        <w:rPr>
          <w:rFonts w:eastAsia="Calibri"/>
          <w:lang w:eastAsia="en-US"/>
        </w:rPr>
      </w:pPr>
      <w:bookmarkStart w:id="56" w:name="_Toc50020653"/>
      <w:bookmarkStart w:id="57" w:name="_Toc50469804"/>
      <w:r w:rsidRPr="00D162EE">
        <w:rPr>
          <w:rFonts w:eastAsia="Calibri"/>
          <w:lang w:eastAsia="en-US"/>
        </w:rPr>
        <w:lastRenderedPageBreak/>
        <w:t xml:space="preserve">Step 4: </w:t>
      </w:r>
      <w:r w:rsidR="00D25566" w:rsidRPr="00D162EE">
        <w:t>Freshwater</w:t>
      </w:r>
      <w:r w:rsidR="00D25566" w:rsidRPr="00D162EE">
        <w:rPr>
          <w:rFonts w:eastAsia="Calibri"/>
          <w:lang w:eastAsia="en-US"/>
        </w:rPr>
        <w:t xml:space="preserve"> hearings panel provides recommendations</w:t>
      </w:r>
      <w:bookmarkEnd w:id="56"/>
      <w:bookmarkEnd w:id="57"/>
    </w:p>
    <w:p w14:paraId="19AA3F17" w14:textId="1DA2EE72" w:rsidR="004C598C" w:rsidRPr="00D162EE" w:rsidRDefault="00B44386" w:rsidP="00E27B48">
      <w:pPr>
        <w:pStyle w:val="BodyText"/>
        <w:keepNext/>
      </w:pPr>
      <w:r w:rsidRPr="00D162EE">
        <w:rPr>
          <w:rFonts w:eastAsia="Calibri"/>
          <w:lang w:eastAsia="en-US"/>
        </w:rPr>
        <w:t>The freshwater hearings panel is required to make recommendations on the freshwater planning instrument in one or more reports</w:t>
      </w:r>
      <w:r w:rsidR="004C598C" w:rsidRPr="00D162EE">
        <w:rPr>
          <w:rFonts w:eastAsia="Calibri"/>
          <w:lang w:eastAsia="en-US"/>
        </w:rPr>
        <w:t xml:space="preserve"> (clause 49</w:t>
      </w:r>
      <w:r w:rsidR="003B04C7" w:rsidRPr="00D162EE">
        <w:rPr>
          <w:rFonts w:eastAsia="Calibri"/>
          <w:lang w:eastAsia="en-US"/>
        </w:rPr>
        <w:t>(3)</w:t>
      </w:r>
      <w:r w:rsidR="004C598C" w:rsidRPr="00D162EE">
        <w:rPr>
          <w:rFonts w:eastAsia="Calibri"/>
          <w:lang w:eastAsia="en-US"/>
        </w:rPr>
        <w:t>)</w:t>
      </w:r>
      <w:r w:rsidRPr="00D162EE">
        <w:rPr>
          <w:rFonts w:eastAsia="Calibri"/>
          <w:lang w:eastAsia="en-US"/>
        </w:rPr>
        <w:t>.</w:t>
      </w:r>
    </w:p>
    <w:p w14:paraId="3BDC841B" w14:textId="1AB0CD1A" w:rsidR="004C598C" w:rsidRPr="00D162EE" w:rsidRDefault="004C598C" w:rsidP="00C06251">
      <w:pPr>
        <w:pStyle w:val="Heading3"/>
        <w:spacing w:before="280"/>
      </w:pPr>
      <w:bookmarkStart w:id="58" w:name="_Toc50020654"/>
      <w:r w:rsidRPr="00D162EE">
        <w:t>Recommendation report contents</w:t>
      </w:r>
      <w:bookmarkEnd w:id="58"/>
    </w:p>
    <w:p w14:paraId="1501A4B9" w14:textId="0C75AE3E" w:rsidR="00B44386" w:rsidRPr="00D162EE" w:rsidRDefault="00B44386" w:rsidP="00690000">
      <w:pPr>
        <w:pStyle w:val="BodyText"/>
      </w:pPr>
      <w:r w:rsidRPr="00D162EE">
        <w:rPr>
          <w:rFonts w:eastAsia="Calibri"/>
          <w:lang w:eastAsia="en-US"/>
        </w:rPr>
        <w:t>Unlike the standard Schedule 1 process, the panel is not limited to making recommendations within the scope of matters raised in submissions.</w:t>
      </w:r>
      <w:r w:rsidR="004C598C" w:rsidRPr="00D162EE">
        <w:rPr>
          <w:rFonts w:eastAsia="Calibri"/>
          <w:lang w:eastAsia="en-US"/>
        </w:rPr>
        <w:t xml:space="preserve"> The panel can make recommendations on any </w:t>
      </w:r>
      <w:r w:rsidR="004C598C" w:rsidRPr="00D162EE">
        <w:t>matters relating to the freshwater planning instrument identified by the panel or any other person during the hearing.</w:t>
      </w:r>
    </w:p>
    <w:p w14:paraId="2D013073" w14:textId="194B087C" w:rsidR="00D25566" w:rsidRPr="00D162EE" w:rsidRDefault="00B44386" w:rsidP="00690000">
      <w:pPr>
        <w:pStyle w:val="BodyText"/>
        <w:rPr>
          <w:rFonts w:eastAsia="Calibri"/>
          <w:lang w:eastAsia="en-US"/>
        </w:rPr>
      </w:pPr>
      <w:r w:rsidRPr="00D162EE">
        <w:t>Each</w:t>
      </w:r>
      <w:r w:rsidR="00D25566" w:rsidRPr="00D162EE">
        <w:t xml:space="preserve"> report</w:t>
      </w:r>
      <w:r w:rsidR="00D25566" w:rsidRPr="00D162EE">
        <w:rPr>
          <w:rFonts w:eastAsia="Calibri"/>
          <w:lang w:eastAsia="en-US"/>
        </w:rPr>
        <w:t xml:space="preserve"> must include:</w:t>
      </w:r>
    </w:p>
    <w:p w14:paraId="21AC7D9A" w14:textId="655EE02C" w:rsidR="00D25566" w:rsidRPr="00D162EE" w:rsidRDefault="00D25566" w:rsidP="00690000">
      <w:pPr>
        <w:pStyle w:val="Bullet"/>
      </w:pPr>
      <w:r w:rsidRPr="00D162EE">
        <w:t>the panel’s recommendations on the provisions</w:t>
      </w:r>
      <w:r w:rsidR="004C598C" w:rsidRPr="00D162EE">
        <w:t xml:space="preserve"> of the freshwater planning instrument, identifying </w:t>
      </w:r>
      <w:r w:rsidRPr="00D162EE">
        <w:t>any recommendations that are outside the scope of submissions</w:t>
      </w:r>
    </w:p>
    <w:p w14:paraId="715B3DE8" w14:textId="77777777" w:rsidR="00D25566" w:rsidRPr="00D162EE" w:rsidRDefault="00D25566" w:rsidP="00690000">
      <w:pPr>
        <w:pStyle w:val="Bullet"/>
      </w:pPr>
      <w:r w:rsidRPr="00D162EE">
        <w:t>the panel’s recommendations on the provisions and matters raised in submissions</w:t>
      </w:r>
    </w:p>
    <w:p w14:paraId="5462D9A0" w14:textId="3473F1ED" w:rsidR="00D25566" w:rsidRPr="00D162EE" w:rsidRDefault="00D25566" w:rsidP="00690000">
      <w:pPr>
        <w:pStyle w:val="Bullet"/>
      </w:pPr>
      <w:r w:rsidRPr="00D162EE">
        <w:t>the panel’s reasons for accepting or rejecting submissions</w:t>
      </w:r>
      <w:r w:rsidR="004C598C" w:rsidRPr="00D162EE">
        <w:t xml:space="preserve"> (these may relate to groups of submissions)</w:t>
      </w:r>
    </w:p>
    <w:p w14:paraId="6F43C223" w14:textId="2F30FFA9" w:rsidR="00D25566" w:rsidRPr="00D162EE" w:rsidRDefault="00D25566" w:rsidP="00690000">
      <w:pPr>
        <w:pStyle w:val="Bullet"/>
      </w:pPr>
      <w:r w:rsidRPr="00D162EE">
        <w:t>a further evaluation in accordance with section 32AA of the RMA</w:t>
      </w:r>
      <w:r w:rsidR="002D3B19" w:rsidRPr="00D162EE">
        <w:t xml:space="preserve"> (clause 50(b))</w:t>
      </w:r>
      <w:r w:rsidRPr="00D162EE">
        <w:t>.</w:t>
      </w:r>
    </w:p>
    <w:p w14:paraId="157BB1F4" w14:textId="05526AB8" w:rsidR="00D25566" w:rsidRPr="00D162EE" w:rsidRDefault="00D25566" w:rsidP="00690000">
      <w:pPr>
        <w:pStyle w:val="BodyText"/>
        <w:rPr>
          <w:rFonts w:eastAsia="Calibri"/>
          <w:lang w:eastAsia="en-US"/>
        </w:rPr>
      </w:pPr>
      <w:r w:rsidRPr="00D162EE">
        <w:rPr>
          <w:rFonts w:eastAsia="Calibri"/>
          <w:lang w:eastAsia="en-US"/>
        </w:rPr>
        <w:t xml:space="preserve">The panel’s written report(s) may also include matters relating to any consequential alterations arising from </w:t>
      </w:r>
      <w:r w:rsidRPr="00D162EE">
        <w:t>submissions</w:t>
      </w:r>
      <w:r w:rsidRPr="00D162EE">
        <w:rPr>
          <w:rFonts w:eastAsia="Calibri"/>
          <w:lang w:eastAsia="en-US"/>
        </w:rPr>
        <w:t>, and any other matter that the panel considers relevant to</w:t>
      </w:r>
      <w:r w:rsidR="00690000" w:rsidRPr="00D162EE">
        <w:rPr>
          <w:rFonts w:eastAsia="Calibri"/>
          <w:lang w:eastAsia="en-US"/>
        </w:rPr>
        <w:t> </w:t>
      </w:r>
      <w:r w:rsidRPr="00D162EE">
        <w:rPr>
          <w:rFonts w:eastAsia="Calibri"/>
          <w:lang w:eastAsia="en-US"/>
        </w:rPr>
        <w:t xml:space="preserve">the freshwater planning instrument that arises from submissions. </w:t>
      </w:r>
    </w:p>
    <w:p w14:paraId="69128E65" w14:textId="20225F37" w:rsidR="004C598C" w:rsidRPr="00D162EE" w:rsidRDefault="004C598C" w:rsidP="00C06251">
      <w:pPr>
        <w:pStyle w:val="Heading3"/>
        <w:spacing w:before="280"/>
      </w:pPr>
      <w:bookmarkStart w:id="59" w:name="_Toc50020655"/>
      <w:r w:rsidRPr="00D162EE">
        <w:t>Matters to consider when making recommendations</w:t>
      </w:r>
      <w:bookmarkEnd w:id="59"/>
    </w:p>
    <w:p w14:paraId="45668D38" w14:textId="7177390A" w:rsidR="00D25566" w:rsidRPr="00D162EE" w:rsidRDefault="00D25566" w:rsidP="00E27B48">
      <w:pPr>
        <w:pStyle w:val="BodyText"/>
        <w:spacing w:after="0"/>
        <w:rPr>
          <w:rFonts w:eastAsia="Calibri"/>
          <w:lang w:eastAsia="en-US"/>
        </w:rPr>
      </w:pPr>
      <w:r w:rsidRPr="00D162EE">
        <w:rPr>
          <w:rFonts w:eastAsia="Calibri"/>
          <w:lang w:eastAsia="en-US"/>
        </w:rPr>
        <w:t xml:space="preserve">In </w:t>
      </w:r>
      <w:r w:rsidRPr="00D162EE">
        <w:t>formulating</w:t>
      </w:r>
      <w:r w:rsidRPr="00D162EE">
        <w:rPr>
          <w:rFonts w:eastAsia="Calibri"/>
          <w:lang w:eastAsia="en-US"/>
        </w:rPr>
        <w:t xml:space="preserve"> recommendations</w:t>
      </w:r>
      <w:r w:rsidR="002D3B19" w:rsidRPr="00D162EE">
        <w:rPr>
          <w:rFonts w:eastAsia="Calibri"/>
          <w:lang w:eastAsia="en-US"/>
        </w:rPr>
        <w:t xml:space="preserve"> under clause 50</w:t>
      </w:r>
      <w:r w:rsidRPr="00D162EE">
        <w:rPr>
          <w:rFonts w:eastAsia="Calibri"/>
          <w:lang w:eastAsia="en-US"/>
        </w:rPr>
        <w:t>, the freshwater hearings panel</w:t>
      </w:r>
      <w:r w:rsidR="002D3B19" w:rsidRPr="00D162EE">
        <w:rPr>
          <w:rFonts w:eastAsia="Calibri"/>
          <w:lang w:eastAsia="en-US"/>
        </w:rPr>
        <w:t xml:space="preserve"> </w:t>
      </w:r>
      <w:r w:rsidRPr="00D162EE">
        <w:rPr>
          <w:rFonts w:eastAsia="Calibri"/>
          <w:lang w:eastAsia="en-US"/>
        </w:rPr>
        <w:t>must</w:t>
      </w:r>
      <w:r w:rsidR="002D3B19" w:rsidRPr="00D162EE">
        <w:rPr>
          <w:rFonts w:eastAsia="Calibri"/>
          <w:lang w:eastAsia="en-US"/>
        </w:rPr>
        <w:t xml:space="preserve"> </w:t>
      </w:r>
      <w:r w:rsidR="00AD6857" w:rsidRPr="00D162EE">
        <w:rPr>
          <w:rFonts w:eastAsia="Calibri"/>
          <w:lang w:eastAsia="en-US"/>
        </w:rPr>
        <w:t>(</w:t>
      </w:r>
      <w:r w:rsidR="002D3B19" w:rsidRPr="00D162EE">
        <w:rPr>
          <w:rFonts w:eastAsia="Calibri"/>
          <w:lang w:eastAsia="en-US"/>
        </w:rPr>
        <w:t>in summary</w:t>
      </w:r>
      <w:r w:rsidR="00AD6857" w:rsidRPr="00D162EE">
        <w:rPr>
          <w:rFonts w:eastAsia="Calibri"/>
          <w:lang w:eastAsia="en-US"/>
        </w:rPr>
        <w:t xml:space="preserve"> only)</w:t>
      </w:r>
      <w:r w:rsidRPr="00D162EE">
        <w:rPr>
          <w:rFonts w:eastAsia="Calibri"/>
          <w:lang w:eastAsia="en-US"/>
        </w:rPr>
        <w:t>:</w:t>
      </w:r>
    </w:p>
    <w:p w14:paraId="3940FD2A" w14:textId="55FD6370" w:rsidR="004C598C" w:rsidRPr="00D162EE" w:rsidRDefault="004C598C" w:rsidP="002F0040">
      <w:pPr>
        <w:pStyle w:val="BodyText"/>
        <w:numPr>
          <w:ilvl w:val="0"/>
          <w:numId w:val="16"/>
        </w:numPr>
        <w:ind w:left="397" w:hanging="397"/>
        <w:rPr>
          <w:rFonts w:eastAsia="Calibri"/>
          <w:b/>
          <w:lang w:eastAsia="en-US"/>
        </w:rPr>
      </w:pPr>
      <w:r w:rsidRPr="00D162EE">
        <w:rPr>
          <w:rFonts w:eastAsia="Calibri"/>
          <w:b/>
          <w:lang w:eastAsia="en-US"/>
        </w:rPr>
        <w:t>have regard to:</w:t>
      </w:r>
    </w:p>
    <w:p w14:paraId="273DB45F" w14:textId="77777777" w:rsidR="00041B03" w:rsidRPr="00D162EE" w:rsidRDefault="004C598C" w:rsidP="00690000">
      <w:pPr>
        <w:pStyle w:val="Sub-list"/>
      </w:pPr>
      <w:r w:rsidRPr="00D162EE">
        <w:t>hearing report</w:t>
      </w:r>
      <w:r w:rsidR="00041B03" w:rsidRPr="00D162EE">
        <w:t>s</w:t>
      </w:r>
      <w:r w:rsidRPr="00D162EE">
        <w:t xml:space="preserve"> </w:t>
      </w:r>
      <w:r w:rsidR="00041B03" w:rsidRPr="00D162EE">
        <w:t xml:space="preserve">(section </w:t>
      </w:r>
      <w:r w:rsidRPr="00D162EE">
        <w:t>42A</w:t>
      </w:r>
      <w:r w:rsidR="00041B03" w:rsidRPr="00D162EE">
        <w:t>)</w:t>
      </w:r>
    </w:p>
    <w:p w14:paraId="1A9252AE" w14:textId="2E4474ED" w:rsidR="004C598C" w:rsidRPr="00D162EE" w:rsidRDefault="00041B03" w:rsidP="00690000">
      <w:pPr>
        <w:pStyle w:val="Sub-list"/>
      </w:pPr>
      <w:r w:rsidRPr="00D162EE">
        <w:t>pre-hearing meeting report (clause 41)</w:t>
      </w:r>
    </w:p>
    <w:p w14:paraId="46B06692" w14:textId="77777777" w:rsidR="00041B03" w:rsidRPr="00D162EE" w:rsidRDefault="00041B03" w:rsidP="00690000">
      <w:pPr>
        <w:pStyle w:val="Sub-list"/>
      </w:pPr>
      <w:r w:rsidRPr="00D162EE">
        <w:t>conference of expert report (</w:t>
      </w:r>
      <w:r w:rsidR="00D25566" w:rsidRPr="00D162EE">
        <w:t>clause 43</w:t>
      </w:r>
      <w:r w:rsidRPr="00D162EE">
        <w:t>)</w:t>
      </w:r>
    </w:p>
    <w:p w14:paraId="3566A61F" w14:textId="77777777" w:rsidR="00041B03" w:rsidRPr="00D162EE" w:rsidRDefault="00D25566" w:rsidP="00690000">
      <w:pPr>
        <w:pStyle w:val="Sub-list"/>
      </w:pPr>
      <w:r w:rsidRPr="00D162EE">
        <w:t>reports commissio</w:t>
      </w:r>
      <w:r w:rsidR="00041B03" w:rsidRPr="00D162EE">
        <w:t>ned by the hearings panel (</w:t>
      </w:r>
      <w:r w:rsidRPr="00D162EE">
        <w:t>clause 45</w:t>
      </w:r>
      <w:r w:rsidR="00041B03" w:rsidRPr="00D162EE">
        <w:t>)</w:t>
      </w:r>
    </w:p>
    <w:p w14:paraId="35859932" w14:textId="71AD7C85" w:rsidR="00041B03" w:rsidRPr="00D162EE" w:rsidRDefault="00D25566" w:rsidP="00690000">
      <w:pPr>
        <w:pStyle w:val="Sub-list"/>
      </w:pPr>
      <w:r w:rsidRPr="00D162EE">
        <w:t>any advice</w:t>
      </w:r>
      <w:r w:rsidR="00041B03" w:rsidRPr="00D162EE">
        <w:t xml:space="preserve"> or other assistance</w:t>
      </w:r>
      <w:r w:rsidRPr="00D162EE">
        <w:t xml:space="preserve"> produced by a </w:t>
      </w:r>
      <w:r w:rsidR="00041B03" w:rsidRPr="00D162EE">
        <w:t>special advisor appointed under clause</w:t>
      </w:r>
      <w:r w:rsidR="006856E3" w:rsidRPr="00D162EE">
        <w:t> </w:t>
      </w:r>
      <w:r w:rsidR="00041B03" w:rsidRPr="00D162EE">
        <w:t>46</w:t>
      </w:r>
    </w:p>
    <w:p w14:paraId="0A44844C" w14:textId="3A654A6B" w:rsidR="00D25566" w:rsidRPr="00D162EE" w:rsidRDefault="00D25566" w:rsidP="00690000">
      <w:pPr>
        <w:pStyle w:val="Sub-list"/>
      </w:pPr>
      <w:r w:rsidRPr="00D162EE">
        <w:t>any other technical or other re</w:t>
      </w:r>
      <w:r w:rsidR="00937F1D" w:rsidRPr="00D162EE">
        <w:t>ports commissioned by the panel</w:t>
      </w:r>
      <w:r w:rsidR="00D02D16" w:rsidRPr="00D162EE">
        <w:t>.</w:t>
      </w:r>
    </w:p>
    <w:p w14:paraId="0194211E" w14:textId="496FF47F" w:rsidR="00D25566" w:rsidRPr="00D162EE" w:rsidRDefault="00D25566" w:rsidP="002F0040">
      <w:pPr>
        <w:pStyle w:val="BodyText"/>
        <w:numPr>
          <w:ilvl w:val="0"/>
          <w:numId w:val="16"/>
        </w:numPr>
        <w:spacing w:after="0"/>
        <w:ind w:left="397" w:hanging="397"/>
        <w:rPr>
          <w:rFonts w:eastAsia="Calibri"/>
          <w:bCs/>
          <w:lang w:eastAsia="en-US"/>
        </w:rPr>
      </w:pPr>
      <w:r w:rsidRPr="00D162EE">
        <w:rPr>
          <w:rFonts w:eastAsia="Calibri"/>
          <w:b/>
          <w:lang w:eastAsia="en-US"/>
        </w:rPr>
        <w:t xml:space="preserve">take into </w:t>
      </w:r>
      <w:r w:rsidR="00195C93" w:rsidRPr="00D162EE">
        <w:rPr>
          <w:rFonts w:eastAsia="Calibri"/>
          <w:b/>
          <w:lang w:eastAsia="en-US"/>
        </w:rPr>
        <w:t xml:space="preserve">account </w:t>
      </w:r>
      <w:r w:rsidRPr="00D162EE">
        <w:rPr>
          <w:rFonts w:eastAsia="Calibri"/>
          <w:bCs/>
          <w:lang w:eastAsia="en-US"/>
        </w:rPr>
        <w:t>any outcomes reported from alternative dispute resolution under clause 44</w:t>
      </w:r>
    </w:p>
    <w:p w14:paraId="67037723" w14:textId="37BD2CB2" w:rsidR="00041B03" w:rsidRPr="00D162EE" w:rsidRDefault="00041B03" w:rsidP="002F0040">
      <w:pPr>
        <w:pStyle w:val="BodyText"/>
        <w:numPr>
          <w:ilvl w:val="0"/>
          <w:numId w:val="16"/>
        </w:numPr>
        <w:spacing w:after="0"/>
        <w:ind w:left="397" w:hanging="397"/>
        <w:rPr>
          <w:rFonts w:eastAsia="Calibri"/>
          <w:b/>
          <w:lang w:eastAsia="en-US"/>
        </w:rPr>
      </w:pPr>
      <w:r w:rsidRPr="00D162EE">
        <w:rPr>
          <w:rFonts w:eastAsia="Calibri"/>
          <w:b/>
          <w:lang w:eastAsia="en-US"/>
        </w:rPr>
        <w:t>include a further evaluation of the freshwater planning instrument under section 32AA</w:t>
      </w:r>
    </w:p>
    <w:p w14:paraId="29F497F5" w14:textId="17D7E3C5" w:rsidR="00041B03" w:rsidRPr="00D162EE" w:rsidRDefault="00D25566" w:rsidP="002F0040">
      <w:pPr>
        <w:pStyle w:val="BodyText"/>
        <w:numPr>
          <w:ilvl w:val="0"/>
          <w:numId w:val="16"/>
        </w:numPr>
        <w:ind w:left="397" w:hanging="397"/>
        <w:rPr>
          <w:rFonts w:eastAsia="Calibri"/>
          <w:bCs/>
          <w:lang w:eastAsia="en-US"/>
        </w:rPr>
      </w:pPr>
      <w:r w:rsidRPr="00D162EE">
        <w:rPr>
          <w:rFonts w:eastAsia="Calibri"/>
          <w:b/>
          <w:lang w:eastAsia="en-US"/>
        </w:rPr>
        <w:t>be sure</w:t>
      </w:r>
      <w:r w:rsidRPr="00D162EE">
        <w:rPr>
          <w:rFonts w:eastAsia="Calibri"/>
          <w:bCs/>
          <w:lang w:eastAsia="en-US"/>
        </w:rPr>
        <w:t xml:space="preserve"> that</w:t>
      </w:r>
      <w:r w:rsidR="00041B03" w:rsidRPr="00D162EE">
        <w:rPr>
          <w:rFonts w:eastAsia="Calibri"/>
          <w:bCs/>
          <w:lang w:eastAsia="en-US"/>
        </w:rPr>
        <w:t xml:space="preserve"> the </w:t>
      </w:r>
      <w:r w:rsidR="00337258" w:rsidRPr="00D162EE">
        <w:rPr>
          <w:rFonts w:eastAsia="Calibri"/>
          <w:bCs/>
          <w:lang w:eastAsia="en-US"/>
        </w:rPr>
        <w:t>recommendations</w:t>
      </w:r>
      <w:r w:rsidR="002F4F39" w:rsidRPr="00D162EE">
        <w:rPr>
          <w:rFonts w:eastAsia="Calibri"/>
          <w:bCs/>
          <w:lang w:eastAsia="en-US"/>
        </w:rPr>
        <w:t>,</w:t>
      </w:r>
      <w:r w:rsidR="00337258" w:rsidRPr="00D162EE">
        <w:rPr>
          <w:rFonts w:eastAsia="Calibri"/>
          <w:bCs/>
          <w:lang w:eastAsia="en-US"/>
        </w:rPr>
        <w:t xml:space="preserve"> if accepted by the regional council</w:t>
      </w:r>
      <w:r w:rsidR="002F4F39" w:rsidRPr="00D162EE">
        <w:rPr>
          <w:rFonts w:eastAsia="Calibri"/>
          <w:bCs/>
          <w:lang w:eastAsia="en-US"/>
        </w:rPr>
        <w:t>,</w:t>
      </w:r>
      <w:r w:rsidR="00041B03" w:rsidRPr="00D162EE">
        <w:rPr>
          <w:rFonts w:eastAsia="Calibri"/>
          <w:bCs/>
          <w:lang w:eastAsia="en-US"/>
        </w:rPr>
        <w:t xml:space="preserve"> </w:t>
      </w:r>
      <w:r w:rsidR="00337258" w:rsidRPr="00D162EE">
        <w:rPr>
          <w:rFonts w:eastAsia="Calibri"/>
          <w:bCs/>
          <w:lang w:eastAsia="en-US"/>
        </w:rPr>
        <w:t>where relevant</w:t>
      </w:r>
      <w:r w:rsidR="00041B03" w:rsidRPr="00D162EE">
        <w:rPr>
          <w:rFonts w:eastAsia="Calibri"/>
          <w:bCs/>
          <w:lang w:eastAsia="en-US"/>
        </w:rPr>
        <w:t xml:space="preserve"> would comply with:</w:t>
      </w:r>
    </w:p>
    <w:p w14:paraId="3549097C" w14:textId="3D1EFCF7" w:rsidR="00041B03" w:rsidRPr="00D162EE" w:rsidRDefault="00337258" w:rsidP="006856E3">
      <w:pPr>
        <w:pStyle w:val="Sub-list"/>
      </w:pPr>
      <w:r w:rsidRPr="00D162EE">
        <w:t>national environmental standards (section 43B)</w:t>
      </w:r>
    </w:p>
    <w:p w14:paraId="68DB6226" w14:textId="0F96A7A6" w:rsidR="00337258" w:rsidRPr="00D162EE" w:rsidRDefault="00337258" w:rsidP="006856E3">
      <w:pPr>
        <w:pStyle w:val="Sub-list"/>
      </w:pPr>
      <w:r w:rsidRPr="00D162EE">
        <w:t>all regional policy statement and regional plan requirements (sections 59-68)</w:t>
      </w:r>
    </w:p>
    <w:p w14:paraId="21AA4F1E" w14:textId="7CD32C08" w:rsidR="00337258" w:rsidRPr="00D162EE" w:rsidRDefault="00337258" w:rsidP="006856E3">
      <w:pPr>
        <w:pStyle w:val="Sub-list"/>
      </w:pPr>
      <w:r w:rsidRPr="00D162EE">
        <w:lastRenderedPageBreak/>
        <w:t>requirements for rules relating to water quality (section 69), rules about discharges (section 70), and discharge of greenhouse gases (sections 70A and 70B)</w:t>
      </w:r>
    </w:p>
    <w:p w14:paraId="4C4D1E79" w14:textId="2417D0CE" w:rsidR="00337258" w:rsidRPr="00D162EE" w:rsidRDefault="00337258" w:rsidP="006856E3">
      <w:pPr>
        <w:pStyle w:val="Sub-list"/>
      </w:pPr>
      <w:r w:rsidRPr="00D162EE">
        <w:t>protected customary rights (sections 85A and 85B(2))</w:t>
      </w:r>
    </w:p>
    <w:p w14:paraId="40B23592" w14:textId="3A00D0EE" w:rsidR="00337258" w:rsidRPr="00D162EE" w:rsidRDefault="00337258" w:rsidP="006856E3">
      <w:pPr>
        <w:pStyle w:val="Sub-list"/>
      </w:pPr>
      <w:r w:rsidRPr="00D162EE">
        <w:t>any other provision of any enactment, including the RMA, that applies to the council’s preparation of the freshwater planning instrument.</w:t>
      </w:r>
    </w:p>
    <w:p w14:paraId="689B2FE9" w14:textId="37340A5E" w:rsidR="00B44386" w:rsidRPr="00D162EE" w:rsidRDefault="00B44386" w:rsidP="006856E3">
      <w:pPr>
        <w:pStyle w:val="BodyText"/>
      </w:pPr>
      <w:r w:rsidRPr="00D162EE">
        <w:t>A freshwater hearings panel must provide written recommendations to the relevant council on the freshwater planning instrument, no later than 40 working days before the two year period from publicly notifying the proposed instrument expires</w:t>
      </w:r>
      <w:r w:rsidR="00FF46AC" w:rsidRPr="00D162EE">
        <w:t xml:space="preserve"> (clause 5</w:t>
      </w:r>
      <w:r w:rsidR="00E2460C" w:rsidRPr="00D162EE">
        <w:t>1</w:t>
      </w:r>
      <w:r w:rsidR="00FF46AC" w:rsidRPr="00D162EE">
        <w:t>)</w:t>
      </w:r>
      <w:r w:rsidRPr="00D162EE">
        <w:t>.</w:t>
      </w:r>
    </w:p>
    <w:p w14:paraId="305287E5" w14:textId="61E69226" w:rsidR="00195C93" w:rsidRPr="00D162EE" w:rsidRDefault="00195C93" w:rsidP="00CB1B19">
      <w:pPr>
        <w:pStyle w:val="Heading3"/>
        <w:spacing w:before="280"/>
      </w:pPr>
      <w:bookmarkStart w:id="60" w:name="_Toc50020656"/>
      <w:r w:rsidRPr="00D162EE">
        <w:t>Freshwater hearings panels can request an extension to the recommendations report timeframe</w:t>
      </w:r>
      <w:bookmarkEnd w:id="60"/>
    </w:p>
    <w:p w14:paraId="5129B61F" w14:textId="01A8D54C" w:rsidR="00195C93" w:rsidRPr="00D162EE" w:rsidRDefault="006363F4" w:rsidP="006856E3">
      <w:pPr>
        <w:pStyle w:val="BodyText"/>
      </w:pPr>
      <w:r w:rsidRPr="00D162EE">
        <w:t xml:space="preserve">As a freshwater hearing progresses, it may be become evident to the panel that the time required to hear submitters or to deliberate on the evidence and prepare recommendations will exceed the required timeframe. </w:t>
      </w:r>
      <w:r w:rsidR="00FF46AC" w:rsidRPr="00D162EE">
        <w:t>Clause 47</w:t>
      </w:r>
      <w:r w:rsidRPr="00D162EE">
        <w:t xml:space="preserve"> provides the ability for the chair </w:t>
      </w:r>
      <w:r w:rsidR="00195C93" w:rsidRPr="00D162EE">
        <w:t>of a freshwater hearings panel</w:t>
      </w:r>
      <w:r w:rsidRPr="00D162EE">
        <w:t xml:space="preserve"> to seek an extension from the Chief for providing its recommendations report. </w:t>
      </w:r>
      <w:r w:rsidRPr="00D162EE">
        <w:rPr>
          <w:rFonts w:eastAsia="Calibri"/>
          <w:lang w:eastAsia="en-US"/>
        </w:rPr>
        <w:t xml:space="preserve">Refer to </w:t>
      </w:r>
      <w:hyperlink w:anchor="_Requesting_an_extension" w:history="1">
        <w:r w:rsidRPr="00D162EE">
          <w:rPr>
            <w:rStyle w:val="Hyperlink"/>
            <w:rFonts w:eastAsia="Calibri"/>
            <w:lang w:eastAsia="en-US"/>
          </w:rPr>
          <w:t>Requesting an extension to the timeframes</w:t>
        </w:r>
      </w:hyperlink>
      <w:r w:rsidRPr="00D162EE">
        <w:rPr>
          <w:rFonts w:eastAsia="Calibri"/>
          <w:lang w:eastAsia="en-US"/>
        </w:rPr>
        <w:t xml:space="preserve"> for further information.</w:t>
      </w:r>
    </w:p>
    <w:p w14:paraId="37881B01" w14:textId="5FFF9DB2" w:rsidR="00D25566" w:rsidRPr="00D162EE" w:rsidRDefault="002F641E" w:rsidP="00CB1B19">
      <w:pPr>
        <w:pStyle w:val="Heading2"/>
        <w:spacing w:before="320"/>
        <w:rPr>
          <w:rFonts w:eastAsia="Calibri"/>
          <w:lang w:eastAsia="en-US"/>
        </w:rPr>
      </w:pPr>
      <w:bookmarkStart w:id="61" w:name="_Toc50020657"/>
      <w:bookmarkStart w:id="62" w:name="_Toc50469805"/>
      <w:r w:rsidRPr="00D162EE">
        <w:rPr>
          <w:rFonts w:eastAsia="Calibri"/>
          <w:lang w:eastAsia="en-US"/>
        </w:rPr>
        <w:t xml:space="preserve">Step 5: </w:t>
      </w:r>
      <w:r w:rsidR="00D25566" w:rsidRPr="00D162EE">
        <w:rPr>
          <w:rFonts w:eastAsia="Calibri"/>
          <w:lang w:eastAsia="en-US"/>
        </w:rPr>
        <w:t xml:space="preserve">Regional council </w:t>
      </w:r>
      <w:r w:rsidR="00195C93" w:rsidRPr="00D162EE">
        <w:rPr>
          <w:rFonts w:eastAsia="Calibri"/>
          <w:lang w:eastAsia="en-US"/>
        </w:rPr>
        <w:t xml:space="preserve">considers </w:t>
      </w:r>
      <w:r w:rsidR="00195C93" w:rsidRPr="00D162EE">
        <w:t>recommendations</w:t>
      </w:r>
      <w:r w:rsidR="00195C93" w:rsidRPr="00D162EE">
        <w:rPr>
          <w:rFonts w:eastAsia="Calibri"/>
          <w:lang w:eastAsia="en-US"/>
        </w:rPr>
        <w:t xml:space="preserve"> and</w:t>
      </w:r>
      <w:r w:rsidR="006856E3" w:rsidRPr="00D162EE">
        <w:rPr>
          <w:rFonts w:eastAsia="Calibri"/>
          <w:lang w:eastAsia="en-US"/>
        </w:rPr>
        <w:t> </w:t>
      </w:r>
      <w:r w:rsidR="00D25566" w:rsidRPr="00D162EE">
        <w:rPr>
          <w:rFonts w:eastAsia="Calibri"/>
          <w:lang w:eastAsia="en-US"/>
        </w:rPr>
        <w:t>publicly notifies decisions</w:t>
      </w:r>
      <w:bookmarkEnd w:id="61"/>
      <w:bookmarkEnd w:id="62"/>
    </w:p>
    <w:p w14:paraId="7BF7D33F" w14:textId="51F6487E" w:rsidR="00B42D70" w:rsidRPr="00D162EE" w:rsidRDefault="00B42D70" w:rsidP="00CB1B19">
      <w:pPr>
        <w:pStyle w:val="BodyText"/>
        <w:spacing w:after="100"/>
      </w:pPr>
      <w:r w:rsidRPr="00D162EE">
        <w:rPr>
          <w:rFonts w:eastAsia="Calibri"/>
          <w:lang w:eastAsia="en-US"/>
        </w:rPr>
        <w:t xml:space="preserve">A regional </w:t>
      </w:r>
      <w:r w:rsidR="00D25566" w:rsidRPr="00D162EE">
        <w:rPr>
          <w:rFonts w:eastAsia="Calibri"/>
          <w:lang w:eastAsia="en-US"/>
        </w:rPr>
        <w:t xml:space="preserve">council </w:t>
      </w:r>
      <w:r w:rsidRPr="00D162EE">
        <w:rPr>
          <w:rFonts w:eastAsia="Calibri"/>
          <w:lang w:eastAsia="en-US"/>
        </w:rPr>
        <w:t xml:space="preserve">has 40 working days to consider the recommendations of the freshwater hearings </w:t>
      </w:r>
      <w:r w:rsidRPr="00D162EE">
        <w:t>panel and publicly notify its decisions on them</w:t>
      </w:r>
      <w:r w:rsidR="00920325" w:rsidRPr="00D162EE">
        <w:t xml:space="preserve"> (clause 52)</w:t>
      </w:r>
      <w:r w:rsidRPr="00D162EE">
        <w:t xml:space="preserve">. </w:t>
      </w:r>
      <w:r w:rsidR="00942B8E" w:rsidRPr="00D162EE">
        <w:t>The council must also notify the availability of the recommendations report at the same time.</w:t>
      </w:r>
    </w:p>
    <w:p w14:paraId="3F1EDDBC" w14:textId="77777777" w:rsidR="00920325" w:rsidRPr="00D162EE" w:rsidRDefault="005F0BA2" w:rsidP="00CB1B19">
      <w:pPr>
        <w:pStyle w:val="BodyText"/>
        <w:spacing w:after="100"/>
      </w:pPr>
      <w:r w:rsidRPr="00D162EE">
        <w:t xml:space="preserve">In considering the report, a </w:t>
      </w:r>
      <w:r w:rsidR="00942B8E" w:rsidRPr="00D162EE">
        <w:t>regional council</w:t>
      </w:r>
      <w:r w:rsidR="00D25566" w:rsidRPr="00D162EE">
        <w:t xml:space="preserve"> must decide whether to accept or reject each recommendation. </w:t>
      </w:r>
    </w:p>
    <w:p w14:paraId="621C77E6" w14:textId="77777777" w:rsidR="00350A36" w:rsidRPr="00D162EE" w:rsidRDefault="00D25566" w:rsidP="00CB1B19">
      <w:pPr>
        <w:pStyle w:val="BodyText"/>
        <w:spacing w:after="100"/>
      </w:pPr>
      <w:r w:rsidRPr="00D162EE">
        <w:t xml:space="preserve">For </w:t>
      </w:r>
      <w:r w:rsidR="00942B8E" w:rsidRPr="00D162EE">
        <w:t>every</w:t>
      </w:r>
      <w:r w:rsidRPr="00D162EE">
        <w:t xml:space="preserve"> recommendation it rejects, the council must decide an alternative solution. </w:t>
      </w:r>
      <w:r w:rsidR="00920325" w:rsidRPr="00D162EE">
        <w:t>Where the regional council proposes an alternative solution, it must provide an assessment of each alternative solution in the further evaluation report required under section 32AA.</w:t>
      </w:r>
      <w:r w:rsidR="00350A36" w:rsidRPr="00D162EE">
        <w:t xml:space="preserve"> Where it rejects a recommendation that is outside the scope of submissions, the alternative solution it provides may also be outside the scope of submissions.</w:t>
      </w:r>
    </w:p>
    <w:p w14:paraId="6F2A4525" w14:textId="4E6F1E4C" w:rsidR="00D25566" w:rsidRPr="00D162EE" w:rsidRDefault="00D25566" w:rsidP="00CB1B19">
      <w:pPr>
        <w:pStyle w:val="BodyText"/>
        <w:spacing w:after="100"/>
        <w:rPr>
          <w:rFonts w:eastAsia="Calibri"/>
          <w:lang w:eastAsia="en-US"/>
        </w:rPr>
      </w:pPr>
      <w:r w:rsidRPr="00D162EE">
        <w:t>When making its decisions</w:t>
      </w:r>
      <w:r w:rsidRPr="00D162EE">
        <w:rPr>
          <w:rFonts w:eastAsia="Calibri"/>
          <w:lang w:eastAsia="en-US"/>
        </w:rPr>
        <w:t xml:space="preserve">, the </w:t>
      </w:r>
      <w:r w:rsidR="00B42D70" w:rsidRPr="00D162EE">
        <w:rPr>
          <w:rFonts w:eastAsia="Calibri"/>
          <w:lang w:eastAsia="en-US"/>
        </w:rPr>
        <w:t xml:space="preserve">regional </w:t>
      </w:r>
      <w:r w:rsidRPr="00D162EE">
        <w:rPr>
          <w:rFonts w:eastAsia="Calibri"/>
          <w:lang w:eastAsia="en-US"/>
        </w:rPr>
        <w:t>council:</w:t>
      </w:r>
    </w:p>
    <w:p w14:paraId="43AB8CFC" w14:textId="7BA00756" w:rsidR="00D25566" w:rsidRPr="00D162EE" w:rsidRDefault="00D25566" w:rsidP="00CB1B19">
      <w:pPr>
        <w:pStyle w:val="Bullet"/>
        <w:spacing w:after="100"/>
      </w:pPr>
      <w:r w:rsidRPr="00D162EE">
        <w:t>is not required to consult any person or consider submissions or other evidence from any</w:t>
      </w:r>
      <w:r w:rsidR="008B69B5">
        <w:t> </w:t>
      </w:r>
      <w:r w:rsidRPr="00D162EE">
        <w:t>persons</w:t>
      </w:r>
    </w:p>
    <w:p w14:paraId="274C72CB" w14:textId="77777777" w:rsidR="00D25566" w:rsidRPr="00D162EE" w:rsidRDefault="00D25566" w:rsidP="00CB1B19">
      <w:pPr>
        <w:pStyle w:val="Bullet"/>
        <w:spacing w:after="100"/>
      </w:pPr>
      <w:r w:rsidRPr="00D162EE">
        <w:t>must not consider any submissions or other evidence unless it was made available to the freshwater hearings panel before the panel made its recommendations</w:t>
      </w:r>
    </w:p>
    <w:p w14:paraId="3ADCA805" w14:textId="3E80915A" w:rsidR="00D25566" w:rsidRPr="00D162EE" w:rsidRDefault="00D25566" w:rsidP="006856E3">
      <w:pPr>
        <w:pStyle w:val="Bullet"/>
      </w:pPr>
      <w:r w:rsidRPr="00D162EE">
        <w:t xml:space="preserve">must make decisions in a manner that is consistent with any relevant requirements of any iwi participation legislation, </w:t>
      </w:r>
      <w:r w:rsidR="00B42D70" w:rsidRPr="00D162EE">
        <w:t xml:space="preserve">joint management agreement or </w:t>
      </w:r>
      <w:r w:rsidRPr="00D162EE">
        <w:t xml:space="preserve">Mana Whakahono ā Rohe. </w:t>
      </w:r>
    </w:p>
    <w:p w14:paraId="76E02826" w14:textId="1ACC181B" w:rsidR="00C43C28" w:rsidRPr="00D162EE" w:rsidRDefault="00ED4B98" w:rsidP="00CB1B19">
      <w:pPr>
        <w:pStyle w:val="Heading3"/>
        <w:spacing w:before="280"/>
      </w:pPr>
      <w:bookmarkStart w:id="63" w:name="_Toc50020658"/>
      <w:r w:rsidRPr="00D162EE">
        <w:t>R</w:t>
      </w:r>
      <w:r w:rsidR="00C43C28" w:rsidRPr="00D162EE">
        <w:t>egional council</w:t>
      </w:r>
      <w:r w:rsidRPr="00D162EE">
        <w:t>s</w:t>
      </w:r>
      <w:r w:rsidR="00C43C28" w:rsidRPr="00D162EE">
        <w:t xml:space="preserve"> can request an extension to the 40 working day timeframe to notify decisions</w:t>
      </w:r>
      <w:bookmarkEnd w:id="63"/>
    </w:p>
    <w:p w14:paraId="67DE60B0" w14:textId="2B26C2F8" w:rsidR="00D25566" w:rsidRPr="00D162EE" w:rsidRDefault="00074880" w:rsidP="006856E3">
      <w:pPr>
        <w:pStyle w:val="BodyText"/>
        <w:rPr>
          <w:rFonts w:eastAsia="Calibri"/>
          <w:lang w:eastAsia="en-US"/>
        </w:rPr>
      </w:pPr>
      <w:r w:rsidRPr="00D162EE">
        <w:rPr>
          <w:rFonts w:eastAsia="Calibri"/>
          <w:lang w:eastAsia="en-US"/>
        </w:rPr>
        <w:t xml:space="preserve">There may be situations </w:t>
      </w:r>
      <w:r w:rsidR="00C43C28" w:rsidRPr="00D162EE">
        <w:rPr>
          <w:rFonts w:eastAsia="Calibri"/>
          <w:lang w:eastAsia="en-US"/>
        </w:rPr>
        <w:t>where</w:t>
      </w:r>
      <w:r w:rsidRPr="00D162EE">
        <w:rPr>
          <w:rFonts w:eastAsia="Calibri"/>
          <w:lang w:eastAsia="en-US"/>
        </w:rPr>
        <w:t xml:space="preserve"> a regional council foresees it will require longer than 40</w:t>
      </w:r>
      <w:r w:rsidR="006856E3" w:rsidRPr="00D162EE">
        <w:rPr>
          <w:rFonts w:eastAsia="Calibri"/>
          <w:lang w:eastAsia="en-US"/>
        </w:rPr>
        <w:t> </w:t>
      </w:r>
      <w:r w:rsidRPr="00D162EE">
        <w:rPr>
          <w:rFonts w:eastAsia="Calibri"/>
          <w:lang w:eastAsia="en-US"/>
        </w:rPr>
        <w:t xml:space="preserve">working days to make decisions. For example, if the freshwater hearings panel has indicated that it will make a number of recommendations that are outside the scope of submissions, or </w:t>
      </w:r>
      <w:r w:rsidRPr="00D162EE">
        <w:rPr>
          <w:rFonts w:eastAsia="Calibri"/>
          <w:lang w:eastAsia="en-US"/>
        </w:rPr>
        <w:lastRenderedPageBreak/>
        <w:t xml:space="preserve">through the hearing the council becomes aware of possible recommendations that it would like to </w:t>
      </w:r>
      <w:r w:rsidR="0042251E" w:rsidRPr="00D162EE">
        <w:rPr>
          <w:rFonts w:eastAsia="Calibri"/>
          <w:lang w:eastAsia="en-US"/>
        </w:rPr>
        <w:t>investigate</w:t>
      </w:r>
      <w:r w:rsidRPr="00D162EE">
        <w:rPr>
          <w:rFonts w:eastAsia="Calibri"/>
          <w:lang w:eastAsia="en-US"/>
        </w:rPr>
        <w:t xml:space="preserve"> in </w:t>
      </w:r>
      <w:r w:rsidR="0042251E" w:rsidRPr="00D162EE">
        <w:rPr>
          <w:rFonts w:eastAsia="Calibri"/>
          <w:lang w:eastAsia="en-US"/>
        </w:rPr>
        <w:t xml:space="preserve">more </w:t>
      </w:r>
      <w:r w:rsidRPr="00D162EE">
        <w:rPr>
          <w:rFonts w:eastAsia="Calibri"/>
          <w:lang w:eastAsia="en-US"/>
        </w:rPr>
        <w:t xml:space="preserve">detail. </w:t>
      </w:r>
      <w:r w:rsidR="00D25566" w:rsidRPr="00D162EE">
        <w:rPr>
          <w:rFonts w:eastAsia="Calibri"/>
          <w:lang w:eastAsia="en-US"/>
        </w:rPr>
        <w:t>If a regiona</w:t>
      </w:r>
      <w:r w:rsidR="003D5CD5" w:rsidRPr="00D162EE">
        <w:rPr>
          <w:rFonts w:eastAsia="Calibri"/>
          <w:lang w:eastAsia="en-US"/>
        </w:rPr>
        <w:t xml:space="preserve">l council anticipates that it will require </w:t>
      </w:r>
      <w:r w:rsidRPr="00D162EE">
        <w:rPr>
          <w:rFonts w:eastAsia="Calibri"/>
          <w:lang w:eastAsia="en-US"/>
        </w:rPr>
        <w:t>longer</w:t>
      </w:r>
      <w:r w:rsidR="00350A36" w:rsidRPr="00D162EE">
        <w:rPr>
          <w:rFonts w:eastAsia="Calibri"/>
          <w:lang w:eastAsia="en-US"/>
        </w:rPr>
        <w:t xml:space="preserve"> to make a decision</w:t>
      </w:r>
      <w:r w:rsidRPr="00D162EE">
        <w:rPr>
          <w:rFonts w:eastAsia="Calibri"/>
          <w:lang w:eastAsia="en-US"/>
        </w:rPr>
        <w:t xml:space="preserve">, </w:t>
      </w:r>
      <w:r w:rsidR="003D5CD5" w:rsidRPr="00D162EE">
        <w:rPr>
          <w:rFonts w:eastAsia="Calibri"/>
          <w:lang w:eastAsia="en-US"/>
        </w:rPr>
        <w:t xml:space="preserve">it </w:t>
      </w:r>
      <w:r w:rsidR="005F0BA2" w:rsidRPr="00D162EE">
        <w:rPr>
          <w:rFonts w:eastAsia="Calibri"/>
          <w:lang w:eastAsia="en-US"/>
        </w:rPr>
        <w:t>should</w:t>
      </w:r>
      <w:r w:rsidR="003D5CD5" w:rsidRPr="00D162EE">
        <w:rPr>
          <w:rFonts w:eastAsia="Calibri"/>
          <w:lang w:eastAsia="en-US"/>
        </w:rPr>
        <w:t xml:space="preserve"> </w:t>
      </w:r>
      <w:r w:rsidR="00684A73" w:rsidRPr="00D162EE">
        <w:rPr>
          <w:rFonts w:eastAsia="Calibri"/>
          <w:lang w:eastAsia="en-US"/>
        </w:rPr>
        <w:t>raise</w:t>
      </w:r>
      <w:r w:rsidR="003D5CD5" w:rsidRPr="00D162EE">
        <w:rPr>
          <w:rFonts w:eastAsia="Calibri"/>
          <w:lang w:eastAsia="en-US"/>
        </w:rPr>
        <w:t xml:space="preserve"> this</w:t>
      </w:r>
      <w:r w:rsidR="00350A36" w:rsidRPr="00D162EE">
        <w:rPr>
          <w:rFonts w:eastAsia="Calibri"/>
          <w:lang w:eastAsia="en-US"/>
        </w:rPr>
        <w:t xml:space="preserve"> as soon as possible with the Chief, who will consider whether to grant an extension under clause 47</w:t>
      </w:r>
      <w:r w:rsidR="008C55F6" w:rsidRPr="00D162EE">
        <w:rPr>
          <w:rFonts w:eastAsia="Calibri"/>
          <w:lang w:eastAsia="en-US"/>
        </w:rPr>
        <w:t>. Total extensions granted by the Chief cannot</w:t>
      </w:r>
      <w:r w:rsidR="006856E3" w:rsidRPr="00D162EE">
        <w:rPr>
          <w:rFonts w:eastAsia="Calibri"/>
          <w:lang w:eastAsia="en-US"/>
        </w:rPr>
        <w:t> </w:t>
      </w:r>
      <w:r w:rsidR="00C27D16" w:rsidRPr="00D162EE">
        <w:rPr>
          <w:rFonts w:eastAsia="Calibri"/>
          <w:lang w:eastAsia="en-US"/>
        </w:rPr>
        <w:t>exceed 12 months</w:t>
      </w:r>
      <w:r w:rsidRPr="00D162EE">
        <w:rPr>
          <w:rFonts w:eastAsia="Calibri"/>
          <w:lang w:eastAsia="en-US"/>
        </w:rPr>
        <w:t xml:space="preserve">. </w:t>
      </w:r>
      <w:r w:rsidR="005F0BA2" w:rsidRPr="00D162EE">
        <w:rPr>
          <w:rFonts w:eastAsia="Calibri"/>
          <w:lang w:eastAsia="en-US"/>
        </w:rPr>
        <w:t xml:space="preserve">Refer to </w:t>
      </w:r>
      <w:hyperlink w:anchor="_Requesting_an_extension" w:history="1">
        <w:r w:rsidR="00684A73" w:rsidRPr="00D162EE">
          <w:rPr>
            <w:rStyle w:val="Hyperlink"/>
          </w:rPr>
          <w:t>Requesting an extension to the timeframes</w:t>
        </w:r>
      </w:hyperlink>
      <w:r w:rsidR="005F0BA2" w:rsidRPr="00D162EE">
        <w:rPr>
          <w:rFonts w:eastAsia="Calibri"/>
          <w:lang w:eastAsia="en-US"/>
        </w:rPr>
        <w:t xml:space="preserve"> for further</w:t>
      </w:r>
      <w:r w:rsidR="006856E3" w:rsidRPr="00D162EE">
        <w:rPr>
          <w:rFonts w:eastAsia="Calibri"/>
          <w:lang w:eastAsia="en-US"/>
        </w:rPr>
        <w:t> </w:t>
      </w:r>
      <w:r w:rsidR="005F0BA2" w:rsidRPr="00D162EE">
        <w:rPr>
          <w:rFonts w:eastAsia="Calibri"/>
          <w:lang w:eastAsia="en-US"/>
        </w:rPr>
        <w:t>information.</w:t>
      </w:r>
    </w:p>
    <w:p w14:paraId="7F988DF5" w14:textId="1C160A04" w:rsidR="00C43C28" w:rsidRPr="00D162EE" w:rsidRDefault="005C527E" w:rsidP="006856E3">
      <w:pPr>
        <w:pStyle w:val="Heading3"/>
      </w:pPr>
      <w:bookmarkStart w:id="64" w:name="_Toc50020659"/>
      <w:r w:rsidRPr="00D162EE">
        <w:t>Notifying</w:t>
      </w:r>
      <w:r w:rsidR="00C43C28" w:rsidRPr="00D162EE">
        <w:t xml:space="preserve"> decision</w:t>
      </w:r>
      <w:r w:rsidRPr="00D162EE">
        <w:t>s</w:t>
      </w:r>
      <w:bookmarkEnd w:id="64"/>
    </w:p>
    <w:p w14:paraId="4303F09A" w14:textId="45D2187C" w:rsidR="00C43C28" w:rsidRPr="00D162EE" w:rsidRDefault="008D20C8" w:rsidP="006856E3">
      <w:pPr>
        <w:pStyle w:val="BodyText"/>
      </w:pPr>
      <w:r w:rsidRPr="00D162EE">
        <w:t>R</w:t>
      </w:r>
      <w:r w:rsidR="00936149" w:rsidRPr="00D162EE">
        <w:t xml:space="preserve">egional councils are required to </w:t>
      </w:r>
      <w:r w:rsidR="005C527E" w:rsidRPr="00D162EE">
        <w:t xml:space="preserve">publicly </w:t>
      </w:r>
      <w:r w:rsidRPr="00D162EE">
        <w:t xml:space="preserve">notify decisions within the same </w:t>
      </w:r>
      <w:r w:rsidR="005C527E" w:rsidRPr="00D162EE">
        <w:t>40 working day timeframe (clause 52(5)-(8))</w:t>
      </w:r>
      <w:r w:rsidR="00936149" w:rsidRPr="00D162EE">
        <w:t xml:space="preserve">. </w:t>
      </w:r>
      <w:r w:rsidR="005C527E" w:rsidRPr="00D162EE">
        <w:t>On notification, t</w:t>
      </w:r>
      <w:r w:rsidR="00C43C28" w:rsidRPr="00D162EE">
        <w:t xml:space="preserve">he freshwater planning instrument </w:t>
      </w:r>
      <w:r w:rsidR="005C527E" w:rsidRPr="00D162EE">
        <w:t>will be</w:t>
      </w:r>
      <w:r w:rsidR="00C43C28" w:rsidRPr="00D162EE">
        <w:t xml:space="preserve"> considered amended in accordance with the decision</w:t>
      </w:r>
      <w:r w:rsidR="005C527E" w:rsidRPr="00D162EE">
        <w:t>s</w:t>
      </w:r>
      <w:r w:rsidR="006363F4" w:rsidRPr="00D162EE">
        <w:t>.</w:t>
      </w:r>
    </w:p>
    <w:p w14:paraId="08DE94C8" w14:textId="4FE6E7E8" w:rsidR="008D20C8" w:rsidRPr="00D162EE" w:rsidRDefault="008D20C8" w:rsidP="006856E3">
      <w:pPr>
        <w:pStyle w:val="BodyText"/>
      </w:pPr>
      <w:r w:rsidRPr="00D162EE">
        <w:t>Regi</w:t>
      </w:r>
      <w:r w:rsidR="005C527E" w:rsidRPr="00D162EE">
        <w:t>onal councils must also public</w:t>
      </w:r>
      <w:r w:rsidRPr="00D162EE">
        <w:t>ly notify the availability of the freshwater hearings panels’ report</w:t>
      </w:r>
      <w:r w:rsidR="006363F4" w:rsidRPr="00D162EE">
        <w:t>(</w:t>
      </w:r>
      <w:r w:rsidRPr="00D162EE">
        <w:t>s</w:t>
      </w:r>
      <w:r w:rsidR="006363F4" w:rsidRPr="00D162EE">
        <w:t>)</w:t>
      </w:r>
      <w:r w:rsidRPr="00D162EE">
        <w:t xml:space="preserve"> and where the report and decisions can be</w:t>
      </w:r>
      <w:r w:rsidR="006363F4" w:rsidRPr="00D162EE">
        <w:t xml:space="preserve"> viewed or accessed</w:t>
      </w:r>
      <w:r w:rsidRPr="00D162EE">
        <w:t>.</w:t>
      </w:r>
    </w:p>
    <w:p w14:paraId="5930350D" w14:textId="604569BC" w:rsidR="00D25566" w:rsidRPr="00D162EE" w:rsidRDefault="002F641E" w:rsidP="006856E3">
      <w:pPr>
        <w:pStyle w:val="Heading2"/>
      </w:pPr>
      <w:bookmarkStart w:id="65" w:name="_Toc50020660"/>
      <w:bookmarkStart w:id="66" w:name="_Toc50469806"/>
      <w:r w:rsidRPr="00D162EE">
        <w:rPr>
          <w:rFonts w:eastAsia="Calibri"/>
          <w:lang w:eastAsia="en-US"/>
        </w:rPr>
        <w:t xml:space="preserve">Step 6: </w:t>
      </w:r>
      <w:r w:rsidR="00D25566" w:rsidRPr="00D162EE">
        <w:rPr>
          <w:rFonts w:eastAsia="Calibri"/>
          <w:lang w:eastAsia="en-US"/>
        </w:rPr>
        <w:t>Right of appeal</w:t>
      </w:r>
      <w:bookmarkEnd w:id="65"/>
      <w:bookmarkEnd w:id="66"/>
    </w:p>
    <w:p w14:paraId="4AE316EF" w14:textId="34F4B960" w:rsidR="00A054C5" w:rsidRPr="00D162EE" w:rsidRDefault="00A054C5" w:rsidP="006856E3">
      <w:pPr>
        <w:pStyle w:val="BodyText"/>
      </w:pPr>
      <w:r w:rsidRPr="00D162EE">
        <w:rPr>
          <w:rFonts w:eastAsia="Calibri"/>
          <w:lang w:eastAsia="en-US"/>
        </w:rPr>
        <w:t xml:space="preserve">The right of </w:t>
      </w:r>
      <w:r w:rsidRPr="00D162EE">
        <w:t xml:space="preserve">appeal is </w:t>
      </w:r>
      <w:r w:rsidR="0033685C" w:rsidRPr="00D162EE">
        <w:t xml:space="preserve">restricted </w:t>
      </w:r>
      <w:r w:rsidR="00D93774" w:rsidRPr="00D162EE">
        <w:t xml:space="preserve">to certain circumstances </w:t>
      </w:r>
      <w:r w:rsidRPr="00D162EE">
        <w:t>under FPP compared to the standard plan-making process</w:t>
      </w:r>
      <w:r w:rsidR="004034A5" w:rsidRPr="00D162EE">
        <w:t xml:space="preserve"> (clauses 54-56)</w:t>
      </w:r>
      <w:r w:rsidRPr="00D162EE">
        <w:t xml:space="preserve">. Figure </w:t>
      </w:r>
      <w:r w:rsidR="006A1A22" w:rsidRPr="00D162EE">
        <w:t>3</w:t>
      </w:r>
      <w:r w:rsidRPr="00D162EE">
        <w:t xml:space="preserve"> illustrates the avenues for appeal and judicial review.</w:t>
      </w:r>
    </w:p>
    <w:p w14:paraId="4542E51E" w14:textId="74515F32" w:rsidR="00AD6857" w:rsidRPr="00D162EE" w:rsidRDefault="0042251E" w:rsidP="006856E3">
      <w:pPr>
        <w:pStyle w:val="BodyText"/>
        <w:rPr>
          <w:rFonts w:eastAsia="Calibri"/>
          <w:lang w:eastAsia="en-US"/>
        </w:rPr>
      </w:pPr>
      <w:r w:rsidRPr="00D162EE">
        <w:t>Avenues for a</w:t>
      </w:r>
      <w:r w:rsidRPr="00D162EE">
        <w:rPr>
          <w:rFonts w:eastAsia="Calibri"/>
          <w:lang w:eastAsia="en-US"/>
        </w:rPr>
        <w:t xml:space="preserve">ppeal depend on whether the regional council accepts or rejects the panel’s recommendation. Where a regional council </w:t>
      </w:r>
      <w:r w:rsidRPr="00D162EE">
        <w:rPr>
          <w:rFonts w:eastAsia="Calibri"/>
          <w:i/>
          <w:lang w:eastAsia="en-US"/>
        </w:rPr>
        <w:t>accepts a recommendation</w:t>
      </w:r>
      <w:r w:rsidRPr="00D162EE">
        <w:rPr>
          <w:rFonts w:eastAsia="Calibri"/>
          <w:lang w:eastAsia="en-US"/>
        </w:rPr>
        <w:t>, an appeal is available to the High Court on a point of law</w:t>
      </w:r>
      <w:r w:rsidR="00102F7C" w:rsidRPr="00D162EE">
        <w:rPr>
          <w:rFonts w:eastAsia="Calibri"/>
          <w:lang w:eastAsia="en-US"/>
        </w:rPr>
        <w:t xml:space="preserve"> only</w:t>
      </w:r>
      <w:r w:rsidRPr="00D162EE">
        <w:rPr>
          <w:rFonts w:eastAsia="Calibri"/>
          <w:lang w:eastAsia="en-US"/>
        </w:rPr>
        <w:t>, and a further appeal to the Court of Appeal (s</w:t>
      </w:r>
      <w:r w:rsidR="00AD6857" w:rsidRPr="00D162EE">
        <w:rPr>
          <w:rFonts w:eastAsia="Calibri"/>
          <w:lang w:eastAsia="en-US"/>
        </w:rPr>
        <w:t>ubject to leave being granted). There is no avenue of appeal to the Supreme Court (clause 54(2)).</w:t>
      </w:r>
    </w:p>
    <w:p w14:paraId="4289B7F9" w14:textId="77F9B2DF" w:rsidR="0042251E" w:rsidRPr="00D162EE" w:rsidRDefault="0042251E" w:rsidP="006856E3">
      <w:pPr>
        <w:pStyle w:val="BodyText"/>
        <w:rPr>
          <w:rFonts w:eastAsia="Calibri"/>
          <w:lang w:eastAsia="en-US"/>
        </w:rPr>
      </w:pPr>
      <w:r w:rsidRPr="00D162EE">
        <w:rPr>
          <w:rFonts w:eastAsia="Calibri"/>
          <w:lang w:eastAsia="en-US"/>
        </w:rPr>
        <w:t xml:space="preserve">Where a council </w:t>
      </w:r>
      <w:r w:rsidRPr="00D162EE">
        <w:rPr>
          <w:rFonts w:eastAsia="Calibri"/>
          <w:i/>
          <w:lang w:eastAsia="en-US"/>
        </w:rPr>
        <w:t>rejects the panel’s recommendation</w:t>
      </w:r>
      <w:r w:rsidRPr="00D162EE">
        <w:rPr>
          <w:rFonts w:eastAsia="Calibri"/>
          <w:lang w:eastAsia="en-US"/>
        </w:rPr>
        <w:t xml:space="preserve">, a merit appeal is available to the Environment Court, and a further appeal on a point of law to the High Court. </w:t>
      </w:r>
      <w:r w:rsidRPr="00D162EE">
        <w:t>There</w:t>
      </w:r>
      <w:r w:rsidRPr="00D162EE">
        <w:rPr>
          <w:rFonts w:eastAsia="Calibri"/>
          <w:lang w:eastAsia="en-US"/>
        </w:rPr>
        <w:t xml:space="preserve"> is no avenue of appeal to the</w:t>
      </w:r>
      <w:r w:rsidR="00C27D16" w:rsidRPr="00D162EE">
        <w:rPr>
          <w:rFonts w:eastAsia="Calibri"/>
          <w:lang w:eastAsia="en-US"/>
        </w:rPr>
        <w:t xml:space="preserve"> Court of Appeal</w:t>
      </w:r>
      <w:r w:rsidR="00AD6857" w:rsidRPr="00D162EE">
        <w:rPr>
          <w:rFonts w:eastAsia="Calibri"/>
          <w:lang w:eastAsia="en-US"/>
        </w:rPr>
        <w:t xml:space="preserve"> (clause 55(4)(a))</w:t>
      </w:r>
      <w:r w:rsidR="00C27D16" w:rsidRPr="00D162EE">
        <w:rPr>
          <w:rFonts w:eastAsia="Calibri"/>
          <w:lang w:eastAsia="en-US"/>
        </w:rPr>
        <w:t xml:space="preserve"> or the</w:t>
      </w:r>
      <w:r w:rsidRPr="00D162EE">
        <w:rPr>
          <w:rFonts w:eastAsia="Calibri"/>
          <w:lang w:eastAsia="en-US"/>
        </w:rPr>
        <w:t xml:space="preserve"> Supreme Court</w:t>
      </w:r>
      <w:r w:rsidR="00AD6857" w:rsidRPr="00D162EE">
        <w:rPr>
          <w:rFonts w:eastAsia="Calibri"/>
          <w:lang w:eastAsia="en-US"/>
        </w:rPr>
        <w:t xml:space="preserve"> (clause 54(2))</w:t>
      </w:r>
      <w:r w:rsidRPr="00D162EE">
        <w:rPr>
          <w:rFonts w:eastAsia="Calibri"/>
          <w:lang w:eastAsia="en-US"/>
        </w:rPr>
        <w:t>.</w:t>
      </w:r>
    </w:p>
    <w:p w14:paraId="7D84D7CF" w14:textId="77777777" w:rsidR="004034A5" w:rsidRPr="00D162EE" w:rsidRDefault="008B0103" w:rsidP="0042251E">
      <w:pPr>
        <w:pStyle w:val="BodyText"/>
        <w:rPr>
          <w:rFonts w:eastAsia="Calibri"/>
          <w:lang w:eastAsia="en-US"/>
        </w:rPr>
      </w:pPr>
      <w:r w:rsidRPr="00D162EE">
        <w:rPr>
          <w:rFonts w:eastAsia="Calibri"/>
          <w:lang w:eastAsia="en-US"/>
        </w:rPr>
        <w:t>Appeals are available to people who made a submission or further submission on the</w:t>
      </w:r>
      <w:r w:rsidR="004034A5" w:rsidRPr="00D162EE">
        <w:rPr>
          <w:rFonts w:eastAsia="Calibri"/>
          <w:lang w:eastAsia="en-US"/>
        </w:rPr>
        <w:t xml:space="preserve"> freshwater planning instrument:</w:t>
      </w:r>
    </w:p>
    <w:p w14:paraId="5577E045" w14:textId="63DF69F9" w:rsidR="004034A5" w:rsidRPr="00D162EE" w:rsidRDefault="0015102F" w:rsidP="006856E3">
      <w:pPr>
        <w:pStyle w:val="Bullet"/>
      </w:pPr>
      <w:r>
        <w:t>w</w:t>
      </w:r>
      <w:r w:rsidR="008B0103" w:rsidRPr="00D162EE">
        <w:t>here a panel makes a recommendation that is</w:t>
      </w:r>
      <w:r w:rsidR="008B0103" w:rsidRPr="00D162EE">
        <w:rPr>
          <w:i/>
        </w:rPr>
        <w:t xml:space="preserve"> within</w:t>
      </w:r>
      <w:r w:rsidR="008B0103" w:rsidRPr="00D162EE">
        <w:t xml:space="preserve"> the scope of submissions, appeals related to a decision on that recommendation are open to a person </w:t>
      </w:r>
      <w:r w:rsidR="008B0103" w:rsidRPr="00D162EE">
        <w:rPr>
          <w:i/>
        </w:rPr>
        <w:t>who addressed that provision or matter in his/her submission</w:t>
      </w:r>
    </w:p>
    <w:p w14:paraId="70CC2095" w14:textId="6B3FCA6E" w:rsidR="008B0103" w:rsidRPr="00D162EE" w:rsidRDefault="0015102F" w:rsidP="006856E3">
      <w:pPr>
        <w:pStyle w:val="Bullet"/>
      </w:pPr>
      <w:r>
        <w:t>w</w:t>
      </w:r>
      <w:r w:rsidR="008B0103" w:rsidRPr="00D162EE">
        <w:t>here a panel makes a recommendation that is</w:t>
      </w:r>
      <w:r w:rsidR="008B0103" w:rsidRPr="00D162EE">
        <w:rPr>
          <w:i/>
        </w:rPr>
        <w:t xml:space="preserve"> outside</w:t>
      </w:r>
      <w:r w:rsidR="008B0103" w:rsidRPr="00D162EE">
        <w:t xml:space="preserve"> the scope of submissions, appeals related to a decision on that recommendation are open to </w:t>
      </w:r>
      <w:r w:rsidR="008B0103" w:rsidRPr="00D162EE">
        <w:rPr>
          <w:i/>
        </w:rPr>
        <w:t xml:space="preserve">any person who made a submission </w:t>
      </w:r>
      <w:r w:rsidR="008B0103" w:rsidRPr="00D162EE">
        <w:t>on the freshwater planning instrument.</w:t>
      </w:r>
    </w:p>
    <w:p w14:paraId="6075F58A" w14:textId="5A7B8B8C" w:rsidR="0042251E" w:rsidRPr="00D162EE" w:rsidRDefault="0042251E" w:rsidP="006856E3">
      <w:pPr>
        <w:pStyle w:val="BodyText"/>
        <w:rPr>
          <w:rFonts w:eastAsia="Calibri"/>
          <w:lang w:eastAsia="en-US"/>
        </w:rPr>
      </w:pPr>
      <w:r w:rsidRPr="00D162EE">
        <w:rPr>
          <w:rFonts w:eastAsia="Calibri"/>
          <w:lang w:eastAsia="en-US"/>
        </w:rPr>
        <w:t>Judicial review remains available</w:t>
      </w:r>
      <w:r w:rsidR="004034A5" w:rsidRPr="00D162EE">
        <w:rPr>
          <w:rFonts w:eastAsia="Calibri"/>
          <w:lang w:eastAsia="en-US"/>
        </w:rPr>
        <w:t xml:space="preserve"> (clause 57)</w:t>
      </w:r>
      <w:r w:rsidRPr="00D162EE">
        <w:rPr>
          <w:rFonts w:eastAsia="Calibri"/>
          <w:lang w:eastAsia="en-US"/>
        </w:rPr>
        <w:t xml:space="preserve">. However, if a person wishes to apply for both a judicial review and make an appeal to the High Court on a point of law, these must be lodged at the same time. </w:t>
      </w:r>
    </w:p>
    <w:p w14:paraId="0E0E48D1" w14:textId="5812BD71" w:rsidR="007761F1" w:rsidRPr="00D162EE" w:rsidRDefault="007761F1" w:rsidP="0042251E">
      <w:pPr>
        <w:pStyle w:val="BodyText"/>
        <w:rPr>
          <w:rFonts w:eastAsia="Calibri"/>
          <w:lang w:eastAsia="en-US"/>
        </w:rPr>
      </w:pPr>
      <w:r w:rsidRPr="00D162EE">
        <w:rPr>
          <w:rFonts w:eastAsia="Calibri"/>
          <w:lang w:eastAsia="en-US"/>
        </w:rPr>
        <w:t>Refer to Form</w:t>
      </w:r>
      <w:r w:rsidR="00CA413C" w:rsidRPr="00D162EE">
        <w:rPr>
          <w:rFonts w:eastAsia="Calibri"/>
          <w:lang w:eastAsia="en-US"/>
        </w:rPr>
        <w:t xml:space="preserve"> 7</w:t>
      </w:r>
      <w:r w:rsidRPr="00D162EE">
        <w:rPr>
          <w:rFonts w:eastAsia="Calibri"/>
          <w:lang w:eastAsia="en-US"/>
        </w:rPr>
        <w:t xml:space="preserve"> of the Resource Management (Forms, Fees, and Procedure) Regulations 2003 for the relevant information to provide when lodging an appeal. </w:t>
      </w:r>
    </w:p>
    <w:p w14:paraId="1730CFFA" w14:textId="1FFB5C62" w:rsidR="003D0D56" w:rsidRPr="00D162EE" w:rsidRDefault="003D0D56" w:rsidP="003D0D56">
      <w:pPr>
        <w:pStyle w:val="Figureheading"/>
        <w:rPr>
          <w:lang w:eastAsia="en-US"/>
        </w:rPr>
      </w:pPr>
      <w:bookmarkStart w:id="67" w:name="_Toc50469816"/>
      <w:r w:rsidRPr="00D162EE">
        <w:rPr>
          <w:rFonts w:eastAsia="Calibri"/>
          <w:lang w:eastAsia="en-US"/>
        </w:rPr>
        <w:lastRenderedPageBreak/>
        <w:t xml:space="preserve">Figure </w:t>
      </w:r>
      <w:r w:rsidR="006A1A22" w:rsidRPr="00D162EE">
        <w:rPr>
          <w:rFonts w:eastAsia="Calibri"/>
          <w:lang w:eastAsia="en-US"/>
        </w:rPr>
        <w:t>3</w:t>
      </w:r>
      <w:r w:rsidR="008B0103" w:rsidRPr="00D162EE">
        <w:rPr>
          <w:rFonts w:eastAsia="Calibri"/>
          <w:lang w:eastAsia="en-US"/>
        </w:rPr>
        <w:t>:</w:t>
      </w:r>
      <w:r w:rsidRPr="00D162EE">
        <w:rPr>
          <w:rFonts w:eastAsia="Calibri"/>
          <w:lang w:eastAsia="en-US"/>
        </w:rPr>
        <w:t xml:space="preserve"> </w:t>
      </w:r>
      <w:r w:rsidR="006856E3" w:rsidRPr="00D162EE">
        <w:rPr>
          <w:rFonts w:eastAsia="Calibri"/>
          <w:lang w:eastAsia="en-US"/>
        </w:rPr>
        <w:tab/>
      </w:r>
      <w:r w:rsidRPr="00D162EE">
        <w:rPr>
          <w:rFonts w:eastAsia="Calibri"/>
          <w:lang w:eastAsia="en-US"/>
        </w:rPr>
        <w:t>Appeal rights under the Freshwater Planning Process</w:t>
      </w:r>
      <w:bookmarkEnd w:id="67"/>
    </w:p>
    <w:p w14:paraId="2DB94220" w14:textId="7DAFBAAC" w:rsidR="008B0103" w:rsidRPr="002F0040" w:rsidRDefault="002F0040" w:rsidP="002F0040">
      <w:pPr>
        <w:pStyle w:val="BodyText"/>
      </w:pPr>
      <w:r>
        <w:rPr>
          <w:noProof/>
        </w:rPr>
        <w:drawing>
          <wp:inline distT="0" distB="0" distL="0" distR="0" wp14:anchorId="38620518" wp14:editId="05AA9F59">
            <wp:extent cx="5400000" cy="6271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00" cy="6271200"/>
                    </a:xfrm>
                    <a:prstGeom prst="rect">
                      <a:avLst/>
                    </a:prstGeom>
                    <a:noFill/>
                  </pic:spPr>
                </pic:pic>
              </a:graphicData>
            </a:graphic>
          </wp:inline>
        </w:drawing>
      </w:r>
    </w:p>
    <w:p w14:paraId="70544AB9" w14:textId="60C16A74" w:rsidR="00F83731" w:rsidRPr="00D162EE" w:rsidRDefault="00F83731" w:rsidP="006856E3">
      <w:pPr>
        <w:pStyle w:val="Heading2"/>
      </w:pPr>
      <w:bookmarkStart w:id="68" w:name="_Toc50020661"/>
      <w:bookmarkStart w:id="69" w:name="_Toc50469807"/>
      <w:r w:rsidRPr="00D162EE">
        <w:rPr>
          <w:rFonts w:eastAsia="Calibri"/>
          <w:lang w:eastAsia="en-US"/>
        </w:rPr>
        <w:t>Step 7: Approving the freshwater planning instrument</w:t>
      </w:r>
      <w:r w:rsidR="006856E3" w:rsidRPr="00D162EE">
        <w:rPr>
          <w:rFonts w:eastAsia="Calibri"/>
          <w:lang w:eastAsia="en-US"/>
        </w:rPr>
        <w:t> </w:t>
      </w:r>
      <w:r w:rsidRPr="00D162EE">
        <w:rPr>
          <w:rFonts w:eastAsia="Calibri"/>
          <w:lang w:eastAsia="en-US"/>
        </w:rPr>
        <w:t>and making it operative</w:t>
      </w:r>
      <w:bookmarkEnd w:id="68"/>
      <w:bookmarkEnd w:id="69"/>
    </w:p>
    <w:p w14:paraId="0512672F" w14:textId="785C6DD5" w:rsidR="00362ECE" w:rsidRPr="00D162EE" w:rsidRDefault="00F83731" w:rsidP="006856E3">
      <w:pPr>
        <w:pStyle w:val="BodyText"/>
        <w:rPr>
          <w:rFonts w:eastAsia="Calibri"/>
          <w:lang w:eastAsia="en-US"/>
        </w:rPr>
      </w:pPr>
      <w:r w:rsidRPr="00D162EE">
        <w:rPr>
          <w:rFonts w:eastAsia="Calibri"/>
          <w:lang w:eastAsia="en-US"/>
        </w:rPr>
        <w:t>The standard Schedule 1 process</w:t>
      </w:r>
      <w:r w:rsidR="009728D3" w:rsidRPr="00D162EE">
        <w:rPr>
          <w:rFonts w:eastAsia="Calibri"/>
          <w:lang w:eastAsia="en-US"/>
        </w:rPr>
        <w:t>es</w:t>
      </w:r>
      <w:r w:rsidRPr="00D162EE">
        <w:rPr>
          <w:rFonts w:eastAsia="Calibri"/>
          <w:lang w:eastAsia="en-US"/>
        </w:rPr>
        <w:t xml:space="preserve"> prescribed by clauses 17 and 20 apply </w:t>
      </w:r>
      <w:r w:rsidR="00AB307C" w:rsidRPr="00D162EE">
        <w:rPr>
          <w:rFonts w:eastAsia="Calibri"/>
          <w:lang w:eastAsia="en-US"/>
        </w:rPr>
        <w:t>to</w:t>
      </w:r>
      <w:r w:rsidRPr="00D162EE">
        <w:rPr>
          <w:rFonts w:eastAsia="Calibri"/>
          <w:lang w:eastAsia="en-US"/>
        </w:rPr>
        <w:t xml:space="preserve"> </w:t>
      </w:r>
      <w:r w:rsidR="009728D3" w:rsidRPr="00D162EE">
        <w:rPr>
          <w:rFonts w:eastAsia="Calibri"/>
          <w:lang w:eastAsia="en-US"/>
        </w:rPr>
        <w:t>approving the</w:t>
      </w:r>
      <w:r w:rsidR="006856E3" w:rsidRPr="00D162EE">
        <w:rPr>
          <w:rFonts w:eastAsia="Calibri"/>
          <w:lang w:eastAsia="en-US"/>
        </w:rPr>
        <w:t> </w:t>
      </w:r>
      <w:r w:rsidR="009728D3" w:rsidRPr="00D162EE">
        <w:rPr>
          <w:rFonts w:eastAsia="Calibri"/>
          <w:lang w:eastAsia="en-US"/>
        </w:rPr>
        <w:t xml:space="preserve">freshwater planning instrument and making it operative. </w:t>
      </w:r>
      <w:r w:rsidR="00362ECE" w:rsidRPr="00D162EE">
        <w:rPr>
          <w:rFonts w:eastAsia="Calibri"/>
          <w:lang w:eastAsia="en-US"/>
        </w:rPr>
        <w:t>The FPP does not affect any dual</w:t>
      </w:r>
      <w:r w:rsidR="006856E3" w:rsidRPr="00D162EE">
        <w:rPr>
          <w:rFonts w:eastAsia="Calibri"/>
          <w:lang w:eastAsia="en-US"/>
        </w:rPr>
        <w:t> </w:t>
      </w:r>
      <w:r w:rsidR="00362ECE" w:rsidRPr="00D162EE">
        <w:rPr>
          <w:rFonts w:eastAsia="Calibri"/>
          <w:lang w:eastAsia="en-US"/>
        </w:rPr>
        <w:t xml:space="preserve">decision-making roles that exist between the relevant council and iwi under </w:t>
      </w:r>
      <w:r w:rsidR="00362ECE" w:rsidRPr="00D162EE">
        <w:t>any iwi participation legislation, joint management agreement, or Mana Whakahono ā Rohe (refer to</w:t>
      </w:r>
      <w:r w:rsidR="006856E3" w:rsidRPr="00D162EE">
        <w:t> </w:t>
      </w:r>
      <w:r w:rsidR="00362ECE" w:rsidRPr="00D162EE">
        <w:t>‘</w:t>
      </w:r>
      <w:hyperlink w:anchor="_Implications_for_any" w:history="1">
        <w:r w:rsidR="00362ECE" w:rsidRPr="00D162EE">
          <w:rPr>
            <w:rStyle w:val="Hyperlink"/>
          </w:rPr>
          <w:t>Implications for any relevant iwi participation legislation, joint management agreement or</w:t>
        </w:r>
        <w:r w:rsidR="006856E3" w:rsidRPr="00D162EE">
          <w:rPr>
            <w:rStyle w:val="Hyperlink"/>
          </w:rPr>
          <w:t> </w:t>
        </w:r>
        <w:r w:rsidR="00362ECE" w:rsidRPr="00D162EE">
          <w:rPr>
            <w:rStyle w:val="Hyperlink"/>
          </w:rPr>
          <w:t>Mana Whakahono ā Rohe</w:t>
        </w:r>
      </w:hyperlink>
      <w:r w:rsidR="00362ECE" w:rsidRPr="00D162EE">
        <w:t xml:space="preserve">’ for further information). </w:t>
      </w:r>
    </w:p>
    <w:p w14:paraId="5F92521E" w14:textId="3EDEECA3" w:rsidR="004F007D" w:rsidRPr="00D162EE" w:rsidRDefault="009728D3" w:rsidP="006856E3">
      <w:pPr>
        <w:pStyle w:val="BodyText"/>
      </w:pPr>
      <w:r w:rsidRPr="00D162EE">
        <w:rPr>
          <w:rFonts w:eastAsia="Calibri"/>
          <w:lang w:eastAsia="en-US"/>
        </w:rPr>
        <w:lastRenderedPageBreak/>
        <w:t xml:space="preserve">As with the standard plan-making process, a regional council may approve part of a freshwater planning instrument if all </w:t>
      </w:r>
      <w:r w:rsidRPr="00D162EE">
        <w:t>submissions or appeals relating to that part have been disposed of</w:t>
      </w:r>
      <w:r w:rsidR="004034A5" w:rsidRPr="00D162EE">
        <w:t xml:space="preserve"> (clause 17)</w:t>
      </w:r>
      <w:r w:rsidRPr="00D162EE">
        <w:t xml:space="preserve">. </w:t>
      </w:r>
    </w:p>
    <w:p w14:paraId="1A4181DD" w14:textId="36A92074" w:rsidR="009728D3" w:rsidRPr="00D162EE" w:rsidRDefault="004F007D" w:rsidP="006856E3">
      <w:pPr>
        <w:pStyle w:val="BodyText"/>
        <w:rPr>
          <w:color w:val="000000"/>
          <w:shd w:val="clear" w:color="auto" w:fill="FFFFFF"/>
        </w:rPr>
      </w:pPr>
      <w:r w:rsidRPr="00D162EE">
        <w:t>An approved freshwater planning instrument</w:t>
      </w:r>
      <w:r w:rsidRPr="00D162EE">
        <w:rPr>
          <w:color w:val="000000"/>
          <w:shd w:val="clear" w:color="auto" w:fill="FFFFFF"/>
        </w:rPr>
        <w:t xml:space="preserve"> becomes operative on a date which is to be publicly notified</w:t>
      </w:r>
      <w:r w:rsidR="00AB307C" w:rsidRPr="00D162EE">
        <w:rPr>
          <w:color w:val="000000"/>
          <w:shd w:val="clear" w:color="auto" w:fill="FFFFFF"/>
        </w:rPr>
        <w:t xml:space="preserve"> at least five working days before it becomes operative</w:t>
      </w:r>
      <w:r w:rsidR="004034A5" w:rsidRPr="00D162EE">
        <w:rPr>
          <w:color w:val="000000"/>
          <w:shd w:val="clear" w:color="auto" w:fill="FFFFFF"/>
        </w:rPr>
        <w:t xml:space="preserve"> (clause 20)</w:t>
      </w:r>
      <w:r w:rsidR="009728D3" w:rsidRPr="00D162EE">
        <w:rPr>
          <w:color w:val="000000"/>
          <w:shd w:val="clear" w:color="auto" w:fill="FFFFFF"/>
        </w:rPr>
        <w:t>.</w:t>
      </w:r>
    </w:p>
    <w:p w14:paraId="605A065F" w14:textId="296B6653" w:rsidR="00B9714F" w:rsidRPr="00D162EE" w:rsidRDefault="004318A2" w:rsidP="006856E3">
      <w:pPr>
        <w:pStyle w:val="Heading2"/>
      </w:pPr>
      <w:bookmarkStart w:id="70" w:name="_Implications_for_any"/>
      <w:bookmarkStart w:id="71" w:name="_Toc50020662"/>
      <w:bookmarkStart w:id="72" w:name="_Toc50469808"/>
      <w:bookmarkEnd w:id="70"/>
      <w:r w:rsidRPr="00D162EE">
        <w:t xml:space="preserve">Requesting an extension to </w:t>
      </w:r>
      <w:r w:rsidR="0015102F">
        <w:t xml:space="preserve">the </w:t>
      </w:r>
      <w:r w:rsidRPr="00D162EE">
        <w:t>F</w:t>
      </w:r>
      <w:r w:rsidR="0015102F">
        <w:t xml:space="preserve">reshwater </w:t>
      </w:r>
      <w:r w:rsidRPr="00D162EE">
        <w:t>P</w:t>
      </w:r>
      <w:r w:rsidR="0015102F">
        <w:t xml:space="preserve">lanning </w:t>
      </w:r>
      <w:r w:rsidRPr="00D162EE">
        <w:t>P</w:t>
      </w:r>
      <w:r w:rsidR="0015102F">
        <w:t>rocess</w:t>
      </w:r>
      <w:r w:rsidR="00B9714F" w:rsidRPr="00D162EE">
        <w:t xml:space="preserve"> timeframes</w:t>
      </w:r>
      <w:bookmarkEnd w:id="71"/>
      <w:bookmarkEnd w:id="72"/>
    </w:p>
    <w:p w14:paraId="78B35249" w14:textId="7548432E" w:rsidR="00B9714F" w:rsidRPr="00D162EE" w:rsidRDefault="00B9714F" w:rsidP="006856E3">
      <w:pPr>
        <w:pStyle w:val="BodyText"/>
        <w:rPr>
          <w:rFonts w:eastAsia="Calibri"/>
          <w:lang w:eastAsia="en-US"/>
        </w:rPr>
      </w:pPr>
      <w:r w:rsidRPr="00D162EE">
        <w:rPr>
          <w:rFonts w:eastAsia="Calibri"/>
          <w:lang w:eastAsia="en-US"/>
        </w:rPr>
        <w:t>The chair of a freshwater hearings panel and/</w:t>
      </w:r>
      <w:r w:rsidRPr="00D162EE">
        <w:t>or</w:t>
      </w:r>
      <w:r w:rsidRPr="00D162EE">
        <w:rPr>
          <w:rFonts w:eastAsia="Calibri"/>
          <w:lang w:eastAsia="en-US"/>
        </w:rPr>
        <w:t xml:space="preserve"> the relevant council can seek an extension from the Chief to the two-year planning timeframe (clause 47). Extensions can be sought for the following timeframes:</w:t>
      </w:r>
    </w:p>
    <w:p w14:paraId="1268AA51" w14:textId="36022264" w:rsidR="00B9714F" w:rsidRPr="00D162EE" w:rsidRDefault="00B9714F" w:rsidP="006856E3">
      <w:pPr>
        <w:pStyle w:val="Bullet"/>
      </w:pPr>
      <w:r w:rsidRPr="00D162EE">
        <w:t>the requirement to provide documentation to the Chief within six months of notification (clause 37)</w:t>
      </w:r>
    </w:p>
    <w:p w14:paraId="0AEE356A" w14:textId="277A1767" w:rsidR="00314BA7" w:rsidRPr="00D162EE" w:rsidRDefault="00314BA7" w:rsidP="006856E3">
      <w:pPr>
        <w:pStyle w:val="Bullet"/>
      </w:pPr>
      <w:r w:rsidRPr="00D162EE">
        <w:t>provision of the report under section 42A (clause 40)</w:t>
      </w:r>
    </w:p>
    <w:p w14:paraId="545A9933" w14:textId="77777777" w:rsidR="00B9714F" w:rsidRPr="00D162EE" w:rsidRDefault="00B9714F" w:rsidP="006856E3">
      <w:pPr>
        <w:pStyle w:val="Bullet"/>
      </w:pPr>
      <w:r w:rsidRPr="00D162EE">
        <w:t>the time by which the panel must provide its recommendation (clause 51)</w:t>
      </w:r>
    </w:p>
    <w:p w14:paraId="32B42713" w14:textId="77777777" w:rsidR="00B9714F" w:rsidRPr="00D162EE" w:rsidRDefault="00B9714F" w:rsidP="006856E3">
      <w:pPr>
        <w:pStyle w:val="Bullet"/>
      </w:pPr>
      <w:r w:rsidRPr="00D162EE">
        <w:t>the requirement for councils to make decisions no later than 40 working days after it is provided with the panel’s recommendations report (clause 52).</w:t>
      </w:r>
    </w:p>
    <w:p w14:paraId="444BCCCF" w14:textId="2D51366D" w:rsidR="00B9714F" w:rsidRPr="00D162EE" w:rsidRDefault="00B9714F" w:rsidP="006856E3">
      <w:pPr>
        <w:pStyle w:val="BodyText"/>
        <w:rPr>
          <w:rFonts w:eastAsia="Calibri"/>
          <w:lang w:eastAsia="en-US"/>
        </w:rPr>
      </w:pPr>
      <w:r w:rsidRPr="00D162EE">
        <w:rPr>
          <w:rFonts w:eastAsia="Calibri"/>
          <w:lang w:eastAsia="en-US"/>
        </w:rPr>
        <w:t xml:space="preserve">An extension cannot be granted to the </w:t>
      </w:r>
      <w:r w:rsidR="00AD6857" w:rsidRPr="00D162EE">
        <w:rPr>
          <w:rFonts w:eastAsia="Calibri"/>
          <w:lang w:eastAsia="en-US"/>
        </w:rPr>
        <w:t>deadline of 31 December 2024 for notifying a freshwater planning instrument that gives effect to the NPS-FM</w:t>
      </w:r>
      <w:r w:rsidR="0015102F">
        <w:rPr>
          <w:rFonts w:eastAsia="Calibri"/>
          <w:lang w:eastAsia="en-US"/>
        </w:rPr>
        <w:t xml:space="preserve"> 2020</w:t>
      </w:r>
      <w:r w:rsidRPr="00D162EE">
        <w:rPr>
          <w:rFonts w:eastAsia="Calibri"/>
          <w:lang w:eastAsia="en-US"/>
        </w:rPr>
        <w:t>.</w:t>
      </w:r>
    </w:p>
    <w:p w14:paraId="2AFCF0ED" w14:textId="77777777" w:rsidR="00B9714F" w:rsidRPr="00D162EE" w:rsidRDefault="00B9714F" w:rsidP="00B9714F">
      <w:pPr>
        <w:pStyle w:val="BodyText"/>
        <w:rPr>
          <w:rFonts w:eastAsia="Calibri"/>
          <w:lang w:eastAsia="en-US"/>
        </w:rPr>
      </w:pPr>
      <w:r w:rsidRPr="00D162EE">
        <w:rPr>
          <w:rFonts w:eastAsia="Calibri"/>
          <w:lang w:eastAsia="en-US"/>
        </w:rPr>
        <w:t xml:space="preserve">More than one extension can be sought for the same freshwater planning instrument, but the total additional time of all extensions cannot exceed </w:t>
      </w:r>
      <w:r w:rsidRPr="00D162EE">
        <w:rPr>
          <w:rFonts w:eastAsia="Calibri"/>
          <w:b/>
          <w:lang w:eastAsia="en-US"/>
        </w:rPr>
        <w:t>12 months</w:t>
      </w:r>
      <w:r w:rsidRPr="00D162EE">
        <w:rPr>
          <w:rFonts w:eastAsia="Calibri"/>
          <w:lang w:eastAsia="en-US"/>
        </w:rPr>
        <w:t xml:space="preserve">. </w:t>
      </w:r>
    </w:p>
    <w:p w14:paraId="44B371C4" w14:textId="61B7D28A" w:rsidR="00B9714F" w:rsidRPr="00D162EE" w:rsidRDefault="004318A2" w:rsidP="006856E3">
      <w:pPr>
        <w:pStyle w:val="BodyText"/>
      </w:pPr>
      <w:r w:rsidRPr="00D162EE">
        <w:rPr>
          <w:rFonts w:eastAsia="Calibri"/>
          <w:lang w:eastAsia="en-US"/>
        </w:rPr>
        <w:t xml:space="preserve">In </w:t>
      </w:r>
      <w:r w:rsidRPr="00D162EE">
        <w:t>seeking an</w:t>
      </w:r>
      <w:r w:rsidR="00B9714F" w:rsidRPr="00D162EE">
        <w:t xml:space="preserve"> extension, the council and/or chair of the freshwater hearings panel must specify the new timeframe, why additional time is required, and how the new timeframe will be met. </w:t>
      </w:r>
    </w:p>
    <w:p w14:paraId="3320327D" w14:textId="77777777" w:rsidR="00B9714F" w:rsidRPr="00D162EE" w:rsidRDefault="00B9714F" w:rsidP="006856E3">
      <w:pPr>
        <w:pStyle w:val="BodyText"/>
      </w:pPr>
      <w:r w:rsidRPr="00D162EE">
        <w:t xml:space="preserve">When considering a timeframe extension, the Chief Freshwater Commissioner may decline the request, partially accept the request (accept the extension but impose a different timeframe), or accept the request in full (accept the extension with the timeframe as requested). </w:t>
      </w:r>
    </w:p>
    <w:p w14:paraId="753DA76B" w14:textId="38FD4811" w:rsidR="00B9714F" w:rsidRPr="00D162EE" w:rsidRDefault="00B9714F" w:rsidP="00B9714F">
      <w:pPr>
        <w:pStyle w:val="BodyText"/>
      </w:pPr>
      <w:r w:rsidRPr="00D162EE">
        <w:rPr>
          <w:b/>
        </w:rPr>
        <w:t>Note:</w:t>
      </w:r>
      <w:r w:rsidRPr="00D162EE">
        <w:t xml:space="preserve"> The regional council’s discretion to extend or waive timeframes under section 37(1)(a) of the RMA does not apply to the FPP.</w:t>
      </w:r>
      <w:r w:rsidRPr="00D162EE">
        <w:rPr>
          <w:rStyle w:val="FootnoteReference"/>
        </w:rPr>
        <w:footnoteReference w:id="14"/>
      </w:r>
      <w:r w:rsidRPr="00D162EE">
        <w:t xml:space="preserve"> </w:t>
      </w:r>
    </w:p>
    <w:p w14:paraId="7277441F" w14:textId="2FCBB558" w:rsidR="00B9714F" w:rsidRPr="00D162EE" w:rsidRDefault="00B9714F" w:rsidP="006856E3">
      <w:pPr>
        <w:pStyle w:val="Heading2"/>
      </w:pPr>
      <w:bookmarkStart w:id="73" w:name="_Toc50020663"/>
      <w:bookmarkStart w:id="74" w:name="_Toc50469809"/>
      <w:r w:rsidRPr="00D162EE">
        <w:t>Variations to a freshwater planning instrument</w:t>
      </w:r>
      <w:bookmarkEnd w:id="73"/>
      <w:bookmarkEnd w:id="74"/>
    </w:p>
    <w:p w14:paraId="647D5BEF" w14:textId="592A5F06" w:rsidR="00B9714F" w:rsidRPr="00D162EE" w:rsidRDefault="002830B9" w:rsidP="00B9714F">
      <w:pPr>
        <w:pStyle w:val="BodyText"/>
        <w:rPr>
          <w:rFonts w:eastAsia="Calibri"/>
          <w:lang w:eastAsia="en-US"/>
        </w:rPr>
      </w:pPr>
      <w:r w:rsidRPr="00D162EE">
        <w:t xml:space="preserve">Regional councils </w:t>
      </w:r>
      <w:r w:rsidR="004318A2" w:rsidRPr="00D162EE">
        <w:t>are still able to</w:t>
      </w:r>
      <w:r w:rsidRPr="00D162EE">
        <w:t xml:space="preserve"> make a variation to a proposed freshwater planning instrument</w:t>
      </w:r>
      <w:r w:rsidR="00B9714F" w:rsidRPr="00D162EE">
        <w:t xml:space="preserve"> in line with the standard plan-making process (clauses 16A and 16B). However, t</w:t>
      </w:r>
      <w:r w:rsidR="00B9714F" w:rsidRPr="00D162EE">
        <w:rPr>
          <w:rFonts w:eastAsia="Calibri"/>
          <w:lang w:eastAsia="en-US"/>
        </w:rPr>
        <w:t>he process for undertaking a variation to a freshwater planning instrument differs depending on the stage at which the need for a variation arises.</w:t>
      </w:r>
    </w:p>
    <w:p w14:paraId="383CD7A3" w14:textId="0B8EFF89" w:rsidR="00B9714F" w:rsidRPr="00D162EE" w:rsidRDefault="00B9714F" w:rsidP="00B9714F">
      <w:pPr>
        <w:pStyle w:val="BodyText"/>
        <w:rPr>
          <w:rFonts w:eastAsia="Calibri"/>
          <w:lang w:eastAsia="en-US"/>
        </w:rPr>
      </w:pPr>
      <w:r w:rsidRPr="00D162EE">
        <w:rPr>
          <w:rFonts w:eastAsia="Calibri"/>
          <w:lang w:eastAsia="en-US"/>
        </w:rPr>
        <w:t xml:space="preserve">If a regional council wishes to initiate a variation to the freshwater planning instrument </w:t>
      </w:r>
      <w:r w:rsidRPr="00D162EE">
        <w:rPr>
          <w:rFonts w:eastAsia="Calibri"/>
          <w:i/>
          <w:lang w:eastAsia="en-US"/>
        </w:rPr>
        <w:t>after</w:t>
      </w:r>
      <w:r w:rsidRPr="00D162EE">
        <w:rPr>
          <w:rFonts w:eastAsia="Calibri"/>
          <w:lang w:eastAsia="en-US"/>
        </w:rPr>
        <w:t xml:space="preserve"> it</w:t>
      </w:r>
      <w:r w:rsidR="00171D95">
        <w:rPr>
          <w:rFonts w:eastAsia="Calibri"/>
          <w:lang w:eastAsia="en-US"/>
        </w:rPr>
        <w:t> </w:t>
      </w:r>
      <w:r w:rsidRPr="00D162EE">
        <w:rPr>
          <w:rFonts w:eastAsia="Calibri"/>
          <w:lang w:eastAsia="en-US"/>
        </w:rPr>
        <w:t xml:space="preserve">has provided the clause 37(1) documentation to the Chief, the council must seek approval </w:t>
      </w:r>
      <w:r w:rsidRPr="00D162EE">
        <w:rPr>
          <w:rFonts w:eastAsia="Calibri"/>
          <w:lang w:eastAsia="en-US"/>
        </w:rPr>
        <w:lastRenderedPageBreak/>
        <w:t xml:space="preserve">for the variation from the Chief </w:t>
      </w:r>
      <w:r w:rsidR="004318A2" w:rsidRPr="00D162EE">
        <w:rPr>
          <w:rFonts w:eastAsia="Calibri"/>
          <w:lang w:eastAsia="en-US"/>
        </w:rPr>
        <w:t>(clause 53)</w:t>
      </w:r>
      <w:r w:rsidRPr="00D162EE">
        <w:rPr>
          <w:rFonts w:eastAsia="Calibri"/>
          <w:lang w:eastAsia="en-US"/>
        </w:rPr>
        <w:t xml:space="preserve">. This is to manage the risk </w:t>
      </w:r>
      <w:r w:rsidR="004318A2" w:rsidRPr="00D162EE">
        <w:rPr>
          <w:rFonts w:eastAsia="Calibri"/>
          <w:lang w:eastAsia="en-US"/>
        </w:rPr>
        <w:t xml:space="preserve">of </w:t>
      </w:r>
      <w:r w:rsidRPr="00D162EE">
        <w:rPr>
          <w:rFonts w:eastAsia="Calibri"/>
          <w:lang w:eastAsia="en-US"/>
        </w:rPr>
        <w:t xml:space="preserve">variations </w:t>
      </w:r>
      <w:r w:rsidR="004318A2" w:rsidRPr="00D162EE">
        <w:rPr>
          <w:rFonts w:eastAsia="Calibri"/>
          <w:lang w:eastAsia="en-US"/>
        </w:rPr>
        <w:t>delaying the</w:t>
      </w:r>
      <w:r w:rsidR="00171D95">
        <w:rPr>
          <w:rFonts w:eastAsia="Calibri"/>
          <w:lang w:eastAsia="en-US"/>
        </w:rPr>
        <w:t> </w:t>
      </w:r>
      <w:r w:rsidRPr="00D162EE">
        <w:rPr>
          <w:rFonts w:eastAsia="Calibri"/>
          <w:lang w:eastAsia="en-US"/>
        </w:rPr>
        <w:t>implement</w:t>
      </w:r>
      <w:r w:rsidR="004318A2" w:rsidRPr="00D162EE">
        <w:rPr>
          <w:rFonts w:eastAsia="Calibri"/>
          <w:lang w:eastAsia="en-US"/>
        </w:rPr>
        <w:t>ation of</w:t>
      </w:r>
      <w:r w:rsidRPr="00D162EE">
        <w:rPr>
          <w:rFonts w:eastAsia="Calibri"/>
          <w:lang w:eastAsia="en-US"/>
        </w:rPr>
        <w:t xml:space="preserve"> the NPS-FM 2020 by </w:t>
      </w:r>
      <w:r w:rsidR="002830B9" w:rsidRPr="00D162EE">
        <w:rPr>
          <w:rFonts w:eastAsia="Calibri"/>
          <w:lang w:eastAsia="en-US"/>
        </w:rPr>
        <w:t>31 December 2026</w:t>
      </w:r>
      <w:r w:rsidRPr="00D162EE">
        <w:rPr>
          <w:rFonts w:eastAsia="Calibri"/>
          <w:lang w:eastAsia="en-US"/>
        </w:rPr>
        <w:t>.</w:t>
      </w:r>
    </w:p>
    <w:p w14:paraId="11294CB4" w14:textId="4E84BC3F" w:rsidR="00B9714F" w:rsidRPr="00D162EE" w:rsidRDefault="00B9714F" w:rsidP="006856E3">
      <w:pPr>
        <w:pStyle w:val="BodyText"/>
      </w:pPr>
      <w:r w:rsidRPr="00D162EE">
        <w:rPr>
          <w:rFonts w:eastAsia="Calibri"/>
          <w:lang w:eastAsia="en-US"/>
        </w:rPr>
        <w:t>To seek approval for a variation, the regional council must notify the Chief in writing of the need for the variation and provide any additional information requested by the Chief to assist</w:t>
      </w:r>
      <w:r w:rsidR="00171D95">
        <w:rPr>
          <w:rFonts w:eastAsia="Calibri"/>
          <w:lang w:eastAsia="en-US"/>
        </w:rPr>
        <w:t> </w:t>
      </w:r>
      <w:r w:rsidRPr="00D162EE">
        <w:rPr>
          <w:rFonts w:eastAsia="Calibri"/>
          <w:lang w:eastAsia="en-US"/>
        </w:rPr>
        <w:t xml:space="preserve">him/her in determining whether to accept or reject the variation. </w:t>
      </w:r>
    </w:p>
    <w:p w14:paraId="7870499D" w14:textId="3F1CFA58" w:rsidR="00B9714F" w:rsidRPr="00D162EE" w:rsidRDefault="00B9714F" w:rsidP="006856E3">
      <w:pPr>
        <w:pStyle w:val="BodyText"/>
        <w:rPr>
          <w:rFonts w:eastAsia="Calibri"/>
          <w:lang w:eastAsia="en-US"/>
        </w:rPr>
      </w:pPr>
      <w:r w:rsidRPr="00D162EE">
        <w:rPr>
          <w:rFonts w:eastAsia="Calibri"/>
          <w:lang w:eastAsia="en-US"/>
        </w:rPr>
        <w:t xml:space="preserve">In determining </w:t>
      </w:r>
      <w:r w:rsidRPr="00D162EE">
        <w:t>whether</w:t>
      </w:r>
      <w:r w:rsidRPr="00D162EE">
        <w:rPr>
          <w:rFonts w:eastAsia="Calibri"/>
          <w:lang w:eastAsia="en-US"/>
        </w:rPr>
        <w:t xml:space="preserve"> to accept or reject a variation, the Chief will consult with the relevant freshwater hearings panel and must consider the following matters:</w:t>
      </w:r>
    </w:p>
    <w:p w14:paraId="06C4FD08" w14:textId="5ACC25F6" w:rsidR="00B9714F" w:rsidRPr="00D162EE" w:rsidRDefault="00B9714F" w:rsidP="006856E3">
      <w:pPr>
        <w:pStyle w:val="Bullet"/>
      </w:pPr>
      <w:r w:rsidRPr="00D162EE">
        <w:t>whether the variation is needed to correct a significant defect</w:t>
      </w:r>
      <w:r w:rsidR="00AF472F" w:rsidRPr="00D162EE">
        <w:t xml:space="preserve"> in the freshwater planning instrument</w:t>
      </w:r>
    </w:p>
    <w:p w14:paraId="4E2BCC16" w14:textId="77777777" w:rsidR="00B9714F" w:rsidRPr="00D162EE" w:rsidRDefault="00B9714F" w:rsidP="006856E3">
      <w:pPr>
        <w:pStyle w:val="Bullet"/>
      </w:pPr>
      <w:r w:rsidRPr="00D162EE">
        <w:t>whether the variation is needed for the effective functioning of the freshwater planning instrument</w:t>
      </w:r>
    </w:p>
    <w:p w14:paraId="014139F8" w14:textId="77777777" w:rsidR="00B9714F" w:rsidRPr="00D162EE" w:rsidRDefault="00B9714F" w:rsidP="006856E3">
      <w:pPr>
        <w:pStyle w:val="Bullet"/>
      </w:pPr>
      <w:r w:rsidRPr="00D162EE">
        <w:t>the impact of accepting the variation on the decision date of the freshwater planning instrument.</w:t>
      </w:r>
    </w:p>
    <w:p w14:paraId="3E5987A1" w14:textId="3D8EFF32" w:rsidR="00B9714F" w:rsidRPr="00D162EE" w:rsidRDefault="00B9714F" w:rsidP="00B9714F">
      <w:pPr>
        <w:pStyle w:val="BodyText"/>
        <w:rPr>
          <w:rFonts w:eastAsia="Calibri"/>
          <w:lang w:eastAsia="en-US"/>
        </w:rPr>
      </w:pPr>
      <w:r w:rsidRPr="00D162EE">
        <w:rPr>
          <w:rFonts w:eastAsia="Calibri"/>
          <w:lang w:eastAsia="en-US"/>
        </w:rPr>
        <w:t>A freshwater hearings panel can also recommend to a regional council that it undertakes a variation</w:t>
      </w:r>
      <w:r w:rsidR="00AF472F" w:rsidRPr="00D162EE">
        <w:rPr>
          <w:rFonts w:eastAsia="Calibri"/>
          <w:lang w:eastAsia="en-US"/>
        </w:rPr>
        <w:t xml:space="preserve"> (clause 40(4))</w:t>
      </w:r>
      <w:r w:rsidRPr="00D162EE">
        <w:rPr>
          <w:rFonts w:eastAsia="Calibri"/>
          <w:lang w:eastAsia="en-US"/>
        </w:rPr>
        <w:t>. If the council agrees</w:t>
      </w:r>
      <w:r w:rsidR="00AF472F" w:rsidRPr="00D162EE">
        <w:rPr>
          <w:rFonts w:eastAsia="Calibri"/>
          <w:lang w:eastAsia="en-US"/>
        </w:rPr>
        <w:t xml:space="preserve"> to seek a variation</w:t>
      </w:r>
      <w:r w:rsidRPr="00D162EE">
        <w:rPr>
          <w:rFonts w:eastAsia="Calibri"/>
          <w:lang w:eastAsia="en-US"/>
        </w:rPr>
        <w:t xml:space="preserve">, the above process applies. </w:t>
      </w:r>
    </w:p>
    <w:p w14:paraId="0BB50F99" w14:textId="45A1B911" w:rsidR="00B9714F" w:rsidRPr="00D162EE" w:rsidRDefault="00AF472F" w:rsidP="00B9714F">
      <w:pPr>
        <w:pStyle w:val="BodyText"/>
        <w:rPr>
          <w:rFonts w:eastAsia="Calibri"/>
        </w:rPr>
      </w:pPr>
      <w:r w:rsidRPr="00D162EE">
        <w:rPr>
          <w:rFonts w:eastAsia="Calibri"/>
        </w:rPr>
        <w:t xml:space="preserve">The Chief’s approval is not required for variations to freshwater planning instruments that are proposed prior to the regional council providing </w:t>
      </w:r>
      <w:r w:rsidR="00B9714F" w:rsidRPr="00D162EE">
        <w:rPr>
          <w:rFonts w:eastAsia="Calibri"/>
        </w:rPr>
        <w:t>clause 37(1) documentation to th</w:t>
      </w:r>
      <w:r w:rsidRPr="00D162EE">
        <w:rPr>
          <w:rFonts w:eastAsia="Calibri"/>
        </w:rPr>
        <w:t>e Chief</w:t>
      </w:r>
      <w:r w:rsidR="00B9714F" w:rsidRPr="00D162EE">
        <w:rPr>
          <w:rFonts w:eastAsia="Calibri"/>
        </w:rPr>
        <w:t>. In t</w:t>
      </w:r>
      <w:r w:rsidRPr="00D162EE">
        <w:rPr>
          <w:rFonts w:eastAsia="Calibri"/>
        </w:rPr>
        <w:t>his situation, the council must insert</w:t>
      </w:r>
      <w:r w:rsidR="00B9714F" w:rsidRPr="00D162EE">
        <w:rPr>
          <w:rFonts w:eastAsia="Calibri"/>
        </w:rPr>
        <w:t xml:space="preserve"> the variation into the freshwater planning instrument </w:t>
      </w:r>
      <w:r w:rsidRPr="00D162EE">
        <w:rPr>
          <w:rFonts w:eastAsia="Calibri"/>
        </w:rPr>
        <w:t>before providing the documentation</w:t>
      </w:r>
      <w:r w:rsidR="00B9714F" w:rsidRPr="00D162EE">
        <w:rPr>
          <w:rFonts w:eastAsia="Calibri"/>
        </w:rPr>
        <w:t>.</w:t>
      </w:r>
    </w:p>
    <w:p w14:paraId="228F4170" w14:textId="072B947B" w:rsidR="007F2EE0" w:rsidRPr="00D162EE" w:rsidRDefault="007F2EE0" w:rsidP="006B557B">
      <w:pPr>
        <w:pStyle w:val="Heading2"/>
      </w:pPr>
      <w:bookmarkStart w:id="75" w:name="_Toc50020664"/>
      <w:bookmarkStart w:id="76" w:name="_Toc50469810"/>
      <w:r w:rsidRPr="00D162EE">
        <w:t>Implications for relevant iwi participation legislat</w:t>
      </w:r>
      <w:r w:rsidR="004F6809" w:rsidRPr="00D162EE">
        <w:t>ion,</w:t>
      </w:r>
      <w:r w:rsidR="00B55C7D" w:rsidRPr="00D162EE">
        <w:t> </w:t>
      </w:r>
      <w:r w:rsidR="004F6809" w:rsidRPr="00D162EE">
        <w:t xml:space="preserve">joint management agreement, </w:t>
      </w:r>
      <w:r w:rsidRPr="00D162EE">
        <w:t>Mana</w:t>
      </w:r>
      <w:r w:rsidR="00B55C7D" w:rsidRPr="00D162EE">
        <w:t> </w:t>
      </w:r>
      <w:r w:rsidRPr="00D162EE">
        <w:t>Whakahono ā Rohe</w:t>
      </w:r>
      <w:bookmarkEnd w:id="75"/>
      <w:bookmarkEnd w:id="76"/>
    </w:p>
    <w:p w14:paraId="6CCE3D47" w14:textId="0395EC8B" w:rsidR="007F2EE0" w:rsidRPr="00D162EE" w:rsidRDefault="00362ECE" w:rsidP="00B55C7D">
      <w:pPr>
        <w:pStyle w:val="BodyText"/>
      </w:pPr>
      <w:r w:rsidRPr="00D162EE">
        <w:t xml:space="preserve">The </w:t>
      </w:r>
      <w:r w:rsidR="008521AE" w:rsidRPr="00D162EE">
        <w:t>FPP must be</w:t>
      </w:r>
      <w:r w:rsidR="007F2EE0" w:rsidRPr="00D162EE">
        <w:t xml:space="preserve"> consistent with obligations under </w:t>
      </w:r>
      <w:r w:rsidR="0034108F" w:rsidRPr="00D162EE">
        <w:t>relevant</w:t>
      </w:r>
      <w:r w:rsidR="008B1BEE" w:rsidRPr="00D162EE">
        <w:t xml:space="preserve"> iwi participation legislation, joint management agreement, </w:t>
      </w:r>
      <w:r w:rsidR="007F2EE0" w:rsidRPr="00D162EE">
        <w:t xml:space="preserve">or Mana Whakahono ā Rohe. The RMA defines these terms in </w:t>
      </w:r>
      <w:hyperlink r:id="rId24" w:history="1">
        <w:r w:rsidR="007F2EE0" w:rsidRPr="00D162EE">
          <w:rPr>
            <w:rStyle w:val="Hyperlink"/>
          </w:rPr>
          <w:t>section 58L</w:t>
        </w:r>
      </w:hyperlink>
      <w:r w:rsidR="007F2EE0" w:rsidRPr="00D162EE">
        <w:t xml:space="preserve">. Iwi participation legislation means legislation (other than the RMA) providing a role for iwi and hapū in processes under the RMA, and includes any legislation listed in </w:t>
      </w:r>
      <w:hyperlink r:id="rId25" w:anchor="DLM1347539" w:history="1">
        <w:r w:rsidR="007F2EE0" w:rsidRPr="00D162EE">
          <w:rPr>
            <w:rStyle w:val="Hyperlink"/>
          </w:rPr>
          <w:t>Schedule 3 of the Treaty of Waitangi Act, 1975</w:t>
        </w:r>
      </w:hyperlink>
      <w:r w:rsidR="007F2EE0" w:rsidRPr="00D162EE">
        <w:t>.</w:t>
      </w:r>
      <w:r w:rsidR="001D05C3" w:rsidRPr="00D162EE">
        <w:t xml:space="preserve"> </w:t>
      </w:r>
    </w:p>
    <w:p w14:paraId="2523B027" w14:textId="266A878F" w:rsidR="007F2EE0" w:rsidRPr="00D162EE" w:rsidRDefault="007F2EE0" w:rsidP="00B55C7D">
      <w:pPr>
        <w:pStyle w:val="BodyText"/>
      </w:pPr>
      <w:r w:rsidRPr="00D162EE">
        <w:t xml:space="preserve">The statutory and policy basis for each </w:t>
      </w:r>
      <w:r w:rsidR="008B1BEE" w:rsidRPr="00D162EE">
        <w:t>regional council’s</w:t>
      </w:r>
      <w:r w:rsidRPr="00D162EE">
        <w:t xml:space="preserve"> arrangement for working with iwi is</w:t>
      </w:r>
      <w:r w:rsidR="00B55C7D" w:rsidRPr="00D162EE">
        <w:t> </w:t>
      </w:r>
      <w:r w:rsidRPr="00D162EE">
        <w:t xml:space="preserve">unique to that local authority and iwi. </w:t>
      </w:r>
      <w:r w:rsidR="008B1BEE" w:rsidRPr="00D162EE">
        <w:t>Regional councils must</w:t>
      </w:r>
      <w:r w:rsidRPr="00D162EE">
        <w:t xml:space="preserve"> identify all the relevant iwi participation legislation or agreements in place</w:t>
      </w:r>
      <w:r w:rsidR="008B1BEE" w:rsidRPr="00D162EE">
        <w:t>, how they relate to participation in RMA plan</w:t>
      </w:r>
      <w:r w:rsidR="00B55C7D" w:rsidRPr="00D162EE">
        <w:noBreakHyphen/>
      </w:r>
      <w:r w:rsidR="008B1BEE" w:rsidRPr="00D162EE">
        <w:t xml:space="preserve">making processes, and how they may be affected by the FPP. </w:t>
      </w:r>
    </w:p>
    <w:p w14:paraId="26A42BC8" w14:textId="7B738094" w:rsidR="008B1BEE" w:rsidRPr="00D162EE" w:rsidRDefault="008B1BEE" w:rsidP="00B55C7D">
      <w:pPr>
        <w:pStyle w:val="BodyText"/>
      </w:pPr>
      <w:r w:rsidRPr="00D162EE">
        <w:t xml:space="preserve">We recommend that regional councils, together with iwi, consider the implications for any iwi participation legislation, joint management agreement, or Mana Whakahono ā Rohe </w:t>
      </w:r>
      <w:r w:rsidR="00362ECE" w:rsidRPr="00D162EE">
        <w:t>for</w:t>
      </w:r>
      <w:r w:rsidRPr="00D162EE">
        <w:t xml:space="preserve"> three main stages of the FPP:</w:t>
      </w:r>
    </w:p>
    <w:p w14:paraId="2D73527A" w14:textId="1E604D1C" w:rsidR="008B1BEE" w:rsidRPr="00D162EE" w:rsidRDefault="008B1BEE" w:rsidP="00B55C7D">
      <w:pPr>
        <w:pStyle w:val="Bullet"/>
      </w:pPr>
      <w:r w:rsidRPr="00D162EE">
        <w:t>preparing the freshwater planning instrument</w:t>
      </w:r>
    </w:p>
    <w:p w14:paraId="6F7ADBF3" w14:textId="7DE58DCE" w:rsidR="008B1BEE" w:rsidRPr="00D162EE" w:rsidRDefault="008B1BEE" w:rsidP="00B55C7D">
      <w:pPr>
        <w:pStyle w:val="Bullet"/>
      </w:pPr>
      <w:r w:rsidRPr="00D162EE">
        <w:t xml:space="preserve">determining membership on a freshwater hearings panel – </w:t>
      </w:r>
      <w:r w:rsidR="00362ECE" w:rsidRPr="00D162EE">
        <w:t xml:space="preserve">for example, </w:t>
      </w:r>
      <w:r w:rsidRPr="00D162EE">
        <w:t>are there any obligations on the size or composition of a hearing panel?</w:t>
      </w:r>
    </w:p>
    <w:p w14:paraId="2D687DA7" w14:textId="1B9EA1E0" w:rsidR="008B1BEE" w:rsidRPr="00D162EE" w:rsidRDefault="0004677B" w:rsidP="00B55C7D">
      <w:pPr>
        <w:pStyle w:val="Bullet"/>
      </w:pPr>
      <w:r w:rsidRPr="00D162EE">
        <w:t>d</w:t>
      </w:r>
      <w:r w:rsidR="008B1BEE" w:rsidRPr="00D162EE">
        <w:t xml:space="preserve">ecision-making on the freshwater planning instrument – </w:t>
      </w:r>
      <w:r w:rsidR="00362ECE" w:rsidRPr="00D162EE">
        <w:t xml:space="preserve">for example, </w:t>
      </w:r>
      <w:r w:rsidR="008B1BEE" w:rsidRPr="00D162EE">
        <w:t>are there any obligations</w:t>
      </w:r>
      <w:r w:rsidRPr="00D162EE">
        <w:t xml:space="preserve"> for</w:t>
      </w:r>
      <w:r w:rsidR="008B1BEE" w:rsidRPr="00D162EE">
        <w:t xml:space="preserve"> joint </w:t>
      </w:r>
      <w:r w:rsidRPr="00D162EE">
        <w:t xml:space="preserve">council-iwi </w:t>
      </w:r>
      <w:r w:rsidR="008B1BEE" w:rsidRPr="00D162EE">
        <w:t>decision</w:t>
      </w:r>
      <w:r w:rsidRPr="00D162EE">
        <w:t xml:space="preserve"> </w:t>
      </w:r>
      <w:r w:rsidR="008B1BEE" w:rsidRPr="00D162EE">
        <w:t>making?</w:t>
      </w:r>
    </w:p>
    <w:p w14:paraId="2FB4CB98" w14:textId="29DB7B88" w:rsidR="00825446" w:rsidRPr="00D162EE" w:rsidRDefault="00825446" w:rsidP="00B55C7D">
      <w:pPr>
        <w:pStyle w:val="Heading3"/>
      </w:pPr>
      <w:bookmarkStart w:id="77" w:name="_Toc50020665"/>
      <w:r w:rsidRPr="00D162EE">
        <w:lastRenderedPageBreak/>
        <w:t>Documentation to be provided to the Chief Freshwater Commissioner</w:t>
      </w:r>
      <w:bookmarkEnd w:id="77"/>
    </w:p>
    <w:p w14:paraId="52A27D15" w14:textId="2A7BB117" w:rsidR="00825446" w:rsidRPr="00D162EE" w:rsidRDefault="00825446" w:rsidP="00B55C7D">
      <w:pPr>
        <w:pStyle w:val="BodyText"/>
      </w:pPr>
      <w:r w:rsidRPr="00D162EE">
        <w:t>Regional councils must provide all documentation relevant to any obligations arising under any (clause 37(1)):</w:t>
      </w:r>
    </w:p>
    <w:p w14:paraId="62F2D362" w14:textId="5FDF2FCC" w:rsidR="00825446" w:rsidRPr="00D162EE" w:rsidRDefault="00825446" w:rsidP="00B55C7D">
      <w:pPr>
        <w:pStyle w:val="Bullet"/>
      </w:pPr>
      <w:r w:rsidRPr="00D162EE">
        <w:t>iwi participation legislation</w:t>
      </w:r>
    </w:p>
    <w:p w14:paraId="6EED50DB" w14:textId="77777777" w:rsidR="00825446" w:rsidRPr="00D162EE" w:rsidRDefault="00825446" w:rsidP="00B55C7D">
      <w:pPr>
        <w:pStyle w:val="Bullet"/>
      </w:pPr>
      <w:r w:rsidRPr="00D162EE">
        <w:t>joint management agreement</w:t>
      </w:r>
    </w:p>
    <w:p w14:paraId="60E57F5B" w14:textId="687A0A76" w:rsidR="00825446" w:rsidRPr="00D162EE" w:rsidRDefault="00825446" w:rsidP="00B55C7D">
      <w:pPr>
        <w:pStyle w:val="Bullet"/>
      </w:pPr>
      <w:r w:rsidRPr="00D162EE">
        <w:t>Mana Whakahono ā Rohe</w:t>
      </w:r>
      <w:r w:rsidR="006B12EE" w:rsidRPr="00D162EE">
        <w:t>.</w:t>
      </w:r>
      <w:r w:rsidRPr="00D162EE">
        <w:t xml:space="preserve"> </w:t>
      </w:r>
    </w:p>
    <w:p w14:paraId="1ED7BCF7" w14:textId="6B11E7BD" w:rsidR="008B1BEE" w:rsidRPr="00D162EE" w:rsidRDefault="004C26DF" w:rsidP="00B55C7D">
      <w:pPr>
        <w:pStyle w:val="BodyText"/>
      </w:pPr>
      <w:r w:rsidRPr="00D162EE">
        <w:t xml:space="preserve">This information will be important for determining an appropriate freshwater hearings panel. </w:t>
      </w:r>
      <w:r w:rsidR="00825446" w:rsidRPr="00D162EE">
        <w:t xml:space="preserve">Under clause 59(5), the Chief is required to convene each panel in a manner consistent with any relevant iwi participation legislation, Mana Whakahono ā Rohe, or joint management agreement. </w:t>
      </w:r>
      <w:r w:rsidRPr="00D162EE">
        <w:t xml:space="preserve">While </w:t>
      </w:r>
      <w:r w:rsidR="00825446" w:rsidRPr="00D162EE">
        <w:t xml:space="preserve">panels will normally have </w:t>
      </w:r>
      <w:r w:rsidR="00F24730" w:rsidRPr="00D162EE">
        <w:t>five members</w:t>
      </w:r>
      <w:r w:rsidRPr="00D162EE">
        <w:t xml:space="preserve"> (</w:t>
      </w:r>
      <w:r w:rsidR="00F24730" w:rsidRPr="00D162EE">
        <w:t>two freshwater commissioners, two council nominated members, and one tangata whenua nominated member</w:t>
      </w:r>
      <w:r w:rsidRPr="00D162EE">
        <w:t xml:space="preserve">), </w:t>
      </w:r>
      <w:r w:rsidR="00825446" w:rsidRPr="00D162EE">
        <w:t xml:space="preserve">the </w:t>
      </w:r>
      <w:r w:rsidRPr="00D162EE">
        <w:t>Chief</w:t>
      </w:r>
      <w:r w:rsidR="00825446" w:rsidRPr="00D162EE">
        <w:t xml:space="preserve"> can</w:t>
      </w:r>
      <w:r w:rsidR="00F24730" w:rsidRPr="00D162EE">
        <w:t xml:space="preserve"> increase the size of a panel in special circumstances</w:t>
      </w:r>
      <w:r w:rsidR="0065286D" w:rsidRPr="00D162EE">
        <w:t xml:space="preserve"> (clause 59(2)), w</w:t>
      </w:r>
      <w:r w:rsidR="00BC33FF" w:rsidRPr="00D162EE">
        <w:t>hich may</w:t>
      </w:r>
      <w:r w:rsidR="0065286D" w:rsidRPr="00D162EE">
        <w:t xml:space="preserve"> include the need to meet obligations under these documents</w:t>
      </w:r>
      <w:r w:rsidRPr="00D162EE">
        <w:t xml:space="preserve"> (refer to ‘</w:t>
      </w:r>
      <w:hyperlink w:anchor="_Size_and_composition" w:history="1">
        <w:r w:rsidRPr="00D162EE">
          <w:rPr>
            <w:rStyle w:val="Hyperlink"/>
          </w:rPr>
          <w:t>Size and composition of a freshwater hearings panel</w:t>
        </w:r>
      </w:hyperlink>
      <w:r w:rsidRPr="00D162EE">
        <w:t>’ for further information).</w:t>
      </w:r>
    </w:p>
    <w:p w14:paraId="28B52D70" w14:textId="0CD8A231" w:rsidR="006B557B" w:rsidRPr="00D162EE" w:rsidRDefault="006B557B" w:rsidP="00B55C7D">
      <w:pPr>
        <w:pStyle w:val="Heading2"/>
      </w:pPr>
      <w:bookmarkStart w:id="78" w:name="_Toc50020666"/>
      <w:bookmarkStart w:id="79" w:name="_Toc50469811"/>
      <w:r w:rsidRPr="00D162EE">
        <w:rPr>
          <w:rFonts w:eastAsia="Calibri"/>
          <w:lang w:eastAsia="en-US"/>
        </w:rPr>
        <w:t xml:space="preserve">Other </w:t>
      </w:r>
      <w:r w:rsidRPr="00D162EE">
        <w:t>process</w:t>
      </w:r>
      <w:r w:rsidRPr="00D162EE">
        <w:rPr>
          <w:rFonts w:eastAsia="Calibri"/>
          <w:lang w:eastAsia="en-US"/>
        </w:rPr>
        <w:t xml:space="preserve"> matters</w:t>
      </w:r>
      <w:bookmarkEnd w:id="78"/>
      <w:r w:rsidRPr="00D162EE">
        <w:rPr>
          <w:rFonts w:eastAsia="Calibri"/>
          <w:lang w:eastAsia="en-US"/>
        </w:rPr>
        <w:t xml:space="preserve"> </w:t>
      </w:r>
      <w:r w:rsidR="00F97ADE">
        <w:rPr>
          <w:rFonts w:eastAsia="Calibri"/>
          <w:lang w:eastAsia="en-US"/>
        </w:rPr>
        <w:t>for the Freshwater Planning Process</w:t>
      </w:r>
      <w:bookmarkEnd w:id="79"/>
    </w:p>
    <w:p w14:paraId="499CE62C" w14:textId="77777777" w:rsidR="006B557B" w:rsidRPr="00D162EE" w:rsidRDefault="006B557B" w:rsidP="00B55C7D">
      <w:pPr>
        <w:pStyle w:val="BodyText"/>
      </w:pPr>
      <w:r w:rsidRPr="00D162EE">
        <w:t>This section provides information on other process matters for FPP as follows:</w:t>
      </w:r>
    </w:p>
    <w:p w14:paraId="7E25E551" w14:textId="4F628C42" w:rsidR="006B557B" w:rsidRPr="00D162EE" w:rsidRDefault="006B557B" w:rsidP="00B55C7D">
      <w:pPr>
        <w:pStyle w:val="Bullet"/>
      </w:pPr>
      <w:r w:rsidRPr="00D162EE">
        <w:t>Schedule 1 processes that apply to FPP</w:t>
      </w:r>
    </w:p>
    <w:p w14:paraId="5E0134BF" w14:textId="77777777" w:rsidR="006B557B" w:rsidRPr="00D162EE" w:rsidRDefault="006B557B" w:rsidP="00B55C7D">
      <w:pPr>
        <w:pStyle w:val="Bullet"/>
      </w:pPr>
      <w:r w:rsidRPr="00D162EE">
        <w:t>withdrawing a freshwater planning instrument</w:t>
      </w:r>
    </w:p>
    <w:p w14:paraId="6F5178A6" w14:textId="77777777" w:rsidR="006B557B" w:rsidRPr="00D162EE" w:rsidRDefault="006B557B" w:rsidP="00B55C7D">
      <w:pPr>
        <w:pStyle w:val="Bullet"/>
      </w:pPr>
      <w:r w:rsidRPr="00D162EE">
        <w:t>calling in a freshwater planning instrument</w:t>
      </w:r>
    </w:p>
    <w:p w14:paraId="238E5C69" w14:textId="77777777" w:rsidR="006B557B" w:rsidRPr="00D162EE" w:rsidRDefault="006B557B" w:rsidP="00B55C7D">
      <w:pPr>
        <w:pStyle w:val="Bullet"/>
      </w:pPr>
      <w:r w:rsidRPr="00D162EE">
        <w:t>FPP and private plan changes</w:t>
      </w:r>
    </w:p>
    <w:p w14:paraId="277BF566" w14:textId="1DC3D50B" w:rsidR="006B557B" w:rsidRPr="00D162EE" w:rsidRDefault="006B557B" w:rsidP="00B55C7D">
      <w:pPr>
        <w:pStyle w:val="Bullet"/>
      </w:pPr>
      <w:r w:rsidRPr="00D162EE">
        <w:t xml:space="preserve">FPP and the Streamlined Planning Process </w:t>
      </w:r>
    </w:p>
    <w:p w14:paraId="7CD0C3D6" w14:textId="08915ADC" w:rsidR="006B557B" w:rsidRPr="00D162EE" w:rsidRDefault="006B557B" w:rsidP="00B55C7D">
      <w:pPr>
        <w:pStyle w:val="Bullet"/>
      </w:pPr>
      <w:r w:rsidRPr="00D162EE">
        <w:t>transitional provisions</w:t>
      </w:r>
      <w:r w:rsidR="00B9714F" w:rsidRPr="00D162EE">
        <w:t>.</w:t>
      </w:r>
    </w:p>
    <w:p w14:paraId="3E23493A" w14:textId="78B48AD8" w:rsidR="006B557B" w:rsidRPr="00D162EE" w:rsidRDefault="006B557B" w:rsidP="00B55C7D">
      <w:pPr>
        <w:pStyle w:val="Heading3"/>
        <w:rPr>
          <w:rStyle w:val="Heading1Char"/>
          <w:b/>
          <w:bCs/>
          <w:color w:val="auto"/>
          <w:sz w:val="28"/>
          <w:szCs w:val="22"/>
        </w:rPr>
      </w:pPr>
      <w:bookmarkStart w:id="80" w:name="_Requesting_an_extension"/>
      <w:bookmarkStart w:id="81" w:name="_Toc50020667"/>
      <w:bookmarkStart w:id="82" w:name="_Toc50469812"/>
      <w:bookmarkEnd w:id="80"/>
      <w:r w:rsidRPr="00D162EE">
        <w:rPr>
          <w:rStyle w:val="Heading1Char"/>
          <w:b/>
          <w:bCs/>
          <w:color w:val="auto"/>
          <w:sz w:val="28"/>
          <w:szCs w:val="22"/>
        </w:rPr>
        <w:t>Part 1</w:t>
      </w:r>
      <w:r w:rsidR="007114F2" w:rsidRPr="00D162EE">
        <w:rPr>
          <w:rStyle w:val="Heading1Char"/>
          <w:b/>
          <w:bCs/>
          <w:color w:val="auto"/>
          <w:sz w:val="28"/>
          <w:szCs w:val="22"/>
        </w:rPr>
        <w:t xml:space="preserve"> of</w:t>
      </w:r>
      <w:r w:rsidRPr="00D162EE">
        <w:rPr>
          <w:rStyle w:val="Heading1Char"/>
          <w:b/>
          <w:bCs/>
          <w:color w:val="auto"/>
          <w:sz w:val="28"/>
          <w:szCs w:val="22"/>
        </w:rPr>
        <w:t xml:space="preserve"> Schedule 1 processes that apply to </w:t>
      </w:r>
      <w:r w:rsidR="00F97ADE">
        <w:rPr>
          <w:rStyle w:val="Heading1Char"/>
          <w:b/>
          <w:bCs/>
          <w:color w:val="auto"/>
          <w:sz w:val="28"/>
          <w:szCs w:val="22"/>
        </w:rPr>
        <w:t xml:space="preserve">the </w:t>
      </w:r>
      <w:r w:rsidRPr="00D162EE">
        <w:rPr>
          <w:rStyle w:val="Heading1Char"/>
          <w:b/>
          <w:bCs/>
          <w:color w:val="auto"/>
          <w:sz w:val="28"/>
          <w:szCs w:val="22"/>
        </w:rPr>
        <w:t>F</w:t>
      </w:r>
      <w:r w:rsidR="00F97ADE">
        <w:rPr>
          <w:rStyle w:val="Heading1Char"/>
          <w:b/>
          <w:bCs/>
          <w:color w:val="auto"/>
          <w:sz w:val="28"/>
          <w:szCs w:val="22"/>
        </w:rPr>
        <w:t xml:space="preserve">reshwater </w:t>
      </w:r>
      <w:r w:rsidRPr="00D162EE">
        <w:rPr>
          <w:rStyle w:val="Heading1Char"/>
          <w:b/>
          <w:bCs/>
          <w:color w:val="auto"/>
          <w:sz w:val="28"/>
          <w:szCs w:val="22"/>
        </w:rPr>
        <w:t>P</w:t>
      </w:r>
      <w:r w:rsidR="00F97ADE">
        <w:rPr>
          <w:rStyle w:val="Heading1Char"/>
          <w:b/>
          <w:bCs/>
          <w:color w:val="auto"/>
          <w:sz w:val="28"/>
          <w:szCs w:val="22"/>
        </w:rPr>
        <w:t xml:space="preserve">lanning </w:t>
      </w:r>
      <w:r w:rsidRPr="00D162EE">
        <w:rPr>
          <w:rStyle w:val="Heading1Char"/>
          <w:b/>
          <w:bCs/>
          <w:color w:val="auto"/>
          <w:sz w:val="28"/>
          <w:szCs w:val="22"/>
        </w:rPr>
        <w:t>P</w:t>
      </w:r>
      <w:bookmarkEnd w:id="81"/>
      <w:r w:rsidR="00F97ADE">
        <w:rPr>
          <w:rStyle w:val="Heading1Char"/>
          <w:b/>
          <w:bCs/>
          <w:color w:val="auto"/>
          <w:sz w:val="28"/>
          <w:szCs w:val="22"/>
        </w:rPr>
        <w:t>rocess</w:t>
      </w:r>
      <w:bookmarkEnd w:id="82"/>
    </w:p>
    <w:p w14:paraId="6ABCFCF3" w14:textId="66D4737B" w:rsidR="006B557B" w:rsidRPr="00D162EE" w:rsidRDefault="007114F2" w:rsidP="00B55C7D">
      <w:pPr>
        <w:pStyle w:val="BodyText"/>
      </w:pPr>
      <w:r w:rsidRPr="00D162EE">
        <w:t>Regional councils are still require</w:t>
      </w:r>
      <w:r w:rsidR="00EE40C4" w:rsidRPr="00D162EE">
        <w:t xml:space="preserve">d to comply with many processes in </w:t>
      </w:r>
      <w:r w:rsidR="00262B51" w:rsidRPr="00D162EE">
        <w:t>P</w:t>
      </w:r>
      <w:r w:rsidR="00EE40C4" w:rsidRPr="00D162EE">
        <w:t xml:space="preserve">art 1, </w:t>
      </w:r>
      <w:r w:rsidR="006B557B" w:rsidRPr="00D162EE">
        <w:t>Schedule 1</w:t>
      </w:r>
      <w:r w:rsidR="00EE40C4" w:rsidRPr="00D162EE">
        <w:t xml:space="preserve"> when using the FPP</w:t>
      </w:r>
      <w:r w:rsidRPr="00D162EE">
        <w:t xml:space="preserve">. The relevant </w:t>
      </w:r>
      <w:r w:rsidR="00262B51" w:rsidRPr="00D162EE">
        <w:t xml:space="preserve">provisions of Part 1 and 2, Schedule 1 </w:t>
      </w:r>
      <w:r w:rsidRPr="00D162EE">
        <w:t>are set out in section 80A(6) and identified</w:t>
      </w:r>
      <w:r w:rsidR="006B557B" w:rsidRPr="00D162EE">
        <w:t xml:space="preserve"> where relevant in the above guidance:</w:t>
      </w:r>
    </w:p>
    <w:p w14:paraId="6F40F009" w14:textId="61E44F1C" w:rsidR="006B557B" w:rsidRPr="00D162EE" w:rsidRDefault="006B557B" w:rsidP="00B55C7D">
      <w:pPr>
        <w:pStyle w:val="Sub-lista"/>
        <w:ind w:left="397"/>
      </w:pPr>
      <w:r w:rsidRPr="00D162EE">
        <w:t xml:space="preserve">time limits </w:t>
      </w:r>
      <w:r w:rsidR="00B55C7D" w:rsidRPr="00D162EE">
        <w:t>–</w:t>
      </w:r>
      <w:r w:rsidRPr="00D162EE">
        <w:t xml:space="preserve"> clause 1(3)</w:t>
      </w:r>
    </w:p>
    <w:p w14:paraId="2945697B" w14:textId="564AA8DA" w:rsidR="006B557B" w:rsidRPr="00D162EE" w:rsidRDefault="006B557B" w:rsidP="00B55C7D">
      <w:pPr>
        <w:pStyle w:val="Sub-lista"/>
        <w:ind w:left="397"/>
      </w:pPr>
      <w:r w:rsidRPr="00D162EE" w:rsidDel="00797891">
        <w:t xml:space="preserve">pre-notification </w:t>
      </w:r>
      <w:r w:rsidRPr="00D162EE">
        <w:t xml:space="preserve">preparation and </w:t>
      </w:r>
      <w:r w:rsidRPr="00D162EE" w:rsidDel="00797891">
        <w:t>consultation</w:t>
      </w:r>
      <w:r w:rsidRPr="00D162EE">
        <w:t xml:space="preserve"> </w:t>
      </w:r>
      <w:r w:rsidR="00B55C7D" w:rsidRPr="00D162EE">
        <w:t>–</w:t>
      </w:r>
      <w:r w:rsidRPr="00D162EE">
        <w:t xml:space="preserve"> clauses 1A, 1B, 2(1), 3-3C and 4A </w:t>
      </w:r>
    </w:p>
    <w:p w14:paraId="66EC4FD9" w14:textId="74CA2F1E" w:rsidR="006B557B" w:rsidRPr="00D162EE" w:rsidRDefault="006B557B" w:rsidP="00B55C7D">
      <w:pPr>
        <w:pStyle w:val="Sub-lista"/>
        <w:ind w:left="397"/>
      </w:pPr>
      <w:r w:rsidRPr="00D162EE">
        <w:t xml:space="preserve">notification </w:t>
      </w:r>
      <w:r w:rsidR="00B55C7D" w:rsidRPr="00D162EE">
        <w:t>–</w:t>
      </w:r>
      <w:r w:rsidRPr="00D162EE">
        <w:t xml:space="preserve"> clause 5</w:t>
      </w:r>
    </w:p>
    <w:p w14:paraId="12C03291" w14:textId="304F4432" w:rsidR="006B557B" w:rsidRPr="00D162EE" w:rsidRDefault="006B557B" w:rsidP="00B55C7D">
      <w:pPr>
        <w:pStyle w:val="Sub-lista"/>
        <w:ind w:left="397"/>
      </w:pPr>
      <w:r w:rsidRPr="00D162EE">
        <w:t xml:space="preserve">submissions </w:t>
      </w:r>
      <w:r w:rsidR="007114F2" w:rsidRPr="00D162EE">
        <w:t>and further submissions</w:t>
      </w:r>
      <w:r w:rsidR="00B55C7D" w:rsidRPr="00D162EE">
        <w:t xml:space="preserve"> –</w:t>
      </w:r>
      <w:r w:rsidRPr="00D162EE">
        <w:t xml:space="preserve"> clauses 6, 7(1), 7(2), 8 and 8(A) </w:t>
      </w:r>
    </w:p>
    <w:p w14:paraId="7260AC61" w14:textId="25A69766" w:rsidR="006B557B" w:rsidRPr="00D162EE" w:rsidRDefault="007114F2" w:rsidP="00B55C7D">
      <w:pPr>
        <w:pStyle w:val="Sub-lista"/>
        <w:ind w:left="397"/>
      </w:pPr>
      <w:r w:rsidRPr="00D162EE">
        <w:t>withdrawal of proposed policy statements and plans</w:t>
      </w:r>
      <w:r w:rsidR="006B557B" w:rsidRPr="00D162EE">
        <w:t xml:space="preserve"> </w:t>
      </w:r>
      <w:r w:rsidR="00B55C7D" w:rsidRPr="00D162EE">
        <w:t>–</w:t>
      </w:r>
      <w:r w:rsidR="006B557B" w:rsidRPr="00D162EE">
        <w:t xml:space="preserve"> clause 8D</w:t>
      </w:r>
    </w:p>
    <w:p w14:paraId="123CC6E8" w14:textId="616223A9" w:rsidR="007114F2" w:rsidRPr="00D162EE" w:rsidRDefault="006B557B" w:rsidP="00B55C7D">
      <w:pPr>
        <w:pStyle w:val="Sub-lista"/>
        <w:ind w:left="397"/>
      </w:pPr>
      <w:r w:rsidRPr="00D162EE">
        <w:t xml:space="preserve">amendments </w:t>
      </w:r>
      <w:r w:rsidRPr="00D162EE" w:rsidDel="00797891">
        <w:t xml:space="preserve">to proposed </w:t>
      </w:r>
      <w:r w:rsidRPr="00D162EE">
        <w:t xml:space="preserve">freshwater </w:t>
      </w:r>
      <w:r w:rsidRPr="00D162EE" w:rsidDel="00797891">
        <w:t>planning instrument</w:t>
      </w:r>
      <w:r w:rsidRPr="00D162EE">
        <w:t xml:space="preserve"> </w:t>
      </w:r>
      <w:r w:rsidR="00B55C7D" w:rsidRPr="00D162EE">
        <w:t>–</w:t>
      </w:r>
      <w:r w:rsidRPr="00D162EE">
        <w:t xml:space="preserve"> clauses 16 </w:t>
      </w:r>
    </w:p>
    <w:p w14:paraId="01C1FEED" w14:textId="542D5E4B" w:rsidR="006B557B" w:rsidRPr="00D162EE" w:rsidRDefault="007114F2" w:rsidP="00B55C7D">
      <w:pPr>
        <w:pStyle w:val="Sub-lista"/>
        <w:ind w:left="397"/>
      </w:pPr>
      <w:r w:rsidRPr="00D162EE">
        <w:t xml:space="preserve">variations to proposed freshwater planning instrument – clauses </w:t>
      </w:r>
      <w:r w:rsidR="006B557B" w:rsidRPr="00D162EE">
        <w:t>16A and 16B</w:t>
      </w:r>
      <w:r w:rsidRPr="00D162EE">
        <w:t xml:space="preserve"> (subject to</w:t>
      </w:r>
      <w:r w:rsidR="00B55C7D" w:rsidRPr="00D162EE">
        <w:t> </w:t>
      </w:r>
      <w:r w:rsidRPr="00D162EE">
        <w:t>approval by the Chief under clause 53 after planning documentation delivered to the</w:t>
      </w:r>
      <w:r w:rsidR="00B55C7D" w:rsidRPr="00D162EE">
        <w:t> </w:t>
      </w:r>
      <w:r w:rsidRPr="00D162EE">
        <w:t>Chief)</w:t>
      </w:r>
    </w:p>
    <w:p w14:paraId="0A5D7CFA" w14:textId="0A1B195F" w:rsidR="006B557B" w:rsidRPr="00D162EE" w:rsidRDefault="006B557B" w:rsidP="00B55C7D">
      <w:pPr>
        <w:pStyle w:val="Sub-lista"/>
        <w:ind w:left="397"/>
      </w:pPr>
      <w:r w:rsidRPr="00D162EE">
        <w:lastRenderedPageBreak/>
        <w:t>final consideration</w:t>
      </w:r>
      <w:r w:rsidR="007114F2" w:rsidRPr="00D162EE">
        <w:t xml:space="preserve"> of freshwater planning instrument</w:t>
      </w:r>
      <w:r w:rsidRPr="00D162EE">
        <w:t xml:space="preserve"> and operative date </w:t>
      </w:r>
      <w:r w:rsidR="00B55C7D" w:rsidRPr="00D162EE">
        <w:t>–</w:t>
      </w:r>
      <w:r w:rsidRPr="00D162EE">
        <w:t xml:space="preserve"> clauses 17 and</w:t>
      </w:r>
      <w:r w:rsidR="00B55C7D" w:rsidRPr="00D162EE">
        <w:t> </w:t>
      </w:r>
      <w:r w:rsidRPr="00D162EE">
        <w:t xml:space="preserve">20 </w:t>
      </w:r>
    </w:p>
    <w:p w14:paraId="3F90431D" w14:textId="0959C4CC" w:rsidR="006B557B" w:rsidRPr="00D162EE" w:rsidRDefault="006B557B" w:rsidP="00B55C7D">
      <w:pPr>
        <w:pStyle w:val="Sub-lista"/>
        <w:ind w:left="397"/>
      </w:pPr>
      <w:r w:rsidRPr="00D162EE">
        <w:t xml:space="preserve">correcting minor errors </w:t>
      </w:r>
      <w:r w:rsidRPr="00D162EE" w:rsidDel="00797891">
        <w:t>to</w:t>
      </w:r>
      <w:r w:rsidRPr="00D162EE">
        <w:t xml:space="preserve"> operative freshwater planning instruments </w:t>
      </w:r>
      <w:r w:rsidR="00B55C7D" w:rsidRPr="00D162EE">
        <w:t>–</w:t>
      </w:r>
      <w:r w:rsidRPr="00D162EE">
        <w:t xml:space="preserve"> clause 20A</w:t>
      </w:r>
    </w:p>
    <w:p w14:paraId="1C6B742A" w14:textId="3D039B4A" w:rsidR="006B557B" w:rsidRPr="00D162EE" w:rsidRDefault="007114F2" w:rsidP="00B55C7D">
      <w:pPr>
        <w:pStyle w:val="Sub-lista"/>
        <w:ind w:left="397"/>
      </w:pPr>
      <w:r w:rsidRPr="00D162EE">
        <w:t>for private plan change requests to a freshwater planning instrument</w:t>
      </w:r>
      <w:r w:rsidR="006B557B" w:rsidRPr="00D162EE">
        <w:t xml:space="preserve"> </w:t>
      </w:r>
      <w:r w:rsidR="00B55C7D" w:rsidRPr="00D162EE">
        <w:t>–</w:t>
      </w:r>
      <w:r w:rsidR="006B557B" w:rsidRPr="00D162EE">
        <w:t xml:space="preserve"> Part 2</w:t>
      </w:r>
      <w:r w:rsidRPr="00D162EE">
        <w:t xml:space="preserve"> of</w:t>
      </w:r>
      <w:r w:rsidR="006B557B" w:rsidRPr="00D162EE">
        <w:t xml:space="preserve"> Schedule</w:t>
      </w:r>
      <w:r w:rsidR="00B55C7D" w:rsidRPr="00D162EE">
        <w:t> </w:t>
      </w:r>
      <w:r w:rsidR="006B557B" w:rsidRPr="00D162EE">
        <w:t>1</w:t>
      </w:r>
      <w:r w:rsidRPr="00D162EE">
        <w:t xml:space="preserve"> applies</w:t>
      </w:r>
      <w:r w:rsidR="006B557B" w:rsidRPr="00D162EE">
        <w:t>.</w:t>
      </w:r>
    </w:p>
    <w:p w14:paraId="61542222" w14:textId="2A6A8165" w:rsidR="006B557B" w:rsidRPr="00D162EE" w:rsidRDefault="006B557B" w:rsidP="00B55C7D">
      <w:pPr>
        <w:pStyle w:val="BodyText"/>
        <w:rPr>
          <w:rFonts w:eastAsia="Calibri"/>
          <w:lang w:eastAsia="en-US"/>
        </w:rPr>
      </w:pPr>
      <w:r w:rsidRPr="00D162EE">
        <w:rPr>
          <w:rFonts w:eastAsia="Calibri"/>
          <w:b/>
          <w:lang w:eastAsia="en-US"/>
        </w:rPr>
        <w:t>Note:</w:t>
      </w:r>
      <w:r w:rsidRPr="00D162EE">
        <w:rPr>
          <w:rFonts w:eastAsia="Calibri"/>
          <w:lang w:eastAsia="en-US"/>
        </w:rPr>
        <w:t xml:space="preserve"> The remainder of Part 1 does not apply, unless it is expressly applied by subpart 4 of Part</w:t>
      </w:r>
      <w:r w:rsidR="00171D95">
        <w:rPr>
          <w:rFonts w:eastAsia="Calibri"/>
          <w:lang w:eastAsia="en-US"/>
        </w:rPr>
        <w:t> </w:t>
      </w:r>
      <w:r w:rsidRPr="00D162EE">
        <w:rPr>
          <w:rFonts w:eastAsia="Calibri"/>
          <w:lang w:eastAsia="en-US"/>
        </w:rPr>
        <w:t xml:space="preserve">5 (Section 80A) or Part 4 of Schedule 1 of the RMA. </w:t>
      </w:r>
    </w:p>
    <w:p w14:paraId="4D84AEEF" w14:textId="499651A5" w:rsidR="00052A77" w:rsidRPr="00D162EE" w:rsidRDefault="00052A77">
      <w:pPr>
        <w:pStyle w:val="Heading3"/>
      </w:pPr>
      <w:bookmarkStart w:id="83" w:name="_Toc50020668"/>
      <w:r w:rsidRPr="00D162EE">
        <w:t>Withdrawing a freshwater planning instrument</w:t>
      </w:r>
      <w:bookmarkEnd w:id="83"/>
    </w:p>
    <w:p w14:paraId="170DD6ED" w14:textId="467F4B62" w:rsidR="0065286D" w:rsidRPr="00D162EE" w:rsidRDefault="0065286D" w:rsidP="00B55C7D">
      <w:pPr>
        <w:pStyle w:val="BodyText"/>
      </w:pPr>
      <w:r w:rsidRPr="00D162EE">
        <w:t xml:space="preserve">A regional council can withdraw a freshwater planning instrument using the </w:t>
      </w:r>
      <w:r w:rsidR="00512BD1" w:rsidRPr="00D162EE">
        <w:t>standard</w:t>
      </w:r>
      <w:r w:rsidRPr="00D162EE">
        <w:t xml:space="preserve"> process contained in</w:t>
      </w:r>
      <w:r w:rsidR="00512BD1" w:rsidRPr="00D162EE">
        <w:t xml:space="preserve"> Schedule 1</w:t>
      </w:r>
      <w:r w:rsidRPr="00D162EE">
        <w:t>,</w:t>
      </w:r>
      <w:r w:rsidR="00512BD1" w:rsidRPr="00D162EE">
        <w:t xml:space="preserve"> clause 8D. A regional council can withdraw the instrument at any time</w:t>
      </w:r>
      <w:r w:rsidR="00171D95">
        <w:t> </w:t>
      </w:r>
      <w:r w:rsidR="00512BD1" w:rsidRPr="00D162EE">
        <w:t>if an appeal has not been made (or the appeal has been withdrawn), or an appeal has been made but the c</w:t>
      </w:r>
      <w:r w:rsidRPr="00D162EE">
        <w:t>ourt hearing has not commenced.</w:t>
      </w:r>
    </w:p>
    <w:p w14:paraId="026C6023" w14:textId="559433E6" w:rsidR="00512BD1" w:rsidRPr="00D162EE" w:rsidRDefault="00512BD1" w:rsidP="00D25566">
      <w:pPr>
        <w:pStyle w:val="BodyText"/>
      </w:pPr>
      <w:r w:rsidRPr="00D162EE">
        <w:t>The regional council must give public notice of the withdrawal, including reasons for the</w:t>
      </w:r>
      <w:r w:rsidR="00171D95">
        <w:t> </w:t>
      </w:r>
      <w:r w:rsidRPr="00D162EE">
        <w:t>withdrawal.</w:t>
      </w:r>
    </w:p>
    <w:p w14:paraId="7FF29EE8" w14:textId="6A717097" w:rsidR="0065286D" w:rsidRPr="00D162EE" w:rsidRDefault="0065286D" w:rsidP="00B55C7D">
      <w:pPr>
        <w:pStyle w:val="Heading2"/>
      </w:pPr>
      <w:bookmarkStart w:id="84" w:name="_Toc50020669"/>
      <w:bookmarkStart w:id="85" w:name="_Toc50469813"/>
      <w:r w:rsidRPr="00D162EE">
        <w:t>The F</w:t>
      </w:r>
      <w:r w:rsidR="0033229B">
        <w:t xml:space="preserve">reshwater </w:t>
      </w:r>
      <w:r w:rsidRPr="00D162EE">
        <w:t>P</w:t>
      </w:r>
      <w:r w:rsidR="0033229B">
        <w:t xml:space="preserve">lanning </w:t>
      </w:r>
      <w:r w:rsidRPr="00D162EE">
        <w:t>P</w:t>
      </w:r>
      <w:r w:rsidR="0033229B">
        <w:t>rocess</w:t>
      </w:r>
      <w:r w:rsidRPr="00D162EE">
        <w:t xml:space="preserve"> and other planning processes</w:t>
      </w:r>
      <w:bookmarkEnd w:id="84"/>
      <w:bookmarkEnd w:id="85"/>
    </w:p>
    <w:p w14:paraId="57425612" w14:textId="7D244415" w:rsidR="002F641E" w:rsidRPr="00D162EE" w:rsidRDefault="002F641E" w:rsidP="00B55C7D">
      <w:pPr>
        <w:pStyle w:val="Heading3"/>
        <w:spacing w:before="240"/>
      </w:pPr>
      <w:bookmarkStart w:id="86" w:name="_Toc50020670"/>
      <w:r w:rsidRPr="00D162EE">
        <w:t xml:space="preserve">Calling-in </w:t>
      </w:r>
      <w:r w:rsidR="009437D7" w:rsidRPr="00D162EE">
        <w:t>a freshwater planning instrument</w:t>
      </w:r>
      <w:bookmarkEnd w:id="86"/>
    </w:p>
    <w:p w14:paraId="07C3DA05" w14:textId="771E42AB" w:rsidR="00A40586" w:rsidRPr="00D162EE" w:rsidRDefault="0065286D" w:rsidP="00B55C7D">
      <w:pPr>
        <w:pStyle w:val="BodyText"/>
        <w:rPr>
          <w:rFonts w:eastAsia="Times New Roman"/>
        </w:rPr>
      </w:pPr>
      <w:r w:rsidRPr="00D162EE">
        <w:rPr>
          <w:rFonts w:eastAsia="Times New Roman"/>
        </w:rPr>
        <w:t>The</w:t>
      </w:r>
      <w:r w:rsidR="00A40586" w:rsidRPr="00D162EE">
        <w:rPr>
          <w:rFonts w:eastAsia="Times New Roman"/>
        </w:rPr>
        <w:t xml:space="preserve"> </w:t>
      </w:r>
      <w:r w:rsidR="009E44B0" w:rsidRPr="00D162EE">
        <w:rPr>
          <w:rFonts w:eastAsia="Times New Roman"/>
        </w:rPr>
        <w:t>Minister</w:t>
      </w:r>
      <w:r w:rsidR="00A40586" w:rsidRPr="00D162EE">
        <w:rPr>
          <w:rFonts w:eastAsia="Times New Roman"/>
        </w:rPr>
        <w:t xml:space="preserve"> for the Environment </w:t>
      </w:r>
      <w:r w:rsidRPr="00D162EE">
        <w:rPr>
          <w:rFonts w:eastAsia="Times New Roman"/>
        </w:rPr>
        <w:t xml:space="preserve">may still </w:t>
      </w:r>
      <w:r w:rsidR="00A40586" w:rsidRPr="00D162EE">
        <w:t>call</w:t>
      </w:r>
      <w:r w:rsidR="00A40586" w:rsidRPr="00D162EE">
        <w:rPr>
          <w:rFonts w:eastAsia="Times New Roman"/>
        </w:rPr>
        <w:t xml:space="preserve">-in </w:t>
      </w:r>
      <w:r w:rsidR="003C2DDB" w:rsidRPr="00D162EE">
        <w:rPr>
          <w:rFonts w:eastAsia="Times New Roman"/>
        </w:rPr>
        <w:t>a freshwater planning instrument as a proposal of national significance</w:t>
      </w:r>
      <w:r w:rsidRPr="00D162EE">
        <w:rPr>
          <w:rFonts w:eastAsia="Times New Roman"/>
        </w:rPr>
        <w:t xml:space="preserve"> under section 142 (see section 80A(7)).</w:t>
      </w:r>
    </w:p>
    <w:p w14:paraId="3FF934DF" w14:textId="6B5A230F" w:rsidR="009511FA" w:rsidRPr="00D162EE" w:rsidRDefault="00360027">
      <w:pPr>
        <w:pStyle w:val="Heading3"/>
      </w:pPr>
      <w:bookmarkStart w:id="87" w:name="_Toc50020671"/>
      <w:r w:rsidRPr="00D162EE">
        <w:t>F</w:t>
      </w:r>
      <w:r w:rsidR="0033229B">
        <w:t xml:space="preserve">reshwater </w:t>
      </w:r>
      <w:r w:rsidRPr="00D162EE">
        <w:t>P</w:t>
      </w:r>
      <w:r w:rsidR="0033229B">
        <w:t xml:space="preserve">lanning </w:t>
      </w:r>
      <w:r w:rsidRPr="00D162EE">
        <w:t>P</w:t>
      </w:r>
      <w:r w:rsidR="0033229B">
        <w:t>rocess</w:t>
      </w:r>
      <w:r w:rsidR="006B557B" w:rsidRPr="00D162EE">
        <w:t xml:space="preserve"> and</w:t>
      </w:r>
      <w:r w:rsidRPr="00D162EE">
        <w:t xml:space="preserve"> the </w:t>
      </w:r>
      <w:r w:rsidR="009E44B0" w:rsidRPr="00D162EE">
        <w:t>Streamlined Planning Process</w:t>
      </w:r>
      <w:bookmarkEnd w:id="87"/>
      <w:r w:rsidR="009E44B0" w:rsidRPr="00D162EE">
        <w:t xml:space="preserve"> </w:t>
      </w:r>
    </w:p>
    <w:p w14:paraId="035F8F7F" w14:textId="3D2CB7C1" w:rsidR="0065286D" w:rsidRPr="00D162EE" w:rsidRDefault="009E44B0" w:rsidP="00B55C7D">
      <w:pPr>
        <w:pStyle w:val="BodyText"/>
      </w:pPr>
      <w:r w:rsidRPr="00D162EE">
        <w:t xml:space="preserve">The Streamlined Planning Process </w:t>
      </w:r>
      <w:r w:rsidR="0065286D" w:rsidRPr="00D162EE">
        <w:t xml:space="preserve">is not available for </w:t>
      </w:r>
      <w:r w:rsidR="00021EA2" w:rsidRPr="00D162EE">
        <w:t>freshwater planning instrument</w:t>
      </w:r>
      <w:r w:rsidR="0065286D" w:rsidRPr="00D162EE">
        <w:t>s or freshwater related parts of planning instruments</w:t>
      </w:r>
      <w:r w:rsidR="00A37255" w:rsidRPr="00D162EE">
        <w:t xml:space="preserve"> (section 80C(2))</w:t>
      </w:r>
      <w:r w:rsidR="0065286D" w:rsidRPr="00D162EE">
        <w:t>.</w:t>
      </w:r>
    </w:p>
    <w:p w14:paraId="566E32BD" w14:textId="67F30D54" w:rsidR="000C4D35" w:rsidRPr="00D162EE" w:rsidRDefault="0065286D" w:rsidP="00B55C7D">
      <w:pPr>
        <w:pStyle w:val="BodyText"/>
        <w:rPr>
          <w:sz w:val="20"/>
        </w:rPr>
      </w:pPr>
      <w:r w:rsidRPr="00D162EE">
        <w:t xml:space="preserve">However, where a planning instrument contains </w:t>
      </w:r>
      <w:r w:rsidR="00083CD7" w:rsidRPr="00D162EE">
        <w:t>non-</w:t>
      </w:r>
      <w:r w:rsidRPr="00D162EE">
        <w:t xml:space="preserve">freshwater </w:t>
      </w:r>
      <w:r w:rsidR="00083CD7" w:rsidRPr="00D162EE">
        <w:t>related</w:t>
      </w:r>
      <w:r w:rsidRPr="00D162EE">
        <w:t xml:space="preserve"> provisions, </w:t>
      </w:r>
      <w:r w:rsidR="00083CD7" w:rsidRPr="00D162EE">
        <w:t xml:space="preserve">a regional council may apply for a direction for a </w:t>
      </w:r>
      <w:r w:rsidR="00A37255" w:rsidRPr="00D162EE">
        <w:t>streamlined planning process</w:t>
      </w:r>
      <w:r w:rsidR="00456193" w:rsidRPr="00D162EE">
        <w:t xml:space="preserve"> for those aspects</w:t>
      </w:r>
      <w:r w:rsidR="006E4ECB" w:rsidRPr="00D162EE">
        <w:t>.</w:t>
      </w:r>
    </w:p>
    <w:p w14:paraId="72A157CB" w14:textId="56BFCA83" w:rsidR="0065286D" w:rsidRPr="00D162EE" w:rsidRDefault="0065286D" w:rsidP="0065286D">
      <w:pPr>
        <w:pStyle w:val="Heading3"/>
      </w:pPr>
      <w:bookmarkStart w:id="88" w:name="_Toc50020672"/>
      <w:r w:rsidRPr="00D162EE">
        <w:t>F</w:t>
      </w:r>
      <w:r w:rsidR="0033229B">
        <w:t xml:space="preserve">reshwater </w:t>
      </w:r>
      <w:r w:rsidRPr="00D162EE">
        <w:t>P</w:t>
      </w:r>
      <w:r w:rsidR="0033229B">
        <w:t xml:space="preserve">lanning </w:t>
      </w:r>
      <w:r w:rsidRPr="00D162EE">
        <w:t>P</w:t>
      </w:r>
      <w:r w:rsidR="0033229B">
        <w:t>rocess</w:t>
      </w:r>
      <w:r w:rsidRPr="00D162EE">
        <w:t xml:space="preserve"> and private plan changes</w:t>
      </w:r>
      <w:bookmarkEnd w:id="88"/>
      <w:r w:rsidRPr="00D162EE">
        <w:t xml:space="preserve"> </w:t>
      </w:r>
    </w:p>
    <w:p w14:paraId="7237703B" w14:textId="1C84B8B7" w:rsidR="0065286D" w:rsidRPr="00171D95" w:rsidRDefault="000F6D84" w:rsidP="00B55C7D">
      <w:pPr>
        <w:pStyle w:val="BodyText"/>
      </w:pPr>
      <w:r w:rsidRPr="00D162EE">
        <w:t>Parties may still seek a</w:t>
      </w:r>
      <w:r w:rsidR="0065286D" w:rsidRPr="00D162EE">
        <w:t xml:space="preserve"> private plan </w:t>
      </w:r>
      <w:r w:rsidR="006E4ECB" w:rsidRPr="00D162EE">
        <w:t xml:space="preserve">change </w:t>
      </w:r>
      <w:r w:rsidRPr="00D162EE">
        <w:t>for freshwater planning instruments</w:t>
      </w:r>
      <w:r w:rsidR="0065286D" w:rsidRPr="00D162EE">
        <w:t xml:space="preserve"> </w:t>
      </w:r>
      <w:r w:rsidR="00A37255" w:rsidRPr="00D162EE">
        <w:t>(section 80A(6)(c)).</w:t>
      </w:r>
    </w:p>
    <w:p w14:paraId="4A69D6EC" w14:textId="67EFE447" w:rsidR="0065286D" w:rsidRPr="00D162EE" w:rsidRDefault="0065286D" w:rsidP="00B55C7D">
      <w:pPr>
        <w:pStyle w:val="BodyText"/>
      </w:pPr>
      <w:r w:rsidRPr="00D162EE">
        <w:t xml:space="preserve">If a regional council receives a request to change provisions that are relevant to a freshwater planning instrument before the council has given effect to the NPS-FM 2020, the council should consider whether the private plan change is premature or may otherwise undermine the development of the </w:t>
      </w:r>
      <w:r w:rsidR="00BC33FF" w:rsidRPr="00D162EE">
        <w:t>freshwater planning instrument.</w:t>
      </w:r>
    </w:p>
    <w:sectPr w:rsidR="0065286D" w:rsidRPr="00D162EE" w:rsidSect="00C73EC6">
      <w:footerReference w:type="even" r:id="rId26"/>
      <w:footerReference w:type="default" r:id="rId27"/>
      <w:pgSz w:w="11906" w:h="16838" w:code="9"/>
      <w:pgMar w:top="1134" w:right="1701" w:bottom="1134" w:left="1701"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38F7" w16cex:dateUtc="2020-09-02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E00AE3" w16cid:durableId="22FB2DF0"/>
  <w16cid:commentId w16cid:paraId="2E708C51" w16cid:durableId="22FB2DF1"/>
  <w16cid:commentId w16cid:paraId="7DF74AA7" w16cid:durableId="22FB38F7"/>
  <w16cid:commentId w16cid:paraId="4ECE8630" w16cid:durableId="22FB2D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75159" w14:textId="77777777" w:rsidR="00694789" w:rsidRDefault="00694789" w:rsidP="000C4D35">
      <w:pPr>
        <w:spacing w:before="0" w:after="0" w:line="240" w:lineRule="auto"/>
      </w:pPr>
      <w:r>
        <w:separator/>
      </w:r>
    </w:p>
  </w:endnote>
  <w:endnote w:type="continuationSeparator" w:id="0">
    <w:p w14:paraId="1FCE95C7" w14:textId="77777777" w:rsidR="00694789" w:rsidRDefault="00694789" w:rsidP="000C4D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321ED" w14:textId="77777777" w:rsidR="003E4BB2" w:rsidRDefault="003E4BB2" w:rsidP="008E0734">
    <w:pPr>
      <w:spacing w:before="24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AFF84" w14:textId="6893825A" w:rsidR="003E4BB2" w:rsidRPr="000C4D35" w:rsidRDefault="003E4BB2" w:rsidP="000C4D35">
    <w:pPr>
      <w:pStyle w:val="Footer"/>
      <w:ind w:firstLine="1440"/>
      <w:jc w:val="right"/>
      <w:rPr>
        <w:sz w:val="20"/>
      </w:rPr>
    </w:pPr>
  </w:p>
  <w:p w14:paraId="1A693F40" w14:textId="77777777" w:rsidR="003E4BB2" w:rsidRDefault="003E4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96A7B" w14:textId="77777777" w:rsidR="00A10A4F" w:rsidRDefault="00A10A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FD35A" w14:textId="47D2ADC2" w:rsidR="003E4BB2" w:rsidRDefault="003E4BB2" w:rsidP="00C73EC6">
    <w:pPr>
      <w:pStyle w:val="Footereven"/>
    </w:pPr>
    <w:r>
      <w:fldChar w:fldCharType="begin"/>
    </w:r>
    <w:r>
      <w:instrText xml:space="preserve"> PAGE   \* MERGEFORMAT </w:instrText>
    </w:r>
    <w:r>
      <w:fldChar w:fldCharType="separate"/>
    </w:r>
    <w:r w:rsidR="007A4C71">
      <w:rPr>
        <w:noProof/>
      </w:rPr>
      <w:t>26</w:t>
    </w:r>
    <w:r>
      <w:rPr>
        <w:noProof/>
      </w:rPr>
      <w:fldChar w:fldCharType="end"/>
    </w:r>
    <w:r>
      <w:rPr>
        <w:noProof/>
      </w:rPr>
      <w:tab/>
    </w:r>
    <w:r>
      <w:t xml:space="preserve">A new </w:t>
    </w:r>
    <w:r w:rsidRPr="000C4D35">
      <w:t>Freshwater Planning Process</w:t>
    </w:r>
    <w:r>
      <w:t>: Technical guidance for councils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4E420" w14:textId="1019F3C2" w:rsidR="003E4BB2" w:rsidRPr="000C4D35" w:rsidRDefault="003E4BB2" w:rsidP="00C73EC6">
    <w:pPr>
      <w:pStyle w:val="Footerodd"/>
      <w:rPr>
        <w:noProof/>
      </w:rPr>
    </w:pPr>
    <w:r>
      <w:tab/>
      <w:t xml:space="preserve">A new </w:t>
    </w:r>
    <w:r w:rsidRPr="000C4D35">
      <w:t>Freshwater Planning Process</w:t>
    </w:r>
    <w:r>
      <w:t>: Technical guidance for councils</w:t>
    </w:r>
    <w:r w:rsidRPr="000C4D35">
      <w:tab/>
    </w:r>
    <w:sdt>
      <w:sdtPr>
        <w:id w:val="-1157377258"/>
        <w:docPartObj>
          <w:docPartGallery w:val="Page Numbers (Bottom of Page)"/>
          <w:docPartUnique/>
        </w:docPartObj>
      </w:sdtPr>
      <w:sdtEndPr>
        <w:rPr>
          <w:noProof/>
        </w:rPr>
      </w:sdtEndPr>
      <w:sdtContent>
        <w:r w:rsidRPr="000C4D35">
          <w:fldChar w:fldCharType="begin"/>
        </w:r>
        <w:r w:rsidRPr="000C4D35">
          <w:instrText xml:space="preserve"> PAGE   \* MERGEFORMAT </w:instrText>
        </w:r>
        <w:r w:rsidRPr="000C4D35">
          <w:fldChar w:fldCharType="separate"/>
        </w:r>
        <w:r w:rsidR="007A4C71">
          <w:rPr>
            <w:noProof/>
          </w:rPr>
          <w:t>25</w:t>
        </w:r>
        <w:r w:rsidRPr="000C4D3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2DDD0" w14:textId="77777777" w:rsidR="00694789" w:rsidRDefault="00694789" w:rsidP="000C4D35">
      <w:pPr>
        <w:spacing w:before="0" w:after="0" w:line="240" w:lineRule="auto"/>
      </w:pPr>
      <w:r>
        <w:separator/>
      </w:r>
    </w:p>
  </w:footnote>
  <w:footnote w:type="continuationSeparator" w:id="0">
    <w:p w14:paraId="0A3B4514" w14:textId="77777777" w:rsidR="00694789" w:rsidRDefault="00694789" w:rsidP="000C4D35">
      <w:pPr>
        <w:spacing w:before="0" w:after="0" w:line="240" w:lineRule="auto"/>
      </w:pPr>
      <w:r>
        <w:continuationSeparator/>
      </w:r>
    </w:p>
  </w:footnote>
  <w:footnote w:id="1">
    <w:p w14:paraId="36C57AD3" w14:textId="4151C889" w:rsidR="003E4BB2" w:rsidRDefault="003E4BB2" w:rsidP="00373558">
      <w:pPr>
        <w:pStyle w:val="FootnoteText"/>
      </w:pPr>
      <w:r>
        <w:rPr>
          <w:rStyle w:val="FootnoteReference"/>
        </w:rPr>
        <w:footnoteRef/>
      </w:r>
      <w:r>
        <w:t xml:space="preserve"> </w:t>
      </w:r>
      <w:r>
        <w:tab/>
      </w:r>
      <w:r w:rsidRPr="002446D4">
        <w:rPr>
          <w:rFonts w:eastAsia="Times New Roman"/>
        </w:rPr>
        <w:t xml:space="preserve">The </w:t>
      </w:r>
      <w:r w:rsidRPr="00373558">
        <w:t>National</w:t>
      </w:r>
      <w:r w:rsidRPr="002446D4">
        <w:rPr>
          <w:rFonts w:eastAsia="Times New Roman"/>
        </w:rPr>
        <w:t xml:space="preserve"> Policy Statement for Freshwater Manage</w:t>
      </w:r>
      <w:r>
        <w:rPr>
          <w:rFonts w:eastAsia="Times New Roman"/>
        </w:rPr>
        <w:t>ment was first produced in 2011 and</w:t>
      </w:r>
      <w:r w:rsidRPr="002446D4">
        <w:rPr>
          <w:rFonts w:eastAsia="Times New Roman"/>
        </w:rPr>
        <w:t xml:space="preserve"> amended in 2014 and 2017. The latest version is the NPS-FM 2020. </w:t>
      </w:r>
    </w:p>
  </w:footnote>
  <w:footnote w:id="2">
    <w:p w14:paraId="11E7EE92" w14:textId="7986F48E" w:rsidR="003E4BB2" w:rsidRPr="00F21268" w:rsidRDefault="003E4BB2" w:rsidP="00373558">
      <w:pPr>
        <w:pStyle w:val="FootnoteText"/>
      </w:pPr>
      <w:r>
        <w:rPr>
          <w:rStyle w:val="FootnoteReference"/>
        </w:rPr>
        <w:footnoteRef/>
      </w:r>
      <w:r>
        <w:t xml:space="preserve"> </w:t>
      </w:r>
      <w:r>
        <w:tab/>
      </w:r>
      <w:r w:rsidRPr="00373558">
        <w:t>Ministry</w:t>
      </w:r>
      <w:r w:rsidRPr="00F21268">
        <w:t xml:space="preserve"> for the Environment. 2017. National Policy Statement for Freshwater Management Implementation Review: National Themes Report. Wellington: Ministry for the Environment.</w:t>
      </w:r>
    </w:p>
  </w:footnote>
  <w:footnote w:id="3">
    <w:p w14:paraId="50BE26A4" w14:textId="4960D2B0" w:rsidR="003E4BB2" w:rsidRDefault="003E4BB2" w:rsidP="00373558">
      <w:pPr>
        <w:pStyle w:val="FootnoteText"/>
      </w:pPr>
      <w:r>
        <w:rPr>
          <w:rStyle w:val="FootnoteReference"/>
        </w:rPr>
        <w:footnoteRef/>
      </w:r>
      <w:r>
        <w:t xml:space="preserve"> </w:t>
      </w:r>
      <w:r>
        <w:tab/>
      </w:r>
      <w:r>
        <w:rPr>
          <w:rFonts w:eastAsia="Calibri"/>
          <w:lang w:eastAsia="en-US"/>
        </w:rPr>
        <w:t xml:space="preserve">As well as new </w:t>
      </w:r>
      <w:r w:rsidRPr="00D92C77">
        <w:rPr>
          <w:rFonts w:eastAsia="Calibri"/>
          <w:lang w:eastAsia="en-US"/>
        </w:rPr>
        <w:t>clause 5(2A) in Schedule 1 and new and amended definitions in section 2(1) of the RMA.</w:t>
      </w:r>
    </w:p>
  </w:footnote>
  <w:footnote w:id="4">
    <w:p w14:paraId="0E7442AF" w14:textId="64B70736" w:rsidR="003E4BB2" w:rsidRPr="00443663" w:rsidRDefault="003E4BB2" w:rsidP="003C06BA">
      <w:pPr>
        <w:pStyle w:val="FootnoteText"/>
      </w:pPr>
      <w:r>
        <w:rPr>
          <w:rStyle w:val="FootnoteReference"/>
        </w:rPr>
        <w:footnoteRef/>
      </w:r>
      <w:r>
        <w:t xml:space="preserve"> </w:t>
      </w:r>
      <w:r>
        <w:tab/>
        <w:t>“</w:t>
      </w:r>
      <w:r w:rsidRPr="00E8159D">
        <w:rPr>
          <w:b/>
        </w:rPr>
        <w:t>Chief Freshwater Commissioner</w:t>
      </w:r>
      <w:r w:rsidRPr="00E8159D">
        <w:t xml:space="preserve"> means the Chief Freshwater Commis</w:t>
      </w:r>
      <w:r>
        <w:t>sioner appointed under clause 65</w:t>
      </w:r>
      <w:r w:rsidRPr="00E8159D">
        <w:t>(3) of Schedule 1</w:t>
      </w:r>
      <w:r>
        <w:t>” (section 2(1)).</w:t>
      </w:r>
    </w:p>
  </w:footnote>
  <w:footnote w:id="5">
    <w:p w14:paraId="02A13E2F" w14:textId="77777777" w:rsidR="003E4BB2" w:rsidRDefault="003E4BB2" w:rsidP="001576C6">
      <w:pPr>
        <w:pStyle w:val="FootnoteText"/>
      </w:pPr>
      <w:r>
        <w:rPr>
          <w:rStyle w:val="FootnoteReference"/>
        </w:rPr>
        <w:footnoteRef/>
      </w:r>
      <w:r>
        <w:tab/>
        <w:t>“</w:t>
      </w:r>
      <w:r w:rsidRPr="00E8159D">
        <w:rPr>
          <w:b/>
        </w:rPr>
        <w:t>Freshwater commissioner</w:t>
      </w:r>
      <w:r w:rsidRPr="00E8159D">
        <w:t xml:space="preserve"> means a person appointed by the Minister under clause 62</w:t>
      </w:r>
      <w:r>
        <w:t xml:space="preserve"> </w:t>
      </w:r>
      <w:r w:rsidRPr="00E8159D">
        <w:t>of Schedule 1</w:t>
      </w:r>
      <w:r>
        <w:t>”</w:t>
      </w:r>
      <w:r w:rsidRPr="00443663">
        <w:t xml:space="preserve"> </w:t>
      </w:r>
      <w:r>
        <w:t>(section 2(1)).</w:t>
      </w:r>
    </w:p>
  </w:footnote>
  <w:footnote w:id="6">
    <w:p w14:paraId="35ADDA2D" w14:textId="511DD717" w:rsidR="003E4BB2" w:rsidRPr="0013058A" w:rsidRDefault="003E4BB2" w:rsidP="0013058A">
      <w:pPr>
        <w:pStyle w:val="FootnoteText"/>
      </w:pPr>
      <w:r>
        <w:rPr>
          <w:rStyle w:val="FootnoteReference"/>
        </w:rPr>
        <w:footnoteRef/>
      </w:r>
      <w:r>
        <w:t xml:space="preserve"> </w:t>
      </w:r>
      <w:r>
        <w:tab/>
        <w:t>“</w:t>
      </w:r>
      <w:r w:rsidRPr="002F2B98">
        <w:rPr>
          <w:b/>
        </w:rPr>
        <w:t>Freshwater planning process</w:t>
      </w:r>
      <w:r w:rsidRPr="002F2B98">
        <w:t xml:space="preserve"> means the process set out in subpart 4 of Part 5 (section 80A) and Part 4 of</w:t>
      </w:r>
      <w:r>
        <w:t> </w:t>
      </w:r>
      <w:r w:rsidRPr="002F2B98">
        <w:t>Schedule 1</w:t>
      </w:r>
      <w:r>
        <w:t>” (s</w:t>
      </w:r>
      <w:r w:rsidRPr="002F2B98">
        <w:t>ection 2(1)</w:t>
      </w:r>
      <w:r>
        <w:t>)</w:t>
      </w:r>
    </w:p>
  </w:footnote>
  <w:footnote w:id="7">
    <w:p w14:paraId="4DA3E899" w14:textId="1749CE22" w:rsidR="003E4BB2" w:rsidRDefault="003E4BB2" w:rsidP="0013058A">
      <w:pPr>
        <w:pStyle w:val="FootnoteText"/>
      </w:pPr>
      <w:r>
        <w:rPr>
          <w:rStyle w:val="FootnoteReference"/>
        </w:rPr>
        <w:footnoteRef/>
      </w:r>
      <w:r>
        <w:t xml:space="preserve"> </w:t>
      </w:r>
      <w:r>
        <w:tab/>
        <w:t>Section 80A of the RMA indicates that</w:t>
      </w:r>
      <w:r w:rsidRPr="000E0C9F">
        <w:t xml:space="preserve"> </w:t>
      </w:r>
      <w:r>
        <w:t xml:space="preserve">pre-notification </w:t>
      </w:r>
      <w:r w:rsidRPr="000E0C9F">
        <w:t>process</w:t>
      </w:r>
      <w:r>
        <w:t>es</w:t>
      </w:r>
      <w:r w:rsidRPr="000E0C9F">
        <w:t xml:space="preserve"> </w:t>
      </w:r>
      <w:r>
        <w:t>under Schedule 1, clause 3.</w:t>
      </w:r>
    </w:p>
  </w:footnote>
  <w:footnote w:id="8">
    <w:p w14:paraId="5105C2EC" w14:textId="05759EE9" w:rsidR="003E4BB2" w:rsidRDefault="003E4BB2" w:rsidP="0013058A">
      <w:pPr>
        <w:pStyle w:val="FootnoteText"/>
      </w:pPr>
      <w:r>
        <w:rPr>
          <w:rStyle w:val="FootnoteReference"/>
        </w:rPr>
        <w:footnoteRef/>
      </w:r>
      <w:r>
        <w:t xml:space="preserve"> </w:t>
      </w:r>
      <w:r>
        <w:tab/>
        <w:t>Section 80A(4)(b).</w:t>
      </w:r>
    </w:p>
  </w:footnote>
  <w:footnote w:id="9">
    <w:p w14:paraId="1CEE3662" w14:textId="580B74AB" w:rsidR="003E4BB2" w:rsidRDefault="003E4BB2" w:rsidP="005A76F1">
      <w:pPr>
        <w:pStyle w:val="FootnoteText"/>
      </w:pPr>
      <w:r>
        <w:rPr>
          <w:rStyle w:val="FootnoteReference"/>
        </w:rPr>
        <w:footnoteRef/>
      </w:r>
      <w:r>
        <w:t xml:space="preserve"> </w:t>
      </w:r>
      <w:r>
        <w:tab/>
        <w:t xml:space="preserve">Note the section 2(1) </w:t>
      </w:r>
      <w:r>
        <w:rPr>
          <w:rFonts w:eastAsia="Calibri"/>
          <w:lang w:eastAsia="en-US"/>
        </w:rPr>
        <w:t>definition of “fresh water” specifically excludes coastal water.</w:t>
      </w:r>
    </w:p>
  </w:footnote>
  <w:footnote w:id="10">
    <w:p w14:paraId="030B746F" w14:textId="4F5C76B6" w:rsidR="003E4BB2" w:rsidRDefault="003E4BB2" w:rsidP="00C31EA8">
      <w:pPr>
        <w:pStyle w:val="FootnoteText"/>
      </w:pPr>
      <w:r>
        <w:rPr>
          <w:rStyle w:val="FootnoteReference"/>
        </w:rPr>
        <w:footnoteRef/>
      </w:r>
      <w:r>
        <w:t xml:space="preserve"> </w:t>
      </w:r>
      <w:r>
        <w:tab/>
      </w:r>
      <w:r w:rsidRPr="00AE62F5">
        <w:t xml:space="preserve">“Relevant” here means applicable to the iwi of the area, to the planning matters involved and to the </w:t>
      </w:r>
      <w:r>
        <w:t xml:space="preserve">freshwater </w:t>
      </w:r>
      <w:r w:rsidRPr="00AE62F5">
        <w:t>planning instrument being proposed.</w:t>
      </w:r>
    </w:p>
  </w:footnote>
  <w:footnote w:id="11">
    <w:p w14:paraId="6E66EF26" w14:textId="29430EF7" w:rsidR="003E4BB2" w:rsidRDefault="003E4BB2">
      <w:pPr>
        <w:pStyle w:val="FootnoteText"/>
      </w:pPr>
      <w:r>
        <w:rPr>
          <w:rStyle w:val="FootnoteReference"/>
        </w:rPr>
        <w:footnoteRef/>
      </w:r>
      <w:r>
        <w:t xml:space="preserve"> </w:t>
      </w:r>
      <w:r>
        <w:tab/>
        <w:t>Section 80A(4) RMA.</w:t>
      </w:r>
    </w:p>
  </w:footnote>
  <w:footnote w:id="12">
    <w:p w14:paraId="54D8B698" w14:textId="28F648C8" w:rsidR="003E4BB2" w:rsidRPr="000A37DC" w:rsidRDefault="003E4BB2" w:rsidP="00C31EA8">
      <w:pPr>
        <w:pStyle w:val="FootnoteText"/>
      </w:pPr>
      <w:r>
        <w:rPr>
          <w:rStyle w:val="FootnoteReference"/>
        </w:rPr>
        <w:footnoteRef/>
      </w:r>
      <w:r>
        <w:t xml:space="preserve"> </w:t>
      </w:r>
      <w:r>
        <w:tab/>
        <w:t>“</w:t>
      </w:r>
      <w:r w:rsidRPr="00E8159D">
        <w:rPr>
          <w:b/>
        </w:rPr>
        <w:t>Freshwater hearings panel</w:t>
      </w:r>
      <w:r w:rsidRPr="00E8159D">
        <w:t xml:space="preserve"> means a </w:t>
      </w:r>
      <w:r w:rsidRPr="00C31EA8">
        <w:t>panel</w:t>
      </w:r>
      <w:r w:rsidRPr="00E8159D">
        <w:t xml:space="preserve"> convened under clause 38 of Schedule 1</w:t>
      </w:r>
      <w:r>
        <w:t>” (section 2(1)).</w:t>
      </w:r>
    </w:p>
  </w:footnote>
  <w:footnote w:id="13">
    <w:p w14:paraId="63ECA96C" w14:textId="5360EC9D" w:rsidR="003E4BB2" w:rsidRDefault="003E4BB2" w:rsidP="004B6EF7">
      <w:pPr>
        <w:pStyle w:val="FootnoteText"/>
      </w:pPr>
      <w:r>
        <w:rPr>
          <w:rStyle w:val="FootnoteReference"/>
        </w:rPr>
        <w:footnoteRef/>
      </w:r>
      <w:r>
        <w:t xml:space="preserve"> </w:t>
      </w:r>
      <w:r>
        <w:tab/>
      </w:r>
      <w:r>
        <w:rPr>
          <w:lang w:eastAsia="en-US"/>
        </w:rPr>
        <w:t>Note a</w:t>
      </w:r>
      <w:r w:rsidRPr="0052127E">
        <w:rPr>
          <w:lang w:eastAsia="en-US"/>
        </w:rPr>
        <w:t xml:space="preserve"> regional council may be excused by the panel from attending or remaining at the hearing</w:t>
      </w:r>
      <w:r>
        <w:rPr>
          <w:lang w:eastAsia="en-US"/>
        </w:rPr>
        <w:t xml:space="preserve"> (clause 42(2))</w:t>
      </w:r>
      <w:r w:rsidRPr="0052127E">
        <w:rPr>
          <w:lang w:eastAsia="en-US"/>
        </w:rPr>
        <w:t>.</w:t>
      </w:r>
    </w:p>
  </w:footnote>
  <w:footnote w:id="14">
    <w:p w14:paraId="594CB50C" w14:textId="0CEE7B98" w:rsidR="003E4BB2" w:rsidRDefault="003E4BB2" w:rsidP="006856E3">
      <w:pPr>
        <w:pStyle w:val="FootnoteText"/>
      </w:pPr>
      <w:r>
        <w:rPr>
          <w:rStyle w:val="FootnoteReference"/>
        </w:rPr>
        <w:footnoteRef/>
      </w:r>
      <w:r>
        <w:t xml:space="preserve"> </w:t>
      </w:r>
      <w:r>
        <w:tab/>
        <w:t>Resource Management Act 1991, section 80A(9).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16357" w14:textId="77777777" w:rsidR="00A10A4F" w:rsidRDefault="00A10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3A2C5" w14:textId="13DD9B40" w:rsidR="003E4BB2" w:rsidRDefault="003E4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E0551" w14:textId="77777777" w:rsidR="00A10A4F" w:rsidRDefault="00A10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1D9C2037"/>
    <w:multiLevelType w:val="multilevel"/>
    <w:tmpl w:val="7004E4F0"/>
    <w:lvl w:ilvl="0">
      <w:start w:val="1"/>
      <w:numFmt w:val="decimal"/>
      <w:pStyle w:val="Questionnumbers"/>
      <w:lvlText w:val="Question %1."/>
      <w:lvlJc w:val="left"/>
      <w:pPr>
        <w:ind w:left="851" w:hanging="567"/>
      </w:pPr>
      <w:rPr>
        <w:rFonts w:ascii="Calibri" w:hAnsi="Calibri" w:hint="default"/>
        <w:b w:val="0"/>
        <w:i w:val="0"/>
        <w:sz w:val="20"/>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3" w15:restartNumberingAfterBreak="0">
    <w:nsid w:val="204F1D2E"/>
    <w:multiLevelType w:val="multilevel"/>
    <w:tmpl w:val="78387896"/>
    <w:lvl w:ilvl="0">
      <w:start w:val="1"/>
      <w:numFmt w:val="bullet"/>
      <w:pStyle w:val="Blue-boxsub-bullet"/>
      <w:lvlText w:val="‒"/>
      <w:lvlJc w:val="left"/>
      <w:pPr>
        <w:ind w:left="1077" w:hanging="397"/>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08C5CF5"/>
    <w:multiLevelType w:val="hybridMultilevel"/>
    <w:tmpl w:val="57026E20"/>
    <w:lvl w:ilvl="0" w:tplc="5ED6D3F8">
      <w:start w:val="1"/>
      <w:numFmt w:val="lowerLetter"/>
      <w:pStyle w:val="Sub-lista"/>
      <w:lvlText w:val="(%1)"/>
      <w:lvlJc w:val="left"/>
      <w:pPr>
        <w:ind w:left="360" w:hanging="360"/>
      </w:pPr>
      <w:rPr>
        <w:rFonts w:ascii="Calibri" w:hAnsi="Calibri"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5"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7D29C8"/>
    <w:multiLevelType w:val="hybridMultilevel"/>
    <w:tmpl w:val="A4003F76"/>
    <w:lvl w:ilvl="0" w:tplc="069AABFE">
      <w:start w:val="1"/>
      <w:numFmt w:val="lowerLetter"/>
      <w:lvlText w:val="(%1)"/>
      <w:lvlJc w:val="left"/>
      <w:pPr>
        <w:ind w:left="720" w:hanging="360"/>
      </w:pPr>
      <w:rPr>
        <w:rFonts w:hint="default"/>
        <w:b w:val="0"/>
      </w:rPr>
    </w:lvl>
    <w:lvl w:ilvl="1" w:tplc="AF2486A2">
      <w:start w:val="1"/>
      <w:numFmt w:val="bullet"/>
      <w:lvlText w:val=""/>
      <w:lvlJc w:val="left"/>
      <w:pPr>
        <w:ind w:left="1440" w:hanging="360"/>
      </w:pPr>
      <w:rPr>
        <w:rFonts w:ascii="Symbol" w:hAnsi="Symbol" w:hint="default"/>
        <w:sz w:val="18"/>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9"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0" w15:restartNumberingAfterBreak="0">
    <w:nsid w:val="3D465A16"/>
    <w:multiLevelType w:val="multilevel"/>
    <w:tmpl w:val="68B2F152"/>
    <w:lvl w:ilvl="0">
      <w:start w:val="1"/>
      <w:numFmt w:val="bullet"/>
      <w:pStyle w:val="Bullet"/>
      <w:lvlText w:val=""/>
      <w:lvlJc w:val="left"/>
      <w:pPr>
        <w:tabs>
          <w:tab w:val="num" w:pos="539"/>
        </w:tabs>
        <w:ind w:left="539" w:hanging="397"/>
      </w:pPr>
      <w:rPr>
        <w:rFonts w:ascii="Symbol" w:hAnsi="Symbol" w:hint="default"/>
        <w:color w:val="auto"/>
        <w:sz w:val="18"/>
        <w:szCs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427701FB"/>
    <w:multiLevelType w:val="hybridMultilevel"/>
    <w:tmpl w:val="0BA89340"/>
    <w:lvl w:ilvl="0" w:tplc="C04A679E">
      <w:start w:val="1"/>
      <w:numFmt w:val="bullet"/>
      <w:pStyle w:val="Sub-list"/>
      <w:lvlText w:val=""/>
      <w:lvlJc w:val="left"/>
      <w:pPr>
        <w:tabs>
          <w:tab w:val="num" w:pos="4717"/>
        </w:tabs>
        <w:ind w:left="4717" w:firstLine="0"/>
      </w:pPr>
      <w:rPr>
        <w:rFonts w:ascii="Symbol" w:hAnsi="Symbol" w:hint="default"/>
      </w:rPr>
    </w:lvl>
    <w:lvl w:ilvl="1" w:tplc="14090003">
      <w:start w:val="1"/>
      <w:numFmt w:val="bullet"/>
      <w:lvlText w:val="o"/>
      <w:lvlJc w:val="left"/>
      <w:pPr>
        <w:tabs>
          <w:tab w:val="num" w:pos="5760"/>
        </w:tabs>
        <w:ind w:left="5760" w:hanging="360"/>
      </w:pPr>
      <w:rPr>
        <w:rFonts w:ascii="Courier New" w:hAnsi="Courier New" w:cs="Courier New" w:hint="default"/>
      </w:rPr>
    </w:lvl>
    <w:lvl w:ilvl="2" w:tplc="14090005" w:tentative="1">
      <w:start w:val="1"/>
      <w:numFmt w:val="bullet"/>
      <w:lvlText w:val=""/>
      <w:lvlJc w:val="left"/>
      <w:pPr>
        <w:tabs>
          <w:tab w:val="num" w:pos="6480"/>
        </w:tabs>
        <w:ind w:left="6480" w:hanging="360"/>
      </w:pPr>
      <w:rPr>
        <w:rFonts w:ascii="Wingdings" w:hAnsi="Wingdings" w:hint="default"/>
      </w:rPr>
    </w:lvl>
    <w:lvl w:ilvl="3" w:tplc="14090001" w:tentative="1">
      <w:start w:val="1"/>
      <w:numFmt w:val="bullet"/>
      <w:lvlText w:val=""/>
      <w:lvlJc w:val="left"/>
      <w:pPr>
        <w:tabs>
          <w:tab w:val="num" w:pos="7200"/>
        </w:tabs>
        <w:ind w:left="7200" w:hanging="360"/>
      </w:pPr>
      <w:rPr>
        <w:rFonts w:ascii="Symbol" w:hAnsi="Symbol" w:hint="default"/>
      </w:rPr>
    </w:lvl>
    <w:lvl w:ilvl="4" w:tplc="14090003" w:tentative="1">
      <w:start w:val="1"/>
      <w:numFmt w:val="bullet"/>
      <w:lvlText w:val="o"/>
      <w:lvlJc w:val="left"/>
      <w:pPr>
        <w:tabs>
          <w:tab w:val="num" w:pos="7920"/>
        </w:tabs>
        <w:ind w:left="7920" w:hanging="360"/>
      </w:pPr>
      <w:rPr>
        <w:rFonts w:ascii="Courier New" w:hAnsi="Courier New" w:cs="Courier New" w:hint="default"/>
      </w:rPr>
    </w:lvl>
    <w:lvl w:ilvl="5" w:tplc="14090005" w:tentative="1">
      <w:start w:val="1"/>
      <w:numFmt w:val="bullet"/>
      <w:lvlText w:val=""/>
      <w:lvlJc w:val="left"/>
      <w:pPr>
        <w:tabs>
          <w:tab w:val="num" w:pos="8640"/>
        </w:tabs>
        <w:ind w:left="8640" w:hanging="360"/>
      </w:pPr>
      <w:rPr>
        <w:rFonts w:ascii="Wingdings" w:hAnsi="Wingdings" w:hint="default"/>
      </w:rPr>
    </w:lvl>
    <w:lvl w:ilvl="6" w:tplc="14090001" w:tentative="1">
      <w:start w:val="1"/>
      <w:numFmt w:val="bullet"/>
      <w:lvlText w:val=""/>
      <w:lvlJc w:val="left"/>
      <w:pPr>
        <w:tabs>
          <w:tab w:val="num" w:pos="9360"/>
        </w:tabs>
        <w:ind w:left="9360" w:hanging="360"/>
      </w:pPr>
      <w:rPr>
        <w:rFonts w:ascii="Symbol" w:hAnsi="Symbol" w:hint="default"/>
      </w:rPr>
    </w:lvl>
    <w:lvl w:ilvl="7" w:tplc="14090003" w:tentative="1">
      <w:start w:val="1"/>
      <w:numFmt w:val="bullet"/>
      <w:lvlText w:val="o"/>
      <w:lvlJc w:val="left"/>
      <w:pPr>
        <w:tabs>
          <w:tab w:val="num" w:pos="10080"/>
        </w:tabs>
        <w:ind w:left="10080" w:hanging="360"/>
      </w:pPr>
      <w:rPr>
        <w:rFonts w:ascii="Courier New" w:hAnsi="Courier New" w:cs="Courier New" w:hint="default"/>
      </w:rPr>
    </w:lvl>
    <w:lvl w:ilvl="8" w:tplc="14090005" w:tentative="1">
      <w:start w:val="1"/>
      <w:numFmt w:val="bullet"/>
      <w:lvlText w:val=""/>
      <w:lvlJc w:val="left"/>
      <w:pPr>
        <w:tabs>
          <w:tab w:val="num" w:pos="10800"/>
        </w:tabs>
        <w:ind w:left="10800" w:hanging="360"/>
      </w:pPr>
      <w:rPr>
        <w:rFonts w:ascii="Wingdings" w:hAnsi="Wingdings" w:hint="default"/>
      </w:rPr>
    </w:lvl>
  </w:abstractNum>
  <w:abstractNum w:abstractNumId="12"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4" w15:restartNumberingAfterBreak="0">
    <w:nsid w:val="53535234"/>
    <w:multiLevelType w:val="singleLevel"/>
    <w:tmpl w:val="44B68220"/>
    <w:lvl w:ilvl="0">
      <w:start w:val="1"/>
      <w:numFmt w:val="bullet"/>
      <w:pStyle w:val="Boxbullet"/>
      <w:lvlText w:val=""/>
      <w:lvlJc w:val="left"/>
      <w:pPr>
        <w:ind w:left="644" w:hanging="360"/>
      </w:pPr>
      <w:rPr>
        <w:rFonts w:ascii="Symbol" w:hAnsi="Symbol" w:hint="default"/>
        <w:color w:val="1C556C"/>
        <w:sz w:val="16"/>
      </w:rPr>
    </w:lvl>
  </w:abstractNum>
  <w:abstractNum w:abstractNumId="15" w15:restartNumberingAfterBreak="0">
    <w:nsid w:val="682A6067"/>
    <w:multiLevelType w:val="hybridMultilevel"/>
    <w:tmpl w:val="DF28C620"/>
    <w:lvl w:ilvl="0" w:tplc="1CFC35D4">
      <w:start w:val="1"/>
      <w:numFmt w:val="decimal"/>
      <w:pStyle w:val="NoSpacing"/>
      <w:lvlText w:val="%1."/>
      <w:lvlJc w:val="left"/>
      <w:pPr>
        <w:ind w:left="928" w:hanging="360"/>
      </w:pPr>
      <w:rPr>
        <w:b w:val="0"/>
        <w:color w:val="auto"/>
      </w:rPr>
    </w:lvl>
    <w:lvl w:ilvl="1" w:tplc="14090019">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16"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4"/>
  </w:num>
  <w:num w:numId="4">
    <w:abstractNumId w:val="11"/>
  </w:num>
  <w:num w:numId="5">
    <w:abstractNumId w:val="8"/>
  </w:num>
  <w:num w:numId="6">
    <w:abstractNumId w:val="4"/>
  </w:num>
  <w:num w:numId="7">
    <w:abstractNumId w:val="13"/>
  </w:num>
  <w:num w:numId="8">
    <w:abstractNumId w:val="12"/>
  </w:num>
  <w:num w:numId="9">
    <w:abstractNumId w:val="1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6"/>
  </w:num>
  <w:num w:numId="13">
    <w:abstractNumId w:val="1"/>
  </w:num>
  <w:num w:numId="14">
    <w:abstractNumId w:val="5"/>
  </w:num>
  <w:num w:numId="15">
    <w:abstractNumId w:val="15"/>
  </w:num>
  <w:num w:numId="16">
    <w:abstractNumId w:val="6"/>
  </w:num>
  <w:num w:numId="17">
    <w:abstractNumId w:val="3"/>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evenAndOddHeaders/>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35"/>
    <w:rsid w:val="0000433E"/>
    <w:rsid w:val="000139D9"/>
    <w:rsid w:val="00014D63"/>
    <w:rsid w:val="00021EA2"/>
    <w:rsid w:val="00022077"/>
    <w:rsid w:val="000317E6"/>
    <w:rsid w:val="00035D7E"/>
    <w:rsid w:val="00037157"/>
    <w:rsid w:val="00041B03"/>
    <w:rsid w:val="0004366D"/>
    <w:rsid w:val="0004677B"/>
    <w:rsid w:val="000472D2"/>
    <w:rsid w:val="00052A77"/>
    <w:rsid w:val="000722B0"/>
    <w:rsid w:val="00073F54"/>
    <w:rsid w:val="00074880"/>
    <w:rsid w:val="00081FC0"/>
    <w:rsid w:val="00083CD7"/>
    <w:rsid w:val="00087A6F"/>
    <w:rsid w:val="00095619"/>
    <w:rsid w:val="000A04F1"/>
    <w:rsid w:val="000A37DC"/>
    <w:rsid w:val="000A76A0"/>
    <w:rsid w:val="000C4D35"/>
    <w:rsid w:val="000C5642"/>
    <w:rsid w:val="000D1590"/>
    <w:rsid w:val="000E0C9F"/>
    <w:rsid w:val="000E369E"/>
    <w:rsid w:val="000E7A0F"/>
    <w:rsid w:val="000F3B2F"/>
    <w:rsid w:val="000F6D84"/>
    <w:rsid w:val="001009CE"/>
    <w:rsid w:val="00101F13"/>
    <w:rsid w:val="00102F7C"/>
    <w:rsid w:val="00121BA2"/>
    <w:rsid w:val="0013058A"/>
    <w:rsid w:val="00140F52"/>
    <w:rsid w:val="0015102F"/>
    <w:rsid w:val="001510A5"/>
    <w:rsid w:val="001542C1"/>
    <w:rsid w:val="001557DE"/>
    <w:rsid w:val="001576C6"/>
    <w:rsid w:val="0016405F"/>
    <w:rsid w:val="00164FDB"/>
    <w:rsid w:val="00171D95"/>
    <w:rsid w:val="001773FB"/>
    <w:rsid w:val="00183B6D"/>
    <w:rsid w:val="00184891"/>
    <w:rsid w:val="00195C93"/>
    <w:rsid w:val="00197D4E"/>
    <w:rsid w:val="001A110F"/>
    <w:rsid w:val="001C4D65"/>
    <w:rsid w:val="001D05C3"/>
    <w:rsid w:val="001D20EF"/>
    <w:rsid w:val="001E22F6"/>
    <w:rsid w:val="001F44A7"/>
    <w:rsid w:val="00204AD6"/>
    <w:rsid w:val="00205EB7"/>
    <w:rsid w:val="00216EAD"/>
    <w:rsid w:val="002223C0"/>
    <w:rsid w:val="00222CB3"/>
    <w:rsid w:val="00222ECB"/>
    <w:rsid w:val="002255AB"/>
    <w:rsid w:val="00243D1C"/>
    <w:rsid w:val="002446D4"/>
    <w:rsid w:val="00262B51"/>
    <w:rsid w:val="002630C9"/>
    <w:rsid w:val="0027200A"/>
    <w:rsid w:val="002775E7"/>
    <w:rsid w:val="002830B9"/>
    <w:rsid w:val="0029127D"/>
    <w:rsid w:val="002922C5"/>
    <w:rsid w:val="002A3F6E"/>
    <w:rsid w:val="002A5A72"/>
    <w:rsid w:val="002A6CCD"/>
    <w:rsid w:val="002B18EC"/>
    <w:rsid w:val="002B355D"/>
    <w:rsid w:val="002B41EA"/>
    <w:rsid w:val="002B5AD4"/>
    <w:rsid w:val="002B625F"/>
    <w:rsid w:val="002D3B19"/>
    <w:rsid w:val="002F0040"/>
    <w:rsid w:val="002F0F7E"/>
    <w:rsid w:val="002F2691"/>
    <w:rsid w:val="002F2B98"/>
    <w:rsid w:val="002F4F39"/>
    <w:rsid w:val="002F641E"/>
    <w:rsid w:val="00314BA7"/>
    <w:rsid w:val="0031693C"/>
    <w:rsid w:val="00317CBC"/>
    <w:rsid w:val="0032220B"/>
    <w:rsid w:val="0032382F"/>
    <w:rsid w:val="003242BE"/>
    <w:rsid w:val="0033229B"/>
    <w:rsid w:val="00334EA1"/>
    <w:rsid w:val="003355C4"/>
    <w:rsid w:val="0033685C"/>
    <w:rsid w:val="00337258"/>
    <w:rsid w:val="0034108F"/>
    <w:rsid w:val="00343838"/>
    <w:rsid w:val="00344013"/>
    <w:rsid w:val="00344765"/>
    <w:rsid w:val="00344EF3"/>
    <w:rsid w:val="00347ED0"/>
    <w:rsid w:val="00350A36"/>
    <w:rsid w:val="00351B18"/>
    <w:rsid w:val="00356B4D"/>
    <w:rsid w:val="00360027"/>
    <w:rsid w:val="00362ECE"/>
    <w:rsid w:val="00365DCC"/>
    <w:rsid w:val="00373345"/>
    <w:rsid w:val="00373558"/>
    <w:rsid w:val="00374BEB"/>
    <w:rsid w:val="00382923"/>
    <w:rsid w:val="00384748"/>
    <w:rsid w:val="003A1C08"/>
    <w:rsid w:val="003A240F"/>
    <w:rsid w:val="003A4415"/>
    <w:rsid w:val="003A4CB5"/>
    <w:rsid w:val="003B04C7"/>
    <w:rsid w:val="003B3E12"/>
    <w:rsid w:val="003C04B1"/>
    <w:rsid w:val="003C06BA"/>
    <w:rsid w:val="003C0751"/>
    <w:rsid w:val="003C2DDB"/>
    <w:rsid w:val="003C4C2C"/>
    <w:rsid w:val="003C5145"/>
    <w:rsid w:val="003D0D56"/>
    <w:rsid w:val="003D3D33"/>
    <w:rsid w:val="003D5CD5"/>
    <w:rsid w:val="003E4BB2"/>
    <w:rsid w:val="003E5A19"/>
    <w:rsid w:val="003E7B09"/>
    <w:rsid w:val="003E7E18"/>
    <w:rsid w:val="004034A5"/>
    <w:rsid w:val="004055C4"/>
    <w:rsid w:val="00406511"/>
    <w:rsid w:val="00407254"/>
    <w:rsid w:val="0041441C"/>
    <w:rsid w:val="00416350"/>
    <w:rsid w:val="0041641B"/>
    <w:rsid w:val="0042251E"/>
    <w:rsid w:val="004318A2"/>
    <w:rsid w:val="0043607A"/>
    <w:rsid w:val="0043706F"/>
    <w:rsid w:val="00437A2A"/>
    <w:rsid w:val="00443663"/>
    <w:rsid w:val="004438D5"/>
    <w:rsid w:val="00446D1F"/>
    <w:rsid w:val="00453F84"/>
    <w:rsid w:val="00454A18"/>
    <w:rsid w:val="00454E47"/>
    <w:rsid w:val="00456193"/>
    <w:rsid w:val="0045724A"/>
    <w:rsid w:val="00471D4F"/>
    <w:rsid w:val="0047224E"/>
    <w:rsid w:val="00486842"/>
    <w:rsid w:val="00493144"/>
    <w:rsid w:val="00495EC3"/>
    <w:rsid w:val="004A062D"/>
    <w:rsid w:val="004A10C2"/>
    <w:rsid w:val="004A4D45"/>
    <w:rsid w:val="004B6BD6"/>
    <w:rsid w:val="004B6EF7"/>
    <w:rsid w:val="004C26DF"/>
    <w:rsid w:val="004C5548"/>
    <w:rsid w:val="004C598C"/>
    <w:rsid w:val="004C67C7"/>
    <w:rsid w:val="004D34B8"/>
    <w:rsid w:val="004D5BD5"/>
    <w:rsid w:val="004E3C76"/>
    <w:rsid w:val="004E4C4E"/>
    <w:rsid w:val="004F007D"/>
    <w:rsid w:val="004F6809"/>
    <w:rsid w:val="004F6DA3"/>
    <w:rsid w:val="004F7C1E"/>
    <w:rsid w:val="00501957"/>
    <w:rsid w:val="00502F88"/>
    <w:rsid w:val="00512BD1"/>
    <w:rsid w:val="00514F29"/>
    <w:rsid w:val="0052127E"/>
    <w:rsid w:val="00523010"/>
    <w:rsid w:val="005252EC"/>
    <w:rsid w:val="0052763D"/>
    <w:rsid w:val="005312A6"/>
    <w:rsid w:val="00531E35"/>
    <w:rsid w:val="005409AE"/>
    <w:rsid w:val="005453F5"/>
    <w:rsid w:val="00545E1D"/>
    <w:rsid w:val="00552F8C"/>
    <w:rsid w:val="00571A52"/>
    <w:rsid w:val="0057791F"/>
    <w:rsid w:val="00584BE6"/>
    <w:rsid w:val="0059558F"/>
    <w:rsid w:val="005977D7"/>
    <w:rsid w:val="005A0A3F"/>
    <w:rsid w:val="005A5A46"/>
    <w:rsid w:val="005A76F1"/>
    <w:rsid w:val="005B5A68"/>
    <w:rsid w:val="005C527E"/>
    <w:rsid w:val="005D0026"/>
    <w:rsid w:val="005D55DB"/>
    <w:rsid w:val="005E0F05"/>
    <w:rsid w:val="005E1EE7"/>
    <w:rsid w:val="005F0BA2"/>
    <w:rsid w:val="005F468A"/>
    <w:rsid w:val="005F4B67"/>
    <w:rsid w:val="005F6EC8"/>
    <w:rsid w:val="006022CD"/>
    <w:rsid w:val="00602AE2"/>
    <w:rsid w:val="006053F9"/>
    <w:rsid w:val="006109B6"/>
    <w:rsid w:val="00612B53"/>
    <w:rsid w:val="00613EBE"/>
    <w:rsid w:val="006169A2"/>
    <w:rsid w:val="00622536"/>
    <w:rsid w:val="00622646"/>
    <w:rsid w:val="006234E9"/>
    <w:rsid w:val="006363F4"/>
    <w:rsid w:val="00640DA0"/>
    <w:rsid w:val="00641697"/>
    <w:rsid w:val="00643680"/>
    <w:rsid w:val="00644889"/>
    <w:rsid w:val="0064754E"/>
    <w:rsid w:val="0065172D"/>
    <w:rsid w:val="006527B2"/>
    <w:rsid w:val="0065286D"/>
    <w:rsid w:val="0065461D"/>
    <w:rsid w:val="00656141"/>
    <w:rsid w:val="0067652C"/>
    <w:rsid w:val="00684A73"/>
    <w:rsid w:val="006856E3"/>
    <w:rsid w:val="006872C0"/>
    <w:rsid w:val="00690000"/>
    <w:rsid w:val="00694789"/>
    <w:rsid w:val="006A1391"/>
    <w:rsid w:val="006A1A22"/>
    <w:rsid w:val="006A423A"/>
    <w:rsid w:val="006A6442"/>
    <w:rsid w:val="006B12EE"/>
    <w:rsid w:val="006B3C1F"/>
    <w:rsid w:val="006B4C8A"/>
    <w:rsid w:val="006B557B"/>
    <w:rsid w:val="006C063E"/>
    <w:rsid w:val="006C1777"/>
    <w:rsid w:val="006C6AD9"/>
    <w:rsid w:val="006D0076"/>
    <w:rsid w:val="006D1975"/>
    <w:rsid w:val="006E0167"/>
    <w:rsid w:val="006E3C96"/>
    <w:rsid w:val="006E4ECB"/>
    <w:rsid w:val="006F3195"/>
    <w:rsid w:val="006F5086"/>
    <w:rsid w:val="00707954"/>
    <w:rsid w:val="00710C43"/>
    <w:rsid w:val="007114F2"/>
    <w:rsid w:val="00715E0E"/>
    <w:rsid w:val="007250A3"/>
    <w:rsid w:val="0073262B"/>
    <w:rsid w:val="00737A33"/>
    <w:rsid w:val="00757D4D"/>
    <w:rsid w:val="00763522"/>
    <w:rsid w:val="00764438"/>
    <w:rsid w:val="00764C5C"/>
    <w:rsid w:val="00774950"/>
    <w:rsid w:val="007761F1"/>
    <w:rsid w:val="0077786C"/>
    <w:rsid w:val="007838E0"/>
    <w:rsid w:val="007876AC"/>
    <w:rsid w:val="007A1E59"/>
    <w:rsid w:val="007A4C71"/>
    <w:rsid w:val="007B1C52"/>
    <w:rsid w:val="007B3A1D"/>
    <w:rsid w:val="007C0494"/>
    <w:rsid w:val="007C4E95"/>
    <w:rsid w:val="007E6BB6"/>
    <w:rsid w:val="007F1876"/>
    <w:rsid w:val="007F2EE0"/>
    <w:rsid w:val="008151E2"/>
    <w:rsid w:val="00820249"/>
    <w:rsid w:val="00825446"/>
    <w:rsid w:val="008460F2"/>
    <w:rsid w:val="008521AE"/>
    <w:rsid w:val="00854811"/>
    <w:rsid w:val="00855FD1"/>
    <w:rsid w:val="00863E0F"/>
    <w:rsid w:val="008665CF"/>
    <w:rsid w:val="008739CC"/>
    <w:rsid w:val="00874213"/>
    <w:rsid w:val="00874CC6"/>
    <w:rsid w:val="00882F54"/>
    <w:rsid w:val="008836E3"/>
    <w:rsid w:val="00885D2F"/>
    <w:rsid w:val="008959D1"/>
    <w:rsid w:val="00895B28"/>
    <w:rsid w:val="00895D6C"/>
    <w:rsid w:val="008A1B89"/>
    <w:rsid w:val="008A459C"/>
    <w:rsid w:val="008A7014"/>
    <w:rsid w:val="008B0103"/>
    <w:rsid w:val="008B1BEE"/>
    <w:rsid w:val="008B5D06"/>
    <w:rsid w:val="008B69B5"/>
    <w:rsid w:val="008C37B2"/>
    <w:rsid w:val="008C55F6"/>
    <w:rsid w:val="008D1568"/>
    <w:rsid w:val="008D20C8"/>
    <w:rsid w:val="008D3ACE"/>
    <w:rsid w:val="008D3ECE"/>
    <w:rsid w:val="008D6013"/>
    <w:rsid w:val="008D6237"/>
    <w:rsid w:val="008E0734"/>
    <w:rsid w:val="008E13F2"/>
    <w:rsid w:val="008F0959"/>
    <w:rsid w:val="008F6913"/>
    <w:rsid w:val="009031BE"/>
    <w:rsid w:val="00907477"/>
    <w:rsid w:val="00911D79"/>
    <w:rsid w:val="0091657C"/>
    <w:rsid w:val="00920325"/>
    <w:rsid w:val="00922B1A"/>
    <w:rsid w:val="00923E09"/>
    <w:rsid w:val="0092616A"/>
    <w:rsid w:val="00927B71"/>
    <w:rsid w:val="00932268"/>
    <w:rsid w:val="009337EA"/>
    <w:rsid w:val="00936149"/>
    <w:rsid w:val="0093673D"/>
    <w:rsid w:val="00937F1D"/>
    <w:rsid w:val="00942B8E"/>
    <w:rsid w:val="009431E3"/>
    <w:rsid w:val="009437D7"/>
    <w:rsid w:val="009511FA"/>
    <w:rsid w:val="00953337"/>
    <w:rsid w:val="00954A80"/>
    <w:rsid w:val="00962E35"/>
    <w:rsid w:val="00967F28"/>
    <w:rsid w:val="009728D3"/>
    <w:rsid w:val="00975F2F"/>
    <w:rsid w:val="00977ADF"/>
    <w:rsid w:val="00980A46"/>
    <w:rsid w:val="00981675"/>
    <w:rsid w:val="00986B32"/>
    <w:rsid w:val="009A6B28"/>
    <w:rsid w:val="009A6CD8"/>
    <w:rsid w:val="009B10BB"/>
    <w:rsid w:val="009B6564"/>
    <w:rsid w:val="009B71CF"/>
    <w:rsid w:val="009B7B68"/>
    <w:rsid w:val="009C58DB"/>
    <w:rsid w:val="009D6176"/>
    <w:rsid w:val="009D7E1E"/>
    <w:rsid w:val="009E44B0"/>
    <w:rsid w:val="009E6198"/>
    <w:rsid w:val="009F7755"/>
    <w:rsid w:val="00A00DFE"/>
    <w:rsid w:val="00A054C5"/>
    <w:rsid w:val="00A10A4F"/>
    <w:rsid w:val="00A10DDC"/>
    <w:rsid w:val="00A12A81"/>
    <w:rsid w:val="00A17143"/>
    <w:rsid w:val="00A212C5"/>
    <w:rsid w:val="00A23464"/>
    <w:rsid w:val="00A24DCD"/>
    <w:rsid w:val="00A30382"/>
    <w:rsid w:val="00A37255"/>
    <w:rsid w:val="00A40586"/>
    <w:rsid w:val="00A54946"/>
    <w:rsid w:val="00A75102"/>
    <w:rsid w:val="00A83077"/>
    <w:rsid w:val="00A91C7F"/>
    <w:rsid w:val="00A97773"/>
    <w:rsid w:val="00AA45FD"/>
    <w:rsid w:val="00AB00A6"/>
    <w:rsid w:val="00AB307C"/>
    <w:rsid w:val="00AB767C"/>
    <w:rsid w:val="00AC0D83"/>
    <w:rsid w:val="00AD6857"/>
    <w:rsid w:val="00AD7E94"/>
    <w:rsid w:val="00AF472F"/>
    <w:rsid w:val="00B02605"/>
    <w:rsid w:val="00B04B67"/>
    <w:rsid w:val="00B1133A"/>
    <w:rsid w:val="00B1218D"/>
    <w:rsid w:val="00B2075C"/>
    <w:rsid w:val="00B270A4"/>
    <w:rsid w:val="00B27335"/>
    <w:rsid w:val="00B42D70"/>
    <w:rsid w:val="00B44386"/>
    <w:rsid w:val="00B44E11"/>
    <w:rsid w:val="00B4560F"/>
    <w:rsid w:val="00B465DC"/>
    <w:rsid w:val="00B53875"/>
    <w:rsid w:val="00B55C7D"/>
    <w:rsid w:val="00B71894"/>
    <w:rsid w:val="00B77158"/>
    <w:rsid w:val="00B83CB9"/>
    <w:rsid w:val="00B8610D"/>
    <w:rsid w:val="00B9036B"/>
    <w:rsid w:val="00B95145"/>
    <w:rsid w:val="00B9714F"/>
    <w:rsid w:val="00BA6DC3"/>
    <w:rsid w:val="00BB2F7B"/>
    <w:rsid w:val="00BB4A6A"/>
    <w:rsid w:val="00BC035D"/>
    <w:rsid w:val="00BC26C2"/>
    <w:rsid w:val="00BC33FF"/>
    <w:rsid w:val="00BC68A0"/>
    <w:rsid w:val="00BC6CA0"/>
    <w:rsid w:val="00BC7EE6"/>
    <w:rsid w:val="00BD3B0D"/>
    <w:rsid w:val="00BD4600"/>
    <w:rsid w:val="00BF1AA0"/>
    <w:rsid w:val="00BF6A04"/>
    <w:rsid w:val="00C00268"/>
    <w:rsid w:val="00C03B6F"/>
    <w:rsid w:val="00C04093"/>
    <w:rsid w:val="00C06251"/>
    <w:rsid w:val="00C26167"/>
    <w:rsid w:val="00C27D16"/>
    <w:rsid w:val="00C31EA8"/>
    <w:rsid w:val="00C43C28"/>
    <w:rsid w:val="00C50D6B"/>
    <w:rsid w:val="00C53022"/>
    <w:rsid w:val="00C55F21"/>
    <w:rsid w:val="00C608C5"/>
    <w:rsid w:val="00C60B9F"/>
    <w:rsid w:val="00C62C53"/>
    <w:rsid w:val="00C67400"/>
    <w:rsid w:val="00C712D2"/>
    <w:rsid w:val="00C72AEE"/>
    <w:rsid w:val="00C73EC6"/>
    <w:rsid w:val="00C7751A"/>
    <w:rsid w:val="00C919B2"/>
    <w:rsid w:val="00C95952"/>
    <w:rsid w:val="00C979FF"/>
    <w:rsid w:val="00C97FA6"/>
    <w:rsid w:val="00CA413C"/>
    <w:rsid w:val="00CA6649"/>
    <w:rsid w:val="00CA6D1A"/>
    <w:rsid w:val="00CB1B19"/>
    <w:rsid w:val="00CC7A63"/>
    <w:rsid w:val="00CD2F9C"/>
    <w:rsid w:val="00CD7729"/>
    <w:rsid w:val="00CE0C11"/>
    <w:rsid w:val="00CE5239"/>
    <w:rsid w:val="00CF1945"/>
    <w:rsid w:val="00CF4466"/>
    <w:rsid w:val="00CF6362"/>
    <w:rsid w:val="00D02D16"/>
    <w:rsid w:val="00D0749A"/>
    <w:rsid w:val="00D1239C"/>
    <w:rsid w:val="00D162EE"/>
    <w:rsid w:val="00D20ECB"/>
    <w:rsid w:val="00D22B79"/>
    <w:rsid w:val="00D25566"/>
    <w:rsid w:val="00D329C5"/>
    <w:rsid w:val="00D35041"/>
    <w:rsid w:val="00D368B5"/>
    <w:rsid w:val="00D3743D"/>
    <w:rsid w:val="00D4092C"/>
    <w:rsid w:val="00D42CAB"/>
    <w:rsid w:val="00D43711"/>
    <w:rsid w:val="00D4384D"/>
    <w:rsid w:val="00D456F0"/>
    <w:rsid w:val="00D53301"/>
    <w:rsid w:val="00D6028E"/>
    <w:rsid w:val="00D748A9"/>
    <w:rsid w:val="00D748D1"/>
    <w:rsid w:val="00D76B8C"/>
    <w:rsid w:val="00D92C77"/>
    <w:rsid w:val="00D93774"/>
    <w:rsid w:val="00D94182"/>
    <w:rsid w:val="00D978DF"/>
    <w:rsid w:val="00DA0AA1"/>
    <w:rsid w:val="00DA34CD"/>
    <w:rsid w:val="00DA6F62"/>
    <w:rsid w:val="00DB7EB9"/>
    <w:rsid w:val="00DC2A3A"/>
    <w:rsid w:val="00DE4FCC"/>
    <w:rsid w:val="00DE6473"/>
    <w:rsid w:val="00E003B2"/>
    <w:rsid w:val="00E07532"/>
    <w:rsid w:val="00E07F47"/>
    <w:rsid w:val="00E150D1"/>
    <w:rsid w:val="00E22635"/>
    <w:rsid w:val="00E2273A"/>
    <w:rsid w:val="00E241BA"/>
    <w:rsid w:val="00E2460C"/>
    <w:rsid w:val="00E27A24"/>
    <w:rsid w:val="00E27B48"/>
    <w:rsid w:val="00E31926"/>
    <w:rsid w:val="00E31CD1"/>
    <w:rsid w:val="00E33402"/>
    <w:rsid w:val="00E531DA"/>
    <w:rsid w:val="00E56B66"/>
    <w:rsid w:val="00E61058"/>
    <w:rsid w:val="00E700A4"/>
    <w:rsid w:val="00E70859"/>
    <w:rsid w:val="00E80377"/>
    <w:rsid w:val="00E8159D"/>
    <w:rsid w:val="00E8326B"/>
    <w:rsid w:val="00E85F8C"/>
    <w:rsid w:val="00E87086"/>
    <w:rsid w:val="00E9032D"/>
    <w:rsid w:val="00E94F62"/>
    <w:rsid w:val="00EA27DE"/>
    <w:rsid w:val="00EA2925"/>
    <w:rsid w:val="00EA37CF"/>
    <w:rsid w:val="00EB6DE4"/>
    <w:rsid w:val="00EC0FC3"/>
    <w:rsid w:val="00ED293D"/>
    <w:rsid w:val="00ED4561"/>
    <w:rsid w:val="00ED4B98"/>
    <w:rsid w:val="00EE0119"/>
    <w:rsid w:val="00EE1543"/>
    <w:rsid w:val="00EE2CF3"/>
    <w:rsid w:val="00EE40C4"/>
    <w:rsid w:val="00EE5066"/>
    <w:rsid w:val="00EF09A0"/>
    <w:rsid w:val="00F0608B"/>
    <w:rsid w:val="00F12C5B"/>
    <w:rsid w:val="00F14064"/>
    <w:rsid w:val="00F21268"/>
    <w:rsid w:val="00F21D21"/>
    <w:rsid w:val="00F240E1"/>
    <w:rsid w:val="00F24730"/>
    <w:rsid w:val="00F25A45"/>
    <w:rsid w:val="00F345BB"/>
    <w:rsid w:val="00F40E83"/>
    <w:rsid w:val="00F7355C"/>
    <w:rsid w:val="00F73CD2"/>
    <w:rsid w:val="00F772E2"/>
    <w:rsid w:val="00F83731"/>
    <w:rsid w:val="00F8421B"/>
    <w:rsid w:val="00F864B9"/>
    <w:rsid w:val="00F86C63"/>
    <w:rsid w:val="00F93E19"/>
    <w:rsid w:val="00F96FE3"/>
    <w:rsid w:val="00F97ADE"/>
    <w:rsid w:val="00FA0B80"/>
    <w:rsid w:val="00FA0F25"/>
    <w:rsid w:val="00FA144C"/>
    <w:rsid w:val="00FA1B68"/>
    <w:rsid w:val="00FA7B6E"/>
    <w:rsid w:val="00FB7ACC"/>
    <w:rsid w:val="00FD5406"/>
    <w:rsid w:val="00FE5028"/>
    <w:rsid w:val="00FE5BE4"/>
    <w:rsid w:val="00FF25F8"/>
    <w:rsid w:val="00FF46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FEE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D65"/>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C73EC6"/>
    <w:pPr>
      <w:keepNext/>
      <w:tabs>
        <w:tab w:val="left" w:pos="851"/>
      </w:tabs>
      <w:spacing w:before="0" w:after="360" w:line="240" w:lineRule="auto"/>
      <w:jc w:val="left"/>
      <w:outlineLvl w:val="0"/>
    </w:pPr>
    <w:rPr>
      <w:rFonts w:eastAsiaTheme="majorEastAsia" w:cstheme="majorBidi"/>
      <w:b/>
      <w:bCs/>
      <w:color w:val="1C556C"/>
      <w:sz w:val="48"/>
      <w:szCs w:val="28"/>
    </w:rPr>
  </w:style>
  <w:style w:type="paragraph" w:styleId="Heading2">
    <w:name w:val="heading 2"/>
    <w:basedOn w:val="Normal"/>
    <w:next w:val="BodyText"/>
    <w:link w:val="Heading2Char"/>
    <w:qFormat/>
    <w:rsid w:val="000C4D35"/>
    <w:pPr>
      <w:keepNext/>
      <w:tabs>
        <w:tab w:val="left" w:pos="851"/>
      </w:tabs>
      <w:spacing w:before="360" w:after="0" w:line="240" w:lineRule="auto"/>
      <w:jc w:val="left"/>
      <w:outlineLvl w:val="1"/>
    </w:pPr>
    <w:rPr>
      <w:rFonts w:eastAsiaTheme="majorEastAsia" w:cstheme="majorBidi"/>
      <w:b/>
      <w:bCs/>
      <w:color w:val="0F7B7D"/>
      <w:sz w:val="36"/>
      <w:szCs w:val="26"/>
    </w:rPr>
  </w:style>
  <w:style w:type="paragraph" w:styleId="Heading3">
    <w:name w:val="heading 3"/>
    <w:basedOn w:val="Normal"/>
    <w:next w:val="BodyText"/>
    <w:link w:val="Heading3Char"/>
    <w:qFormat/>
    <w:rsid w:val="001576C6"/>
    <w:pPr>
      <w:keepNext/>
      <w:tabs>
        <w:tab w:val="left" w:pos="851"/>
      </w:tabs>
      <w:spacing w:before="360" w:after="0" w:line="240" w:lineRule="auto"/>
      <w:jc w:val="left"/>
      <w:outlineLvl w:val="2"/>
    </w:pPr>
    <w:rPr>
      <w:rFonts w:eastAsiaTheme="majorEastAsia" w:cstheme="majorBidi"/>
      <w:b/>
      <w:bCs/>
      <w:sz w:val="28"/>
    </w:rPr>
  </w:style>
  <w:style w:type="paragraph" w:styleId="Heading4">
    <w:name w:val="heading 4"/>
    <w:basedOn w:val="Heading3"/>
    <w:next w:val="BodyText"/>
    <w:link w:val="Heading4Char"/>
    <w:qFormat/>
    <w:rsid w:val="001576C6"/>
    <w:pPr>
      <w:outlineLvl w:val="3"/>
    </w:pPr>
    <w:rPr>
      <w:color w:val="0F7B7D"/>
      <w:sz w:val="24"/>
    </w:rPr>
  </w:style>
  <w:style w:type="paragraph" w:styleId="Heading5">
    <w:name w:val="heading 5"/>
    <w:basedOn w:val="Normal"/>
    <w:next w:val="BodyText"/>
    <w:link w:val="Heading5Char"/>
    <w:qFormat/>
    <w:rsid w:val="001576C6"/>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0C4D35"/>
    <w:pPr>
      <w:numPr>
        <w:ilvl w:val="5"/>
        <w:numId w:val="2"/>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0C4D35"/>
    <w:pPr>
      <w:numPr>
        <w:ilvl w:val="6"/>
        <w:numId w:val="2"/>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0C4D35"/>
    <w:pPr>
      <w:numPr>
        <w:ilvl w:val="7"/>
        <w:numId w:val="2"/>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0C4D35"/>
    <w:pPr>
      <w:numPr>
        <w:ilvl w:val="8"/>
        <w:numId w:val="2"/>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EC6"/>
    <w:rPr>
      <w:rFonts w:ascii="Calibri" w:eastAsiaTheme="majorEastAsia" w:hAnsi="Calibri" w:cstheme="majorBidi"/>
      <w:b/>
      <w:bCs/>
      <w:color w:val="1C556C"/>
      <w:sz w:val="48"/>
      <w:szCs w:val="28"/>
      <w:lang w:eastAsia="en-NZ"/>
    </w:rPr>
  </w:style>
  <w:style w:type="character" w:customStyle="1" w:styleId="Heading2Char">
    <w:name w:val="Heading 2 Char"/>
    <w:basedOn w:val="DefaultParagraphFont"/>
    <w:link w:val="Heading2"/>
    <w:rsid w:val="000C4D35"/>
    <w:rPr>
      <w:rFonts w:ascii="Calibri" w:eastAsiaTheme="majorEastAsia" w:hAnsi="Calibri" w:cstheme="majorBidi"/>
      <w:b/>
      <w:bCs/>
      <w:color w:val="0F7B7D"/>
      <w:sz w:val="36"/>
      <w:szCs w:val="26"/>
      <w:lang w:eastAsia="en-NZ"/>
    </w:rPr>
  </w:style>
  <w:style w:type="paragraph" w:styleId="BodyText">
    <w:name w:val="Body Text"/>
    <w:basedOn w:val="Normal"/>
    <w:link w:val="BodyTextChar"/>
    <w:qFormat/>
    <w:rsid w:val="000C4D35"/>
    <w:pPr>
      <w:jc w:val="left"/>
    </w:pPr>
  </w:style>
  <w:style w:type="character" w:customStyle="1" w:styleId="BodyTextChar">
    <w:name w:val="Body Text Char"/>
    <w:basedOn w:val="DefaultParagraphFont"/>
    <w:link w:val="BodyText"/>
    <w:rsid w:val="000C4D35"/>
    <w:rPr>
      <w:rFonts w:ascii="Calibri" w:eastAsiaTheme="minorEastAsia" w:hAnsi="Calibri"/>
      <w:lang w:eastAsia="en-NZ"/>
    </w:rPr>
  </w:style>
  <w:style w:type="paragraph" w:customStyle="1" w:styleId="Bullet">
    <w:name w:val="Bullet"/>
    <w:basedOn w:val="Normal"/>
    <w:link w:val="BulletChar"/>
    <w:qFormat/>
    <w:rsid w:val="0091657C"/>
    <w:pPr>
      <w:numPr>
        <w:numId w:val="1"/>
      </w:numPr>
      <w:spacing w:before="0"/>
      <w:ind w:left="397"/>
      <w:jc w:val="left"/>
    </w:pPr>
    <w:rPr>
      <w:rFonts w:eastAsia="Calibri" w:cs="Times New Roman"/>
      <w:szCs w:val="20"/>
      <w:lang w:eastAsia="en-US"/>
    </w:rPr>
  </w:style>
  <w:style w:type="paragraph" w:customStyle="1" w:styleId="Heading">
    <w:name w:val="Heading"/>
    <w:basedOn w:val="Heading1"/>
    <w:next w:val="BodyText"/>
    <w:uiPriority w:val="3"/>
    <w:rsid w:val="000C4D35"/>
  </w:style>
  <w:style w:type="character" w:styleId="Hyperlink">
    <w:name w:val="Hyperlink"/>
    <w:uiPriority w:val="99"/>
    <w:qFormat/>
    <w:rsid w:val="000C4D35"/>
    <w:rPr>
      <w:color w:val="32809C"/>
      <w:u w:val="none"/>
    </w:rPr>
  </w:style>
  <w:style w:type="paragraph" w:customStyle="1" w:styleId="Imprint">
    <w:name w:val="Imprint"/>
    <w:basedOn w:val="Normal"/>
    <w:uiPriority w:val="3"/>
    <w:rsid w:val="000C4D35"/>
    <w:pPr>
      <w:jc w:val="left"/>
    </w:pPr>
  </w:style>
  <w:style w:type="paragraph" w:styleId="TOC1">
    <w:name w:val="toc 1"/>
    <w:basedOn w:val="Normal"/>
    <w:next w:val="Normal"/>
    <w:uiPriority w:val="39"/>
    <w:rsid w:val="001C4D65"/>
    <w:pPr>
      <w:spacing w:before="280" w:after="0"/>
      <w:jc w:val="left"/>
    </w:pPr>
    <w:rPr>
      <w:bCs/>
      <w:iCs/>
      <w:szCs w:val="24"/>
    </w:rPr>
  </w:style>
  <w:style w:type="paragraph" w:styleId="TOC2">
    <w:name w:val="toc 2"/>
    <w:basedOn w:val="Normal"/>
    <w:next w:val="Normal"/>
    <w:uiPriority w:val="39"/>
    <w:rsid w:val="001C4D65"/>
    <w:pPr>
      <w:spacing w:after="0"/>
      <w:ind w:left="227"/>
      <w:jc w:val="left"/>
    </w:pPr>
    <w:rPr>
      <w:bCs/>
    </w:rPr>
  </w:style>
  <w:style w:type="character" w:customStyle="1" w:styleId="BulletChar">
    <w:name w:val="Bullet Char"/>
    <w:basedOn w:val="DefaultParagraphFont"/>
    <w:link w:val="Bullet"/>
    <w:locked/>
    <w:rsid w:val="0091657C"/>
    <w:rPr>
      <w:rFonts w:ascii="Calibri" w:eastAsia="Calibri" w:hAnsi="Calibri" w:cs="Times New Roman"/>
      <w:szCs w:val="20"/>
    </w:rPr>
  </w:style>
  <w:style w:type="paragraph" w:customStyle="1" w:styleId="TableText">
    <w:name w:val="TableText"/>
    <w:basedOn w:val="Normal"/>
    <w:qFormat/>
    <w:rsid w:val="000C4D35"/>
    <w:pPr>
      <w:spacing w:before="60" w:after="60" w:line="240" w:lineRule="atLeast"/>
      <w:jc w:val="left"/>
    </w:pPr>
    <w:rPr>
      <w:rFonts w:eastAsia="Times New Roman" w:cs="Times New Roman"/>
      <w:sz w:val="18"/>
      <w:szCs w:val="20"/>
    </w:rPr>
  </w:style>
  <w:style w:type="table" w:customStyle="1" w:styleId="TableGrid2">
    <w:name w:val="Table Grid2"/>
    <w:basedOn w:val="TableNormal"/>
    <w:next w:val="TableGrid"/>
    <w:uiPriority w:val="59"/>
    <w:rsid w:val="000C4D35"/>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RS Table Grid a"/>
    <w:basedOn w:val="TableNormal"/>
    <w:uiPriority w:val="39"/>
    <w:rsid w:val="000C4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576C6"/>
    <w:rPr>
      <w:rFonts w:ascii="Calibri" w:eastAsiaTheme="majorEastAsia" w:hAnsi="Calibri" w:cstheme="majorBidi"/>
      <w:b/>
      <w:bCs/>
      <w:sz w:val="28"/>
      <w:lang w:eastAsia="en-NZ"/>
    </w:rPr>
  </w:style>
  <w:style w:type="character" w:customStyle="1" w:styleId="Heading4Char">
    <w:name w:val="Heading 4 Char"/>
    <w:basedOn w:val="DefaultParagraphFont"/>
    <w:link w:val="Heading4"/>
    <w:rsid w:val="001576C6"/>
    <w:rPr>
      <w:rFonts w:ascii="Calibri" w:eastAsiaTheme="majorEastAsia" w:hAnsi="Calibri" w:cstheme="majorBidi"/>
      <w:b/>
      <w:bCs/>
      <w:color w:val="0F7B7D"/>
      <w:sz w:val="24"/>
      <w:lang w:eastAsia="en-NZ"/>
    </w:rPr>
  </w:style>
  <w:style w:type="character" w:customStyle="1" w:styleId="Heading5Char">
    <w:name w:val="Heading 5 Char"/>
    <w:basedOn w:val="DefaultParagraphFont"/>
    <w:link w:val="Heading5"/>
    <w:rsid w:val="001576C6"/>
    <w:rPr>
      <w:rFonts w:ascii="Calibri" w:eastAsiaTheme="majorEastAsia" w:hAnsi="Calibri" w:cstheme="majorBidi"/>
      <w:i/>
      <w:sz w:val="24"/>
      <w:lang w:eastAsia="en-NZ"/>
    </w:rPr>
  </w:style>
  <w:style w:type="character" w:customStyle="1" w:styleId="Heading6Char">
    <w:name w:val="Heading 6 Char"/>
    <w:basedOn w:val="DefaultParagraphFont"/>
    <w:link w:val="Heading6"/>
    <w:semiHidden/>
    <w:rsid w:val="000C4D35"/>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0C4D35"/>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0C4D35"/>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0C4D35"/>
    <w:rPr>
      <w:rFonts w:ascii="Arial" w:eastAsia="Times New Roman" w:hAnsi="Arial" w:cs="Times New Roman"/>
      <w:b/>
      <w:color w:val="FFFFFF"/>
      <w:kern w:val="28"/>
      <w:sz w:val="2"/>
      <w:szCs w:val="20"/>
      <w:lang w:val="en-AU"/>
    </w:rPr>
  </w:style>
  <w:style w:type="paragraph" w:styleId="Header">
    <w:name w:val="header"/>
    <w:basedOn w:val="Normal"/>
    <w:link w:val="HeaderChar"/>
    <w:uiPriority w:val="99"/>
    <w:semiHidden/>
    <w:rsid w:val="000C4D35"/>
    <w:pPr>
      <w:jc w:val="center"/>
    </w:pPr>
    <w:rPr>
      <w:rFonts w:ascii="Arial" w:hAnsi="Arial"/>
      <w:sz w:val="16"/>
    </w:rPr>
  </w:style>
  <w:style w:type="character" w:customStyle="1" w:styleId="HeaderChar">
    <w:name w:val="Header Char"/>
    <w:basedOn w:val="DefaultParagraphFont"/>
    <w:link w:val="Header"/>
    <w:uiPriority w:val="99"/>
    <w:semiHidden/>
    <w:rsid w:val="00C73EC6"/>
    <w:rPr>
      <w:rFonts w:ascii="Arial" w:eastAsiaTheme="minorEastAsia" w:hAnsi="Arial"/>
      <w:sz w:val="16"/>
      <w:lang w:eastAsia="en-NZ"/>
    </w:rPr>
  </w:style>
  <w:style w:type="paragraph" w:styleId="Quote">
    <w:name w:val="Quote"/>
    <w:basedOn w:val="Normal"/>
    <w:next w:val="BodyText"/>
    <w:link w:val="QuoteChar"/>
    <w:uiPriority w:val="1"/>
    <w:semiHidden/>
    <w:qFormat/>
    <w:rsid w:val="000C4D35"/>
    <w:pPr>
      <w:spacing w:before="60" w:after="60"/>
      <w:ind w:left="567" w:right="567"/>
      <w:jc w:val="left"/>
    </w:pPr>
    <w:rPr>
      <w:sz w:val="20"/>
    </w:rPr>
  </w:style>
  <w:style w:type="character" w:customStyle="1" w:styleId="QuoteChar">
    <w:name w:val="Quote Char"/>
    <w:basedOn w:val="DefaultParagraphFont"/>
    <w:link w:val="Quote"/>
    <w:uiPriority w:val="1"/>
    <w:semiHidden/>
    <w:rsid w:val="001C4D65"/>
    <w:rPr>
      <w:rFonts w:ascii="Calibri" w:eastAsiaTheme="minorEastAsia" w:hAnsi="Calibri"/>
      <w:sz w:val="20"/>
      <w:lang w:eastAsia="en-NZ"/>
    </w:rPr>
  </w:style>
  <w:style w:type="paragraph" w:customStyle="1" w:styleId="Box">
    <w:name w:val="Box"/>
    <w:basedOn w:val="Normal"/>
    <w:uiPriority w:val="1"/>
    <w:qFormat/>
    <w:rsid w:val="000C4D35"/>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
    <w:uiPriority w:val="1"/>
    <w:qFormat/>
    <w:rsid w:val="000C4D35"/>
    <w:pPr>
      <w:numPr>
        <w:numId w:val="3"/>
      </w:numPr>
      <w:tabs>
        <w:tab w:val="left" w:pos="680"/>
      </w:tabs>
      <w:spacing w:before="0"/>
      <w:ind w:left="681" w:hanging="397"/>
    </w:pPr>
  </w:style>
  <w:style w:type="paragraph" w:customStyle="1" w:styleId="Boxheading">
    <w:name w:val="Box heading"/>
    <w:basedOn w:val="Box"/>
    <w:next w:val="Box"/>
    <w:uiPriority w:val="1"/>
    <w:qFormat/>
    <w:rsid w:val="000C4D35"/>
    <w:pPr>
      <w:keepNext/>
      <w:spacing w:after="0"/>
    </w:pPr>
    <w:rPr>
      <w:b/>
    </w:rPr>
  </w:style>
  <w:style w:type="paragraph" w:styleId="Footer">
    <w:name w:val="footer"/>
    <w:basedOn w:val="Normal"/>
    <w:link w:val="FooterChar"/>
    <w:uiPriority w:val="99"/>
    <w:semiHidden/>
    <w:rsid w:val="000C4D35"/>
    <w:pPr>
      <w:tabs>
        <w:tab w:val="center" w:pos="4153"/>
        <w:tab w:val="right" w:pos="8306"/>
      </w:tabs>
    </w:pPr>
  </w:style>
  <w:style w:type="character" w:customStyle="1" w:styleId="FooterChar">
    <w:name w:val="Footer Char"/>
    <w:basedOn w:val="DefaultParagraphFont"/>
    <w:link w:val="Footer"/>
    <w:uiPriority w:val="99"/>
    <w:semiHidden/>
    <w:rsid w:val="00373558"/>
    <w:rPr>
      <w:rFonts w:ascii="Calibri" w:eastAsiaTheme="minorEastAsia" w:hAnsi="Calibri"/>
      <w:lang w:eastAsia="en-NZ"/>
    </w:rPr>
  </w:style>
  <w:style w:type="paragraph" w:customStyle="1" w:styleId="Sub-list">
    <w:name w:val="Sub-list"/>
    <w:basedOn w:val="Normal"/>
    <w:qFormat/>
    <w:rsid w:val="000C4D35"/>
    <w:pPr>
      <w:numPr>
        <w:numId w:val="4"/>
      </w:numPr>
      <w:tabs>
        <w:tab w:val="left" w:pos="794"/>
      </w:tabs>
      <w:spacing w:before="0"/>
      <w:ind w:left="794" w:hanging="397"/>
      <w:jc w:val="left"/>
    </w:pPr>
  </w:style>
  <w:style w:type="paragraph" w:customStyle="1" w:styleId="Figureheading">
    <w:name w:val="Figure heading"/>
    <w:basedOn w:val="Normal"/>
    <w:next w:val="BodyText"/>
    <w:uiPriority w:val="3"/>
    <w:qFormat/>
    <w:rsid w:val="000C4D35"/>
    <w:pPr>
      <w:keepNext/>
      <w:ind w:left="1134" w:hanging="1134"/>
      <w:jc w:val="left"/>
    </w:pPr>
    <w:rPr>
      <w:b/>
      <w:sz w:val="20"/>
    </w:rPr>
  </w:style>
  <w:style w:type="character" w:styleId="FootnoteReference">
    <w:name w:val="footnote reference"/>
    <w:uiPriority w:val="99"/>
    <w:semiHidden/>
    <w:rsid w:val="000C4D35"/>
    <w:rPr>
      <w:rFonts w:ascii="Calibri" w:hAnsi="Calibri"/>
      <w:color w:val="183C47"/>
      <w:sz w:val="22"/>
      <w:vertAlign w:val="superscript"/>
    </w:rPr>
  </w:style>
  <w:style w:type="paragraph" w:styleId="FootnoteText">
    <w:name w:val="footnote text"/>
    <w:basedOn w:val="Normal"/>
    <w:link w:val="FootnoteTextChar"/>
    <w:uiPriority w:val="99"/>
    <w:rsid w:val="000C4D35"/>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0C4D35"/>
    <w:rPr>
      <w:rFonts w:ascii="Calibri" w:eastAsiaTheme="minorEastAsia" w:hAnsi="Calibri"/>
      <w:sz w:val="19"/>
      <w:lang w:eastAsia="en-NZ"/>
    </w:rPr>
  </w:style>
  <w:style w:type="paragraph" w:customStyle="1" w:styleId="Note">
    <w:name w:val="Note"/>
    <w:basedOn w:val="BodyText"/>
    <w:next w:val="Normal"/>
    <w:uiPriority w:val="1"/>
    <w:semiHidden/>
    <w:qFormat/>
    <w:rsid w:val="000C4D35"/>
    <w:rPr>
      <w:sz w:val="18"/>
    </w:rPr>
  </w:style>
  <w:style w:type="paragraph" w:customStyle="1" w:styleId="References">
    <w:name w:val="References"/>
    <w:basedOn w:val="Normal"/>
    <w:uiPriority w:val="1"/>
    <w:semiHidden/>
    <w:qFormat/>
    <w:rsid w:val="000C4D35"/>
    <w:pPr>
      <w:spacing w:before="0" w:line="260" w:lineRule="atLeast"/>
      <w:jc w:val="left"/>
    </w:pPr>
    <w:rPr>
      <w:sz w:val="20"/>
    </w:rPr>
  </w:style>
  <w:style w:type="paragraph" w:customStyle="1" w:styleId="Source">
    <w:name w:val="Source"/>
    <w:basedOn w:val="Normal"/>
    <w:next w:val="Normal"/>
    <w:uiPriority w:val="1"/>
    <w:semiHidden/>
    <w:qFormat/>
    <w:rsid w:val="000C4D35"/>
    <w:pPr>
      <w:tabs>
        <w:tab w:val="left" w:pos="680"/>
      </w:tabs>
      <w:jc w:val="left"/>
    </w:pPr>
    <w:rPr>
      <w:sz w:val="18"/>
    </w:rPr>
  </w:style>
  <w:style w:type="paragraph" w:styleId="Title">
    <w:name w:val="Title"/>
    <w:basedOn w:val="Normal"/>
    <w:link w:val="TitleChar"/>
    <w:uiPriority w:val="2"/>
    <w:semiHidden/>
    <w:qFormat/>
    <w:rsid w:val="000C4D35"/>
    <w:pPr>
      <w:spacing w:line="360" w:lineRule="auto"/>
      <w:jc w:val="center"/>
    </w:pPr>
    <w:rPr>
      <w:b/>
      <w:color w:val="17556C"/>
      <w:sz w:val="52"/>
    </w:rPr>
  </w:style>
  <w:style w:type="character" w:customStyle="1" w:styleId="TitleChar">
    <w:name w:val="Title Char"/>
    <w:basedOn w:val="DefaultParagraphFont"/>
    <w:link w:val="Title"/>
    <w:uiPriority w:val="2"/>
    <w:semiHidden/>
    <w:rsid w:val="001C4D65"/>
    <w:rPr>
      <w:rFonts w:ascii="Calibri" w:eastAsiaTheme="minorEastAsia" w:hAnsi="Calibri"/>
      <w:b/>
      <w:color w:val="17556C"/>
      <w:sz w:val="52"/>
      <w:lang w:eastAsia="en-NZ"/>
    </w:rPr>
  </w:style>
  <w:style w:type="paragraph" w:styleId="Subtitle">
    <w:name w:val="Subtitle"/>
    <w:basedOn w:val="Title"/>
    <w:link w:val="SubtitleChar"/>
    <w:uiPriority w:val="2"/>
    <w:semiHidden/>
    <w:qFormat/>
    <w:rsid w:val="000C4D35"/>
    <w:pPr>
      <w:spacing w:before="600" w:line="240" w:lineRule="auto"/>
    </w:pPr>
    <w:rPr>
      <w:sz w:val="36"/>
      <w:szCs w:val="36"/>
    </w:rPr>
  </w:style>
  <w:style w:type="character" w:customStyle="1" w:styleId="SubtitleChar">
    <w:name w:val="Subtitle Char"/>
    <w:basedOn w:val="DefaultParagraphFont"/>
    <w:link w:val="Subtitle"/>
    <w:uiPriority w:val="2"/>
    <w:semiHidden/>
    <w:rsid w:val="001C4D65"/>
    <w:rPr>
      <w:rFonts w:ascii="Calibri" w:eastAsiaTheme="minorEastAsia" w:hAnsi="Calibri"/>
      <w:b/>
      <w:color w:val="17556C"/>
      <w:sz w:val="36"/>
      <w:szCs w:val="36"/>
      <w:lang w:eastAsia="en-NZ"/>
    </w:rPr>
  </w:style>
  <w:style w:type="paragraph" w:customStyle="1" w:styleId="Tableheading">
    <w:name w:val="Table heading"/>
    <w:basedOn w:val="Normal"/>
    <w:next w:val="Normal"/>
    <w:qFormat/>
    <w:rsid w:val="000C4D35"/>
    <w:pPr>
      <w:keepNext/>
      <w:ind w:left="1134" w:hanging="1134"/>
      <w:jc w:val="left"/>
    </w:pPr>
    <w:rPr>
      <w:b/>
      <w:sz w:val="20"/>
    </w:rPr>
  </w:style>
  <w:style w:type="paragraph" w:customStyle="1" w:styleId="TableTextbold">
    <w:name w:val="TableText bold"/>
    <w:basedOn w:val="TableText"/>
    <w:rsid w:val="000C4D35"/>
    <w:rPr>
      <w:b/>
    </w:rPr>
  </w:style>
  <w:style w:type="paragraph" w:customStyle="1" w:styleId="Captions">
    <w:name w:val="Captions"/>
    <w:basedOn w:val="Note"/>
    <w:next w:val="Normal"/>
    <w:semiHidden/>
    <w:rsid w:val="000C4D35"/>
    <w:pPr>
      <w:tabs>
        <w:tab w:val="left" w:pos="851"/>
      </w:tabs>
    </w:pPr>
  </w:style>
  <w:style w:type="paragraph" w:customStyle="1" w:styleId="Glossary">
    <w:name w:val="Glossary"/>
    <w:basedOn w:val="Normal"/>
    <w:uiPriority w:val="1"/>
    <w:semiHidden/>
    <w:qFormat/>
    <w:rsid w:val="000C4D35"/>
    <w:pPr>
      <w:tabs>
        <w:tab w:val="left" w:pos="2835"/>
      </w:tabs>
      <w:spacing w:after="0"/>
      <w:jc w:val="left"/>
    </w:pPr>
  </w:style>
  <w:style w:type="paragraph" w:customStyle="1" w:styleId="Footerodd">
    <w:name w:val="Footer odd"/>
    <w:basedOn w:val="Normal"/>
    <w:uiPriority w:val="1"/>
    <w:rsid w:val="000C4D35"/>
    <w:pPr>
      <w:tabs>
        <w:tab w:val="right" w:pos="7938"/>
        <w:tab w:val="right" w:pos="8505"/>
      </w:tabs>
      <w:jc w:val="left"/>
    </w:pPr>
    <w:rPr>
      <w:sz w:val="16"/>
    </w:rPr>
  </w:style>
  <w:style w:type="paragraph" w:customStyle="1" w:styleId="Footereven">
    <w:name w:val="Footer even"/>
    <w:basedOn w:val="Normal"/>
    <w:uiPriority w:val="1"/>
    <w:rsid w:val="000C4D35"/>
    <w:pPr>
      <w:tabs>
        <w:tab w:val="left" w:pos="567"/>
      </w:tabs>
    </w:pPr>
    <w:rPr>
      <w:sz w:val="16"/>
    </w:rPr>
  </w:style>
  <w:style w:type="paragraph" w:customStyle="1" w:styleId="Numberedparagraph">
    <w:name w:val="Numbered paragraph"/>
    <w:basedOn w:val="Normal"/>
    <w:uiPriority w:val="1"/>
    <w:qFormat/>
    <w:rsid w:val="000C4D35"/>
    <w:pPr>
      <w:numPr>
        <w:numId w:val="5"/>
      </w:numPr>
      <w:spacing w:before="0"/>
      <w:ind w:firstLine="0"/>
      <w:jc w:val="left"/>
    </w:pPr>
  </w:style>
  <w:style w:type="paragraph" w:customStyle="1" w:styleId="Sub-lista">
    <w:name w:val="Sub-list a"/>
    <w:aliases w:val="b"/>
    <w:basedOn w:val="Normal"/>
    <w:uiPriority w:val="2"/>
    <w:rsid w:val="000C4D35"/>
    <w:pPr>
      <w:numPr>
        <w:numId w:val="6"/>
      </w:numPr>
      <w:spacing w:before="0"/>
      <w:ind w:left="794" w:hanging="397"/>
      <w:jc w:val="left"/>
    </w:pPr>
  </w:style>
  <w:style w:type="paragraph" w:styleId="EndnoteText">
    <w:name w:val="endnote text"/>
    <w:basedOn w:val="Normal"/>
    <w:link w:val="EndnoteTextChar"/>
    <w:uiPriority w:val="99"/>
    <w:semiHidden/>
    <w:rsid w:val="000C4D35"/>
    <w:pPr>
      <w:spacing w:after="60"/>
    </w:pPr>
    <w:rPr>
      <w:sz w:val="20"/>
    </w:rPr>
  </w:style>
  <w:style w:type="character" w:customStyle="1" w:styleId="EndnoteTextChar">
    <w:name w:val="Endnote Text Char"/>
    <w:basedOn w:val="DefaultParagraphFont"/>
    <w:link w:val="EndnoteText"/>
    <w:uiPriority w:val="99"/>
    <w:semiHidden/>
    <w:rsid w:val="000C4D35"/>
    <w:rPr>
      <w:rFonts w:ascii="Calibri" w:eastAsiaTheme="minorEastAsia" w:hAnsi="Calibri"/>
      <w:sz w:val="20"/>
      <w:lang w:eastAsia="en-NZ"/>
    </w:rPr>
  </w:style>
  <w:style w:type="paragraph" w:styleId="TOC3">
    <w:name w:val="toc 3"/>
    <w:basedOn w:val="Normal"/>
    <w:next w:val="Normal"/>
    <w:autoRedefine/>
    <w:uiPriority w:val="39"/>
    <w:semiHidden/>
    <w:rsid w:val="00073F54"/>
    <w:pPr>
      <w:spacing w:before="0" w:after="0"/>
      <w:ind w:left="440"/>
      <w:jc w:val="left"/>
    </w:pPr>
    <w:rPr>
      <w:rFonts w:asciiTheme="minorHAnsi" w:hAnsiTheme="minorHAnsi"/>
      <w:sz w:val="20"/>
      <w:szCs w:val="20"/>
    </w:rPr>
  </w:style>
  <w:style w:type="paragraph" w:styleId="TableofFigures">
    <w:name w:val="table of figures"/>
    <w:basedOn w:val="Normal"/>
    <w:next w:val="Normal"/>
    <w:uiPriority w:val="99"/>
    <w:rsid w:val="002B5AD4"/>
    <w:pPr>
      <w:spacing w:before="0"/>
      <w:ind w:left="851" w:hanging="851"/>
      <w:jc w:val="left"/>
    </w:pPr>
    <w:rPr>
      <w:iCs/>
      <w:szCs w:val="20"/>
    </w:rPr>
  </w:style>
  <w:style w:type="paragraph" w:customStyle="1" w:styleId="Sub-listi">
    <w:name w:val="Sub-list i"/>
    <w:aliases w:val="ii"/>
    <w:basedOn w:val="BodyText"/>
    <w:semiHidden/>
    <w:rsid w:val="000C4D35"/>
    <w:pPr>
      <w:numPr>
        <w:numId w:val="7"/>
      </w:numPr>
      <w:spacing w:before="60" w:after="60"/>
    </w:pPr>
  </w:style>
  <w:style w:type="paragraph" w:customStyle="1" w:styleId="TableBullet">
    <w:name w:val="TableBullet"/>
    <w:basedOn w:val="Normal"/>
    <w:qFormat/>
    <w:rsid w:val="000C4D35"/>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0C4D35"/>
    <w:pPr>
      <w:numPr>
        <w:numId w:val="9"/>
      </w:numPr>
    </w:pPr>
  </w:style>
  <w:style w:type="paragraph" w:styleId="ListParagraph">
    <w:name w:val="List Paragraph"/>
    <w:aliases w:val="Rec para,Recommendation,List Paragraph11,NFP GP Bulleted List,Dot pt,F5 List Paragraph,No Spacing1,List Paragraph Char Char Char,Indicator Text,Numbered Para 1,Colorful List - Accent 11,Bullet 1,MAIN CONTENT,TOC style,lp1"/>
    <w:basedOn w:val="Normal"/>
    <w:link w:val="ListParagraphChar"/>
    <w:uiPriority w:val="34"/>
    <w:semiHidden/>
    <w:qFormat/>
    <w:rsid w:val="000C4D35"/>
    <w:pPr>
      <w:spacing w:before="0" w:after="0" w:line="240" w:lineRule="auto"/>
      <w:ind w:left="720"/>
      <w:contextualSpacing/>
    </w:pPr>
    <w:rPr>
      <w:rFonts w:ascii="Times New Roman" w:hAnsi="Times New Roman"/>
      <w:szCs w:val="20"/>
      <w:lang w:eastAsia="en-GB"/>
    </w:rPr>
  </w:style>
  <w:style w:type="paragraph" w:styleId="CommentText">
    <w:name w:val="annotation text"/>
    <w:basedOn w:val="Normal"/>
    <w:link w:val="CommentTextChar"/>
    <w:uiPriority w:val="99"/>
    <w:unhideWhenUsed/>
    <w:rsid w:val="000C4D35"/>
    <w:pPr>
      <w:spacing w:line="240" w:lineRule="auto"/>
    </w:pPr>
    <w:rPr>
      <w:sz w:val="20"/>
      <w:szCs w:val="20"/>
    </w:rPr>
  </w:style>
  <w:style w:type="character" w:customStyle="1" w:styleId="CommentTextChar">
    <w:name w:val="Comment Text Char"/>
    <w:basedOn w:val="DefaultParagraphFont"/>
    <w:link w:val="CommentText"/>
    <w:uiPriority w:val="99"/>
    <w:rsid w:val="000C4D35"/>
    <w:rPr>
      <w:rFonts w:ascii="Calibri" w:eastAsiaTheme="minorEastAsia" w:hAnsi="Calibri"/>
      <w:sz w:val="20"/>
      <w:szCs w:val="20"/>
      <w:lang w:eastAsia="en-NZ"/>
    </w:rPr>
  </w:style>
  <w:style w:type="paragraph" w:styleId="CommentSubject">
    <w:name w:val="annotation subject"/>
    <w:basedOn w:val="Normal"/>
    <w:link w:val="CommentSubjectChar"/>
    <w:uiPriority w:val="99"/>
    <w:semiHidden/>
    <w:rsid w:val="000C4D35"/>
    <w:rPr>
      <w:b/>
      <w:bCs/>
      <w:sz w:val="20"/>
    </w:rPr>
  </w:style>
  <w:style w:type="character" w:customStyle="1" w:styleId="CommentSubjectChar">
    <w:name w:val="Comment Subject Char"/>
    <w:basedOn w:val="CommentTextChar"/>
    <w:link w:val="CommentSubject"/>
    <w:uiPriority w:val="99"/>
    <w:semiHidden/>
    <w:rsid w:val="000C4D35"/>
    <w:rPr>
      <w:rFonts w:ascii="Calibri" w:eastAsiaTheme="minorEastAsia" w:hAnsi="Calibri"/>
      <w:b/>
      <w:bCs/>
      <w:sz w:val="20"/>
      <w:szCs w:val="20"/>
      <w:lang w:eastAsia="en-NZ"/>
    </w:rPr>
  </w:style>
  <w:style w:type="paragraph" w:styleId="BalloonText">
    <w:name w:val="Balloon Text"/>
    <w:basedOn w:val="Normal"/>
    <w:link w:val="BalloonTextChar"/>
    <w:uiPriority w:val="99"/>
    <w:semiHidden/>
    <w:unhideWhenUsed/>
    <w:rsid w:val="000C4D35"/>
    <w:rPr>
      <w:rFonts w:ascii="Tahoma" w:hAnsi="Tahoma"/>
      <w:sz w:val="16"/>
      <w:szCs w:val="16"/>
    </w:rPr>
  </w:style>
  <w:style w:type="character" w:customStyle="1" w:styleId="BalloonTextChar">
    <w:name w:val="Balloon Text Char"/>
    <w:basedOn w:val="DefaultParagraphFont"/>
    <w:link w:val="BalloonText"/>
    <w:uiPriority w:val="99"/>
    <w:semiHidden/>
    <w:rsid w:val="000C4D35"/>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0C4D35"/>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0C4D35"/>
    <w:rPr>
      <w:rFonts w:ascii="Arial" w:eastAsia="Calibri" w:hAnsi="Arial"/>
      <w:vanish/>
      <w:sz w:val="16"/>
      <w:szCs w:val="16"/>
      <w:lang w:val="en-US" w:eastAsia="en-NZ"/>
    </w:rPr>
  </w:style>
  <w:style w:type="paragraph" w:styleId="z-TopofForm">
    <w:name w:val="HTML Top of Form"/>
    <w:basedOn w:val="Normal"/>
    <w:next w:val="Normal"/>
    <w:link w:val="z-TopofFormChar"/>
    <w:hidden/>
    <w:uiPriority w:val="99"/>
    <w:semiHidden/>
    <w:unhideWhenUsed/>
    <w:rsid w:val="000C4D35"/>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0C4D35"/>
    <w:rPr>
      <w:rFonts w:ascii="Arial" w:eastAsia="Calibri" w:hAnsi="Arial"/>
      <w:vanish/>
      <w:sz w:val="16"/>
      <w:szCs w:val="16"/>
      <w:lang w:val="en-US" w:eastAsia="en-NZ"/>
    </w:rPr>
  </w:style>
  <w:style w:type="table" w:styleId="MediumShading1-Accent2">
    <w:name w:val="Medium Shading 1 Accent 2"/>
    <w:basedOn w:val="TableNormal"/>
    <w:uiPriority w:val="63"/>
    <w:rsid w:val="000C4D35"/>
    <w:pPr>
      <w:spacing w:after="0" w:line="240" w:lineRule="auto"/>
    </w:pPr>
    <w:tblPr>
      <w:tblStyleRowBandSize w:val="1"/>
      <w:tblStyleColBandSize w:val="1"/>
      <w:tbl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single" w:sz="8" w:space="0" w:color="19CCCF" w:themeColor="accent2" w:themeTint="BF"/>
      </w:tblBorders>
    </w:tblPr>
    <w:tblStylePr w:type="firstRow">
      <w:pPr>
        <w:spacing w:before="0" w:after="0" w:line="240" w:lineRule="auto"/>
      </w:pPr>
      <w:rPr>
        <w:b/>
        <w:bCs/>
        <w:color w:val="FFFFFF" w:themeColor="background1"/>
      </w:rPr>
      <w:tblPr/>
      <w:tcPr>
        <w:tc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shd w:val="clear" w:color="auto" w:fill="0F7B7D" w:themeFill="accent2"/>
      </w:tcPr>
    </w:tblStylePr>
    <w:tblStylePr w:type="lastRow">
      <w:pPr>
        <w:spacing w:before="0" w:after="0" w:line="240" w:lineRule="auto"/>
      </w:pPr>
      <w:rPr>
        <w:b/>
        <w:bCs/>
      </w:rPr>
      <w:tblPr/>
      <w:tcPr>
        <w:tcBorders>
          <w:top w:val="double" w:sz="6"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DF3F5" w:themeFill="accent2" w:themeFillTint="3F"/>
      </w:tcPr>
    </w:tblStylePr>
    <w:tblStylePr w:type="band1Horz">
      <w:tblPr/>
      <w:tcPr>
        <w:tcBorders>
          <w:insideH w:val="nil"/>
          <w:insideV w:val="nil"/>
        </w:tcBorders>
        <w:shd w:val="clear" w:color="auto" w:fill="ADF3F5"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0C4D35"/>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0C4D35"/>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0C4D35"/>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0C4D35"/>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0C4D35"/>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0C4D35"/>
    <w:rPr>
      <w:sz w:val="16"/>
      <w:szCs w:val="16"/>
    </w:rPr>
  </w:style>
  <w:style w:type="paragraph" w:styleId="Revision">
    <w:name w:val="Revision"/>
    <w:hidden/>
    <w:uiPriority w:val="99"/>
    <w:semiHidden/>
    <w:rsid w:val="000C4D35"/>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0C4D35"/>
    <w:rPr>
      <w:b/>
      <w:bCs/>
    </w:rPr>
  </w:style>
  <w:style w:type="paragraph" w:customStyle="1" w:styleId="Boxa">
    <w:name w:val="Box a"/>
    <w:aliases w:val="b list"/>
    <w:basedOn w:val="Sub-listi"/>
    <w:semiHidden/>
    <w:qFormat/>
    <w:rsid w:val="000C4D35"/>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0C4D35"/>
    <w:rPr>
      <w:vertAlign w:val="superscript"/>
    </w:rPr>
  </w:style>
  <w:style w:type="character" w:styleId="FollowedHyperlink">
    <w:name w:val="FollowedHyperlink"/>
    <w:basedOn w:val="DefaultParagraphFont"/>
    <w:uiPriority w:val="99"/>
    <w:semiHidden/>
    <w:rsid w:val="000C4D35"/>
    <w:rPr>
      <w:color w:val="32809C"/>
      <w:u w:val="none"/>
    </w:rPr>
  </w:style>
  <w:style w:type="paragraph" w:customStyle="1" w:styleId="BoxBullet0">
    <w:name w:val="Box Bullet"/>
    <w:basedOn w:val="Box"/>
    <w:semiHidden/>
    <w:rsid w:val="000C4D35"/>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eastAsia="Times New Roman" w:hAnsi="Arial" w:cs="Times New Roman"/>
      <w:color w:val="auto"/>
      <w:szCs w:val="20"/>
      <w:lang w:eastAsia="en-GB"/>
    </w:rPr>
  </w:style>
  <w:style w:type="paragraph" w:customStyle="1" w:styleId="BoxHeading0">
    <w:name w:val="BoxHeading"/>
    <w:basedOn w:val="Box"/>
    <w:next w:val="Box"/>
    <w:semiHidden/>
    <w:rsid w:val="000C4D35"/>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eastAsia="Times New Roman" w:hAnsi="Arial" w:cs="Times New Roman"/>
      <w:b/>
      <w:color w:val="auto"/>
      <w:sz w:val="22"/>
      <w:szCs w:val="20"/>
      <w:lang w:eastAsia="en-GB"/>
    </w:rPr>
  </w:style>
  <w:style w:type="paragraph" w:styleId="TOC4">
    <w:name w:val="toc 4"/>
    <w:basedOn w:val="Normal"/>
    <w:next w:val="Normal"/>
    <w:semiHidden/>
    <w:rsid w:val="000C4D35"/>
    <w:pPr>
      <w:spacing w:before="0" w:after="0"/>
      <w:ind w:left="660"/>
      <w:jc w:val="left"/>
    </w:pPr>
    <w:rPr>
      <w:rFonts w:asciiTheme="minorHAnsi" w:hAnsiTheme="minorHAnsi"/>
      <w:sz w:val="20"/>
      <w:szCs w:val="20"/>
    </w:rPr>
  </w:style>
  <w:style w:type="paragraph" w:styleId="Caption">
    <w:name w:val="caption"/>
    <w:basedOn w:val="Normal"/>
    <w:next w:val="Normal"/>
    <w:uiPriority w:val="35"/>
    <w:semiHidden/>
    <w:qFormat/>
    <w:rsid w:val="000C4D35"/>
    <w:pPr>
      <w:spacing w:before="0" w:after="200" w:line="240" w:lineRule="auto"/>
    </w:pPr>
    <w:rPr>
      <w:rFonts w:ascii="Times New Roman" w:eastAsia="Times New Roman" w:hAnsi="Times New Roman" w:cs="Times New Roman"/>
      <w:b/>
      <w:bCs/>
      <w:color w:val="1C556C" w:themeColor="accent1"/>
      <w:sz w:val="18"/>
      <w:szCs w:val="18"/>
      <w:lang w:eastAsia="en-US"/>
    </w:rPr>
  </w:style>
  <w:style w:type="paragraph" w:customStyle="1" w:styleId="Casestudyheading">
    <w:name w:val="Case study heading"/>
    <w:basedOn w:val="BodyText"/>
    <w:uiPriority w:val="1"/>
    <w:semiHidden/>
    <w:qFormat/>
    <w:rsid w:val="000C4D35"/>
    <w:pPr>
      <w:keepNext/>
      <w:spacing w:line="240" w:lineRule="auto"/>
      <w:ind w:left="284"/>
    </w:pPr>
    <w:rPr>
      <w:b/>
      <w:caps/>
      <w:color w:val="FFFFFF" w:themeColor="background1"/>
    </w:rPr>
  </w:style>
  <w:style w:type="table" w:styleId="LightShading-Accent1">
    <w:name w:val="Light Shading Accent 1"/>
    <w:basedOn w:val="TableNormal"/>
    <w:uiPriority w:val="60"/>
    <w:rsid w:val="000C4D35"/>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0C4D35"/>
    <w:pPr>
      <w:spacing w:after="0" w:line="240" w:lineRule="auto"/>
    </w:pPr>
    <w:rPr>
      <w:rFonts w:eastAsiaTheme="minorEastAsia"/>
      <w:lang w:val="en-US"/>
    </w:rPr>
    <w:tblPr>
      <w:tblStyleRowBandSize w:val="1"/>
      <w:tblStyleColBandSize w:val="1"/>
      <w:tblBorders>
        <w:top w:val="single" w:sz="8" w:space="0" w:color="D2DDE2" w:themeColor="accent3"/>
        <w:left w:val="single" w:sz="8" w:space="0" w:color="D2DDE2" w:themeColor="accent3"/>
        <w:bottom w:val="single" w:sz="8" w:space="0" w:color="D2DDE2" w:themeColor="accent3"/>
        <w:right w:val="single" w:sz="8" w:space="0" w:color="D2DDE2" w:themeColor="accent3"/>
      </w:tblBorders>
    </w:tblPr>
    <w:tblStylePr w:type="firstRow">
      <w:pPr>
        <w:spacing w:before="0" w:after="0" w:line="240" w:lineRule="auto"/>
      </w:pPr>
      <w:rPr>
        <w:b/>
        <w:bCs/>
        <w:color w:val="FFFFFF" w:themeColor="background1"/>
      </w:rPr>
      <w:tblPr/>
      <w:tcPr>
        <w:shd w:val="clear" w:color="auto" w:fill="D2DDE2" w:themeFill="accent3"/>
      </w:tcPr>
    </w:tblStylePr>
    <w:tblStylePr w:type="lastRow">
      <w:pPr>
        <w:spacing w:before="0" w:after="0" w:line="240" w:lineRule="auto"/>
      </w:pPr>
      <w:rPr>
        <w:b/>
        <w:bCs/>
      </w:rPr>
      <w:tblPr/>
      <w:tcPr>
        <w:tcBorders>
          <w:top w:val="double" w:sz="6" w:space="0" w:color="D2DDE2" w:themeColor="accent3"/>
          <w:left w:val="single" w:sz="8" w:space="0" w:color="D2DDE2" w:themeColor="accent3"/>
          <w:bottom w:val="single" w:sz="8" w:space="0" w:color="D2DDE2" w:themeColor="accent3"/>
          <w:right w:val="single" w:sz="8" w:space="0" w:color="D2DDE2" w:themeColor="accent3"/>
        </w:tcBorders>
      </w:tcPr>
    </w:tblStylePr>
    <w:tblStylePr w:type="firstCol">
      <w:rPr>
        <w:b/>
        <w:bCs/>
      </w:rPr>
    </w:tblStylePr>
    <w:tblStylePr w:type="lastCol">
      <w:rPr>
        <w:b/>
        <w:bCs/>
      </w:rPr>
    </w:tblStylePr>
    <w:tblStylePr w:type="band1Vert">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tblStylePr w:type="band1Horz">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style>
  <w:style w:type="numbering" w:customStyle="1" w:styleId="Style1">
    <w:name w:val="Style1"/>
    <w:uiPriority w:val="99"/>
    <w:rsid w:val="000C4D35"/>
    <w:pPr>
      <w:numPr>
        <w:numId w:val="11"/>
      </w:numPr>
    </w:pPr>
  </w:style>
  <w:style w:type="numbering" w:customStyle="1" w:styleId="Style2">
    <w:name w:val="Style2"/>
    <w:uiPriority w:val="99"/>
    <w:rsid w:val="000C4D35"/>
    <w:pPr>
      <w:numPr>
        <w:numId w:val="12"/>
      </w:numPr>
    </w:pPr>
  </w:style>
  <w:style w:type="paragraph" w:customStyle="1" w:styleId="Greenbullet-casestudytables">
    <w:name w:val="Green bullet - case study tables"/>
    <w:basedOn w:val="Greentext-casestudytables"/>
    <w:uiPriority w:val="1"/>
    <w:semiHidden/>
    <w:rsid w:val="000C4D35"/>
    <w:pPr>
      <w:numPr>
        <w:numId w:val="13"/>
      </w:numPr>
      <w:spacing w:before="0"/>
      <w:ind w:left="681" w:hanging="397"/>
    </w:pPr>
  </w:style>
  <w:style w:type="paragraph" w:customStyle="1" w:styleId="Greentext-casestudytables">
    <w:name w:val="Green text - case study tables"/>
    <w:basedOn w:val="BodyText"/>
    <w:uiPriority w:val="1"/>
    <w:semiHidden/>
    <w:rsid w:val="000C4D35"/>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0C4D35"/>
    <w:pPr>
      <w:keepNext/>
      <w:spacing w:before="240" w:after="0"/>
    </w:pPr>
    <w:rPr>
      <w:rFonts w:eastAsia="Times New Roman"/>
      <w:b/>
    </w:rPr>
  </w:style>
  <w:style w:type="numbering" w:customStyle="1" w:styleId="Style3">
    <w:name w:val="Style3"/>
    <w:uiPriority w:val="99"/>
    <w:rsid w:val="000C4D35"/>
    <w:pPr>
      <w:numPr>
        <w:numId w:val="14"/>
      </w:numPr>
    </w:pPr>
  </w:style>
  <w:style w:type="numbering" w:customStyle="1" w:styleId="NoList1">
    <w:name w:val="No List1"/>
    <w:next w:val="NoList"/>
    <w:uiPriority w:val="99"/>
    <w:semiHidden/>
    <w:unhideWhenUsed/>
    <w:rsid w:val="000C4D35"/>
  </w:style>
  <w:style w:type="paragraph" w:styleId="NoSpacing">
    <w:name w:val="No Spacing"/>
    <w:aliases w:val="Numbered Paragraphs"/>
    <w:uiPriority w:val="1"/>
    <w:semiHidden/>
    <w:qFormat/>
    <w:rsid w:val="000C4D35"/>
    <w:pPr>
      <w:numPr>
        <w:numId w:val="15"/>
      </w:numPr>
      <w:spacing w:before="120" w:after="120" w:line="240" w:lineRule="auto"/>
      <w:jc w:val="both"/>
    </w:pPr>
    <w:rPr>
      <w:rFonts w:ascii="Arial" w:eastAsia="Times New Roman" w:hAnsi="Arial" w:cs="Times New Roman"/>
      <w:szCs w:val="20"/>
    </w:rPr>
  </w:style>
  <w:style w:type="paragraph" w:customStyle="1" w:styleId="Default">
    <w:name w:val="Default"/>
    <w:semiHidden/>
    <w:rsid w:val="000C4D3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0C4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D35"/>
    <w:rPr>
      <w:color w:val="808080"/>
    </w:rPr>
  </w:style>
  <w:style w:type="character" w:styleId="HTMLDefinition">
    <w:name w:val="HTML Definition"/>
    <w:basedOn w:val="DefaultParagraphFont"/>
    <w:uiPriority w:val="99"/>
    <w:semiHidden/>
    <w:unhideWhenUsed/>
    <w:rsid w:val="000C4D35"/>
    <w:rPr>
      <w:i/>
      <w:iCs/>
    </w:rPr>
  </w:style>
  <w:style w:type="character" w:customStyle="1" w:styleId="UnresolvedMention1">
    <w:name w:val="Unresolved Mention1"/>
    <w:basedOn w:val="DefaultParagraphFont"/>
    <w:uiPriority w:val="99"/>
    <w:semiHidden/>
    <w:unhideWhenUsed/>
    <w:rsid w:val="000C4D35"/>
    <w:rPr>
      <w:color w:val="808080"/>
      <w:shd w:val="clear" w:color="auto" w:fill="E6E6E6"/>
    </w:rPr>
  </w:style>
  <w:style w:type="paragraph" w:styleId="PlainText">
    <w:name w:val="Plain Text"/>
    <w:basedOn w:val="Normal"/>
    <w:link w:val="PlainTextChar"/>
    <w:uiPriority w:val="99"/>
    <w:unhideWhenUsed/>
    <w:rsid w:val="0042251E"/>
    <w:pPr>
      <w:spacing w:before="0" w:after="0" w:line="240" w:lineRule="auto"/>
      <w:jc w:val="left"/>
    </w:pPr>
    <w:rPr>
      <w:rFonts w:eastAsiaTheme="minorHAnsi" w:cs="Calibri"/>
      <w:lang w:eastAsia="en-US"/>
    </w:rPr>
  </w:style>
  <w:style w:type="character" w:customStyle="1" w:styleId="PlainTextChar">
    <w:name w:val="Plain Text Char"/>
    <w:basedOn w:val="DefaultParagraphFont"/>
    <w:link w:val="PlainText"/>
    <w:uiPriority w:val="99"/>
    <w:rsid w:val="0042251E"/>
    <w:rPr>
      <w:rFonts w:ascii="Calibri" w:hAnsi="Calibri" w:cs="Calibri"/>
    </w:rPr>
  </w:style>
  <w:style w:type="paragraph" w:styleId="TOCHeading">
    <w:name w:val="TOC Heading"/>
    <w:basedOn w:val="Heading1"/>
    <w:next w:val="Normal"/>
    <w:uiPriority w:val="39"/>
    <w:semiHidden/>
    <w:qFormat/>
    <w:rsid w:val="003355C4"/>
    <w:pPr>
      <w:keepLines/>
      <w:tabs>
        <w:tab w:val="clear" w:pos="851"/>
      </w:tabs>
      <w:spacing w:before="240" w:after="0" w:line="259" w:lineRule="auto"/>
      <w:outlineLvl w:val="9"/>
    </w:pPr>
    <w:rPr>
      <w:rFonts w:asciiTheme="majorHAnsi" w:hAnsiTheme="majorHAnsi"/>
      <w:b w:val="0"/>
      <w:bCs w:val="0"/>
      <w:color w:val="153F50" w:themeColor="accent1" w:themeShade="BF"/>
      <w:sz w:val="32"/>
      <w:szCs w:val="32"/>
      <w:lang w:val="en-US" w:eastAsia="en-US"/>
    </w:rPr>
  </w:style>
  <w:style w:type="character" w:customStyle="1" w:styleId="ListParagraphChar">
    <w:name w:val="List Paragraph Char"/>
    <w:aliases w:val="Rec para Char,Recommendation Char,List Paragraph11 Char,NFP GP Bulleted List Char,Dot pt Char,F5 List Paragraph Char,No Spacing1 Char,List Paragraph Char Char Char Char,Indicator Text Char,Numbered Para 1 Char,Bullet 1 Char,lp1 Char"/>
    <w:basedOn w:val="DefaultParagraphFont"/>
    <w:link w:val="ListParagraph"/>
    <w:uiPriority w:val="34"/>
    <w:semiHidden/>
    <w:locked/>
    <w:rsid w:val="00C73EC6"/>
    <w:rPr>
      <w:rFonts w:ascii="Times New Roman" w:eastAsiaTheme="minorEastAsia" w:hAnsi="Times New Roman"/>
      <w:szCs w:val="20"/>
      <w:lang w:eastAsia="en-GB"/>
    </w:rPr>
  </w:style>
  <w:style w:type="paragraph" w:styleId="TOC5">
    <w:name w:val="toc 5"/>
    <w:basedOn w:val="Normal"/>
    <w:next w:val="Normal"/>
    <w:autoRedefine/>
    <w:uiPriority w:val="39"/>
    <w:semiHidden/>
    <w:rsid w:val="00C26167"/>
    <w:pPr>
      <w:spacing w:before="0" w:after="0"/>
      <w:ind w:left="880"/>
      <w:jc w:val="left"/>
    </w:pPr>
    <w:rPr>
      <w:rFonts w:asciiTheme="minorHAnsi" w:hAnsiTheme="minorHAnsi"/>
      <w:sz w:val="20"/>
      <w:szCs w:val="20"/>
    </w:rPr>
  </w:style>
  <w:style w:type="paragraph" w:styleId="TOC6">
    <w:name w:val="toc 6"/>
    <w:basedOn w:val="Normal"/>
    <w:next w:val="Normal"/>
    <w:autoRedefine/>
    <w:uiPriority w:val="39"/>
    <w:semiHidden/>
    <w:rsid w:val="00C26167"/>
    <w:pPr>
      <w:spacing w:before="0" w:after="0"/>
      <w:ind w:left="1100"/>
      <w:jc w:val="left"/>
    </w:pPr>
    <w:rPr>
      <w:rFonts w:asciiTheme="minorHAnsi" w:hAnsiTheme="minorHAnsi"/>
      <w:sz w:val="20"/>
      <w:szCs w:val="20"/>
    </w:rPr>
  </w:style>
  <w:style w:type="paragraph" w:styleId="TOC7">
    <w:name w:val="toc 7"/>
    <w:basedOn w:val="Normal"/>
    <w:next w:val="Normal"/>
    <w:autoRedefine/>
    <w:uiPriority w:val="39"/>
    <w:semiHidden/>
    <w:rsid w:val="00C26167"/>
    <w:pPr>
      <w:spacing w:before="0" w:after="0"/>
      <w:ind w:left="1320"/>
      <w:jc w:val="left"/>
    </w:pPr>
    <w:rPr>
      <w:rFonts w:asciiTheme="minorHAnsi" w:hAnsiTheme="minorHAnsi"/>
      <w:sz w:val="20"/>
      <w:szCs w:val="20"/>
    </w:rPr>
  </w:style>
  <w:style w:type="paragraph" w:styleId="TOC8">
    <w:name w:val="toc 8"/>
    <w:basedOn w:val="Normal"/>
    <w:next w:val="Normal"/>
    <w:autoRedefine/>
    <w:uiPriority w:val="39"/>
    <w:semiHidden/>
    <w:rsid w:val="00C26167"/>
    <w:pPr>
      <w:spacing w:before="0" w:after="0"/>
      <w:ind w:left="1540"/>
      <w:jc w:val="left"/>
    </w:pPr>
    <w:rPr>
      <w:rFonts w:asciiTheme="minorHAnsi" w:hAnsiTheme="minorHAnsi"/>
      <w:sz w:val="20"/>
      <w:szCs w:val="20"/>
    </w:rPr>
  </w:style>
  <w:style w:type="paragraph" w:styleId="TOC9">
    <w:name w:val="toc 9"/>
    <w:basedOn w:val="Normal"/>
    <w:next w:val="Normal"/>
    <w:autoRedefine/>
    <w:uiPriority w:val="39"/>
    <w:semiHidden/>
    <w:rsid w:val="00C26167"/>
    <w:pPr>
      <w:spacing w:before="0" w:after="0"/>
      <w:ind w:left="1760"/>
      <w:jc w:val="left"/>
    </w:pPr>
    <w:rPr>
      <w:rFonts w:asciiTheme="minorHAnsi" w:hAnsiTheme="minorHAnsi"/>
      <w:sz w:val="20"/>
      <w:szCs w:val="20"/>
    </w:rPr>
  </w:style>
  <w:style w:type="paragraph" w:customStyle="1" w:styleId="Blueboxtext">
    <w:name w:val="Blue box text"/>
    <w:basedOn w:val="Normal"/>
    <w:uiPriority w:val="1"/>
    <w:qFormat/>
    <w:rsid w:val="00C95952"/>
    <w:pPr>
      <w:spacing w:line="260" w:lineRule="atLeast"/>
      <w:ind w:left="284" w:right="284"/>
      <w:jc w:val="left"/>
    </w:pPr>
    <w:rPr>
      <w:color w:val="1C556C"/>
      <w:sz w:val="20"/>
    </w:rPr>
  </w:style>
  <w:style w:type="paragraph" w:customStyle="1" w:styleId="Blue-boxbullet">
    <w:name w:val="Blue-box bullet"/>
    <w:basedOn w:val="Blueboxtext"/>
    <w:uiPriority w:val="1"/>
    <w:qFormat/>
    <w:rsid w:val="00C95952"/>
    <w:pPr>
      <w:tabs>
        <w:tab w:val="left" w:pos="680"/>
      </w:tabs>
      <w:spacing w:before="0"/>
      <w:ind w:left="681" w:hanging="397"/>
    </w:pPr>
    <w:rPr>
      <w:rFonts w:cs="Times New Roman"/>
      <w:szCs w:val="20"/>
    </w:rPr>
  </w:style>
  <w:style w:type="paragraph" w:customStyle="1" w:styleId="Blueboxheading">
    <w:name w:val="Blue box heading"/>
    <w:basedOn w:val="Blueboxtext"/>
    <w:next w:val="Blueboxtext"/>
    <w:uiPriority w:val="1"/>
    <w:qFormat/>
    <w:rsid w:val="00C95952"/>
    <w:pPr>
      <w:keepNext/>
      <w:spacing w:before="240" w:after="0"/>
    </w:pPr>
    <w:rPr>
      <w:rFonts w:cs="Times New Roman"/>
      <w:b/>
      <w:szCs w:val="20"/>
    </w:rPr>
  </w:style>
  <w:style w:type="paragraph" w:customStyle="1" w:styleId="Blue-boxsub-bullet">
    <w:name w:val="Blue-box sub-bullet"/>
    <w:basedOn w:val="Blueboxtext"/>
    <w:uiPriority w:val="1"/>
    <w:qFormat/>
    <w:rsid w:val="00C95952"/>
    <w:pPr>
      <w:numPr>
        <w:numId w:val="17"/>
      </w:numPr>
      <w:spacing w:before="0"/>
    </w:pPr>
    <w:rPr>
      <w:rFonts w:cs="Times New Roman"/>
      <w:szCs w:val="20"/>
    </w:rPr>
  </w:style>
  <w:style w:type="paragraph" w:customStyle="1" w:styleId="Questionnumbers">
    <w:name w:val="Question numbers"/>
    <w:basedOn w:val="Blueboxheading"/>
    <w:qFormat/>
    <w:rsid w:val="00C95952"/>
    <w:pPr>
      <w:numPr>
        <w:numId w:val="18"/>
      </w:numPr>
      <w:spacing w:before="0" w:after="120"/>
      <w:ind w:left="1418" w:hanging="1134"/>
    </w:pPr>
    <w:rPr>
      <w:b w:val="0"/>
      <w:color w:val="8B391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2494">
      <w:bodyDiv w:val="1"/>
      <w:marLeft w:val="0"/>
      <w:marRight w:val="0"/>
      <w:marTop w:val="0"/>
      <w:marBottom w:val="0"/>
      <w:divBdr>
        <w:top w:val="none" w:sz="0" w:space="0" w:color="auto"/>
        <w:left w:val="none" w:sz="0" w:space="0" w:color="auto"/>
        <w:bottom w:val="none" w:sz="0" w:space="0" w:color="auto"/>
        <w:right w:val="none" w:sz="0" w:space="0" w:color="auto"/>
      </w:divBdr>
    </w:div>
    <w:div w:id="267584737">
      <w:bodyDiv w:val="1"/>
      <w:marLeft w:val="0"/>
      <w:marRight w:val="0"/>
      <w:marTop w:val="0"/>
      <w:marBottom w:val="0"/>
      <w:divBdr>
        <w:top w:val="none" w:sz="0" w:space="0" w:color="auto"/>
        <w:left w:val="none" w:sz="0" w:space="0" w:color="auto"/>
        <w:bottom w:val="none" w:sz="0" w:space="0" w:color="auto"/>
        <w:right w:val="none" w:sz="0" w:space="0" w:color="auto"/>
      </w:divBdr>
    </w:div>
    <w:div w:id="377828112">
      <w:bodyDiv w:val="1"/>
      <w:marLeft w:val="0"/>
      <w:marRight w:val="0"/>
      <w:marTop w:val="0"/>
      <w:marBottom w:val="0"/>
      <w:divBdr>
        <w:top w:val="none" w:sz="0" w:space="0" w:color="auto"/>
        <w:left w:val="none" w:sz="0" w:space="0" w:color="auto"/>
        <w:bottom w:val="none" w:sz="0" w:space="0" w:color="auto"/>
        <w:right w:val="none" w:sz="0" w:space="0" w:color="auto"/>
      </w:divBdr>
      <w:divsChild>
        <w:div w:id="688917222">
          <w:marLeft w:val="0"/>
          <w:marRight w:val="0"/>
          <w:marTop w:val="82"/>
          <w:marBottom w:val="0"/>
          <w:divBdr>
            <w:top w:val="none" w:sz="0" w:space="0" w:color="auto"/>
            <w:left w:val="none" w:sz="0" w:space="0" w:color="auto"/>
            <w:bottom w:val="none" w:sz="0" w:space="0" w:color="auto"/>
            <w:right w:val="none" w:sz="0" w:space="0" w:color="auto"/>
          </w:divBdr>
          <w:divsChild>
            <w:div w:id="487942065">
              <w:marLeft w:val="0"/>
              <w:marRight w:val="0"/>
              <w:marTop w:val="82"/>
              <w:marBottom w:val="0"/>
              <w:divBdr>
                <w:top w:val="none" w:sz="0" w:space="0" w:color="auto"/>
                <w:left w:val="none" w:sz="0" w:space="0" w:color="auto"/>
                <w:bottom w:val="none" w:sz="0" w:space="0" w:color="auto"/>
                <w:right w:val="none" w:sz="0" w:space="0" w:color="auto"/>
              </w:divBdr>
            </w:div>
            <w:div w:id="598489543">
              <w:marLeft w:val="0"/>
              <w:marRight w:val="0"/>
              <w:marTop w:val="82"/>
              <w:marBottom w:val="0"/>
              <w:divBdr>
                <w:top w:val="none" w:sz="0" w:space="0" w:color="auto"/>
                <w:left w:val="none" w:sz="0" w:space="0" w:color="auto"/>
                <w:bottom w:val="none" w:sz="0" w:space="0" w:color="auto"/>
                <w:right w:val="none" w:sz="0" w:space="0" w:color="auto"/>
              </w:divBdr>
            </w:div>
          </w:divsChild>
        </w:div>
        <w:div w:id="390077576">
          <w:marLeft w:val="0"/>
          <w:marRight w:val="0"/>
          <w:marTop w:val="82"/>
          <w:marBottom w:val="0"/>
          <w:divBdr>
            <w:top w:val="none" w:sz="0" w:space="0" w:color="auto"/>
            <w:left w:val="none" w:sz="0" w:space="0" w:color="auto"/>
            <w:bottom w:val="none" w:sz="0" w:space="0" w:color="auto"/>
            <w:right w:val="none" w:sz="0" w:space="0" w:color="auto"/>
          </w:divBdr>
        </w:div>
      </w:divsChild>
    </w:div>
    <w:div w:id="447745518">
      <w:bodyDiv w:val="1"/>
      <w:marLeft w:val="0"/>
      <w:marRight w:val="0"/>
      <w:marTop w:val="0"/>
      <w:marBottom w:val="0"/>
      <w:divBdr>
        <w:top w:val="none" w:sz="0" w:space="0" w:color="auto"/>
        <w:left w:val="none" w:sz="0" w:space="0" w:color="auto"/>
        <w:bottom w:val="none" w:sz="0" w:space="0" w:color="auto"/>
        <w:right w:val="none" w:sz="0" w:space="0" w:color="auto"/>
      </w:divBdr>
      <w:divsChild>
        <w:div w:id="659967282">
          <w:marLeft w:val="0"/>
          <w:marRight w:val="0"/>
          <w:marTop w:val="82"/>
          <w:marBottom w:val="0"/>
          <w:divBdr>
            <w:top w:val="none" w:sz="0" w:space="0" w:color="auto"/>
            <w:left w:val="none" w:sz="0" w:space="0" w:color="auto"/>
            <w:bottom w:val="none" w:sz="0" w:space="0" w:color="auto"/>
            <w:right w:val="none" w:sz="0" w:space="0" w:color="auto"/>
          </w:divBdr>
        </w:div>
      </w:divsChild>
    </w:div>
    <w:div w:id="711225627">
      <w:bodyDiv w:val="1"/>
      <w:marLeft w:val="0"/>
      <w:marRight w:val="0"/>
      <w:marTop w:val="0"/>
      <w:marBottom w:val="0"/>
      <w:divBdr>
        <w:top w:val="none" w:sz="0" w:space="0" w:color="auto"/>
        <w:left w:val="none" w:sz="0" w:space="0" w:color="auto"/>
        <w:bottom w:val="none" w:sz="0" w:space="0" w:color="auto"/>
        <w:right w:val="none" w:sz="0" w:space="0" w:color="auto"/>
      </w:divBdr>
      <w:divsChild>
        <w:div w:id="858854595">
          <w:marLeft w:val="0"/>
          <w:marRight w:val="0"/>
          <w:marTop w:val="82"/>
          <w:marBottom w:val="0"/>
          <w:divBdr>
            <w:top w:val="none" w:sz="0" w:space="0" w:color="auto"/>
            <w:left w:val="none" w:sz="0" w:space="0" w:color="auto"/>
            <w:bottom w:val="none" w:sz="0" w:space="0" w:color="auto"/>
            <w:right w:val="none" w:sz="0" w:space="0" w:color="auto"/>
          </w:divBdr>
        </w:div>
        <w:div w:id="130220607">
          <w:marLeft w:val="0"/>
          <w:marRight w:val="0"/>
          <w:marTop w:val="82"/>
          <w:marBottom w:val="0"/>
          <w:divBdr>
            <w:top w:val="none" w:sz="0" w:space="0" w:color="auto"/>
            <w:left w:val="none" w:sz="0" w:space="0" w:color="auto"/>
            <w:bottom w:val="none" w:sz="0" w:space="0" w:color="auto"/>
            <w:right w:val="none" w:sz="0" w:space="0" w:color="auto"/>
          </w:divBdr>
        </w:div>
      </w:divsChild>
    </w:div>
    <w:div w:id="1083334435">
      <w:bodyDiv w:val="1"/>
      <w:marLeft w:val="0"/>
      <w:marRight w:val="0"/>
      <w:marTop w:val="0"/>
      <w:marBottom w:val="0"/>
      <w:divBdr>
        <w:top w:val="none" w:sz="0" w:space="0" w:color="auto"/>
        <w:left w:val="none" w:sz="0" w:space="0" w:color="auto"/>
        <w:bottom w:val="none" w:sz="0" w:space="0" w:color="auto"/>
        <w:right w:val="none" w:sz="0" w:space="0" w:color="auto"/>
      </w:divBdr>
    </w:div>
    <w:div w:id="1548570124">
      <w:bodyDiv w:val="1"/>
      <w:marLeft w:val="0"/>
      <w:marRight w:val="0"/>
      <w:marTop w:val="0"/>
      <w:marBottom w:val="0"/>
      <w:divBdr>
        <w:top w:val="none" w:sz="0" w:space="0" w:color="auto"/>
        <w:left w:val="none" w:sz="0" w:space="0" w:color="auto"/>
        <w:bottom w:val="none" w:sz="0" w:space="0" w:color="auto"/>
        <w:right w:val="none" w:sz="0" w:space="0" w:color="auto"/>
      </w:divBdr>
    </w:div>
    <w:div w:id="1744066563">
      <w:bodyDiv w:val="1"/>
      <w:marLeft w:val="0"/>
      <w:marRight w:val="0"/>
      <w:marTop w:val="0"/>
      <w:marBottom w:val="0"/>
      <w:divBdr>
        <w:top w:val="none" w:sz="0" w:space="0" w:color="auto"/>
        <w:left w:val="none" w:sz="0" w:space="0" w:color="auto"/>
        <w:bottom w:val="none" w:sz="0" w:space="0" w:color="auto"/>
        <w:right w:val="none" w:sz="0" w:space="0" w:color="auto"/>
      </w:divBdr>
      <w:divsChild>
        <w:div w:id="1787000082">
          <w:marLeft w:val="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legislation.govt.nz/act/public/1991/0069/latest/DLM7236566.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file:///C:\Users\Leonardc\AppData\Roaming\OpenText\OTEdit\EC_tepuna\c13638498\freshwater%40mfe.govt.nz"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g"/><Relationship Id="rId25" Type="http://schemas.openxmlformats.org/officeDocument/2006/relationships/hyperlink" Target="http://www.legislation.govt.nz/act/public/1975/0114/latest/whole.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legislation.govt.nz/act/public/1991/0069/latest/DLM7236239.html"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legislation.govt.nz/act/public/2017/0015/latest/whole.html?search=sw_096be8ed815777da_offsetting_200_se&amp;p=1"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fe.govt.nz" TargetMode="External"/><Relationship Id="rId14" Type="http://schemas.openxmlformats.org/officeDocument/2006/relationships/footer" Target="footer2.xml"/><Relationship Id="rId22" Type="http://schemas.openxmlformats.org/officeDocument/2006/relationships/hyperlink" Target="file:///C:\Users\Leonardc\AppData\Roaming\OpenText\OTEdit\EC_tepuna\c13638498\freshwater%40mfe.govt.nz" TargetMode="External"/><Relationship Id="rId27" Type="http://schemas.openxmlformats.org/officeDocument/2006/relationships/footer" Target="footer5.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MFE colours">
      <a:dk1>
        <a:sysClr val="windowText" lastClr="000000"/>
      </a:dk1>
      <a:lt1>
        <a:sysClr val="window" lastClr="FFFFFF"/>
      </a:lt1>
      <a:dk2>
        <a:srgbClr val="1F497D"/>
      </a:dk2>
      <a:lt2>
        <a:srgbClr val="EEECE1"/>
      </a:lt2>
      <a:accent1>
        <a:srgbClr val="1C556C"/>
      </a:accent1>
      <a:accent2>
        <a:srgbClr val="0F7B7D"/>
      </a:accent2>
      <a:accent3>
        <a:srgbClr val="D2DDE2"/>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32980-EF5D-4043-929F-9155D05D6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7954</Words>
  <Characters>45340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2020-09-14T00:40:00Z</dcterms:created>
  <dcterms:modified xsi:type="dcterms:W3CDTF">2020-09-14T00:40:00Z</dcterms:modified>
</cp:coreProperties>
</file>