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C1B103" w14:textId="43B13BC6" w:rsidR="00B53143" w:rsidRDefault="0036662C" w:rsidP="0003640E">
      <w:pPr>
        <w:pStyle w:val="BodyText"/>
      </w:pPr>
      <w:r>
        <w:rPr>
          <w:noProof/>
        </w:rPr>
        <w:drawing>
          <wp:anchor distT="0" distB="0" distL="114300" distR="114300" simplePos="0" relativeHeight="251693056" behindDoc="0" locked="0" layoutInCell="1" allowOverlap="1" wp14:anchorId="044ACA08" wp14:editId="38A03C18">
            <wp:simplePos x="0" y="0"/>
            <wp:positionH relativeFrom="margin">
              <wp:posOffset>-1251585</wp:posOffset>
            </wp:positionH>
            <wp:positionV relativeFrom="margin">
              <wp:posOffset>-720090</wp:posOffset>
            </wp:positionV>
            <wp:extent cx="7548880" cy="106680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 for intensification guidance .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8880" cy="10668000"/>
                    </a:xfrm>
                    <a:prstGeom prst="rect">
                      <a:avLst/>
                    </a:prstGeom>
                  </pic:spPr>
                </pic:pic>
              </a:graphicData>
            </a:graphic>
            <wp14:sizeRelH relativeFrom="margin">
              <wp14:pctWidth>0</wp14:pctWidth>
            </wp14:sizeRelH>
            <wp14:sizeRelV relativeFrom="margin">
              <wp14:pctHeight>0</wp14:pctHeight>
            </wp14:sizeRelV>
          </wp:anchor>
        </w:drawing>
      </w:r>
    </w:p>
    <w:p w14:paraId="799F6118" w14:textId="13D2AFCB" w:rsidR="00452EC4" w:rsidRPr="006B77BB" w:rsidRDefault="00452EC4" w:rsidP="00775F57">
      <w:pPr>
        <w:pStyle w:val="Imprint"/>
        <w:spacing w:before="0" w:after="0"/>
        <w:rPr>
          <w:b/>
        </w:rPr>
      </w:pPr>
      <w:r w:rsidRPr="006B77BB">
        <w:rPr>
          <w:b/>
        </w:rPr>
        <w:lastRenderedPageBreak/>
        <w:t>Disclaimer</w:t>
      </w:r>
    </w:p>
    <w:p w14:paraId="725CC655" w14:textId="77777777" w:rsidR="00C0111D" w:rsidRPr="00C0111D" w:rsidRDefault="00C0111D" w:rsidP="00C0111D">
      <w:pPr>
        <w:pStyle w:val="Heading3"/>
        <w:rPr>
          <w:rFonts w:eastAsiaTheme="minorEastAsia" w:cstheme="minorBidi"/>
          <w:b w:val="0"/>
          <w:bCs w:val="0"/>
          <w:sz w:val="22"/>
        </w:rPr>
      </w:pPr>
      <w:bookmarkStart w:id="0" w:name="_Toc50720766"/>
      <w:r w:rsidRPr="00C0111D">
        <w:rPr>
          <w:rFonts w:eastAsiaTheme="minorEastAsia" w:cstheme="minorBidi"/>
          <w:b w:val="0"/>
          <w:bCs w:val="0"/>
          <w:sz w:val="22"/>
        </w:rPr>
        <w:t>The information in this publication is, according to the Ministry for the Environment’s best efforts, accurate at the time of publication. The information provided does not alter the laws of New Zealand and/or other official guidelines or requirements. Users should take specific advice from qualified professional people before undertaking any action as a result of information obtained from this publication.</w:t>
      </w:r>
      <w:bookmarkEnd w:id="0"/>
      <w:r w:rsidRPr="00C0111D">
        <w:rPr>
          <w:rFonts w:eastAsiaTheme="minorEastAsia" w:cstheme="minorBidi"/>
          <w:b w:val="0"/>
          <w:bCs w:val="0"/>
          <w:sz w:val="22"/>
        </w:rPr>
        <w:t xml:space="preserve"> </w:t>
      </w:r>
    </w:p>
    <w:p w14:paraId="6C31AB61" w14:textId="77777777" w:rsidR="00C0111D" w:rsidRPr="00C0111D" w:rsidRDefault="00C0111D" w:rsidP="00C0111D">
      <w:pPr>
        <w:pStyle w:val="Heading3"/>
        <w:rPr>
          <w:rFonts w:eastAsiaTheme="minorEastAsia" w:cstheme="minorBidi"/>
          <w:b w:val="0"/>
          <w:bCs w:val="0"/>
          <w:sz w:val="22"/>
        </w:rPr>
      </w:pPr>
      <w:bookmarkStart w:id="1" w:name="_Toc50720767"/>
      <w:r w:rsidRPr="00C0111D">
        <w:rPr>
          <w:rFonts w:eastAsiaTheme="minorEastAsia" w:cstheme="minorBidi"/>
          <w:b w:val="0"/>
          <w:bCs w:val="0"/>
          <w:sz w:val="22"/>
        </w:rPr>
        <w:t>The Ministry for the Environment does not accept any responsibility or liability whether in contract, tort, equity or otherwise for any action taken as a result of reading, or reliance placed on the Ministry for the Environment because of having read any part, or all, of the information in this publication or for any error, or inadequacy, deficiency, flaw in or omission from the information provided in this publication.</w:t>
      </w:r>
      <w:bookmarkEnd w:id="1"/>
    </w:p>
    <w:p w14:paraId="488895DC" w14:textId="77777777" w:rsidR="00452EC4" w:rsidRPr="006B77BB" w:rsidRDefault="00452EC4" w:rsidP="00452EC4">
      <w:pPr>
        <w:pStyle w:val="Imprint"/>
      </w:pPr>
    </w:p>
    <w:p w14:paraId="3AE9E8DF" w14:textId="77777777" w:rsidR="00452EC4" w:rsidRPr="006B77BB" w:rsidRDefault="00452EC4" w:rsidP="00452EC4">
      <w:pPr>
        <w:pStyle w:val="Imprint"/>
      </w:pPr>
    </w:p>
    <w:p w14:paraId="3A978595" w14:textId="77777777" w:rsidR="00452EC4" w:rsidRPr="006B77BB" w:rsidRDefault="00452EC4" w:rsidP="00452EC4">
      <w:pPr>
        <w:pStyle w:val="Imprint"/>
      </w:pPr>
      <w:r w:rsidRPr="006B77BB">
        <w:t xml:space="preserve">This </w:t>
      </w:r>
      <w:r w:rsidR="00775F57" w:rsidRPr="006B77BB">
        <w:t>document</w:t>
      </w:r>
      <w:r w:rsidRPr="006B77BB">
        <w:t xml:space="preserve"> may be cited as:</w:t>
      </w:r>
      <w:r w:rsidR="00775F57" w:rsidRPr="006B77BB">
        <w:t xml:space="preserve"> Ministry for the Environment. </w:t>
      </w:r>
      <w:r w:rsidR="00C0111D">
        <w:t>2020</w:t>
      </w:r>
      <w:r w:rsidR="00775F57" w:rsidRPr="006B77BB">
        <w:t xml:space="preserve">. </w:t>
      </w:r>
      <w:r w:rsidR="00C0111D" w:rsidRPr="00DD4322">
        <w:rPr>
          <w:i/>
        </w:rPr>
        <w:t>Understanding and implementing intensification provisions for the National Policy Statement on Urban Development.</w:t>
      </w:r>
      <w:r w:rsidR="00C0111D">
        <w:rPr>
          <w:i/>
        </w:rPr>
        <w:t xml:space="preserve"> </w:t>
      </w:r>
      <w:r w:rsidR="00775F57" w:rsidRPr="006B77BB">
        <w:t>Wellington: Ministry for the Environment.</w:t>
      </w:r>
    </w:p>
    <w:p w14:paraId="61EC8569" w14:textId="77777777" w:rsidR="0080531E" w:rsidRPr="006B77BB" w:rsidRDefault="0080531E" w:rsidP="0080531E">
      <w:pPr>
        <w:pStyle w:val="Imprint"/>
      </w:pPr>
    </w:p>
    <w:p w14:paraId="49C6F6A5" w14:textId="77777777" w:rsidR="0080531E" w:rsidRPr="006B77BB" w:rsidRDefault="0080531E" w:rsidP="0080531E">
      <w:pPr>
        <w:pStyle w:val="Imprint"/>
      </w:pPr>
    </w:p>
    <w:p w14:paraId="70F0E830" w14:textId="77777777" w:rsidR="0080531E" w:rsidRPr="006B77BB" w:rsidRDefault="0080531E" w:rsidP="0080531E">
      <w:pPr>
        <w:pStyle w:val="Imprint"/>
      </w:pPr>
    </w:p>
    <w:p w14:paraId="650867E1" w14:textId="77777777" w:rsidR="00760C00" w:rsidRPr="006B77BB" w:rsidRDefault="00760C00" w:rsidP="0080531E">
      <w:pPr>
        <w:pStyle w:val="Imprint"/>
      </w:pPr>
    </w:p>
    <w:p w14:paraId="0E86190E" w14:textId="77777777" w:rsidR="0080531E" w:rsidRPr="006B77BB" w:rsidRDefault="0080531E" w:rsidP="0080531E">
      <w:pPr>
        <w:pStyle w:val="Imprint"/>
      </w:pPr>
      <w:r w:rsidRPr="006B77BB">
        <w:t xml:space="preserve">Published in </w:t>
      </w:r>
      <w:r w:rsidR="00C0111D">
        <w:t>September 2020</w:t>
      </w:r>
      <w:r w:rsidRPr="006B77BB">
        <w:t xml:space="preserve"> by the</w:t>
      </w:r>
      <w:r w:rsidRPr="006B77BB">
        <w:br/>
        <w:t xml:space="preserve">Ministry for the Environment </w:t>
      </w:r>
      <w:r w:rsidRPr="006B77BB">
        <w:br/>
        <w:t>Manatū Mō Te Taiao</w:t>
      </w:r>
      <w:r w:rsidRPr="006B77BB">
        <w:br/>
        <w:t>PO Box 10362, Wellington 6143, New Zealand</w:t>
      </w:r>
    </w:p>
    <w:p w14:paraId="497BDA4B" w14:textId="1B19A6F1" w:rsidR="0080531E" w:rsidRPr="006B77BB" w:rsidRDefault="00DD4322" w:rsidP="0080531E">
      <w:pPr>
        <w:pStyle w:val="Imprint"/>
        <w:tabs>
          <w:tab w:val="left" w:pos="720"/>
        </w:tabs>
        <w:ind w:left="720" w:hanging="720"/>
      </w:pPr>
      <w:r>
        <w:t xml:space="preserve">ISBN: </w:t>
      </w:r>
      <w:r w:rsidR="000662EC" w:rsidRPr="000662EC">
        <w:rPr>
          <w:rFonts w:asciiTheme="minorHAnsi" w:eastAsia="Arial" w:hAnsiTheme="minorHAnsi" w:cstheme="minorHAnsi"/>
          <w:color w:val="000000"/>
        </w:rPr>
        <w:t>978-1-99-003313-1</w:t>
      </w:r>
      <w:r w:rsidR="0080531E" w:rsidRPr="006B77BB">
        <w:t xml:space="preserve"> (</w:t>
      </w:r>
      <w:r w:rsidR="00775F57" w:rsidRPr="006B77BB">
        <w:t>online</w:t>
      </w:r>
      <w:r w:rsidR="0080531E" w:rsidRPr="006B77BB">
        <w:t>)</w:t>
      </w:r>
    </w:p>
    <w:p w14:paraId="2F724F88" w14:textId="03FC19A4" w:rsidR="0080531E" w:rsidRPr="006B77BB" w:rsidRDefault="0080531E" w:rsidP="0080531E">
      <w:pPr>
        <w:pStyle w:val="Imprint"/>
        <w:ind w:left="720" w:hanging="720"/>
      </w:pPr>
      <w:r w:rsidRPr="006B77BB">
        <w:t xml:space="preserve">Publication number: </w:t>
      </w:r>
      <w:r w:rsidRPr="00694E1F">
        <w:t xml:space="preserve">ME </w:t>
      </w:r>
      <w:r w:rsidR="000662EC" w:rsidRPr="000662EC">
        <w:t>1529</w:t>
      </w:r>
    </w:p>
    <w:p w14:paraId="4F61D78B" w14:textId="77777777" w:rsidR="0080531E" w:rsidRPr="006B77BB" w:rsidRDefault="0080531E" w:rsidP="00593E94">
      <w:pPr>
        <w:pStyle w:val="Imprint"/>
        <w:spacing w:after="80"/>
      </w:pPr>
      <w:r w:rsidRPr="006B77BB">
        <w:t xml:space="preserve">© Crown copyright New Zealand </w:t>
      </w:r>
      <w:r w:rsidR="00C0111D">
        <w:t>2020</w:t>
      </w:r>
    </w:p>
    <w:p w14:paraId="7796BFBE" w14:textId="77777777" w:rsidR="00C04705" w:rsidRDefault="0080531E" w:rsidP="00593E94">
      <w:pPr>
        <w:pStyle w:val="Imprint"/>
        <w:spacing w:before="240" w:after="0"/>
        <w:rPr>
          <w:rStyle w:val="Hyperlink"/>
          <w:color w:val="auto"/>
        </w:rPr>
      </w:pPr>
      <w:r w:rsidRPr="006B77BB">
        <w:t>This document is available on the Ministry for</w:t>
      </w:r>
      <w:r w:rsidR="004C4E8A" w:rsidRPr="006B77BB">
        <w:t xml:space="preserve"> the Environment </w:t>
      </w:r>
      <w:r w:rsidR="00CB557F" w:rsidRPr="006B77BB">
        <w:t>website</w:t>
      </w:r>
      <w:r w:rsidRPr="006B77BB">
        <w:t xml:space="preserve">: </w:t>
      </w:r>
      <w:hyperlink r:id="rId9" w:history="1">
        <w:r w:rsidRPr="006B77BB">
          <w:rPr>
            <w:rStyle w:val="Hyperlink"/>
          </w:rPr>
          <w:t>www.mfe.govt.nz</w:t>
        </w:r>
      </w:hyperlink>
      <w:r w:rsidR="00B51610" w:rsidRPr="006B77BB">
        <w:rPr>
          <w:rStyle w:val="Hyperlink"/>
          <w:color w:val="auto"/>
        </w:rPr>
        <w:t>.</w:t>
      </w:r>
    </w:p>
    <w:p w14:paraId="6D46CA77" w14:textId="77777777" w:rsidR="00A84FE1" w:rsidRDefault="00A84FE1" w:rsidP="00A84FE1">
      <w:pPr>
        <w:pStyle w:val="Imprint"/>
        <w:spacing w:before="240" w:after="0"/>
      </w:pPr>
      <w:r>
        <w:rPr>
          <w:noProof/>
        </w:rPr>
        <w:drawing>
          <wp:inline distT="0" distB="0" distL="0" distR="0" wp14:anchorId="66B7D4BC" wp14:editId="3569184C">
            <wp:extent cx="2712746" cy="117084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2746" cy="1170842"/>
                    </a:xfrm>
                    <a:prstGeom prst="rect">
                      <a:avLst/>
                    </a:prstGeom>
                    <a:noFill/>
                  </pic:spPr>
                </pic:pic>
              </a:graphicData>
            </a:graphic>
          </wp:inline>
        </w:drawing>
      </w:r>
    </w:p>
    <w:p w14:paraId="4FD22D8B" w14:textId="77777777" w:rsidR="0080531E" w:rsidRPr="00A84FE1" w:rsidRDefault="0080531E" w:rsidP="00A84FE1">
      <w:pPr>
        <w:sectPr w:rsidR="0080531E" w:rsidRPr="00A84FE1" w:rsidSect="009F1328">
          <w:footerReference w:type="even" r:id="rId11"/>
          <w:pgSz w:w="11907" w:h="16840" w:code="9"/>
          <w:pgMar w:top="1134" w:right="1418" w:bottom="1134" w:left="1418" w:header="567" w:footer="567" w:gutter="567"/>
          <w:pgNumType w:fmt="lowerRoman"/>
          <w:cols w:space="720"/>
        </w:sectPr>
      </w:pPr>
    </w:p>
    <w:sdt>
      <w:sdtPr>
        <w:rPr>
          <w:rFonts w:ascii="Calibri" w:eastAsiaTheme="minorEastAsia" w:hAnsi="Calibri" w:cstheme="minorBidi"/>
          <w:color w:val="auto"/>
          <w:sz w:val="22"/>
          <w:szCs w:val="22"/>
          <w:lang w:val="en-NZ" w:eastAsia="en-NZ"/>
        </w:rPr>
        <w:id w:val="-1417080803"/>
        <w:docPartObj>
          <w:docPartGallery w:val="Table of Contents"/>
          <w:docPartUnique/>
        </w:docPartObj>
      </w:sdtPr>
      <w:sdtEndPr>
        <w:rPr>
          <w:b/>
          <w:bCs/>
          <w:noProof/>
        </w:rPr>
      </w:sdtEndPr>
      <w:sdtContent>
        <w:p w14:paraId="3B620B8D" w14:textId="036DAC2D" w:rsidR="00EF46F2" w:rsidRPr="00EF46F2" w:rsidRDefault="00EF46F2">
          <w:pPr>
            <w:pStyle w:val="TOCHeading"/>
            <w:rPr>
              <w:rFonts w:asciiTheme="minorHAnsi" w:hAnsiTheme="minorHAnsi"/>
              <w:b/>
              <w:sz w:val="48"/>
              <w:szCs w:val="48"/>
            </w:rPr>
          </w:pPr>
          <w:r w:rsidRPr="00EF46F2">
            <w:rPr>
              <w:rFonts w:asciiTheme="minorHAnsi" w:hAnsiTheme="minorHAnsi"/>
              <w:b/>
              <w:sz w:val="48"/>
              <w:szCs w:val="48"/>
            </w:rPr>
            <w:t>Contents</w:t>
          </w:r>
        </w:p>
        <w:p w14:paraId="41F386FB" w14:textId="451626B3" w:rsidR="00EF46F2" w:rsidRDefault="00EF46F2" w:rsidP="00EF46F2">
          <w:pPr>
            <w:pStyle w:val="TOC3"/>
            <w:rPr>
              <w:rFonts w:asciiTheme="minorHAnsi" w:hAnsiTheme="minorHAnsi"/>
              <w:noProof/>
            </w:rPr>
          </w:pPr>
          <w:r>
            <w:fldChar w:fldCharType="begin"/>
          </w:r>
          <w:r>
            <w:instrText xml:space="preserve"> TOC \o "1-3" \h \z \u </w:instrText>
          </w:r>
          <w:r>
            <w:fldChar w:fldCharType="separate"/>
          </w:r>
          <w:hyperlink w:anchor="_Toc50720768" w:history="1">
            <w:r w:rsidRPr="00FD5F5D">
              <w:rPr>
                <w:rStyle w:val="Hyperlink"/>
                <w:noProof/>
              </w:rPr>
              <w:t>1</w:t>
            </w:r>
            <w:r>
              <w:rPr>
                <w:rStyle w:val="Hyperlink"/>
                <w:noProof/>
              </w:rPr>
              <w:tab/>
            </w:r>
            <w:r w:rsidRPr="00FD5F5D">
              <w:rPr>
                <w:rStyle w:val="Hyperlink"/>
                <w:noProof/>
              </w:rPr>
              <w:t>Introduction</w:t>
            </w:r>
            <w:r>
              <w:rPr>
                <w:noProof/>
                <w:webHidden/>
              </w:rPr>
              <w:tab/>
            </w:r>
            <w:r>
              <w:rPr>
                <w:noProof/>
                <w:webHidden/>
              </w:rPr>
              <w:fldChar w:fldCharType="begin"/>
            </w:r>
            <w:r>
              <w:rPr>
                <w:noProof/>
                <w:webHidden/>
              </w:rPr>
              <w:instrText xml:space="preserve"> PAGEREF _Toc50720768 \h </w:instrText>
            </w:r>
            <w:r>
              <w:rPr>
                <w:noProof/>
                <w:webHidden/>
              </w:rPr>
            </w:r>
            <w:r>
              <w:rPr>
                <w:noProof/>
                <w:webHidden/>
              </w:rPr>
              <w:fldChar w:fldCharType="separate"/>
            </w:r>
            <w:r w:rsidR="005D2599">
              <w:rPr>
                <w:noProof/>
                <w:webHidden/>
              </w:rPr>
              <w:t>6</w:t>
            </w:r>
            <w:r>
              <w:rPr>
                <w:noProof/>
                <w:webHidden/>
              </w:rPr>
              <w:fldChar w:fldCharType="end"/>
            </w:r>
          </w:hyperlink>
        </w:p>
        <w:p w14:paraId="368E246D" w14:textId="3395F710" w:rsidR="00EF46F2" w:rsidRDefault="005D2599">
          <w:pPr>
            <w:pStyle w:val="TOC2"/>
            <w:tabs>
              <w:tab w:val="left" w:pos="1134"/>
            </w:tabs>
            <w:rPr>
              <w:rFonts w:asciiTheme="minorHAnsi" w:hAnsiTheme="minorHAnsi"/>
              <w:noProof/>
            </w:rPr>
          </w:pPr>
          <w:hyperlink w:anchor="_Toc50720769" w:history="1">
            <w:r w:rsidR="00EF46F2" w:rsidRPr="00FD5F5D">
              <w:rPr>
                <w:rStyle w:val="Hyperlink"/>
                <w:noProof/>
              </w:rPr>
              <w:t>1.1</w:t>
            </w:r>
            <w:r w:rsidR="00EF46F2">
              <w:rPr>
                <w:rFonts w:asciiTheme="minorHAnsi" w:hAnsiTheme="minorHAnsi"/>
                <w:noProof/>
              </w:rPr>
              <w:tab/>
            </w:r>
            <w:r w:rsidR="00EF46F2" w:rsidRPr="00FD5F5D">
              <w:rPr>
                <w:rStyle w:val="Hyperlink"/>
                <w:noProof/>
              </w:rPr>
              <w:t>Purpose</w:t>
            </w:r>
            <w:r w:rsidR="00EF46F2">
              <w:rPr>
                <w:noProof/>
                <w:webHidden/>
              </w:rPr>
              <w:tab/>
            </w:r>
            <w:r w:rsidR="00EF46F2">
              <w:rPr>
                <w:noProof/>
                <w:webHidden/>
              </w:rPr>
              <w:fldChar w:fldCharType="begin"/>
            </w:r>
            <w:r w:rsidR="00EF46F2">
              <w:rPr>
                <w:noProof/>
                <w:webHidden/>
              </w:rPr>
              <w:instrText xml:space="preserve"> PAGEREF _Toc50720769 \h </w:instrText>
            </w:r>
            <w:r w:rsidR="00EF46F2">
              <w:rPr>
                <w:noProof/>
                <w:webHidden/>
              </w:rPr>
            </w:r>
            <w:r w:rsidR="00EF46F2">
              <w:rPr>
                <w:noProof/>
                <w:webHidden/>
              </w:rPr>
              <w:fldChar w:fldCharType="separate"/>
            </w:r>
            <w:r>
              <w:rPr>
                <w:noProof/>
                <w:webHidden/>
              </w:rPr>
              <w:t>6</w:t>
            </w:r>
            <w:r w:rsidR="00EF46F2">
              <w:rPr>
                <w:noProof/>
                <w:webHidden/>
              </w:rPr>
              <w:fldChar w:fldCharType="end"/>
            </w:r>
          </w:hyperlink>
        </w:p>
        <w:p w14:paraId="061829E4" w14:textId="33B0AF84" w:rsidR="00EF46F2" w:rsidRDefault="005D2599">
          <w:pPr>
            <w:pStyle w:val="TOC2"/>
            <w:tabs>
              <w:tab w:val="left" w:pos="1134"/>
            </w:tabs>
            <w:rPr>
              <w:rFonts w:asciiTheme="minorHAnsi" w:hAnsiTheme="minorHAnsi"/>
              <w:noProof/>
            </w:rPr>
          </w:pPr>
          <w:hyperlink w:anchor="_Toc50720770" w:history="1">
            <w:r w:rsidR="00EF46F2" w:rsidRPr="00FD5F5D">
              <w:rPr>
                <w:rStyle w:val="Hyperlink"/>
                <w:noProof/>
              </w:rPr>
              <w:t>1.2</w:t>
            </w:r>
            <w:r w:rsidR="00EF46F2">
              <w:rPr>
                <w:rFonts w:asciiTheme="minorHAnsi" w:hAnsiTheme="minorHAnsi"/>
                <w:noProof/>
              </w:rPr>
              <w:tab/>
            </w:r>
            <w:r w:rsidR="00EF46F2" w:rsidRPr="00FD5F5D">
              <w:rPr>
                <w:rStyle w:val="Hyperlink"/>
                <w:noProof/>
              </w:rPr>
              <w:t>Scope</w:t>
            </w:r>
            <w:r w:rsidR="00EF46F2">
              <w:rPr>
                <w:noProof/>
                <w:webHidden/>
              </w:rPr>
              <w:tab/>
            </w:r>
            <w:r w:rsidR="00EF46F2">
              <w:rPr>
                <w:noProof/>
                <w:webHidden/>
              </w:rPr>
              <w:fldChar w:fldCharType="begin"/>
            </w:r>
            <w:r w:rsidR="00EF46F2">
              <w:rPr>
                <w:noProof/>
                <w:webHidden/>
              </w:rPr>
              <w:instrText xml:space="preserve"> PAGEREF _Toc50720770 \h </w:instrText>
            </w:r>
            <w:r w:rsidR="00EF46F2">
              <w:rPr>
                <w:noProof/>
                <w:webHidden/>
              </w:rPr>
            </w:r>
            <w:r w:rsidR="00EF46F2">
              <w:rPr>
                <w:noProof/>
                <w:webHidden/>
              </w:rPr>
              <w:fldChar w:fldCharType="separate"/>
            </w:r>
            <w:r>
              <w:rPr>
                <w:noProof/>
                <w:webHidden/>
              </w:rPr>
              <w:t>6</w:t>
            </w:r>
            <w:r w:rsidR="00EF46F2">
              <w:rPr>
                <w:noProof/>
                <w:webHidden/>
              </w:rPr>
              <w:fldChar w:fldCharType="end"/>
            </w:r>
          </w:hyperlink>
        </w:p>
        <w:p w14:paraId="680BBD75" w14:textId="61BC10C0" w:rsidR="00EF46F2" w:rsidRDefault="005D2599">
          <w:pPr>
            <w:pStyle w:val="TOC2"/>
            <w:tabs>
              <w:tab w:val="left" w:pos="1134"/>
            </w:tabs>
            <w:rPr>
              <w:rFonts w:asciiTheme="minorHAnsi" w:hAnsiTheme="minorHAnsi"/>
              <w:noProof/>
            </w:rPr>
          </w:pPr>
          <w:hyperlink w:anchor="_Toc50720771" w:history="1">
            <w:r w:rsidR="00EF46F2" w:rsidRPr="00FD5F5D">
              <w:rPr>
                <w:rStyle w:val="Hyperlink"/>
                <w:noProof/>
              </w:rPr>
              <w:t>1.3</w:t>
            </w:r>
            <w:r w:rsidR="00EF46F2">
              <w:rPr>
                <w:rFonts w:asciiTheme="minorHAnsi" w:hAnsiTheme="minorHAnsi"/>
                <w:noProof/>
              </w:rPr>
              <w:tab/>
            </w:r>
            <w:r w:rsidR="00EF46F2" w:rsidRPr="00FD5F5D">
              <w:rPr>
                <w:rStyle w:val="Hyperlink"/>
                <w:noProof/>
              </w:rPr>
              <w:t>Structure of the guide</w:t>
            </w:r>
            <w:r w:rsidR="00EF46F2">
              <w:rPr>
                <w:noProof/>
                <w:webHidden/>
              </w:rPr>
              <w:tab/>
            </w:r>
            <w:r w:rsidR="00EF46F2">
              <w:rPr>
                <w:noProof/>
                <w:webHidden/>
              </w:rPr>
              <w:fldChar w:fldCharType="begin"/>
            </w:r>
            <w:r w:rsidR="00EF46F2">
              <w:rPr>
                <w:noProof/>
                <w:webHidden/>
              </w:rPr>
              <w:instrText xml:space="preserve"> PAGEREF _Toc50720771 \h </w:instrText>
            </w:r>
            <w:r w:rsidR="00EF46F2">
              <w:rPr>
                <w:noProof/>
                <w:webHidden/>
              </w:rPr>
            </w:r>
            <w:r w:rsidR="00EF46F2">
              <w:rPr>
                <w:noProof/>
                <w:webHidden/>
              </w:rPr>
              <w:fldChar w:fldCharType="separate"/>
            </w:r>
            <w:r>
              <w:rPr>
                <w:noProof/>
                <w:webHidden/>
              </w:rPr>
              <w:t>7</w:t>
            </w:r>
            <w:r w:rsidR="00EF46F2">
              <w:rPr>
                <w:noProof/>
                <w:webHidden/>
              </w:rPr>
              <w:fldChar w:fldCharType="end"/>
            </w:r>
          </w:hyperlink>
        </w:p>
        <w:p w14:paraId="39227028" w14:textId="2D15315B" w:rsidR="00EF46F2" w:rsidRDefault="005D2599" w:rsidP="00EF46F2">
          <w:pPr>
            <w:pStyle w:val="TOC2"/>
            <w:tabs>
              <w:tab w:val="left" w:pos="1134"/>
            </w:tabs>
            <w:rPr>
              <w:rStyle w:val="Hyperlink"/>
              <w:noProof/>
            </w:rPr>
          </w:pPr>
          <w:hyperlink w:anchor="_Toc50720772" w:history="1">
            <w:r w:rsidR="00EF46F2" w:rsidRPr="00FD5F5D">
              <w:rPr>
                <w:rStyle w:val="Hyperlink"/>
                <w:noProof/>
              </w:rPr>
              <w:t>1.4</w:t>
            </w:r>
            <w:r w:rsidR="00EF46F2">
              <w:rPr>
                <w:rFonts w:asciiTheme="minorHAnsi" w:hAnsiTheme="minorHAnsi"/>
                <w:noProof/>
              </w:rPr>
              <w:tab/>
            </w:r>
            <w:r w:rsidR="00EF46F2" w:rsidRPr="00FD5F5D">
              <w:rPr>
                <w:rStyle w:val="Hyperlink"/>
                <w:noProof/>
              </w:rPr>
              <w:t>Timing of implementation</w:t>
            </w:r>
            <w:r w:rsidR="00EF46F2">
              <w:rPr>
                <w:noProof/>
                <w:webHidden/>
              </w:rPr>
              <w:tab/>
            </w:r>
            <w:r w:rsidR="00EF46F2">
              <w:rPr>
                <w:noProof/>
                <w:webHidden/>
              </w:rPr>
              <w:fldChar w:fldCharType="begin"/>
            </w:r>
            <w:r w:rsidR="00EF46F2">
              <w:rPr>
                <w:noProof/>
                <w:webHidden/>
              </w:rPr>
              <w:instrText xml:space="preserve"> PAGEREF _Toc50720772 \h </w:instrText>
            </w:r>
            <w:r w:rsidR="00EF46F2">
              <w:rPr>
                <w:noProof/>
                <w:webHidden/>
              </w:rPr>
            </w:r>
            <w:r w:rsidR="00EF46F2">
              <w:rPr>
                <w:noProof/>
                <w:webHidden/>
              </w:rPr>
              <w:fldChar w:fldCharType="separate"/>
            </w:r>
            <w:r>
              <w:rPr>
                <w:noProof/>
                <w:webHidden/>
              </w:rPr>
              <w:t>8</w:t>
            </w:r>
            <w:r w:rsidR="00EF46F2">
              <w:rPr>
                <w:noProof/>
                <w:webHidden/>
              </w:rPr>
              <w:fldChar w:fldCharType="end"/>
            </w:r>
          </w:hyperlink>
        </w:p>
        <w:p w14:paraId="59FF37A5" w14:textId="779A412E" w:rsidR="00EF46F2" w:rsidRDefault="005D2599" w:rsidP="00EF46F2">
          <w:pPr>
            <w:pStyle w:val="TOC2"/>
            <w:tabs>
              <w:tab w:val="left" w:pos="1134"/>
            </w:tabs>
            <w:rPr>
              <w:rFonts w:asciiTheme="minorHAnsi" w:hAnsiTheme="minorHAnsi"/>
              <w:noProof/>
            </w:rPr>
          </w:pPr>
          <w:hyperlink w:anchor="_Toc50720773" w:history="1">
            <w:r w:rsidR="00EF46F2" w:rsidRPr="00FD5F5D">
              <w:rPr>
                <w:rStyle w:val="Hyperlink"/>
                <w:noProof/>
              </w:rPr>
              <w:t>1.5</w:t>
            </w:r>
            <w:r w:rsidR="00EF46F2">
              <w:rPr>
                <w:rFonts w:asciiTheme="minorHAnsi" w:hAnsiTheme="minorHAnsi"/>
                <w:noProof/>
              </w:rPr>
              <w:tab/>
            </w:r>
            <w:r w:rsidR="00EF46F2" w:rsidRPr="00FD5F5D">
              <w:rPr>
                <w:rStyle w:val="Hyperlink"/>
                <w:noProof/>
              </w:rPr>
              <w:t>What happens before the intensification plan changes are notified</w:t>
            </w:r>
            <w:r w:rsidR="00EF46F2">
              <w:rPr>
                <w:noProof/>
                <w:webHidden/>
              </w:rPr>
              <w:tab/>
            </w:r>
            <w:r w:rsidR="00EF46F2">
              <w:rPr>
                <w:noProof/>
                <w:webHidden/>
              </w:rPr>
              <w:fldChar w:fldCharType="begin"/>
            </w:r>
            <w:r w:rsidR="00EF46F2">
              <w:rPr>
                <w:noProof/>
                <w:webHidden/>
              </w:rPr>
              <w:instrText xml:space="preserve"> PAGEREF _Toc50720773 \h </w:instrText>
            </w:r>
            <w:r w:rsidR="00EF46F2">
              <w:rPr>
                <w:noProof/>
                <w:webHidden/>
              </w:rPr>
            </w:r>
            <w:r w:rsidR="00EF46F2">
              <w:rPr>
                <w:noProof/>
                <w:webHidden/>
              </w:rPr>
              <w:fldChar w:fldCharType="separate"/>
            </w:r>
            <w:r>
              <w:rPr>
                <w:noProof/>
                <w:webHidden/>
              </w:rPr>
              <w:t>9</w:t>
            </w:r>
            <w:r w:rsidR="00EF46F2">
              <w:rPr>
                <w:noProof/>
                <w:webHidden/>
              </w:rPr>
              <w:fldChar w:fldCharType="end"/>
            </w:r>
          </w:hyperlink>
        </w:p>
        <w:p w14:paraId="2F068C4F" w14:textId="2A67ED47" w:rsidR="00EF46F2" w:rsidRDefault="005D2599">
          <w:pPr>
            <w:pStyle w:val="TOC1"/>
            <w:rPr>
              <w:rFonts w:asciiTheme="minorHAnsi" w:hAnsiTheme="minorHAnsi"/>
              <w:noProof/>
            </w:rPr>
          </w:pPr>
          <w:hyperlink w:anchor="_Toc50720774" w:history="1">
            <w:r w:rsidR="00EF46F2" w:rsidRPr="00FD5F5D">
              <w:rPr>
                <w:rStyle w:val="Hyperlink"/>
                <w:noProof/>
              </w:rPr>
              <w:t>2</w:t>
            </w:r>
            <w:r w:rsidR="00EF46F2">
              <w:rPr>
                <w:rFonts w:asciiTheme="minorHAnsi" w:hAnsiTheme="minorHAnsi"/>
                <w:noProof/>
              </w:rPr>
              <w:tab/>
            </w:r>
            <w:r w:rsidR="00EF46F2" w:rsidRPr="00FD5F5D">
              <w:rPr>
                <w:rStyle w:val="Hyperlink"/>
                <w:noProof/>
              </w:rPr>
              <w:t>Intent and rationale of intensification policies</w:t>
            </w:r>
            <w:r w:rsidR="00EF46F2">
              <w:rPr>
                <w:noProof/>
                <w:webHidden/>
              </w:rPr>
              <w:tab/>
            </w:r>
            <w:r w:rsidR="00EF46F2">
              <w:rPr>
                <w:noProof/>
                <w:webHidden/>
              </w:rPr>
              <w:fldChar w:fldCharType="begin"/>
            </w:r>
            <w:r w:rsidR="00EF46F2">
              <w:rPr>
                <w:noProof/>
                <w:webHidden/>
              </w:rPr>
              <w:instrText xml:space="preserve"> PAGEREF _Toc50720774 \h </w:instrText>
            </w:r>
            <w:r w:rsidR="00EF46F2">
              <w:rPr>
                <w:noProof/>
                <w:webHidden/>
              </w:rPr>
            </w:r>
            <w:r w:rsidR="00EF46F2">
              <w:rPr>
                <w:noProof/>
                <w:webHidden/>
              </w:rPr>
              <w:fldChar w:fldCharType="separate"/>
            </w:r>
            <w:r>
              <w:rPr>
                <w:noProof/>
                <w:webHidden/>
              </w:rPr>
              <w:t>10</w:t>
            </w:r>
            <w:r w:rsidR="00EF46F2">
              <w:rPr>
                <w:noProof/>
                <w:webHidden/>
              </w:rPr>
              <w:fldChar w:fldCharType="end"/>
            </w:r>
          </w:hyperlink>
        </w:p>
        <w:p w14:paraId="29418499" w14:textId="47B6978F" w:rsidR="00EF46F2" w:rsidRDefault="005D2599">
          <w:pPr>
            <w:pStyle w:val="TOC1"/>
            <w:rPr>
              <w:rFonts w:asciiTheme="minorHAnsi" w:hAnsiTheme="minorHAnsi"/>
              <w:noProof/>
            </w:rPr>
          </w:pPr>
          <w:hyperlink w:anchor="_Toc50720775" w:history="1">
            <w:r w:rsidR="00EF46F2" w:rsidRPr="00FD5F5D">
              <w:rPr>
                <w:rStyle w:val="Hyperlink"/>
                <w:noProof/>
              </w:rPr>
              <w:t>3</w:t>
            </w:r>
            <w:r w:rsidR="00EF46F2">
              <w:rPr>
                <w:rFonts w:asciiTheme="minorHAnsi" w:hAnsiTheme="minorHAnsi"/>
                <w:noProof/>
              </w:rPr>
              <w:tab/>
            </w:r>
            <w:r w:rsidR="00EF46F2" w:rsidRPr="00FD5F5D">
              <w:rPr>
                <w:rStyle w:val="Hyperlink"/>
                <w:noProof/>
              </w:rPr>
              <w:t>Key changes from National Policy Statement on Urban Development Capacity</w:t>
            </w:r>
            <w:r w:rsidR="00EF46F2">
              <w:rPr>
                <w:noProof/>
                <w:webHidden/>
              </w:rPr>
              <w:tab/>
            </w:r>
            <w:r w:rsidR="00EF46F2">
              <w:rPr>
                <w:noProof/>
                <w:webHidden/>
              </w:rPr>
              <w:fldChar w:fldCharType="begin"/>
            </w:r>
            <w:r w:rsidR="00EF46F2">
              <w:rPr>
                <w:noProof/>
                <w:webHidden/>
              </w:rPr>
              <w:instrText xml:space="preserve"> PAGEREF _Toc50720775 \h </w:instrText>
            </w:r>
            <w:r w:rsidR="00EF46F2">
              <w:rPr>
                <w:noProof/>
                <w:webHidden/>
              </w:rPr>
            </w:r>
            <w:r w:rsidR="00EF46F2">
              <w:rPr>
                <w:noProof/>
                <w:webHidden/>
              </w:rPr>
              <w:fldChar w:fldCharType="separate"/>
            </w:r>
            <w:r>
              <w:rPr>
                <w:noProof/>
                <w:webHidden/>
              </w:rPr>
              <w:t>11</w:t>
            </w:r>
            <w:r w:rsidR="00EF46F2">
              <w:rPr>
                <w:noProof/>
                <w:webHidden/>
              </w:rPr>
              <w:fldChar w:fldCharType="end"/>
            </w:r>
          </w:hyperlink>
        </w:p>
        <w:p w14:paraId="5188A983" w14:textId="5125FAE2" w:rsidR="00EF46F2" w:rsidRDefault="005D2599">
          <w:pPr>
            <w:pStyle w:val="TOC1"/>
            <w:rPr>
              <w:rFonts w:asciiTheme="minorHAnsi" w:hAnsiTheme="minorHAnsi"/>
              <w:noProof/>
            </w:rPr>
          </w:pPr>
          <w:hyperlink w:anchor="_Toc50720776" w:history="1">
            <w:r w:rsidR="00EF46F2" w:rsidRPr="00FD5F5D">
              <w:rPr>
                <w:rStyle w:val="Hyperlink"/>
                <w:noProof/>
              </w:rPr>
              <w:t>4</w:t>
            </w:r>
            <w:r w:rsidR="00EF46F2">
              <w:rPr>
                <w:rFonts w:asciiTheme="minorHAnsi" w:hAnsiTheme="minorHAnsi"/>
                <w:noProof/>
              </w:rPr>
              <w:tab/>
            </w:r>
            <w:r w:rsidR="00EF46F2" w:rsidRPr="00FD5F5D">
              <w:rPr>
                <w:rStyle w:val="Hyperlink"/>
                <w:noProof/>
              </w:rPr>
              <w:t>Definitions</w:t>
            </w:r>
            <w:r w:rsidR="00EF46F2">
              <w:rPr>
                <w:noProof/>
                <w:webHidden/>
              </w:rPr>
              <w:tab/>
            </w:r>
            <w:r w:rsidR="00EF46F2">
              <w:rPr>
                <w:noProof/>
                <w:webHidden/>
              </w:rPr>
              <w:fldChar w:fldCharType="begin"/>
            </w:r>
            <w:r w:rsidR="00EF46F2">
              <w:rPr>
                <w:noProof/>
                <w:webHidden/>
              </w:rPr>
              <w:instrText xml:space="preserve"> PAGEREF _Toc50720776 \h </w:instrText>
            </w:r>
            <w:r w:rsidR="00EF46F2">
              <w:rPr>
                <w:noProof/>
                <w:webHidden/>
              </w:rPr>
            </w:r>
            <w:r w:rsidR="00EF46F2">
              <w:rPr>
                <w:noProof/>
                <w:webHidden/>
              </w:rPr>
              <w:fldChar w:fldCharType="separate"/>
            </w:r>
            <w:r>
              <w:rPr>
                <w:noProof/>
                <w:webHidden/>
              </w:rPr>
              <w:t>12</w:t>
            </w:r>
            <w:r w:rsidR="00EF46F2">
              <w:rPr>
                <w:noProof/>
                <w:webHidden/>
              </w:rPr>
              <w:fldChar w:fldCharType="end"/>
            </w:r>
          </w:hyperlink>
        </w:p>
        <w:p w14:paraId="02DBEED2" w14:textId="3196EA23" w:rsidR="00EF46F2" w:rsidRDefault="005D2599">
          <w:pPr>
            <w:pStyle w:val="TOC1"/>
            <w:rPr>
              <w:rFonts w:asciiTheme="minorHAnsi" w:hAnsiTheme="minorHAnsi"/>
              <w:noProof/>
            </w:rPr>
          </w:pPr>
          <w:hyperlink w:anchor="_Toc50720777" w:history="1">
            <w:r w:rsidR="00EF46F2" w:rsidRPr="00FD5F5D">
              <w:rPr>
                <w:rStyle w:val="Hyperlink"/>
                <w:noProof/>
              </w:rPr>
              <w:t>5</w:t>
            </w:r>
            <w:r w:rsidR="00EF46F2">
              <w:rPr>
                <w:rFonts w:asciiTheme="minorHAnsi" w:hAnsiTheme="minorHAnsi"/>
                <w:noProof/>
              </w:rPr>
              <w:tab/>
            </w:r>
            <w:r w:rsidR="00EF46F2" w:rsidRPr="00FD5F5D">
              <w:rPr>
                <w:rStyle w:val="Hyperlink"/>
                <w:noProof/>
              </w:rPr>
              <w:t>Analysis and evidence to support implementing the intensification provisions</w:t>
            </w:r>
            <w:r w:rsidR="00EF46F2">
              <w:rPr>
                <w:noProof/>
                <w:webHidden/>
              </w:rPr>
              <w:tab/>
            </w:r>
            <w:r w:rsidR="00EF46F2">
              <w:rPr>
                <w:noProof/>
                <w:webHidden/>
              </w:rPr>
              <w:fldChar w:fldCharType="begin"/>
            </w:r>
            <w:r w:rsidR="00EF46F2">
              <w:rPr>
                <w:noProof/>
                <w:webHidden/>
              </w:rPr>
              <w:instrText xml:space="preserve"> PAGEREF _Toc50720777 \h </w:instrText>
            </w:r>
            <w:r w:rsidR="00EF46F2">
              <w:rPr>
                <w:noProof/>
                <w:webHidden/>
              </w:rPr>
            </w:r>
            <w:r w:rsidR="00EF46F2">
              <w:rPr>
                <w:noProof/>
                <w:webHidden/>
              </w:rPr>
              <w:fldChar w:fldCharType="separate"/>
            </w:r>
            <w:r>
              <w:rPr>
                <w:noProof/>
                <w:webHidden/>
              </w:rPr>
              <w:t>13</w:t>
            </w:r>
            <w:r w:rsidR="00EF46F2">
              <w:rPr>
                <w:noProof/>
                <w:webHidden/>
              </w:rPr>
              <w:fldChar w:fldCharType="end"/>
            </w:r>
          </w:hyperlink>
        </w:p>
        <w:p w14:paraId="4A6594CD" w14:textId="0E45A520" w:rsidR="00EF46F2" w:rsidRDefault="005D2599" w:rsidP="00EF46F2">
          <w:pPr>
            <w:pStyle w:val="TOC2"/>
            <w:tabs>
              <w:tab w:val="left" w:pos="1134"/>
            </w:tabs>
            <w:rPr>
              <w:rFonts w:asciiTheme="minorHAnsi" w:hAnsiTheme="minorHAnsi"/>
              <w:noProof/>
            </w:rPr>
          </w:pPr>
          <w:hyperlink w:anchor="_Toc50720778" w:history="1">
            <w:r w:rsidR="00EF46F2" w:rsidRPr="00FD5F5D">
              <w:rPr>
                <w:rStyle w:val="Hyperlink"/>
                <w:noProof/>
              </w:rPr>
              <w:t>5.1</w:t>
            </w:r>
            <w:r w:rsidR="00EF46F2">
              <w:rPr>
                <w:rFonts w:asciiTheme="minorHAnsi" w:hAnsiTheme="minorHAnsi"/>
                <w:noProof/>
              </w:rPr>
              <w:tab/>
            </w:r>
            <w:r w:rsidR="00EF46F2" w:rsidRPr="00FD5F5D">
              <w:rPr>
                <w:rStyle w:val="Hyperlink"/>
                <w:noProof/>
              </w:rPr>
              <w:t>Relevant policies</w:t>
            </w:r>
            <w:r w:rsidR="00EF46F2">
              <w:rPr>
                <w:noProof/>
                <w:webHidden/>
              </w:rPr>
              <w:tab/>
            </w:r>
            <w:r w:rsidR="00EF46F2">
              <w:rPr>
                <w:noProof/>
                <w:webHidden/>
              </w:rPr>
              <w:fldChar w:fldCharType="begin"/>
            </w:r>
            <w:r w:rsidR="00EF46F2">
              <w:rPr>
                <w:noProof/>
                <w:webHidden/>
              </w:rPr>
              <w:instrText xml:space="preserve"> PAGEREF _Toc50720778 \h </w:instrText>
            </w:r>
            <w:r w:rsidR="00EF46F2">
              <w:rPr>
                <w:noProof/>
                <w:webHidden/>
              </w:rPr>
            </w:r>
            <w:r w:rsidR="00EF46F2">
              <w:rPr>
                <w:noProof/>
                <w:webHidden/>
              </w:rPr>
              <w:fldChar w:fldCharType="separate"/>
            </w:r>
            <w:r>
              <w:rPr>
                <w:noProof/>
                <w:webHidden/>
              </w:rPr>
              <w:t>13</w:t>
            </w:r>
            <w:r w:rsidR="00EF46F2">
              <w:rPr>
                <w:noProof/>
                <w:webHidden/>
              </w:rPr>
              <w:fldChar w:fldCharType="end"/>
            </w:r>
          </w:hyperlink>
        </w:p>
        <w:p w14:paraId="360A6440" w14:textId="467D07D2" w:rsidR="00EF46F2" w:rsidRDefault="005D2599" w:rsidP="00EF46F2">
          <w:pPr>
            <w:pStyle w:val="TOC2"/>
            <w:tabs>
              <w:tab w:val="left" w:pos="1134"/>
            </w:tabs>
            <w:rPr>
              <w:rFonts w:asciiTheme="minorHAnsi" w:hAnsiTheme="minorHAnsi"/>
              <w:noProof/>
            </w:rPr>
          </w:pPr>
          <w:hyperlink w:anchor="_Toc50720779" w:history="1">
            <w:r w:rsidR="00EF46F2" w:rsidRPr="00FD5F5D">
              <w:rPr>
                <w:rStyle w:val="Hyperlink"/>
                <w:noProof/>
              </w:rPr>
              <w:t>5.2</w:t>
            </w:r>
            <w:r w:rsidR="00EF46F2">
              <w:rPr>
                <w:rFonts w:asciiTheme="minorHAnsi" w:hAnsiTheme="minorHAnsi"/>
                <w:noProof/>
              </w:rPr>
              <w:tab/>
            </w:r>
            <w:r w:rsidR="00EF46F2" w:rsidRPr="00FD5F5D">
              <w:rPr>
                <w:rStyle w:val="Hyperlink"/>
                <w:noProof/>
              </w:rPr>
              <w:t>Definition of city centre and metropolitan centre zones</w:t>
            </w:r>
            <w:r w:rsidR="00EF46F2">
              <w:rPr>
                <w:noProof/>
                <w:webHidden/>
              </w:rPr>
              <w:tab/>
            </w:r>
            <w:r w:rsidR="00EF46F2">
              <w:rPr>
                <w:noProof/>
                <w:webHidden/>
              </w:rPr>
              <w:fldChar w:fldCharType="begin"/>
            </w:r>
            <w:r w:rsidR="00EF46F2">
              <w:rPr>
                <w:noProof/>
                <w:webHidden/>
              </w:rPr>
              <w:instrText xml:space="preserve"> PAGEREF _Toc50720779 \h </w:instrText>
            </w:r>
            <w:r w:rsidR="00EF46F2">
              <w:rPr>
                <w:noProof/>
                <w:webHidden/>
              </w:rPr>
            </w:r>
            <w:r w:rsidR="00EF46F2">
              <w:rPr>
                <w:noProof/>
                <w:webHidden/>
              </w:rPr>
              <w:fldChar w:fldCharType="separate"/>
            </w:r>
            <w:r>
              <w:rPr>
                <w:noProof/>
                <w:webHidden/>
              </w:rPr>
              <w:t>14</w:t>
            </w:r>
            <w:r w:rsidR="00EF46F2">
              <w:rPr>
                <w:noProof/>
                <w:webHidden/>
              </w:rPr>
              <w:fldChar w:fldCharType="end"/>
            </w:r>
          </w:hyperlink>
        </w:p>
        <w:p w14:paraId="47B4CBAF" w14:textId="6DA18D2D" w:rsidR="00EF46F2" w:rsidRDefault="005D2599" w:rsidP="00EF46F2">
          <w:pPr>
            <w:pStyle w:val="TOC2"/>
            <w:tabs>
              <w:tab w:val="left" w:pos="1134"/>
            </w:tabs>
            <w:rPr>
              <w:rFonts w:asciiTheme="minorHAnsi" w:hAnsiTheme="minorHAnsi"/>
              <w:noProof/>
            </w:rPr>
          </w:pPr>
          <w:hyperlink w:anchor="_Toc50720780" w:history="1">
            <w:r w:rsidR="00EF46F2" w:rsidRPr="00FD5F5D">
              <w:rPr>
                <w:rStyle w:val="Hyperlink"/>
                <w:noProof/>
              </w:rPr>
              <w:t>5.3</w:t>
            </w:r>
            <w:r w:rsidR="00EF46F2">
              <w:rPr>
                <w:rFonts w:asciiTheme="minorHAnsi" w:hAnsiTheme="minorHAnsi"/>
                <w:noProof/>
              </w:rPr>
              <w:tab/>
            </w:r>
            <w:r w:rsidR="00EF46F2" w:rsidRPr="00FD5F5D">
              <w:rPr>
                <w:rStyle w:val="Hyperlink"/>
                <w:noProof/>
              </w:rPr>
              <w:t>Measuring demand in metropolitan centre zones</w:t>
            </w:r>
            <w:r w:rsidR="00EF46F2">
              <w:rPr>
                <w:noProof/>
                <w:webHidden/>
              </w:rPr>
              <w:tab/>
            </w:r>
            <w:r w:rsidR="00EF46F2">
              <w:rPr>
                <w:noProof/>
                <w:webHidden/>
              </w:rPr>
              <w:fldChar w:fldCharType="begin"/>
            </w:r>
            <w:r w:rsidR="00EF46F2">
              <w:rPr>
                <w:noProof/>
                <w:webHidden/>
              </w:rPr>
              <w:instrText xml:space="preserve"> PAGEREF _Toc50720780 \h </w:instrText>
            </w:r>
            <w:r w:rsidR="00EF46F2">
              <w:rPr>
                <w:noProof/>
                <w:webHidden/>
              </w:rPr>
            </w:r>
            <w:r w:rsidR="00EF46F2">
              <w:rPr>
                <w:noProof/>
                <w:webHidden/>
              </w:rPr>
              <w:fldChar w:fldCharType="separate"/>
            </w:r>
            <w:r>
              <w:rPr>
                <w:noProof/>
                <w:webHidden/>
              </w:rPr>
              <w:t>14</w:t>
            </w:r>
            <w:r w:rsidR="00EF46F2">
              <w:rPr>
                <w:noProof/>
                <w:webHidden/>
              </w:rPr>
              <w:fldChar w:fldCharType="end"/>
            </w:r>
          </w:hyperlink>
        </w:p>
        <w:p w14:paraId="7DF6C9A5" w14:textId="681A1482" w:rsidR="00EF46F2" w:rsidRDefault="005D2599" w:rsidP="00EF46F2">
          <w:pPr>
            <w:pStyle w:val="TOC2"/>
            <w:tabs>
              <w:tab w:val="left" w:pos="1134"/>
            </w:tabs>
            <w:rPr>
              <w:rFonts w:asciiTheme="minorHAnsi" w:hAnsiTheme="minorHAnsi"/>
              <w:noProof/>
            </w:rPr>
          </w:pPr>
          <w:hyperlink w:anchor="_Toc50720781" w:history="1">
            <w:r w:rsidR="00EF46F2" w:rsidRPr="00FD5F5D">
              <w:rPr>
                <w:rStyle w:val="Hyperlink"/>
                <w:noProof/>
              </w:rPr>
              <w:t>5.4</w:t>
            </w:r>
            <w:r w:rsidR="00EF46F2">
              <w:rPr>
                <w:rFonts w:asciiTheme="minorHAnsi" w:hAnsiTheme="minorHAnsi"/>
                <w:noProof/>
              </w:rPr>
              <w:tab/>
            </w:r>
            <w:r w:rsidR="00EF46F2" w:rsidRPr="00FD5F5D">
              <w:rPr>
                <w:rStyle w:val="Hyperlink"/>
                <w:noProof/>
              </w:rPr>
              <w:t>Measuring accessibility</w:t>
            </w:r>
            <w:r w:rsidR="00EF46F2">
              <w:rPr>
                <w:noProof/>
                <w:webHidden/>
              </w:rPr>
              <w:tab/>
            </w:r>
            <w:r w:rsidR="00EF46F2">
              <w:rPr>
                <w:noProof/>
                <w:webHidden/>
              </w:rPr>
              <w:fldChar w:fldCharType="begin"/>
            </w:r>
            <w:r w:rsidR="00EF46F2">
              <w:rPr>
                <w:noProof/>
                <w:webHidden/>
              </w:rPr>
              <w:instrText xml:space="preserve"> PAGEREF _Toc50720781 \h </w:instrText>
            </w:r>
            <w:r w:rsidR="00EF46F2">
              <w:rPr>
                <w:noProof/>
                <w:webHidden/>
              </w:rPr>
            </w:r>
            <w:r w:rsidR="00EF46F2">
              <w:rPr>
                <w:noProof/>
                <w:webHidden/>
              </w:rPr>
              <w:fldChar w:fldCharType="separate"/>
            </w:r>
            <w:r>
              <w:rPr>
                <w:noProof/>
                <w:webHidden/>
              </w:rPr>
              <w:t>14</w:t>
            </w:r>
            <w:r w:rsidR="00EF46F2">
              <w:rPr>
                <w:noProof/>
                <w:webHidden/>
              </w:rPr>
              <w:fldChar w:fldCharType="end"/>
            </w:r>
          </w:hyperlink>
        </w:p>
        <w:p w14:paraId="1BA5BCD1" w14:textId="2CB546D2" w:rsidR="00EF46F2" w:rsidRDefault="005D2599" w:rsidP="00EF46F2">
          <w:pPr>
            <w:pStyle w:val="TOC1"/>
            <w:rPr>
              <w:rStyle w:val="Hyperlink"/>
              <w:noProof/>
            </w:rPr>
          </w:pPr>
          <w:hyperlink w:anchor="_Toc50720791" w:history="1">
            <w:r w:rsidR="00EF46F2" w:rsidRPr="00FD5F5D">
              <w:rPr>
                <w:rStyle w:val="Hyperlink"/>
                <w:noProof/>
              </w:rPr>
              <w:t>6</w:t>
            </w:r>
            <w:r w:rsidR="00EF46F2">
              <w:rPr>
                <w:rFonts w:asciiTheme="minorHAnsi" w:hAnsiTheme="minorHAnsi"/>
                <w:noProof/>
              </w:rPr>
              <w:tab/>
            </w:r>
            <w:r w:rsidR="00EF46F2" w:rsidRPr="00FD5F5D">
              <w:rPr>
                <w:rStyle w:val="Hyperlink"/>
                <w:noProof/>
              </w:rPr>
              <w:t>Determining heights and densities to support implementing the intensification provisions</w:t>
            </w:r>
            <w:r w:rsidR="00EF46F2">
              <w:rPr>
                <w:noProof/>
                <w:webHidden/>
              </w:rPr>
              <w:tab/>
            </w:r>
            <w:r w:rsidR="00EF46F2">
              <w:rPr>
                <w:noProof/>
                <w:webHidden/>
              </w:rPr>
              <w:fldChar w:fldCharType="begin"/>
            </w:r>
            <w:r w:rsidR="00EF46F2">
              <w:rPr>
                <w:noProof/>
                <w:webHidden/>
              </w:rPr>
              <w:instrText xml:space="preserve"> PAGEREF _Toc50720791 \h </w:instrText>
            </w:r>
            <w:r w:rsidR="00EF46F2">
              <w:rPr>
                <w:noProof/>
                <w:webHidden/>
              </w:rPr>
            </w:r>
            <w:r w:rsidR="00EF46F2">
              <w:rPr>
                <w:noProof/>
                <w:webHidden/>
              </w:rPr>
              <w:fldChar w:fldCharType="separate"/>
            </w:r>
            <w:r>
              <w:rPr>
                <w:noProof/>
                <w:webHidden/>
              </w:rPr>
              <w:t>28</w:t>
            </w:r>
            <w:r w:rsidR="00EF46F2">
              <w:rPr>
                <w:noProof/>
                <w:webHidden/>
              </w:rPr>
              <w:fldChar w:fldCharType="end"/>
            </w:r>
          </w:hyperlink>
        </w:p>
        <w:p w14:paraId="27CF7CAE" w14:textId="3756A3CA" w:rsidR="00EF46F2" w:rsidRDefault="005D2599" w:rsidP="00EF46F2">
          <w:pPr>
            <w:pStyle w:val="TOC1"/>
            <w:tabs>
              <w:tab w:val="left" w:pos="1134"/>
            </w:tabs>
            <w:spacing w:before="60" w:after="60"/>
            <w:ind w:left="1134"/>
            <w:rPr>
              <w:rStyle w:val="Hyperlink"/>
              <w:noProof/>
            </w:rPr>
          </w:pPr>
          <w:hyperlink w:anchor="_Toc50720792" w:history="1">
            <w:r w:rsidR="00EF46F2" w:rsidRPr="00FD5F5D">
              <w:rPr>
                <w:rStyle w:val="Hyperlink"/>
                <w:noProof/>
              </w:rPr>
              <w:t>6.1</w:t>
            </w:r>
            <w:r w:rsidR="00EF46F2">
              <w:rPr>
                <w:rStyle w:val="Hyperlink"/>
                <w:noProof/>
              </w:rPr>
              <w:tab/>
            </w:r>
            <w:r w:rsidR="00EF46F2" w:rsidRPr="00FD5F5D">
              <w:rPr>
                <w:rStyle w:val="Hyperlink"/>
                <w:noProof/>
              </w:rPr>
              <w:t>Relevant policies</w:t>
            </w:r>
            <w:r w:rsidR="00EF46F2">
              <w:rPr>
                <w:noProof/>
                <w:webHidden/>
              </w:rPr>
              <w:tab/>
            </w:r>
            <w:r w:rsidR="00EF46F2">
              <w:rPr>
                <w:noProof/>
                <w:webHidden/>
              </w:rPr>
              <w:fldChar w:fldCharType="begin"/>
            </w:r>
            <w:r w:rsidR="00EF46F2">
              <w:rPr>
                <w:noProof/>
                <w:webHidden/>
              </w:rPr>
              <w:instrText xml:space="preserve"> PAGEREF _Toc50720792 \h </w:instrText>
            </w:r>
            <w:r w:rsidR="00EF46F2">
              <w:rPr>
                <w:noProof/>
                <w:webHidden/>
              </w:rPr>
            </w:r>
            <w:r w:rsidR="00EF46F2">
              <w:rPr>
                <w:noProof/>
                <w:webHidden/>
              </w:rPr>
              <w:fldChar w:fldCharType="separate"/>
            </w:r>
            <w:r>
              <w:rPr>
                <w:noProof/>
                <w:webHidden/>
              </w:rPr>
              <w:t>29</w:t>
            </w:r>
            <w:r w:rsidR="00EF46F2">
              <w:rPr>
                <w:noProof/>
                <w:webHidden/>
              </w:rPr>
              <w:fldChar w:fldCharType="end"/>
            </w:r>
          </w:hyperlink>
        </w:p>
        <w:p w14:paraId="3D439C7C" w14:textId="6743740A" w:rsidR="00EF46F2" w:rsidRDefault="005D2599" w:rsidP="00EF46F2">
          <w:pPr>
            <w:pStyle w:val="TOC1"/>
            <w:tabs>
              <w:tab w:val="left" w:pos="1134"/>
            </w:tabs>
            <w:spacing w:before="60" w:after="60"/>
            <w:ind w:left="1134"/>
            <w:rPr>
              <w:rStyle w:val="Hyperlink"/>
              <w:noProof/>
            </w:rPr>
          </w:pPr>
          <w:hyperlink w:anchor="_Toc50720793" w:history="1">
            <w:r w:rsidR="00EF46F2" w:rsidRPr="00FD5F5D">
              <w:rPr>
                <w:rStyle w:val="Hyperlink"/>
                <w:noProof/>
              </w:rPr>
              <w:t>6.2</w:t>
            </w:r>
            <w:r w:rsidR="00EF46F2">
              <w:rPr>
                <w:rFonts w:asciiTheme="minorHAnsi" w:hAnsiTheme="minorHAnsi"/>
                <w:noProof/>
              </w:rPr>
              <w:tab/>
            </w:r>
            <w:r w:rsidR="00EF46F2" w:rsidRPr="00FD5F5D">
              <w:rPr>
                <w:rStyle w:val="Hyperlink"/>
                <w:noProof/>
              </w:rPr>
              <w:t xml:space="preserve">Enabling as much development capacity as possible in </w:t>
            </w:r>
            <w:r w:rsidR="00EF46F2">
              <w:rPr>
                <w:rStyle w:val="Hyperlink"/>
                <w:noProof/>
              </w:rPr>
              <w:br/>
            </w:r>
            <w:r w:rsidR="00EF46F2" w:rsidRPr="00FD5F5D">
              <w:rPr>
                <w:rStyle w:val="Hyperlink"/>
                <w:noProof/>
              </w:rPr>
              <w:t>city centre zones (Policy 3(a))</w:t>
            </w:r>
            <w:r w:rsidR="00EF46F2">
              <w:rPr>
                <w:noProof/>
                <w:webHidden/>
              </w:rPr>
              <w:tab/>
            </w:r>
            <w:r w:rsidR="00EF46F2">
              <w:rPr>
                <w:noProof/>
                <w:webHidden/>
              </w:rPr>
              <w:fldChar w:fldCharType="begin"/>
            </w:r>
            <w:r w:rsidR="00EF46F2">
              <w:rPr>
                <w:noProof/>
                <w:webHidden/>
              </w:rPr>
              <w:instrText xml:space="preserve"> PAGEREF _Toc50720793 \h </w:instrText>
            </w:r>
            <w:r w:rsidR="00EF46F2">
              <w:rPr>
                <w:noProof/>
                <w:webHidden/>
              </w:rPr>
            </w:r>
            <w:r w:rsidR="00EF46F2">
              <w:rPr>
                <w:noProof/>
                <w:webHidden/>
              </w:rPr>
              <w:fldChar w:fldCharType="separate"/>
            </w:r>
            <w:r>
              <w:rPr>
                <w:noProof/>
                <w:webHidden/>
              </w:rPr>
              <w:t>29</w:t>
            </w:r>
            <w:r w:rsidR="00EF46F2">
              <w:rPr>
                <w:noProof/>
                <w:webHidden/>
              </w:rPr>
              <w:fldChar w:fldCharType="end"/>
            </w:r>
          </w:hyperlink>
        </w:p>
        <w:p w14:paraId="45C6AD84" w14:textId="014FCCA7" w:rsidR="00EF46F2" w:rsidRDefault="005D2599" w:rsidP="00EF46F2">
          <w:pPr>
            <w:pStyle w:val="TOC1"/>
            <w:tabs>
              <w:tab w:val="left" w:pos="1134"/>
            </w:tabs>
            <w:spacing w:before="60" w:after="60"/>
            <w:ind w:left="1134"/>
            <w:rPr>
              <w:rStyle w:val="Hyperlink"/>
              <w:noProof/>
            </w:rPr>
          </w:pPr>
          <w:hyperlink w:anchor="_Toc50720794" w:history="1">
            <w:r w:rsidR="00EF46F2" w:rsidRPr="00FD5F5D">
              <w:rPr>
                <w:rStyle w:val="Hyperlink"/>
                <w:noProof/>
              </w:rPr>
              <w:t>6.3</w:t>
            </w:r>
            <w:r w:rsidR="00EF46F2">
              <w:rPr>
                <w:rFonts w:asciiTheme="minorHAnsi" w:hAnsiTheme="minorHAnsi"/>
                <w:noProof/>
              </w:rPr>
              <w:tab/>
            </w:r>
            <w:r w:rsidR="00EF46F2" w:rsidRPr="00FD5F5D">
              <w:rPr>
                <w:rStyle w:val="Hyperlink"/>
                <w:noProof/>
              </w:rPr>
              <w:t>Metropolitan centre zones (Policy 3(b))</w:t>
            </w:r>
            <w:r w:rsidR="00EF46F2">
              <w:rPr>
                <w:noProof/>
                <w:webHidden/>
              </w:rPr>
              <w:tab/>
            </w:r>
            <w:r w:rsidR="00EF46F2">
              <w:rPr>
                <w:noProof/>
                <w:webHidden/>
              </w:rPr>
              <w:fldChar w:fldCharType="begin"/>
            </w:r>
            <w:r w:rsidR="00EF46F2">
              <w:rPr>
                <w:noProof/>
                <w:webHidden/>
              </w:rPr>
              <w:instrText xml:space="preserve"> PAGEREF _Toc50720794 \h </w:instrText>
            </w:r>
            <w:r w:rsidR="00EF46F2">
              <w:rPr>
                <w:noProof/>
                <w:webHidden/>
              </w:rPr>
            </w:r>
            <w:r w:rsidR="00EF46F2">
              <w:rPr>
                <w:noProof/>
                <w:webHidden/>
              </w:rPr>
              <w:fldChar w:fldCharType="separate"/>
            </w:r>
            <w:r>
              <w:rPr>
                <w:noProof/>
                <w:webHidden/>
              </w:rPr>
              <w:t>31</w:t>
            </w:r>
            <w:r w:rsidR="00EF46F2">
              <w:rPr>
                <w:noProof/>
                <w:webHidden/>
              </w:rPr>
              <w:fldChar w:fldCharType="end"/>
            </w:r>
          </w:hyperlink>
        </w:p>
        <w:p w14:paraId="10510832" w14:textId="376C7231" w:rsidR="00EF46F2" w:rsidRDefault="005D2599" w:rsidP="00EF46F2">
          <w:pPr>
            <w:pStyle w:val="TOC1"/>
            <w:tabs>
              <w:tab w:val="left" w:pos="1134"/>
            </w:tabs>
            <w:spacing w:before="60" w:after="60"/>
            <w:ind w:left="1134"/>
            <w:rPr>
              <w:rStyle w:val="Hyperlink"/>
              <w:noProof/>
            </w:rPr>
          </w:pPr>
          <w:hyperlink w:anchor="_Toc50720796" w:history="1">
            <w:r w:rsidR="00EF46F2" w:rsidRPr="00FD5F5D">
              <w:rPr>
                <w:rStyle w:val="Hyperlink"/>
                <w:noProof/>
              </w:rPr>
              <w:t>6.4</w:t>
            </w:r>
            <w:r w:rsidR="00EF46F2">
              <w:rPr>
                <w:rFonts w:asciiTheme="minorHAnsi" w:hAnsiTheme="minorHAnsi"/>
                <w:noProof/>
              </w:rPr>
              <w:tab/>
            </w:r>
            <w:r w:rsidR="00EF46F2" w:rsidRPr="00FD5F5D">
              <w:rPr>
                <w:rStyle w:val="Hyperlink"/>
                <w:noProof/>
              </w:rPr>
              <w:t>Walkable catchments (Policy 3(c))</w:t>
            </w:r>
            <w:r w:rsidR="00EF46F2">
              <w:rPr>
                <w:noProof/>
                <w:webHidden/>
              </w:rPr>
              <w:tab/>
            </w:r>
            <w:r w:rsidR="00EF46F2">
              <w:rPr>
                <w:noProof/>
                <w:webHidden/>
              </w:rPr>
              <w:fldChar w:fldCharType="begin"/>
            </w:r>
            <w:r w:rsidR="00EF46F2">
              <w:rPr>
                <w:noProof/>
                <w:webHidden/>
              </w:rPr>
              <w:instrText xml:space="preserve"> PAGEREF _Toc50720796 \h </w:instrText>
            </w:r>
            <w:r w:rsidR="00EF46F2">
              <w:rPr>
                <w:noProof/>
                <w:webHidden/>
              </w:rPr>
            </w:r>
            <w:r w:rsidR="00EF46F2">
              <w:rPr>
                <w:noProof/>
                <w:webHidden/>
              </w:rPr>
              <w:fldChar w:fldCharType="separate"/>
            </w:r>
            <w:r>
              <w:rPr>
                <w:noProof/>
                <w:webHidden/>
              </w:rPr>
              <w:t>33</w:t>
            </w:r>
            <w:r w:rsidR="00EF46F2">
              <w:rPr>
                <w:noProof/>
                <w:webHidden/>
              </w:rPr>
              <w:fldChar w:fldCharType="end"/>
            </w:r>
          </w:hyperlink>
        </w:p>
        <w:p w14:paraId="32E876B3" w14:textId="125E7C45" w:rsidR="00EF46F2" w:rsidRDefault="005D2599" w:rsidP="00EF46F2">
          <w:pPr>
            <w:pStyle w:val="TOC1"/>
            <w:tabs>
              <w:tab w:val="left" w:pos="1134"/>
            </w:tabs>
            <w:spacing w:before="60" w:after="60"/>
            <w:ind w:left="1134"/>
            <w:rPr>
              <w:rStyle w:val="Hyperlink"/>
              <w:noProof/>
            </w:rPr>
          </w:pPr>
          <w:hyperlink w:anchor="_Toc50720798" w:history="1">
            <w:r w:rsidR="00EF46F2" w:rsidRPr="00FD5F5D">
              <w:rPr>
                <w:rStyle w:val="Hyperlink"/>
                <w:noProof/>
              </w:rPr>
              <w:t>6.5</w:t>
            </w:r>
            <w:r w:rsidR="00EF46F2">
              <w:rPr>
                <w:rFonts w:asciiTheme="minorHAnsi" w:hAnsiTheme="minorHAnsi"/>
                <w:noProof/>
              </w:rPr>
              <w:tab/>
            </w:r>
            <w:r w:rsidR="00EF46F2" w:rsidRPr="00FD5F5D">
              <w:rPr>
                <w:rStyle w:val="Hyperlink"/>
                <w:noProof/>
              </w:rPr>
              <w:t>Enabling building heights and density commensurate with accessibility</w:t>
            </w:r>
            <w:r w:rsidR="00EF46F2">
              <w:rPr>
                <w:rStyle w:val="Hyperlink"/>
                <w:noProof/>
              </w:rPr>
              <w:br/>
            </w:r>
            <w:r w:rsidR="00EF46F2" w:rsidRPr="00FD5F5D">
              <w:rPr>
                <w:rStyle w:val="Hyperlink"/>
                <w:noProof/>
              </w:rPr>
              <w:t>and demand (Policies 3</w:t>
            </w:r>
            <w:r w:rsidR="001A480E">
              <w:rPr>
                <w:rStyle w:val="Hyperlink"/>
                <w:noProof/>
              </w:rPr>
              <w:t>(</w:t>
            </w:r>
            <w:r w:rsidR="00EF46F2" w:rsidRPr="00FD5F5D">
              <w:rPr>
                <w:rStyle w:val="Hyperlink"/>
                <w:noProof/>
              </w:rPr>
              <w:t>d</w:t>
            </w:r>
            <w:r w:rsidR="001A480E">
              <w:rPr>
                <w:rStyle w:val="Hyperlink"/>
                <w:noProof/>
              </w:rPr>
              <w:t>)</w:t>
            </w:r>
            <w:r w:rsidR="00EF46F2" w:rsidRPr="00FD5F5D">
              <w:rPr>
                <w:rStyle w:val="Hyperlink"/>
                <w:noProof/>
              </w:rPr>
              <w:t xml:space="preserve"> and 5)</w:t>
            </w:r>
            <w:r w:rsidR="00EF46F2">
              <w:rPr>
                <w:noProof/>
                <w:webHidden/>
              </w:rPr>
              <w:tab/>
            </w:r>
            <w:r w:rsidR="00EF46F2">
              <w:rPr>
                <w:noProof/>
                <w:webHidden/>
              </w:rPr>
              <w:fldChar w:fldCharType="begin"/>
            </w:r>
            <w:r w:rsidR="00EF46F2">
              <w:rPr>
                <w:noProof/>
                <w:webHidden/>
              </w:rPr>
              <w:instrText xml:space="preserve"> PAGEREF _Toc50720798 \h </w:instrText>
            </w:r>
            <w:r w:rsidR="00EF46F2">
              <w:rPr>
                <w:noProof/>
                <w:webHidden/>
              </w:rPr>
            </w:r>
            <w:r w:rsidR="00EF46F2">
              <w:rPr>
                <w:noProof/>
                <w:webHidden/>
              </w:rPr>
              <w:fldChar w:fldCharType="separate"/>
            </w:r>
            <w:r>
              <w:rPr>
                <w:noProof/>
                <w:webHidden/>
              </w:rPr>
              <w:t>35</w:t>
            </w:r>
            <w:r w:rsidR="00EF46F2">
              <w:rPr>
                <w:noProof/>
                <w:webHidden/>
              </w:rPr>
              <w:fldChar w:fldCharType="end"/>
            </w:r>
          </w:hyperlink>
        </w:p>
        <w:p w14:paraId="7A3BDD7B" w14:textId="1371F93C" w:rsidR="00EF46F2" w:rsidRDefault="005D2599" w:rsidP="00EF46F2">
          <w:pPr>
            <w:pStyle w:val="TOC1"/>
            <w:tabs>
              <w:tab w:val="left" w:pos="1134"/>
            </w:tabs>
            <w:spacing w:before="60" w:after="60"/>
            <w:ind w:left="1134"/>
            <w:rPr>
              <w:rFonts w:asciiTheme="minorHAnsi" w:hAnsiTheme="minorHAnsi"/>
              <w:noProof/>
            </w:rPr>
          </w:pPr>
          <w:hyperlink w:anchor="_Toc50720804" w:history="1">
            <w:r w:rsidR="00EF46F2" w:rsidRPr="00FD5F5D">
              <w:rPr>
                <w:rStyle w:val="Hyperlink"/>
                <w:noProof/>
              </w:rPr>
              <w:t>6.6</w:t>
            </w:r>
            <w:r w:rsidR="00EF46F2">
              <w:rPr>
                <w:rFonts w:asciiTheme="minorHAnsi" w:hAnsiTheme="minorHAnsi"/>
                <w:noProof/>
              </w:rPr>
              <w:tab/>
            </w:r>
            <w:r w:rsidR="00EF46F2" w:rsidRPr="00FD5F5D">
              <w:rPr>
                <w:rStyle w:val="Hyperlink"/>
                <w:noProof/>
              </w:rPr>
              <w:t xml:space="preserve">Qualifying </w:t>
            </w:r>
            <w:r w:rsidR="00763469">
              <w:rPr>
                <w:rStyle w:val="Hyperlink"/>
                <w:noProof/>
              </w:rPr>
              <w:t>m</w:t>
            </w:r>
            <w:r w:rsidR="00EF46F2" w:rsidRPr="00FD5F5D">
              <w:rPr>
                <w:rStyle w:val="Hyperlink"/>
                <w:noProof/>
              </w:rPr>
              <w:t xml:space="preserve">atters – </w:t>
            </w:r>
            <w:r w:rsidR="00763469">
              <w:rPr>
                <w:rStyle w:val="Hyperlink"/>
                <w:noProof/>
              </w:rPr>
              <w:t>a</w:t>
            </w:r>
            <w:r w:rsidR="00EF46F2" w:rsidRPr="00FD5F5D">
              <w:rPr>
                <w:rStyle w:val="Hyperlink"/>
                <w:noProof/>
              </w:rPr>
              <w:t>pplication</w:t>
            </w:r>
            <w:r w:rsidR="00EF46F2">
              <w:rPr>
                <w:noProof/>
                <w:webHidden/>
              </w:rPr>
              <w:tab/>
            </w:r>
            <w:r w:rsidR="00EF46F2">
              <w:rPr>
                <w:noProof/>
                <w:webHidden/>
              </w:rPr>
              <w:fldChar w:fldCharType="begin"/>
            </w:r>
            <w:r w:rsidR="00EF46F2">
              <w:rPr>
                <w:noProof/>
                <w:webHidden/>
              </w:rPr>
              <w:instrText xml:space="preserve"> PAGEREF _Toc50720804 \h </w:instrText>
            </w:r>
            <w:r w:rsidR="00EF46F2">
              <w:rPr>
                <w:noProof/>
                <w:webHidden/>
              </w:rPr>
            </w:r>
            <w:r w:rsidR="00EF46F2">
              <w:rPr>
                <w:noProof/>
                <w:webHidden/>
              </w:rPr>
              <w:fldChar w:fldCharType="separate"/>
            </w:r>
            <w:r>
              <w:rPr>
                <w:noProof/>
                <w:webHidden/>
              </w:rPr>
              <w:t>42</w:t>
            </w:r>
            <w:r w:rsidR="00EF46F2">
              <w:rPr>
                <w:noProof/>
                <w:webHidden/>
              </w:rPr>
              <w:fldChar w:fldCharType="end"/>
            </w:r>
          </w:hyperlink>
        </w:p>
        <w:p w14:paraId="4D08E64C" w14:textId="5C6D47A2" w:rsidR="00EF46F2" w:rsidRDefault="005D2599">
          <w:pPr>
            <w:pStyle w:val="TOC1"/>
            <w:rPr>
              <w:rFonts w:asciiTheme="minorHAnsi" w:hAnsiTheme="minorHAnsi"/>
              <w:noProof/>
            </w:rPr>
          </w:pPr>
          <w:hyperlink w:anchor="_Toc50720809" w:history="1">
            <w:r w:rsidR="00EF46F2" w:rsidRPr="00FD5F5D">
              <w:rPr>
                <w:rStyle w:val="Hyperlink"/>
                <w:noProof/>
              </w:rPr>
              <w:t>7</w:t>
            </w:r>
            <w:r w:rsidR="00EF46F2">
              <w:rPr>
                <w:rFonts w:asciiTheme="minorHAnsi" w:hAnsiTheme="minorHAnsi"/>
                <w:noProof/>
              </w:rPr>
              <w:tab/>
            </w:r>
            <w:r w:rsidR="00EF46F2" w:rsidRPr="00FD5F5D">
              <w:rPr>
                <w:rStyle w:val="Hyperlink"/>
                <w:noProof/>
              </w:rPr>
              <w:t>Full worked example of applying intensification provisions to determine heights or densities</w:t>
            </w:r>
            <w:r w:rsidR="00EF46F2">
              <w:rPr>
                <w:noProof/>
                <w:webHidden/>
              </w:rPr>
              <w:tab/>
            </w:r>
            <w:r w:rsidR="00EF46F2">
              <w:rPr>
                <w:noProof/>
                <w:webHidden/>
              </w:rPr>
              <w:fldChar w:fldCharType="begin"/>
            </w:r>
            <w:r w:rsidR="00EF46F2">
              <w:rPr>
                <w:noProof/>
                <w:webHidden/>
              </w:rPr>
              <w:instrText xml:space="preserve"> PAGEREF _Toc50720809 \h </w:instrText>
            </w:r>
            <w:r w:rsidR="00EF46F2">
              <w:rPr>
                <w:noProof/>
                <w:webHidden/>
              </w:rPr>
            </w:r>
            <w:r w:rsidR="00EF46F2">
              <w:rPr>
                <w:noProof/>
                <w:webHidden/>
              </w:rPr>
              <w:fldChar w:fldCharType="separate"/>
            </w:r>
            <w:r>
              <w:rPr>
                <w:noProof/>
                <w:webHidden/>
              </w:rPr>
              <w:t>49</w:t>
            </w:r>
            <w:r w:rsidR="00EF46F2">
              <w:rPr>
                <w:noProof/>
                <w:webHidden/>
              </w:rPr>
              <w:fldChar w:fldCharType="end"/>
            </w:r>
          </w:hyperlink>
        </w:p>
        <w:p w14:paraId="6977DDBB" w14:textId="3381ACA1" w:rsidR="00EF46F2" w:rsidRDefault="005D2599">
          <w:pPr>
            <w:pStyle w:val="TOC1"/>
            <w:rPr>
              <w:rFonts w:asciiTheme="minorHAnsi" w:hAnsiTheme="minorHAnsi"/>
              <w:noProof/>
            </w:rPr>
          </w:pPr>
          <w:hyperlink w:anchor="_Toc50720810" w:history="1">
            <w:r w:rsidR="00EF46F2" w:rsidRPr="00FD5F5D">
              <w:rPr>
                <w:rStyle w:val="Hyperlink"/>
                <w:noProof/>
              </w:rPr>
              <w:t>8</w:t>
            </w:r>
            <w:r w:rsidR="00EF46F2">
              <w:rPr>
                <w:rFonts w:asciiTheme="minorHAnsi" w:hAnsiTheme="minorHAnsi"/>
                <w:noProof/>
              </w:rPr>
              <w:tab/>
            </w:r>
            <w:r w:rsidR="00763469">
              <w:rPr>
                <w:rStyle w:val="Hyperlink"/>
                <w:noProof/>
              </w:rPr>
              <w:t>Resources</w:t>
            </w:r>
            <w:r w:rsidR="00EF46F2">
              <w:rPr>
                <w:noProof/>
                <w:webHidden/>
              </w:rPr>
              <w:tab/>
            </w:r>
            <w:r w:rsidR="00EF46F2">
              <w:rPr>
                <w:noProof/>
                <w:webHidden/>
              </w:rPr>
              <w:fldChar w:fldCharType="begin"/>
            </w:r>
            <w:r w:rsidR="00EF46F2">
              <w:rPr>
                <w:noProof/>
                <w:webHidden/>
              </w:rPr>
              <w:instrText xml:space="preserve"> PAGEREF _Toc50720810 \h </w:instrText>
            </w:r>
            <w:r w:rsidR="00EF46F2">
              <w:rPr>
                <w:noProof/>
                <w:webHidden/>
              </w:rPr>
            </w:r>
            <w:r w:rsidR="00EF46F2">
              <w:rPr>
                <w:noProof/>
                <w:webHidden/>
              </w:rPr>
              <w:fldChar w:fldCharType="separate"/>
            </w:r>
            <w:r>
              <w:rPr>
                <w:noProof/>
                <w:webHidden/>
              </w:rPr>
              <w:t>55</w:t>
            </w:r>
            <w:r w:rsidR="00EF46F2">
              <w:rPr>
                <w:noProof/>
                <w:webHidden/>
              </w:rPr>
              <w:fldChar w:fldCharType="end"/>
            </w:r>
          </w:hyperlink>
        </w:p>
        <w:p w14:paraId="36822CE5" w14:textId="71F52E47" w:rsidR="00EF46F2" w:rsidRDefault="005D2599">
          <w:pPr>
            <w:pStyle w:val="TOC1"/>
            <w:rPr>
              <w:rFonts w:asciiTheme="minorHAnsi" w:hAnsiTheme="minorHAnsi"/>
              <w:noProof/>
            </w:rPr>
          </w:pPr>
          <w:hyperlink w:anchor="_Toc50720811" w:history="1">
            <w:r w:rsidR="00EF46F2" w:rsidRPr="00FD5F5D">
              <w:rPr>
                <w:rStyle w:val="Hyperlink"/>
                <w:noProof/>
              </w:rPr>
              <w:t>9</w:t>
            </w:r>
            <w:r w:rsidR="00EF46F2">
              <w:rPr>
                <w:rFonts w:asciiTheme="minorHAnsi" w:hAnsiTheme="minorHAnsi"/>
                <w:noProof/>
              </w:rPr>
              <w:tab/>
            </w:r>
            <w:r w:rsidR="00EF46F2" w:rsidRPr="00FD5F5D">
              <w:rPr>
                <w:rStyle w:val="Hyperlink"/>
                <w:noProof/>
              </w:rPr>
              <w:t>References</w:t>
            </w:r>
            <w:r w:rsidR="00EF46F2">
              <w:rPr>
                <w:noProof/>
                <w:webHidden/>
              </w:rPr>
              <w:tab/>
            </w:r>
            <w:r w:rsidR="00EF46F2">
              <w:rPr>
                <w:noProof/>
                <w:webHidden/>
              </w:rPr>
              <w:fldChar w:fldCharType="begin"/>
            </w:r>
            <w:r w:rsidR="00EF46F2">
              <w:rPr>
                <w:noProof/>
                <w:webHidden/>
              </w:rPr>
              <w:instrText xml:space="preserve"> PAGEREF _Toc50720811 \h </w:instrText>
            </w:r>
            <w:r w:rsidR="00EF46F2">
              <w:rPr>
                <w:noProof/>
                <w:webHidden/>
              </w:rPr>
            </w:r>
            <w:r w:rsidR="00EF46F2">
              <w:rPr>
                <w:noProof/>
                <w:webHidden/>
              </w:rPr>
              <w:fldChar w:fldCharType="separate"/>
            </w:r>
            <w:r>
              <w:rPr>
                <w:noProof/>
                <w:webHidden/>
              </w:rPr>
              <w:t>56</w:t>
            </w:r>
            <w:r w:rsidR="00EF46F2">
              <w:rPr>
                <w:noProof/>
                <w:webHidden/>
              </w:rPr>
              <w:fldChar w:fldCharType="end"/>
            </w:r>
          </w:hyperlink>
        </w:p>
        <w:p w14:paraId="3B61F019" w14:textId="39403116" w:rsidR="00EF46F2" w:rsidRDefault="00EF46F2">
          <w:r>
            <w:rPr>
              <w:b/>
              <w:bCs/>
              <w:noProof/>
            </w:rPr>
            <w:fldChar w:fldCharType="end"/>
          </w:r>
        </w:p>
      </w:sdtContent>
    </w:sdt>
    <w:p w14:paraId="56C2D09A" w14:textId="153CCF85" w:rsidR="0080531E" w:rsidRPr="006B77BB" w:rsidRDefault="0080531E" w:rsidP="002B4778">
      <w:pPr>
        <w:pStyle w:val="Glossary"/>
      </w:pPr>
    </w:p>
    <w:p w14:paraId="0AC990D2" w14:textId="77777777" w:rsidR="00796A6F" w:rsidRPr="00554B30" w:rsidRDefault="00796A6F" w:rsidP="00554B30">
      <w:r w:rsidRPr="00554B30">
        <w:br w:type="page"/>
      </w:r>
    </w:p>
    <w:p w14:paraId="1BDA49F2" w14:textId="56A5CC1F" w:rsidR="00435717" w:rsidRDefault="00435717" w:rsidP="00435717">
      <w:pPr>
        <w:pStyle w:val="TOCHeading"/>
        <w:rPr>
          <w:rFonts w:asciiTheme="minorHAnsi" w:hAnsiTheme="minorHAnsi"/>
          <w:b/>
          <w:sz w:val="48"/>
          <w:szCs w:val="48"/>
        </w:rPr>
      </w:pPr>
      <w:bookmarkStart w:id="2" w:name="_Toc215561202"/>
      <w:r>
        <w:rPr>
          <w:rFonts w:asciiTheme="minorHAnsi" w:hAnsiTheme="minorHAnsi"/>
          <w:b/>
          <w:sz w:val="48"/>
          <w:szCs w:val="48"/>
        </w:rPr>
        <w:lastRenderedPageBreak/>
        <w:t>Tables</w:t>
      </w:r>
    </w:p>
    <w:p w14:paraId="72A96D45" w14:textId="33F591D4" w:rsidR="009301DA" w:rsidRPr="00E44236" w:rsidRDefault="009301DA">
      <w:pPr>
        <w:pStyle w:val="TableofFigures"/>
        <w:tabs>
          <w:tab w:val="right" w:pos="9061"/>
        </w:tabs>
        <w:rPr>
          <w:rFonts w:asciiTheme="minorHAnsi" w:hAnsiTheme="minorHAnsi"/>
          <w:noProof/>
          <w:color w:val="000000" w:themeColor="text1"/>
        </w:rPr>
      </w:pPr>
      <w:r w:rsidRPr="00E44236">
        <w:rPr>
          <w:color w:val="000000" w:themeColor="text1"/>
          <w:lang w:val="en-US" w:eastAsia="en-US"/>
        </w:rPr>
        <w:fldChar w:fldCharType="begin"/>
      </w:r>
      <w:r w:rsidRPr="00E44236">
        <w:rPr>
          <w:color w:val="000000" w:themeColor="text1"/>
          <w:lang w:val="en-US" w:eastAsia="en-US"/>
        </w:rPr>
        <w:instrText xml:space="preserve"> TOC \h \z \t "Table heading" \c </w:instrText>
      </w:r>
      <w:r w:rsidRPr="00E44236">
        <w:rPr>
          <w:color w:val="000000" w:themeColor="text1"/>
          <w:lang w:val="en-US" w:eastAsia="en-US"/>
        </w:rPr>
        <w:fldChar w:fldCharType="separate"/>
      </w:r>
      <w:hyperlink w:anchor="_Toc51236805" w:history="1">
        <w:r w:rsidRPr="00E44236">
          <w:rPr>
            <w:rStyle w:val="Hyperlink"/>
            <w:noProof/>
            <w:color w:val="000000" w:themeColor="text1"/>
          </w:rPr>
          <w:t xml:space="preserve">Table 1: </w:t>
        </w:r>
        <w:r w:rsidR="00E44236" w:rsidRPr="00E44236">
          <w:rPr>
            <w:rStyle w:val="Hyperlink"/>
            <w:noProof/>
            <w:color w:val="000000" w:themeColor="text1"/>
          </w:rPr>
          <w:tab/>
        </w:r>
        <w:r w:rsidRPr="00E44236">
          <w:rPr>
            <w:rStyle w:val="Hyperlink"/>
            <w:noProof/>
            <w:color w:val="000000" w:themeColor="text1"/>
          </w:rPr>
          <w:t>Intensification requirements and timeframes for tier 1, 2 and 3 local authorities</w:t>
        </w:r>
        <w:r w:rsidRPr="00E44236">
          <w:rPr>
            <w:noProof/>
            <w:webHidden/>
            <w:color w:val="000000" w:themeColor="text1"/>
          </w:rPr>
          <w:tab/>
        </w:r>
        <w:r w:rsidRPr="00E44236">
          <w:rPr>
            <w:noProof/>
            <w:webHidden/>
            <w:color w:val="000000" w:themeColor="text1"/>
          </w:rPr>
          <w:fldChar w:fldCharType="begin"/>
        </w:r>
        <w:r w:rsidRPr="00E44236">
          <w:rPr>
            <w:noProof/>
            <w:webHidden/>
            <w:color w:val="000000" w:themeColor="text1"/>
          </w:rPr>
          <w:instrText xml:space="preserve"> PAGEREF _Toc51236805 \h </w:instrText>
        </w:r>
        <w:r w:rsidRPr="00E44236">
          <w:rPr>
            <w:noProof/>
            <w:webHidden/>
            <w:color w:val="000000" w:themeColor="text1"/>
          </w:rPr>
        </w:r>
        <w:r w:rsidRPr="00E44236">
          <w:rPr>
            <w:noProof/>
            <w:webHidden/>
            <w:color w:val="000000" w:themeColor="text1"/>
          </w:rPr>
          <w:fldChar w:fldCharType="separate"/>
        </w:r>
        <w:r w:rsidR="005D2599">
          <w:rPr>
            <w:noProof/>
            <w:webHidden/>
            <w:color w:val="000000" w:themeColor="text1"/>
          </w:rPr>
          <w:t>8</w:t>
        </w:r>
        <w:r w:rsidRPr="00E44236">
          <w:rPr>
            <w:noProof/>
            <w:webHidden/>
            <w:color w:val="000000" w:themeColor="text1"/>
          </w:rPr>
          <w:fldChar w:fldCharType="end"/>
        </w:r>
      </w:hyperlink>
    </w:p>
    <w:p w14:paraId="10AC805B" w14:textId="5C9111D2" w:rsidR="00E44236" w:rsidRPr="00E44236" w:rsidRDefault="009301DA" w:rsidP="00E44236">
      <w:pPr>
        <w:pStyle w:val="TableofFigures"/>
        <w:tabs>
          <w:tab w:val="right" w:pos="9061"/>
        </w:tabs>
        <w:rPr>
          <w:rFonts w:asciiTheme="minorHAnsi" w:hAnsiTheme="minorHAnsi"/>
          <w:noProof/>
          <w:color w:val="000000" w:themeColor="text1"/>
        </w:rPr>
      </w:pPr>
      <w:r w:rsidRPr="00E44236">
        <w:rPr>
          <w:color w:val="000000" w:themeColor="text1"/>
          <w:lang w:val="en-US" w:eastAsia="en-US"/>
        </w:rPr>
        <w:fldChar w:fldCharType="end"/>
      </w:r>
      <w:hyperlink w:anchor="_Toc51236786" w:history="1">
        <w:r w:rsidR="00E44236" w:rsidRPr="00E44236">
          <w:rPr>
            <w:rStyle w:val="Hyperlink"/>
            <w:noProof/>
            <w:color w:val="000000" w:themeColor="text1"/>
          </w:rPr>
          <w:t xml:space="preserve">Table 2: </w:t>
        </w:r>
        <w:r w:rsidR="00E44236" w:rsidRPr="00E44236">
          <w:rPr>
            <w:rFonts w:asciiTheme="minorHAnsi" w:hAnsiTheme="minorHAnsi"/>
            <w:noProof/>
            <w:color w:val="000000" w:themeColor="text1"/>
          </w:rPr>
          <w:tab/>
        </w:r>
        <w:r w:rsidR="00E44236" w:rsidRPr="00E44236">
          <w:rPr>
            <w:rStyle w:val="Hyperlink"/>
            <w:noProof/>
            <w:color w:val="000000" w:themeColor="text1"/>
          </w:rPr>
          <w:t>Capitalisation (capital value) and land value and suitability for redevelopment and intensification</w:t>
        </w:r>
        <w:r w:rsidR="00E44236" w:rsidRPr="00E44236">
          <w:rPr>
            <w:noProof/>
            <w:webHidden/>
            <w:color w:val="000000" w:themeColor="text1"/>
          </w:rPr>
          <w:tab/>
        </w:r>
        <w:r w:rsidR="00E44236" w:rsidRPr="00E44236">
          <w:rPr>
            <w:noProof/>
            <w:webHidden/>
            <w:color w:val="000000" w:themeColor="text1"/>
          </w:rPr>
          <w:fldChar w:fldCharType="begin"/>
        </w:r>
        <w:r w:rsidR="00E44236" w:rsidRPr="00E44236">
          <w:rPr>
            <w:noProof/>
            <w:webHidden/>
            <w:color w:val="000000" w:themeColor="text1"/>
          </w:rPr>
          <w:instrText xml:space="preserve"> PAGEREF _Toc51236786 \h </w:instrText>
        </w:r>
        <w:r w:rsidR="00E44236" w:rsidRPr="00E44236">
          <w:rPr>
            <w:noProof/>
            <w:webHidden/>
            <w:color w:val="000000" w:themeColor="text1"/>
          </w:rPr>
        </w:r>
        <w:r w:rsidR="00E44236" w:rsidRPr="00E44236">
          <w:rPr>
            <w:noProof/>
            <w:webHidden/>
            <w:color w:val="000000" w:themeColor="text1"/>
          </w:rPr>
          <w:fldChar w:fldCharType="separate"/>
        </w:r>
        <w:r w:rsidR="005D2599">
          <w:rPr>
            <w:noProof/>
            <w:webHidden/>
            <w:color w:val="000000" w:themeColor="text1"/>
          </w:rPr>
          <w:t>38</w:t>
        </w:r>
        <w:r w:rsidR="00E44236" w:rsidRPr="00E44236">
          <w:rPr>
            <w:noProof/>
            <w:webHidden/>
            <w:color w:val="000000" w:themeColor="text1"/>
          </w:rPr>
          <w:fldChar w:fldCharType="end"/>
        </w:r>
      </w:hyperlink>
    </w:p>
    <w:p w14:paraId="319495C8" w14:textId="2AA34D8E" w:rsidR="009301DA" w:rsidRPr="00E44236" w:rsidRDefault="009301DA" w:rsidP="009301DA">
      <w:pPr>
        <w:rPr>
          <w:color w:val="000000" w:themeColor="text1"/>
          <w:lang w:val="en-US" w:eastAsia="en-US"/>
        </w:rPr>
      </w:pPr>
    </w:p>
    <w:p w14:paraId="6CDEC943" w14:textId="23A8C938" w:rsidR="00C73361" w:rsidRDefault="00C73361" w:rsidP="00AB5203">
      <w:pPr>
        <w:pStyle w:val="TOCHeading"/>
        <w:tabs>
          <w:tab w:val="left" w:pos="1276"/>
          <w:tab w:val="right" w:pos="8789"/>
        </w:tabs>
        <w:ind w:left="1276" w:hanging="1276"/>
        <w:rPr>
          <w:rFonts w:asciiTheme="minorHAnsi" w:hAnsiTheme="minorHAnsi"/>
          <w:b/>
          <w:sz w:val="48"/>
          <w:szCs w:val="48"/>
        </w:rPr>
      </w:pPr>
      <w:r>
        <w:rPr>
          <w:rFonts w:asciiTheme="minorHAnsi" w:hAnsiTheme="minorHAnsi"/>
          <w:b/>
          <w:sz w:val="48"/>
          <w:szCs w:val="48"/>
        </w:rPr>
        <w:t>Figures</w:t>
      </w:r>
    </w:p>
    <w:p w14:paraId="759FC6C8" w14:textId="07CD4401" w:rsidR="00553D29" w:rsidRDefault="009301DA">
      <w:pPr>
        <w:pStyle w:val="TableofFigures"/>
        <w:tabs>
          <w:tab w:val="right" w:pos="9061"/>
        </w:tabs>
        <w:rPr>
          <w:rFonts w:asciiTheme="minorHAnsi" w:hAnsiTheme="minorHAnsi"/>
          <w:noProof/>
        </w:rPr>
      </w:pPr>
      <w:r>
        <w:rPr>
          <w:lang w:val="en-US" w:eastAsia="en-US"/>
        </w:rPr>
        <w:fldChar w:fldCharType="begin"/>
      </w:r>
      <w:r>
        <w:rPr>
          <w:lang w:val="en-US" w:eastAsia="en-US"/>
        </w:rPr>
        <w:instrText xml:space="preserve"> TOC \h \z \t "Figure heading" \c </w:instrText>
      </w:r>
      <w:r>
        <w:rPr>
          <w:lang w:val="en-US" w:eastAsia="en-US"/>
        </w:rPr>
        <w:fldChar w:fldCharType="separate"/>
      </w:r>
      <w:hyperlink w:anchor="_Toc51240487" w:history="1">
        <w:r w:rsidR="00553D29" w:rsidRPr="00313E1C">
          <w:rPr>
            <w:rStyle w:val="Hyperlink"/>
            <w:noProof/>
          </w:rPr>
          <w:t>Figure 1:</w:t>
        </w:r>
        <w:r w:rsidR="00553D29">
          <w:rPr>
            <w:rFonts w:asciiTheme="minorHAnsi" w:hAnsiTheme="minorHAnsi"/>
            <w:noProof/>
          </w:rPr>
          <w:tab/>
        </w:r>
        <w:r w:rsidR="00553D29" w:rsidRPr="00313E1C">
          <w:rPr>
            <w:rStyle w:val="Hyperlink"/>
            <w:noProof/>
          </w:rPr>
          <w:t>Expected outcomes of the intensification provisions</w:t>
        </w:r>
        <w:r w:rsidR="00553D29">
          <w:rPr>
            <w:noProof/>
            <w:webHidden/>
          </w:rPr>
          <w:tab/>
        </w:r>
        <w:r w:rsidR="00553D29">
          <w:rPr>
            <w:noProof/>
            <w:webHidden/>
          </w:rPr>
          <w:fldChar w:fldCharType="begin"/>
        </w:r>
        <w:r w:rsidR="00553D29">
          <w:rPr>
            <w:noProof/>
            <w:webHidden/>
          </w:rPr>
          <w:instrText xml:space="preserve"> PAGEREF _Toc51240487 \h </w:instrText>
        </w:r>
        <w:r w:rsidR="00553D29">
          <w:rPr>
            <w:noProof/>
            <w:webHidden/>
          </w:rPr>
        </w:r>
        <w:r w:rsidR="00553D29">
          <w:rPr>
            <w:noProof/>
            <w:webHidden/>
          </w:rPr>
          <w:fldChar w:fldCharType="separate"/>
        </w:r>
        <w:r w:rsidR="005D2599">
          <w:rPr>
            <w:noProof/>
            <w:webHidden/>
          </w:rPr>
          <w:t>10</w:t>
        </w:r>
        <w:r w:rsidR="00553D29">
          <w:rPr>
            <w:noProof/>
            <w:webHidden/>
          </w:rPr>
          <w:fldChar w:fldCharType="end"/>
        </w:r>
      </w:hyperlink>
    </w:p>
    <w:p w14:paraId="0D99E237" w14:textId="3F917596" w:rsidR="00553D29" w:rsidRDefault="005D2599">
      <w:pPr>
        <w:pStyle w:val="TableofFigures"/>
        <w:tabs>
          <w:tab w:val="right" w:pos="9061"/>
        </w:tabs>
        <w:rPr>
          <w:rFonts w:asciiTheme="minorHAnsi" w:hAnsiTheme="minorHAnsi"/>
          <w:noProof/>
        </w:rPr>
      </w:pPr>
      <w:hyperlink w:anchor="_Toc51240488" w:history="1">
        <w:r w:rsidR="00553D29" w:rsidRPr="00313E1C">
          <w:rPr>
            <w:rStyle w:val="Hyperlink"/>
            <w:noProof/>
          </w:rPr>
          <w:t xml:space="preserve">Figure 2: </w:t>
        </w:r>
        <w:r w:rsidR="00553D29">
          <w:rPr>
            <w:rFonts w:asciiTheme="minorHAnsi" w:hAnsiTheme="minorHAnsi"/>
            <w:noProof/>
          </w:rPr>
          <w:tab/>
        </w:r>
        <w:r w:rsidR="00553D29" w:rsidRPr="00313E1C">
          <w:rPr>
            <w:rStyle w:val="Hyperlink"/>
            <w:noProof/>
          </w:rPr>
          <w:t>75th percentile accessibility index for public transport access for SA1s in Dunedin,  for March 2020</w:t>
        </w:r>
        <w:r w:rsidR="00553D29">
          <w:rPr>
            <w:noProof/>
            <w:webHidden/>
          </w:rPr>
          <w:tab/>
        </w:r>
        <w:r w:rsidR="00553D29">
          <w:rPr>
            <w:noProof/>
            <w:webHidden/>
          </w:rPr>
          <w:fldChar w:fldCharType="begin"/>
        </w:r>
        <w:r w:rsidR="00553D29">
          <w:rPr>
            <w:noProof/>
            <w:webHidden/>
          </w:rPr>
          <w:instrText xml:space="preserve"> PAGEREF _Toc51240488 \h </w:instrText>
        </w:r>
        <w:r w:rsidR="00553D29">
          <w:rPr>
            <w:noProof/>
            <w:webHidden/>
          </w:rPr>
        </w:r>
        <w:r w:rsidR="00553D29">
          <w:rPr>
            <w:noProof/>
            <w:webHidden/>
          </w:rPr>
          <w:fldChar w:fldCharType="separate"/>
        </w:r>
        <w:r>
          <w:rPr>
            <w:noProof/>
            <w:webHidden/>
          </w:rPr>
          <w:t>19</w:t>
        </w:r>
        <w:r w:rsidR="00553D29">
          <w:rPr>
            <w:noProof/>
            <w:webHidden/>
          </w:rPr>
          <w:fldChar w:fldCharType="end"/>
        </w:r>
      </w:hyperlink>
    </w:p>
    <w:p w14:paraId="63881FAF" w14:textId="4D2AED7B" w:rsidR="00553D29" w:rsidRDefault="005D2599">
      <w:pPr>
        <w:pStyle w:val="TableofFigures"/>
        <w:tabs>
          <w:tab w:val="right" w:pos="9061"/>
        </w:tabs>
        <w:rPr>
          <w:rFonts w:asciiTheme="minorHAnsi" w:hAnsiTheme="minorHAnsi"/>
          <w:noProof/>
        </w:rPr>
      </w:pPr>
      <w:hyperlink w:anchor="_Toc51240489" w:history="1">
        <w:r w:rsidR="00553D29" w:rsidRPr="00313E1C">
          <w:rPr>
            <w:rStyle w:val="Hyperlink"/>
            <w:noProof/>
          </w:rPr>
          <w:t xml:space="preserve">Figure 3: </w:t>
        </w:r>
        <w:r w:rsidR="00553D29">
          <w:rPr>
            <w:rFonts w:asciiTheme="minorHAnsi" w:hAnsiTheme="minorHAnsi"/>
            <w:noProof/>
          </w:rPr>
          <w:tab/>
        </w:r>
        <w:r w:rsidR="00553D29" w:rsidRPr="00313E1C">
          <w:rPr>
            <w:rStyle w:val="Hyperlink"/>
            <w:noProof/>
          </w:rPr>
          <w:t>Total number of jobs accessible by public transport access for SA1s in Dunedin,  for March 2020</w:t>
        </w:r>
        <w:r w:rsidR="00553D29">
          <w:rPr>
            <w:noProof/>
            <w:webHidden/>
          </w:rPr>
          <w:tab/>
        </w:r>
        <w:r w:rsidR="00553D29">
          <w:rPr>
            <w:noProof/>
            <w:webHidden/>
          </w:rPr>
          <w:fldChar w:fldCharType="begin"/>
        </w:r>
        <w:r w:rsidR="00553D29">
          <w:rPr>
            <w:noProof/>
            <w:webHidden/>
          </w:rPr>
          <w:instrText xml:space="preserve"> PAGEREF _Toc51240489 \h </w:instrText>
        </w:r>
        <w:r w:rsidR="00553D29">
          <w:rPr>
            <w:noProof/>
            <w:webHidden/>
          </w:rPr>
        </w:r>
        <w:r w:rsidR="00553D29">
          <w:rPr>
            <w:noProof/>
            <w:webHidden/>
          </w:rPr>
          <w:fldChar w:fldCharType="separate"/>
        </w:r>
        <w:r>
          <w:rPr>
            <w:noProof/>
            <w:webHidden/>
          </w:rPr>
          <w:t>19</w:t>
        </w:r>
        <w:r w:rsidR="00553D29">
          <w:rPr>
            <w:noProof/>
            <w:webHidden/>
          </w:rPr>
          <w:fldChar w:fldCharType="end"/>
        </w:r>
      </w:hyperlink>
    </w:p>
    <w:p w14:paraId="78347641" w14:textId="3667D181" w:rsidR="00553D29" w:rsidRDefault="005D2599">
      <w:pPr>
        <w:pStyle w:val="TableofFigures"/>
        <w:tabs>
          <w:tab w:val="right" w:pos="9061"/>
        </w:tabs>
        <w:rPr>
          <w:rFonts w:asciiTheme="minorHAnsi" w:hAnsiTheme="minorHAnsi"/>
          <w:noProof/>
        </w:rPr>
      </w:pPr>
      <w:hyperlink w:anchor="_Toc51240490" w:history="1">
        <w:r w:rsidR="00553D29" w:rsidRPr="00313E1C">
          <w:rPr>
            <w:rStyle w:val="Hyperlink"/>
            <w:noProof/>
          </w:rPr>
          <w:t xml:space="preserve">Figure 4: </w:t>
        </w:r>
        <w:r w:rsidR="00553D29">
          <w:rPr>
            <w:rFonts w:asciiTheme="minorHAnsi" w:hAnsiTheme="minorHAnsi"/>
            <w:noProof/>
          </w:rPr>
          <w:tab/>
        </w:r>
        <w:r w:rsidR="00553D29" w:rsidRPr="00313E1C">
          <w:rPr>
            <w:rStyle w:val="Hyperlink"/>
            <w:noProof/>
          </w:rPr>
          <w:t>Example of pedestrian entrances to a rapid transit stop compared to the station centre point (Kingsland Station, Auckland)</w:t>
        </w:r>
        <w:r w:rsidR="00553D29">
          <w:rPr>
            <w:noProof/>
            <w:webHidden/>
          </w:rPr>
          <w:tab/>
        </w:r>
        <w:r w:rsidR="00553D29">
          <w:rPr>
            <w:noProof/>
            <w:webHidden/>
          </w:rPr>
          <w:fldChar w:fldCharType="begin"/>
        </w:r>
        <w:r w:rsidR="00553D29">
          <w:rPr>
            <w:noProof/>
            <w:webHidden/>
          </w:rPr>
          <w:instrText xml:space="preserve"> PAGEREF _Toc51240490 \h </w:instrText>
        </w:r>
        <w:r w:rsidR="00553D29">
          <w:rPr>
            <w:noProof/>
            <w:webHidden/>
          </w:rPr>
        </w:r>
        <w:r w:rsidR="00553D29">
          <w:rPr>
            <w:noProof/>
            <w:webHidden/>
          </w:rPr>
          <w:fldChar w:fldCharType="separate"/>
        </w:r>
        <w:r>
          <w:rPr>
            <w:noProof/>
            <w:webHidden/>
          </w:rPr>
          <w:t>21</w:t>
        </w:r>
        <w:r w:rsidR="00553D29">
          <w:rPr>
            <w:noProof/>
            <w:webHidden/>
          </w:rPr>
          <w:fldChar w:fldCharType="end"/>
        </w:r>
      </w:hyperlink>
    </w:p>
    <w:p w14:paraId="0FA99B38" w14:textId="096E2635" w:rsidR="00553D29" w:rsidRDefault="005D2599">
      <w:pPr>
        <w:pStyle w:val="TableofFigures"/>
        <w:tabs>
          <w:tab w:val="right" w:pos="9061"/>
        </w:tabs>
        <w:rPr>
          <w:rFonts w:asciiTheme="minorHAnsi" w:hAnsiTheme="minorHAnsi"/>
          <w:noProof/>
        </w:rPr>
      </w:pPr>
      <w:hyperlink w:anchor="_Toc51240491" w:history="1">
        <w:r w:rsidR="00553D29" w:rsidRPr="00313E1C">
          <w:rPr>
            <w:rStyle w:val="Hyperlink"/>
            <w:noProof/>
          </w:rPr>
          <w:t xml:space="preserve">Figure 5: </w:t>
        </w:r>
        <w:r w:rsidR="00553D29">
          <w:rPr>
            <w:rStyle w:val="Hyperlink"/>
            <w:noProof/>
          </w:rPr>
          <w:tab/>
        </w:r>
        <w:r w:rsidR="00553D29" w:rsidRPr="00313E1C">
          <w:rPr>
            <w:rStyle w:val="Hyperlink"/>
            <w:noProof/>
          </w:rPr>
          <w:t>Example of edge of metropolitan centre zone</w:t>
        </w:r>
        <w:r w:rsidR="00553D29">
          <w:rPr>
            <w:noProof/>
            <w:webHidden/>
          </w:rPr>
          <w:tab/>
        </w:r>
        <w:r w:rsidR="00553D29">
          <w:rPr>
            <w:noProof/>
            <w:webHidden/>
          </w:rPr>
          <w:fldChar w:fldCharType="begin"/>
        </w:r>
        <w:r w:rsidR="00553D29">
          <w:rPr>
            <w:noProof/>
            <w:webHidden/>
          </w:rPr>
          <w:instrText xml:space="preserve"> PAGEREF _Toc51240491 \h </w:instrText>
        </w:r>
        <w:r w:rsidR="00553D29">
          <w:rPr>
            <w:noProof/>
            <w:webHidden/>
          </w:rPr>
        </w:r>
        <w:r w:rsidR="00553D29">
          <w:rPr>
            <w:noProof/>
            <w:webHidden/>
          </w:rPr>
          <w:fldChar w:fldCharType="separate"/>
        </w:r>
        <w:r>
          <w:rPr>
            <w:noProof/>
            <w:webHidden/>
          </w:rPr>
          <w:t>23</w:t>
        </w:r>
        <w:r w:rsidR="00553D29">
          <w:rPr>
            <w:noProof/>
            <w:webHidden/>
          </w:rPr>
          <w:fldChar w:fldCharType="end"/>
        </w:r>
      </w:hyperlink>
    </w:p>
    <w:p w14:paraId="78B473B4" w14:textId="13FAB396" w:rsidR="00553D29" w:rsidRDefault="005D2599">
      <w:pPr>
        <w:pStyle w:val="TableofFigures"/>
        <w:tabs>
          <w:tab w:val="right" w:pos="9061"/>
        </w:tabs>
        <w:rPr>
          <w:rFonts w:asciiTheme="minorHAnsi" w:hAnsiTheme="minorHAnsi"/>
          <w:noProof/>
        </w:rPr>
      </w:pPr>
      <w:hyperlink w:anchor="_Toc51240492" w:history="1">
        <w:r w:rsidR="00553D29" w:rsidRPr="00313E1C">
          <w:rPr>
            <w:rStyle w:val="Hyperlink"/>
            <w:noProof/>
          </w:rPr>
          <w:t xml:space="preserve">Figure 6: </w:t>
        </w:r>
        <w:r w:rsidR="00553D29">
          <w:rPr>
            <w:rFonts w:asciiTheme="minorHAnsi" w:hAnsiTheme="minorHAnsi"/>
            <w:noProof/>
          </w:rPr>
          <w:tab/>
        </w:r>
        <w:r w:rsidR="00553D29" w:rsidRPr="00313E1C">
          <w:rPr>
            <w:rStyle w:val="Hyperlink"/>
            <w:noProof/>
          </w:rPr>
          <w:t>Example of ArcGIS generated walkable catchment isochrone for Glen Innes rail station in Auckland (Chung, 2012)</w:t>
        </w:r>
        <w:r w:rsidR="00553D29">
          <w:rPr>
            <w:noProof/>
            <w:webHidden/>
          </w:rPr>
          <w:tab/>
        </w:r>
        <w:r w:rsidR="00553D29">
          <w:rPr>
            <w:noProof/>
            <w:webHidden/>
          </w:rPr>
          <w:fldChar w:fldCharType="begin"/>
        </w:r>
        <w:r w:rsidR="00553D29">
          <w:rPr>
            <w:noProof/>
            <w:webHidden/>
          </w:rPr>
          <w:instrText xml:space="preserve"> PAGEREF _Toc51240492 \h </w:instrText>
        </w:r>
        <w:r w:rsidR="00553D29">
          <w:rPr>
            <w:noProof/>
            <w:webHidden/>
          </w:rPr>
        </w:r>
        <w:r w:rsidR="00553D29">
          <w:rPr>
            <w:noProof/>
            <w:webHidden/>
          </w:rPr>
          <w:fldChar w:fldCharType="separate"/>
        </w:r>
        <w:r>
          <w:rPr>
            <w:noProof/>
            <w:webHidden/>
          </w:rPr>
          <w:t>25</w:t>
        </w:r>
        <w:r w:rsidR="00553D29">
          <w:rPr>
            <w:noProof/>
            <w:webHidden/>
          </w:rPr>
          <w:fldChar w:fldCharType="end"/>
        </w:r>
      </w:hyperlink>
    </w:p>
    <w:p w14:paraId="3DC7C1B8" w14:textId="022F0512" w:rsidR="00553D29" w:rsidRDefault="005D2599">
      <w:pPr>
        <w:pStyle w:val="TableofFigures"/>
        <w:tabs>
          <w:tab w:val="right" w:pos="9061"/>
        </w:tabs>
        <w:rPr>
          <w:rFonts w:asciiTheme="minorHAnsi" w:hAnsiTheme="minorHAnsi"/>
          <w:noProof/>
        </w:rPr>
      </w:pPr>
      <w:hyperlink w:anchor="_Toc51240493" w:history="1">
        <w:r w:rsidR="00553D29" w:rsidRPr="00313E1C">
          <w:rPr>
            <w:rStyle w:val="Hyperlink"/>
            <w:noProof/>
          </w:rPr>
          <w:t xml:space="preserve">Figure 7: </w:t>
        </w:r>
        <w:r w:rsidR="00553D29">
          <w:rPr>
            <w:rFonts w:asciiTheme="minorHAnsi" w:hAnsiTheme="minorHAnsi"/>
            <w:noProof/>
          </w:rPr>
          <w:tab/>
        </w:r>
        <w:r w:rsidR="00553D29" w:rsidRPr="00313E1C">
          <w:rPr>
            <w:rStyle w:val="Hyperlink"/>
            <w:noProof/>
          </w:rPr>
          <w:t>Example of GIS-generated catchment (isochrone) and property-based catchment for rapid transit stop</w:t>
        </w:r>
        <w:r w:rsidR="00553D29">
          <w:rPr>
            <w:noProof/>
            <w:webHidden/>
          </w:rPr>
          <w:tab/>
        </w:r>
        <w:r w:rsidR="00553D29">
          <w:rPr>
            <w:noProof/>
            <w:webHidden/>
          </w:rPr>
          <w:fldChar w:fldCharType="begin"/>
        </w:r>
        <w:r w:rsidR="00553D29">
          <w:rPr>
            <w:noProof/>
            <w:webHidden/>
          </w:rPr>
          <w:instrText xml:space="preserve"> PAGEREF _Toc51240493 \h </w:instrText>
        </w:r>
        <w:r w:rsidR="00553D29">
          <w:rPr>
            <w:noProof/>
            <w:webHidden/>
          </w:rPr>
        </w:r>
        <w:r w:rsidR="00553D29">
          <w:rPr>
            <w:noProof/>
            <w:webHidden/>
          </w:rPr>
          <w:fldChar w:fldCharType="separate"/>
        </w:r>
        <w:r>
          <w:rPr>
            <w:noProof/>
            <w:webHidden/>
          </w:rPr>
          <w:t>26</w:t>
        </w:r>
        <w:r w:rsidR="00553D29">
          <w:rPr>
            <w:noProof/>
            <w:webHidden/>
          </w:rPr>
          <w:fldChar w:fldCharType="end"/>
        </w:r>
      </w:hyperlink>
    </w:p>
    <w:p w14:paraId="335F771A" w14:textId="63A72C22" w:rsidR="00553D29" w:rsidRDefault="005D2599">
      <w:pPr>
        <w:pStyle w:val="TableofFigures"/>
        <w:tabs>
          <w:tab w:val="right" w:pos="9061"/>
        </w:tabs>
        <w:rPr>
          <w:rFonts w:asciiTheme="minorHAnsi" w:hAnsiTheme="minorHAnsi"/>
          <w:noProof/>
        </w:rPr>
      </w:pPr>
      <w:hyperlink w:anchor="_Toc51240494" w:history="1">
        <w:r w:rsidR="00553D29" w:rsidRPr="00313E1C">
          <w:rPr>
            <w:rStyle w:val="Hyperlink"/>
            <w:noProof/>
          </w:rPr>
          <w:t xml:space="preserve">Figure 8: </w:t>
        </w:r>
        <w:r w:rsidR="00553D29">
          <w:rPr>
            <w:rFonts w:asciiTheme="minorHAnsi" w:hAnsiTheme="minorHAnsi"/>
            <w:noProof/>
          </w:rPr>
          <w:tab/>
        </w:r>
        <w:r w:rsidR="00553D29" w:rsidRPr="00313E1C">
          <w:rPr>
            <w:rStyle w:val="Hyperlink"/>
            <w:noProof/>
          </w:rPr>
          <w:t>Example of difference between an 800-m walkable catchment from the edge of a metropolitan centre zone and an 800-m radius circle from the centre of metropolitan centre zone</w:t>
        </w:r>
        <w:r w:rsidR="00553D29">
          <w:rPr>
            <w:noProof/>
            <w:webHidden/>
          </w:rPr>
          <w:tab/>
        </w:r>
        <w:r w:rsidR="00553D29">
          <w:rPr>
            <w:noProof/>
            <w:webHidden/>
          </w:rPr>
          <w:fldChar w:fldCharType="begin"/>
        </w:r>
        <w:r w:rsidR="00553D29">
          <w:rPr>
            <w:noProof/>
            <w:webHidden/>
          </w:rPr>
          <w:instrText xml:space="preserve"> PAGEREF _Toc51240494 \h </w:instrText>
        </w:r>
        <w:r w:rsidR="00553D29">
          <w:rPr>
            <w:noProof/>
            <w:webHidden/>
          </w:rPr>
        </w:r>
        <w:r w:rsidR="00553D29">
          <w:rPr>
            <w:noProof/>
            <w:webHidden/>
          </w:rPr>
          <w:fldChar w:fldCharType="separate"/>
        </w:r>
        <w:r>
          <w:rPr>
            <w:noProof/>
            <w:webHidden/>
          </w:rPr>
          <w:t>27</w:t>
        </w:r>
        <w:r w:rsidR="00553D29">
          <w:rPr>
            <w:noProof/>
            <w:webHidden/>
          </w:rPr>
          <w:fldChar w:fldCharType="end"/>
        </w:r>
      </w:hyperlink>
    </w:p>
    <w:p w14:paraId="7068F051" w14:textId="183CDFBC" w:rsidR="00553D29" w:rsidRDefault="005D2599">
      <w:pPr>
        <w:pStyle w:val="TableofFigures"/>
        <w:tabs>
          <w:tab w:val="right" w:pos="9061"/>
        </w:tabs>
        <w:rPr>
          <w:rFonts w:asciiTheme="minorHAnsi" w:hAnsiTheme="minorHAnsi"/>
          <w:noProof/>
        </w:rPr>
      </w:pPr>
      <w:hyperlink w:anchor="_Toc51240495" w:history="1">
        <w:r w:rsidR="00553D29" w:rsidRPr="00313E1C">
          <w:rPr>
            <w:rStyle w:val="Hyperlink"/>
            <w:noProof/>
          </w:rPr>
          <w:t xml:space="preserve">Figure 9: </w:t>
        </w:r>
        <w:r w:rsidR="00553D29">
          <w:rPr>
            <w:rFonts w:asciiTheme="minorHAnsi" w:hAnsiTheme="minorHAnsi"/>
            <w:noProof/>
          </w:rPr>
          <w:tab/>
        </w:r>
        <w:r w:rsidR="00553D29" w:rsidRPr="00313E1C">
          <w:rPr>
            <w:rStyle w:val="Hyperlink"/>
            <w:noProof/>
          </w:rPr>
          <w:t>Example of how a package of district plan controls could prevent the six-storey minimum being achieved in a metropolitan centre zone walkable catchment</w:t>
        </w:r>
        <w:r w:rsidR="00553D29">
          <w:rPr>
            <w:noProof/>
            <w:webHidden/>
          </w:rPr>
          <w:tab/>
        </w:r>
        <w:r w:rsidR="00553D29">
          <w:rPr>
            <w:noProof/>
            <w:webHidden/>
          </w:rPr>
          <w:fldChar w:fldCharType="begin"/>
        </w:r>
        <w:r w:rsidR="00553D29">
          <w:rPr>
            <w:noProof/>
            <w:webHidden/>
          </w:rPr>
          <w:instrText xml:space="preserve"> PAGEREF _Toc51240495 \h </w:instrText>
        </w:r>
        <w:r w:rsidR="00553D29">
          <w:rPr>
            <w:noProof/>
            <w:webHidden/>
          </w:rPr>
        </w:r>
        <w:r w:rsidR="00553D29">
          <w:rPr>
            <w:noProof/>
            <w:webHidden/>
          </w:rPr>
          <w:fldChar w:fldCharType="separate"/>
        </w:r>
        <w:r>
          <w:rPr>
            <w:noProof/>
            <w:webHidden/>
          </w:rPr>
          <w:t>32</w:t>
        </w:r>
        <w:r w:rsidR="00553D29">
          <w:rPr>
            <w:noProof/>
            <w:webHidden/>
          </w:rPr>
          <w:fldChar w:fldCharType="end"/>
        </w:r>
      </w:hyperlink>
    </w:p>
    <w:p w14:paraId="04D84565" w14:textId="64B68A26" w:rsidR="00553D29" w:rsidRDefault="005D2599">
      <w:pPr>
        <w:pStyle w:val="TableofFigures"/>
        <w:tabs>
          <w:tab w:val="right" w:pos="9061"/>
        </w:tabs>
        <w:rPr>
          <w:rFonts w:asciiTheme="minorHAnsi" w:hAnsiTheme="minorHAnsi"/>
          <w:noProof/>
        </w:rPr>
      </w:pPr>
      <w:hyperlink w:anchor="_Toc51240496" w:history="1">
        <w:r w:rsidR="00553D29" w:rsidRPr="00313E1C">
          <w:rPr>
            <w:rStyle w:val="Hyperlink"/>
            <w:noProof/>
          </w:rPr>
          <w:t xml:space="preserve">Figure 10: </w:t>
        </w:r>
        <w:r w:rsidR="00553D29">
          <w:rPr>
            <w:rFonts w:asciiTheme="minorHAnsi" w:hAnsiTheme="minorHAnsi"/>
            <w:noProof/>
          </w:rPr>
          <w:tab/>
        </w:r>
        <w:r w:rsidR="00553D29" w:rsidRPr="00313E1C">
          <w:rPr>
            <w:rStyle w:val="Hyperlink"/>
            <w:noProof/>
          </w:rPr>
          <w:t>Example of how a package of district plan controls could enable the six-storey minimum in a metropolitan centre zone walkable catchment</w:t>
        </w:r>
        <w:r w:rsidR="00553D29">
          <w:rPr>
            <w:noProof/>
            <w:webHidden/>
          </w:rPr>
          <w:tab/>
        </w:r>
        <w:r w:rsidR="00553D29">
          <w:rPr>
            <w:noProof/>
            <w:webHidden/>
          </w:rPr>
          <w:fldChar w:fldCharType="begin"/>
        </w:r>
        <w:r w:rsidR="00553D29">
          <w:rPr>
            <w:noProof/>
            <w:webHidden/>
          </w:rPr>
          <w:instrText xml:space="preserve"> PAGEREF _Toc51240496 \h </w:instrText>
        </w:r>
        <w:r w:rsidR="00553D29">
          <w:rPr>
            <w:noProof/>
            <w:webHidden/>
          </w:rPr>
        </w:r>
        <w:r w:rsidR="00553D29">
          <w:rPr>
            <w:noProof/>
            <w:webHidden/>
          </w:rPr>
          <w:fldChar w:fldCharType="separate"/>
        </w:r>
        <w:r>
          <w:rPr>
            <w:noProof/>
            <w:webHidden/>
          </w:rPr>
          <w:t>33</w:t>
        </w:r>
        <w:r w:rsidR="00553D29">
          <w:rPr>
            <w:noProof/>
            <w:webHidden/>
          </w:rPr>
          <w:fldChar w:fldCharType="end"/>
        </w:r>
      </w:hyperlink>
    </w:p>
    <w:p w14:paraId="77EAF1CE" w14:textId="036FAE4D" w:rsidR="00553D29" w:rsidRDefault="005D2599">
      <w:pPr>
        <w:pStyle w:val="TableofFigures"/>
        <w:tabs>
          <w:tab w:val="right" w:pos="9061"/>
        </w:tabs>
        <w:rPr>
          <w:rFonts w:asciiTheme="minorHAnsi" w:hAnsiTheme="minorHAnsi"/>
          <w:noProof/>
        </w:rPr>
      </w:pPr>
      <w:hyperlink w:anchor="_Toc51240497" w:history="1">
        <w:r w:rsidR="00553D29" w:rsidRPr="00313E1C">
          <w:rPr>
            <w:rStyle w:val="Hyperlink"/>
            <w:noProof/>
          </w:rPr>
          <w:t xml:space="preserve">Figure 11: </w:t>
        </w:r>
        <w:r w:rsidR="00553D29">
          <w:rPr>
            <w:rFonts w:asciiTheme="minorHAnsi" w:hAnsiTheme="minorHAnsi"/>
            <w:noProof/>
          </w:rPr>
          <w:tab/>
        </w:r>
        <w:r w:rsidR="00553D29" w:rsidRPr="00313E1C">
          <w:rPr>
            <w:rStyle w:val="Hyperlink"/>
            <w:noProof/>
          </w:rPr>
          <w:t>Sensible zoning patterns for intensification achieving a gradual step down</w:t>
        </w:r>
        <w:r w:rsidR="00553D29">
          <w:rPr>
            <w:noProof/>
            <w:webHidden/>
          </w:rPr>
          <w:tab/>
        </w:r>
        <w:r w:rsidR="00553D29">
          <w:rPr>
            <w:noProof/>
            <w:webHidden/>
          </w:rPr>
          <w:fldChar w:fldCharType="begin"/>
        </w:r>
        <w:r w:rsidR="00553D29">
          <w:rPr>
            <w:noProof/>
            <w:webHidden/>
          </w:rPr>
          <w:instrText xml:space="preserve"> PAGEREF _Toc51240497 \h </w:instrText>
        </w:r>
        <w:r w:rsidR="00553D29">
          <w:rPr>
            <w:noProof/>
            <w:webHidden/>
          </w:rPr>
        </w:r>
        <w:r w:rsidR="00553D29">
          <w:rPr>
            <w:noProof/>
            <w:webHidden/>
          </w:rPr>
          <w:fldChar w:fldCharType="separate"/>
        </w:r>
        <w:r>
          <w:rPr>
            <w:noProof/>
            <w:webHidden/>
          </w:rPr>
          <w:t>34</w:t>
        </w:r>
        <w:r w:rsidR="00553D29">
          <w:rPr>
            <w:noProof/>
            <w:webHidden/>
          </w:rPr>
          <w:fldChar w:fldCharType="end"/>
        </w:r>
      </w:hyperlink>
    </w:p>
    <w:p w14:paraId="0B4B5BEF" w14:textId="03621CFD" w:rsidR="00553D29" w:rsidRDefault="005D2599">
      <w:pPr>
        <w:pStyle w:val="TableofFigures"/>
        <w:tabs>
          <w:tab w:val="right" w:pos="9061"/>
        </w:tabs>
        <w:rPr>
          <w:rFonts w:asciiTheme="minorHAnsi" w:hAnsiTheme="minorHAnsi"/>
          <w:noProof/>
        </w:rPr>
      </w:pPr>
      <w:hyperlink w:anchor="_Toc51240498" w:history="1">
        <w:r w:rsidR="00553D29" w:rsidRPr="00313E1C">
          <w:rPr>
            <w:rStyle w:val="Hyperlink"/>
            <w:noProof/>
          </w:rPr>
          <w:t xml:space="preserve">Figure 12: </w:t>
        </w:r>
        <w:r w:rsidR="00553D29">
          <w:rPr>
            <w:rFonts w:asciiTheme="minorHAnsi" w:hAnsiTheme="minorHAnsi"/>
            <w:noProof/>
          </w:rPr>
          <w:tab/>
        </w:r>
        <w:r w:rsidR="00553D29" w:rsidRPr="00313E1C">
          <w:rPr>
            <w:rStyle w:val="Hyperlink"/>
            <w:noProof/>
          </w:rPr>
          <w:t>Example of neighbourhood shops that do not provide a ‘range of services’</w:t>
        </w:r>
        <w:r w:rsidR="00553D29">
          <w:rPr>
            <w:noProof/>
            <w:webHidden/>
          </w:rPr>
          <w:tab/>
        </w:r>
        <w:r w:rsidR="00553D29">
          <w:rPr>
            <w:noProof/>
            <w:webHidden/>
          </w:rPr>
          <w:fldChar w:fldCharType="begin"/>
        </w:r>
        <w:r w:rsidR="00553D29">
          <w:rPr>
            <w:noProof/>
            <w:webHidden/>
          </w:rPr>
          <w:instrText xml:space="preserve"> PAGEREF _Toc51240498 \h </w:instrText>
        </w:r>
        <w:r w:rsidR="00553D29">
          <w:rPr>
            <w:noProof/>
            <w:webHidden/>
          </w:rPr>
        </w:r>
        <w:r w:rsidR="00553D29">
          <w:rPr>
            <w:noProof/>
            <w:webHidden/>
          </w:rPr>
          <w:fldChar w:fldCharType="separate"/>
        </w:r>
        <w:r>
          <w:rPr>
            <w:noProof/>
            <w:webHidden/>
          </w:rPr>
          <w:t>36</w:t>
        </w:r>
        <w:r w:rsidR="00553D29">
          <w:rPr>
            <w:noProof/>
            <w:webHidden/>
          </w:rPr>
          <w:fldChar w:fldCharType="end"/>
        </w:r>
      </w:hyperlink>
    </w:p>
    <w:p w14:paraId="6512891C" w14:textId="7AF3A776" w:rsidR="00553D29" w:rsidRDefault="005D2599">
      <w:pPr>
        <w:pStyle w:val="TableofFigures"/>
        <w:tabs>
          <w:tab w:val="right" w:pos="9061"/>
        </w:tabs>
        <w:rPr>
          <w:rFonts w:asciiTheme="minorHAnsi" w:hAnsiTheme="minorHAnsi"/>
          <w:noProof/>
        </w:rPr>
      </w:pPr>
      <w:hyperlink w:anchor="_Toc51240499" w:history="1">
        <w:r w:rsidR="00553D29" w:rsidRPr="00313E1C">
          <w:rPr>
            <w:rStyle w:val="Hyperlink"/>
            <w:noProof/>
          </w:rPr>
          <w:t>Figure 13:</w:t>
        </w:r>
        <w:r w:rsidR="00553D29">
          <w:rPr>
            <w:rFonts w:asciiTheme="minorHAnsi" w:hAnsiTheme="minorHAnsi"/>
            <w:noProof/>
          </w:rPr>
          <w:tab/>
        </w:r>
        <w:r w:rsidR="00553D29" w:rsidRPr="00313E1C">
          <w:rPr>
            <w:rStyle w:val="Hyperlink"/>
            <w:noProof/>
          </w:rPr>
          <w:t>Example of a 'range of services' interacting with accessibility only and how this influences heights and density</w:t>
        </w:r>
        <w:r w:rsidR="00553D29">
          <w:rPr>
            <w:noProof/>
            <w:webHidden/>
          </w:rPr>
          <w:tab/>
        </w:r>
        <w:r w:rsidR="00553D29">
          <w:rPr>
            <w:noProof/>
            <w:webHidden/>
          </w:rPr>
          <w:fldChar w:fldCharType="begin"/>
        </w:r>
        <w:r w:rsidR="00553D29">
          <w:rPr>
            <w:noProof/>
            <w:webHidden/>
          </w:rPr>
          <w:instrText xml:space="preserve"> PAGEREF _Toc51240499 \h </w:instrText>
        </w:r>
        <w:r w:rsidR="00553D29">
          <w:rPr>
            <w:noProof/>
            <w:webHidden/>
          </w:rPr>
        </w:r>
        <w:r w:rsidR="00553D29">
          <w:rPr>
            <w:noProof/>
            <w:webHidden/>
          </w:rPr>
          <w:fldChar w:fldCharType="separate"/>
        </w:r>
        <w:r>
          <w:rPr>
            <w:noProof/>
            <w:webHidden/>
          </w:rPr>
          <w:t>37</w:t>
        </w:r>
        <w:r w:rsidR="00553D29">
          <w:rPr>
            <w:noProof/>
            <w:webHidden/>
          </w:rPr>
          <w:fldChar w:fldCharType="end"/>
        </w:r>
      </w:hyperlink>
    </w:p>
    <w:p w14:paraId="1322D43C" w14:textId="06020AB9" w:rsidR="00553D29" w:rsidRDefault="005D2599">
      <w:pPr>
        <w:pStyle w:val="TableofFigures"/>
        <w:tabs>
          <w:tab w:val="right" w:pos="9061"/>
        </w:tabs>
        <w:rPr>
          <w:rFonts w:asciiTheme="minorHAnsi" w:hAnsiTheme="minorHAnsi"/>
          <w:noProof/>
        </w:rPr>
      </w:pPr>
      <w:hyperlink w:anchor="_Toc51240500" w:history="1">
        <w:r w:rsidR="00553D29" w:rsidRPr="00313E1C">
          <w:rPr>
            <w:rStyle w:val="Hyperlink"/>
            <w:noProof/>
          </w:rPr>
          <w:t xml:space="preserve">Figure 14: </w:t>
        </w:r>
        <w:r w:rsidR="00553D29">
          <w:rPr>
            <w:rFonts w:asciiTheme="minorHAnsi" w:hAnsiTheme="minorHAnsi"/>
            <w:noProof/>
          </w:rPr>
          <w:tab/>
        </w:r>
        <w:r w:rsidR="00553D29" w:rsidRPr="00313E1C">
          <w:rPr>
            <w:rStyle w:val="Hyperlink"/>
            <w:noProof/>
          </w:rPr>
          <w:t>Example framework for determining heights and densities for other areas in tier 1 urban environments</w:t>
        </w:r>
        <w:r w:rsidR="00553D29">
          <w:rPr>
            <w:noProof/>
            <w:webHidden/>
          </w:rPr>
          <w:tab/>
        </w:r>
        <w:r w:rsidR="00553D29">
          <w:rPr>
            <w:noProof/>
            <w:webHidden/>
          </w:rPr>
          <w:fldChar w:fldCharType="begin"/>
        </w:r>
        <w:r w:rsidR="00553D29">
          <w:rPr>
            <w:noProof/>
            <w:webHidden/>
          </w:rPr>
          <w:instrText xml:space="preserve"> PAGEREF _Toc51240500 \h </w:instrText>
        </w:r>
        <w:r w:rsidR="00553D29">
          <w:rPr>
            <w:noProof/>
            <w:webHidden/>
          </w:rPr>
        </w:r>
        <w:r w:rsidR="00553D29">
          <w:rPr>
            <w:noProof/>
            <w:webHidden/>
          </w:rPr>
          <w:fldChar w:fldCharType="separate"/>
        </w:r>
        <w:r>
          <w:rPr>
            <w:noProof/>
            <w:webHidden/>
          </w:rPr>
          <w:t>40</w:t>
        </w:r>
        <w:r w:rsidR="00553D29">
          <w:rPr>
            <w:noProof/>
            <w:webHidden/>
          </w:rPr>
          <w:fldChar w:fldCharType="end"/>
        </w:r>
      </w:hyperlink>
    </w:p>
    <w:p w14:paraId="3A34CC34" w14:textId="28AED7AD" w:rsidR="00553D29" w:rsidRDefault="005D2599">
      <w:pPr>
        <w:pStyle w:val="TableofFigures"/>
        <w:tabs>
          <w:tab w:val="right" w:pos="9061"/>
        </w:tabs>
        <w:rPr>
          <w:rFonts w:asciiTheme="minorHAnsi" w:hAnsiTheme="minorHAnsi"/>
          <w:noProof/>
        </w:rPr>
      </w:pPr>
      <w:hyperlink w:anchor="_Toc51240501" w:history="1">
        <w:r w:rsidR="00553D29" w:rsidRPr="00313E1C">
          <w:rPr>
            <w:rStyle w:val="Hyperlink"/>
            <w:noProof/>
          </w:rPr>
          <w:t xml:space="preserve">Figure 15: </w:t>
        </w:r>
        <w:r w:rsidR="00553D29">
          <w:rPr>
            <w:rFonts w:asciiTheme="minorHAnsi" w:hAnsiTheme="minorHAnsi"/>
            <w:noProof/>
          </w:rPr>
          <w:tab/>
        </w:r>
        <w:r w:rsidR="00553D29" w:rsidRPr="00313E1C">
          <w:rPr>
            <w:rStyle w:val="Hyperlink"/>
            <w:noProof/>
          </w:rPr>
          <w:t>Spectrum of housing typologies</w:t>
        </w:r>
        <w:r w:rsidR="00553D29">
          <w:rPr>
            <w:noProof/>
            <w:webHidden/>
          </w:rPr>
          <w:tab/>
        </w:r>
        <w:r w:rsidR="00553D29">
          <w:rPr>
            <w:noProof/>
            <w:webHidden/>
          </w:rPr>
          <w:fldChar w:fldCharType="begin"/>
        </w:r>
        <w:r w:rsidR="00553D29">
          <w:rPr>
            <w:noProof/>
            <w:webHidden/>
          </w:rPr>
          <w:instrText xml:space="preserve"> PAGEREF _Toc51240501 \h </w:instrText>
        </w:r>
        <w:r w:rsidR="00553D29">
          <w:rPr>
            <w:noProof/>
            <w:webHidden/>
          </w:rPr>
        </w:r>
        <w:r w:rsidR="00553D29">
          <w:rPr>
            <w:noProof/>
            <w:webHidden/>
          </w:rPr>
          <w:fldChar w:fldCharType="separate"/>
        </w:r>
        <w:r>
          <w:rPr>
            <w:noProof/>
            <w:webHidden/>
          </w:rPr>
          <w:t>41</w:t>
        </w:r>
        <w:r w:rsidR="00553D29">
          <w:rPr>
            <w:noProof/>
            <w:webHidden/>
          </w:rPr>
          <w:fldChar w:fldCharType="end"/>
        </w:r>
      </w:hyperlink>
    </w:p>
    <w:p w14:paraId="168AA888" w14:textId="28DC6C06" w:rsidR="00553D29" w:rsidRDefault="005D2599">
      <w:pPr>
        <w:pStyle w:val="TableofFigures"/>
        <w:tabs>
          <w:tab w:val="right" w:pos="9061"/>
        </w:tabs>
        <w:rPr>
          <w:rFonts w:asciiTheme="minorHAnsi" w:hAnsiTheme="minorHAnsi"/>
          <w:noProof/>
        </w:rPr>
      </w:pPr>
      <w:hyperlink w:anchor="_Toc51240502" w:history="1">
        <w:r w:rsidR="00553D29" w:rsidRPr="00313E1C">
          <w:rPr>
            <w:rStyle w:val="Hyperlink"/>
            <w:noProof/>
          </w:rPr>
          <w:t xml:space="preserve">Figure 16: </w:t>
        </w:r>
        <w:r w:rsidR="00553D29">
          <w:rPr>
            <w:rFonts w:asciiTheme="minorHAnsi" w:hAnsiTheme="minorHAnsi"/>
            <w:noProof/>
          </w:rPr>
          <w:tab/>
        </w:r>
        <w:r w:rsidR="00553D29" w:rsidRPr="00313E1C">
          <w:rPr>
            <w:rStyle w:val="Hyperlink"/>
            <w:noProof/>
          </w:rPr>
          <w:t>Step 1 – Identify the other qualifying matter or specific characteristic</w:t>
        </w:r>
        <w:r w:rsidR="00553D29">
          <w:rPr>
            <w:noProof/>
            <w:webHidden/>
          </w:rPr>
          <w:tab/>
        </w:r>
        <w:r w:rsidR="00553D29">
          <w:rPr>
            <w:noProof/>
            <w:webHidden/>
          </w:rPr>
          <w:fldChar w:fldCharType="begin"/>
        </w:r>
        <w:r w:rsidR="00553D29">
          <w:rPr>
            <w:noProof/>
            <w:webHidden/>
          </w:rPr>
          <w:instrText xml:space="preserve"> PAGEREF _Toc51240502 \h </w:instrText>
        </w:r>
        <w:r w:rsidR="00553D29">
          <w:rPr>
            <w:noProof/>
            <w:webHidden/>
          </w:rPr>
        </w:r>
        <w:r w:rsidR="00553D29">
          <w:rPr>
            <w:noProof/>
            <w:webHidden/>
          </w:rPr>
          <w:fldChar w:fldCharType="separate"/>
        </w:r>
        <w:r>
          <w:rPr>
            <w:noProof/>
            <w:webHidden/>
          </w:rPr>
          <w:t>46</w:t>
        </w:r>
        <w:r w:rsidR="00553D29">
          <w:rPr>
            <w:noProof/>
            <w:webHidden/>
          </w:rPr>
          <w:fldChar w:fldCharType="end"/>
        </w:r>
      </w:hyperlink>
    </w:p>
    <w:p w14:paraId="60702160" w14:textId="5D6D6817" w:rsidR="00553D29" w:rsidRDefault="005D2599">
      <w:pPr>
        <w:pStyle w:val="TableofFigures"/>
        <w:tabs>
          <w:tab w:val="right" w:pos="9061"/>
        </w:tabs>
        <w:rPr>
          <w:rFonts w:asciiTheme="minorHAnsi" w:hAnsiTheme="minorHAnsi"/>
          <w:noProof/>
        </w:rPr>
      </w:pPr>
      <w:hyperlink w:anchor="_Toc51240503" w:history="1">
        <w:r w:rsidR="00553D29" w:rsidRPr="00313E1C">
          <w:rPr>
            <w:rStyle w:val="Hyperlink"/>
            <w:noProof/>
          </w:rPr>
          <w:t xml:space="preserve">Figure 17: </w:t>
        </w:r>
        <w:r w:rsidR="00553D29">
          <w:rPr>
            <w:rFonts w:asciiTheme="minorHAnsi" w:hAnsiTheme="minorHAnsi"/>
            <w:noProof/>
          </w:rPr>
          <w:tab/>
        </w:r>
        <w:r w:rsidR="00553D29" w:rsidRPr="00313E1C">
          <w:rPr>
            <w:rStyle w:val="Hyperlink"/>
            <w:noProof/>
          </w:rPr>
          <w:t>Step 2 – Undertake a site-specific analysis of all sites with the area that the qualifying  matter applies</w:t>
        </w:r>
        <w:r w:rsidR="00553D29">
          <w:rPr>
            <w:noProof/>
            <w:webHidden/>
          </w:rPr>
          <w:tab/>
        </w:r>
        <w:r w:rsidR="00553D29">
          <w:rPr>
            <w:noProof/>
            <w:webHidden/>
          </w:rPr>
          <w:fldChar w:fldCharType="begin"/>
        </w:r>
        <w:r w:rsidR="00553D29">
          <w:rPr>
            <w:noProof/>
            <w:webHidden/>
          </w:rPr>
          <w:instrText xml:space="preserve"> PAGEREF _Toc51240503 \h </w:instrText>
        </w:r>
        <w:r w:rsidR="00553D29">
          <w:rPr>
            <w:noProof/>
            <w:webHidden/>
          </w:rPr>
        </w:r>
        <w:r w:rsidR="00553D29">
          <w:rPr>
            <w:noProof/>
            <w:webHidden/>
          </w:rPr>
          <w:fldChar w:fldCharType="separate"/>
        </w:r>
        <w:r>
          <w:rPr>
            <w:noProof/>
            <w:webHidden/>
          </w:rPr>
          <w:t>47</w:t>
        </w:r>
        <w:r w:rsidR="00553D29">
          <w:rPr>
            <w:noProof/>
            <w:webHidden/>
          </w:rPr>
          <w:fldChar w:fldCharType="end"/>
        </w:r>
      </w:hyperlink>
    </w:p>
    <w:p w14:paraId="48BD5403" w14:textId="188B5F13" w:rsidR="00553D29" w:rsidRDefault="005D2599">
      <w:pPr>
        <w:pStyle w:val="TableofFigures"/>
        <w:tabs>
          <w:tab w:val="right" w:pos="9061"/>
        </w:tabs>
        <w:rPr>
          <w:rFonts w:asciiTheme="minorHAnsi" w:hAnsiTheme="minorHAnsi"/>
          <w:noProof/>
        </w:rPr>
      </w:pPr>
      <w:hyperlink w:anchor="_Toc51240504" w:history="1">
        <w:r w:rsidR="00553D29" w:rsidRPr="00313E1C">
          <w:rPr>
            <w:rStyle w:val="Hyperlink"/>
            <w:noProof/>
          </w:rPr>
          <w:t xml:space="preserve">Figure 18: </w:t>
        </w:r>
        <w:r w:rsidR="00553D29">
          <w:rPr>
            <w:rFonts w:asciiTheme="minorHAnsi" w:hAnsiTheme="minorHAnsi"/>
            <w:noProof/>
          </w:rPr>
          <w:tab/>
        </w:r>
        <w:r w:rsidR="00553D29" w:rsidRPr="00313E1C">
          <w:rPr>
            <w:rStyle w:val="Hyperlink"/>
            <w:noProof/>
          </w:rPr>
          <w:t>Step 3 – Determine whether there are site-specific factors that may affect the level of intensification that can be realised eg, topography</w:t>
        </w:r>
        <w:r w:rsidR="00553D29">
          <w:rPr>
            <w:noProof/>
            <w:webHidden/>
          </w:rPr>
          <w:tab/>
        </w:r>
        <w:r w:rsidR="00553D29">
          <w:rPr>
            <w:noProof/>
            <w:webHidden/>
          </w:rPr>
          <w:fldChar w:fldCharType="begin"/>
        </w:r>
        <w:r w:rsidR="00553D29">
          <w:rPr>
            <w:noProof/>
            <w:webHidden/>
          </w:rPr>
          <w:instrText xml:space="preserve"> PAGEREF _Toc51240504 \h </w:instrText>
        </w:r>
        <w:r w:rsidR="00553D29">
          <w:rPr>
            <w:noProof/>
            <w:webHidden/>
          </w:rPr>
        </w:r>
        <w:r w:rsidR="00553D29">
          <w:rPr>
            <w:noProof/>
            <w:webHidden/>
          </w:rPr>
          <w:fldChar w:fldCharType="separate"/>
        </w:r>
        <w:r>
          <w:rPr>
            <w:noProof/>
            <w:webHidden/>
          </w:rPr>
          <w:t>47</w:t>
        </w:r>
        <w:r w:rsidR="00553D29">
          <w:rPr>
            <w:noProof/>
            <w:webHidden/>
          </w:rPr>
          <w:fldChar w:fldCharType="end"/>
        </w:r>
      </w:hyperlink>
    </w:p>
    <w:p w14:paraId="224CE5C3" w14:textId="4B05834E" w:rsidR="00553D29" w:rsidRDefault="005D2599">
      <w:pPr>
        <w:pStyle w:val="TableofFigures"/>
        <w:tabs>
          <w:tab w:val="right" w:pos="9061"/>
        </w:tabs>
        <w:rPr>
          <w:rFonts w:asciiTheme="minorHAnsi" w:hAnsiTheme="minorHAnsi"/>
          <w:noProof/>
        </w:rPr>
      </w:pPr>
      <w:hyperlink w:anchor="_Toc51240505" w:history="1">
        <w:r w:rsidR="00553D29" w:rsidRPr="00313E1C">
          <w:rPr>
            <w:rStyle w:val="Hyperlink"/>
            <w:noProof/>
          </w:rPr>
          <w:t>Figure 19:</w:t>
        </w:r>
        <w:r w:rsidR="00553D29">
          <w:rPr>
            <w:rFonts w:asciiTheme="minorHAnsi" w:hAnsiTheme="minorHAnsi"/>
            <w:noProof/>
          </w:rPr>
          <w:tab/>
        </w:r>
        <w:r w:rsidR="00553D29" w:rsidRPr="00313E1C">
          <w:rPr>
            <w:rStyle w:val="Hyperlink"/>
            <w:noProof/>
          </w:rPr>
          <w:t>Step 4 – Determine and spatially identify where the qualifying matter applies</w:t>
        </w:r>
        <w:r w:rsidR="00553D29">
          <w:rPr>
            <w:noProof/>
            <w:webHidden/>
          </w:rPr>
          <w:tab/>
        </w:r>
        <w:r w:rsidR="00553D29">
          <w:rPr>
            <w:noProof/>
            <w:webHidden/>
          </w:rPr>
          <w:fldChar w:fldCharType="begin"/>
        </w:r>
        <w:r w:rsidR="00553D29">
          <w:rPr>
            <w:noProof/>
            <w:webHidden/>
          </w:rPr>
          <w:instrText xml:space="preserve"> PAGEREF _Toc51240505 \h </w:instrText>
        </w:r>
        <w:r w:rsidR="00553D29">
          <w:rPr>
            <w:noProof/>
            <w:webHidden/>
          </w:rPr>
        </w:r>
        <w:r w:rsidR="00553D29">
          <w:rPr>
            <w:noProof/>
            <w:webHidden/>
          </w:rPr>
          <w:fldChar w:fldCharType="separate"/>
        </w:r>
        <w:r>
          <w:rPr>
            <w:noProof/>
            <w:webHidden/>
          </w:rPr>
          <w:t>48</w:t>
        </w:r>
        <w:r w:rsidR="00553D29">
          <w:rPr>
            <w:noProof/>
            <w:webHidden/>
          </w:rPr>
          <w:fldChar w:fldCharType="end"/>
        </w:r>
      </w:hyperlink>
    </w:p>
    <w:p w14:paraId="7B17282D" w14:textId="4E8D011F" w:rsidR="00553D29" w:rsidRDefault="005D2599">
      <w:pPr>
        <w:pStyle w:val="TableofFigures"/>
        <w:tabs>
          <w:tab w:val="right" w:pos="9061"/>
        </w:tabs>
        <w:rPr>
          <w:rFonts w:asciiTheme="minorHAnsi" w:hAnsiTheme="minorHAnsi"/>
          <w:noProof/>
        </w:rPr>
      </w:pPr>
      <w:hyperlink w:anchor="_Toc51240506" w:history="1">
        <w:r w:rsidR="00553D29" w:rsidRPr="00313E1C">
          <w:rPr>
            <w:rStyle w:val="Hyperlink"/>
            <w:noProof/>
          </w:rPr>
          <w:t>Figure 20:</w:t>
        </w:r>
        <w:r w:rsidR="00553D29">
          <w:rPr>
            <w:rFonts w:asciiTheme="minorHAnsi" w:hAnsiTheme="minorHAnsi"/>
            <w:noProof/>
          </w:rPr>
          <w:tab/>
        </w:r>
        <w:r w:rsidR="00553D29" w:rsidRPr="00313E1C">
          <w:rPr>
            <w:rStyle w:val="Hyperlink"/>
            <w:noProof/>
          </w:rPr>
          <w:t>Step 5 – Enable intensification to the extent appropriate while managing the specific characteristic of the qualifying matter</w:t>
        </w:r>
        <w:r w:rsidR="00553D29">
          <w:rPr>
            <w:noProof/>
            <w:webHidden/>
          </w:rPr>
          <w:tab/>
        </w:r>
        <w:r w:rsidR="00553D29">
          <w:rPr>
            <w:noProof/>
            <w:webHidden/>
          </w:rPr>
          <w:fldChar w:fldCharType="begin"/>
        </w:r>
        <w:r w:rsidR="00553D29">
          <w:rPr>
            <w:noProof/>
            <w:webHidden/>
          </w:rPr>
          <w:instrText xml:space="preserve"> PAGEREF _Toc51240506 \h </w:instrText>
        </w:r>
        <w:r w:rsidR="00553D29">
          <w:rPr>
            <w:noProof/>
            <w:webHidden/>
          </w:rPr>
        </w:r>
        <w:r w:rsidR="00553D29">
          <w:rPr>
            <w:noProof/>
            <w:webHidden/>
          </w:rPr>
          <w:fldChar w:fldCharType="separate"/>
        </w:r>
        <w:r>
          <w:rPr>
            <w:noProof/>
            <w:webHidden/>
          </w:rPr>
          <w:t>48</w:t>
        </w:r>
        <w:r w:rsidR="00553D29">
          <w:rPr>
            <w:noProof/>
            <w:webHidden/>
          </w:rPr>
          <w:fldChar w:fldCharType="end"/>
        </w:r>
      </w:hyperlink>
    </w:p>
    <w:p w14:paraId="426D4B58" w14:textId="0F53DC23" w:rsidR="00553D29" w:rsidRDefault="005D2599">
      <w:pPr>
        <w:pStyle w:val="TableofFigures"/>
        <w:tabs>
          <w:tab w:val="right" w:pos="9061"/>
        </w:tabs>
        <w:rPr>
          <w:rFonts w:asciiTheme="minorHAnsi" w:hAnsiTheme="minorHAnsi"/>
          <w:noProof/>
        </w:rPr>
      </w:pPr>
      <w:hyperlink w:anchor="_Toc51240507" w:history="1">
        <w:r w:rsidR="00553D29" w:rsidRPr="00313E1C">
          <w:rPr>
            <w:rStyle w:val="Hyperlink"/>
            <w:noProof/>
          </w:rPr>
          <w:t xml:space="preserve">Figure 21: </w:t>
        </w:r>
        <w:r w:rsidR="00553D29">
          <w:rPr>
            <w:rFonts w:asciiTheme="minorHAnsi" w:hAnsiTheme="minorHAnsi"/>
            <w:noProof/>
          </w:rPr>
          <w:tab/>
        </w:r>
        <w:r w:rsidR="00553D29" w:rsidRPr="00313E1C">
          <w:rPr>
            <w:rStyle w:val="Hyperlink"/>
            <w:noProof/>
          </w:rPr>
          <w:t>Legend/key for diagrams</w:t>
        </w:r>
        <w:r w:rsidR="00553D29">
          <w:rPr>
            <w:noProof/>
            <w:webHidden/>
          </w:rPr>
          <w:tab/>
        </w:r>
        <w:r w:rsidR="00553D29">
          <w:rPr>
            <w:noProof/>
            <w:webHidden/>
          </w:rPr>
          <w:fldChar w:fldCharType="begin"/>
        </w:r>
        <w:r w:rsidR="00553D29">
          <w:rPr>
            <w:noProof/>
            <w:webHidden/>
          </w:rPr>
          <w:instrText xml:space="preserve"> PAGEREF _Toc51240507 \h </w:instrText>
        </w:r>
        <w:r w:rsidR="00553D29">
          <w:rPr>
            <w:noProof/>
            <w:webHidden/>
          </w:rPr>
        </w:r>
        <w:r w:rsidR="00553D29">
          <w:rPr>
            <w:noProof/>
            <w:webHidden/>
          </w:rPr>
          <w:fldChar w:fldCharType="separate"/>
        </w:r>
        <w:r>
          <w:rPr>
            <w:noProof/>
            <w:webHidden/>
          </w:rPr>
          <w:t>49</w:t>
        </w:r>
        <w:r w:rsidR="00553D29">
          <w:rPr>
            <w:noProof/>
            <w:webHidden/>
          </w:rPr>
          <w:fldChar w:fldCharType="end"/>
        </w:r>
      </w:hyperlink>
    </w:p>
    <w:p w14:paraId="75F058B1" w14:textId="31DCC30F" w:rsidR="00553D29" w:rsidRDefault="005D2599">
      <w:pPr>
        <w:pStyle w:val="TableofFigures"/>
        <w:tabs>
          <w:tab w:val="right" w:pos="9061"/>
        </w:tabs>
        <w:rPr>
          <w:rFonts w:asciiTheme="minorHAnsi" w:hAnsiTheme="minorHAnsi"/>
          <w:noProof/>
        </w:rPr>
      </w:pPr>
      <w:hyperlink w:anchor="_Toc51240508" w:history="1">
        <w:r w:rsidR="00553D29" w:rsidRPr="00313E1C">
          <w:rPr>
            <w:rStyle w:val="Hyperlink"/>
            <w:noProof/>
          </w:rPr>
          <w:t>Figure 22:</w:t>
        </w:r>
        <w:r w:rsidR="00553D29">
          <w:rPr>
            <w:rFonts w:asciiTheme="minorHAnsi" w:hAnsiTheme="minorHAnsi"/>
            <w:noProof/>
          </w:rPr>
          <w:tab/>
        </w:r>
        <w:r w:rsidR="00553D29" w:rsidRPr="00313E1C">
          <w:rPr>
            <w:rStyle w:val="Hyperlink"/>
            <w:noProof/>
          </w:rPr>
          <w:t>Current zoning pattern for a metropolitan centre that includes a rapid transit stop</w:t>
        </w:r>
        <w:r w:rsidR="00553D29">
          <w:rPr>
            <w:noProof/>
            <w:webHidden/>
          </w:rPr>
          <w:tab/>
        </w:r>
        <w:r w:rsidR="00553D29">
          <w:rPr>
            <w:noProof/>
            <w:webHidden/>
          </w:rPr>
          <w:fldChar w:fldCharType="begin"/>
        </w:r>
        <w:r w:rsidR="00553D29">
          <w:rPr>
            <w:noProof/>
            <w:webHidden/>
          </w:rPr>
          <w:instrText xml:space="preserve"> PAGEREF _Toc51240508 \h </w:instrText>
        </w:r>
        <w:r w:rsidR="00553D29">
          <w:rPr>
            <w:noProof/>
            <w:webHidden/>
          </w:rPr>
        </w:r>
        <w:r w:rsidR="00553D29">
          <w:rPr>
            <w:noProof/>
            <w:webHidden/>
          </w:rPr>
          <w:fldChar w:fldCharType="separate"/>
        </w:r>
        <w:r>
          <w:rPr>
            <w:noProof/>
            <w:webHidden/>
          </w:rPr>
          <w:t>50</w:t>
        </w:r>
        <w:r w:rsidR="00553D29">
          <w:rPr>
            <w:noProof/>
            <w:webHidden/>
          </w:rPr>
          <w:fldChar w:fldCharType="end"/>
        </w:r>
      </w:hyperlink>
    </w:p>
    <w:p w14:paraId="20876375" w14:textId="4AB8EE06" w:rsidR="00553D29" w:rsidRDefault="005D2599">
      <w:pPr>
        <w:pStyle w:val="TableofFigures"/>
        <w:tabs>
          <w:tab w:val="right" w:pos="9061"/>
        </w:tabs>
        <w:rPr>
          <w:rFonts w:asciiTheme="minorHAnsi" w:hAnsiTheme="minorHAnsi"/>
          <w:noProof/>
        </w:rPr>
      </w:pPr>
      <w:hyperlink w:anchor="_Toc51240509" w:history="1">
        <w:r w:rsidR="00553D29" w:rsidRPr="00313E1C">
          <w:rPr>
            <w:rStyle w:val="Hyperlink"/>
            <w:noProof/>
          </w:rPr>
          <w:t>Figure 23:</w:t>
        </w:r>
        <w:r w:rsidR="00553D29">
          <w:rPr>
            <w:rFonts w:asciiTheme="minorHAnsi" w:hAnsiTheme="minorHAnsi"/>
            <w:noProof/>
          </w:rPr>
          <w:tab/>
        </w:r>
        <w:r w:rsidR="00553D29" w:rsidRPr="00313E1C">
          <w:rPr>
            <w:rStyle w:val="Hyperlink"/>
            <w:noProof/>
          </w:rPr>
          <w:t>Determine the extent of the metropolitan centre zone</w:t>
        </w:r>
        <w:r w:rsidR="00553D29">
          <w:rPr>
            <w:noProof/>
            <w:webHidden/>
          </w:rPr>
          <w:tab/>
        </w:r>
        <w:r w:rsidR="00553D29">
          <w:rPr>
            <w:noProof/>
            <w:webHidden/>
          </w:rPr>
          <w:fldChar w:fldCharType="begin"/>
        </w:r>
        <w:r w:rsidR="00553D29">
          <w:rPr>
            <w:noProof/>
            <w:webHidden/>
          </w:rPr>
          <w:instrText xml:space="preserve"> PAGEREF _Toc51240509 \h </w:instrText>
        </w:r>
        <w:r w:rsidR="00553D29">
          <w:rPr>
            <w:noProof/>
            <w:webHidden/>
          </w:rPr>
        </w:r>
        <w:r w:rsidR="00553D29">
          <w:rPr>
            <w:noProof/>
            <w:webHidden/>
          </w:rPr>
          <w:fldChar w:fldCharType="separate"/>
        </w:r>
        <w:r>
          <w:rPr>
            <w:noProof/>
            <w:webHidden/>
          </w:rPr>
          <w:t>50</w:t>
        </w:r>
        <w:r w:rsidR="00553D29">
          <w:rPr>
            <w:noProof/>
            <w:webHidden/>
          </w:rPr>
          <w:fldChar w:fldCharType="end"/>
        </w:r>
      </w:hyperlink>
    </w:p>
    <w:p w14:paraId="04FF3B60" w14:textId="3D6CBB63" w:rsidR="00553D29" w:rsidRDefault="005D2599">
      <w:pPr>
        <w:pStyle w:val="TableofFigures"/>
        <w:tabs>
          <w:tab w:val="right" w:pos="9061"/>
        </w:tabs>
        <w:rPr>
          <w:rFonts w:asciiTheme="minorHAnsi" w:hAnsiTheme="minorHAnsi"/>
          <w:noProof/>
        </w:rPr>
      </w:pPr>
      <w:hyperlink w:anchor="_Toc51240510" w:history="1">
        <w:r w:rsidR="00553D29" w:rsidRPr="00313E1C">
          <w:rPr>
            <w:rStyle w:val="Hyperlink"/>
            <w:noProof/>
          </w:rPr>
          <w:t>Figure 24:</w:t>
        </w:r>
        <w:r w:rsidR="00553D29">
          <w:rPr>
            <w:rFonts w:asciiTheme="minorHAnsi" w:hAnsiTheme="minorHAnsi"/>
            <w:noProof/>
          </w:rPr>
          <w:tab/>
        </w:r>
        <w:r w:rsidR="00553D29" w:rsidRPr="00313E1C">
          <w:rPr>
            <w:rStyle w:val="Hyperlink"/>
            <w:noProof/>
          </w:rPr>
          <w:t>Walkable catchment from edge of metropolitan centre zone</w:t>
        </w:r>
        <w:r w:rsidR="00553D29">
          <w:rPr>
            <w:noProof/>
            <w:webHidden/>
          </w:rPr>
          <w:tab/>
        </w:r>
        <w:r w:rsidR="00553D29">
          <w:rPr>
            <w:noProof/>
            <w:webHidden/>
          </w:rPr>
          <w:fldChar w:fldCharType="begin"/>
        </w:r>
        <w:r w:rsidR="00553D29">
          <w:rPr>
            <w:noProof/>
            <w:webHidden/>
          </w:rPr>
          <w:instrText xml:space="preserve"> PAGEREF _Toc51240510 \h </w:instrText>
        </w:r>
        <w:r w:rsidR="00553D29">
          <w:rPr>
            <w:noProof/>
            <w:webHidden/>
          </w:rPr>
        </w:r>
        <w:r w:rsidR="00553D29">
          <w:rPr>
            <w:noProof/>
            <w:webHidden/>
          </w:rPr>
          <w:fldChar w:fldCharType="separate"/>
        </w:r>
        <w:r>
          <w:rPr>
            <w:noProof/>
            <w:webHidden/>
          </w:rPr>
          <w:t>51</w:t>
        </w:r>
        <w:r w:rsidR="00553D29">
          <w:rPr>
            <w:noProof/>
            <w:webHidden/>
          </w:rPr>
          <w:fldChar w:fldCharType="end"/>
        </w:r>
      </w:hyperlink>
    </w:p>
    <w:p w14:paraId="4E958A5F" w14:textId="14E45F0C" w:rsidR="00553D29" w:rsidRDefault="005D2599">
      <w:pPr>
        <w:pStyle w:val="TableofFigures"/>
        <w:tabs>
          <w:tab w:val="right" w:pos="9061"/>
        </w:tabs>
        <w:rPr>
          <w:rFonts w:asciiTheme="minorHAnsi" w:hAnsiTheme="minorHAnsi"/>
          <w:noProof/>
        </w:rPr>
      </w:pPr>
      <w:hyperlink w:anchor="_Toc51240511" w:history="1">
        <w:r w:rsidR="00553D29" w:rsidRPr="00313E1C">
          <w:rPr>
            <w:rStyle w:val="Hyperlink"/>
            <w:noProof/>
          </w:rPr>
          <w:t>Figure 25:</w:t>
        </w:r>
        <w:r w:rsidR="00553D29">
          <w:rPr>
            <w:rFonts w:asciiTheme="minorHAnsi" w:hAnsiTheme="minorHAnsi"/>
            <w:noProof/>
          </w:rPr>
          <w:tab/>
        </w:r>
        <w:r w:rsidR="00553D29" w:rsidRPr="00313E1C">
          <w:rPr>
            <w:rStyle w:val="Hyperlink"/>
            <w:noProof/>
          </w:rPr>
          <w:t>Walkable catchment from rapid transit stop</w:t>
        </w:r>
        <w:r w:rsidR="00553D29">
          <w:rPr>
            <w:noProof/>
            <w:webHidden/>
          </w:rPr>
          <w:tab/>
        </w:r>
        <w:r w:rsidR="00553D29">
          <w:rPr>
            <w:noProof/>
            <w:webHidden/>
          </w:rPr>
          <w:fldChar w:fldCharType="begin"/>
        </w:r>
        <w:r w:rsidR="00553D29">
          <w:rPr>
            <w:noProof/>
            <w:webHidden/>
          </w:rPr>
          <w:instrText xml:space="preserve"> PAGEREF _Toc51240511 \h </w:instrText>
        </w:r>
        <w:r w:rsidR="00553D29">
          <w:rPr>
            <w:noProof/>
            <w:webHidden/>
          </w:rPr>
        </w:r>
        <w:r w:rsidR="00553D29">
          <w:rPr>
            <w:noProof/>
            <w:webHidden/>
          </w:rPr>
          <w:fldChar w:fldCharType="separate"/>
        </w:r>
        <w:r>
          <w:rPr>
            <w:noProof/>
            <w:webHidden/>
          </w:rPr>
          <w:t>51</w:t>
        </w:r>
        <w:r w:rsidR="00553D29">
          <w:rPr>
            <w:noProof/>
            <w:webHidden/>
          </w:rPr>
          <w:fldChar w:fldCharType="end"/>
        </w:r>
      </w:hyperlink>
    </w:p>
    <w:p w14:paraId="59EA36B3" w14:textId="792F983D" w:rsidR="00553D29" w:rsidRDefault="005D2599">
      <w:pPr>
        <w:pStyle w:val="TableofFigures"/>
        <w:tabs>
          <w:tab w:val="right" w:pos="9061"/>
        </w:tabs>
        <w:rPr>
          <w:rFonts w:asciiTheme="minorHAnsi" w:hAnsiTheme="minorHAnsi"/>
          <w:noProof/>
        </w:rPr>
      </w:pPr>
      <w:hyperlink w:anchor="_Toc51240512" w:history="1">
        <w:r w:rsidR="00553D29" w:rsidRPr="00313E1C">
          <w:rPr>
            <w:rStyle w:val="Hyperlink"/>
            <w:noProof/>
          </w:rPr>
          <w:t>Figure 26:</w:t>
        </w:r>
        <w:r w:rsidR="00553D29">
          <w:rPr>
            <w:rFonts w:asciiTheme="minorHAnsi" w:hAnsiTheme="minorHAnsi"/>
            <w:noProof/>
          </w:rPr>
          <w:tab/>
        </w:r>
        <w:r w:rsidR="00553D29" w:rsidRPr="00313E1C">
          <w:rPr>
            <w:rStyle w:val="Hyperlink"/>
            <w:noProof/>
          </w:rPr>
          <w:t>Identifying areas of higher demand</w:t>
        </w:r>
        <w:r w:rsidR="00553D29">
          <w:rPr>
            <w:noProof/>
            <w:webHidden/>
          </w:rPr>
          <w:tab/>
        </w:r>
        <w:r w:rsidR="00553D29">
          <w:rPr>
            <w:noProof/>
            <w:webHidden/>
          </w:rPr>
          <w:fldChar w:fldCharType="begin"/>
        </w:r>
        <w:r w:rsidR="00553D29">
          <w:rPr>
            <w:noProof/>
            <w:webHidden/>
          </w:rPr>
          <w:instrText xml:space="preserve"> PAGEREF _Toc51240512 \h </w:instrText>
        </w:r>
        <w:r w:rsidR="00553D29">
          <w:rPr>
            <w:noProof/>
            <w:webHidden/>
          </w:rPr>
        </w:r>
        <w:r w:rsidR="00553D29">
          <w:rPr>
            <w:noProof/>
            <w:webHidden/>
          </w:rPr>
          <w:fldChar w:fldCharType="separate"/>
        </w:r>
        <w:r>
          <w:rPr>
            <w:noProof/>
            <w:webHidden/>
          </w:rPr>
          <w:t>52</w:t>
        </w:r>
        <w:r w:rsidR="00553D29">
          <w:rPr>
            <w:noProof/>
            <w:webHidden/>
          </w:rPr>
          <w:fldChar w:fldCharType="end"/>
        </w:r>
      </w:hyperlink>
    </w:p>
    <w:p w14:paraId="09416937" w14:textId="6B4E01F7" w:rsidR="00553D29" w:rsidRDefault="005D2599">
      <w:pPr>
        <w:pStyle w:val="TableofFigures"/>
        <w:tabs>
          <w:tab w:val="right" w:pos="9061"/>
        </w:tabs>
        <w:rPr>
          <w:rFonts w:asciiTheme="minorHAnsi" w:hAnsiTheme="minorHAnsi"/>
          <w:noProof/>
        </w:rPr>
      </w:pPr>
      <w:hyperlink w:anchor="_Toc51240513" w:history="1">
        <w:r w:rsidR="00553D29" w:rsidRPr="00313E1C">
          <w:rPr>
            <w:rStyle w:val="Hyperlink"/>
            <w:noProof/>
          </w:rPr>
          <w:t>Figure 27:</w:t>
        </w:r>
        <w:r w:rsidR="00553D29">
          <w:rPr>
            <w:rFonts w:asciiTheme="minorHAnsi" w:hAnsiTheme="minorHAnsi"/>
            <w:noProof/>
          </w:rPr>
          <w:tab/>
        </w:r>
        <w:r w:rsidR="00553D29" w:rsidRPr="00313E1C">
          <w:rPr>
            <w:rStyle w:val="Hyperlink"/>
            <w:noProof/>
          </w:rPr>
          <w:t>Accessibility to commercial activities and community services</w:t>
        </w:r>
        <w:r w:rsidR="00553D29">
          <w:rPr>
            <w:noProof/>
            <w:webHidden/>
          </w:rPr>
          <w:tab/>
        </w:r>
        <w:r w:rsidR="00553D29">
          <w:rPr>
            <w:noProof/>
            <w:webHidden/>
          </w:rPr>
          <w:fldChar w:fldCharType="begin"/>
        </w:r>
        <w:r w:rsidR="00553D29">
          <w:rPr>
            <w:noProof/>
            <w:webHidden/>
          </w:rPr>
          <w:instrText xml:space="preserve"> PAGEREF _Toc51240513 \h </w:instrText>
        </w:r>
        <w:r w:rsidR="00553D29">
          <w:rPr>
            <w:noProof/>
            <w:webHidden/>
          </w:rPr>
        </w:r>
        <w:r w:rsidR="00553D29">
          <w:rPr>
            <w:noProof/>
            <w:webHidden/>
          </w:rPr>
          <w:fldChar w:fldCharType="separate"/>
        </w:r>
        <w:r>
          <w:rPr>
            <w:noProof/>
            <w:webHidden/>
          </w:rPr>
          <w:t>52</w:t>
        </w:r>
        <w:r w:rsidR="00553D29">
          <w:rPr>
            <w:noProof/>
            <w:webHidden/>
          </w:rPr>
          <w:fldChar w:fldCharType="end"/>
        </w:r>
      </w:hyperlink>
    </w:p>
    <w:p w14:paraId="2D6E23F2" w14:textId="79DB9B44" w:rsidR="00553D29" w:rsidRDefault="005D2599">
      <w:pPr>
        <w:pStyle w:val="TableofFigures"/>
        <w:tabs>
          <w:tab w:val="right" w:pos="9061"/>
        </w:tabs>
        <w:rPr>
          <w:rFonts w:asciiTheme="minorHAnsi" w:hAnsiTheme="minorHAnsi"/>
          <w:noProof/>
        </w:rPr>
      </w:pPr>
      <w:hyperlink w:anchor="_Toc51240514" w:history="1">
        <w:r w:rsidR="00553D29" w:rsidRPr="00313E1C">
          <w:rPr>
            <w:rStyle w:val="Hyperlink"/>
            <w:noProof/>
          </w:rPr>
          <w:t>Figure 28:</w:t>
        </w:r>
        <w:r w:rsidR="00553D29">
          <w:rPr>
            <w:rFonts w:asciiTheme="minorHAnsi" w:hAnsiTheme="minorHAnsi"/>
            <w:noProof/>
          </w:rPr>
          <w:tab/>
        </w:r>
        <w:r w:rsidR="00553D29" w:rsidRPr="00313E1C">
          <w:rPr>
            <w:rStyle w:val="Hyperlink"/>
            <w:noProof/>
          </w:rPr>
          <w:t>Identifying any qualifying matters (heritage site and areas) that may apply</w:t>
        </w:r>
        <w:r w:rsidR="00553D29">
          <w:rPr>
            <w:noProof/>
            <w:webHidden/>
          </w:rPr>
          <w:tab/>
        </w:r>
        <w:r w:rsidR="00553D29">
          <w:rPr>
            <w:noProof/>
            <w:webHidden/>
          </w:rPr>
          <w:fldChar w:fldCharType="begin"/>
        </w:r>
        <w:r w:rsidR="00553D29">
          <w:rPr>
            <w:noProof/>
            <w:webHidden/>
          </w:rPr>
          <w:instrText xml:space="preserve"> PAGEREF _Toc51240514 \h </w:instrText>
        </w:r>
        <w:r w:rsidR="00553D29">
          <w:rPr>
            <w:noProof/>
            <w:webHidden/>
          </w:rPr>
        </w:r>
        <w:r w:rsidR="00553D29">
          <w:rPr>
            <w:noProof/>
            <w:webHidden/>
          </w:rPr>
          <w:fldChar w:fldCharType="separate"/>
        </w:r>
        <w:r>
          <w:rPr>
            <w:noProof/>
            <w:webHidden/>
          </w:rPr>
          <w:t>53</w:t>
        </w:r>
        <w:r w:rsidR="00553D29">
          <w:rPr>
            <w:noProof/>
            <w:webHidden/>
          </w:rPr>
          <w:fldChar w:fldCharType="end"/>
        </w:r>
      </w:hyperlink>
    </w:p>
    <w:p w14:paraId="7565C0E5" w14:textId="586F4F67" w:rsidR="00553D29" w:rsidRDefault="005D2599">
      <w:pPr>
        <w:pStyle w:val="TableofFigures"/>
        <w:tabs>
          <w:tab w:val="right" w:pos="9061"/>
        </w:tabs>
        <w:rPr>
          <w:rFonts w:asciiTheme="minorHAnsi" w:hAnsiTheme="minorHAnsi"/>
          <w:noProof/>
        </w:rPr>
      </w:pPr>
      <w:hyperlink w:anchor="_Toc51240515" w:history="1">
        <w:r w:rsidR="00553D29" w:rsidRPr="00313E1C">
          <w:rPr>
            <w:rStyle w:val="Hyperlink"/>
            <w:noProof/>
          </w:rPr>
          <w:t xml:space="preserve">Figure 29: </w:t>
        </w:r>
        <w:r w:rsidR="00553D29">
          <w:rPr>
            <w:rFonts w:asciiTheme="minorHAnsi" w:hAnsiTheme="minorHAnsi"/>
            <w:noProof/>
          </w:rPr>
          <w:tab/>
        </w:r>
        <w:r w:rsidR="00553D29" w:rsidRPr="00313E1C">
          <w:rPr>
            <w:rStyle w:val="Hyperlink"/>
            <w:noProof/>
          </w:rPr>
          <w:t>Map showing all factors that need to be considered to determine heights and densities  for each location</w:t>
        </w:r>
        <w:r w:rsidR="00553D29">
          <w:rPr>
            <w:noProof/>
            <w:webHidden/>
          </w:rPr>
          <w:tab/>
        </w:r>
        <w:r w:rsidR="00553D29">
          <w:rPr>
            <w:noProof/>
            <w:webHidden/>
          </w:rPr>
          <w:fldChar w:fldCharType="begin"/>
        </w:r>
        <w:r w:rsidR="00553D29">
          <w:rPr>
            <w:noProof/>
            <w:webHidden/>
          </w:rPr>
          <w:instrText xml:space="preserve"> PAGEREF _Toc51240515 \h </w:instrText>
        </w:r>
        <w:r w:rsidR="00553D29">
          <w:rPr>
            <w:noProof/>
            <w:webHidden/>
          </w:rPr>
        </w:r>
        <w:r w:rsidR="00553D29">
          <w:rPr>
            <w:noProof/>
            <w:webHidden/>
          </w:rPr>
          <w:fldChar w:fldCharType="separate"/>
        </w:r>
        <w:r>
          <w:rPr>
            <w:noProof/>
            <w:webHidden/>
          </w:rPr>
          <w:t>53</w:t>
        </w:r>
        <w:r w:rsidR="00553D29">
          <w:rPr>
            <w:noProof/>
            <w:webHidden/>
          </w:rPr>
          <w:fldChar w:fldCharType="end"/>
        </w:r>
      </w:hyperlink>
    </w:p>
    <w:p w14:paraId="5BA6040E" w14:textId="36A02DFE" w:rsidR="00553D29" w:rsidRDefault="005D2599">
      <w:pPr>
        <w:pStyle w:val="TableofFigures"/>
        <w:tabs>
          <w:tab w:val="right" w:pos="9061"/>
        </w:tabs>
        <w:rPr>
          <w:rFonts w:asciiTheme="minorHAnsi" w:hAnsiTheme="minorHAnsi"/>
          <w:noProof/>
        </w:rPr>
      </w:pPr>
      <w:hyperlink w:anchor="_Toc51240516" w:history="1">
        <w:r w:rsidR="00553D29" w:rsidRPr="00313E1C">
          <w:rPr>
            <w:rStyle w:val="Hyperlink"/>
            <w:noProof/>
          </w:rPr>
          <w:t>Figure 30:</w:t>
        </w:r>
        <w:r w:rsidR="00553D29">
          <w:rPr>
            <w:rFonts w:asciiTheme="minorHAnsi" w:hAnsiTheme="minorHAnsi"/>
            <w:noProof/>
          </w:rPr>
          <w:tab/>
        </w:r>
        <w:r w:rsidR="00553D29" w:rsidRPr="00313E1C">
          <w:rPr>
            <w:rStyle w:val="Hyperlink"/>
            <w:noProof/>
          </w:rPr>
          <w:t>Map using the combined information to apply appropriate heights and densities to a location</w:t>
        </w:r>
        <w:r w:rsidR="00553D29">
          <w:rPr>
            <w:noProof/>
            <w:webHidden/>
          </w:rPr>
          <w:tab/>
        </w:r>
        <w:r w:rsidR="00553D29">
          <w:rPr>
            <w:noProof/>
            <w:webHidden/>
          </w:rPr>
          <w:fldChar w:fldCharType="begin"/>
        </w:r>
        <w:r w:rsidR="00553D29">
          <w:rPr>
            <w:noProof/>
            <w:webHidden/>
          </w:rPr>
          <w:instrText xml:space="preserve"> PAGEREF _Toc51240516 \h </w:instrText>
        </w:r>
        <w:r w:rsidR="00553D29">
          <w:rPr>
            <w:noProof/>
            <w:webHidden/>
          </w:rPr>
        </w:r>
        <w:r w:rsidR="00553D29">
          <w:rPr>
            <w:noProof/>
            <w:webHidden/>
          </w:rPr>
          <w:fldChar w:fldCharType="separate"/>
        </w:r>
        <w:r>
          <w:rPr>
            <w:noProof/>
            <w:webHidden/>
          </w:rPr>
          <w:t>54</w:t>
        </w:r>
        <w:r w:rsidR="00553D29">
          <w:rPr>
            <w:noProof/>
            <w:webHidden/>
          </w:rPr>
          <w:fldChar w:fldCharType="end"/>
        </w:r>
      </w:hyperlink>
    </w:p>
    <w:p w14:paraId="0AF67876" w14:textId="415457B6" w:rsidR="00553D29" w:rsidRDefault="005D2599">
      <w:pPr>
        <w:pStyle w:val="TableofFigures"/>
        <w:tabs>
          <w:tab w:val="right" w:pos="9061"/>
        </w:tabs>
        <w:rPr>
          <w:rFonts w:asciiTheme="minorHAnsi" w:hAnsiTheme="minorHAnsi"/>
          <w:noProof/>
        </w:rPr>
      </w:pPr>
      <w:hyperlink w:anchor="_Toc51240517" w:history="1">
        <w:r w:rsidR="00553D29" w:rsidRPr="00313E1C">
          <w:rPr>
            <w:rStyle w:val="Hyperlink"/>
            <w:noProof/>
          </w:rPr>
          <w:t xml:space="preserve">Figure 31: </w:t>
        </w:r>
        <w:r w:rsidR="00553D29">
          <w:rPr>
            <w:rFonts w:asciiTheme="minorHAnsi" w:hAnsiTheme="minorHAnsi"/>
            <w:noProof/>
          </w:rPr>
          <w:tab/>
        </w:r>
        <w:r w:rsidR="00553D29" w:rsidRPr="00313E1C">
          <w:rPr>
            <w:rStyle w:val="Hyperlink"/>
            <w:noProof/>
          </w:rPr>
          <w:t>Map showing new zoning pattern determined, reflecting the requirements of the intensification (and other) provisions</w:t>
        </w:r>
        <w:r w:rsidR="00553D29">
          <w:rPr>
            <w:noProof/>
            <w:webHidden/>
          </w:rPr>
          <w:tab/>
        </w:r>
        <w:r w:rsidR="00553D29">
          <w:rPr>
            <w:noProof/>
            <w:webHidden/>
          </w:rPr>
          <w:fldChar w:fldCharType="begin"/>
        </w:r>
        <w:r w:rsidR="00553D29">
          <w:rPr>
            <w:noProof/>
            <w:webHidden/>
          </w:rPr>
          <w:instrText xml:space="preserve"> PAGEREF _Toc51240517 \h </w:instrText>
        </w:r>
        <w:r w:rsidR="00553D29">
          <w:rPr>
            <w:noProof/>
            <w:webHidden/>
          </w:rPr>
        </w:r>
        <w:r w:rsidR="00553D29">
          <w:rPr>
            <w:noProof/>
            <w:webHidden/>
          </w:rPr>
          <w:fldChar w:fldCharType="separate"/>
        </w:r>
        <w:r>
          <w:rPr>
            <w:noProof/>
            <w:webHidden/>
          </w:rPr>
          <w:t>54</w:t>
        </w:r>
        <w:r w:rsidR="00553D29">
          <w:rPr>
            <w:noProof/>
            <w:webHidden/>
          </w:rPr>
          <w:fldChar w:fldCharType="end"/>
        </w:r>
      </w:hyperlink>
    </w:p>
    <w:p w14:paraId="02BB59F9" w14:textId="36247DD0" w:rsidR="00051587" w:rsidRPr="00051587" w:rsidRDefault="009301DA" w:rsidP="00051587">
      <w:pPr>
        <w:rPr>
          <w:lang w:val="en-US" w:eastAsia="en-US"/>
        </w:rPr>
      </w:pPr>
      <w:r>
        <w:rPr>
          <w:lang w:val="en-US" w:eastAsia="en-US"/>
        </w:rPr>
        <w:fldChar w:fldCharType="end"/>
      </w:r>
    </w:p>
    <w:p w14:paraId="28D1421B" w14:textId="0391C3E1" w:rsidR="00C73361" w:rsidRPr="00C73361" w:rsidRDefault="00C73361" w:rsidP="00AB5203">
      <w:pPr>
        <w:pStyle w:val="Figureheading"/>
        <w:tabs>
          <w:tab w:val="right" w:pos="8789"/>
        </w:tabs>
        <w:ind w:left="1276" w:hanging="1276"/>
      </w:pPr>
      <w:r w:rsidRPr="009113AC">
        <w:rPr>
          <w:b w:val="0"/>
          <w:sz w:val="22"/>
        </w:rPr>
        <w:tab/>
      </w:r>
    </w:p>
    <w:p w14:paraId="6826A1FC" w14:textId="77777777" w:rsidR="00C73361" w:rsidRPr="00C73361" w:rsidRDefault="00C73361" w:rsidP="009113AC">
      <w:pPr>
        <w:tabs>
          <w:tab w:val="right" w:pos="8505"/>
        </w:tabs>
        <w:rPr>
          <w:lang w:val="en-US" w:eastAsia="en-US"/>
        </w:rPr>
      </w:pPr>
    </w:p>
    <w:p w14:paraId="74571C1E" w14:textId="77777777" w:rsidR="00435717" w:rsidRPr="00435717" w:rsidRDefault="00435717" w:rsidP="00435717">
      <w:pPr>
        <w:rPr>
          <w:lang w:val="en-US" w:eastAsia="en-US"/>
        </w:rPr>
      </w:pPr>
    </w:p>
    <w:p w14:paraId="3F57BB64" w14:textId="5035965D" w:rsidR="00796A6F" w:rsidRPr="00554B30" w:rsidRDefault="00796A6F" w:rsidP="00554B30">
      <w:r w:rsidRPr="00554B30">
        <w:br w:type="page"/>
      </w:r>
    </w:p>
    <w:p w14:paraId="23BCB8E2" w14:textId="1C30B7CC" w:rsidR="00C0111D" w:rsidRPr="00C0111D" w:rsidRDefault="00C0111D" w:rsidP="000D494E">
      <w:pPr>
        <w:pStyle w:val="Heading1"/>
        <w:numPr>
          <w:ilvl w:val="0"/>
          <w:numId w:val="23"/>
        </w:numPr>
        <w:ind w:hanging="720"/>
        <w:rPr>
          <w:rFonts w:eastAsiaTheme="minorEastAsia"/>
        </w:rPr>
      </w:pPr>
      <w:bookmarkStart w:id="3" w:name="_Toc50720768"/>
      <w:bookmarkStart w:id="4" w:name="_Toc345760336"/>
      <w:bookmarkEnd w:id="2"/>
      <w:r>
        <w:rPr>
          <w:rFonts w:eastAsiaTheme="minorEastAsia"/>
        </w:rPr>
        <w:lastRenderedPageBreak/>
        <w:t>Introduction</w:t>
      </w:r>
      <w:bookmarkEnd w:id="3"/>
    </w:p>
    <w:p w14:paraId="1A0D6981" w14:textId="4E0B0142" w:rsidR="00C0111D" w:rsidRPr="00C0111D" w:rsidRDefault="00C0111D" w:rsidP="00A61F97">
      <w:pPr>
        <w:pStyle w:val="Heading2"/>
        <w:ind w:hanging="786"/>
        <w:rPr>
          <w:rFonts w:eastAsiaTheme="minorEastAsia"/>
        </w:rPr>
      </w:pPr>
      <w:bookmarkStart w:id="5" w:name="_Toc50720769"/>
      <w:r w:rsidRPr="00C0111D">
        <w:rPr>
          <w:rFonts w:eastAsiaTheme="minorEastAsia"/>
        </w:rPr>
        <w:t>Purpose</w:t>
      </w:r>
      <w:bookmarkEnd w:id="5"/>
    </w:p>
    <w:p w14:paraId="0F954492" w14:textId="0DB0B8F1" w:rsidR="00C0111D" w:rsidRPr="00C0111D" w:rsidRDefault="00C0111D" w:rsidP="00C0111D">
      <w:pPr>
        <w:pStyle w:val="BodyText"/>
      </w:pPr>
      <w:r w:rsidRPr="00C0111D">
        <w:t xml:space="preserve">This guidance </w:t>
      </w:r>
      <w:r w:rsidR="00DF3584">
        <w:t>has been developed to</w:t>
      </w:r>
      <w:r w:rsidRPr="00C0111D">
        <w:t xml:space="preserve"> help local authorities understand and interpret the provisions </w:t>
      </w:r>
      <w:r w:rsidR="009113AC">
        <w:t>for</w:t>
      </w:r>
      <w:r w:rsidRPr="00C0111D">
        <w:t xml:space="preserve"> intensification</w:t>
      </w:r>
      <w:r w:rsidR="00085E3A">
        <w:t xml:space="preserve"> and</w:t>
      </w:r>
      <w:r w:rsidRPr="00C0111D">
        <w:t xml:space="preserve"> in the National Policy Statement on Urban Development 2020 (NPS-UD). </w:t>
      </w:r>
      <w:r w:rsidR="00DF3584">
        <w:t xml:space="preserve">The specific provisions of the NPS-UD are </w:t>
      </w:r>
      <w:r w:rsidR="00DF3584" w:rsidRPr="00C0111D">
        <w:t>Objective 3, Policies 3 to 5</w:t>
      </w:r>
      <w:r w:rsidR="00085E3A">
        <w:t xml:space="preserve"> and</w:t>
      </w:r>
      <w:r w:rsidR="00DF3584" w:rsidRPr="00C0111D">
        <w:t xml:space="preserve"> clauses 3.31 to 3.34 of subpart 6</w:t>
      </w:r>
      <w:r w:rsidR="00DF3584">
        <w:t xml:space="preserve">. </w:t>
      </w:r>
      <w:r w:rsidRPr="00C0111D">
        <w:t xml:space="preserve">The guidance </w:t>
      </w:r>
      <w:r w:rsidR="009113AC">
        <w:t>provides</w:t>
      </w:r>
      <w:r w:rsidRPr="00C0111D">
        <w:t xml:space="preserve"> methods, tools</w:t>
      </w:r>
      <w:r w:rsidR="00085E3A">
        <w:t xml:space="preserve"> and</w:t>
      </w:r>
      <w:r w:rsidRPr="00C0111D">
        <w:t xml:space="preserve"> examples to </w:t>
      </w:r>
      <w:r w:rsidR="009113AC">
        <w:t>help</w:t>
      </w:r>
      <w:r w:rsidR="009113AC" w:rsidRPr="00C0111D">
        <w:t xml:space="preserve"> </w:t>
      </w:r>
      <w:r w:rsidRPr="00C0111D">
        <w:t>implement the</w:t>
      </w:r>
      <w:r w:rsidR="00DF3584">
        <w:t>se</w:t>
      </w:r>
      <w:r w:rsidRPr="00C0111D">
        <w:t xml:space="preserve"> provisions</w:t>
      </w:r>
      <w:r w:rsidR="009113AC">
        <w:t xml:space="preserve"> effectively</w:t>
      </w:r>
      <w:r w:rsidRPr="00C0111D">
        <w:t xml:space="preserve">. </w:t>
      </w:r>
    </w:p>
    <w:p w14:paraId="387F86FD" w14:textId="2514567F" w:rsidR="00A82ABC" w:rsidRDefault="00B15070" w:rsidP="00C0111D">
      <w:pPr>
        <w:pStyle w:val="BodyText"/>
      </w:pPr>
      <w:r>
        <w:t>L</w:t>
      </w:r>
      <w:r w:rsidR="00A82ABC">
        <w:t>ocal authorities can u</w:t>
      </w:r>
      <w:r w:rsidR="00A82ABC" w:rsidRPr="00C0111D">
        <w:t>se this guidance</w:t>
      </w:r>
      <w:r w:rsidR="006419B7">
        <w:t xml:space="preserve"> </w:t>
      </w:r>
      <w:r w:rsidR="00A82ABC" w:rsidRPr="00C0111D">
        <w:t xml:space="preserve">to prepare principles for zoning to help inform and support the required plan changes. </w:t>
      </w:r>
      <w:r w:rsidR="00A82ABC">
        <w:t xml:space="preserve">This guidance can also be used to </w:t>
      </w:r>
      <w:r w:rsidR="00A82ABC" w:rsidRPr="00C0111D">
        <w:t>understand the individual components of the intensification provisions (</w:t>
      </w:r>
      <w:r w:rsidR="00A82ABC">
        <w:t>eg,</w:t>
      </w:r>
      <w:r w:rsidR="00A82ABC" w:rsidRPr="00C0111D">
        <w:t xml:space="preserve"> accessibility, walkability, demand) to determine the intensification outcomes on the ground.</w:t>
      </w:r>
      <w:r w:rsidR="00A82ABC">
        <w:t xml:space="preserve"> </w:t>
      </w:r>
      <w:r w:rsidRPr="00C0111D">
        <w:t xml:space="preserve">This </w:t>
      </w:r>
      <w:r>
        <w:t xml:space="preserve">document is </w:t>
      </w:r>
      <w:r w:rsidRPr="00C0111D">
        <w:t>not</w:t>
      </w:r>
      <w:r>
        <w:t xml:space="preserve"> intended to be </w:t>
      </w:r>
      <w:r w:rsidRPr="00C0111D">
        <w:t>a step</w:t>
      </w:r>
      <w:r>
        <w:t>-</w:t>
      </w:r>
      <w:r w:rsidRPr="00C0111D">
        <w:t>by</w:t>
      </w:r>
      <w:r>
        <w:t>-</w:t>
      </w:r>
      <w:r w:rsidRPr="00C0111D">
        <w:t xml:space="preserve">step guide </w:t>
      </w:r>
      <w:r>
        <w:t xml:space="preserve">to preparing plan changes to give effect to the NPS-UD </w:t>
      </w:r>
      <w:r w:rsidRPr="00C0111D">
        <w:t xml:space="preserve">intensification </w:t>
      </w:r>
      <w:r>
        <w:t>provisions.</w:t>
      </w:r>
      <w:r w:rsidRPr="00B15070">
        <w:t xml:space="preserve"> </w:t>
      </w:r>
      <w:r>
        <w:t>P</w:t>
      </w:r>
      <w:r w:rsidRPr="00C0111D">
        <w:t xml:space="preserve">lan changes </w:t>
      </w:r>
      <w:r>
        <w:t xml:space="preserve">and </w:t>
      </w:r>
      <w:r w:rsidRPr="00C0111D">
        <w:t>outcomes depend</w:t>
      </w:r>
      <w:r>
        <w:t xml:space="preserve"> </w:t>
      </w:r>
      <w:r w:rsidRPr="00C0111D">
        <w:t>on the local context</w:t>
      </w:r>
      <w:r>
        <w:t xml:space="preserve"> and local authorities will need to</w:t>
      </w:r>
      <w:r w:rsidR="001560BC">
        <w:t xml:space="preserve"> give effect to the in</w:t>
      </w:r>
      <w:r>
        <w:t xml:space="preserve">tensification provisions </w:t>
      </w:r>
      <w:r w:rsidR="001560BC">
        <w:t>i</w:t>
      </w:r>
      <w:r>
        <w:t xml:space="preserve">n their local context. </w:t>
      </w:r>
    </w:p>
    <w:p w14:paraId="449B9B4A" w14:textId="7951A58D" w:rsidR="00C0111D" w:rsidRPr="00C0111D" w:rsidRDefault="00DF3584" w:rsidP="00C0111D">
      <w:pPr>
        <w:pStyle w:val="BodyText"/>
      </w:pPr>
      <w:r>
        <w:t>N</w:t>
      </w:r>
      <w:r w:rsidR="00C0111D" w:rsidRPr="00C0111D">
        <w:t xml:space="preserve">ote the examples used in this guide are relatively basic examples </w:t>
      </w:r>
      <w:r>
        <w:t xml:space="preserve">which are </w:t>
      </w:r>
      <w:r w:rsidR="00C0111D" w:rsidRPr="00C0111D">
        <w:t xml:space="preserve">intended to provide an indication of how the application of the provisions may work. </w:t>
      </w:r>
    </w:p>
    <w:p w14:paraId="20A1353C" w14:textId="75A03A0D" w:rsidR="00C0111D" w:rsidRPr="00121B32" w:rsidRDefault="00C0111D" w:rsidP="000D494E">
      <w:pPr>
        <w:pStyle w:val="Heading2"/>
        <w:numPr>
          <w:ilvl w:val="1"/>
          <w:numId w:val="21"/>
        </w:numPr>
        <w:ind w:left="851" w:hanging="851"/>
        <w:rPr>
          <w:rFonts w:eastAsiaTheme="minorEastAsia"/>
        </w:rPr>
      </w:pPr>
      <w:bookmarkStart w:id="6" w:name="_Toc50720770"/>
      <w:r w:rsidRPr="00121B32">
        <w:rPr>
          <w:rFonts w:eastAsiaTheme="minorEastAsia"/>
        </w:rPr>
        <w:t>Scope</w:t>
      </w:r>
      <w:bookmarkEnd w:id="6"/>
    </w:p>
    <w:p w14:paraId="10F1B3F8" w14:textId="3DDDA4D7" w:rsidR="006419B7" w:rsidRDefault="00C0111D" w:rsidP="00B93291">
      <w:pPr>
        <w:pStyle w:val="BodyText"/>
        <w:tabs>
          <w:tab w:val="left" w:pos="851"/>
        </w:tabs>
      </w:pPr>
      <w:r w:rsidRPr="00C0111D">
        <w:t xml:space="preserve">All local authorities that contain all or part of an urban environment are required to implement the relevant intensification provisions. </w:t>
      </w:r>
      <w:r w:rsidR="006419B7">
        <w:t>The NPS-UD defines urban environment as an area of land (regardless of size, and irrespective of local authority or statistical boundaries) that:</w:t>
      </w:r>
    </w:p>
    <w:p w14:paraId="2225E9D8" w14:textId="76F31251" w:rsidR="006419B7" w:rsidRDefault="006419B7" w:rsidP="000D494E">
      <w:pPr>
        <w:pStyle w:val="BodyText"/>
        <w:numPr>
          <w:ilvl w:val="0"/>
          <w:numId w:val="28"/>
        </w:numPr>
        <w:tabs>
          <w:tab w:val="left" w:pos="851"/>
        </w:tabs>
      </w:pPr>
      <w:r>
        <w:t>is</w:t>
      </w:r>
      <w:r w:rsidR="00C0111D" w:rsidRPr="00C0111D">
        <w:t xml:space="preserve">, or </w:t>
      </w:r>
      <w:r>
        <w:t>is</w:t>
      </w:r>
      <w:r w:rsidR="00C0111D" w:rsidRPr="00C0111D">
        <w:t xml:space="preserve"> intended to be, predominantly urban in character</w:t>
      </w:r>
      <w:r w:rsidR="004C1C8A">
        <w:t>;</w:t>
      </w:r>
      <w:r w:rsidR="00C0111D" w:rsidRPr="00C0111D">
        <w:t xml:space="preserve"> and</w:t>
      </w:r>
    </w:p>
    <w:p w14:paraId="7551F52A" w14:textId="11F8EB0E" w:rsidR="006419B7" w:rsidRDefault="006419B7" w:rsidP="000D494E">
      <w:pPr>
        <w:pStyle w:val="BodyText"/>
        <w:numPr>
          <w:ilvl w:val="0"/>
          <w:numId w:val="28"/>
        </w:numPr>
        <w:tabs>
          <w:tab w:val="left" w:pos="851"/>
        </w:tabs>
      </w:pPr>
      <w:r>
        <w:t xml:space="preserve">is or is </w:t>
      </w:r>
      <w:r w:rsidR="00C0111D" w:rsidRPr="00C0111D">
        <w:t>intended to be, part of a housing and labour market of at least 10,000 people.</w:t>
      </w:r>
    </w:p>
    <w:p w14:paraId="6383FFFC" w14:textId="446F014B" w:rsidR="00C0111D" w:rsidRPr="00C0111D" w:rsidRDefault="00B15070" w:rsidP="00B93291">
      <w:pPr>
        <w:pStyle w:val="BodyText"/>
        <w:tabs>
          <w:tab w:val="left" w:pos="851"/>
        </w:tabs>
      </w:pPr>
      <w:r>
        <w:t>The NPS-UD groups u</w:t>
      </w:r>
      <w:r w:rsidR="006419B7">
        <w:t xml:space="preserve">rban environments </w:t>
      </w:r>
      <w:r>
        <w:t>into three tiers.</w:t>
      </w:r>
      <w:r>
        <w:rPr>
          <w:rStyle w:val="FootnoteReference"/>
        </w:rPr>
        <w:footnoteReference w:id="1"/>
      </w:r>
      <w:r>
        <w:t xml:space="preserve"> </w:t>
      </w:r>
      <w:r w:rsidR="00C0111D" w:rsidRPr="00C0111D">
        <w:t>Each tier</w:t>
      </w:r>
      <w:r w:rsidR="009113AC">
        <w:t xml:space="preserve"> </w:t>
      </w:r>
      <w:r w:rsidR="00C0111D" w:rsidRPr="00C0111D">
        <w:t xml:space="preserve">has different policy requirements and implementation timeframes. The requirements for tier 1 urban environments are more directive than </w:t>
      </w:r>
      <w:r>
        <w:t xml:space="preserve">the </w:t>
      </w:r>
      <w:r w:rsidR="00DF3584">
        <w:t>requirements</w:t>
      </w:r>
      <w:r w:rsidR="00DF3584" w:rsidRPr="00C0111D">
        <w:t xml:space="preserve"> </w:t>
      </w:r>
      <w:r w:rsidR="00C0111D" w:rsidRPr="00C0111D">
        <w:t xml:space="preserve">for </w:t>
      </w:r>
      <w:r>
        <w:t>tier 2 and 3 urban environments</w:t>
      </w:r>
      <w:r w:rsidR="00C0111D" w:rsidRPr="00C0111D">
        <w:t>.</w:t>
      </w:r>
    </w:p>
    <w:p w14:paraId="5A00416F" w14:textId="4F940BE2" w:rsidR="00C0111D" w:rsidRPr="00C0111D" w:rsidRDefault="00DF3584" w:rsidP="007F3426">
      <w:pPr>
        <w:pStyle w:val="BodyText"/>
      </w:pPr>
      <w:r>
        <w:t>This guidance includes</w:t>
      </w:r>
      <w:r w:rsidR="00C0111D" w:rsidRPr="00C0111D">
        <w:t>:</w:t>
      </w:r>
    </w:p>
    <w:p w14:paraId="56DB25D3" w14:textId="1B560608" w:rsidR="00C0111D" w:rsidRPr="00C0111D" w:rsidRDefault="00DF3584" w:rsidP="007F3426">
      <w:pPr>
        <w:pStyle w:val="Bullet"/>
        <w:rPr>
          <w:rFonts w:eastAsiaTheme="minorEastAsia"/>
        </w:rPr>
      </w:pPr>
      <w:r>
        <w:rPr>
          <w:rFonts w:eastAsiaTheme="minorEastAsia"/>
        </w:rPr>
        <w:t>a</w:t>
      </w:r>
      <w:r w:rsidRPr="00C0111D">
        <w:rPr>
          <w:rFonts w:eastAsiaTheme="minorEastAsia"/>
        </w:rPr>
        <w:t xml:space="preserve"> </w:t>
      </w:r>
      <w:r w:rsidR="00C0111D" w:rsidRPr="00C0111D">
        <w:rPr>
          <w:rFonts w:eastAsiaTheme="minorEastAsia"/>
        </w:rPr>
        <w:t>description of the intent of the NPS-UD intensification provisions, including an explanation of the expected outcomes of the intensification provisions</w:t>
      </w:r>
    </w:p>
    <w:p w14:paraId="3046FC13" w14:textId="1801B51D" w:rsidR="00C0111D" w:rsidRPr="00C0111D" w:rsidRDefault="00DF3584" w:rsidP="007F3426">
      <w:pPr>
        <w:pStyle w:val="Bullet"/>
        <w:rPr>
          <w:rFonts w:eastAsiaTheme="minorEastAsia"/>
        </w:rPr>
      </w:pPr>
      <w:r>
        <w:rPr>
          <w:rFonts w:eastAsiaTheme="minorEastAsia"/>
        </w:rPr>
        <w:t>m</w:t>
      </w:r>
      <w:r w:rsidRPr="00C0111D">
        <w:rPr>
          <w:rFonts w:eastAsiaTheme="minorEastAsia"/>
        </w:rPr>
        <w:t>ethods</w:t>
      </w:r>
      <w:r w:rsidR="00C0111D" w:rsidRPr="00C0111D">
        <w:rPr>
          <w:rFonts w:eastAsiaTheme="minorEastAsia"/>
        </w:rPr>
        <w:t>, tools</w:t>
      </w:r>
      <w:r w:rsidR="00085E3A">
        <w:rPr>
          <w:rFonts w:eastAsiaTheme="minorEastAsia"/>
        </w:rPr>
        <w:t xml:space="preserve"> and</w:t>
      </w:r>
      <w:r w:rsidR="00C0111D" w:rsidRPr="00C0111D">
        <w:rPr>
          <w:rFonts w:eastAsiaTheme="minorEastAsia"/>
        </w:rPr>
        <w:t xml:space="preserve"> examples to </w:t>
      </w:r>
      <w:r>
        <w:rPr>
          <w:rFonts w:eastAsiaTheme="minorEastAsia"/>
        </w:rPr>
        <w:t>help</w:t>
      </w:r>
      <w:r w:rsidRPr="00C0111D">
        <w:rPr>
          <w:rFonts w:eastAsiaTheme="minorEastAsia"/>
        </w:rPr>
        <w:t xml:space="preserve"> </w:t>
      </w:r>
      <w:r w:rsidR="00C0111D" w:rsidRPr="00C0111D">
        <w:rPr>
          <w:rFonts w:eastAsiaTheme="minorEastAsia"/>
        </w:rPr>
        <w:t xml:space="preserve">tier 1, 2 and 3 local authorities implement the provisions. </w:t>
      </w:r>
    </w:p>
    <w:p w14:paraId="2E413860" w14:textId="344AC863" w:rsidR="00C0111D" w:rsidRPr="00C0111D" w:rsidRDefault="00C0111D" w:rsidP="007F3426">
      <w:pPr>
        <w:pStyle w:val="BodyText"/>
      </w:pPr>
      <w:r w:rsidRPr="00C0111D">
        <w:t xml:space="preserve">Tier 1 local authorities are required to ensure that in metropolitan centre zones, building heights and density of the urban form reflects demand for housing and business space. This guidance provides </w:t>
      </w:r>
      <w:r w:rsidRPr="00C0111D">
        <w:lastRenderedPageBreak/>
        <w:t xml:space="preserve">detail on how </w:t>
      </w:r>
      <w:r w:rsidR="00DF3584">
        <w:t>local authorities</w:t>
      </w:r>
      <w:r w:rsidR="00DF3584" w:rsidRPr="00C0111D">
        <w:t xml:space="preserve"> </w:t>
      </w:r>
      <w:r w:rsidRPr="00C0111D">
        <w:t xml:space="preserve">could reconcile demand with a possible urban form, but it does not provide detail on calculating demand. Guidance on calculating demand for both residential and business space is </w:t>
      </w:r>
      <w:r w:rsidR="00E93823">
        <w:t>covered</w:t>
      </w:r>
      <w:r w:rsidR="00E93823" w:rsidRPr="00C0111D">
        <w:t xml:space="preserve"> </w:t>
      </w:r>
      <w:r w:rsidRPr="00C0111D">
        <w:t xml:space="preserve">in the guidance on </w:t>
      </w:r>
      <w:r w:rsidR="00E93823">
        <w:t>h</w:t>
      </w:r>
      <w:r w:rsidRPr="00C0111D">
        <w:t xml:space="preserve">ousing and </w:t>
      </w:r>
      <w:r w:rsidR="00E93823">
        <w:t>b</w:t>
      </w:r>
      <w:r w:rsidRPr="00C0111D">
        <w:t xml:space="preserve">usiness </w:t>
      </w:r>
      <w:r w:rsidR="004C1C8A">
        <w:t xml:space="preserve">development capacity </w:t>
      </w:r>
      <w:r w:rsidR="00E93823">
        <w:t>a</w:t>
      </w:r>
      <w:r w:rsidRPr="00C0111D">
        <w:t>ssessments</w:t>
      </w:r>
      <w:r w:rsidR="00534382">
        <w:t xml:space="preserve">. This will be made available on the Ministry for the Environment’s </w:t>
      </w:r>
      <w:hyperlink r:id="rId12" w:history="1">
        <w:r w:rsidR="00534382" w:rsidRPr="00FE0124">
          <w:rPr>
            <w:rStyle w:val="Hyperlink"/>
            <w:b/>
          </w:rPr>
          <w:t>website</w:t>
        </w:r>
      </w:hyperlink>
      <w:r w:rsidRPr="00C0111D">
        <w:t xml:space="preserve">. </w:t>
      </w:r>
    </w:p>
    <w:p w14:paraId="171C7BB1" w14:textId="4E3A0690" w:rsidR="00C0111D" w:rsidRPr="00C0111D" w:rsidRDefault="00C0111D" w:rsidP="007F3426">
      <w:pPr>
        <w:pStyle w:val="BodyText"/>
      </w:pPr>
      <w:r w:rsidRPr="00C0111D">
        <w:t xml:space="preserve">Local authorities will need to consider the intensification provisions for any private plan changes </w:t>
      </w:r>
      <w:r w:rsidR="00A1546D">
        <w:t xml:space="preserve">they receive </w:t>
      </w:r>
      <w:r w:rsidRPr="00C0111D">
        <w:t>or plan changes</w:t>
      </w:r>
      <w:r w:rsidR="00A1546D">
        <w:t xml:space="preserve"> they </w:t>
      </w:r>
      <w:r w:rsidR="00E93823">
        <w:t>initiate</w:t>
      </w:r>
      <w:r w:rsidRPr="00C0111D">
        <w:t xml:space="preserve">. Guidance on the responsive planning requirements of the </w:t>
      </w:r>
      <w:r w:rsidR="00FE0124">
        <w:br/>
      </w:r>
      <w:r w:rsidRPr="00C0111D">
        <w:t xml:space="preserve">NPS-UD can be found </w:t>
      </w:r>
      <w:r w:rsidR="00E93823">
        <w:t xml:space="preserve">on </w:t>
      </w:r>
      <w:r w:rsidR="00A31C99">
        <w:t xml:space="preserve">the Ministry for the Environment’s </w:t>
      </w:r>
      <w:hyperlink r:id="rId13" w:history="1">
        <w:r w:rsidR="00E93823" w:rsidRPr="00FE0124">
          <w:rPr>
            <w:rStyle w:val="Hyperlink"/>
            <w:b/>
          </w:rPr>
          <w:t>website</w:t>
        </w:r>
      </w:hyperlink>
      <w:r w:rsidRPr="00C0111D">
        <w:t xml:space="preserve">. In addition to meeting the intensification requirements, local authorities will also need to ensure development outcomes described for zones in </w:t>
      </w:r>
      <w:r w:rsidR="00E93823">
        <w:t>your</w:t>
      </w:r>
      <w:r w:rsidR="00E93823" w:rsidRPr="00C0111D">
        <w:t xml:space="preserve"> </w:t>
      </w:r>
      <w:r w:rsidRPr="00C0111D">
        <w:t>district plans are consistent with the intensification provisions (clauses 3.36 and 3.37). The intent of monitoring the consistency of the development outcomes with the intensification outcomes required is to ensure district plans</w:t>
      </w:r>
      <w:r w:rsidR="00E93823">
        <w:t xml:space="preserve"> – </w:t>
      </w:r>
      <w:r w:rsidRPr="00C0111D">
        <w:t>specifically the plan provisions (</w:t>
      </w:r>
      <w:r w:rsidR="009113AC">
        <w:t>eg,</w:t>
      </w:r>
      <w:r w:rsidRPr="00C0111D">
        <w:t xml:space="preserve"> objectives, policies, rules and assessment criteria cumulatively)</w:t>
      </w:r>
      <w:r w:rsidR="00A1546D">
        <w:t xml:space="preserve"> </w:t>
      </w:r>
      <w:r w:rsidR="00A31C99">
        <w:t xml:space="preserve">– </w:t>
      </w:r>
      <w:r w:rsidRPr="00C0111D">
        <w:t xml:space="preserve">do not unnecessarily undermine development outcomes. </w:t>
      </w:r>
    </w:p>
    <w:p w14:paraId="3AC1ED59" w14:textId="3872568D" w:rsidR="00C0111D" w:rsidRPr="00C0111D" w:rsidRDefault="00E93823" w:rsidP="007F3426">
      <w:pPr>
        <w:pStyle w:val="BodyText"/>
      </w:pPr>
      <w:r>
        <w:t>This</w:t>
      </w:r>
      <w:r w:rsidRPr="00C0111D">
        <w:t xml:space="preserve"> </w:t>
      </w:r>
      <w:r w:rsidR="00C0111D" w:rsidRPr="00C0111D">
        <w:t xml:space="preserve">intensification </w:t>
      </w:r>
      <w:r>
        <w:t>guide</w:t>
      </w:r>
      <w:r w:rsidRPr="00C0111D">
        <w:t xml:space="preserve"> </w:t>
      </w:r>
      <w:r w:rsidR="00C0111D" w:rsidRPr="00C0111D">
        <w:t>should not be read in isolation</w:t>
      </w:r>
      <w:r>
        <w:t>. Applying</w:t>
      </w:r>
      <w:r w:rsidR="00C0111D" w:rsidRPr="00C0111D">
        <w:t xml:space="preserve"> the intensification requirements should also take into account the other objectives, policies and requirements of the NPS-UD. In particular, intensification outcomes need to contribute to well-functioning urban environments (as described in Policy 1), noting that intensification done well can make a major contribution to this. </w:t>
      </w:r>
    </w:p>
    <w:p w14:paraId="3CBB4414" w14:textId="6AB68E46" w:rsidR="00C0111D" w:rsidRPr="00C0111D" w:rsidRDefault="00C0111D" w:rsidP="000D494E">
      <w:pPr>
        <w:pStyle w:val="Heading2"/>
        <w:numPr>
          <w:ilvl w:val="1"/>
          <w:numId w:val="17"/>
        </w:numPr>
        <w:ind w:hanging="1145"/>
        <w:rPr>
          <w:rFonts w:eastAsiaTheme="minorEastAsia"/>
        </w:rPr>
      </w:pPr>
      <w:bookmarkStart w:id="7" w:name="_Toc50720771"/>
      <w:r w:rsidRPr="00C0111D">
        <w:rPr>
          <w:rFonts w:eastAsiaTheme="minorEastAsia"/>
        </w:rPr>
        <w:t>Structure of the guide</w:t>
      </w:r>
      <w:bookmarkEnd w:id="7"/>
    </w:p>
    <w:p w14:paraId="772F7773" w14:textId="48E92C93" w:rsidR="00C0111D" w:rsidRPr="00C0111D" w:rsidRDefault="00C0111D" w:rsidP="007F3426">
      <w:pPr>
        <w:pStyle w:val="BodyText"/>
      </w:pPr>
      <w:r w:rsidRPr="00C0111D">
        <w:t xml:space="preserve">This guide </w:t>
      </w:r>
      <w:r w:rsidR="004C1C8A">
        <w:t>describes</w:t>
      </w:r>
      <w:r w:rsidRPr="00C0111D">
        <w:t xml:space="preserve"> each of the components </w:t>
      </w:r>
      <w:r w:rsidR="00581515">
        <w:t xml:space="preserve">local authorities </w:t>
      </w:r>
      <w:r w:rsidRPr="00C0111D">
        <w:t xml:space="preserve">will need to consider </w:t>
      </w:r>
      <w:r w:rsidR="00581515">
        <w:t xml:space="preserve">when </w:t>
      </w:r>
      <w:r w:rsidR="00E93823">
        <w:t>implement</w:t>
      </w:r>
      <w:r w:rsidR="00581515">
        <w:t>ing</w:t>
      </w:r>
      <w:r w:rsidR="00E93823">
        <w:t xml:space="preserve"> </w:t>
      </w:r>
      <w:r w:rsidRPr="00C0111D">
        <w:t xml:space="preserve">the intensification provisions. </w:t>
      </w:r>
      <w:r w:rsidR="00E93823">
        <w:t>It</w:t>
      </w:r>
      <w:r w:rsidRPr="00C0111D">
        <w:t xml:space="preserve"> provides information on </w:t>
      </w:r>
      <w:r w:rsidR="00E93823">
        <w:t>how</w:t>
      </w:r>
      <w:r w:rsidR="00E93823" w:rsidRPr="00C0111D">
        <w:t xml:space="preserve"> </w:t>
      </w:r>
      <w:r w:rsidRPr="00C0111D">
        <w:t>to measure or determine accessibility, walkability</w:t>
      </w:r>
      <w:r w:rsidR="00085E3A">
        <w:t xml:space="preserve"> and</w:t>
      </w:r>
      <w:r w:rsidRPr="00C0111D">
        <w:t xml:space="preserve"> appropriate heights and densities</w:t>
      </w:r>
      <w:r w:rsidR="00581515">
        <w:t>.</w:t>
      </w:r>
      <w:r w:rsidRPr="00C0111D">
        <w:t xml:space="preserve"> The guidance also provides examples of how to consider these matters </w:t>
      </w:r>
      <w:r w:rsidR="00E93823">
        <w:t xml:space="preserve">together </w:t>
      </w:r>
      <w:r w:rsidRPr="00C0111D">
        <w:t xml:space="preserve">to apply the intensification provisions </w:t>
      </w:r>
      <w:r w:rsidR="00E93823">
        <w:t xml:space="preserve">effectively </w:t>
      </w:r>
      <w:r w:rsidRPr="00C0111D">
        <w:t xml:space="preserve">in </w:t>
      </w:r>
      <w:r w:rsidR="00581515">
        <w:t xml:space="preserve">district </w:t>
      </w:r>
      <w:r w:rsidRPr="00C0111D">
        <w:t>plans and regional policy statements.</w:t>
      </w:r>
    </w:p>
    <w:p w14:paraId="73065BDA" w14:textId="393C03D5" w:rsidR="00C0111D" w:rsidRPr="00C0111D" w:rsidRDefault="00C0111D" w:rsidP="007F3426">
      <w:pPr>
        <w:pStyle w:val="BodyText"/>
      </w:pPr>
      <w:r w:rsidRPr="00C0111D">
        <w:t xml:space="preserve">Also included in this </w:t>
      </w:r>
      <w:r w:rsidR="00E93823">
        <w:t>guide</w:t>
      </w:r>
      <w:r w:rsidR="00E93823" w:rsidRPr="00C0111D">
        <w:t xml:space="preserve"> </w:t>
      </w:r>
      <w:r w:rsidRPr="00C0111D">
        <w:t xml:space="preserve">is an explanation and examples </w:t>
      </w:r>
      <w:r w:rsidR="00E93823">
        <w:t>for</w:t>
      </w:r>
      <w:r w:rsidR="00E93823" w:rsidRPr="00C0111D">
        <w:t xml:space="preserve"> </w:t>
      </w:r>
      <w:r w:rsidR="00E93823">
        <w:t>applying</w:t>
      </w:r>
      <w:r w:rsidRPr="00C0111D">
        <w:t xml:space="preserve"> the qualifying matters, when it has been determined through evidence that exceptions to the intensification provisions are required. </w:t>
      </w:r>
    </w:p>
    <w:p w14:paraId="55FEBBBF" w14:textId="2E790B38" w:rsidR="00C0111D" w:rsidRPr="00C0111D" w:rsidRDefault="00C0111D" w:rsidP="007F3426">
      <w:pPr>
        <w:pStyle w:val="BodyText"/>
      </w:pPr>
      <w:r w:rsidRPr="00C0111D">
        <w:t xml:space="preserve">The guide is </w:t>
      </w:r>
      <w:r w:rsidR="00E93823">
        <w:t>divided</w:t>
      </w:r>
      <w:r w:rsidRPr="00C0111D">
        <w:t xml:space="preserve"> into a number of sub-sections, each addressing a policy area or a component of analysis that forms a part of implementation. This is followed by a worked example of how </w:t>
      </w:r>
      <w:r w:rsidR="00E93823">
        <w:t xml:space="preserve">local authorities should consider </w:t>
      </w:r>
      <w:r w:rsidRPr="00C0111D">
        <w:t xml:space="preserve">these aspects together to </w:t>
      </w:r>
      <w:r w:rsidR="001E184B">
        <w:t>work out</w:t>
      </w:r>
      <w:r w:rsidR="001E184B" w:rsidRPr="00C0111D">
        <w:t xml:space="preserve"> </w:t>
      </w:r>
      <w:r w:rsidR="00E93823">
        <w:t xml:space="preserve">how best to use them in determining </w:t>
      </w:r>
      <w:r w:rsidRPr="00C0111D">
        <w:t>heights and densities and an appropriate zoning pattern. A high-level summary of the structure is described below.</w:t>
      </w:r>
    </w:p>
    <w:p w14:paraId="28756A7A" w14:textId="77777777" w:rsidR="00C0111D" w:rsidRPr="00C0111D" w:rsidRDefault="00C0111D" w:rsidP="007F3426">
      <w:pPr>
        <w:pStyle w:val="BodyText"/>
      </w:pPr>
      <w:r w:rsidRPr="00C0111D">
        <w:t xml:space="preserve">The first sub-sections suggest methods to produce analysis or evidence, including: </w:t>
      </w:r>
    </w:p>
    <w:p w14:paraId="3B8286DD" w14:textId="787D267D" w:rsidR="00C0111D" w:rsidRPr="00C0111D" w:rsidRDefault="001E184B" w:rsidP="007F3426">
      <w:pPr>
        <w:pStyle w:val="Bullet"/>
        <w:rPr>
          <w:rFonts w:eastAsiaTheme="minorEastAsia"/>
        </w:rPr>
      </w:pPr>
      <w:r>
        <w:rPr>
          <w:rFonts w:eastAsiaTheme="minorEastAsia"/>
        </w:rPr>
        <w:t>c</w:t>
      </w:r>
      <w:r w:rsidR="00C0111D" w:rsidRPr="00C0111D">
        <w:rPr>
          <w:rFonts w:eastAsiaTheme="minorEastAsia"/>
        </w:rPr>
        <w:t>larification of definitions relating to the city centre and metropolitan centre zones</w:t>
      </w:r>
    </w:p>
    <w:p w14:paraId="197C9D23" w14:textId="58C3888D" w:rsidR="00C0111D" w:rsidRPr="00C0111D" w:rsidRDefault="001E184B" w:rsidP="007F3426">
      <w:pPr>
        <w:pStyle w:val="Bullet"/>
        <w:rPr>
          <w:rFonts w:eastAsiaTheme="minorEastAsia"/>
        </w:rPr>
      </w:pPr>
      <w:r>
        <w:rPr>
          <w:rFonts w:eastAsiaTheme="minorEastAsia"/>
        </w:rPr>
        <w:t>u</w:t>
      </w:r>
      <w:r w:rsidR="00C0111D" w:rsidRPr="00C0111D">
        <w:rPr>
          <w:rFonts w:eastAsiaTheme="minorEastAsia"/>
        </w:rPr>
        <w:t>nderstanding how to measure demand in metropolitan centres</w:t>
      </w:r>
    </w:p>
    <w:p w14:paraId="5CA4FAD1" w14:textId="76F657E9" w:rsidR="00C0111D" w:rsidRPr="00C0111D" w:rsidRDefault="001E184B" w:rsidP="007F3426">
      <w:pPr>
        <w:pStyle w:val="Bullet"/>
        <w:rPr>
          <w:rFonts w:eastAsiaTheme="minorEastAsia"/>
        </w:rPr>
      </w:pPr>
      <w:r>
        <w:rPr>
          <w:rFonts w:eastAsiaTheme="minorEastAsia"/>
        </w:rPr>
        <w:t>m</w:t>
      </w:r>
      <w:r w:rsidR="00C0111D" w:rsidRPr="00C0111D">
        <w:rPr>
          <w:rFonts w:eastAsiaTheme="minorEastAsia"/>
        </w:rPr>
        <w:t>ethods and tools that can be used to measure accessibility, including understanding definitions of planned and existing public and active transport</w:t>
      </w:r>
    </w:p>
    <w:p w14:paraId="4036F91F" w14:textId="45F31C0B" w:rsidR="00C0111D" w:rsidRPr="00C0111D" w:rsidRDefault="001E184B" w:rsidP="007F3426">
      <w:pPr>
        <w:pStyle w:val="Bullet"/>
        <w:rPr>
          <w:rFonts w:eastAsiaTheme="minorEastAsia"/>
        </w:rPr>
      </w:pPr>
      <w:r>
        <w:rPr>
          <w:rFonts w:eastAsiaTheme="minorEastAsia"/>
        </w:rPr>
        <w:t>h</w:t>
      </w:r>
      <w:r w:rsidRPr="00C0111D">
        <w:rPr>
          <w:rFonts w:eastAsiaTheme="minorEastAsia"/>
        </w:rPr>
        <w:t xml:space="preserve">ow </w:t>
      </w:r>
      <w:r w:rsidR="00C0111D" w:rsidRPr="00C0111D">
        <w:rPr>
          <w:rFonts w:eastAsiaTheme="minorEastAsia"/>
        </w:rPr>
        <w:t>to determine walkable catchments for metropolitan centre zones and for planned and existing rapid transit stops.</w:t>
      </w:r>
    </w:p>
    <w:p w14:paraId="17FFE1E5" w14:textId="3D0EF619" w:rsidR="00C0111D" w:rsidRPr="00C0111D" w:rsidRDefault="00C0111D" w:rsidP="007F3426">
      <w:pPr>
        <w:pStyle w:val="BodyText"/>
      </w:pPr>
      <w:r w:rsidRPr="00C0111D">
        <w:t xml:space="preserve">The later sub-sections outline how the evidence can be combined and used to determine locations </w:t>
      </w:r>
      <w:r w:rsidR="001E184B">
        <w:t>suitable for intensification</w:t>
      </w:r>
      <w:r w:rsidR="00085E3A">
        <w:t xml:space="preserve"> and</w:t>
      </w:r>
      <w:r w:rsidRPr="00C0111D">
        <w:t xml:space="preserve"> what level of </w:t>
      </w:r>
      <w:r w:rsidR="001E184B">
        <w:t>this might</w:t>
      </w:r>
      <w:r w:rsidR="00581515">
        <w:t xml:space="preserve"> </w:t>
      </w:r>
      <w:r w:rsidRPr="00C0111D">
        <w:t>be appropriate, including:</w:t>
      </w:r>
    </w:p>
    <w:p w14:paraId="4E89DA8B" w14:textId="251E591E" w:rsidR="00C0111D" w:rsidRPr="00C0111D" w:rsidRDefault="00C0111D" w:rsidP="007F3426">
      <w:pPr>
        <w:pStyle w:val="BodyText"/>
      </w:pPr>
      <w:r w:rsidRPr="00C0111D">
        <w:t>•</w:t>
      </w:r>
      <w:r w:rsidRPr="00C0111D">
        <w:tab/>
      </w:r>
      <w:r w:rsidR="001E184B">
        <w:t>e</w:t>
      </w:r>
      <w:r w:rsidRPr="00C0111D">
        <w:t>nabling development capacity in city centres</w:t>
      </w:r>
    </w:p>
    <w:p w14:paraId="1991E3DC" w14:textId="22323BAF" w:rsidR="00C0111D" w:rsidRPr="00C0111D" w:rsidRDefault="001E184B" w:rsidP="007F3426">
      <w:pPr>
        <w:pStyle w:val="Bullet"/>
        <w:rPr>
          <w:rFonts w:eastAsiaTheme="minorEastAsia"/>
        </w:rPr>
      </w:pPr>
      <w:r>
        <w:rPr>
          <w:rFonts w:eastAsiaTheme="minorEastAsia"/>
        </w:rPr>
        <w:lastRenderedPageBreak/>
        <w:t>d</w:t>
      </w:r>
      <w:r w:rsidR="00C0111D" w:rsidRPr="00C0111D">
        <w:rPr>
          <w:rFonts w:eastAsiaTheme="minorEastAsia"/>
        </w:rPr>
        <w:t>etermining heights and densities in metropolitan centres</w:t>
      </w:r>
      <w:r>
        <w:rPr>
          <w:rFonts w:eastAsiaTheme="minorEastAsia"/>
        </w:rPr>
        <w:t xml:space="preserve"> and in walkable catchments</w:t>
      </w:r>
    </w:p>
    <w:p w14:paraId="69149F42" w14:textId="680DF30F" w:rsidR="00C0111D" w:rsidRPr="00C0111D" w:rsidRDefault="001E184B" w:rsidP="007F3426">
      <w:pPr>
        <w:pStyle w:val="Bullet"/>
        <w:rPr>
          <w:rFonts w:eastAsiaTheme="minorEastAsia"/>
        </w:rPr>
      </w:pPr>
      <w:r>
        <w:rPr>
          <w:rFonts w:eastAsiaTheme="minorEastAsia"/>
        </w:rPr>
        <w:t>e</w:t>
      </w:r>
      <w:r w:rsidR="00C0111D" w:rsidRPr="00C0111D">
        <w:rPr>
          <w:rFonts w:eastAsiaTheme="minorEastAsia"/>
        </w:rPr>
        <w:t xml:space="preserve">nabling heights and densities commensurate to the level </w:t>
      </w:r>
      <w:r>
        <w:rPr>
          <w:rFonts w:eastAsiaTheme="minorEastAsia"/>
        </w:rPr>
        <w:t xml:space="preserve">of </w:t>
      </w:r>
      <w:r w:rsidR="00C0111D" w:rsidRPr="00C0111D">
        <w:rPr>
          <w:rFonts w:eastAsiaTheme="minorEastAsia"/>
        </w:rPr>
        <w:t xml:space="preserve">accessibility and </w:t>
      </w:r>
      <w:r>
        <w:rPr>
          <w:rFonts w:eastAsiaTheme="minorEastAsia"/>
        </w:rPr>
        <w:t xml:space="preserve">relative </w:t>
      </w:r>
      <w:r w:rsidR="00C0111D" w:rsidRPr="00C0111D">
        <w:rPr>
          <w:rFonts w:eastAsiaTheme="minorEastAsia"/>
        </w:rPr>
        <w:t>demand</w:t>
      </w:r>
    </w:p>
    <w:p w14:paraId="572E86CF" w14:textId="4F1904B9" w:rsidR="00C0111D" w:rsidRPr="00C0111D" w:rsidRDefault="001E184B" w:rsidP="007F3426">
      <w:pPr>
        <w:pStyle w:val="Bullet"/>
        <w:rPr>
          <w:rFonts w:eastAsiaTheme="minorEastAsia"/>
        </w:rPr>
      </w:pPr>
      <w:r>
        <w:rPr>
          <w:rFonts w:eastAsiaTheme="minorEastAsia"/>
        </w:rPr>
        <w:t>applying</w:t>
      </w:r>
      <w:r w:rsidR="00C0111D" w:rsidRPr="00C0111D">
        <w:rPr>
          <w:rFonts w:eastAsiaTheme="minorEastAsia"/>
        </w:rPr>
        <w:t xml:space="preserve"> qualifying matters, including understanding how ‘other’ matters may apply.</w:t>
      </w:r>
    </w:p>
    <w:p w14:paraId="2EF69941" w14:textId="548B23A4" w:rsidR="00C0111D" w:rsidRPr="00C0111D" w:rsidRDefault="00C0111D" w:rsidP="007F3426">
      <w:pPr>
        <w:pStyle w:val="BodyText"/>
      </w:pPr>
      <w:r w:rsidRPr="00C0111D">
        <w:t xml:space="preserve">The last section of the </w:t>
      </w:r>
      <w:r w:rsidR="001E184B">
        <w:t>guide</w:t>
      </w:r>
      <w:r w:rsidR="001E184B" w:rsidRPr="00C0111D">
        <w:t xml:space="preserve"> </w:t>
      </w:r>
      <w:r w:rsidRPr="00C0111D">
        <w:t xml:space="preserve">provides a full worked example of how to collectively consider the above matters to apply the intensification provisions </w:t>
      </w:r>
      <w:r w:rsidR="001E184B">
        <w:t xml:space="preserve">effectively </w:t>
      </w:r>
      <w:r w:rsidRPr="00C0111D">
        <w:t xml:space="preserve">in </w:t>
      </w:r>
      <w:r w:rsidR="00581515">
        <w:t xml:space="preserve">district </w:t>
      </w:r>
      <w:r w:rsidRPr="00C0111D">
        <w:t>plans and regional policy statements.</w:t>
      </w:r>
    </w:p>
    <w:p w14:paraId="45621539" w14:textId="5016E040" w:rsidR="00C0111D" w:rsidRPr="00C0111D" w:rsidRDefault="00C0111D" w:rsidP="000D494E">
      <w:pPr>
        <w:pStyle w:val="Heading2"/>
        <w:numPr>
          <w:ilvl w:val="1"/>
          <w:numId w:val="17"/>
        </w:numPr>
        <w:ind w:hanging="1145"/>
        <w:rPr>
          <w:rFonts w:eastAsiaTheme="minorEastAsia"/>
        </w:rPr>
      </w:pPr>
      <w:bookmarkStart w:id="8" w:name="_Toc50720772"/>
      <w:r w:rsidRPr="00C0111D">
        <w:rPr>
          <w:rFonts w:eastAsiaTheme="minorEastAsia"/>
        </w:rPr>
        <w:t>Timing of implementation</w:t>
      </w:r>
      <w:bookmarkEnd w:id="8"/>
    </w:p>
    <w:p w14:paraId="5ED517E7" w14:textId="27AD3A77" w:rsidR="00C0111D" w:rsidRDefault="001E184B" w:rsidP="007F3426">
      <w:pPr>
        <w:pStyle w:val="BodyText"/>
      </w:pPr>
      <w:r>
        <w:t>To</w:t>
      </w:r>
      <w:r w:rsidR="00C0111D" w:rsidRPr="00C0111D">
        <w:t xml:space="preserve"> better enable intensification in our urban environments, many local authorities will be required to implement new policies under the NPS-UD and make changes to their planning documents. </w:t>
      </w:r>
      <w:r>
        <w:t>T</w:t>
      </w:r>
      <w:r w:rsidR="00C0111D" w:rsidRPr="00C0111D">
        <w:t>he intensification requirements and timeframes for tier 1, 2</w:t>
      </w:r>
      <w:r w:rsidR="00085E3A">
        <w:t xml:space="preserve"> and</w:t>
      </w:r>
      <w:r w:rsidR="00C0111D" w:rsidRPr="00C0111D">
        <w:t xml:space="preserve"> 3 local authorities are summarised in </w:t>
      </w:r>
      <w:r>
        <w:t>t</w:t>
      </w:r>
      <w:r w:rsidR="00C0111D" w:rsidRPr="00C0111D">
        <w:t>able 1 below.</w:t>
      </w:r>
    </w:p>
    <w:p w14:paraId="643DAB35" w14:textId="2D106CD7" w:rsidR="00625402" w:rsidRDefault="00625402" w:rsidP="00625402">
      <w:pPr>
        <w:pStyle w:val="Tableheading"/>
      </w:pPr>
      <w:bookmarkStart w:id="9" w:name="_Toc51236805"/>
      <w:r>
        <w:t>Table 1:</w:t>
      </w:r>
      <w:r w:rsidR="009113AC">
        <w:t xml:space="preserve"> </w:t>
      </w:r>
      <w:r w:rsidR="001E184B">
        <w:t>Intensification requirements and timeframes for tier 1, 2 and 3 local authorities</w:t>
      </w:r>
      <w:bookmarkEnd w:id="9"/>
    </w:p>
    <w:tbl>
      <w:tblPr>
        <w:tblStyle w:val="TableGrid"/>
        <w:tblW w:w="9072" w:type="dxa"/>
        <w:tblBorders>
          <w:top w:val="single" w:sz="12" w:space="0" w:color="2C9986"/>
          <w:left w:val="none" w:sz="0" w:space="0" w:color="auto"/>
          <w:bottom w:val="single" w:sz="12" w:space="0" w:color="2C9986"/>
          <w:right w:val="none" w:sz="0" w:space="0" w:color="auto"/>
          <w:insideH w:val="single" w:sz="12" w:space="0" w:color="2C9986"/>
          <w:insideV w:val="single" w:sz="12" w:space="0" w:color="2C9986"/>
        </w:tblBorders>
        <w:tblCellMar>
          <w:top w:w="85" w:type="dxa"/>
          <w:bottom w:w="85" w:type="dxa"/>
        </w:tblCellMar>
        <w:tblLook w:val="04A0" w:firstRow="1" w:lastRow="0" w:firstColumn="1" w:lastColumn="0" w:noHBand="0" w:noVBand="1"/>
      </w:tblPr>
      <w:tblGrid>
        <w:gridCol w:w="1560"/>
        <w:gridCol w:w="2409"/>
        <w:gridCol w:w="95"/>
        <w:gridCol w:w="2457"/>
        <w:gridCol w:w="47"/>
        <w:gridCol w:w="2504"/>
      </w:tblGrid>
      <w:tr w:rsidR="00CB4278" w:rsidRPr="00F07EEF" w14:paraId="33ADCF90" w14:textId="77777777" w:rsidTr="00CB4278">
        <w:trPr>
          <w:cantSplit/>
          <w:trHeight w:val="220"/>
          <w:tblHeader/>
        </w:trPr>
        <w:tc>
          <w:tcPr>
            <w:tcW w:w="1560" w:type="dxa"/>
            <w:tcBorders>
              <w:top w:val="single" w:sz="2" w:space="0" w:color="1C556C"/>
              <w:left w:val="single" w:sz="12" w:space="0" w:color="1C556C"/>
              <w:bottom w:val="single" w:sz="2" w:space="0" w:color="1C556C"/>
              <w:right w:val="single" w:sz="2" w:space="0" w:color="1C556C"/>
            </w:tcBorders>
            <w:shd w:val="clear" w:color="auto" w:fill="1C556C"/>
          </w:tcPr>
          <w:p w14:paraId="3002DDD9" w14:textId="77777777" w:rsidR="00CB4278" w:rsidRPr="00AB484E" w:rsidRDefault="00CB4278" w:rsidP="00B93291">
            <w:pPr>
              <w:rPr>
                <w:color w:val="FFFFFF" w:themeColor="background1"/>
              </w:rPr>
            </w:pPr>
          </w:p>
        </w:tc>
        <w:tc>
          <w:tcPr>
            <w:tcW w:w="2504" w:type="dxa"/>
            <w:gridSpan w:val="2"/>
            <w:tcBorders>
              <w:top w:val="single" w:sz="2" w:space="0" w:color="1C556C"/>
              <w:left w:val="single" w:sz="2" w:space="0" w:color="1C556C"/>
              <w:bottom w:val="single" w:sz="2" w:space="0" w:color="1C556C"/>
              <w:right w:val="single" w:sz="2" w:space="0" w:color="1C556C"/>
            </w:tcBorders>
            <w:shd w:val="clear" w:color="auto" w:fill="1C556C"/>
          </w:tcPr>
          <w:p w14:paraId="79059B01" w14:textId="77777777" w:rsidR="00CB4278" w:rsidRPr="00CB4278" w:rsidRDefault="00CB4278" w:rsidP="00CB4278">
            <w:pPr>
              <w:pStyle w:val="Tableheading"/>
              <w:rPr>
                <w:color w:val="FFFFFF" w:themeColor="background1"/>
              </w:rPr>
            </w:pPr>
            <w:bookmarkStart w:id="10" w:name="_Toc51236806"/>
            <w:r w:rsidRPr="00CB4278">
              <w:rPr>
                <w:color w:val="FFFFFF" w:themeColor="background1"/>
              </w:rPr>
              <w:t>Tier 1</w:t>
            </w:r>
            <w:bookmarkEnd w:id="10"/>
          </w:p>
        </w:tc>
        <w:tc>
          <w:tcPr>
            <w:tcW w:w="2504" w:type="dxa"/>
            <w:gridSpan w:val="2"/>
            <w:tcBorders>
              <w:top w:val="single" w:sz="2" w:space="0" w:color="1C556C"/>
              <w:left w:val="single" w:sz="2" w:space="0" w:color="1C556C"/>
              <w:bottom w:val="single" w:sz="2" w:space="0" w:color="1C556C"/>
              <w:right w:val="single" w:sz="2" w:space="0" w:color="1C556C"/>
            </w:tcBorders>
            <w:shd w:val="clear" w:color="auto" w:fill="1C556C"/>
          </w:tcPr>
          <w:p w14:paraId="67187903" w14:textId="77777777" w:rsidR="00CB4278" w:rsidRPr="00CB4278" w:rsidRDefault="00CB4278" w:rsidP="00CB4278">
            <w:pPr>
              <w:pStyle w:val="Tableheading"/>
              <w:rPr>
                <w:color w:val="FFFFFF" w:themeColor="background1"/>
              </w:rPr>
            </w:pPr>
            <w:bookmarkStart w:id="11" w:name="_Toc51236807"/>
            <w:r w:rsidRPr="00CB4278">
              <w:rPr>
                <w:color w:val="FFFFFF" w:themeColor="background1"/>
              </w:rPr>
              <w:t>Tier 2</w:t>
            </w:r>
            <w:bookmarkEnd w:id="11"/>
          </w:p>
        </w:tc>
        <w:tc>
          <w:tcPr>
            <w:tcW w:w="2504" w:type="dxa"/>
            <w:tcBorders>
              <w:top w:val="single" w:sz="2" w:space="0" w:color="1C556C"/>
              <w:left w:val="single" w:sz="2" w:space="0" w:color="1C556C"/>
              <w:bottom w:val="single" w:sz="2" w:space="0" w:color="1C556C"/>
              <w:right w:val="single" w:sz="12" w:space="0" w:color="1C556C"/>
            </w:tcBorders>
            <w:shd w:val="clear" w:color="auto" w:fill="1C556C"/>
          </w:tcPr>
          <w:p w14:paraId="30E7477A" w14:textId="77777777" w:rsidR="00CB4278" w:rsidRPr="00CB4278" w:rsidRDefault="00CB4278" w:rsidP="00CB4278">
            <w:pPr>
              <w:pStyle w:val="Tableheading"/>
              <w:rPr>
                <w:color w:val="FFFFFF" w:themeColor="background1"/>
              </w:rPr>
            </w:pPr>
            <w:bookmarkStart w:id="12" w:name="_Toc51236808"/>
            <w:r w:rsidRPr="00CB4278">
              <w:rPr>
                <w:color w:val="FFFFFF" w:themeColor="background1"/>
              </w:rPr>
              <w:t>Tier 3</w:t>
            </w:r>
            <w:bookmarkEnd w:id="12"/>
          </w:p>
        </w:tc>
      </w:tr>
      <w:tr w:rsidR="00CB4278" w:rsidRPr="00EF63D0" w14:paraId="23321D6B" w14:textId="77777777" w:rsidTr="00CB4278">
        <w:trPr>
          <w:cantSplit/>
        </w:trPr>
        <w:tc>
          <w:tcPr>
            <w:tcW w:w="1560" w:type="dxa"/>
            <w:tcBorders>
              <w:top w:val="single" w:sz="2" w:space="0" w:color="1C556C"/>
              <w:bottom w:val="single" w:sz="2" w:space="0" w:color="1C556C"/>
              <w:right w:val="single" w:sz="2" w:space="0" w:color="1C556C"/>
            </w:tcBorders>
            <w:shd w:val="clear" w:color="auto" w:fill="auto"/>
          </w:tcPr>
          <w:p w14:paraId="2E00A2A7" w14:textId="77777777" w:rsidR="00CB4278" w:rsidRPr="00CB4278" w:rsidRDefault="00CB4278" w:rsidP="00CB4278">
            <w:pPr>
              <w:pStyle w:val="TableText"/>
              <w:rPr>
                <w:b/>
              </w:rPr>
            </w:pPr>
            <w:r w:rsidRPr="00CB4278">
              <w:rPr>
                <w:b/>
              </w:rPr>
              <w:t>Implementation timeframes</w:t>
            </w:r>
          </w:p>
        </w:tc>
        <w:tc>
          <w:tcPr>
            <w:tcW w:w="4961" w:type="dxa"/>
            <w:gridSpan w:val="3"/>
            <w:tcBorders>
              <w:top w:val="single" w:sz="2" w:space="0" w:color="1C556C"/>
              <w:left w:val="single" w:sz="2" w:space="0" w:color="1C556C"/>
              <w:bottom w:val="single" w:sz="2" w:space="0" w:color="1C556C"/>
              <w:right w:val="single" w:sz="2" w:space="0" w:color="1C556C"/>
            </w:tcBorders>
            <w:shd w:val="clear" w:color="auto" w:fill="auto"/>
          </w:tcPr>
          <w:p w14:paraId="696CA440" w14:textId="241DD4AB" w:rsidR="00CB4278" w:rsidRPr="00CB4278" w:rsidRDefault="00CB4278" w:rsidP="001E184B">
            <w:pPr>
              <w:pStyle w:val="TableText"/>
            </w:pPr>
            <w:r w:rsidRPr="00CB4278">
              <w:t>Plan changes to give effect to intensification provisions notified as soon as practicable and no later than two years after commencement of the NPS-UD</w:t>
            </w:r>
          </w:p>
        </w:tc>
        <w:tc>
          <w:tcPr>
            <w:tcW w:w="2551" w:type="dxa"/>
            <w:gridSpan w:val="2"/>
            <w:tcBorders>
              <w:top w:val="single" w:sz="2" w:space="0" w:color="1C556C"/>
              <w:left w:val="single" w:sz="2" w:space="0" w:color="1C556C"/>
              <w:bottom w:val="single" w:sz="2" w:space="0" w:color="1C556C"/>
            </w:tcBorders>
            <w:shd w:val="clear" w:color="auto" w:fill="auto"/>
          </w:tcPr>
          <w:p w14:paraId="07E62550" w14:textId="3A1EE77D" w:rsidR="00CB4278" w:rsidRPr="00EF63D0" w:rsidRDefault="00CB4278" w:rsidP="001E184B">
            <w:pPr>
              <w:pStyle w:val="TableText"/>
            </w:pPr>
            <w:r>
              <w:t xml:space="preserve">Plan changes to give effect to intensification provisions notified </w:t>
            </w:r>
            <w:r w:rsidRPr="005C72AE">
              <w:rPr>
                <w:b/>
                <w:bCs/>
                <w:u w:val="single"/>
              </w:rPr>
              <w:t>as soon as practicable</w:t>
            </w:r>
            <w:r>
              <w:t xml:space="preserve"> after commencement of the NPS-UD</w:t>
            </w:r>
          </w:p>
        </w:tc>
      </w:tr>
      <w:tr w:rsidR="00CB4278" w:rsidRPr="00EF63D0" w14:paraId="0171F113" w14:textId="77777777" w:rsidTr="00CB4278">
        <w:trPr>
          <w:cantSplit/>
        </w:trPr>
        <w:tc>
          <w:tcPr>
            <w:tcW w:w="1560" w:type="dxa"/>
            <w:vMerge w:val="restart"/>
            <w:tcBorders>
              <w:top w:val="single" w:sz="2" w:space="0" w:color="1C556C"/>
              <w:bottom w:val="single" w:sz="2" w:space="0" w:color="1C556C"/>
              <w:right w:val="single" w:sz="2" w:space="0" w:color="1C556C"/>
            </w:tcBorders>
            <w:shd w:val="clear" w:color="auto" w:fill="auto"/>
          </w:tcPr>
          <w:p w14:paraId="549F63EB" w14:textId="77777777" w:rsidR="00CB4278" w:rsidRPr="00CB4278" w:rsidRDefault="00CB4278" w:rsidP="00CB4278">
            <w:pPr>
              <w:pStyle w:val="TableText"/>
              <w:rPr>
                <w:b/>
              </w:rPr>
            </w:pPr>
            <w:r w:rsidRPr="00CB4278">
              <w:rPr>
                <w:b/>
              </w:rPr>
              <w:t>Implementation requirements</w:t>
            </w:r>
          </w:p>
        </w:tc>
        <w:tc>
          <w:tcPr>
            <w:tcW w:w="7512" w:type="dxa"/>
            <w:gridSpan w:val="5"/>
            <w:tcBorders>
              <w:top w:val="single" w:sz="2" w:space="0" w:color="1C556C"/>
              <w:left w:val="single" w:sz="2" w:space="0" w:color="1C556C"/>
              <w:bottom w:val="single" w:sz="2" w:space="0" w:color="1C556C"/>
            </w:tcBorders>
            <w:shd w:val="clear" w:color="auto" w:fill="auto"/>
          </w:tcPr>
          <w:p w14:paraId="17B47825" w14:textId="1CA03B75" w:rsidR="00CB4278" w:rsidRPr="00CB4278" w:rsidRDefault="00CB4278" w:rsidP="00CB4278">
            <w:pPr>
              <w:pStyle w:val="TableText"/>
            </w:pPr>
            <w:r w:rsidRPr="00CB4278">
              <w:t xml:space="preserve">Provide for and enable the benefits of urban intensification through </w:t>
            </w:r>
            <w:r w:rsidR="001E184B">
              <w:t>r</w:t>
            </w:r>
            <w:r w:rsidRPr="00CB4278">
              <w:t xml:space="preserve">egional </w:t>
            </w:r>
            <w:r w:rsidR="001E184B">
              <w:t>p</w:t>
            </w:r>
            <w:r w:rsidRPr="00CB4278">
              <w:t xml:space="preserve">olicy </w:t>
            </w:r>
            <w:r w:rsidR="001E184B">
              <w:t>s</w:t>
            </w:r>
            <w:r w:rsidRPr="00CB4278">
              <w:t xml:space="preserve">tatements and </w:t>
            </w:r>
            <w:r w:rsidR="001E184B">
              <w:t>d</w:t>
            </w:r>
            <w:r w:rsidRPr="00CB4278">
              <w:t xml:space="preserve">istrict </w:t>
            </w:r>
            <w:r w:rsidR="001E184B">
              <w:t>p</w:t>
            </w:r>
            <w:r w:rsidRPr="00CB4278">
              <w:t>lans (</w:t>
            </w:r>
            <w:r w:rsidR="009113AC">
              <w:t>ie,</w:t>
            </w:r>
            <w:r w:rsidRPr="00CB4278">
              <w:t xml:space="preserve"> insert objective/s supporting intensification outcomes, new zone policies, changes to rules and rezoning)</w:t>
            </w:r>
          </w:p>
        </w:tc>
      </w:tr>
      <w:tr w:rsidR="00CB4278" w:rsidRPr="00EF63D0" w14:paraId="762057B1" w14:textId="77777777" w:rsidTr="00CB4278">
        <w:trPr>
          <w:cantSplit/>
        </w:trPr>
        <w:tc>
          <w:tcPr>
            <w:tcW w:w="1560" w:type="dxa"/>
            <w:vMerge/>
            <w:tcBorders>
              <w:top w:val="single" w:sz="2" w:space="0" w:color="1C556C"/>
              <w:bottom w:val="single" w:sz="2" w:space="0" w:color="1C556C"/>
              <w:right w:val="single" w:sz="2" w:space="0" w:color="1C556C"/>
            </w:tcBorders>
            <w:shd w:val="clear" w:color="auto" w:fill="auto"/>
          </w:tcPr>
          <w:p w14:paraId="0B3A10EA" w14:textId="77777777" w:rsidR="00CB4278" w:rsidRPr="00CB4278" w:rsidRDefault="00CB4278" w:rsidP="00CB4278">
            <w:pPr>
              <w:pStyle w:val="TableText"/>
            </w:pPr>
          </w:p>
        </w:tc>
        <w:tc>
          <w:tcPr>
            <w:tcW w:w="2409" w:type="dxa"/>
            <w:tcBorders>
              <w:top w:val="single" w:sz="2" w:space="0" w:color="1C556C"/>
              <w:left w:val="single" w:sz="2" w:space="0" w:color="1C556C"/>
              <w:bottom w:val="single" w:sz="2" w:space="0" w:color="1C556C"/>
              <w:right w:val="single" w:sz="2" w:space="0" w:color="1C556C"/>
            </w:tcBorders>
            <w:shd w:val="clear" w:color="auto" w:fill="auto"/>
          </w:tcPr>
          <w:p w14:paraId="4DA79E86" w14:textId="77777777" w:rsidR="00CB4278" w:rsidRPr="00CB4278" w:rsidRDefault="00CB4278" w:rsidP="00CB4278">
            <w:pPr>
              <w:pStyle w:val="TableText"/>
            </w:pPr>
            <w:r w:rsidRPr="00CB4278">
              <w:rPr>
                <w:b/>
              </w:rPr>
              <w:t>City Centre Zone</w:t>
            </w:r>
            <w:r w:rsidRPr="00CB4278">
              <w:t xml:space="preserve"> – enable building heights and density to realise as much development capacity as possible</w:t>
            </w:r>
          </w:p>
        </w:tc>
        <w:tc>
          <w:tcPr>
            <w:tcW w:w="5103" w:type="dxa"/>
            <w:gridSpan w:val="4"/>
            <w:vMerge w:val="restart"/>
            <w:tcBorders>
              <w:top w:val="single" w:sz="2" w:space="0" w:color="1C556C"/>
              <w:left w:val="single" w:sz="2" w:space="0" w:color="1C556C"/>
              <w:bottom w:val="single" w:sz="2" w:space="0" w:color="1C556C"/>
            </w:tcBorders>
            <w:shd w:val="clear" w:color="auto" w:fill="auto"/>
          </w:tcPr>
          <w:p w14:paraId="327964E4" w14:textId="1539DDC4" w:rsidR="00CB4278" w:rsidRPr="00EF63D0" w:rsidRDefault="00CB4278" w:rsidP="001E184B">
            <w:pPr>
              <w:pStyle w:val="TableText"/>
            </w:pPr>
            <w:r w:rsidRPr="00EF63D0">
              <w:t xml:space="preserve">Enable building heights and density commensurate to the level of accessibility </w:t>
            </w:r>
            <w:r>
              <w:t>or</w:t>
            </w:r>
            <w:r w:rsidRPr="00EF63D0">
              <w:t xml:space="preserve"> relative demand</w:t>
            </w:r>
          </w:p>
        </w:tc>
      </w:tr>
      <w:tr w:rsidR="00CB4278" w:rsidRPr="00EF63D0" w14:paraId="1F64F966" w14:textId="77777777" w:rsidTr="00CB4278">
        <w:trPr>
          <w:cantSplit/>
        </w:trPr>
        <w:tc>
          <w:tcPr>
            <w:tcW w:w="1560" w:type="dxa"/>
            <w:vMerge/>
            <w:tcBorders>
              <w:top w:val="single" w:sz="2" w:space="0" w:color="1C556C"/>
              <w:bottom w:val="single" w:sz="2" w:space="0" w:color="1C556C"/>
              <w:right w:val="single" w:sz="2" w:space="0" w:color="1C556C"/>
            </w:tcBorders>
            <w:shd w:val="clear" w:color="auto" w:fill="auto"/>
          </w:tcPr>
          <w:p w14:paraId="51D10B79" w14:textId="77777777" w:rsidR="00CB4278" w:rsidRPr="00CB4278" w:rsidRDefault="00CB4278" w:rsidP="00CB4278">
            <w:pPr>
              <w:pStyle w:val="TableText"/>
            </w:pPr>
          </w:p>
        </w:tc>
        <w:tc>
          <w:tcPr>
            <w:tcW w:w="2409" w:type="dxa"/>
            <w:tcBorders>
              <w:top w:val="single" w:sz="2" w:space="0" w:color="1C556C"/>
              <w:left w:val="single" w:sz="2" w:space="0" w:color="1C556C"/>
              <w:bottom w:val="single" w:sz="2" w:space="0" w:color="1C556C"/>
              <w:right w:val="single" w:sz="2" w:space="0" w:color="1C556C"/>
            </w:tcBorders>
            <w:shd w:val="clear" w:color="auto" w:fill="auto"/>
          </w:tcPr>
          <w:p w14:paraId="5BB209A1" w14:textId="77777777" w:rsidR="00CB4278" w:rsidRPr="00CB4278" w:rsidRDefault="00CB4278" w:rsidP="00CB4278">
            <w:pPr>
              <w:pStyle w:val="TableText"/>
            </w:pPr>
            <w:r w:rsidRPr="00CB4278">
              <w:rPr>
                <w:b/>
              </w:rPr>
              <w:t>Metropolitan Centre Zone</w:t>
            </w:r>
            <w:r w:rsidRPr="00CB4278">
              <w:t xml:space="preserve"> – enable building heights of at least six storeys</w:t>
            </w:r>
          </w:p>
        </w:tc>
        <w:tc>
          <w:tcPr>
            <w:tcW w:w="5103" w:type="dxa"/>
            <w:gridSpan w:val="4"/>
            <w:vMerge/>
            <w:tcBorders>
              <w:top w:val="single" w:sz="2" w:space="0" w:color="1C556C"/>
              <w:left w:val="single" w:sz="2" w:space="0" w:color="1C556C"/>
              <w:bottom w:val="single" w:sz="2" w:space="0" w:color="1C556C"/>
            </w:tcBorders>
            <w:shd w:val="clear" w:color="auto" w:fill="auto"/>
          </w:tcPr>
          <w:p w14:paraId="58285C2C" w14:textId="77777777" w:rsidR="00CB4278" w:rsidRPr="00EF63D0" w:rsidRDefault="00CB4278" w:rsidP="00B93291">
            <w:pPr>
              <w:rPr>
                <w:sz w:val="18"/>
                <w:szCs w:val="18"/>
              </w:rPr>
            </w:pPr>
          </w:p>
        </w:tc>
      </w:tr>
      <w:tr w:rsidR="00CB4278" w:rsidRPr="00EF63D0" w14:paraId="4A05C49F" w14:textId="77777777" w:rsidTr="00CB4278">
        <w:trPr>
          <w:cantSplit/>
        </w:trPr>
        <w:tc>
          <w:tcPr>
            <w:tcW w:w="1560" w:type="dxa"/>
            <w:vMerge/>
            <w:tcBorders>
              <w:top w:val="single" w:sz="2" w:space="0" w:color="1C556C"/>
              <w:bottom w:val="single" w:sz="2" w:space="0" w:color="1C556C"/>
              <w:right w:val="single" w:sz="2" w:space="0" w:color="1C556C"/>
            </w:tcBorders>
            <w:shd w:val="clear" w:color="auto" w:fill="auto"/>
          </w:tcPr>
          <w:p w14:paraId="7FC089BB" w14:textId="77777777" w:rsidR="00CB4278" w:rsidRPr="00CB4278" w:rsidRDefault="00CB4278" w:rsidP="00CB4278">
            <w:pPr>
              <w:pStyle w:val="TableText"/>
            </w:pPr>
          </w:p>
        </w:tc>
        <w:tc>
          <w:tcPr>
            <w:tcW w:w="2409" w:type="dxa"/>
            <w:tcBorders>
              <w:top w:val="single" w:sz="2" w:space="0" w:color="1C556C"/>
              <w:left w:val="single" w:sz="2" w:space="0" w:color="1C556C"/>
              <w:bottom w:val="single" w:sz="2" w:space="0" w:color="1C556C"/>
              <w:right w:val="single" w:sz="2" w:space="0" w:color="1C556C"/>
            </w:tcBorders>
            <w:shd w:val="clear" w:color="auto" w:fill="auto"/>
          </w:tcPr>
          <w:p w14:paraId="1870B64F" w14:textId="42CCB85B" w:rsidR="00CB4278" w:rsidRPr="00CB4278" w:rsidRDefault="00CB4278" w:rsidP="001E184B">
            <w:pPr>
              <w:pStyle w:val="TableText"/>
            </w:pPr>
            <w:r w:rsidRPr="00CB4278">
              <w:rPr>
                <w:b/>
              </w:rPr>
              <w:t xml:space="preserve">Walkable </w:t>
            </w:r>
            <w:r w:rsidR="001E184B">
              <w:rPr>
                <w:b/>
              </w:rPr>
              <w:t>c</w:t>
            </w:r>
            <w:r w:rsidRPr="00CB4278">
              <w:rPr>
                <w:b/>
              </w:rPr>
              <w:t>atchments</w:t>
            </w:r>
            <w:r w:rsidRPr="00CB4278">
              <w:t xml:space="preserve"> – enable building heights of</w:t>
            </w:r>
            <w:r w:rsidR="001E184B">
              <w:t xml:space="preserve"> six</w:t>
            </w:r>
            <w:r w:rsidRPr="00CB4278">
              <w:t xml:space="preserve"> storeys within walkable catchments of rapid transit stops, city centre zones and metropolitan centre zones</w:t>
            </w:r>
          </w:p>
        </w:tc>
        <w:tc>
          <w:tcPr>
            <w:tcW w:w="5103" w:type="dxa"/>
            <w:gridSpan w:val="4"/>
            <w:vMerge/>
            <w:tcBorders>
              <w:top w:val="single" w:sz="2" w:space="0" w:color="1C556C"/>
              <w:left w:val="single" w:sz="2" w:space="0" w:color="1C556C"/>
              <w:bottom w:val="single" w:sz="2" w:space="0" w:color="1C556C"/>
            </w:tcBorders>
            <w:shd w:val="clear" w:color="auto" w:fill="auto"/>
          </w:tcPr>
          <w:p w14:paraId="370EB36A" w14:textId="77777777" w:rsidR="00CB4278" w:rsidRPr="00EF63D0" w:rsidRDefault="00CB4278" w:rsidP="00B93291">
            <w:pPr>
              <w:rPr>
                <w:sz w:val="18"/>
                <w:szCs w:val="18"/>
              </w:rPr>
            </w:pPr>
          </w:p>
        </w:tc>
      </w:tr>
      <w:tr w:rsidR="00CB4278" w:rsidRPr="00EF63D0" w14:paraId="40EFE6A2" w14:textId="77777777" w:rsidTr="00CB4278">
        <w:trPr>
          <w:cantSplit/>
        </w:trPr>
        <w:tc>
          <w:tcPr>
            <w:tcW w:w="1560" w:type="dxa"/>
            <w:vMerge/>
            <w:tcBorders>
              <w:top w:val="single" w:sz="2" w:space="0" w:color="1C556C"/>
              <w:bottom w:val="single" w:sz="2" w:space="0" w:color="1C556C"/>
              <w:right w:val="single" w:sz="2" w:space="0" w:color="1C556C"/>
            </w:tcBorders>
            <w:shd w:val="clear" w:color="auto" w:fill="auto"/>
          </w:tcPr>
          <w:p w14:paraId="5A54DCCE" w14:textId="77777777" w:rsidR="00CB4278" w:rsidRPr="00CB4278" w:rsidRDefault="00CB4278" w:rsidP="00CB4278">
            <w:pPr>
              <w:pStyle w:val="TableText"/>
            </w:pPr>
          </w:p>
        </w:tc>
        <w:tc>
          <w:tcPr>
            <w:tcW w:w="2409" w:type="dxa"/>
            <w:tcBorders>
              <w:top w:val="single" w:sz="2" w:space="0" w:color="1C556C"/>
              <w:left w:val="single" w:sz="2" w:space="0" w:color="1C556C"/>
              <w:bottom w:val="single" w:sz="2" w:space="0" w:color="1C556C"/>
              <w:right w:val="single" w:sz="2" w:space="0" w:color="1C556C"/>
            </w:tcBorders>
            <w:shd w:val="clear" w:color="auto" w:fill="auto"/>
          </w:tcPr>
          <w:p w14:paraId="04A7AAE6" w14:textId="2AB044C1" w:rsidR="00CB4278" w:rsidRPr="00CB4278" w:rsidRDefault="00CB4278" w:rsidP="001E184B">
            <w:pPr>
              <w:pStyle w:val="TableText"/>
            </w:pPr>
            <w:r w:rsidRPr="00CB4278">
              <w:rPr>
                <w:b/>
              </w:rPr>
              <w:t>All other locations</w:t>
            </w:r>
            <w:r w:rsidRPr="00CB4278">
              <w:t xml:space="preserve"> – enable building heights and density commensurate to the level of accessibility and relative demand</w:t>
            </w:r>
          </w:p>
        </w:tc>
        <w:tc>
          <w:tcPr>
            <w:tcW w:w="5103" w:type="dxa"/>
            <w:gridSpan w:val="4"/>
            <w:vMerge/>
            <w:tcBorders>
              <w:top w:val="single" w:sz="2" w:space="0" w:color="1C556C"/>
              <w:left w:val="single" w:sz="2" w:space="0" w:color="1C556C"/>
              <w:bottom w:val="single" w:sz="2" w:space="0" w:color="1C556C"/>
            </w:tcBorders>
            <w:shd w:val="clear" w:color="auto" w:fill="auto"/>
          </w:tcPr>
          <w:p w14:paraId="2F53E7C9" w14:textId="77777777" w:rsidR="00CB4278" w:rsidRPr="00EF63D0" w:rsidRDefault="00CB4278" w:rsidP="00B93291">
            <w:pPr>
              <w:rPr>
                <w:sz w:val="18"/>
                <w:szCs w:val="18"/>
              </w:rPr>
            </w:pPr>
          </w:p>
        </w:tc>
      </w:tr>
    </w:tbl>
    <w:p w14:paraId="34D056E3" w14:textId="4B86C792" w:rsidR="00C0111D" w:rsidRPr="00EF46F2" w:rsidRDefault="00A04635" w:rsidP="00EF46F2">
      <w:pPr>
        <w:pStyle w:val="Heading3"/>
      </w:pPr>
      <w:bookmarkStart w:id="13" w:name="_Toc50720773"/>
      <w:r w:rsidRPr="00EF46F2">
        <w:lastRenderedPageBreak/>
        <w:t>1.5</w:t>
      </w:r>
      <w:r w:rsidRPr="00EF46F2">
        <w:tab/>
      </w:r>
      <w:r w:rsidR="00C0111D" w:rsidRPr="00EF46F2">
        <w:t>What happens before the intensification plan changes are notified</w:t>
      </w:r>
      <w:bookmarkEnd w:id="13"/>
    </w:p>
    <w:p w14:paraId="37A21A0F" w14:textId="3A74CC92" w:rsidR="00C0111D" w:rsidRPr="00C0111D" w:rsidRDefault="00C0111D" w:rsidP="007F3426">
      <w:pPr>
        <w:pStyle w:val="BodyText"/>
      </w:pPr>
      <w:r w:rsidRPr="00C0111D">
        <w:t xml:space="preserve">Local authorities might receive resource consents or private plan changes </w:t>
      </w:r>
      <w:r w:rsidR="00C25267">
        <w:t>which seek</w:t>
      </w:r>
      <w:r w:rsidR="00C25267" w:rsidRPr="00C0111D">
        <w:t xml:space="preserve"> </w:t>
      </w:r>
      <w:r w:rsidRPr="00C0111D">
        <w:t xml:space="preserve">greater heights and densities (on the basis of the NPS-UD direction) </w:t>
      </w:r>
      <w:r w:rsidR="00C25267">
        <w:t>before</w:t>
      </w:r>
      <w:r w:rsidRPr="00C0111D">
        <w:t xml:space="preserve"> intensification plan changes directed in the NPS-UD</w:t>
      </w:r>
      <w:r w:rsidR="00A1546D">
        <w:t xml:space="preserve"> are notified or take effect</w:t>
      </w:r>
      <w:r w:rsidRPr="00C0111D">
        <w:t xml:space="preserve">. In these instances, </w:t>
      </w:r>
      <w:r w:rsidR="00504EDB">
        <w:t>local authorities</w:t>
      </w:r>
      <w:r w:rsidR="00257C80">
        <w:t xml:space="preserve"> </w:t>
      </w:r>
      <w:r w:rsidRPr="00C0111D">
        <w:t xml:space="preserve">and other decision-makers considering resource consents must, under </w:t>
      </w:r>
      <w:hyperlink r:id="rId14" w:history="1">
        <w:r w:rsidRPr="00FE0124">
          <w:rPr>
            <w:rStyle w:val="Hyperlink"/>
            <w:b/>
          </w:rPr>
          <w:t>section 104(1)(b)</w:t>
        </w:r>
      </w:hyperlink>
      <w:r w:rsidRPr="00C0111D">
        <w:t xml:space="preserve"> of the </w:t>
      </w:r>
      <w:r w:rsidR="00C25267">
        <w:t>Resource Management Act (RMA)</w:t>
      </w:r>
      <w:r w:rsidRPr="00C0111D">
        <w:t xml:space="preserve">, have regard to </w:t>
      </w:r>
      <w:r w:rsidR="00257C80">
        <w:t>“</w:t>
      </w:r>
      <w:r w:rsidRPr="00C0111D">
        <w:t>any relevant provision</w:t>
      </w:r>
      <w:r w:rsidR="00257C80">
        <w:t>s”</w:t>
      </w:r>
      <w:r w:rsidRPr="00C0111D">
        <w:t xml:space="preserve"> in a national policy statement</w:t>
      </w:r>
      <w:r w:rsidR="00085E3A">
        <w:t xml:space="preserve"> (NPS)</w:t>
      </w:r>
      <w:r w:rsidR="00C25267">
        <w:t xml:space="preserve">. This is </w:t>
      </w:r>
      <w:r w:rsidRPr="00C0111D">
        <w:t xml:space="preserve">even before </w:t>
      </w:r>
      <w:r w:rsidR="00257C80">
        <w:t xml:space="preserve">territorial authorities </w:t>
      </w:r>
      <w:r w:rsidRPr="00C0111D">
        <w:t>have amended their district plans to give effect to the intensification requirements. Except where otherwise specified in an NPS, this applies from the date of commencement of the NPS. Note that “any relevant provision</w:t>
      </w:r>
      <w:r w:rsidR="005756A2">
        <w:t>s</w:t>
      </w:r>
      <w:r w:rsidRPr="00C0111D">
        <w:t>” includes any part of the NPS-UD</w:t>
      </w:r>
      <w:r w:rsidR="00085E3A">
        <w:t>. This means</w:t>
      </w:r>
      <w:r w:rsidRPr="00C0111D">
        <w:t xml:space="preserve"> the preliminary provisions in Part 1, the objectives and policies in Part 2</w:t>
      </w:r>
      <w:r w:rsidR="00085E3A">
        <w:t xml:space="preserve"> and</w:t>
      </w:r>
      <w:r w:rsidRPr="00C0111D">
        <w:t xml:space="preserve"> the implementation provisions in Part 3. All are “provisions” of the NPS, which may or may not be relevant to a particular resource consent. </w:t>
      </w:r>
    </w:p>
    <w:p w14:paraId="60CE71E3" w14:textId="5D62AFBF" w:rsidR="00C0111D" w:rsidRPr="00C0111D" w:rsidRDefault="00C0111D" w:rsidP="007F3426">
      <w:pPr>
        <w:pStyle w:val="BodyText"/>
      </w:pPr>
      <w:r w:rsidRPr="00C0111D">
        <w:t>Local authorities will need to amend their plans to give effect to the intensification provisions in the NPS-UD (Objective 3, Policies 3 to 5</w:t>
      </w:r>
      <w:r w:rsidR="00085E3A">
        <w:t xml:space="preserve"> and</w:t>
      </w:r>
      <w:r w:rsidRPr="00C0111D">
        <w:t xml:space="preserve"> subpart 6 of Part 3)</w:t>
      </w:r>
      <w:r w:rsidR="00085E3A">
        <w:t xml:space="preserve">. </w:t>
      </w:r>
      <w:r w:rsidR="005756A2">
        <w:t xml:space="preserve">Before </w:t>
      </w:r>
      <w:r w:rsidR="00504EDB">
        <w:t>t</w:t>
      </w:r>
      <w:r w:rsidRPr="00C0111D">
        <w:t>hese plan changes</w:t>
      </w:r>
      <w:r w:rsidR="005756A2">
        <w:t xml:space="preserve"> take effect</w:t>
      </w:r>
      <w:r w:rsidR="00603F05">
        <w:t>,</w:t>
      </w:r>
      <w:r w:rsidRPr="00C0111D">
        <w:t xml:space="preserve"> the intensification provisions will </w:t>
      </w:r>
      <w:r w:rsidR="00603F05">
        <w:t xml:space="preserve">need to </w:t>
      </w:r>
      <w:r w:rsidRPr="00C0111D">
        <w:t xml:space="preserve">be relevant to any resource consent </w:t>
      </w:r>
      <w:r w:rsidR="005756A2">
        <w:t xml:space="preserve">application being considered </w:t>
      </w:r>
      <w:r w:rsidRPr="00C0111D">
        <w:t xml:space="preserve">for a development in areas covered by those provisions. </w:t>
      </w:r>
    </w:p>
    <w:p w14:paraId="6AF3F365" w14:textId="78551029" w:rsidR="00C0111D" w:rsidRPr="00C0111D" w:rsidRDefault="005756A2" w:rsidP="007F3426">
      <w:pPr>
        <w:pStyle w:val="BodyText"/>
      </w:pPr>
      <w:r>
        <w:t xml:space="preserve">Private </w:t>
      </w:r>
      <w:r w:rsidR="00C0111D" w:rsidRPr="00C0111D">
        <w:t>plan change</w:t>
      </w:r>
      <w:r>
        <w:t xml:space="preserve"> requests lodged before a council</w:t>
      </w:r>
      <w:r w:rsidR="00603F05">
        <w:t>-</w:t>
      </w:r>
      <w:r>
        <w:t xml:space="preserve">initiated plan change to implement the NPS-UD </w:t>
      </w:r>
      <w:r w:rsidR="00C0111D" w:rsidRPr="00C0111D">
        <w:t xml:space="preserve">must give effect to </w:t>
      </w:r>
      <w:r>
        <w:t xml:space="preserve">the </w:t>
      </w:r>
      <w:r w:rsidR="00C0111D" w:rsidRPr="00C0111D">
        <w:t>NPS</w:t>
      </w:r>
      <w:r>
        <w:t>-UD</w:t>
      </w:r>
      <w:r w:rsidR="00C0111D" w:rsidRPr="00C0111D">
        <w:t xml:space="preserve">. This is a stronger direction than the requirement to “have regard to” an NPS in </w:t>
      </w:r>
      <w:r w:rsidR="001560BC">
        <w:t xml:space="preserve">RMA </w:t>
      </w:r>
      <w:r w:rsidR="00C0111D" w:rsidRPr="00C0111D">
        <w:t xml:space="preserve">section 104 for resource consents. On this basis, local authorities will need to consider </w:t>
      </w:r>
      <w:r>
        <w:t xml:space="preserve">whether the request gives effect </w:t>
      </w:r>
      <w:r w:rsidR="00C0111D" w:rsidRPr="00C0111D">
        <w:t>to the intensification provisions</w:t>
      </w:r>
      <w:r w:rsidR="00603F05">
        <w:t xml:space="preserve"> when making decisions</w:t>
      </w:r>
      <w:r>
        <w:t>.</w:t>
      </w:r>
      <w:r w:rsidR="00C0111D" w:rsidRPr="00C0111D">
        <w:t xml:space="preserve"> </w:t>
      </w:r>
    </w:p>
    <w:p w14:paraId="7C7FA5BB" w14:textId="51417391" w:rsidR="00120AA8" w:rsidRDefault="00120AA8">
      <w:pPr>
        <w:spacing w:before="0" w:after="200" w:line="276" w:lineRule="auto"/>
        <w:jc w:val="left"/>
        <w:rPr>
          <w:rFonts w:cstheme="majorBidi"/>
          <w:b/>
          <w:bCs/>
          <w:color w:val="1C556C"/>
          <w:sz w:val="48"/>
          <w:szCs w:val="28"/>
        </w:rPr>
      </w:pPr>
      <w:r>
        <w:br w:type="page"/>
      </w:r>
    </w:p>
    <w:p w14:paraId="2BCD530B" w14:textId="46EE0148" w:rsidR="00C0111D" w:rsidRPr="00C0111D" w:rsidRDefault="00C0111D" w:rsidP="000D494E">
      <w:pPr>
        <w:pStyle w:val="Heading1"/>
        <w:numPr>
          <w:ilvl w:val="0"/>
          <w:numId w:val="22"/>
        </w:numPr>
        <w:ind w:left="851" w:hanging="851"/>
        <w:rPr>
          <w:rFonts w:eastAsiaTheme="minorEastAsia"/>
        </w:rPr>
      </w:pPr>
      <w:bookmarkStart w:id="14" w:name="_Toc50720774"/>
      <w:r w:rsidRPr="00C0111D">
        <w:rPr>
          <w:rFonts w:eastAsiaTheme="minorEastAsia"/>
        </w:rPr>
        <w:lastRenderedPageBreak/>
        <w:t>Intent and rationale of intensification policies</w:t>
      </w:r>
      <w:bookmarkEnd w:id="14"/>
    </w:p>
    <w:p w14:paraId="7EF78F74" w14:textId="2547C369" w:rsidR="00C0111D" w:rsidRPr="00C0111D" w:rsidRDefault="00C0111D" w:rsidP="007F3426">
      <w:pPr>
        <w:pStyle w:val="BodyText"/>
      </w:pPr>
      <w:r w:rsidRPr="00C0111D">
        <w:t xml:space="preserve">The intensification provisions are intended to ensure that in urban areas, intensification in desirable and suitable locations is enabled in </w:t>
      </w:r>
      <w:r w:rsidR="00504EDB">
        <w:t>plans.</w:t>
      </w:r>
      <w:r w:rsidR="00085E3A">
        <w:t xml:space="preserve"> This is</w:t>
      </w:r>
      <w:r w:rsidRPr="00C0111D">
        <w:t xml:space="preserve"> to support well-functioning urban environments and improve housing affordability through competitive land markets.</w:t>
      </w:r>
    </w:p>
    <w:p w14:paraId="7A4759C3" w14:textId="7F796DF0" w:rsidR="00C0111D" w:rsidRDefault="00C0111D" w:rsidP="007F3426">
      <w:pPr>
        <w:pStyle w:val="BodyText"/>
      </w:pPr>
      <w:r w:rsidRPr="00C0111D">
        <w:t xml:space="preserve">Some of the outcomes that are expected to be realised through the implementation of the intensification provisions </w:t>
      </w:r>
      <w:r w:rsidR="00085E3A">
        <w:t>are shown in figure 1 below</w:t>
      </w:r>
      <w:r w:rsidR="004E5252">
        <w:t>.</w:t>
      </w:r>
    </w:p>
    <w:p w14:paraId="2F9D6759" w14:textId="45A4EEC8" w:rsidR="004E5252" w:rsidRDefault="004E5252" w:rsidP="004E5252">
      <w:pPr>
        <w:pStyle w:val="Figureheading"/>
      </w:pPr>
      <w:bookmarkStart w:id="15" w:name="_Toc51240487"/>
      <w:r>
        <w:t>Figure 1:</w:t>
      </w:r>
      <w:r>
        <w:tab/>
        <w:t>Expected outcomes of the intensification provisions</w:t>
      </w:r>
      <w:bookmarkEnd w:id="15"/>
    </w:p>
    <w:p w14:paraId="7E0F8421" w14:textId="703A7C51" w:rsidR="00C0111D" w:rsidRPr="00C0111D" w:rsidRDefault="00320CF1" w:rsidP="007F3426">
      <w:pPr>
        <w:pStyle w:val="BodyText"/>
      </w:pPr>
      <w:r>
        <w:rPr>
          <w:noProof/>
        </w:rPr>
        <mc:AlternateContent>
          <mc:Choice Requires="wpg">
            <w:drawing>
              <wp:anchor distT="0" distB="0" distL="114300" distR="114300" simplePos="0" relativeHeight="251659264" behindDoc="0" locked="0" layoutInCell="1" allowOverlap="1" wp14:anchorId="0EC0176E" wp14:editId="618DFD31">
                <wp:simplePos x="0" y="0"/>
                <wp:positionH relativeFrom="column">
                  <wp:posOffset>90170</wp:posOffset>
                </wp:positionH>
                <wp:positionV relativeFrom="paragraph">
                  <wp:posOffset>21590</wp:posOffset>
                </wp:positionV>
                <wp:extent cx="5581015" cy="2935425"/>
                <wp:effectExtent l="0" t="0" r="635" b="0"/>
                <wp:wrapNone/>
                <wp:docPr id="2" name="Group 2"/>
                <wp:cNvGraphicFramePr/>
                <a:graphic xmlns:a="http://schemas.openxmlformats.org/drawingml/2006/main">
                  <a:graphicData uri="http://schemas.microsoft.com/office/word/2010/wordprocessingGroup">
                    <wpg:wgp>
                      <wpg:cNvGrpSpPr/>
                      <wpg:grpSpPr>
                        <a:xfrm>
                          <a:off x="0" y="0"/>
                          <a:ext cx="5581015" cy="2935425"/>
                          <a:chOff x="0" y="0"/>
                          <a:chExt cx="5581015" cy="2935425"/>
                        </a:xfrm>
                      </wpg:grpSpPr>
                      <wps:wsp>
                        <wps:cNvPr id="9" name="Rectangle: Rounded Corners 7"/>
                        <wps:cNvSpPr/>
                        <wps:spPr>
                          <a:xfrm>
                            <a:off x="0" y="0"/>
                            <a:ext cx="1799590" cy="1438275"/>
                          </a:xfrm>
                          <a:prstGeom prst="roundRect">
                            <a:avLst/>
                          </a:prstGeom>
                          <a:solidFill>
                            <a:srgbClr val="32809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89645E" w14:textId="77777777" w:rsidR="00307D72" w:rsidRPr="00504EDB" w:rsidRDefault="00307D72" w:rsidP="004E5252">
                              <w:pPr>
                                <w:jc w:val="left"/>
                                <w:rPr>
                                  <w:b/>
                                  <w:color w:val="FFFFFF" w:themeColor="background1"/>
                                </w:rPr>
                              </w:pPr>
                              <w:r w:rsidRPr="00504EDB">
                                <w:rPr>
                                  <w:b/>
                                  <w:color w:val="FFFFFF" w:themeColor="background1"/>
                                </w:rPr>
                                <w:t>People can live and work in parts of urban areas that are in or around city centres, or other locations with good access to jobs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Rounded Corners 9"/>
                        <wps:cNvSpPr/>
                        <wps:spPr>
                          <a:xfrm>
                            <a:off x="3781425" y="0"/>
                            <a:ext cx="1799590" cy="1439545"/>
                          </a:xfrm>
                          <a:prstGeom prst="roundRect">
                            <a:avLst/>
                          </a:prstGeom>
                          <a:solidFill>
                            <a:srgbClr val="0F7B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170E38" w14:textId="77777777" w:rsidR="00307D72" w:rsidRPr="007F3426" w:rsidRDefault="00307D72" w:rsidP="004E5252">
                              <w:pPr>
                                <w:spacing w:before="0"/>
                                <w:jc w:val="left"/>
                                <w:rPr>
                                  <w:b/>
                                  <w:color w:val="FFFFFF" w:themeColor="background1"/>
                                </w:rPr>
                              </w:pPr>
                              <w:r w:rsidRPr="007F3426">
                                <w:rPr>
                                  <w:b/>
                                  <w:color w:val="FFFFFF" w:themeColor="background1"/>
                                </w:rPr>
                                <w:t>There is enough development capacity to support growth in the parts of urban areas where demand is high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Rounded Corners 8"/>
                        <wps:cNvSpPr/>
                        <wps:spPr>
                          <a:xfrm>
                            <a:off x="1885950" y="19050"/>
                            <a:ext cx="1799590" cy="1419225"/>
                          </a:xfrm>
                          <a:prstGeom prst="roundRect">
                            <a:avLst/>
                          </a:prstGeom>
                          <a:solidFill>
                            <a:srgbClr val="1C556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4B9108" w14:textId="77777777" w:rsidR="00307D72" w:rsidRPr="00504EDB" w:rsidRDefault="00307D72" w:rsidP="00DD4322">
                              <w:pPr>
                                <w:spacing w:before="0"/>
                                <w:jc w:val="left"/>
                                <w:rPr>
                                  <w:b/>
                                  <w:color w:val="FFFFFF" w:themeColor="background1"/>
                                </w:rPr>
                              </w:pPr>
                              <w:r w:rsidRPr="00504EDB">
                                <w:rPr>
                                  <w:b/>
                                  <w:color w:val="FFFFFF" w:themeColor="background1"/>
                                </w:rPr>
                                <w:t>People have good accessibility to public transport in areas that are zoned for higher densities</w:t>
                              </w:r>
                            </w:p>
                          </w:txbxContent>
                        </wps:txbx>
                        <wps:bodyPr rot="0" spcFirstLastPara="0" vertOverflow="overflow" horzOverflow="overflow" vert="horz" wrap="square" lIns="91440" tIns="45720" rIns="91440" bIns="46800" numCol="1" spcCol="0" rtlCol="0" fromWordArt="0" anchor="ctr" anchorCtr="0" forceAA="0" compatLnSpc="1">
                          <a:prstTxWarp prst="textNoShape">
                            <a:avLst/>
                          </a:prstTxWarp>
                          <a:noAutofit/>
                        </wps:bodyPr>
                      </wps:wsp>
                      <wps:wsp>
                        <wps:cNvPr id="12" name="Rectangle: Rounded Corners 10"/>
                        <wps:cNvSpPr/>
                        <wps:spPr>
                          <a:xfrm>
                            <a:off x="1885950" y="1495425"/>
                            <a:ext cx="1799590" cy="1440000"/>
                          </a:xfrm>
                          <a:prstGeom prst="roundRect">
                            <a:avLst/>
                          </a:prstGeom>
                          <a:solidFill>
                            <a:srgbClr val="32809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F5D51B" w14:textId="77777777" w:rsidR="00307D72" w:rsidRPr="00504EDB" w:rsidRDefault="00307D72" w:rsidP="00DD4322">
                              <w:pPr>
                                <w:spacing w:before="240"/>
                                <w:jc w:val="left"/>
                                <w:rPr>
                                  <w:b/>
                                  <w:color w:val="FFFFFF" w:themeColor="background1"/>
                                </w:rPr>
                              </w:pPr>
                              <w:r w:rsidRPr="00504EDB">
                                <w:rPr>
                                  <w:b/>
                                  <w:color w:val="FFFFFF" w:themeColor="background1"/>
                                </w:rPr>
                                <w:t>Limited constraints and barriers on development in areas where demand and accessibility are high</w:t>
                              </w:r>
                            </w:p>
                          </w:txbxContent>
                        </wps:txbx>
                        <wps:bodyPr rot="0" spcFirstLastPara="0" vertOverflow="overflow" horzOverflow="overflow" vert="horz" wrap="square" lIns="91440" tIns="36000" rIns="91440" bIns="45720" numCol="1" spcCol="0" rtlCol="0" fromWordArt="0" anchor="t" anchorCtr="0" forceAA="0" compatLnSpc="1">
                          <a:prstTxWarp prst="textNoShape">
                            <a:avLst/>
                          </a:prstTxWarp>
                          <a:noAutofit/>
                        </wps:bodyPr>
                      </wps:wsp>
                      <wps:wsp>
                        <wps:cNvPr id="11" name="Rectangle: Rounded Corners 12"/>
                        <wps:cNvSpPr/>
                        <wps:spPr>
                          <a:xfrm>
                            <a:off x="0" y="1495425"/>
                            <a:ext cx="1799590" cy="1440000"/>
                          </a:xfrm>
                          <a:prstGeom prst="roundRect">
                            <a:avLst/>
                          </a:prstGeom>
                          <a:solidFill>
                            <a:srgbClr val="0F7B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B2F9FA" w14:textId="77777777" w:rsidR="00307D72" w:rsidRPr="007F3426" w:rsidRDefault="00307D72" w:rsidP="007F3426">
                              <w:pPr>
                                <w:jc w:val="left"/>
                                <w:rPr>
                                  <w:color w:val="FFFFFF" w:themeColor="background1"/>
                                </w:rPr>
                              </w:pPr>
                              <w:r w:rsidRPr="00504EDB">
                                <w:rPr>
                                  <w:b/>
                                  <w:color w:val="FFFFFF" w:themeColor="background1"/>
                                </w:rPr>
                                <w:t>Well-functioning urban environments that are dynamic and respond to the diverse and changi</w:t>
                              </w:r>
                              <w:r w:rsidRPr="007F3426">
                                <w:rPr>
                                  <w:color w:val="FFFFFF" w:themeColor="background1"/>
                                </w:rPr>
                                <w:t xml:space="preserve">ng </w:t>
                              </w:r>
                              <w:r w:rsidRPr="00504EDB">
                                <w:rPr>
                                  <w:b/>
                                  <w:color w:val="FFFFFF" w:themeColor="background1"/>
                                </w:rPr>
                                <w:t>needs of communities</w:t>
                              </w:r>
                              <w:r w:rsidRPr="007F3426">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Rounded Corners 6"/>
                        <wps:cNvSpPr/>
                        <wps:spPr>
                          <a:xfrm>
                            <a:off x="3781425" y="1495425"/>
                            <a:ext cx="1799590" cy="1439545"/>
                          </a:xfrm>
                          <a:prstGeom prst="roundRect">
                            <a:avLst/>
                          </a:prstGeom>
                          <a:solidFill>
                            <a:srgbClr val="1C556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38EF3C" w14:textId="4074BD2B" w:rsidR="00307D72" w:rsidRPr="007F3426" w:rsidRDefault="00307D72" w:rsidP="007F3426">
                              <w:pPr>
                                <w:spacing w:before="240"/>
                                <w:ind w:left="170"/>
                                <w:jc w:val="left"/>
                                <w:rPr>
                                  <w:color w:val="FFFFFF" w:themeColor="background1"/>
                                </w:rPr>
                              </w:pPr>
                              <w:r w:rsidRPr="00504EDB">
                                <w:rPr>
                                  <w:b/>
                                  <w:color w:val="FFFFFF" w:themeColor="background1"/>
                                </w:rPr>
                                <w:t>Improved housi</w:t>
                              </w:r>
                              <w:r w:rsidRPr="007F3426">
                                <w:rPr>
                                  <w:color w:val="FFFFFF" w:themeColor="background1"/>
                                </w:rPr>
                                <w:t xml:space="preserve">ng </w:t>
                              </w:r>
                              <w:r w:rsidRPr="00504EDB">
                                <w:rPr>
                                  <w:b/>
                                  <w:color w:val="FFFFFF" w:themeColor="background1"/>
                                </w:rPr>
                                <w:t>affordability</w:t>
                              </w:r>
                              <w:r w:rsidRPr="007F3426">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C0176E" id="Group 2" o:spid="_x0000_s1026" style="position:absolute;margin-left:7.1pt;margin-top:1.7pt;width:439.45pt;height:231.15pt;z-index:251659264" coordsize="55810,29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">
                <v:roundrect id="Rectangle: Rounded Corners 7" o:spid="_x0000_s1027" style="position:absolute;width:17995;height:14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" fillcolor="#32809c" stroked="f" strokeweight="2pt">
                  <v:textbox>
                    <w:txbxContent>
                      <w:p w14:paraId="3E89645E" w14:textId="77777777" w:rsidR="00307D72" w:rsidRPr="00504EDB" w:rsidRDefault="00307D72" w:rsidP="004E5252">
                        <w:pPr>
                          <w:jc w:val="left"/>
                          <w:rPr>
                            <w:b/>
                            <w:color w:val="FFFFFF" w:themeColor="background1"/>
                          </w:rPr>
                        </w:pPr>
                        <w:r w:rsidRPr="00504EDB">
                          <w:rPr>
                            <w:b/>
                            <w:color w:val="FFFFFF" w:themeColor="background1"/>
                          </w:rPr>
                          <w:t>People can live and work in parts of urban areas that are in or around city centres, or other locations with good access to jobs</w:t>
                        </w:r>
                      </w:p>
                    </w:txbxContent>
                  </v:textbox>
                </v:roundrect>
                <v:roundrect id="Rectangle: Rounded Corners 9" o:spid="_x0000_s1028" style="position:absolute;left:37814;width:17996;height:143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" fillcolor="#0f7b7d" stroked="f" strokeweight="2pt">
                  <v:textbox>
                    <w:txbxContent>
                      <w:p w14:paraId="7B170E38" w14:textId="77777777" w:rsidR="00307D72" w:rsidRPr="007F3426" w:rsidRDefault="00307D72" w:rsidP="004E5252">
                        <w:pPr>
                          <w:spacing w:before="0"/>
                          <w:jc w:val="left"/>
                          <w:rPr>
                            <w:b/>
                            <w:color w:val="FFFFFF" w:themeColor="background1"/>
                          </w:rPr>
                        </w:pPr>
                        <w:r w:rsidRPr="007F3426">
                          <w:rPr>
                            <w:b/>
                            <w:color w:val="FFFFFF" w:themeColor="background1"/>
                          </w:rPr>
                          <w:t>There is enough development capacity to support growth in the parts of urban areas where demand is high</w:t>
                        </w:r>
                      </w:p>
                    </w:txbxContent>
                  </v:textbox>
                </v:roundrect>
                <v:roundrect id="Rectangle: Rounded Corners 8" o:spid="_x0000_s1029" style="position:absolute;left:18859;top:190;width:17996;height:141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" fillcolor="#1c556c" stroked="f" strokeweight="2pt">
                  <v:textbox inset=",,,1.3mm">
                    <w:txbxContent>
                      <w:p w14:paraId="184B9108" w14:textId="77777777" w:rsidR="00307D72" w:rsidRPr="00504EDB" w:rsidRDefault="00307D72" w:rsidP="00DD4322">
                        <w:pPr>
                          <w:spacing w:before="0"/>
                          <w:jc w:val="left"/>
                          <w:rPr>
                            <w:b/>
                            <w:color w:val="FFFFFF" w:themeColor="background1"/>
                          </w:rPr>
                        </w:pPr>
                        <w:r w:rsidRPr="00504EDB">
                          <w:rPr>
                            <w:b/>
                            <w:color w:val="FFFFFF" w:themeColor="background1"/>
                          </w:rPr>
                          <w:t>People have good accessibility to public transport in areas that are zoned for higher densities</w:t>
                        </w:r>
                      </w:p>
                    </w:txbxContent>
                  </v:textbox>
                </v:roundrect>
                <v:roundrect id="Rectangle: Rounded Corners 10" o:spid="_x0000_s1030" style="position:absolute;left:18859;top:14954;width:17996;height:144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" fillcolor="#32809c" stroked="f" strokeweight="2pt">
                  <v:textbox inset=",1mm">
                    <w:txbxContent>
                      <w:p w14:paraId="2DF5D51B" w14:textId="77777777" w:rsidR="00307D72" w:rsidRPr="00504EDB" w:rsidRDefault="00307D72" w:rsidP="00DD4322">
                        <w:pPr>
                          <w:spacing w:before="240"/>
                          <w:jc w:val="left"/>
                          <w:rPr>
                            <w:b/>
                            <w:color w:val="FFFFFF" w:themeColor="background1"/>
                          </w:rPr>
                        </w:pPr>
                        <w:r w:rsidRPr="00504EDB">
                          <w:rPr>
                            <w:b/>
                            <w:color w:val="FFFFFF" w:themeColor="background1"/>
                          </w:rPr>
                          <w:t>Limited constraints and barriers on development in areas where demand and accessibility are high</w:t>
                        </w:r>
                      </w:p>
                    </w:txbxContent>
                  </v:textbox>
                </v:roundrect>
                <v:roundrect id="Rectangle: Rounded Corners 12" o:spid="_x0000_s1031" style="position:absolute;top:14954;width:17995;height:14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" fillcolor="#0f7b7d" stroked="f" strokeweight="2pt">
                  <v:textbox>
                    <w:txbxContent>
                      <w:p w14:paraId="0FB2F9FA" w14:textId="77777777" w:rsidR="00307D72" w:rsidRPr="007F3426" w:rsidRDefault="00307D72" w:rsidP="007F3426">
                        <w:pPr>
                          <w:jc w:val="left"/>
                          <w:rPr>
                            <w:color w:val="FFFFFF" w:themeColor="background1"/>
                          </w:rPr>
                        </w:pPr>
                        <w:r w:rsidRPr="00504EDB">
                          <w:rPr>
                            <w:b/>
                            <w:color w:val="FFFFFF" w:themeColor="background1"/>
                          </w:rPr>
                          <w:t>Well-functioning urban environments that are dynamic and respond to the diverse and changi</w:t>
                        </w:r>
                        <w:r w:rsidRPr="007F3426">
                          <w:rPr>
                            <w:color w:val="FFFFFF" w:themeColor="background1"/>
                          </w:rPr>
                          <w:t xml:space="preserve">ng </w:t>
                        </w:r>
                        <w:r w:rsidRPr="00504EDB">
                          <w:rPr>
                            <w:b/>
                            <w:color w:val="FFFFFF" w:themeColor="background1"/>
                          </w:rPr>
                          <w:t>needs of communities</w:t>
                        </w:r>
                        <w:r w:rsidRPr="007F3426">
                          <w:rPr>
                            <w:color w:val="FFFFFF" w:themeColor="background1"/>
                          </w:rPr>
                          <w:t xml:space="preserve"> </w:t>
                        </w:r>
                      </w:p>
                    </w:txbxContent>
                  </v:textbox>
                </v:roundrect>
                <v:roundrect id="Rectangle: Rounded Corners 6" o:spid="_x0000_s1032" style="position:absolute;left:37814;top:14954;width:17996;height:143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" fillcolor="#1c556c" stroked="f" strokeweight="2pt">
                  <v:textbox>
                    <w:txbxContent>
                      <w:p w14:paraId="7038EF3C" w14:textId="4074BD2B" w:rsidR="00307D72" w:rsidRPr="007F3426" w:rsidRDefault="00307D72" w:rsidP="007F3426">
                        <w:pPr>
                          <w:spacing w:before="240"/>
                          <w:ind w:left="170"/>
                          <w:jc w:val="left"/>
                          <w:rPr>
                            <w:color w:val="FFFFFF" w:themeColor="background1"/>
                          </w:rPr>
                        </w:pPr>
                        <w:r w:rsidRPr="00504EDB">
                          <w:rPr>
                            <w:b/>
                            <w:color w:val="FFFFFF" w:themeColor="background1"/>
                          </w:rPr>
                          <w:t>Improved housi</w:t>
                        </w:r>
                        <w:r w:rsidRPr="007F3426">
                          <w:rPr>
                            <w:color w:val="FFFFFF" w:themeColor="background1"/>
                          </w:rPr>
                          <w:t xml:space="preserve">ng </w:t>
                        </w:r>
                        <w:r w:rsidRPr="00504EDB">
                          <w:rPr>
                            <w:b/>
                            <w:color w:val="FFFFFF" w:themeColor="background1"/>
                          </w:rPr>
                          <w:t>affordability</w:t>
                        </w:r>
                        <w:r w:rsidRPr="007F3426">
                          <w:rPr>
                            <w:color w:val="FFFFFF" w:themeColor="background1"/>
                          </w:rPr>
                          <w:t xml:space="preserve"> </w:t>
                        </w:r>
                      </w:p>
                    </w:txbxContent>
                  </v:textbox>
                </v:roundrect>
              </v:group>
            </w:pict>
          </mc:Fallback>
        </mc:AlternateContent>
      </w:r>
    </w:p>
    <w:p w14:paraId="344CF34E" w14:textId="0C1C4263" w:rsidR="00C0111D" w:rsidRPr="00C0111D" w:rsidRDefault="00C0111D" w:rsidP="007F3426">
      <w:pPr>
        <w:pStyle w:val="BodyText"/>
      </w:pPr>
    </w:p>
    <w:p w14:paraId="071EC0FF" w14:textId="2AC475C4" w:rsidR="00C0111D" w:rsidRPr="00C0111D" w:rsidRDefault="00C0111D" w:rsidP="007F3426">
      <w:pPr>
        <w:pStyle w:val="BodyText"/>
      </w:pPr>
    </w:p>
    <w:p w14:paraId="7601B56D" w14:textId="2468E86E" w:rsidR="007F3426" w:rsidRDefault="007F3426" w:rsidP="007F3426">
      <w:pPr>
        <w:pStyle w:val="BodyText"/>
      </w:pPr>
    </w:p>
    <w:p w14:paraId="5480595B" w14:textId="26995A57" w:rsidR="004E5252" w:rsidRDefault="004E5252" w:rsidP="007F3426">
      <w:pPr>
        <w:pStyle w:val="BodyText"/>
      </w:pPr>
    </w:p>
    <w:p w14:paraId="0B77460B" w14:textId="598598EC" w:rsidR="004E5252" w:rsidRDefault="004E5252" w:rsidP="007F3426">
      <w:pPr>
        <w:pStyle w:val="BodyText"/>
      </w:pPr>
    </w:p>
    <w:p w14:paraId="1448EC14" w14:textId="35C4909D" w:rsidR="004E5252" w:rsidRDefault="004E5252" w:rsidP="007F3426">
      <w:pPr>
        <w:pStyle w:val="BodyText"/>
      </w:pPr>
    </w:p>
    <w:p w14:paraId="140A727A" w14:textId="56DEEFB5" w:rsidR="004E5252" w:rsidRDefault="004E5252" w:rsidP="007F3426">
      <w:pPr>
        <w:pStyle w:val="BodyText"/>
      </w:pPr>
    </w:p>
    <w:p w14:paraId="66E379D1" w14:textId="77777777" w:rsidR="004E5252" w:rsidRDefault="004E5252" w:rsidP="007F3426">
      <w:pPr>
        <w:pStyle w:val="BodyText"/>
      </w:pPr>
    </w:p>
    <w:p w14:paraId="19CE33E0" w14:textId="330F23F7" w:rsidR="00C0111D" w:rsidRPr="00C0111D" w:rsidRDefault="00C0111D" w:rsidP="007F3426">
      <w:pPr>
        <w:pStyle w:val="BodyText"/>
      </w:pPr>
      <w:r w:rsidRPr="00C0111D">
        <w:t>Enabling higher</w:t>
      </w:r>
      <w:r w:rsidR="00085E3A">
        <w:t>-</w:t>
      </w:r>
      <w:r w:rsidRPr="00C0111D">
        <w:t>density development in locations with good access and amenity means people can live close to where they work, learn, shop or connect with friends and family. Such options let residents avoid congestion and long commute times. Businesses can also access</w:t>
      </w:r>
      <w:r w:rsidR="00504EDB">
        <w:t xml:space="preserve"> more </w:t>
      </w:r>
      <w:r w:rsidRPr="00C0111D">
        <w:t>potential workers, customers</w:t>
      </w:r>
      <w:r w:rsidR="00085E3A">
        <w:t xml:space="preserve"> and</w:t>
      </w:r>
      <w:r w:rsidRPr="00C0111D">
        <w:t xml:space="preserve"> other businesses. </w:t>
      </w:r>
    </w:p>
    <w:p w14:paraId="16A8E448" w14:textId="64DD73A6" w:rsidR="00C0111D" w:rsidRPr="00C0111D" w:rsidRDefault="00C0111D" w:rsidP="007F3426">
      <w:pPr>
        <w:pStyle w:val="BodyText"/>
      </w:pPr>
      <w:r w:rsidRPr="00C0111D">
        <w:t xml:space="preserve">The intensification provisions are particularly important where they apply in areas close to current or planned rapid transit and frequent public transport services, as well as places where people can access many opportunities within walking distance. The provisions recognise the benefits of integrating transport and land-use policy. They allow for transport investment that can induce land-use change by </w:t>
      </w:r>
      <w:r w:rsidR="009C1A7B">
        <w:t>encouraging</w:t>
      </w:r>
      <w:r w:rsidR="009C1A7B" w:rsidRPr="00C0111D">
        <w:t xml:space="preserve"> </w:t>
      </w:r>
      <w:r w:rsidRPr="00C0111D">
        <w:t xml:space="preserve">greater </w:t>
      </w:r>
      <w:r w:rsidR="009C1A7B">
        <w:t xml:space="preserve">supply of </w:t>
      </w:r>
      <w:r w:rsidRPr="00C0111D">
        <w:t>development capacity</w:t>
      </w:r>
      <w:r w:rsidR="009C1A7B">
        <w:t>,</w:t>
      </w:r>
      <w:r w:rsidR="00085E3A">
        <w:t xml:space="preserve"> </w:t>
      </w:r>
      <w:r w:rsidRPr="00C0111D">
        <w:t>thereby lifting the number of people living in high</w:t>
      </w:r>
      <w:r w:rsidR="009C1A7B">
        <w:t>-</w:t>
      </w:r>
      <w:r w:rsidRPr="00C0111D">
        <w:t>amenity areas. This can help improve the economic case for public and active transport investments</w:t>
      </w:r>
      <w:r w:rsidR="009C1A7B">
        <w:t xml:space="preserve">, </w:t>
      </w:r>
      <w:r w:rsidRPr="00C0111D">
        <w:t xml:space="preserve">for example by increasing the likely number of people using public transport services. Intensification is also important </w:t>
      </w:r>
      <w:r w:rsidR="00504EDB">
        <w:t xml:space="preserve">to support </w:t>
      </w:r>
      <w:r w:rsidRPr="00C0111D">
        <w:t>the reduction of greenhouse gas emissions and therefore has a role in climate change mitigation.</w:t>
      </w:r>
      <w:r w:rsidR="009113AC">
        <w:t xml:space="preserve"> </w:t>
      </w:r>
    </w:p>
    <w:p w14:paraId="684A51B4" w14:textId="2FB3C77D" w:rsidR="00C0111D" w:rsidRPr="00C0111D" w:rsidRDefault="00C0111D" w:rsidP="000D494E">
      <w:pPr>
        <w:pStyle w:val="Heading1"/>
        <w:numPr>
          <w:ilvl w:val="0"/>
          <w:numId w:val="22"/>
        </w:numPr>
        <w:ind w:left="851" w:hanging="851"/>
        <w:rPr>
          <w:rFonts w:eastAsiaTheme="minorEastAsia"/>
        </w:rPr>
      </w:pPr>
      <w:bookmarkStart w:id="16" w:name="_Toc50720775"/>
      <w:r w:rsidRPr="00C0111D">
        <w:rPr>
          <w:rFonts w:eastAsiaTheme="minorEastAsia"/>
        </w:rPr>
        <w:lastRenderedPageBreak/>
        <w:t>Key changes from National Policy Statement on Urban Development Capacity</w:t>
      </w:r>
      <w:bookmarkEnd w:id="16"/>
      <w:r w:rsidRPr="00C0111D">
        <w:rPr>
          <w:rFonts w:eastAsiaTheme="minorEastAsia"/>
        </w:rPr>
        <w:t xml:space="preserve"> </w:t>
      </w:r>
    </w:p>
    <w:p w14:paraId="4F6E755D" w14:textId="77777777" w:rsidR="00B93291" w:rsidRDefault="00C0111D" w:rsidP="007F3426">
      <w:pPr>
        <w:pStyle w:val="BodyText"/>
      </w:pPr>
      <w:r w:rsidRPr="00C0111D">
        <w:t>The intensification provisions were not in the National Policy Statement on Urban Development Capacity (NPS-UDC 2016) and are new to the NPS-UD.</w:t>
      </w:r>
    </w:p>
    <w:p w14:paraId="04B19192" w14:textId="313AD394" w:rsidR="00B93291" w:rsidRDefault="00C0111D" w:rsidP="007F3426">
      <w:pPr>
        <w:pStyle w:val="BodyText"/>
      </w:pPr>
      <w:r w:rsidRPr="00C0111D">
        <w:t>Local authorities often struggle to provide sufficient opportunities for higher</w:t>
      </w:r>
      <w:r w:rsidR="009C1A7B">
        <w:t>-</w:t>
      </w:r>
      <w:r w:rsidRPr="00C0111D">
        <w:t>density development for a range of reasons, such as opposition from existing land</w:t>
      </w:r>
      <w:r w:rsidR="009C1A7B">
        <w:t xml:space="preserve"> </w:t>
      </w:r>
      <w:r w:rsidRPr="00C0111D">
        <w:t>owners, bias towards the status quo and concerns regarding amenity.</w:t>
      </w:r>
    </w:p>
    <w:p w14:paraId="062D6566" w14:textId="2CA8CE31" w:rsidR="00C0111D" w:rsidRPr="00C0111D" w:rsidRDefault="00C0111D" w:rsidP="007F3426">
      <w:pPr>
        <w:pStyle w:val="BodyText"/>
      </w:pPr>
      <w:r w:rsidRPr="00C0111D">
        <w:t>Lack of access to well-integrated, higher</w:t>
      </w:r>
      <w:r w:rsidR="009C1A7B">
        <w:t>-</w:t>
      </w:r>
      <w:r w:rsidRPr="00C0111D">
        <w:t>density housing has played a role in the current constrained supply of housing. In addition, historically rigid controls in the locations that are now subject to the intensification provisions have increased the price of housing in urban environments and reduced the supply of higher</w:t>
      </w:r>
      <w:r w:rsidR="009C1A7B">
        <w:t>-</w:t>
      </w:r>
      <w:r w:rsidRPr="00C0111D">
        <w:t>density development. This is a particular issue in places that are well</w:t>
      </w:r>
      <w:r w:rsidR="009C1A7B">
        <w:t xml:space="preserve"> </w:t>
      </w:r>
      <w:r w:rsidRPr="00C0111D">
        <w:t>connected to active and public transport and close to urban centres where people can access jobs, services</w:t>
      </w:r>
      <w:r w:rsidR="00085E3A">
        <w:t xml:space="preserve"> and </w:t>
      </w:r>
      <w:r w:rsidRPr="00C0111D">
        <w:t>amenities.</w:t>
      </w:r>
      <w:r w:rsidR="009113AC">
        <w:t xml:space="preserve"> </w:t>
      </w:r>
    </w:p>
    <w:p w14:paraId="6159A142" w14:textId="77777777" w:rsidR="007F3426" w:rsidRDefault="007F3426">
      <w:pPr>
        <w:spacing w:before="0" w:after="200" w:line="276" w:lineRule="auto"/>
        <w:jc w:val="left"/>
        <w:rPr>
          <w:rFonts w:cstheme="majorBidi"/>
          <w:b/>
          <w:bCs/>
          <w:color w:val="1C556C"/>
          <w:sz w:val="48"/>
          <w:szCs w:val="28"/>
        </w:rPr>
      </w:pPr>
      <w:r>
        <w:br w:type="page"/>
      </w:r>
    </w:p>
    <w:p w14:paraId="1697A8F6" w14:textId="2579C5F5" w:rsidR="00C0111D" w:rsidRPr="00C0111D" w:rsidRDefault="00C0111D" w:rsidP="000D494E">
      <w:pPr>
        <w:pStyle w:val="Heading1"/>
        <w:numPr>
          <w:ilvl w:val="0"/>
          <w:numId w:val="22"/>
        </w:numPr>
        <w:ind w:left="720" w:hanging="720"/>
        <w:rPr>
          <w:rFonts w:eastAsiaTheme="minorEastAsia"/>
        </w:rPr>
      </w:pPr>
      <w:bookmarkStart w:id="17" w:name="_Toc50720776"/>
      <w:r w:rsidRPr="00C0111D">
        <w:rPr>
          <w:rFonts w:eastAsiaTheme="minorEastAsia"/>
        </w:rPr>
        <w:lastRenderedPageBreak/>
        <w:t>Definitions</w:t>
      </w:r>
      <w:bookmarkEnd w:id="17"/>
    </w:p>
    <w:p w14:paraId="5339B3F7" w14:textId="73664767" w:rsidR="00C0111D" w:rsidRPr="00C0111D" w:rsidRDefault="00CA41E1" w:rsidP="007F3426">
      <w:pPr>
        <w:pStyle w:val="BodyText"/>
      </w:pPr>
      <w:r>
        <w:t>Part 1</w:t>
      </w:r>
      <w:r w:rsidR="00F8740C">
        <w:t>,</w:t>
      </w:r>
      <w:r>
        <w:t xml:space="preserve"> clause 1.4 </w:t>
      </w:r>
      <w:r w:rsidR="00F8740C">
        <w:t xml:space="preserve">of the NPS-UD </w:t>
      </w:r>
      <w:r>
        <w:t>provides interpretations of terms used</w:t>
      </w:r>
      <w:r w:rsidRPr="00CA41E1">
        <w:t xml:space="preserve"> </w:t>
      </w:r>
      <w:r>
        <w:t>in the</w:t>
      </w:r>
      <w:r w:rsidR="00F8740C">
        <w:t xml:space="preserve"> policy statement</w:t>
      </w:r>
      <w:r>
        <w:t xml:space="preserve">. The terms that are particularly relevant to the </w:t>
      </w:r>
      <w:r w:rsidR="00C0111D" w:rsidRPr="00C0111D">
        <w:t xml:space="preserve">intensification provisions </w:t>
      </w:r>
      <w:r>
        <w:t>are reproduced below:</w:t>
      </w:r>
      <w:r w:rsidR="00A31C99">
        <w:t xml:space="preserve"> </w:t>
      </w:r>
    </w:p>
    <w:p w14:paraId="67B9F953" w14:textId="2A0C0A25" w:rsidR="00C0111D" w:rsidRPr="007F3426" w:rsidRDefault="00C0111D" w:rsidP="007F3426">
      <w:pPr>
        <w:pStyle w:val="Bullet"/>
        <w:rPr>
          <w:rFonts w:eastAsiaTheme="minorEastAsia"/>
          <w:b/>
        </w:rPr>
      </w:pPr>
      <w:r w:rsidRPr="007F3426">
        <w:rPr>
          <w:rFonts w:eastAsiaTheme="minorEastAsia"/>
          <w:b/>
        </w:rPr>
        <w:t>active transport</w:t>
      </w:r>
      <w:r w:rsidRPr="00C0111D">
        <w:rPr>
          <w:rFonts w:eastAsiaTheme="minorEastAsia"/>
        </w:rPr>
        <w:t xml:space="preserve"> means forms of transport that involve physical exercise, such as walking or cycling</w:t>
      </w:r>
      <w:r w:rsidR="00085E3A">
        <w:rPr>
          <w:rFonts w:eastAsiaTheme="minorEastAsia"/>
        </w:rPr>
        <w:t xml:space="preserve"> a</w:t>
      </w:r>
      <w:r w:rsidR="00085E3A" w:rsidRPr="00CF398F">
        <w:rPr>
          <w:rFonts w:eastAsiaTheme="minorEastAsia"/>
        </w:rPr>
        <w:t>nd</w:t>
      </w:r>
      <w:r w:rsidRPr="00CF398F">
        <w:rPr>
          <w:rFonts w:eastAsiaTheme="minorEastAsia"/>
        </w:rPr>
        <w:t xml:space="preserve"> includes transport that may use a mobility aid such as a wheelchair</w:t>
      </w:r>
    </w:p>
    <w:p w14:paraId="39A76139" w14:textId="6F829F4E" w:rsidR="00C0111D" w:rsidRPr="00C0111D" w:rsidRDefault="00C0111D" w:rsidP="007F3426">
      <w:pPr>
        <w:pStyle w:val="Bullet"/>
        <w:rPr>
          <w:rFonts w:eastAsiaTheme="minorEastAsia"/>
        </w:rPr>
      </w:pPr>
      <w:r w:rsidRPr="007F3426">
        <w:rPr>
          <w:rFonts w:eastAsiaTheme="minorEastAsia"/>
          <w:b/>
        </w:rPr>
        <w:t>community services</w:t>
      </w:r>
      <w:r w:rsidRPr="00C0111D">
        <w:rPr>
          <w:rFonts w:eastAsiaTheme="minorEastAsia"/>
        </w:rPr>
        <w:t xml:space="preserve"> means the following: </w:t>
      </w:r>
    </w:p>
    <w:p w14:paraId="65498A9E" w14:textId="31DE7B3E" w:rsidR="00C0111D" w:rsidRPr="00C0111D" w:rsidRDefault="00C0111D" w:rsidP="000D494E">
      <w:pPr>
        <w:pStyle w:val="Sub-list"/>
        <w:numPr>
          <w:ilvl w:val="0"/>
          <w:numId w:val="29"/>
        </w:numPr>
      </w:pPr>
      <w:r w:rsidRPr="00C0111D">
        <w:t>community facilities</w:t>
      </w:r>
      <w:r w:rsidR="007F3426">
        <w:rPr>
          <w:rStyle w:val="FootnoteReference"/>
        </w:rPr>
        <w:footnoteReference w:id="2"/>
      </w:r>
      <w:r w:rsidR="009113AC">
        <w:t xml:space="preserve"> </w:t>
      </w:r>
    </w:p>
    <w:p w14:paraId="5157B11B" w14:textId="7A0757BC" w:rsidR="00C0111D" w:rsidRPr="00C0111D" w:rsidRDefault="00C0111D" w:rsidP="000D494E">
      <w:pPr>
        <w:pStyle w:val="Sub-list"/>
        <w:numPr>
          <w:ilvl w:val="0"/>
          <w:numId w:val="29"/>
        </w:numPr>
      </w:pPr>
      <w:r w:rsidRPr="00C0111D">
        <w:t>educational facilities</w:t>
      </w:r>
      <w:r w:rsidR="007F3426">
        <w:rPr>
          <w:rStyle w:val="FootnoteReference"/>
        </w:rPr>
        <w:footnoteReference w:id="3"/>
      </w:r>
      <w:r w:rsidR="009113AC">
        <w:t xml:space="preserve"> </w:t>
      </w:r>
    </w:p>
    <w:p w14:paraId="2C322D41" w14:textId="31B492E8" w:rsidR="00C0111D" w:rsidRPr="00C0111D" w:rsidRDefault="00C0111D" w:rsidP="000D494E">
      <w:pPr>
        <w:pStyle w:val="Sub-list"/>
        <w:numPr>
          <w:ilvl w:val="0"/>
          <w:numId w:val="29"/>
        </w:numPr>
      </w:pPr>
      <w:r w:rsidRPr="00C0111D">
        <w:t xml:space="preserve">those commercial activities that serve the needs of the community </w:t>
      </w:r>
    </w:p>
    <w:p w14:paraId="1CAF1716" w14:textId="5072F3D6" w:rsidR="00C0111D" w:rsidRPr="00C0111D" w:rsidRDefault="00C0111D" w:rsidP="007F3426">
      <w:pPr>
        <w:pStyle w:val="Bullet"/>
        <w:rPr>
          <w:rFonts w:eastAsiaTheme="minorEastAsia"/>
        </w:rPr>
      </w:pPr>
      <w:r w:rsidRPr="007F3426">
        <w:rPr>
          <w:rFonts w:eastAsiaTheme="minorEastAsia"/>
          <w:b/>
        </w:rPr>
        <w:t>planned</w:t>
      </w:r>
      <w:r w:rsidRPr="00C0111D">
        <w:rPr>
          <w:rFonts w:eastAsiaTheme="minorEastAsia"/>
        </w:rPr>
        <w:t xml:space="preserve"> in relation to forms or features </w:t>
      </w:r>
      <w:r w:rsidRPr="00CF398F">
        <w:rPr>
          <w:rFonts w:eastAsiaTheme="minorEastAsia"/>
        </w:rPr>
        <w:t>of transport, means</w:t>
      </w:r>
      <w:r w:rsidRPr="00C0111D">
        <w:rPr>
          <w:rFonts w:eastAsiaTheme="minorEastAsia"/>
        </w:rPr>
        <w:t xml:space="preserve"> planned in a regional land transport plan prepared and approved under the Land Transport Management Act 2003</w:t>
      </w:r>
    </w:p>
    <w:p w14:paraId="04155A3F" w14:textId="7A8289D9" w:rsidR="00C0111D" w:rsidRPr="00C0111D" w:rsidRDefault="00C0111D" w:rsidP="007F3426">
      <w:pPr>
        <w:pStyle w:val="Bullet"/>
        <w:rPr>
          <w:rFonts w:eastAsiaTheme="minorEastAsia"/>
        </w:rPr>
      </w:pPr>
      <w:r w:rsidRPr="007F3426">
        <w:rPr>
          <w:rFonts w:eastAsiaTheme="minorEastAsia"/>
          <w:b/>
        </w:rPr>
        <w:t>public transport</w:t>
      </w:r>
      <w:r w:rsidRPr="00C0111D">
        <w:rPr>
          <w:rFonts w:eastAsiaTheme="minorEastAsia"/>
        </w:rPr>
        <w:t xml:space="preserve"> means any existing or planned service for the carriage of passengers (other than an aeroplane) that is available to the public generally by means of:</w:t>
      </w:r>
    </w:p>
    <w:p w14:paraId="4233DFA7" w14:textId="71EE734D" w:rsidR="00C0111D" w:rsidRPr="00C0111D" w:rsidRDefault="00C0111D" w:rsidP="000D494E">
      <w:pPr>
        <w:pStyle w:val="Sub-list"/>
        <w:numPr>
          <w:ilvl w:val="0"/>
          <w:numId w:val="30"/>
        </w:numPr>
      </w:pPr>
      <w:r w:rsidRPr="00C0111D">
        <w:t>a vehicle designed or adapted to carry more than 12 persons (including the driver)</w:t>
      </w:r>
      <w:r w:rsidR="00F8740C">
        <w:t>;</w:t>
      </w:r>
      <w:r w:rsidRPr="00C0111D">
        <w:t xml:space="preserve"> or</w:t>
      </w:r>
    </w:p>
    <w:p w14:paraId="5B17EF6B" w14:textId="24F96748" w:rsidR="00C0111D" w:rsidRPr="00C0111D" w:rsidRDefault="00C0111D" w:rsidP="000D494E">
      <w:pPr>
        <w:pStyle w:val="Sub-list"/>
        <w:numPr>
          <w:ilvl w:val="0"/>
          <w:numId w:val="30"/>
        </w:numPr>
      </w:pPr>
      <w:r w:rsidRPr="00C0111D">
        <w:t>a rail vehicle</w:t>
      </w:r>
      <w:r w:rsidR="00F8740C">
        <w:t>;</w:t>
      </w:r>
      <w:r w:rsidR="009C1A7B" w:rsidRPr="00C0111D">
        <w:t xml:space="preserve"> </w:t>
      </w:r>
      <w:r w:rsidRPr="00C0111D">
        <w:t>or</w:t>
      </w:r>
    </w:p>
    <w:p w14:paraId="4048CF56" w14:textId="335600F6" w:rsidR="00C0111D" w:rsidRPr="00C0111D" w:rsidRDefault="00C0111D" w:rsidP="000D494E">
      <w:pPr>
        <w:pStyle w:val="Sub-list"/>
        <w:numPr>
          <w:ilvl w:val="0"/>
          <w:numId w:val="30"/>
        </w:numPr>
      </w:pPr>
      <w:r w:rsidRPr="00C0111D">
        <w:t>a ferry</w:t>
      </w:r>
    </w:p>
    <w:p w14:paraId="4446EC8F" w14:textId="43EDB85A" w:rsidR="00C0111D" w:rsidRPr="00C0111D" w:rsidRDefault="00C0111D" w:rsidP="007F3426">
      <w:pPr>
        <w:pStyle w:val="Bullet"/>
        <w:rPr>
          <w:rFonts w:eastAsiaTheme="minorEastAsia"/>
        </w:rPr>
      </w:pPr>
      <w:r w:rsidRPr="00B93291">
        <w:rPr>
          <w:rFonts w:eastAsiaTheme="minorEastAsia"/>
          <w:b/>
        </w:rPr>
        <w:t>rapid transit service</w:t>
      </w:r>
      <w:r w:rsidRPr="00C0111D">
        <w:rPr>
          <w:rFonts w:eastAsiaTheme="minorEastAsia"/>
        </w:rPr>
        <w:t xml:space="preserve"> means any existing or planned frequent, quick, reliable and high-capacity public transport service that operates on a permanent route (road or rail) that is largely separated from other traffic</w:t>
      </w:r>
    </w:p>
    <w:p w14:paraId="1510BC36" w14:textId="720342C7" w:rsidR="00F8740C" w:rsidRDefault="00C0111D" w:rsidP="00F8740C">
      <w:pPr>
        <w:pStyle w:val="Bullet"/>
        <w:rPr>
          <w:rFonts w:eastAsiaTheme="minorEastAsia"/>
        </w:rPr>
      </w:pPr>
      <w:r w:rsidRPr="007F3426">
        <w:rPr>
          <w:rFonts w:eastAsiaTheme="minorEastAsia"/>
          <w:b/>
        </w:rPr>
        <w:t>rapid transit stop</w:t>
      </w:r>
      <w:r w:rsidRPr="00C0111D">
        <w:rPr>
          <w:rFonts w:eastAsiaTheme="minorEastAsia"/>
        </w:rPr>
        <w:t xml:space="preserve"> means a place where people can enter or exit a rapid transit service, whether existing or planned</w:t>
      </w:r>
      <w:r w:rsidR="009C1A7B">
        <w:rPr>
          <w:rFonts w:eastAsiaTheme="minorEastAsia"/>
        </w:rPr>
        <w:t>.</w:t>
      </w:r>
    </w:p>
    <w:p w14:paraId="0027B807" w14:textId="77777777" w:rsidR="00F8740C" w:rsidRDefault="00F8740C" w:rsidP="00F8740C">
      <w:pPr>
        <w:pStyle w:val="Bullet"/>
        <w:numPr>
          <w:ilvl w:val="0"/>
          <w:numId w:val="0"/>
        </w:numPr>
        <w:rPr>
          <w:rFonts w:eastAsiaTheme="minorEastAsia"/>
        </w:rPr>
      </w:pPr>
    </w:p>
    <w:p w14:paraId="0225B259" w14:textId="2F9B9ECC" w:rsidR="00F8740C" w:rsidRPr="00F8740C" w:rsidRDefault="00F8740C" w:rsidP="00F8740C">
      <w:pPr>
        <w:pStyle w:val="Bullet"/>
        <w:numPr>
          <w:ilvl w:val="0"/>
          <w:numId w:val="0"/>
        </w:numPr>
        <w:rPr>
          <w:rFonts w:eastAsiaTheme="minorEastAsia"/>
        </w:rPr>
      </w:pPr>
      <w:r w:rsidRPr="00F8740C">
        <w:rPr>
          <w:rFonts w:eastAsiaTheme="minorEastAsia"/>
        </w:rPr>
        <w:t xml:space="preserve">Other definitions relevant to the intensification provision include: </w:t>
      </w:r>
    </w:p>
    <w:p w14:paraId="28D5BF24" w14:textId="77777777" w:rsidR="00F8740C" w:rsidRPr="00C0111D" w:rsidRDefault="00F8740C" w:rsidP="00F8740C">
      <w:pPr>
        <w:pStyle w:val="Bullet"/>
        <w:rPr>
          <w:rFonts w:eastAsiaTheme="minorEastAsia"/>
        </w:rPr>
      </w:pPr>
      <w:r w:rsidRPr="00B93291">
        <w:rPr>
          <w:rFonts w:eastAsiaTheme="minorEastAsia"/>
          <w:b/>
        </w:rPr>
        <w:t>city centre</w:t>
      </w:r>
      <w:r w:rsidRPr="00C0111D">
        <w:rPr>
          <w:rFonts w:eastAsiaTheme="minorEastAsia"/>
        </w:rPr>
        <w:t xml:space="preserve"> is the city centre zone as described in Standard 8 (Zone Framework Standard) of the </w:t>
      </w:r>
      <w:r>
        <w:rPr>
          <w:rFonts w:eastAsiaTheme="minorEastAsia"/>
        </w:rPr>
        <w:t>n</w:t>
      </w:r>
      <w:r w:rsidRPr="00C0111D">
        <w:rPr>
          <w:rFonts w:eastAsiaTheme="minorEastAsia"/>
        </w:rPr>
        <w:t xml:space="preserve">ational </w:t>
      </w:r>
      <w:r>
        <w:rPr>
          <w:rFonts w:eastAsiaTheme="minorEastAsia"/>
        </w:rPr>
        <w:t>p</w:t>
      </w:r>
      <w:r w:rsidRPr="00C0111D">
        <w:rPr>
          <w:rFonts w:eastAsiaTheme="minorEastAsia"/>
        </w:rPr>
        <w:t xml:space="preserve">lanning </w:t>
      </w:r>
      <w:r>
        <w:rPr>
          <w:rFonts w:eastAsiaTheme="minorEastAsia"/>
        </w:rPr>
        <w:t>s</w:t>
      </w:r>
      <w:r w:rsidRPr="00C0111D">
        <w:rPr>
          <w:rFonts w:eastAsiaTheme="minorEastAsia"/>
        </w:rPr>
        <w:t>tandards</w:t>
      </w:r>
      <w:r>
        <w:rPr>
          <w:rFonts w:eastAsiaTheme="minorEastAsia"/>
        </w:rPr>
        <w:t xml:space="preserve"> (the standards)</w:t>
      </w:r>
      <w:r w:rsidRPr="00C0111D">
        <w:rPr>
          <w:rFonts w:eastAsiaTheme="minorEastAsia"/>
        </w:rPr>
        <w:t xml:space="preserve">; or a reference to the nearest equivalent zone, </w:t>
      </w:r>
      <w:r>
        <w:rPr>
          <w:rFonts w:eastAsiaTheme="minorEastAsia"/>
        </w:rPr>
        <w:t>for</w:t>
      </w:r>
      <w:r w:rsidRPr="00C0111D">
        <w:rPr>
          <w:rFonts w:eastAsiaTheme="minorEastAsia"/>
        </w:rPr>
        <w:t xml:space="preserve"> local authorities that have not yet implemented the Zone Framework in the </w:t>
      </w:r>
      <w:r>
        <w:rPr>
          <w:rFonts w:eastAsiaTheme="minorEastAsia"/>
        </w:rPr>
        <w:t>standards</w:t>
      </w:r>
      <w:r w:rsidRPr="00C0111D">
        <w:rPr>
          <w:rFonts w:eastAsiaTheme="minorEastAsia"/>
        </w:rPr>
        <w:t xml:space="preserve"> (see clause 1.4(4))</w:t>
      </w:r>
    </w:p>
    <w:p w14:paraId="43821B4A" w14:textId="303F89EA" w:rsidR="00F8740C" w:rsidRPr="00F8740C" w:rsidRDefault="00F8740C" w:rsidP="00F8740C">
      <w:pPr>
        <w:pStyle w:val="Bullet"/>
        <w:rPr>
          <w:rFonts w:eastAsiaTheme="minorEastAsia"/>
        </w:rPr>
      </w:pPr>
      <w:r w:rsidRPr="007F3426">
        <w:rPr>
          <w:rFonts w:eastAsiaTheme="minorEastAsia"/>
          <w:b/>
        </w:rPr>
        <w:t>metropolitan centre</w:t>
      </w:r>
      <w:r w:rsidRPr="00C0111D">
        <w:rPr>
          <w:rFonts w:eastAsiaTheme="minorEastAsia"/>
        </w:rPr>
        <w:t xml:space="preserve"> is the metropolitan centre zone as described in Standard 8 (Zone Framework Standard) of </w:t>
      </w:r>
      <w:r>
        <w:rPr>
          <w:rFonts w:eastAsiaTheme="minorEastAsia"/>
        </w:rPr>
        <w:t>the standards</w:t>
      </w:r>
      <w:r w:rsidRPr="00C0111D">
        <w:rPr>
          <w:rFonts w:eastAsiaTheme="minorEastAsia"/>
        </w:rPr>
        <w:t xml:space="preserve">; or a reference to the nearest equivalent zone, </w:t>
      </w:r>
      <w:r>
        <w:rPr>
          <w:rFonts w:eastAsiaTheme="minorEastAsia"/>
        </w:rPr>
        <w:t>for</w:t>
      </w:r>
      <w:r w:rsidRPr="00C0111D">
        <w:rPr>
          <w:rFonts w:eastAsiaTheme="minorEastAsia"/>
        </w:rPr>
        <w:t xml:space="preserve"> local authorities that have not yet implemented the Zone Framework in </w:t>
      </w:r>
      <w:r>
        <w:rPr>
          <w:rFonts w:eastAsiaTheme="minorEastAsia"/>
        </w:rPr>
        <w:t>the standards</w:t>
      </w:r>
      <w:r w:rsidR="00603F05">
        <w:rPr>
          <w:rFonts w:eastAsiaTheme="minorEastAsia"/>
        </w:rPr>
        <w:t>.</w:t>
      </w:r>
    </w:p>
    <w:p w14:paraId="1A841D81" w14:textId="77777777" w:rsidR="00C0111D" w:rsidRPr="00C0111D" w:rsidRDefault="00C0111D" w:rsidP="007F3426">
      <w:pPr>
        <w:pStyle w:val="BodyText"/>
      </w:pPr>
      <w:r w:rsidRPr="00C0111D">
        <w:t xml:space="preserve">The key definitions and concepts are discussed in further detail in the following sections of the guide. </w:t>
      </w:r>
    </w:p>
    <w:p w14:paraId="6CE49007" w14:textId="77777777" w:rsidR="007F3426" w:rsidRDefault="007F3426">
      <w:pPr>
        <w:spacing w:before="0" w:after="200" w:line="276" w:lineRule="auto"/>
        <w:jc w:val="left"/>
        <w:rPr>
          <w:rFonts w:cstheme="majorBidi"/>
          <w:b/>
          <w:bCs/>
          <w:color w:val="1C556C"/>
          <w:sz w:val="48"/>
          <w:szCs w:val="28"/>
        </w:rPr>
      </w:pPr>
      <w:r>
        <w:br w:type="page"/>
      </w:r>
    </w:p>
    <w:p w14:paraId="596C9AA1" w14:textId="43D02538" w:rsidR="00C0111D" w:rsidRPr="00C0111D" w:rsidRDefault="00C0111D" w:rsidP="000D494E">
      <w:pPr>
        <w:pStyle w:val="Heading1"/>
        <w:numPr>
          <w:ilvl w:val="0"/>
          <w:numId w:val="22"/>
        </w:numPr>
        <w:ind w:left="851" w:hanging="851"/>
        <w:rPr>
          <w:rFonts w:eastAsiaTheme="minorEastAsia"/>
        </w:rPr>
      </w:pPr>
      <w:bookmarkStart w:id="18" w:name="_Analysis_and_evidence"/>
      <w:bookmarkStart w:id="19" w:name="_Toc50720777"/>
      <w:bookmarkStart w:id="20" w:name="_Ref51166083"/>
      <w:bookmarkEnd w:id="18"/>
      <w:r w:rsidRPr="00C0111D">
        <w:rPr>
          <w:rFonts w:eastAsiaTheme="minorEastAsia"/>
        </w:rPr>
        <w:lastRenderedPageBreak/>
        <w:t>Analysis and evidence to support implementing the intensification provisions</w:t>
      </w:r>
      <w:bookmarkEnd w:id="19"/>
      <w:bookmarkEnd w:id="20"/>
      <w:r w:rsidRPr="00C0111D">
        <w:rPr>
          <w:rFonts w:eastAsiaTheme="minorEastAsia"/>
        </w:rPr>
        <w:t xml:space="preserve"> </w:t>
      </w:r>
    </w:p>
    <w:p w14:paraId="3674F83E" w14:textId="433936B1" w:rsidR="00C0111D" w:rsidRPr="00C0111D" w:rsidRDefault="009C1A7B" w:rsidP="007F3426">
      <w:pPr>
        <w:pStyle w:val="BodyText"/>
      </w:pPr>
      <w:r>
        <w:t>To</w:t>
      </w:r>
      <w:r w:rsidR="00C0111D" w:rsidRPr="00C0111D">
        <w:t xml:space="preserve"> give effect to the intensification provisions, local authorities will need to understand, measure and determine: </w:t>
      </w:r>
    </w:p>
    <w:p w14:paraId="40642FA0" w14:textId="37EEEDA0" w:rsidR="00C0111D" w:rsidRPr="00C0111D" w:rsidRDefault="00C0111D" w:rsidP="007F3426">
      <w:pPr>
        <w:pStyle w:val="Bullet"/>
        <w:rPr>
          <w:rFonts w:eastAsiaTheme="minorEastAsia"/>
        </w:rPr>
      </w:pPr>
      <w:r w:rsidRPr="00C0111D">
        <w:rPr>
          <w:rFonts w:eastAsiaTheme="minorEastAsia"/>
        </w:rPr>
        <w:t>demand in metropolitan centre zones</w:t>
      </w:r>
    </w:p>
    <w:p w14:paraId="5E83E371" w14:textId="35672EA1" w:rsidR="00C0111D" w:rsidRPr="00C0111D" w:rsidRDefault="00C0111D" w:rsidP="007F3426">
      <w:pPr>
        <w:pStyle w:val="Bullet"/>
        <w:rPr>
          <w:rFonts w:eastAsiaTheme="minorEastAsia"/>
        </w:rPr>
      </w:pPr>
      <w:r w:rsidRPr="00C0111D">
        <w:rPr>
          <w:rFonts w:eastAsiaTheme="minorEastAsia"/>
        </w:rPr>
        <w:t>accessibility</w:t>
      </w:r>
    </w:p>
    <w:p w14:paraId="04B9497C" w14:textId="174ECD6D" w:rsidR="00C0111D" w:rsidRPr="00C0111D" w:rsidRDefault="00C0111D" w:rsidP="007F3426">
      <w:pPr>
        <w:pStyle w:val="Bullet"/>
        <w:rPr>
          <w:rFonts w:eastAsiaTheme="minorEastAsia"/>
        </w:rPr>
      </w:pPr>
      <w:r w:rsidRPr="00C0111D">
        <w:rPr>
          <w:rFonts w:eastAsiaTheme="minorEastAsia"/>
        </w:rPr>
        <w:t>walkable catchments.</w:t>
      </w:r>
    </w:p>
    <w:p w14:paraId="5344CEF2" w14:textId="70E4BC09" w:rsidR="00C0111D" w:rsidRPr="00C0111D" w:rsidRDefault="00C0111D" w:rsidP="007F3426">
      <w:pPr>
        <w:pStyle w:val="BodyText"/>
      </w:pPr>
      <w:r w:rsidRPr="00C0111D">
        <w:t>The sub</w:t>
      </w:r>
      <w:r w:rsidR="000D494E">
        <w:t>-</w:t>
      </w:r>
      <w:r w:rsidRPr="00C0111D">
        <w:t xml:space="preserve">sections below provide further guidance on each of these components. </w:t>
      </w:r>
    </w:p>
    <w:p w14:paraId="11C3FCE6" w14:textId="67BB2D85" w:rsidR="00C0111D" w:rsidRDefault="00A04635" w:rsidP="00B93291">
      <w:pPr>
        <w:pStyle w:val="Heading2"/>
        <w:numPr>
          <w:ilvl w:val="0"/>
          <w:numId w:val="0"/>
        </w:numPr>
        <w:ind w:left="851" w:hanging="851"/>
        <w:rPr>
          <w:rFonts w:eastAsiaTheme="minorEastAsia"/>
        </w:rPr>
      </w:pPr>
      <w:bookmarkStart w:id="21" w:name="_Toc50720778"/>
      <w:r>
        <w:rPr>
          <w:rFonts w:eastAsiaTheme="minorEastAsia"/>
        </w:rPr>
        <w:t>5</w:t>
      </w:r>
      <w:r w:rsidR="00B93291">
        <w:rPr>
          <w:rFonts w:eastAsiaTheme="minorEastAsia"/>
        </w:rPr>
        <w:t>.1</w:t>
      </w:r>
      <w:r w:rsidR="00B93291">
        <w:rPr>
          <w:rFonts w:eastAsiaTheme="minorEastAsia"/>
        </w:rPr>
        <w:tab/>
      </w:r>
      <w:r w:rsidR="00C0111D" w:rsidRPr="00C0111D">
        <w:rPr>
          <w:rFonts w:eastAsiaTheme="minorEastAsia"/>
        </w:rPr>
        <w:t>Relevant policies</w:t>
      </w:r>
      <w:bookmarkEnd w:id="21"/>
    </w:p>
    <w:tbl>
      <w:tblPr>
        <w:tblStyle w:val="TableGrid"/>
        <w:tblW w:w="0" w:type="auto"/>
        <w:tblBorders>
          <w:top w:val="single" w:sz="4" w:space="0" w:color="D2DDE2" w:themeColor="accent3"/>
          <w:left w:val="single" w:sz="4" w:space="0" w:color="D2DDE2" w:themeColor="accent3"/>
          <w:bottom w:val="single" w:sz="4" w:space="0" w:color="D2DDE2" w:themeColor="accent3"/>
          <w:right w:val="single" w:sz="4" w:space="0" w:color="D2DDE2" w:themeColor="accent3"/>
          <w:insideH w:val="none" w:sz="0" w:space="0" w:color="auto"/>
          <w:insideV w:val="none" w:sz="0" w:space="0" w:color="auto"/>
        </w:tblBorders>
        <w:shd w:val="clear" w:color="auto" w:fill="6FC7B7"/>
        <w:tblLook w:val="04A0" w:firstRow="1" w:lastRow="0" w:firstColumn="1" w:lastColumn="0" w:noHBand="0" w:noVBand="1"/>
      </w:tblPr>
      <w:tblGrid>
        <w:gridCol w:w="9061"/>
      </w:tblGrid>
      <w:tr w:rsidR="008A2DC4" w14:paraId="4ADBCAF2" w14:textId="77777777" w:rsidTr="0036662C">
        <w:tc>
          <w:tcPr>
            <w:tcW w:w="9061" w:type="dxa"/>
            <w:shd w:val="clear" w:color="auto" w:fill="6FC7B7"/>
          </w:tcPr>
          <w:p w14:paraId="4A28FEBC" w14:textId="77777777" w:rsidR="008A2DC4" w:rsidRPr="008A2DC4" w:rsidRDefault="008A2DC4" w:rsidP="001703F5">
            <w:pPr>
              <w:spacing w:before="60" w:after="60"/>
              <w:ind w:left="641" w:right="284" w:hanging="357"/>
              <w:rPr>
                <w:rFonts w:cstheme="minorBidi"/>
                <w:color w:val="1C556C"/>
                <w:szCs w:val="22"/>
              </w:rPr>
            </w:pPr>
            <w:r w:rsidRPr="008A2DC4">
              <w:rPr>
                <w:rFonts w:cstheme="minorBidi"/>
                <w:b/>
                <w:color w:val="1C556C"/>
                <w:szCs w:val="22"/>
              </w:rPr>
              <w:t>Policy 3</w:t>
            </w:r>
            <w:r w:rsidRPr="008A2DC4">
              <w:rPr>
                <w:rFonts w:cstheme="minorBidi"/>
                <w:color w:val="1C556C"/>
                <w:szCs w:val="22"/>
              </w:rPr>
              <w:t>: In relation to tier 1 urban environments, regional policy statements and district plans enable:</w:t>
            </w:r>
          </w:p>
          <w:p w14:paraId="21C14ACA" w14:textId="137963CA" w:rsidR="008A2DC4" w:rsidRPr="008A2DC4" w:rsidRDefault="008A2DC4" w:rsidP="001703F5">
            <w:pPr>
              <w:pStyle w:val="ListParagraph"/>
              <w:numPr>
                <w:ilvl w:val="0"/>
                <w:numId w:val="31"/>
              </w:numPr>
              <w:spacing w:before="60" w:after="60" w:line="280" w:lineRule="atLeast"/>
              <w:ind w:left="641" w:right="284" w:hanging="357"/>
              <w:contextualSpacing w:val="0"/>
              <w:rPr>
                <w:rFonts w:ascii="Calibri" w:hAnsi="Calibri" w:cstheme="minorBidi"/>
                <w:color w:val="1C556C"/>
                <w:szCs w:val="22"/>
                <w:lang w:eastAsia="en-NZ"/>
              </w:rPr>
            </w:pPr>
            <w:r w:rsidRPr="008A2DC4">
              <w:rPr>
                <w:rFonts w:ascii="Calibri" w:hAnsi="Calibri" w:cstheme="minorBidi"/>
                <w:color w:val="1C556C"/>
                <w:szCs w:val="22"/>
                <w:lang w:eastAsia="en-NZ"/>
              </w:rPr>
              <w:t>in city centre zones, building heights and density of urban form to realise as much development capacity as possible, to maximise benefits of intensification; and</w:t>
            </w:r>
          </w:p>
          <w:p w14:paraId="0F5EEEB8" w14:textId="4CEC5B4F" w:rsidR="008A2DC4" w:rsidRPr="008A2DC4" w:rsidRDefault="008A2DC4" w:rsidP="001703F5">
            <w:pPr>
              <w:pStyle w:val="ListParagraph"/>
              <w:numPr>
                <w:ilvl w:val="0"/>
                <w:numId w:val="31"/>
              </w:numPr>
              <w:spacing w:before="60" w:after="60" w:line="280" w:lineRule="atLeast"/>
              <w:ind w:left="641" w:right="284" w:hanging="357"/>
              <w:contextualSpacing w:val="0"/>
              <w:rPr>
                <w:rFonts w:ascii="Calibri" w:hAnsi="Calibri" w:cstheme="minorBidi"/>
                <w:color w:val="1C556C"/>
                <w:szCs w:val="22"/>
                <w:lang w:eastAsia="en-NZ"/>
              </w:rPr>
            </w:pPr>
            <w:r w:rsidRPr="008A2DC4">
              <w:rPr>
                <w:rFonts w:ascii="Calibri" w:hAnsi="Calibri" w:cstheme="minorBidi"/>
                <w:color w:val="1C556C"/>
                <w:szCs w:val="22"/>
                <w:lang w:eastAsia="en-NZ"/>
              </w:rPr>
              <w:t>in metropolitan centre zones, building heights and density of urban form to reflect demand for housing and business use in those locations, and in all cases building heights of at least 6 storeys; and</w:t>
            </w:r>
          </w:p>
          <w:p w14:paraId="47F8B952" w14:textId="5E879908" w:rsidR="008A2DC4" w:rsidRPr="008A2DC4" w:rsidRDefault="008A2DC4" w:rsidP="001703F5">
            <w:pPr>
              <w:pStyle w:val="ListParagraph"/>
              <w:numPr>
                <w:ilvl w:val="0"/>
                <w:numId w:val="31"/>
              </w:numPr>
              <w:spacing w:before="60" w:after="60" w:line="280" w:lineRule="atLeast"/>
              <w:ind w:left="641" w:right="284" w:hanging="357"/>
              <w:contextualSpacing w:val="0"/>
              <w:rPr>
                <w:rFonts w:ascii="Calibri" w:hAnsi="Calibri" w:cstheme="minorBidi"/>
                <w:color w:val="1C556C"/>
                <w:szCs w:val="22"/>
                <w:lang w:eastAsia="en-NZ"/>
              </w:rPr>
            </w:pPr>
            <w:r w:rsidRPr="008A2DC4">
              <w:rPr>
                <w:rFonts w:ascii="Calibri" w:hAnsi="Calibri" w:cstheme="minorBidi"/>
                <w:color w:val="1C556C"/>
                <w:szCs w:val="22"/>
                <w:lang w:eastAsia="en-NZ"/>
              </w:rPr>
              <w:t>building heights of least 6 storeys within at least a walkable catchment of the following:</w:t>
            </w:r>
          </w:p>
          <w:p w14:paraId="2BEA6CA3" w14:textId="77777777" w:rsidR="008A2DC4" w:rsidRPr="008A2DC4" w:rsidRDefault="008A2DC4" w:rsidP="001703F5">
            <w:pPr>
              <w:spacing w:before="60" w:after="60"/>
              <w:ind w:left="641" w:right="284" w:hanging="357"/>
              <w:rPr>
                <w:rFonts w:cstheme="minorBidi"/>
                <w:color w:val="1C556C"/>
                <w:szCs w:val="22"/>
              </w:rPr>
            </w:pPr>
            <w:r w:rsidRPr="008A2DC4">
              <w:rPr>
                <w:rFonts w:cstheme="minorBidi"/>
                <w:color w:val="1C556C"/>
                <w:szCs w:val="22"/>
              </w:rPr>
              <w:tab/>
              <w:t>(i)</w:t>
            </w:r>
            <w:r w:rsidRPr="008A2DC4">
              <w:rPr>
                <w:rFonts w:cstheme="minorBidi"/>
                <w:color w:val="1C556C"/>
                <w:szCs w:val="22"/>
              </w:rPr>
              <w:tab/>
              <w:t>existing and planned rapid transit stops</w:t>
            </w:r>
          </w:p>
          <w:p w14:paraId="5B5667A1" w14:textId="77777777" w:rsidR="008A2DC4" w:rsidRPr="008A2DC4" w:rsidRDefault="008A2DC4" w:rsidP="001703F5">
            <w:pPr>
              <w:spacing w:before="60" w:after="60"/>
              <w:ind w:left="641" w:right="284" w:hanging="357"/>
              <w:rPr>
                <w:rFonts w:cstheme="minorBidi"/>
                <w:color w:val="1C556C"/>
                <w:szCs w:val="22"/>
              </w:rPr>
            </w:pPr>
            <w:r w:rsidRPr="008A2DC4">
              <w:rPr>
                <w:rFonts w:cstheme="minorBidi"/>
                <w:color w:val="1C556C"/>
                <w:szCs w:val="22"/>
              </w:rPr>
              <w:tab/>
              <w:t>(ii)</w:t>
            </w:r>
            <w:r w:rsidRPr="008A2DC4">
              <w:rPr>
                <w:rFonts w:cstheme="minorBidi"/>
                <w:color w:val="1C556C"/>
                <w:szCs w:val="22"/>
              </w:rPr>
              <w:tab/>
              <w:t>the edge of city centre zones</w:t>
            </w:r>
          </w:p>
          <w:p w14:paraId="1CD27118" w14:textId="77777777" w:rsidR="008A2DC4" w:rsidRPr="008A2DC4" w:rsidRDefault="008A2DC4" w:rsidP="001703F5">
            <w:pPr>
              <w:spacing w:before="60" w:after="60"/>
              <w:ind w:left="641" w:right="284" w:hanging="357"/>
              <w:rPr>
                <w:rFonts w:cstheme="minorBidi"/>
                <w:color w:val="1C556C"/>
                <w:szCs w:val="22"/>
              </w:rPr>
            </w:pPr>
            <w:r w:rsidRPr="008A2DC4">
              <w:rPr>
                <w:rFonts w:cstheme="minorBidi"/>
                <w:color w:val="1C556C"/>
                <w:szCs w:val="22"/>
              </w:rPr>
              <w:tab/>
              <w:t>(iii)</w:t>
            </w:r>
            <w:r w:rsidRPr="008A2DC4">
              <w:rPr>
                <w:rFonts w:cstheme="minorBidi"/>
                <w:color w:val="1C556C"/>
                <w:szCs w:val="22"/>
              </w:rPr>
              <w:tab/>
              <w:t>the edge of metropolitan centre zones; and</w:t>
            </w:r>
          </w:p>
          <w:p w14:paraId="504964E2" w14:textId="24FE385B" w:rsidR="008A2DC4" w:rsidRPr="008A2DC4" w:rsidRDefault="008A2DC4" w:rsidP="001703F5">
            <w:pPr>
              <w:pStyle w:val="ListParagraph"/>
              <w:numPr>
                <w:ilvl w:val="0"/>
                <w:numId w:val="31"/>
              </w:numPr>
              <w:spacing w:before="60" w:after="60" w:line="280" w:lineRule="atLeast"/>
              <w:ind w:left="641" w:right="284" w:hanging="357"/>
              <w:contextualSpacing w:val="0"/>
              <w:rPr>
                <w:rFonts w:ascii="Calibri" w:hAnsi="Calibri" w:cstheme="minorBidi"/>
                <w:color w:val="1C556C"/>
                <w:szCs w:val="22"/>
                <w:lang w:eastAsia="en-NZ"/>
              </w:rPr>
            </w:pPr>
            <w:r w:rsidRPr="008A2DC4">
              <w:rPr>
                <w:rFonts w:ascii="Calibri" w:hAnsi="Calibri" w:cstheme="minorBidi"/>
                <w:color w:val="1C556C"/>
                <w:szCs w:val="22"/>
                <w:lang w:eastAsia="en-NZ"/>
              </w:rPr>
              <w:t>in all other locations in the tier 1 urban environment, building heights and density of urban form commensurate with the greater of:</w:t>
            </w:r>
          </w:p>
          <w:p w14:paraId="2AB010AA" w14:textId="77777777" w:rsidR="008A2DC4" w:rsidRPr="008A2DC4" w:rsidRDefault="008A2DC4" w:rsidP="001703F5">
            <w:pPr>
              <w:spacing w:before="60" w:after="60"/>
              <w:ind w:left="998" w:right="284" w:hanging="357"/>
              <w:rPr>
                <w:rFonts w:cstheme="minorBidi"/>
                <w:color w:val="1C556C"/>
                <w:szCs w:val="22"/>
              </w:rPr>
            </w:pPr>
            <w:r w:rsidRPr="008A2DC4">
              <w:rPr>
                <w:rFonts w:cstheme="minorBidi"/>
                <w:color w:val="1C556C"/>
                <w:szCs w:val="22"/>
              </w:rPr>
              <w:t>(i)</w:t>
            </w:r>
            <w:r w:rsidRPr="008A2DC4">
              <w:rPr>
                <w:rFonts w:cstheme="minorBidi"/>
                <w:color w:val="1C556C"/>
                <w:szCs w:val="22"/>
              </w:rPr>
              <w:tab/>
              <w:t>the level of accessibility by existing or planned active or public transport to a range of commercial activities and community services; or</w:t>
            </w:r>
          </w:p>
          <w:p w14:paraId="61AA3D4C" w14:textId="77777777" w:rsidR="008A2DC4" w:rsidRDefault="008A2DC4" w:rsidP="001703F5">
            <w:pPr>
              <w:spacing w:before="60" w:after="60"/>
              <w:ind w:left="998" w:right="284" w:hanging="357"/>
              <w:rPr>
                <w:rFonts w:cstheme="minorBidi"/>
                <w:color w:val="1C556C"/>
                <w:szCs w:val="22"/>
              </w:rPr>
            </w:pPr>
            <w:r w:rsidRPr="008A2DC4">
              <w:rPr>
                <w:rFonts w:cstheme="minorBidi"/>
                <w:color w:val="1C556C"/>
                <w:szCs w:val="22"/>
              </w:rPr>
              <w:t>(ii)</w:t>
            </w:r>
            <w:r w:rsidRPr="008A2DC4">
              <w:rPr>
                <w:rFonts w:cstheme="minorBidi"/>
                <w:color w:val="1C556C"/>
                <w:szCs w:val="22"/>
              </w:rPr>
              <w:tab/>
              <w:t>relative demand for housing and business use in that location.</w:t>
            </w:r>
          </w:p>
          <w:p w14:paraId="4A80D0EC" w14:textId="11206DCB" w:rsidR="009347FD" w:rsidRPr="008A2DC4" w:rsidRDefault="009347FD" w:rsidP="009347FD">
            <w:pPr>
              <w:spacing w:before="60" w:after="60"/>
              <w:ind w:right="284"/>
              <w:rPr>
                <w:rFonts w:cstheme="minorBidi"/>
                <w:color w:val="1C556C"/>
                <w:szCs w:val="22"/>
              </w:rPr>
            </w:pPr>
          </w:p>
        </w:tc>
      </w:tr>
    </w:tbl>
    <w:p w14:paraId="12CE2E6C" w14:textId="3C947E36" w:rsidR="009C2014" w:rsidRDefault="009C2014" w:rsidP="00E91CDF">
      <w:pPr>
        <w:pStyle w:val="BodyText"/>
      </w:pPr>
    </w:p>
    <w:tbl>
      <w:tblPr>
        <w:tblStyle w:val="TableGrid"/>
        <w:tblW w:w="0" w:type="auto"/>
        <w:shd w:val="clear" w:color="auto" w:fill="6FC7B7"/>
        <w:tblLook w:val="04A0" w:firstRow="1" w:lastRow="0" w:firstColumn="1" w:lastColumn="0" w:noHBand="0" w:noVBand="1"/>
      </w:tblPr>
      <w:tblGrid>
        <w:gridCol w:w="9061"/>
      </w:tblGrid>
      <w:tr w:rsidR="00E91CDF" w14:paraId="5DE0B566" w14:textId="77777777" w:rsidTr="0036662C">
        <w:tc>
          <w:tcPr>
            <w:tcW w:w="9061" w:type="dxa"/>
            <w:tcBorders>
              <w:top w:val="single" w:sz="4" w:space="0" w:color="D2DDE2" w:themeColor="accent3"/>
              <w:left w:val="single" w:sz="4" w:space="0" w:color="D2DDE2" w:themeColor="accent3"/>
              <w:bottom w:val="single" w:sz="4" w:space="0" w:color="D2DDE2" w:themeColor="accent3"/>
              <w:right w:val="single" w:sz="4" w:space="0" w:color="D2DDE2" w:themeColor="accent3"/>
            </w:tcBorders>
            <w:shd w:val="clear" w:color="auto" w:fill="6FC7B7"/>
          </w:tcPr>
          <w:p w14:paraId="7E1AA961" w14:textId="77777777" w:rsidR="00E91CDF" w:rsidRPr="00E91CDF" w:rsidRDefault="00E91CDF" w:rsidP="00E91CDF">
            <w:pPr>
              <w:spacing w:before="240"/>
              <w:ind w:left="284" w:right="284"/>
              <w:rPr>
                <w:color w:val="1C556C"/>
                <w:szCs w:val="22"/>
              </w:rPr>
            </w:pPr>
            <w:r w:rsidRPr="00E91CDF">
              <w:rPr>
                <w:b/>
                <w:color w:val="1C556C"/>
                <w:szCs w:val="22"/>
              </w:rPr>
              <w:t>Policy 5:</w:t>
            </w:r>
            <w:r w:rsidRPr="00E91CDF">
              <w:rPr>
                <w:color w:val="1C556C"/>
                <w:szCs w:val="22"/>
              </w:rPr>
              <w:t xml:space="preserve"> Regional policy statements and district plans applying to tier 2 and 3 urban environments enable heights and density of urban form commensurate with the greater of: </w:t>
            </w:r>
          </w:p>
          <w:p w14:paraId="566C765B" w14:textId="0DB72C7C" w:rsidR="00E91CDF" w:rsidRDefault="00E91CDF" w:rsidP="001703F5">
            <w:pPr>
              <w:pStyle w:val="ListParagraph"/>
              <w:numPr>
                <w:ilvl w:val="0"/>
                <w:numId w:val="32"/>
              </w:numPr>
              <w:spacing w:before="60" w:after="120" w:line="280" w:lineRule="atLeast"/>
              <w:ind w:left="641" w:right="284" w:hanging="357"/>
              <w:contextualSpacing w:val="0"/>
              <w:rPr>
                <w:rFonts w:ascii="Calibri" w:hAnsi="Calibri" w:cstheme="minorBidi"/>
                <w:color w:val="1C556C"/>
                <w:szCs w:val="22"/>
                <w:lang w:eastAsia="en-NZ"/>
              </w:rPr>
            </w:pPr>
            <w:r w:rsidRPr="00E91CDF">
              <w:rPr>
                <w:rFonts w:ascii="Calibri" w:hAnsi="Calibri" w:cstheme="minorBidi"/>
                <w:color w:val="1C556C"/>
                <w:szCs w:val="22"/>
                <w:lang w:eastAsia="en-NZ"/>
              </w:rPr>
              <w:t>the level of accessibility by existing or planned active or public transport to a range of commercial and community services; or</w:t>
            </w:r>
          </w:p>
          <w:p w14:paraId="7AD1CE35" w14:textId="7504DBAD" w:rsidR="00E91CDF" w:rsidRPr="00E91CDF" w:rsidRDefault="00E91CDF" w:rsidP="001703F5">
            <w:pPr>
              <w:pStyle w:val="ListParagraph"/>
              <w:numPr>
                <w:ilvl w:val="0"/>
                <w:numId w:val="32"/>
              </w:numPr>
              <w:spacing w:before="60" w:after="240" w:line="280" w:lineRule="atLeast"/>
              <w:ind w:left="641" w:right="284" w:hanging="357"/>
              <w:contextualSpacing w:val="0"/>
              <w:rPr>
                <w:rFonts w:ascii="Calibri" w:hAnsi="Calibri" w:cstheme="minorBidi"/>
                <w:color w:val="1C556C"/>
                <w:szCs w:val="22"/>
                <w:lang w:eastAsia="en-NZ"/>
              </w:rPr>
            </w:pPr>
            <w:r w:rsidRPr="00E91CDF">
              <w:rPr>
                <w:rFonts w:ascii="Calibri" w:hAnsi="Calibri"/>
                <w:color w:val="1C556C"/>
                <w:lang w:eastAsia="en-NZ"/>
              </w:rPr>
              <w:t>the relative demand for housing and business use in that location.</w:t>
            </w:r>
            <w:r w:rsidRPr="00E91CDF">
              <w:t xml:space="preserve"> </w:t>
            </w:r>
          </w:p>
        </w:tc>
      </w:tr>
    </w:tbl>
    <w:p w14:paraId="418E4D58" w14:textId="71F01742" w:rsidR="00C0111D" w:rsidRPr="00C0111D" w:rsidRDefault="00A04635" w:rsidP="00B93291">
      <w:pPr>
        <w:pStyle w:val="Heading2"/>
        <w:numPr>
          <w:ilvl w:val="0"/>
          <w:numId w:val="0"/>
        </w:numPr>
        <w:ind w:left="851" w:hanging="851"/>
        <w:rPr>
          <w:rFonts w:eastAsiaTheme="minorEastAsia"/>
        </w:rPr>
      </w:pPr>
      <w:bookmarkStart w:id="22" w:name="_Toc50720779"/>
      <w:r w:rsidRPr="00195CE4">
        <w:rPr>
          <w:rFonts w:eastAsiaTheme="minorEastAsia"/>
        </w:rPr>
        <w:lastRenderedPageBreak/>
        <w:t>5</w:t>
      </w:r>
      <w:r w:rsidR="00C0111D" w:rsidRPr="00195CE4">
        <w:rPr>
          <w:rFonts w:eastAsiaTheme="minorEastAsia"/>
        </w:rPr>
        <w:t>.2</w:t>
      </w:r>
      <w:r w:rsidR="00C0111D" w:rsidRPr="00195CE4">
        <w:rPr>
          <w:rFonts w:eastAsiaTheme="minorEastAsia"/>
        </w:rPr>
        <w:tab/>
        <w:t>Definition of city centre and metropolitan centre zones</w:t>
      </w:r>
      <w:bookmarkEnd w:id="22"/>
    </w:p>
    <w:p w14:paraId="0B3A0390" w14:textId="2804CCDA" w:rsidR="00C0111D" w:rsidRPr="00C0111D" w:rsidRDefault="00C0111D" w:rsidP="007F3426">
      <w:pPr>
        <w:pStyle w:val="BodyText"/>
      </w:pPr>
      <w:r w:rsidRPr="00C0111D">
        <w:t xml:space="preserve">Where a local authority has not adopted </w:t>
      </w:r>
      <w:r w:rsidR="00195CE4">
        <w:t>the standards</w:t>
      </w:r>
      <w:r w:rsidRPr="00C0111D">
        <w:t xml:space="preserve">, then the nearest equivalent zone must be used. The </w:t>
      </w:r>
      <w:r w:rsidR="00195CE4">
        <w:t>standards</w:t>
      </w:r>
      <w:r w:rsidRPr="00C0111D">
        <w:t xml:space="preserve"> define a ‘city centre’ to be</w:t>
      </w:r>
      <w:r w:rsidR="00E91CDF">
        <w:t xml:space="preserve"> </w:t>
      </w:r>
      <w:r w:rsidRPr="00C0111D">
        <w:t xml:space="preserve">“areas used predominantly for a broad range of commercial, community, recreational and residential activities. The zone is the main centre for the district or region”. The </w:t>
      </w:r>
      <w:r w:rsidR="00195CE4">
        <w:t>s</w:t>
      </w:r>
      <w:r w:rsidRPr="00C0111D">
        <w:t xml:space="preserve">tandards define a ‘metropolitan centre’ to be “areas used predominantly for a broad range of commercial, community, recreational and residential activities. The zone is a focal point for sub-regional urban catchments”. Local authorities should rely on the zone descriptions and intent in the </w:t>
      </w:r>
      <w:r w:rsidR="00195CE4">
        <w:t>standards</w:t>
      </w:r>
      <w:r w:rsidR="00085E3A">
        <w:t xml:space="preserve"> and</w:t>
      </w:r>
      <w:r w:rsidRPr="00C0111D">
        <w:t xml:space="preserve"> compare and align this with their current zoning to work out what the nearest equivalent zone is. </w:t>
      </w:r>
    </w:p>
    <w:p w14:paraId="4BA74F94" w14:textId="50F9A6BD" w:rsidR="00C0111D" w:rsidRPr="00C0111D" w:rsidRDefault="00A04635" w:rsidP="00121B32">
      <w:pPr>
        <w:pStyle w:val="Heading2"/>
        <w:numPr>
          <w:ilvl w:val="0"/>
          <w:numId w:val="0"/>
        </w:numPr>
        <w:rPr>
          <w:rFonts w:eastAsiaTheme="minorEastAsia"/>
        </w:rPr>
      </w:pPr>
      <w:bookmarkStart w:id="23" w:name="_Toc50720780"/>
      <w:r>
        <w:rPr>
          <w:rFonts w:eastAsiaTheme="minorEastAsia"/>
        </w:rPr>
        <w:t>5</w:t>
      </w:r>
      <w:r w:rsidR="00C0111D" w:rsidRPr="00C0111D">
        <w:rPr>
          <w:rFonts w:eastAsiaTheme="minorEastAsia"/>
        </w:rPr>
        <w:t>.3</w:t>
      </w:r>
      <w:r w:rsidR="00C0111D" w:rsidRPr="00C0111D">
        <w:rPr>
          <w:rFonts w:eastAsiaTheme="minorEastAsia"/>
        </w:rPr>
        <w:tab/>
        <w:t>Measuring demand in metropolitan centre zones</w:t>
      </w:r>
      <w:bookmarkEnd w:id="23"/>
    </w:p>
    <w:p w14:paraId="6CA4B74E" w14:textId="4C99C8B4" w:rsidR="00C0111D" w:rsidRPr="00C0111D" w:rsidRDefault="00C0111D" w:rsidP="007F3426">
      <w:pPr>
        <w:pStyle w:val="BodyText"/>
      </w:pPr>
      <w:r w:rsidRPr="00C0111D">
        <w:t xml:space="preserve">Local authorities are required to prepare a housing and business </w:t>
      </w:r>
      <w:r w:rsidR="00E91CDF">
        <w:t xml:space="preserve">development capacity </w:t>
      </w:r>
      <w:r w:rsidRPr="00C0111D">
        <w:t xml:space="preserve">assessment (HBA) for all tier 1 and tier 2 urban environments. </w:t>
      </w:r>
      <w:r w:rsidR="00E91CDF" w:rsidRPr="00C0111D">
        <w:t>HBAs provide information on the demand and supply of housing and business land, and the impact of planning and infrastructure decisions on that demand and supply.</w:t>
      </w:r>
      <w:r w:rsidR="00E91CDF">
        <w:t xml:space="preserve"> </w:t>
      </w:r>
      <w:r w:rsidRPr="00C0111D">
        <w:t xml:space="preserve">HBAs will support local authorities to ensure well-evidenced decision-making. </w:t>
      </w:r>
    </w:p>
    <w:p w14:paraId="061923AD" w14:textId="6D35F94F" w:rsidR="00C0111D" w:rsidRPr="00C0111D" w:rsidRDefault="0097290F" w:rsidP="007F3426">
      <w:pPr>
        <w:pStyle w:val="BodyText"/>
      </w:pPr>
      <w:r>
        <w:t>A l</w:t>
      </w:r>
      <w:r w:rsidR="00C0111D" w:rsidRPr="00C0111D">
        <w:t>ocal authorit</w:t>
      </w:r>
      <w:r>
        <w:t>y</w:t>
      </w:r>
      <w:r w:rsidR="00C0111D" w:rsidRPr="00C0111D">
        <w:t xml:space="preserve"> </w:t>
      </w:r>
      <w:r>
        <w:t>can cho</w:t>
      </w:r>
      <w:r w:rsidR="00603F05">
        <w:t>o</w:t>
      </w:r>
      <w:r>
        <w:t xml:space="preserve">se how </w:t>
      </w:r>
      <w:r w:rsidR="00603F05">
        <w:t xml:space="preserve">it </w:t>
      </w:r>
      <w:r>
        <w:t>segment</w:t>
      </w:r>
      <w:r w:rsidR="00603F05">
        <w:t>s</w:t>
      </w:r>
      <w:r>
        <w:t xml:space="preserve"> </w:t>
      </w:r>
      <w:r w:rsidR="00603F05">
        <w:t xml:space="preserve">its </w:t>
      </w:r>
      <w:r>
        <w:t>demand (and supply) by location</w:t>
      </w:r>
      <w:r w:rsidR="00C0111D" w:rsidRPr="00C0111D">
        <w:t xml:space="preserve"> for </w:t>
      </w:r>
      <w:r w:rsidR="00603F05">
        <w:t>its</w:t>
      </w:r>
      <w:r w:rsidR="00603F05" w:rsidRPr="00C0111D">
        <w:t xml:space="preserve"> </w:t>
      </w:r>
      <w:r w:rsidR="00C0111D" w:rsidRPr="00C0111D">
        <w:t xml:space="preserve">HBA. </w:t>
      </w:r>
      <w:r w:rsidR="00E91CDF">
        <w:t>T</w:t>
      </w:r>
      <w:r w:rsidR="00195CE4">
        <w:t>ier 1 local authorit</w:t>
      </w:r>
      <w:r w:rsidR="00E91CDF">
        <w:t xml:space="preserve">ies </w:t>
      </w:r>
      <w:r w:rsidR="00C0111D" w:rsidRPr="00C0111D">
        <w:t>are required to use demand assessments to determine appropriate height limits and densities under the intensification provisions across their urban areas</w:t>
      </w:r>
      <w:r w:rsidR="00E9687F">
        <w:t>. For this reason</w:t>
      </w:r>
      <w:r w:rsidR="00C0111D" w:rsidRPr="00C0111D">
        <w:t>, local authorities may want to carefully consider these locations. Any demand assessment by location should also take into consideration the requirement to consider demand specifically in and around metropolitan centres.</w:t>
      </w:r>
    </w:p>
    <w:p w14:paraId="0D7A4C8A" w14:textId="30008B34" w:rsidR="00C0111D" w:rsidRPr="00C0111D" w:rsidRDefault="00175476" w:rsidP="007F3426">
      <w:pPr>
        <w:pStyle w:val="BodyText"/>
      </w:pPr>
      <w:r>
        <w:t>S</w:t>
      </w:r>
      <w:r w:rsidR="00C0111D" w:rsidRPr="00C0111D">
        <w:t xml:space="preserve">uitable height and density is calculated as part of an HBA </w:t>
      </w:r>
      <w:r w:rsidR="0097290F">
        <w:t xml:space="preserve">for a </w:t>
      </w:r>
      <w:r w:rsidR="00C0111D" w:rsidRPr="00C0111D">
        <w:t xml:space="preserve">tier 1 urban environment. </w:t>
      </w:r>
      <w:hyperlink w:anchor="_6.5.3_Determining_relative" w:history="1">
        <w:r w:rsidR="00C0111D" w:rsidRPr="000D35C0">
          <w:rPr>
            <w:rStyle w:val="Hyperlink"/>
            <w:b/>
          </w:rPr>
          <w:t>Section</w:t>
        </w:r>
      </w:hyperlink>
      <w:r w:rsidR="00C0111D" w:rsidRPr="00FE0124">
        <w:rPr>
          <w:b/>
          <w:color w:val="32809C"/>
        </w:rPr>
        <w:t xml:space="preserve"> </w:t>
      </w:r>
      <w:r w:rsidR="00DA5DCF" w:rsidRPr="00FE0124">
        <w:rPr>
          <w:b/>
          <w:color w:val="32809C"/>
          <w:highlight w:val="yellow"/>
        </w:rPr>
        <w:fldChar w:fldCharType="begin"/>
      </w:r>
      <w:r w:rsidR="00DA5DCF" w:rsidRPr="00FE0124">
        <w:rPr>
          <w:b/>
          <w:color w:val="32809C"/>
          <w:highlight w:val="yellow"/>
        </w:rPr>
        <w:instrText xml:space="preserve"> REF _Ref51165973 \h </w:instrText>
      </w:r>
      <w:r w:rsidR="00FE0124">
        <w:rPr>
          <w:b/>
          <w:color w:val="32809C"/>
          <w:highlight w:val="yellow"/>
        </w:rPr>
        <w:instrText xml:space="preserve"> \* MERGEFORMAT </w:instrText>
      </w:r>
      <w:r w:rsidR="00DA5DCF" w:rsidRPr="00FE0124">
        <w:rPr>
          <w:b/>
          <w:color w:val="32809C"/>
          <w:highlight w:val="yellow"/>
        </w:rPr>
      </w:r>
      <w:r w:rsidR="00DA5DCF" w:rsidRPr="00FE0124">
        <w:rPr>
          <w:b/>
          <w:color w:val="32809C"/>
          <w:highlight w:val="yellow"/>
        </w:rPr>
        <w:fldChar w:fldCharType="separate"/>
      </w:r>
      <w:r w:rsidR="005D2599" w:rsidRPr="005D2599">
        <w:rPr>
          <w:b/>
          <w:color w:val="32809C"/>
        </w:rPr>
        <w:t>6.5.3</w:t>
      </w:r>
      <w:r w:rsidR="005D2599" w:rsidRPr="00C0111D">
        <w:tab/>
        <w:t>Determining relative demand for housing and business use</w:t>
      </w:r>
      <w:r w:rsidR="00DA5DCF" w:rsidRPr="00FE0124">
        <w:rPr>
          <w:b/>
          <w:color w:val="32809C"/>
          <w:highlight w:val="yellow"/>
        </w:rPr>
        <w:fldChar w:fldCharType="end"/>
      </w:r>
      <w:r w:rsidR="00DA5DCF">
        <w:t xml:space="preserve"> </w:t>
      </w:r>
      <w:r w:rsidR="00C0111D" w:rsidRPr="00C0111D">
        <w:t xml:space="preserve">of this guide outlines how demand and other factors could be used to determine appropriate heights and densities. More information on calculating demand </w:t>
      </w:r>
      <w:r w:rsidR="00A1546D">
        <w:t>will be m</w:t>
      </w:r>
      <w:r w:rsidR="00DC2F4A">
        <w:t>ade available on the Ministry for the Environment’s</w:t>
      </w:r>
      <w:hyperlink r:id="rId15" w:history="1">
        <w:r w:rsidR="00DC2F4A" w:rsidRPr="00DC2F4A">
          <w:rPr>
            <w:rStyle w:val="Hyperlink"/>
          </w:rPr>
          <w:t xml:space="preserve"> </w:t>
        </w:r>
        <w:r w:rsidR="00DC2F4A" w:rsidRPr="00FE0124">
          <w:rPr>
            <w:rStyle w:val="Hyperlink"/>
            <w:b/>
          </w:rPr>
          <w:t>website</w:t>
        </w:r>
      </w:hyperlink>
      <w:r w:rsidR="00DC2F4A">
        <w:t xml:space="preserve">. </w:t>
      </w:r>
    </w:p>
    <w:p w14:paraId="27D6EF73" w14:textId="15E45DAC" w:rsidR="00C0111D" w:rsidRPr="00C0111D" w:rsidRDefault="00A04635" w:rsidP="00121B32">
      <w:pPr>
        <w:pStyle w:val="Heading2"/>
        <w:numPr>
          <w:ilvl w:val="0"/>
          <w:numId w:val="0"/>
        </w:numPr>
        <w:rPr>
          <w:rFonts w:eastAsiaTheme="minorEastAsia"/>
        </w:rPr>
      </w:pPr>
      <w:bookmarkStart w:id="24" w:name="_5.4_Measuring_accessibility"/>
      <w:bookmarkStart w:id="25" w:name="_Toc50720781"/>
      <w:bookmarkStart w:id="26" w:name="_Ref51166245"/>
      <w:bookmarkEnd w:id="24"/>
      <w:r>
        <w:rPr>
          <w:rFonts w:eastAsiaTheme="minorEastAsia"/>
        </w:rPr>
        <w:t>5</w:t>
      </w:r>
      <w:r w:rsidR="00C0111D" w:rsidRPr="00C0111D">
        <w:rPr>
          <w:rFonts w:eastAsiaTheme="minorEastAsia"/>
        </w:rPr>
        <w:t>.4</w:t>
      </w:r>
      <w:r w:rsidR="00C0111D" w:rsidRPr="00C0111D">
        <w:rPr>
          <w:rFonts w:eastAsiaTheme="minorEastAsia"/>
        </w:rPr>
        <w:tab/>
        <w:t>Measuring accessibility</w:t>
      </w:r>
      <w:bookmarkEnd w:id="25"/>
      <w:bookmarkEnd w:id="26"/>
    </w:p>
    <w:p w14:paraId="7BACD3C8" w14:textId="7BE9D344" w:rsidR="00C0111D" w:rsidRPr="00C0111D" w:rsidRDefault="00FC68DF" w:rsidP="007F3426">
      <w:pPr>
        <w:pStyle w:val="BodyText"/>
      </w:pPr>
      <w:r>
        <w:t>Well-functioning urban environments provide communities with g</w:t>
      </w:r>
      <w:r w:rsidR="00C0111D" w:rsidRPr="00C0111D">
        <w:t>ood access to social, economic and cultural opportunities (Objective 1 and Policy 1). There is a clear link between good accessibility and social, economic and cultural wellbeing, and the health and safety of all people.</w:t>
      </w:r>
    </w:p>
    <w:p w14:paraId="3045AB06" w14:textId="2441DC49" w:rsidR="00C0111D" w:rsidRPr="00C0111D" w:rsidRDefault="00C0111D" w:rsidP="00611C1E">
      <w:pPr>
        <w:pStyle w:val="Box"/>
      </w:pPr>
      <w:r w:rsidRPr="00C0111D">
        <w:t>Accessibility refers to the ‘level of service’ as a whole and defines people’s overall ability to reach desired services and activities (together called opportunities). Assessment typically examines the time, cost and amenity of accessing services and activities via different modes</w:t>
      </w:r>
      <w:r w:rsidR="00E9687F">
        <w:t>.</w:t>
      </w:r>
    </w:p>
    <w:p w14:paraId="7BBED952" w14:textId="782FD7D7" w:rsidR="00C0111D" w:rsidRPr="00C0111D" w:rsidRDefault="00A04635" w:rsidP="00DA5DCF">
      <w:pPr>
        <w:pStyle w:val="Heading3"/>
        <w:ind w:left="851" w:hanging="851"/>
        <w:rPr>
          <w:rFonts w:eastAsiaTheme="minorEastAsia"/>
        </w:rPr>
      </w:pPr>
      <w:bookmarkStart w:id="27" w:name="_Toc50720782"/>
      <w:r>
        <w:rPr>
          <w:rFonts w:eastAsiaTheme="minorEastAsia"/>
        </w:rPr>
        <w:t>5</w:t>
      </w:r>
      <w:r w:rsidR="00C0111D" w:rsidRPr="00C0111D">
        <w:rPr>
          <w:rFonts w:eastAsiaTheme="minorEastAsia"/>
        </w:rPr>
        <w:t>.4.1</w:t>
      </w:r>
      <w:r w:rsidR="00C0111D" w:rsidRPr="00C0111D">
        <w:rPr>
          <w:rFonts w:eastAsiaTheme="minorEastAsia"/>
        </w:rPr>
        <w:tab/>
      </w:r>
      <w:r w:rsidR="00E9687F">
        <w:rPr>
          <w:rFonts w:eastAsiaTheme="minorEastAsia"/>
        </w:rPr>
        <w:t>T</w:t>
      </w:r>
      <w:r w:rsidR="00C0111D" w:rsidRPr="00C0111D">
        <w:rPr>
          <w:rFonts w:eastAsiaTheme="minorEastAsia"/>
        </w:rPr>
        <w:t>he purpose of planning for and providing good accessibility</w:t>
      </w:r>
      <w:bookmarkEnd w:id="27"/>
      <w:r w:rsidR="00C0111D" w:rsidRPr="00C0111D">
        <w:rPr>
          <w:rFonts w:eastAsiaTheme="minorEastAsia"/>
        </w:rPr>
        <w:t xml:space="preserve"> </w:t>
      </w:r>
    </w:p>
    <w:p w14:paraId="63A41E51" w14:textId="448DBC0C" w:rsidR="00C0111D" w:rsidRPr="00C0111D" w:rsidRDefault="00E9687F" w:rsidP="007F3426">
      <w:pPr>
        <w:pStyle w:val="BodyText"/>
      </w:pPr>
      <w:r>
        <w:t>P</w:t>
      </w:r>
      <w:r w:rsidR="00C0111D" w:rsidRPr="00C0111D">
        <w:t xml:space="preserve">lanning for and providing good accessibility </w:t>
      </w:r>
      <w:r>
        <w:t xml:space="preserve">makes it </w:t>
      </w:r>
      <w:r w:rsidR="00C0111D" w:rsidRPr="00C0111D">
        <w:t>efficient and affordable for all people to safely access activities and social and economic opportunities such as work, education, healthcare</w:t>
      </w:r>
      <w:r w:rsidR="00085E3A">
        <w:t xml:space="preserve"> and </w:t>
      </w:r>
      <w:r w:rsidR="00C0111D" w:rsidRPr="00C0111D">
        <w:t>community services.</w:t>
      </w:r>
    </w:p>
    <w:p w14:paraId="2A2BE943" w14:textId="669819BC" w:rsidR="00C0111D" w:rsidRPr="00C0111D" w:rsidRDefault="00E9687F" w:rsidP="007F3426">
      <w:pPr>
        <w:pStyle w:val="BodyText"/>
      </w:pPr>
      <w:r>
        <w:lastRenderedPageBreak/>
        <w:t xml:space="preserve">You </w:t>
      </w:r>
      <w:r w:rsidR="0004338B">
        <w:t>can</w:t>
      </w:r>
      <w:r>
        <w:t xml:space="preserve"> provide and improve g</w:t>
      </w:r>
      <w:r w:rsidR="00C0111D" w:rsidRPr="00C0111D">
        <w:t>ood accessibility in many ways. For example, compact</w:t>
      </w:r>
      <w:r w:rsidR="0004338B">
        <w:t>,</w:t>
      </w:r>
      <w:r w:rsidR="00C0111D" w:rsidRPr="00C0111D">
        <w:t xml:space="preserve"> mixed-use urban developments can enable many people to access opportunities within close proximity (</w:t>
      </w:r>
      <w:r w:rsidR="009113AC">
        <w:t>eg,</w:t>
      </w:r>
      <w:r w:rsidR="00C0111D" w:rsidRPr="00C0111D">
        <w:t xml:space="preserve"> by walking or cycling). Rapid transit and frequent public transport services can enable people to access </w:t>
      </w:r>
      <w:r w:rsidR="00077D5E">
        <w:t xml:space="preserve">adjoining communities and opportunities in </w:t>
      </w:r>
      <w:r w:rsidR="00C0111D" w:rsidRPr="00C0111D">
        <w:t>other parts of the city</w:t>
      </w:r>
      <w:r w:rsidR="00085E3A">
        <w:t xml:space="preserve"> and </w:t>
      </w:r>
      <w:r w:rsidR="00C0111D" w:rsidRPr="00C0111D">
        <w:t>avoid congestion at peak travel times</w:t>
      </w:r>
      <w:r w:rsidR="00077D5E">
        <w:t xml:space="preserve"> </w:t>
      </w:r>
      <w:r w:rsidR="00603F05">
        <w:t xml:space="preserve">as well as parking </w:t>
      </w:r>
      <w:r w:rsidR="00077D5E">
        <w:t>costs</w:t>
      </w:r>
      <w:r w:rsidR="00C0111D" w:rsidRPr="00C0111D">
        <w:t xml:space="preserve">. Private vehicles can also </w:t>
      </w:r>
      <w:r>
        <w:t>allow</w:t>
      </w:r>
      <w:r w:rsidRPr="00C0111D">
        <w:t xml:space="preserve"> </w:t>
      </w:r>
      <w:r w:rsidR="00C0111D" w:rsidRPr="00C0111D">
        <w:t xml:space="preserve">people to travel long distances and access opportunities </w:t>
      </w:r>
      <w:r w:rsidR="00603F05">
        <w:t xml:space="preserve">that are </w:t>
      </w:r>
      <w:r w:rsidR="00C0111D" w:rsidRPr="00C0111D">
        <w:t xml:space="preserve">further away, although </w:t>
      </w:r>
      <w:r>
        <w:t xml:space="preserve">travel </w:t>
      </w:r>
      <w:r w:rsidR="00C0111D" w:rsidRPr="00C0111D">
        <w:t xml:space="preserve">can often be affected by </w:t>
      </w:r>
      <w:r w:rsidR="00603F05">
        <w:t xml:space="preserve">peak-hour </w:t>
      </w:r>
      <w:r w:rsidR="00C0111D" w:rsidRPr="00C0111D">
        <w:t xml:space="preserve">congestion. </w:t>
      </w:r>
    </w:p>
    <w:p w14:paraId="71A06F07" w14:textId="1B01CA80" w:rsidR="00C0111D" w:rsidRPr="00C0111D" w:rsidRDefault="00C0111D" w:rsidP="007F3426">
      <w:pPr>
        <w:pStyle w:val="BodyText"/>
      </w:pPr>
      <w:r w:rsidRPr="00C0111D">
        <w:t xml:space="preserve">Planning for good accessibility enables prosperous communities by maximising </w:t>
      </w:r>
      <w:r w:rsidR="0004338B">
        <w:t>access</w:t>
      </w:r>
      <w:r w:rsidR="0004338B" w:rsidRPr="00C0111D">
        <w:t xml:space="preserve"> </w:t>
      </w:r>
      <w:r w:rsidRPr="00C0111D">
        <w:t xml:space="preserve">to opportunities while minimising </w:t>
      </w:r>
      <w:r w:rsidR="00077D5E">
        <w:t xml:space="preserve">travel </w:t>
      </w:r>
      <w:r w:rsidRPr="00C0111D">
        <w:t>cost</w:t>
      </w:r>
      <w:r w:rsidR="00077D5E">
        <w:t xml:space="preserve">s </w:t>
      </w:r>
      <w:r w:rsidRPr="00C0111D">
        <w:t xml:space="preserve">and </w:t>
      </w:r>
      <w:r w:rsidR="00077D5E">
        <w:t xml:space="preserve">avoiding </w:t>
      </w:r>
      <w:r w:rsidRPr="00C0111D">
        <w:t xml:space="preserve">the social </w:t>
      </w:r>
      <w:r w:rsidR="00077D5E">
        <w:t xml:space="preserve">and economic </w:t>
      </w:r>
      <w:r w:rsidRPr="00C0111D">
        <w:t xml:space="preserve">cost of trips unable to be made. </w:t>
      </w:r>
    </w:p>
    <w:p w14:paraId="32D04885" w14:textId="105FC9EF" w:rsidR="00C0111D" w:rsidRPr="00C0111D" w:rsidRDefault="00C0111D" w:rsidP="007F3426">
      <w:pPr>
        <w:pStyle w:val="BodyText"/>
      </w:pPr>
      <w:r w:rsidRPr="00C0111D">
        <w:t xml:space="preserve">A system view of accessibility considers the relative costs and ease of access, as well as gaps in access and service provision for </w:t>
      </w:r>
      <w:r w:rsidR="00FC68DF">
        <w:t xml:space="preserve">important </w:t>
      </w:r>
      <w:r w:rsidR="0004338B">
        <w:t>main</w:t>
      </w:r>
      <w:r w:rsidR="0004338B" w:rsidRPr="00C0111D">
        <w:t xml:space="preserve"> </w:t>
      </w:r>
      <w:r w:rsidRPr="00C0111D">
        <w:t xml:space="preserve">services and destinations. </w:t>
      </w:r>
    </w:p>
    <w:p w14:paraId="7B7ADC39" w14:textId="28AF48BF" w:rsidR="00C0111D" w:rsidRPr="00C0111D" w:rsidRDefault="00A04635" w:rsidP="00611C1E">
      <w:pPr>
        <w:pStyle w:val="Heading3"/>
        <w:rPr>
          <w:rFonts w:eastAsiaTheme="minorEastAsia"/>
        </w:rPr>
      </w:pPr>
      <w:bookmarkStart w:id="28" w:name="_Toc50720783"/>
      <w:r>
        <w:rPr>
          <w:rFonts w:eastAsiaTheme="minorEastAsia"/>
        </w:rPr>
        <w:t>5</w:t>
      </w:r>
      <w:r w:rsidR="00C0111D" w:rsidRPr="00C0111D">
        <w:rPr>
          <w:rFonts w:eastAsiaTheme="minorEastAsia"/>
        </w:rPr>
        <w:t>.4.2</w:t>
      </w:r>
      <w:r w:rsidR="00C0111D" w:rsidRPr="00C0111D">
        <w:rPr>
          <w:rFonts w:eastAsiaTheme="minorEastAsia"/>
        </w:rPr>
        <w:tab/>
      </w:r>
      <w:r w:rsidR="00E9687F">
        <w:rPr>
          <w:rFonts w:eastAsiaTheme="minorEastAsia"/>
        </w:rPr>
        <w:t>T</w:t>
      </w:r>
      <w:r w:rsidR="00C0111D" w:rsidRPr="00C0111D">
        <w:rPr>
          <w:rFonts w:eastAsiaTheme="minorEastAsia"/>
        </w:rPr>
        <w:t>he accessibility requirements</w:t>
      </w:r>
      <w:bookmarkEnd w:id="28"/>
      <w:r w:rsidR="00C0111D" w:rsidRPr="00C0111D">
        <w:rPr>
          <w:rFonts w:eastAsiaTheme="minorEastAsia"/>
        </w:rPr>
        <w:t xml:space="preserve"> </w:t>
      </w:r>
    </w:p>
    <w:p w14:paraId="335F629B" w14:textId="7F1EC05E" w:rsidR="00C0111D" w:rsidRPr="00C0111D" w:rsidRDefault="00ED46E1" w:rsidP="007F3426">
      <w:pPr>
        <w:pStyle w:val="BodyText"/>
      </w:pPr>
      <w:r>
        <w:t xml:space="preserve">Policy 1 of the </w:t>
      </w:r>
      <w:r w:rsidR="00077D5E">
        <w:t>NPS-UD requires that planning decisions contribute to well-functioning urban environments</w:t>
      </w:r>
      <w:r>
        <w:t>. G</w:t>
      </w:r>
      <w:r w:rsidR="00077D5E">
        <w:t xml:space="preserve">ood accessibility </w:t>
      </w:r>
      <w:r w:rsidR="00C0111D" w:rsidRPr="00C0111D">
        <w:t xml:space="preserve">(Policy 1(c)) is </w:t>
      </w:r>
      <w:r w:rsidR="009953FA">
        <w:t xml:space="preserve">a feature of </w:t>
      </w:r>
      <w:r w:rsidR="00077D5E">
        <w:t>well-functioning urban</w:t>
      </w:r>
      <w:r>
        <w:t xml:space="preserve"> environment</w:t>
      </w:r>
      <w:r w:rsidR="00603F05">
        <w:t>s</w:t>
      </w:r>
      <w:r w:rsidR="004212B7">
        <w:t xml:space="preserve"> and can </w:t>
      </w:r>
      <w:r w:rsidR="009953FA">
        <w:t>be</w:t>
      </w:r>
      <w:r w:rsidR="0037593F">
        <w:t xml:space="preserve"> </w:t>
      </w:r>
      <w:r w:rsidR="009953FA">
        <w:t xml:space="preserve">enhanced </w:t>
      </w:r>
      <w:r w:rsidR="0037593F">
        <w:t xml:space="preserve">by </w:t>
      </w:r>
      <w:r w:rsidR="009953FA">
        <w:t xml:space="preserve">increasing </w:t>
      </w:r>
      <w:r w:rsidR="0037593F">
        <w:t xml:space="preserve">building </w:t>
      </w:r>
      <w:r>
        <w:t>heights and density</w:t>
      </w:r>
      <w:r w:rsidR="009953FA">
        <w:t xml:space="preserve"> </w:t>
      </w:r>
      <w:r w:rsidR="00C0111D" w:rsidRPr="00C0111D">
        <w:t>(</w:t>
      </w:r>
      <w:r w:rsidR="00FC68DF">
        <w:t>P</w:t>
      </w:r>
      <w:r w:rsidR="00D82C06">
        <w:t>olicy 3</w:t>
      </w:r>
      <w:r w:rsidR="00C0111D" w:rsidRPr="00C0111D">
        <w:t xml:space="preserve"> and 5)</w:t>
      </w:r>
      <w:r>
        <w:t>.</w:t>
      </w:r>
      <w:r w:rsidR="00C0111D" w:rsidRPr="00C0111D">
        <w:t xml:space="preserve"> Policies 3(d)(i) and 5 require regional policy statements and district plans to enable building heights and density of urban form </w:t>
      </w:r>
      <w:r w:rsidR="00C0111D" w:rsidRPr="00611C1E">
        <w:rPr>
          <w:b/>
        </w:rPr>
        <w:t>commensurate with the level of accessibility</w:t>
      </w:r>
      <w:r w:rsidR="00C0111D" w:rsidRPr="00C0111D">
        <w:t xml:space="preserve"> by existing and planned active or public transport to a range of commercial activities and community services.</w:t>
      </w:r>
    </w:p>
    <w:p w14:paraId="6D569D5C" w14:textId="6388F738" w:rsidR="00C0111D" w:rsidRPr="00C0111D" w:rsidRDefault="00363F5D" w:rsidP="000D494E">
      <w:pPr>
        <w:pStyle w:val="Box"/>
        <w:numPr>
          <w:ilvl w:val="0"/>
          <w:numId w:val="27"/>
        </w:numPr>
        <w:ind w:left="641" w:hanging="357"/>
      </w:pPr>
      <w:r>
        <w:t xml:space="preserve">Local authorities </w:t>
      </w:r>
      <w:r w:rsidR="00C0111D" w:rsidRPr="00C0111D">
        <w:t>need to link height/density limits with accessibility, by allowing for greater density in areas where people can easily access many jobs, services</w:t>
      </w:r>
      <w:r w:rsidR="00085E3A">
        <w:t xml:space="preserve"> and</w:t>
      </w:r>
      <w:r w:rsidR="00C0111D" w:rsidRPr="00C0111D">
        <w:t xml:space="preserve"> amenities. </w:t>
      </w:r>
    </w:p>
    <w:p w14:paraId="2EDFD672" w14:textId="54D61D9D" w:rsidR="00C0111D" w:rsidRPr="00C0111D" w:rsidRDefault="00C0111D" w:rsidP="000D494E">
      <w:pPr>
        <w:pStyle w:val="Box"/>
        <w:numPr>
          <w:ilvl w:val="0"/>
          <w:numId w:val="27"/>
        </w:numPr>
        <w:ind w:left="641" w:hanging="357"/>
      </w:pPr>
      <w:r w:rsidRPr="00C0111D">
        <w:t xml:space="preserve">Areas with the highest accessibility tend to </w:t>
      </w:r>
      <w:r w:rsidR="0059088A">
        <w:t xml:space="preserve">also </w:t>
      </w:r>
      <w:r w:rsidRPr="00C0111D">
        <w:t>be places with the highest demand, where people can easily reach jobs and amenities by walking or cycling</w:t>
      </w:r>
      <w:r w:rsidR="00085E3A">
        <w:t xml:space="preserve"> and</w:t>
      </w:r>
      <w:r w:rsidRPr="00C0111D">
        <w:t xml:space="preserve">/or using public transport. </w:t>
      </w:r>
    </w:p>
    <w:p w14:paraId="5C32AF5A" w14:textId="6E38E875" w:rsidR="00C0111D" w:rsidRPr="00C0111D" w:rsidRDefault="00C0111D" w:rsidP="007F3426">
      <w:pPr>
        <w:pStyle w:val="BodyText"/>
      </w:pPr>
      <w:r w:rsidRPr="00C0111D">
        <w:t>Local authorities will need to assess the existing and planned level of accessibility to determine appropriate height and density limits in urban areas.</w:t>
      </w:r>
      <w:r w:rsidR="00363F5D">
        <w:t xml:space="preserve"> </w:t>
      </w:r>
      <w:r w:rsidRPr="00C0111D">
        <w:t>Local authorities should be able to demonstrate how their spatial and district plan</w:t>
      </w:r>
      <w:r w:rsidR="00363F5D">
        <w:t>s</w:t>
      </w:r>
      <w:r w:rsidRPr="00C0111D">
        <w:t>, resource consents and other RMA decisions contribute to the outcomes outlined in district plan policies. Local authorities should also be proactive in removing barriers to accessibility, for example through:</w:t>
      </w:r>
    </w:p>
    <w:p w14:paraId="1F7DE4AB" w14:textId="4EC492B5" w:rsidR="00C0111D" w:rsidRPr="00C0111D" w:rsidRDefault="0059088A" w:rsidP="00611C1E">
      <w:pPr>
        <w:pStyle w:val="Bullet"/>
        <w:rPr>
          <w:rFonts w:eastAsiaTheme="minorEastAsia"/>
        </w:rPr>
      </w:pPr>
      <w:r>
        <w:rPr>
          <w:rFonts w:eastAsiaTheme="minorEastAsia"/>
        </w:rPr>
        <w:t>designing</w:t>
      </w:r>
      <w:r w:rsidR="00C0111D" w:rsidRPr="00C0111D">
        <w:rPr>
          <w:rFonts w:eastAsiaTheme="minorEastAsia"/>
        </w:rPr>
        <w:t xml:space="preserve"> new roads </w:t>
      </w:r>
      <w:r w:rsidR="00ED46E1">
        <w:rPr>
          <w:rFonts w:eastAsiaTheme="minorEastAsia"/>
        </w:rPr>
        <w:t xml:space="preserve">and connections </w:t>
      </w:r>
      <w:r w:rsidR="00C0111D" w:rsidRPr="00C0111D">
        <w:rPr>
          <w:rFonts w:eastAsiaTheme="minorEastAsia"/>
        </w:rPr>
        <w:t>to enable increased and safe use of active and public transport</w:t>
      </w:r>
    </w:p>
    <w:p w14:paraId="3BBA26D9" w14:textId="61D2B17A" w:rsidR="00C0111D" w:rsidRPr="00C0111D" w:rsidRDefault="0059088A" w:rsidP="00611C1E">
      <w:pPr>
        <w:pStyle w:val="Bullet"/>
        <w:rPr>
          <w:rFonts w:eastAsiaTheme="minorEastAsia"/>
        </w:rPr>
      </w:pPr>
      <w:r>
        <w:rPr>
          <w:rFonts w:eastAsiaTheme="minorEastAsia"/>
        </w:rPr>
        <w:t>planning</w:t>
      </w:r>
      <w:r w:rsidRPr="00C0111D">
        <w:rPr>
          <w:rFonts w:eastAsiaTheme="minorEastAsia"/>
        </w:rPr>
        <w:t xml:space="preserve"> </w:t>
      </w:r>
      <w:r w:rsidR="00C0111D" w:rsidRPr="00C0111D">
        <w:rPr>
          <w:rFonts w:eastAsiaTheme="minorEastAsia"/>
        </w:rPr>
        <w:t>improvements to walking and cycling infrastructure</w:t>
      </w:r>
      <w:r>
        <w:rPr>
          <w:rFonts w:eastAsiaTheme="minorEastAsia"/>
        </w:rPr>
        <w:t xml:space="preserve">, and </w:t>
      </w:r>
      <w:r w:rsidR="00C0111D" w:rsidRPr="00C0111D">
        <w:rPr>
          <w:rFonts w:eastAsiaTheme="minorEastAsia"/>
        </w:rPr>
        <w:t>public transport services</w:t>
      </w:r>
    </w:p>
    <w:p w14:paraId="6F712B8B" w14:textId="364FD6E3" w:rsidR="00C0111D" w:rsidRPr="00C0111D" w:rsidRDefault="00C0111D" w:rsidP="00611C1E">
      <w:pPr>
        <w:pStyle w:val="Bullet"/>
        <w:rPr>
          <w:rFonts w:eastAsiaTheme="minorEastAsia"/>
        </w:rPr>
      </w:pPr>
      <w:r w:rsidRPr="00C0111D">
        <w:rPr>
          <w:rFonts w:eastAsiaTheme="minorEastAsia"/>
        </w:rPr>
        <w:t>encouraging mixed-use developments with a variety of housing, business and community services.</w:t>
      </w:r>
      <w:r w:rsidR="009113AC">
        <w:rPr>
          <w:rFonts w:eastAsiaTheme="minorEastAsia"/>
        </w:rPr>
        <w:t xml:space="preserve"> </w:t>
      </w:r>
    </w:p>
    <w:p w14:paraId="63A07618" w14:textId="27C048EC" w:rsidR="00C0111D" w:rsidRPr="00C0111D" w:rsidRDefault="00A04635" w:rsidP="00611C1E">
      <w:pPr>
        <w:pStyle w:val="Heading3"/>
        <w:rPr>
          <w:rFonts w:eastAsiaTheme="minorEastAsia"/>
        </w:rPr>
      </w:pPr>
      <w:bookmarkStart w:id="29" w:name="_Toc50720784"/>
      <w:r>
        <w:rPr>
          <w:rFonts w:eastAsiaTheme="minorEastAsia"/>
        </w:rPr>
        <w:t>5</w:t>
      </w:r>
      <w:r w:rsidR="00C0111D" w:rsidRPr="00C0111D">
        <w:rPr>
          <w:rFonts w:eastAsiaTheme="minorEastAsia"/>
        </w:rPr>
        <w:t>.4.3</w:t>
      </w:r>
      <w:r w:rsidR="00C0111D" w:rsidRPr="00C0111D">
        <w:rPr>
          <w:rFonts w:eastAsiaTheme="minorEastAsia"/>
        </w:rPr>
        <w:tab/>
        <w:t>How to assess or determine accessibility</w:t>
      </w:r>
      <w:bookmarkEnd w:id="29"/>
      <w:r w:rsidR="00C0111D" w:rsidRPr="00C0111D">
        <w:rPr>
          <w:rFonts w:eastAsiaTheme="minorEastAsia"/>
        </w:rPr>
        <w:t xml:space="preserve"> </w:t>
      </w:r>
    </w:p>
    <w:p w14:paraId="1DDF67A3" w14:textId="4F0AAA32" w:rsidR="00C0111D" w:rsidRPr="00C0111D" w:rsidRDefault="004D4206" w:rsidP="009F1328">
      <w:pPr>
        <w:pStyle w:val="BodyText"/>
      </w:pPr>
      <w:r>
        <w:t>A</w:t>
      </w:r>
      <w:r w:rsidR="00C0111D" w:rsidRPr="00C0111D">
        <w:t xml:space="preserve">ccessibility can </w:t>
      </w:r>
      <w:r w:rsidR="00603F05">
        <w:t xml:space="preserve">be </w:t>
      </w:r>
      <w:r>
        <w:t xml:space="preserve">assessed at </w:t>
      </w:r>
      <w:r w:rsidR="00C0111D" w:rsidRPr="00C0111D">
        <w:t xml:space="preserve">a </w:t>
      </w:r>
      <w:r w:rsidR="0059088A">
        <w:t xml:space="preserve">strategic </w:t>
      </w:r>
      <w:r w:rsidR="00C0111D" w:rsidRPr="00C0111D">
        <w:t>national and regional planning level</w:t>
      </w:r>
      <w:r>
        <w:t>. It can also be assessed</w:t>
      </w:r>
      <w:r w:rsidR="00C0111D" w:rsidRPr="00C0111D">
        <w:t xml:space="preserve"> at a </w:t>
      </w:r>
      <w:r w:rsidR="00ED46E1">
        <w:t xml:space="preserve">sub-regional and </w:t>
      </w:r>
      <w:r w:rsidR="00C0111D" w:rsidRPr="00C0111D">
        <w:t>detailed neighbourhood planning leve</w:t>
      </w:r>
      <w:r w:rsidR="0059088A">
        <w:t>l,</w:t>
      </w:r>
      <w:r w:rsidR="00C0111D" w:rsidRPr="00C0111D">
        <w:t xml:space="preserve"> for example, the </w:t>
      </w:r>
      <w:r w:rsidR="00ED46E1">
        <w:t xml:space="preserve">journey </w:t>
      </w:r>
      <w:r w:rsidR="00C0111D" w:rsidRPr="00C0111D">
        <w:t xml:space="preserve">to work, school and local services. </w:t>
      </w:r>
      <w:r>
        <w:t xml:space="preserve">An accessibility assessment can contribute to understanding </w:t>
      </w:r>
      <w:r w:rsidR="00C0111D" w:rsidRPr="00C0111D">
        <w:t>the effects of proposed subdivisions, open</w:t>
      </w:r>
      <w:r w:rsidR="00603F05">
        <w:t>-</w:t>
      </w:r>
      <w:r w:rsidR="00C0111D" w:rsidRPr="00C0111D">
        <w:t>space provision, road, footway and cycle</w:t>
      </w:r>
      <w:r w:rsidR="00603F05">
        <w:t>-</w:t>
      </w:r>
      <w:r w:rsidR="00C0111D" w:rsidRPr="00C0111D">
        <w:t>path connections</w:t>
      </w:r>
      <w:r w:rsidR="00603F05">
        <w:t>,</w:t>
      </w:r>
      <w:r w:rsidR="00C0111D" w:rsidRPr="00C0111D">
        <w:t xml:space="preserve"> </w:t>
      </w:r>
      <w:r w:rsidR="00C0111D" w:rsidRPr="00C0111D">
        <w:lastRenderedPageBreak/>
        <w:t>and other development applications</w:t>
      </w:r>
      <w:r w:rsidR="004212B7">
        <w:t xml:space="preserve"> through plan changes, resource consent applications and applications for notices of requirement</w:t>
      </w:r>
      <w:r w:rsidR="00C0111D" w:rsidRPr="00C0111D">
        <w:t xml:space="preserve">. </w:t>
      </w:r>
    </w:p>
    <w:p w14:paraId="1E97A7CB" w14:textId="01B2CB57" w:rsidR="00C0111D" w:rsidRPr="00C0111D" w:rsidRDefault="00C0111D" w:rsidP="009F1328">
      <w:pPr>
        <w:pStyle w:val="BodyText"/>
      </w:pPr>
      <w:r w:rsidRPr="00C0111D">
        <w:t xml:space="preserve">In assessing or determining good accessibility to inform ideal and/or suitable locations and attributes for intensification, there are </w:t>
      </w:r>
      <w:r w:rsidR="00243EC5">
        <w:t>three key factors</w:t>
      </w:r>
      <w:r w:rsidRPr="00C0111D">
        <w:t xml:space="preserve"> </w:t>
      </w:r>
      <w:r w:rsidR="00243EC5">
        <w:t xml:space="preserve">you need </w:t>
      </w:r>
      <w:r w:rsidRPr="00C0111D">
        <w:t>to consider</w:t>
      </w:r>
      <w:r w:rsidR="00243EC5">
        <w:t xml:space="preserve"> as set out below</w:t>
      </w:r>
      <w:r w:rsidRPr="00C0111D">
        <w:t xml:space="preserve">: </w:t>
      </w:r>
    </w:p>
    <w:p w14:paraId="3B0CC67A" w14:textId="77777777" w:rsidR="00C0111D" w:rsidRPr="00A04635" w:rsidRDefault="00C0111D" w:rsidP="00A04635">
      <w:pPr>
        <w:pStyle w:val="BodyText"/>
        <w:rPr>
          <w:b/>
        </w:rPr>
      </w:pPr>
      <w:r w:rsidRPr="00A04635">
        <w:rPr>
          <w:b/>
        </w:rPr>
        <w:t>1.</w:t>
      </w:r>
      <w:r w:rsidRPr="00A04635">
        <w:rPr>
          <w:b/>
        </w:rPr>
        <w:tab/>
        <w:t>People and demands</w:t>
      </w:r>
    </w:p>
    <w:p w14:paraId="742704D8" w14:textId="5889EE0F" w:rsidR="00C0111D" w:rsidRPr="00C0111D" w:rsidRDefault="00C0111D" w:rsidP="009F1328">
      <w:pPr>
        <w:pStyle w:val="BodyText"/>
      </w:pPr>
      <w:r w:rsidRPr="00C0111D">
        <w:t>Accessibility needs vary over time, life stage and the degree of individual / househo</w:t>
      </w:r>
      <w:r w:rsidR="009F1328">
        <w:t>ld mobility</w:t>
      </w:r>
      <w:r w:rsidRPr="00C0111D">
        <w:t>. When considering accessibility needs, it is essential to consider mobility requirements at an individual and household level. For instance, a family with young children will prioritise accessibility and mobility needs around managing time and cost constraints to meet competing family demands and commuting. A retired couple will prioritise access to healthcare and extended family, but will probably drive less and possibly be less able to walk longer distances. A young couple are more likely to prioritise a broader range of social activities with a wide group of friends. The accessibility needs of these and other demographic groups vary enormously, regardless of whether these groups can access a car on a regular basis.</w:t>
      </w:r>
      <w:r w:rsidR="009113AC">
        <w:t xml:space="preserve"> </w:t>
      </w:r>
      <w:r w:rsidRPr="00C0111D">
        <w:t>The definition of accessibility used in the NPS-UD is one that embraces all people with varying needs and abilities.</w:t>
      </w:r>
    </w:p>
    <w:p w14:paraId="2F7D0CA7" w14:textId="08F8D722" w:rsidR="00C0111D" w:rsidRPr="00A04635" w:rsidRDefault="00611C1E" w:rsidP="00A04635">
      <w:pPr>
        <w:pStyle w:val="BodyText"/>
        <w:rPr>
          <w:b/>
        </w:rPr>
      </w:pPr>
      <w:r w:rsidRPr="00A04635">
        <w:rPr>
          <w:b/>
        </w:rPr>
        <w:t>2.</w:t>
      </w:r>
      <w:r w:rsidRPr="00A04635">
        <w:rPr>
          <w:b/>
        </w:rPr>
        <w:tab/>
      </w:r>
      <w:r w:rsidR="00C0111D" w:rsidRPr="00A04635">
        <w:rPr>
          <w:b/>
        </w:rPr>
        <w:t>Land-use proximity</w:t>
      </w:r>
    </w:p>
    <w:p w14:paraId="6B5B25A7" w14:textId="5F6DD1E5" w:rsidR="00C0111D" w:rsidRPr="00C0111D" w:rsidRDefault="00C0111D" w:rsidP="009F1328">
      <w:pPr>
        <w:pStyle w:val="BodyText"/>
      </w:pPr>
      <w:r w:rsidRPr="00C0111D">
        <w:t xml:space="preserve">A major determinant of accessibility is </w:t>
      </w:r>
      <w:r w:rsidR="0038673F">
        <w:t xml:space="preserve">how close </w:t>
      </w:r>
      <w:r w:rsidR="004212B7">
        <w:t xml:space="preserve">people </w:t>
      </w:r>
      <w:r w:rsidR="0038673F">
        <w:t xml:space="preserve">live to </w:t>
      </w:r>
      <w:r w:rsidRPr="00C0111D">
        <w:t>economic activities and community services.</w:t>
      </w:r>
      <w:r w:rsidR="00243EC5">
        <w:t xml:space="preserve"> </w:t>
      </w:r>
      <w:r w:rsidRPr="00C0111D">
        <w:t>Higher density</w:t>
      </w:r>
      <w:r w:rsidR="00243EC5">
        <w:t>,</w:t>
      </w:r>
      <w:r w:rsidRPr="00C0111D">
        <w:t xml:space="preserve"> mixed-use development increases </w:t>
      </w:r>
      <w:r w:rsidR="00EA6070">
        <w:t>the number of people that can live close to</w:t>
      </w:r>
      <w:r w:rsidR="0038673F">
        <w:t xml:space="preserve"> </w:t>
      </w:r>
      <w:r w:rsidRPr="00C0111D">
        <w:t>these services and activities, making local economic activity more viable and enabling multiple</w:t>
      </w:r>
      <w:r w:rsidR="004212B7">
        <w:t>-purpose trips</w:t>
      </w:r>
      <w:r w:rsidRPr="00C0111D">
        <w:t xml:space="preserve">. The locations of </w:t>
      </w:r>
      <w:r w:rsidR="0058641B">
        <w:t xml:space="preserve">economic activity and community services </w:t>
      </w:r>
      <w:r w:rsidRPr="00C0111D">
        <w:t xml:space="preserve">change over time, driven in part by changes in accessibility. Proximity should translate into convenience, meaning that different land uses within an area should be easily </w:t>
      </w:r>
      <w:r w:rsidR="00243EC5">
        <w:t>accessed</w:t>
      </w:r>
      <w:r w:rsidR="00243EC5" w:rsidRPr="00C0111D">
        <w:t xml:space="preserve"> </w:t>
      </w:r>
      <w:r w:rsidRPr="00C0111D">
        <w:t xml:space="preserve">by a range of transport modes </w:t>
      </w:r>
      <w:r w:rsidR="0058641B">
        <w:t xml:space="preserve">that </w:t>
      </w:r>
      <w:r w:rsidRPr="00C0111D">
        <w:t xml:space="preserve">support multi-purpose trips. </w:t>
      </w:r>
    </w:p>
    <w:p w14:paraId="493CE05E" w14:textId="1E192D78" w:rsidR="00C0111D" w:rsidRPr="00A04635" w:rsidRDefault="00C0111D" w:rsidP="00A04635">
      <w:pPr>
        <w:pStyle w:val="BodyText"/>
        <w:rPr>
          <w:b/>
        </w:rPr>
      </w:pPr>
      <w:r w:rsidRPr="00A04635">
        <w:rPr>
          <w:b/>
        </w:rPr>
        <w:t>3.</w:t>
      </w:r>
      <w:r w:rsidRPr="00A04635">
        <w:rPr>
          <w:b/>
        </w:rPr>
        <w:tab/>
        <w:t xml:space="preserve">Transport </w:t>
      </w:r>
      <w:r w:rsidR="00243EC5">
        <w:rPr>
          <w:b/>
        </w:rPr>
        <w:t>s</w:t>
      </w:r>
      <w:r w:rsidRPr="00A04635">
        <w:rPr>
          <w:b/>
        </w:rPr>
        <w:t xml:space="preserve">ystem </w:t>
      </w:r>
      <w:r w:rsidR="00243EC5">
        <w:rPr>
          <w:b/>
        </w:rPr>
        <w:t>c</w:t>
      </w:r>
      <w:r w:rsidRPr="00A04635">
        <w:rPr>
          <w:b/>
        </w:rPr>
        <w:t xml:space="preserve">onnectivity </w:t>
      </w:r>
    </w:p>
    <w:p w14:paraId="142FE529" w14:textId="01C31635" w:rsidR="002F21F1" w:rsidRPr="00C0111D" w:rsidRDefault="00C0111D" w:rsidP="009F1328">
      <w:pPr>
        <w:pStyle w:val="BodyText"/>
      </w:pPr>
      <w:r w:rsidRPr="00C0111D">
        <w:t>Good accessibility is achieved when multiple origins and destinations are connected by a choice of safe and convenient travel options</w:t>
      </w:r>
      <w:r w:rsidR="00243EC5">
        <w:t>,</w:t>
      </w:r>
      <w:r w:rsidRPr="00C0111D">
        <w:t xml:space="preserve"> including walking, cycling and public transport networks. Urban form </w:t>
      </w:r>
      <w:r w:rsidR="004212B7">
        <w:t>contributes to</w:t>
      </w:r>
      <w:r w:rsidRPr="00C0111D">
        <w:t xml:space="preserve"> viable public transport networks and safe, convenient connections by active modes. Multi-modal connectivity is achieved through </w:t>
      </w:r>
      <w:r w:rsidR="00243EC5">
        <w:t>creating</w:t>
      </w:r>
      <w:r w:rsidRPr="00C0111D">
        <w:t xml:space="preserve"> </w:t>
      </w:r>
      <w:r w:rsidR="002F21F1">
        <w:t>transit-oriented urban centres which are accessible by walking and cycling</w:t>
      </w:r>
      <w:r w:rsidRPr="00C0111D">
        <w:t xml:space="preserve"> </w:t>
      </w:r>
      <w:r w:rsidR="002F21F1">
        <w:t xml:space="preserve">and </w:t>
      </w:r>
      <w:r w:rsidRPr="00C0111D">
        <w:t xml:space="preserve">that </w:t>
      </w:r>
      <w:r w:rsidR="002F21F1">
        <w:t>have</w:t>
      </w:r>
      <w:r w:rsidR="002F21F1" w:rsidRPr="00C0111D">
        <w:t xml:space="preserve"> </w:t>
      </w:r>
      <w:r w:rsidR="005F0FC0">
        <w:t xml:space="preserve">an </w:t>
      </w:r>
      <w:r w:rsidRPr="00C0111D">
        <w:t xml:space="preserve">appropriate </w:t>
      </w:r>
      <w:r w:rsidR="005F0FC0">
        <w:t xml:space="preserve">mix of </w:t>
      </w:r>
      <w:r w:rsidRPr="00C0111D">
        <w:t>housing, jobs and services</w:t>
      </w:r>
      <w:r w:rsidR="002F21F1">
        <w:t>.</w:t>
      </w:r>
      <w:r w:rsidRPr="00C0111D">
        <w:t xml:space="preserve"> </w:t>
      </w:r>
      <w:r w:rsidR="002F21F1">
        <w:t xml:space="preserve">This increases </w:t>
      </w:r>
      <w:r w:rsidRPr="00C0111D">
        <w:t>mode choice and enable</w:t>
      </w:r>
      <w:r w:rsidR="002F21F1">
        <w:t>s</w:t>
      </w:r>
      <w:r w:rsidRPr="00C0111D">
        <w:t xml:space="preserve"> mode shift. Walking and cycling require improved road</w:t>
      </w:r>
      <w:r w:rsidR="00175476">
        <w:t>s</w:t>
      </w:r>
      <w:r w:rsidRPr="00C0111D">
        <w:t xml:space="preserve"> and pathway</w:t>
      </w:r>
      <w:r w:rsidR="00175476">
        <w:t>s, more</w:t>
      </w:r>
      <w:r w:rsidRPr="00C0111D">
        <w:t xml:space="preserve"> closely spaced connections </w:t>
      </w:r>
      <w:r w:rsidR="002F21F1">
        <w:t xml:space="preserve">and </w:t>
      </w:r>
      <w:r w:rsidRPr="00C0111D">
        <w:t xml:space="preserve">direct connections to public transport. </w:t>
      </w:r>
    </w:p>
    <w:p w14:paraId="050ED52E" w14:textId="30C76E42" w:rsidR="00C0111D" w:rsidRPr="009F1328" w:rsidRDefault="00C0111D" w:rsidP="009F1328">
      <w:pPr>
        <w:pStyle w:val="Box"/>
      </w:pPr>
      <w:r w:rsidRPr="009F1328">
        <w:t xml:space="preserve">To measure accessibility or assess changes due to land-use or transport interventions, </w:t>
      </w:r>
      <w:r w:rsidR="002F21F1">
        <w:t xml:space="preserve">you will require </w:t>
      </w:r>
      <w:r w:rsidRPr="009F1328">
        <w:t xml:space="preserve">data on where people live, the location of destinations, </w:t>
      </w:r>
      <w:r w:rsidR="002F21F1">
        <w:t xml:space="preserve">and </w:t>
      </w:r>
      <w:r w:rsidRPr="009F1328">
        <w:t xml:space="preserve">the cost, time and </w:t>
      </w:r>
      <w:r w:rsidR="00175476">
        <w:t>ease</w:t>
      </w:r>
      <w:r w:rsidRPr="009F1328">
        <w:t xml:space="preserve"> of travelling between </w:t>
      </w:r>
      <w:r w:rsidR="002F21F1">
        <w:t>these destinations for</w:t>
      </w:r>
      <w:r w:rsidRPr="009F1328">
        <w:t xml:space="preserve"> users of each mode</w:t>
      </w:r>
      <w:r w:rsidR="002F21F1">
        <w:t xml:space="preserve"> and</w:t>
      </w:r>
      <w:r w:rsidRPr="009F1328">
        <w:t xml:space="preserve"> for</w:t>
      </w:r>
      <w:r w:rsidR="00611C1E" w:rsidRPr="009F1328">
        <w:t xml:space="preserve"> each component of the journey.</w:t>
      </w:r>
      <w:r w:rsidRPr="009F1328">
        <w:t xml:space="preserve"> </w:t>
      </w:r>
    </w:p>
    <w:p w14:paraId="499B3466" w14:textId="7FBDD9A9" w:rsidR="00A04635" w:rsidRPr="00C0111D" w:rsidRDefault="002F21F1" w:rsidP="009F1328">
      <w:pPr>
        <w:pStyle w:val="BodyText"/>
      </w:pPr>
      <w:r>
        <w:t>When assessing accessibility, you will also need to consider w</w:t>
      </w:r>
      <w:r w:rsidR="00C0111D" w:rsidRPr="00C0111D">
        <w:t xml:space="preserve">alkability </w:t>
      </w:r>
      <w:r>
        <w:t>as</w:t>
      </w:r>
      <w:r w:rsidRPr="00C0111D">
        <w:t xml:space="preserve"> </w:t>
      </w:r>
      <w:r w:rsidR="00C0111D" w:rsidRPr="00C0111D">
        <w:t>a key component of accessibility when implementing Policies 3(d)(1) and 5</w:t>
      </w:r>
      <w:r>
        <w:t xml:space="preserve">. </w:t>
      </w:r>
      <w:r w:rsidRPr="002B7C48">
        <w:t>R</w:t>
      </w:r>
      <w:r w:rsidR="00C0111D" w:rsidRPr="002B7C48">
        <w:t xml:space="preserve">efer to </w:t>
      </w:r>
      <w:hyperlink w:anchor="_5.5_Walkable_catchments" w:history="1">
        <w:r w:rsidR="00C0111D" w:rsidRPr="000D35C0">
          <w:rPr>
            <w:rStyle w:val="Hyperlink"/>
            <w:b/>
          </w:rPr>
          <w:t>section</w:t>
        </w:r>
      </w:hyperlink>
      <w:r w:rsidR="00C0111D" w:rsidRPr="00FE0124">
        <w:rPr>
          <w:rStyle w:val="Hyperlink"/>
          <w:b/>
        </w:rPr>
        <w:t xml:space="preserve"> </w:t>
      </w:r>
      <w:r w:rsidR="002B7C48" w:rsidRPr="00FE0124">
        <w:rPr>
          <w:rStyle w:val="Hyperlink"/>
          <w:b/>
        </w:rPr>
        <w:fldChar w:fldCharType="begin"/>
      </w:r>
      <w:r w:rsidR="002B7C48" w:rsidRPr="00FE0124">
        <w:rPr>
          <w:rStyle w:val="Hyperlink"/>
          <w:b/>
        </w:rPr>
        <w:instrText xml:space="preserve"> REF _Ref51164354 \h </w:instrText>
      </w:r>
      <w:r w:rsidR="00FE0124">
        <w:rPr>
          <w:rStyle w:val="Hyperlink"/>
          <w:b/>
        </w:rPr>
        <w:instrText xml:space="preserve"> \* MERGEFORMAT </w:instrText>
      </w:r>
      <w:r w:rsidR="002B7C48" w:rsidRPr="00FE0124">
        <w:rPr>
          <w:rStyle w:val="Hyperlink"/>
          <w:b/>
        </w:rPr>
      </w:r>
      <w:r w:rsidR="002B7C48" w:rsidRPr="00FE0124">
        <w:rPr>
          <w:rStyle w:val="Hyperlink"/>
          <w:b/>
        </w:rPr>
        <w:fldChar w:fldCharType="separate"/>
      </w:r>
      <w:r w:rsidR="005D2599" w:rsidRPr="005D2599">
        <w:rPr>
          <w:b/>
          <w:color w:val="32809C"/>
        </w:rPr>
        <w:t>5.5</w:t>
      </w:r>
      <w:r w:rsidR="005D2599" w:rsidRPr="00C0111D">
        <w:tab/>
        <w:t>Walkable catchments</w:t>
      </w:r>
      <w:r w:rsidR="002B7C48" w:rsidRPr="00FE0124">
        <w:rPr>
          <w:rStyle w:val="Hyperlink"/>
          <w:b/>
        </w:rPr>
        <w:fldChar w:fldCharType="end"/>
      </w:r>
      <w:r w:rsidR="002B7C48" w:rsidRPr="002B7C48">
        <w:rPr>
          <w:rStyle w:val="Hyperlink"/>
          <w:color w:val="auto"/>
        </w:rPr>
        <w:t xml:space="preserve"> </w:t>
      </w:r>
      <w:r w:rsidR="00C0111D" w:rsidRPr="002B7C48">
        <w:rPr>
          <w:rStyle w:val="Hyperlink"/>
          <w:color w:val="auto"/>
        </w:rPr>
        <w:t>for</w:t>
      </w:r>
      <w:r w:rsidR="00C0111D" w:rsidRPr="002B7C48">
        <w:t xml:space="preserve"> further information.</w:t>
      </w:r>
    </w:p>
    <w:p w14:paraId="1151FCC8" w14:textId="77777777" w:rsidR="00611C1E" w:rsidRPr="00611C1E" w:rsidRDefault="00C0111D" w:rsidP="00611C1E">
      <w:pPr>
        <w:pStyle w:val="Box"/>
        <w:rPr>
          <w:b/>
        </w:rPr>
      </w:pPr>
      <w:r w:rsidRPr="00611C1E">
        <w:rPr>
          <w:b/>
        </w:rPr>
        <w:t xml:space="preserve">Typical measures of accessibility can be based on: </w:t>
      </w:r>
    </w:p>
    <w:p w14:paraId="6CA0CA3C" w14:textId="3D012F42" w:rsidR="00611C1E" w:rsidRDefault="002F21F1" w:rsidP="000D494E">
      <w:pPr>
        <w:pStyle w:val="Box"/>
        <w:numPr>
          <w:ilvl w:val="0"/>
          <w:numId w:val="19"/>
        </w:numPr>
        <w:ind w:left="641" w:hanging="357"/>
      </w:pPr>
      <w:r>
        <w:lastRenderedPageBreak/>
        <w:t>t</w:t>
      </w:r>
      <w:r w:rsidR="00C0111D" w:rsidRPr="00C0111D">
        <w:t>he time required to reach each service (</w:t>
      </w:r>
      <w:r w:rsidR="005F0FC0">
        <w:t xml:space="preserve">ie, </w:t>
      </w:r>
      <w:r w:rsidR="00C0111D" w:rsidRPr="00C0111D">
        <w:t xml:space="preserve">on a door-to-door basis including any </w:t>
      </w:r>
      <w:r w:rsidR="00175476">
        <w:t>time waiting for a connecting service</w:t>
      </w:r>
      <w:r w:rsidR="00C0111D" w:rsidRPr="00C0111D">
        <w:t>)</w:t>
      </w:r>
    </w:p>
    <w:p w14:paraId="44DF2013" w14:textId="73772AC4" w:rsidR="00C0111D" w:rsidRPr="00C0111D" w:rsidRDefault="002F21F1" w:rsidP="000D494E">
      <w:pPr>
        <w:pStyle w:val="Box"/>
        <w:numPr>
          <w:ilvl w:val="0"/>
          <w:numId w:val="19"/>
        </w:numPr>
        <w:ind w:left="641" w:hanging="357"/>
      </w:pPr>
      <w:r>
        <w:t>t</w:t>
      </w:r>
      <w:r w:rsidR="00EA6070">
        <w:t>h</w:t>
      </w:r>
      <w:r w:rsidR="00C0111D" w:rsidRPr="00C0111D">
        <w:t>e number and quality of opportunities that can be reached (</w:t>
      </w:r>
      <w:r>
        <w:t>eg</w:t>
      </w:r>
      <w:r w:rsidR="009113AC">
        <w:t>,</w:t>
      </w:r>
      <w:r w:rsidR="00C0111D" w:rsidRPr="00C0111D">
        <w:t xml:space="preserve"> a general hospital has a broader range of </w:t>
      </w:r>
      <w:r>
        <w:t xml:space="preserve">higher-value </w:t>
      </w:r>
      <w:r w:rsidR="00C0111D" w:rsidRPr="00C0111D">
        <w:t>services than a doctor’s surgery)</w:t>
      </w:r>
    </w:p>
    <w:p w14:paraId="3EDE5D15" w14:textId="793C837A" w:rsidR="00C0111D" w:rsidRPr="00C0111D" w:rsidRDefault="002F21F1" w:rsidP="000D494E">
      <w:pPr>
        <w:pStyle w:val="Box"/>
        <w:numPr>
          <w:ilvl w:val="0"/>
          <w:numId w:val="19"/>
        </w:numPr>
        <w:ind w:left="641" w:hanging="357"/>
      </w:pPr>
      <w:r>
        <w:t>i</w:t>
      </w:r>
      <w:r w:rsidRPr="00C0111D">
        <w:t xml:space="preserve">ndices </w:t>
      </w:r>
      <w:r w:rsidR="00C0111D" w:rsidRPr="00C0111D">
        <w:t>of relative accessibility based on both of the above</w:t>
      </w:r>
    </w:p>
    <w:p w14:paraId="73A5C2D8" w14:textId="547CF0C4" w:rsidR="00C0111D" w:rsidRPr="00C0111D" w:rsidRDefault="002F21F1" w:rsidP="000D494E">
      <w:pPr>
        <w:pStyle w:val="Box"/>
        <w:numPr>
          <w:ilvl w:val="0"/>
          <w:numId w:val="19"/>
        </w:numPr>
        <w:ind w:left="641" w:hanging="357"/>
      </w:pPr>
      <w:r>
        <w:t>v</w:t>
      </w:r>
      <w:r w:rsidR="00C0111D" w:rsidRPr="00C0111D">
        <w:t>alue (</w:t>
      </w:r>
      <w:r w:rsidR="005F0FC0">
        <w:t xml:space="preserve">ie, </w:t>
      </w:r>
      <w:r w:rsidR="00C0111D" w:rsidRPr="00C0111D">
        <w:t>cost to reach each service</w:t>
      </w:r>
      <w:r>
        <w:t xml:space="preserve"> </w:t>
      </w:r>
      <w:r w:rsidR="00C0111D" w:rsidRPr="00C0111D">
        <w:t>including time) compared to the value provided.</w:t>
      </w:r>
    </w:p>
    <w:p w14:paraId="0097469C" w14:textId="76483600" w:rsidR="00C0111D" w:rsidRPr="00C0111D" w:rsidRDefault="00A04635" w:rsidP="00611C1E">
      <w:pPr>
        <w:pStyle w:val="Heading3"/>
        <w:rPr>
          <w:rFonts w:eastAsiaTheme="minorEastAsia"/>
        </w:rPr>
      </w:pPr>
      <w:bookmarkStart w:id="30" w:name="_Toc50720785"/>
      <w:r>
        <w:rPr>
          <w:rFonts w:eastAsiaTheme="minorEastAsia"/>
        </w:rPr>
        <w:t>5</w:t>
      </w:r>
      <w:r w:rsidR="00C0111D" w:rsidRPr="00C0111D">
        <w:rPr>
          <w:rFonts w:eastAsiaTheme="minorEastAsia"/>
        </w:rPr>
        <w:t>.4.4</w:t>
      </w:r>
      <w:r w:rsidR="00C0111D" w:rsidRPr="00C0111D">
        <w:rPr>
          <w:rFonts w:eastAsiaTheme="minorEastAsia"/>
        </w:rPr>
        <w:tab/>
        <w:t>Process for estimating accessibility</w:t>
      </w:r>
      <w:bookmarkEnd w:id="30"/>
      <w:r w:rsidR="00C0111D" w:rsidRPr="00C0111D">
        <w:rPr>
          <w:rFonts w:eastAsiaTheme="minorEastAsia"/>
        </w:rPr>
        <w:t xml:space="preserve"> </w:t>
      </w:r>
    </w:p>
    <w:p w14:paraId="467C91E2" w14:textId="4EC1CCA5" w:rsidR="00C0111D" w:rsidRPr="002B7C48" w:rsidRDefault="002B7C48" w:rsidP="00731AA2">
      <w:pPr>
        <w:pStyle w:val="BodyText"/>
        <w:rPr>
          <w:rStyle w:val="Hyperlink"/>
          <w:b/>
          <w:color w:val="auto"/>
          <w:u w:val="single"/>
        </w:rPr>
      </w:pPr>
      <w:r>
        <w:rPr>
          <w:rStyle w:val="Hyperlink"/>
          <w:b/>
          <w:u w:val="single"/>
        </w:rPr>
        <w:t xml:space="preserve">Availability of the accessibility tool and the StoryMaps </w:t>
      </w:r>
      <w:hyperlink r:id="rId16" w:history="1">
        <w:r>
          <w:rPr>
            <w:rStyle w:val="Hyperlink"/>
            <w:b/>
            <w:u w:val="single"/>
          </w:rPr>
          <w:t>i</w:t>
        </w:r>
        <w:r w:rsidRPr="00A04635">
          <w:rPr>
            <w:rStyle w:val="Hyperlink"/>
            <w:b/>
            <w:u w:val="single"/>
          </w:rPr>
          <w:t xml:space="preserve">nterim </w:t>
        </w:r>
        <w:r>
          <w:rPr>
            <w:rStyle w:val="Hyperlink"/>
            <w:b/>
            <w:u w:val="single"/>
          </w:rPr>
          <w:t>accessibility</w:t>
        </w:r>
      </w:hyperlink>
      <w:r>
        <w:rPr>
          <w:rStyle w:val="Hyperlink"/>
          <w:b/>
          <w:u w:val="single"/>
        </w:rPr>
        <w:t xml:space="preserve"> tool </w:t>
      </w:r>
    </w:p>
    <w:p w14:paraId="20652B21" w14:textId="65A6274B" w:rsidR="002B7C48" w:rsidRPr="00C0111D" w:rsidRDefault="005F0FC0" w:rsidP="002B7C48">
      <w:pPr>
        <w:pStyle w:val="BodyText"/>
      </w:pPr>
      <w:r>
        <w:t xml:space="preserve">Waka Kotahi </w:t>
      </w:r>
      <w:r w:rsidR="002B7C48">
        <w:t xml:space="preserve">NZ Transport Agency </w:t>
      </w:r>
      <w:r>
        <w:t xml:space="preserve">is </w:t>
      </w:r>
      <w:r w:rsidR="00FF0032">
        <w:t>developing a</w:t>
      </w:r>
      <w:r w:rsidR="00C0111D" w:rsidRPr="00C0111D">
        <w:t xml:space="preserve"> comprehensive tool </w:t>
      </w:r>
      <w:r w:rsidR="00FF0032">
        <w:t>to</w:t>
      </w:r>
      <w:r w:rsidR="00C0111D" w:rsidRPr="00C0111D">
        <w:t xml:space="preserve"> provide detailed indicators of accessibility by walking, cycling and public transport. </w:t>
      </w:r>
      <w:r w:rsidR="002B7C48" w:rsidRPr="00C0111D">
        <w:t xml:space="preserve">When available, </w:t>
      </w:r>
      <w:r w:rsidR="000B5F78">
        <w:t>a link to the tool will be available on</w:t>
      </w:r>
      <w:r w:rsidR="002B7C48">
        <w:t xml:space="preserve"> the Ministry for the Environment’s </w:t>
      </w:r>
      <w:hyperlink r:id="rId17" w:history="1">
        <w:r w:rsidR="002B7C48" w:rsidRPr="000D35C0">
          <w:rPr>
            <w:rStyle w:val="Hyperlink"/>
            <w:b/>
          </w:rPr>
          <w:t>website</w:t>
        </w:r>
      </w:hyperlink>
      <w:r w:rsidR="002B7C48">
        <w:t>.</w:t>
      </w:r>
    </w:p>
    <w:p w14:paraId="33F56252" w14:textId="5D011BDC" w:rsidR="00C0111D" w:rsidRPr="00C0111D" w:rsidRDefault="00FF0032" w:rsidP="007F3426">
      <w:pPr>
        <w:pStyle w:val="BodyText"/>
      </w:pPr>
      <w:r>
        <w:t>In the meantime</w:t>
      </w:r>
      <w:r w:rsidR="00C0111D" w:rsidRPr="00C0111D">
        <w:t xml:space="preserve">, </w:t>
      </w:r>
      <w:r>
        <w:t xml:space="preserve">we suggest you use </w:t>
      </w:r>
      <w:r w:rsidR="00C0111D" w:rsidRPr="00C0111D">
        <w:t xml:space="preserve">the </w:t>
      </w:r>
      <w:r w:rsidR="002B7C48">
        <w:t xml:space="preserve">Waka Kotahi </w:t>
      </w:r>
      <w:r w:rsidR="00571E8D">
        <w:t>StoryMap</w:t>
      </w:r>
      <w:r w:rsidR="00C0111D" w:rsidRPr="00C0111D">
        <w:t xml:space="preserve"> tool</w:t>
      </w:r>
      <w:r w:rsidR="002B7C48">
        <w:t xml:space="preserve">. Waka Kotahi provides </w:t>
      </w:r>
      <w:r w:rsidR="002B7C48" w:rsidRPr="00C0111D">
        <w:t xml:space="preserve">accessibility data in </w:t>
      </w:r>
      <w:r w:rsidR="002B7C48">
        <w:t xml:space="preserve">the </w:t>
      </w:r>
      <w:r w:rsidR="002B7C48" w:rsidRPr="00C0111D">
        <w:t>tool</w:t>
      </w:r>
      <w:r w:rsidR="002B7C48">
        <w:t xml:space="preserve">, which is </w:t>
      </w:r>
      <w:r w:rsidR="002B7C48" w:rsidRPr="00C0111D">
        <w:t>designed to share centralised data relevant to understanding transport problems and the benefits of investment in land transport. The tool is available to</w:t>
      </w:r>
      <w:r w:rsidR="002B7C48">
        <w:t xml:space="preserve"> </w:t>
      </w:r>
      <w:r w:rsidR="002B7C48" w:rsidRPr="00C0111D">
        <w:t>Waka Kotahi’s co-investors</w:t>
      </w:r>
      <w:r w:rsidR="002B7C48">
        <w:t>,</w:t>
      </w:r>
      <w:r w:rsidR="002B7C48" w:rsidRPr="00C0111D">
        <w:t xml:space="preserve"> partners</w:t>
      </w:r>
      <w:r w:rsidR="002B7C48">
        <w:t xml:space="preserve"> and all local authorities</w:t>
      </w:r>
      <w:r w:rsidR="002B7C48" w:rsidRPr="00C0111D">
        <w:t>.</w:t>
      </w:r>
    </w:p>
    <w:p w14:paraId="06872B90" w14:textId="0FD69A2F" w:rsidR="00C0111D" w:rsidRPr="00C0111D" w:rsidRDefault="00C0111D" w:rsidP="007F3426">
      <w:pPr>
        <w:pStyle w:val="BodyText"/>
      </w:pPr>
      <w:r w:rsidRPr="00C0111D">
        <w:t xml:space="preserve">To request access to the tool, email </w:t>
      </w:r>
      <w:hyperlink r:id="rId18" w:history="1">
        <w:r w:rsidR="00A04635" w:rsidRPr="000D35C0">
          <w:rPr>
            <w:rStyle w:val="Hyperlink"/>
            <w:b/>
          </w:rPr>
          <w:t>investment.benefits@nzta.govt.nz</w:t>
        </w:r>
      </w:hyperlink>
      <w:r w:rsidR="00FF0032">
        <w:rPr>
          <w:rStyle w:val="Hyperlink"/>
        </w:rPr>
        <w:t>.</w:t>
      </w:r>
      <w:r w:rsidR="005F0FC0">
        <w:t xml:space="preserve"> </w:t>
      </w:r>
      <w:r w:rsidRPr="00C0111D">
        <w:t>Confirmation of registration</w:t>
      </w:r>
      <w:r w:rsidR="002B7C48">
        <w:t xml:space="preserve"> </w:t>
      </w:r>
      <w:r w:rsidRPr="00C0111D">
        <w:t>will be provided directly to the</w:t>
      </w:r>
      <w:r w:rsidR="00611C1E">
        <w:t xml:space="preserve"> requesting organisation</w:t>
      </w:r>
      <w:r w:rsidRPr="00C0111D">
        <w:t>.</w:t>
      </w:r>
      <w:r w:rsidR="00611C1E">
        <w:rPr>
          <w:rStyle w:val="FootnoteReference"/>
        </w:rPr>
        <w:footnoteReference w:id="4"/>
      </w:r>
    </w:p>
    <w:p w14:paraId="0A9EF5DA" w14:textId="77777777" w:rsidR="00C0111D" w:rsidRPr="00C0111D" w:rsidRDefault="00C0111D" w:rsidP="00611C1E">
      <w:pPr>
        <w:pStyle w:val="Heading4"/>
        <w:rPr>
          <w:rFonts w:eastAsiaTheme="minorEastAsia"/>
        </w:rPr>
      </w:pPr>
      <w:r w:rsidRPr="00C0111D">
        <w:rPr>
          <w:rFonts w:eastAsiaTheme="minorEastAsia"/>
        </w:rPr>
        <w:t>Viewing accessibility results</w:t>
      </w:r>
    </w:p>
    <w:p w14:paraId="0F4A6B10" w14:textId="48BDF437" w:rsidR="00C0111D" w:rsidRPr="00C0111D" w:rsidRDefault="00C0111D" w:rsidP="007F3426">
      <w:pPr>
        <w:pStyle w:val="BodyText"/>
      </w:pPr>
      <w:r w:rsidRPr="00C0111D">
        <w:t>The</w:t>
      </w:r>
      <w:r w:rsidR="00571E8D">
        <w:t xml:space="preserve"> Waka Kotahi</w:t>
      </w:r>
      <w:r w:rsidRPr="00C0111D">
        <w:t xml:space="preserve"> Story</w:t>
      </w:r>
      <w:r w:rsidR="00FF0032">
        <w:t>M</w:t>
      </w:r>
      <w:r w:rsidRPr="00C0111D">
        <w:t xml:space="preserve">ap accessibility tool shows the number of jobs accessible </w:t>
      </w:r>
      <w:r w:rsidR="00FF0032">
        <w:t xml:space="preserve">to an urban population </w:t>
      </w:r>
      <w:r w:rsidRPr="00C0111D">
        <w:t>by public transport within 45 minutes</w:t>
      </w:r>
      <w:r w:rsidR="00085E3A">
        <w:t xml:space="preserve"> and </w:t>
      </w:r>
      <w:r w:rsidR="000B5F78">
        <w:t xml:space="preserve">by </w:t>
      </w:r>
      <w:r w:rsidRPr="00C0111D">
        <w:t>cycling within 30 minutes. The definition of urban areas is based on Census mapping information, which is similar but not identical to administrative boundaries. Census</w:t>
      </w:r>
      <w:r w:rsidR="000B5F78">
        <w:t>-</w:t>
      </w:r>
      <w:r w:rsidRPr="00C0111D">
        <w:t>mapping information is more useful for analysis purposes in this case.</w:t>
      </w:r>
    </w:p>
    <w:p w14:paraId="34FA0780" w14:textId="40631BFD" w:rsidR="00C0111D" w:rsidRPr="00C0111D" w:rsidRDefault="007F496E" w:rsidP="007F3426">
      <w:pPr>
        <w:pStyle w:val="BodyText"/>
      </w:pPr>
      <w:r>
        <w:t>A</w:t>
      </w:r>
      <w:r w:rsidR="00C0111D" w:rsidRPr="00C0111D">
        <w:t xml:space="preserve">t this stage, the </w:t>
      </w:r>
      <w:r>
        <w:t>interim a</w:t>
      </w:r>
      <w:r w:rsidR="00C0111D" w:rsidRPr="00C0111D">
        <w:t xml:space="preserve">ccessibility tool </w:t>
      </w:r>
      <w:r>
        <w:t>can</w:t>
      </w:r>
      <w:r w:rsidR="00C0111D" w:rsidRPr="00C0111D">
        <w:t xml:space="preserve"> </w:t>
      </w:r>
      <w:r>
        <w:t xml:space="preserve">only </w:t>
      </w:r>
      <w:r w:rsidR="00C0111D" w:rsidRPr="00C0111D">
        <w:t xml:space="preserve">provide accessibility indices on existing transport networks. </w:t>
      </w:r>
      <w:r>
        <w:t>The tool does not yet have the functionality</w:t>
      </w:r>
      <w:r w:rsidRPr="00C0111D">
        <w:t xml:space="preserve"> </w:t>
      </w:r>
      <w:r>
        <w:t>to allow</w:t>
      </w:r>
      <w:r w:rsidR="00C0111D" w:rsidRPr="00C0111D">
        <w:t xml:space="preserve"> analysis of planned active mode or public transport networks. </w:t>
      </w:r>
    </w:p>
    <w:p w14:paraId="76FE864C" w14:textId="77777777" w:rsidR="00C0111D" w:rsidRPr="00C0111D" w:rsidRDefault="00C0111D" w:rsidP="007F3426">
      <w:pPr>
        <w:pStyle w:val="BodyText"/>
      </w:pPr>
      <w:r w:rsidRPr="00C0111D">
        <w:t>The process for viewing accessibility results is as follows:</w:t>
      </w:r>
    </w:p>
    <w:p w14:paraId="1D7318C8" w14:textId="20DE1DA7" w:rsidR="00C0111D" w:rsidRPr="00C0111D" w:rsidRDefault="00C0111D" w:rsidP="00611C1E">
      <w:pPr>
        <w:pStyle w:val="Numberedparagraph"/>
      </w:pPr>
      <w:r w:rsidRPr="00C0111D">
        <w:t>Locate the urban area of interest by zooming and panning the map as required.</w:t>
      </w:r>
    </w:p>
    <w:p w14:paraId="638A7E35" w14:textId="062CF6EF" w:rsidR="00C0111D" w:rsidRPr="00C0111D" w:rsidRDefault="00C0111D" w:rsidP="00611C1E">
      <w:pPr>
        <w:pStyle w:val="Numberedparagraph"/>
      </w:pPr>
      <w:r w:rsidRPr="00C0111D">
        <w:t xml:space="preserve">Using the </w:t>
      </w:r>
      <w:r w:rsidR="007F496E">
        <w:t>l</w:t>
      </w:r>
      <w:r w:rsidRPr="00C0111D">
        <w:t xml:space="preserve">egend and </w:t>
      </w:r>
      <w:r w:rsidR="007F496E">
        <w:t>c</w:t>
      </w:r>
      <w:r w:rsidRPr="00C0111D">
        <w:t xml:space="preserve">ontent boxes, identify ‘public transport’ or ‘cycling’ accessibility data. Only use </w:t>
      </w:r>
      <w:r w:rsidR="007F496E">
        <w:t>one</w:t>
      </w:r>
      <w:r w:rsidR="007F496E" w:rsidRPr="00C0111D">
        <w:t xml:space="preserve"> </w:t>
      </w:r>
      <w:r w:rsidRPr="00C0111D">
        <w:t>data set at a time.</w:t>
      </w:r>
    </w:p>
    <w:p w14:paraId="53189104" w14:textId="491E1EEF" w:rsidR="00C0111D" w:rsidRPr="00C0111D" w:rsidRDefault="00C0111D" w:rsidP="00611C1E">
      <w:pPr>
        <w:pStyle w:val="Numberedparagraph"/>
      </w:pPr>
      <w:r w:rsidRPr="00C0111D">
        <w:lastRenderedPageBreak/>
        <w:t>Centre the map on the screen at an appropriate zoom level and take a screenshot of the available accessibility ‘heat maps’.</w:t>
      </w:r>
    </w:p>
    <w:p w14:paraId="70803784" w14:textId="73770E50" w:rsidR="00C0111D" w:rsidRPr="00C0111D" w:rsidRDefault="00C0111D" w:rsidP="00611C1E">
      <w:pPr>
        <w:pStyle w:val="Numberedparagraph"/>
      </w:pPr>
      <w:r w:rsidRPr="00C0111D">
        <w:t xml:space="preserve">Switch between public transport and cycling </w:t>
      </w:r>
      <w:r w:rsidR="007F496E">
        <w:t>c</w:t>
      </w:r>
      <w:r w:rsidRPr="00C0111D">
        <w:t xml:space="preserve">ontent boxes to ensure accessibility data for both modes are captured through </w:t>
      </w:r>
      <w:r w:rsidR="007F496E">
        <w:t>a s</w:t>
      </w:r>
      <w:r w:rsidRPr="00C0111D">
        <w:t>creenshot.</w:t>
      </w:r>
    </w:p>
    <w:p w14:paraId="01DEC6D5" w14:textId="79540C81" w:rsidR="00C0111D" w:rsidRPr="00C0111D" w:rsidRDefault="00C0111D" w:rsidP="007F3426">
      <w:pPr>
        <w:pStyle w:val="BodyText"/>
      </w:pPr>
      <w:r w:rsidRPr="00C0111D">
        <w:t xml:space="preserve">Accessibility results are sourced from SA1 (Statistical Area 1) based data. </w:t>
      </w:r>
      <w:r w:rsidR="007F496E">
        <w:t>You can</w:t>
      </w:r>
      <w:r w:rsidRPr="00C0111D">
        <w:t xml:space="preserve"> interrogate accessibility to jobs data within an urban area by clicking on specific SA1 areas. This </w:t>
      </w:r>
      <w:r w:rsidR="007F496E">
        <w:t xml:space="preserve">will show </w:t>
      </w:r>
      <w:r w:rsidRPr="00C0111D">
        <w:t>the number of jobs available to the centroid of that SA1 area by driving (30 minutes), public transport (45 minutes) and cycl</w:t>
      </w:r>
      <w:r w:rsidR="007F496E">
        <w:t>ing</w:t>
      </w:r>
      <w:r w:rsidRPr="00C0111D">
        <w:t xml:space="preserve"> (30 minutes). </w:t>
      </w:r>
    </w:p>
    <w:p w14:paraId="5A7E80DD" w14:textId="5C481B2E" w:rsidR="00C0111D" w:rsidRPr="00C0111D" w:rsidRDefault="00C0111D" w:rsidP="00611C1E">
      <w:pPr>
        <w:pStyle w:val="Heading4"/>
        <w:rPr>
          <w:rFonts w:eastAsiaTheme="minorEastAsia"/>
        </w:rPr>
      </w:pPr>
      <w:r w:rsidRPr="00C0111D">
        <w:rPr>
          <w:rFonts w:eastAsiaTheme="minorEastAsia"/>
        </w:rPr>
        <w:t>Interpret</w:t>
      </w:r>
      <w:r w:rsidR="007F496E">
        <w:rPr>
          <w:rFonts w:eastAsiaTheme="minorEastAsia"/>
        </w:rPr>
        <w:t>ing</w:t>
      </w:r>
      <w:r w:rsidRPr="00C0111D">
        <w:rPr>
          <w:rFonts w:eastAsiaTheme="minorEastAsia"/>
        </w:rPr>
        <w:t xml:space="preserve"> accessibility results</w:t>
      </w:r>
    </w:p>
    <w:p w14:paraId="422293ED" w14:textId="5EABBB96" w:rsidR="00C0111D" w:rsidRPr="00C0111D" w:rsidRDefault="00C0111D" w:rsidP="007F3426">
      <w:pPr>
        <w:pStyle w:val="BodyText"/>
      </w:pPr>
      <w:r w:rsidRPr="00C0111D">
        <w:t>All accessibility indices are measured on the basis of weekday (Tuesday) morning peak analysis in March 2020 (pre</w:t>
      </w:r>
      <w:r w:rsidR="000B5F78">
        <w:t>-</w:t>
      </w:r>
      <w:r w:rsidRPr="00C0111D">
        <w:t xml:space="preserve">COVID-19 lockdown). </w:t>
      </w:r>
      <w:r w:rsidR="007F496E">
        <w:t>I</w:t>
      </w:r>
      <w:r w:rsidRPr="00C0111D">
        <w:t>n the assessment</w:t>
      </w:r>
      <w:r w:rsidR="007F496E">
        <w:t>, you should consider</w:t>
      </w:r>
      <w:r w:rsidRPr="00C0111D">
        <w:t xml:space="preserve"> the frequency and capacity of the services available. The analysis uses jobs as a proxy for a range of commercial and community services that are commonly co-located. The distribution of jobs relative to the assessed population will vary according </w:t>
      </w:r>
      <w:r w:rsidR="007F496E">
        <w:t xml:space="preserve">to </w:t>
      </w:r>
      <w:r w:rsidRPr="00C0111D">
        <w:t xml:space="preserve">the specific characteristics of the urban area. </w:t>
      </w:r>
    </w:p>
    <w:p w14:paraId="4391BC52" w14:textId="77777777" w:rsidR="00C0111D" w:rsidRPr="00C0111D" w:rsidRDefault="00C0111D" w:rsidP="00611C1E">
      <w:pPr>
        <w:pStyle w:val="Heading4"/>
        <w:rPr>
          <w:rFonts w:eastAsiaTheme="minorEastAsia"/>
        </w:rPr>
      </w:pPr>
      <w:r w:rsidRPr="00C0111D">
        <w:rPr>
          <w:rFonts w:eastAsiaTheme="minorEastAsia"/>
        </w:rPr>
        <w:t>Public transport indices</w:t>
      </w:r>
    </w:p>
    <w:p w14:paraId="48F26BBB" w14:textId="265E1CBD" w:rsidR="00C0111D" w:rsidRPr="00C0111D" w:rsidRDefault="00C0111D" w:rsidP="007F3426">
      <w:pPr>
        <w:pStyle w:val="BodyText"/>
      </w:pPr>
      <w:r w:rsidRPr="00C0111D">
        <w:t xml:space="preserve">Access to public transport services is from the centroid of </w:t>
      </w:r>
      <w:r w:rsidR="007F496E">
        <w:t xml:space="preserve">the </w:t>
      </w:r>
      <w:r w:rsidRPr="00C0111D">
        <w:t>closest SA1</w:t>
      </w:r>
      <w:r w:rsidR="007F496E">
        <w:t xml:space="preserve"> unit</w:t>
      </w:r>
      <w:r w:rsidRPr="00C0111D">
        <w:t>. All data are shown for 45</w:t>
      </w:r>
      <w:r w:rsidR="007F496E">
        <w:t>-</w:t>
      </w:r>
      <w:r w:rsidRPr="00C0111D">
        <w:t>minute inclusive</w:t>
      </w:r>
      <w:r w:rsidR="009113AC">
        <w:t xml:space="preserve"> </w:t>
      </w:r>
      <w:r w:rsidR="007F496E">
        <w:t>public transport</w:t>
      </w:r>
      <w:r w:rsidRPr="00C0111D">
        <w:t xml:space="preserve"> journey times and include a maximum of 800</w:t>
      </w:r>
      <w:r w:rsidR="00085E3A">
        <w:t>-metre</w:t>
      </w:r>
      <w:r w:rsidRPr="00C0111D">
        <w:t xml:space="preserve">s walking distance to and from public transport services within </w:t>
      </w:r>
      <w:r w:rsidR="007F496E">
        <w:t>this</w:t>
      </w:r>
      <w:r w:rsidRPr="00C0111D">
        <w:t xml:space="preserve"> journey time. </w:t>
      </w:r>
      <w:r w:rsidR="001A2A5C">
        <w:t xml:space="preserve">This is a </w:t>
      </w:r>
      <w:r w:rsidRPr="00C0111D">
        <w:t xml:space="preserve">practical time and distance </w:t>
      </w:r>
      <w:r w:rsidR="007F496E">
        <w:t>for evaluating</w:t>
      </w:r>
      <w:r w:rsidRPr="00C0111D">
        <w:t xml:space="preserve"> accessibility for intensification purposes. </w:t>
      </w:r>
    </w:p>
    <w:p w14:paraId="171BCBE3" w14:textId="4CA9053A" w:rsidR="00C0111D" w:rsidRPr="00C0111D" w:rsidRDefault="00C0111D" w:rsidP="007F3426">
      <w:pPr>
        <w:pStyle w:val="BodyText"/>
      </w:pPr>
      <w:r w:rsidRPr="00C0111D">
        <w:t xml:space="preserve">The threshold at which the </w:t>
      </w:r>
      <w:r w:rsidR="00A40D91">
        <w:t>Story</w:t>
      </w:r>
      <w:r w:rsidR="000B5F78">
        <w:t>Map</w:t>
      </w:r>
      <w:r w:rsidR="00A40D91">
        <w:t xml:space="preserve"> tool can most effectively inform the </w:t>
      </w:r>
      <w:r w:rsidRPr="00C0111D">
        <w:t xml:space="preserve">intensification requirements </w:t>
      </w:r>
      <w:r w:rsidR="00A40D91">
        <w:t>(Policies 3 and 5) is</w:t>
      </w:r>
      <w:r w:rsidRPr="00C0111D">
        <w:t xml:space="preserve"> at</w:t>
      </w:r>
      <w:r w:rsidR="007F496E">
        <w:t>,</w:t>
      </w:r>
      <w:r w:rsidRPr="00C0111D">
        <w:t xml:space="preserve"> or greater than</w:t>
      </w:r>
      <w:r w:rsidR="007F496E">
        <w:t>,</w:t>
      </w:r>
      <w:r w:rsidRPr="00C0111D">
        <w:t xml:space="preserve"> the 75th percentile index of the ‘jobs available’ metrices. The 75th percentile represents the top quarter</w:t>
      </w:r>
      <w:r w:rsidR="009113AC">
        <w:t xml:space="preserve"> </w:t>
      </w:r>
      <w:r w:rsidRPr="00C0111D">
        <w:t>of accessible j</w:t>
      </w:r>
      <w:r w:rsidR="00625402">
        <w:t>obs in that urban area</w:t>
      </w:r>
      <w:r w:rsidR="00A40D91">
        <w:t xml:space="preserve"> (ie, the proportion of jobs within the urban area that are accessible within 45 minutes by public transport)</w:t>
      </w:r>
      <w:r w:rsidR="00625402">
        <w:t>. Figure 2</w:t>
      </w:r>
      <w:r w:rsidRPr="00C0111D">
        <w:t xml:space="preserve"> </w:t>
      </w:r>
      <w:r w:rsidR="007F496E">
        <w:t xml:space="preserve">below </w:t>
      </w:r>
      <w:r w:rsidRPr="00C0111D">
        <w:t>shows the 75th percentile accessibility index for public transport acce</w:t>
      </w:r>
      <w:r w:rsidR="00625402">
        <w:t>ss in Dunedin, while Figure 3</w:t>
      </w:r>
      <w:r w:rsidRPr="00C0111D">
        <w:t xml:space="preserve"> shows the total number of jobs accessible by public </w:t>
      </w:r>
      <w:r w:rsidRPr="00E44236">
        <w:t>transport</w:t>
      </w:r>
      <w:r w:rsidRPr="00C0111D">
        <w:t>.</w:t>
      </w:r>
    </w:p>
    <w:p w14:paraId="20698CF9" w14:textId="69201C0D" w:rsidR="00C0111D" w:rsidRPr="00C0111D" w:rsidRDefault="00C0111D" w:rsidP="00611C1E">
      <w:pPr>
        <w:pStyle w:val="Figureheading"/>
      </w:pPr>
      <w:bookmarkStart w:id="31" w:name="_Toc51240488"/>
      <w:r w:rsidRPr="00C0111D">
        <w:lastRenderedPageBreak/>
        <w:t xml:space="preserve">Figure </w:t>
      </w:r>
      <w:r w:rsidR="00625402">
        <w:t>2</w:t>
      </w:r>
      <w:r w:rsidRPr="00C0111D">
        <w:t xml:space="preserve">: </w:t>
      </w:r>
      <w:r w:rsidR="00611C1E">
        <w:tab/>
      </w:r>
      <w:r w:rsidRPr="00C0111D">
        <w:t xml:space="preserve">75th percentile accessibility index for public transport access for SA1s in Dunedin, </w:t>
      </w:r>
      <w:r w:rsidR="007F496E">
        <w:br/>
      </w:r>
      <w:r w:rsidRPr="00C0111D">
        <w:t>for March 2020</w:t>
      </w:r>
      <w:bookmarkEnd w:id="31"/>
    </w:p>
    <w:p w14:paraId="0C51E734" w14:textId="18E31D0A" w:rsidR="00C0111D" w:rsidRPr="00C0111D" w:rsidRDefault="00C0111D" w:rsidP="007F3426">
      <w:pPr>
        <w:pStyle w:val="BodyText"/>
      </w:pPr>
      <w:r w:rsidRPr="00C0111D">
        <w:t xml:space="preserve"> </w:t>
      </w:r>
      <w:r w:rsidR="00611C1E" w:rsidRPr="00126E5B">
        <w:rPr>
          <w:noProof/>
        </w:rPr>
        <w:drawing>
          <wp:inline distT="0" distB="0" distL="0" distR="0" wp14:anchorId="5BDDB6CA" wp14:editId="6B87CC22">
            <wp:extent cx="5229603" cy="39433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236011" cy="3948182"/>
                    </a:xfrm>
                    <a:prstGeom prst="rect">
                      <a:avLst/>
                    </a:prstGeom>
                    <a:noFill/>
                    <a:ln>
                      <a:noFill/>
                    </a:ln>
                  </pic:spPr>
                </pic:pic>
              </a:graphicData>
            </a:graphic>
          </wp:inline>
        </w:drawing>
      </w:r>
    </w:p>
    <w:p w14:paraId="3D1F78F4" w14:textId="4969BF15" w:rsidR="00C0111D" w:rsidRPr="00C0111D" w:rsidRDefault="00625402" w:rsidP="00611C1E">
      <w:pPr>
        <w:pStyle w:val="Figureheading"/>
      </w:pPr>
      <w:bookmarkStart w:id="32" w:name="_Toc51240489"/>
      <w:r>
        <w:t>Figure 3</w:t>
      </w:r>
      <w:r w:rsidR="00C0111D" w:rsidRPr="00C0111D">
        <w:t xml:space="preserve">: </w:t>
      </w:r>
      <w:r w:rsidR="00611C1E">
        <w:tab/>
      </w:r>
      <w:r w:rsidR="00C0111D" w:rsidRPr="00C0111D">
        <w:t xml:space="preserve">Total number of jobs accessible by public transport access for SA1s in Dunedin, </w:t>
      </w:r>
      <w:r w:rsidR="007F496E">
        <w:br/>
      </w:r>
      <w:r w:rsidR="00C0111D" w:rsidRPr="00C0111D">
        <w:t>for March 2020</w:t>
      </w:r>
      <w:bookmarkEnd w:id="32"/>
    </w:p>
    <w:p w14:paraId="7B6FF1EB" w14:textId="10D7B4BD" w:rsidR="00C0111D" w:rsidRPr="00C0111D" w:rsidRDefault="00611C1E" w:rsidP="007F3426">
      <w:pPr>
        <w:pStyle w:val="BodyText"/>
      </w:pPr>
      <w:r w:rsidRPr="008D55C3">
        <w:rPr>
          <w:noProof/>
        </w:rPr>
        <w:drawing>
          <wp:inline distT="0" distB="0" distL="0" distR="0" wp14:anchorId="3E3D6710" wp14:editId="2336328F">
            <wp:extent cx="5276850" cy="398482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281179" cy="3988092"/>
                    </a:xfrm>
                    <a:prstGeom prst="rect">
                      <a:avLst/>
                    </a:prstGeom>
                    <a:noFill/>
                    <a:ln>
                      <a:noFill/>
                    </a:ln>
                  </pic:spPr>
                </pic:pic>
              </a:graphicData>
            </a:graphic>
          </wp:inline>
        </w:drawing>
      </w:r>
      <w:r w:rsidR="00C0111D" w:rsidRPr="00C0111D">
        <w:t xml:space="preserve"> </w:t>
      </w:r>
    </w:p>
    <w:p w14:paraId="10A0B6F1" w14:textId="77777777" w:rsidR="00C0111D" w:rsidRPr="00C0111D" w:rsidRDefault="00C0111D" w:rsidP="00611C1E">
      <w:pPr>
        <w:pStyle w:val="Heading4"/>
        <w:rPr>
          <w:rFonts w:eastAsiaTheme="minorEastAsia"/>
        </w:rPr>
      </w:pPr>
      <w:r w:rsidRPr="00C0111D">
        <w:rPr>
          <w:rFonts w:eastAsiaTheme="minorEastAsia"/>
        </w:rPr>
        <w:lastRenderedPageBreak/>
        <w:t>Walking and cycling indices</w:t>
      </w:r>
    </w:p>
    <w:p w14:paraId="0096E4B1" w14:textId="4B882167" w:rsidR="00C0111D" w:rsidRPr="00C0111D" w:rsidRDefault="007F496E" w:rsidP="007F3426">
      <w:pPr>
        <w:pStyle w:val="BodyText"/>
      </w:pPr>
      <w:r>
        <w:t>You should view t</w:t>
      </w:r>
      <w:r w:rsidR="00C0111D" w:rsidRPr="00C0111D">
        <w:t>he walking and cycling indices as a starting point for analysis to determine the extent and scale of intensification.</w:t>
      </w:r>
      <w:r w:rsidR="009113AC">
        <w:t xml:space="preserve"> </w:t>
      </w:r>
    </w:p>
    <w:p w14:paraId="37D00310" w14:textId="3C062565" w:rsidR="00C0111D" w:rsidRPr="00B20FDA" w:rsidRDefault="00B20FDA" w:rsidP="007F3426">
      <w:pPr>
        <w:pStyle w:val="BodyText"/>
      </w:pPr>
      <w:r>
        <w:t>W</w:t>
      </w:r>
      <w:r w:rsidR="007F496E">
        <w:t>e recommend</w:t>
      </w:r>
      <w:r w:rsidR="00C0111D" w:rsidRPr="00C0111D">
        <w:t xml:space="preserve"> </w:t>
      </w:r>
      <w:r w:rsidR="004B65E0">
        <w:t xml:space="preserve">you use </w:t>
      </w:r>
      <w:r w:rsidR="00C0111D" w:rsidRPr="00C0111D">
        <w:t xml:space="preserve">the cycling indices </w:t>
      </w:r>
      <w:r w:rsidR="004B65E0">
        <w:t>to determine</w:t>
      </w:r>
      <w:r w:rsidR="00C0111D" w:rsidRPr="00C0111D">
        <w:t xml:space="preserve"> intensification in the absence of a detailed</w:t>
      </w:r>
      <w:r w:rsidR="009113AC">
        <w:t xml:space="preserve"> </w:t>
      </w:r>
      <w:r w:rsidR="00C0111D" w:rsidRPr="00C0111D">
        <w:t>public transport network.</w:t>
      </w:r>
      <w:r w:rsidR="009113AC">
        <w:t xml:space="preserve"> </w:t>
      </w:r>
      <w:r>
        <w:t>Guidance on determining accessibility by walking is provided in</w:t>
      </w:r>
      <w:r w:rsidR="004059ED">
        <w:t xml:space="preserve"> </w:t>
      </w:r>
      <w:r w:rsidR="004059ED" w:rsidRPr="004059ED">
        <w:rPr>
          <w:b/>
          <w:color w:val="0F7B7D"/>
        </w:rPr>
        <w:t>section 5.5</w:t>
      </w:r>
      <w:r w:rsidR="00F62D18" w:rsidRPr="004059ED">
        <w:rPr>
          <w:rStyle w:val="Hyperlink"/>
          <w:b/>
          <w:color w:val="0F7B7D"/>
        </w:rPr>
        <w:t xml:space="preserve"> </w:t>
      </w:r>
      <w:r w:rsidRPr="00B20FDA">
        <w:t xml:space="preserve">below on walkability. </w:t>
      </w:r>
    </w:p>
    <w:p w14:paraId="42124F76" w14:textId="1903C236" w:rsidR="00C0111D" w:rsidRPr="00C0111D" w:rsidRDefault="004B65E0" w:rsidP="007F3426">
      <w:pPr>
        <w:pStyle w:val="BodyText"/>
      </w:pPr>
      <w:r>
        <w:t>The</w:t>
      </w:r>
      <w:r w:rsidR="00C0111D" w:rsidRPr="00C0111D">
        <w:t xml:space="preserve"> map-based cycle network includes cycle</w:t>
      </w:r>
      <w:r>
        <w:t>-</w:t>
      </w:r>
      <w:r w:rsidR="00C0111D" w:rsidRPr="00C0111D">
        <w:t>specific infrastructure</w:t>
      </w:r>
      <w:r>
        <w:t xml:space="preserve">, </w:t>
      </w:r>
      <w:r w:rsidR="00C0111D" w:rsidRPr="00C0111D">
        <w:t xml:space="preserve">such as off-road routes and </w:t>
      </w:r>
      <w:r w:rsidR="00B20FDA" w:rsidRPr="00C0111D">
        <w:t>paths</w:t>
      </w:r>
      <w:r w:rsidR="00B20FDA">
        <w:t xml:space="preserve">, </w:t>
      </w:r>
      <w:r w:rsidR="00B20FDA" w:rsidRPr="00C0111D">
        <w:t>which</w:t>
      </w:r>
      <w:r w:rsidR="00C0111D" w:rsidRPr="00C0111D">
        <w:t xml:space="preserve"> are almost always available to pedestrians also. </w:t>
      </w:r>
    </w:p>
    <w:p w14:paraId="537F2E38" w14:textId="2966DE30" w:rsidR="00C0111D" w:rsidRPr="00C0111D" w:rsidRDefault="00C0111D" w:rsidP="007F3426">
      <w:pPr>
        <w:pStyle w:val="BodyText"/>
      </w:pPr>
      <w:r w:rsidRPr="00C0111D">
        <w:t>A useful threshold for determining where the intensification requirements of Policies 3 and 5 are expected to apply would be at</w:t>
      </w:r>
      <w:r w:rsidR="004B65E0">
        <w:t>,</w:t>
      </w:r>
      <w:r w:rsidRPr="00C0111D">
        <w:t xml:space="preserve"> or greater than</w:t>
      </w:r>
      <w:r w:rsidR="004B65E0">
        <w:t>,</w:t>
      </w:r>
      <w:r w:rsidRPr="00C0111D">
        <w:t xml:space="preserve"> the 75th percentile index of the ‘jobs available’ metrices. The 75th percentile represents the top quarter of accessible jobs in that urban area. </w:t>
      </w:r>
    </w:p>
    <w:p w14:paraId="511CF7B4" w14:textId="77777777" w:rsidR="00C0111D" w:rsidRPr="00C0111D" w:rsidRDefault="00C0111D" w:rsidP="00611C1E">
      <w:pPr>
        <w:pStyle w:val="Heading4"/>
        <w:rPr>
          <w:rFonts w:eastAsiaTheme="minorEastAsia"/>
        </w:rPr>
      </w:pPr>
      <w:r w:rsidRPr="00C0111D">
        <w:rPr>
          <w:rFonts w:eastAsiaTheme="minorEastAsia"/>
        </w:rPr>
        <w:t>Application to Policies 3 and 5</w:t>
      </w:r>
    </w:p>
    <w:p w14:paraId="5F579AAB" w14:textId="59000BAB" w:rsidR="00C0111D" w:rsidRPr="00C0111D" w:rsidRDefault="00B20FDA" w:rsidP="007F3426">
      <w:pPr>
        <w:pStyle w:val="BodyText"/>
      </w:pPr>
      <w:r>
        <w:t>T</w:t>
      </w:r>
      <w:r w:rsidR="00C0111D" w:rsidRPr="00C0111D">
        <w:t xml:space="preserve">he information produced by using the accessibility tools outlined above identifies where most people can access most jobs easily by active modes and public transport. </w:t>
      </w:r>
      <w:r>
        <w:t xml:space="preserve">This analysis </w:t>
      </w:r>
      <w:r w:rsidR="00C0111D" w:rsidRPr="00C0111D">
        <w:t xml:space="preserve">is the starting point for </w:t>
      </w:r>
      <w:r w:rsidR="004B65E0">
        <w:t xml:space="preserve">identifying </w:t>
      </w:r>
      <w:r w:rsidR="00C0111D" w:rsidRPr="00C0111D">
        <w:t>where the relevant intensification provisions should apply.</w:t>
      </w:r>
    </w:p>
    <w:p w14:paraId="3ED569A3" w14:textId="1CBA4F76" w:rsidR="00C0111D" w:rsidRPr="00C0111D" w:rsidRDefault="00A04635" w:rsidP="00611C1E">
      <w:pPr>
        <w:pStyle w:val="Heading3"/>
        <w:rPr>
          <w:rFonts w:eastAsiaTheme="minorEastAsia"/>
        </w:rPr>
      </w:pPr>
      <w:bookmarkStart w:id="33" w:name="_5.5_Walkable_catchments"/>
      <w:bookmarkStart w:id="34" w:name="_Toc50720786"/>
      <w:bookmarkStart w:id="35" w:name="_Ref51084611"/>
      <w:bookmarkStart w:id="36" w:name="_Ref51084628"/>
      <w:bookmarkStart w:id="37" w:name="_Ref51084647"/>
      <w:bookmarkStart w:id="38" w:name="_Ref51084655"/>
      <w:bookmarkStart w:id="39" w:name="_Ref51084920"/>
      <w:bookmarkStart w:id="40" w:name="_Ref51085015"/>
      <w:bookmarkStart w:id="41" w:name="_Ref51164241"/>
      <w:bookmarkStart w:id="42" w:name="_Ref51164354"/>
      <w:bookmarkStart w:id="43" w:name="_Ref51166194"/>
      <w:bookmarkEnd w:id="33"/>
      <w:r>
        <w:rPr>
          <w:rFonts w:eastAsiaTheme="minorEastAsia"/>
        </w:rPr>
        <w:t>5</w:t>
      </w:r>
      <w:r w:rsidR="00C0111D" w:rsidRPr="00C0111D">
        <w:rPr>
          <w:rFonts w:eastAsiaTheme="minorEastAsia"/>
        </w:rPr>
        <w:t>.5</w:t>
      </w:r>
      <w:r w:rsidR="00C0111D" w:rsidRPr="00C0111D">
        <w:rPr>
          <w:rFonts w:eastAsiaTheme="minorEastAsia"/>
        </w:rPr>
        <w:tab/>
        <w:t>Walkable catchments</w:t>
      </w:r>
      <w:bookmarkEnd w:id="34"/>
      <w:bookmarkEnd w:id="35"/>
      <w:bookmarkEnd w:id="36"/>
      <w:bookmarkEnd w:id="37"/>
      <w:bookmarkEnd w:id="38"/>
      <w:bookmarkEnd w:id="39"/>
      <w:bookmarkEnd w:id="40"/>
      <w:bookmarkEnd w:id="41"/>
      <w:bookmarkEnd w:id="42"/>
      <w:bookmarkEnd w:id="43"/>
      <w:r w:rsidR="00C0111D" w:rsidRPr="00C0111D">
        <w:rPr>
          <w:rFonts w:eastAsiaTheme="minorEastAsia"/>
        </w:rPr>
        <w:t xml:space="preserve"> </w:t>
      </w:r>
    </w:p>
    <w:p w14:paraId="1C42720D" w14:textId="1DFC8058" w:rsidR="00C0111D" w:rsidRPr="00C0111D" w:rsidRDefault="00C0111D" w:rsidP="007F3426">
      <w:pPr>
        <w:pStyle w:val="BodyText"/>
      </w:pPr>
      <w:r w:rsidRPr="00C0111D">
        <w:t xml:space="preserve">A walkable catchment is the area that an average person could walk from a </w:t>
      </w:r>
      <w:r w:rsidR="004B65E0">
        <w:t xml:space="preserve">specific </w:t>
      </w:r>
      <w:r w:rsidRPr="00C0111D">
        <w:t>point to get to multiple destinations. A walkable catchment of 400 metres is typically associated with a five</w:t>
      </w:r>
      <w:r w:rsidR="00085E3A">
        <w:t>-</w:t>
      </w:r>
      <w:r w:rsidRPr="00C0111D">
        <w:t>minute average walk</w:t>
      </w:r>
      <w:r w:rsidR="00085E3A">
        <w:t xml:space="preserve"> and </w:t>
      </w:r>
      <w:r w:rsidRPr="00C0111D">
        <w:t>800</w:t>
      </w:r>
      <w:r w:rsidR="004B65E0">
        <w:t xml:space="preserve"> metre</w:t>
      </w:r>
      <w:r w:rsidRPr="00C0111D">
        <w:t>s with a 10</w:t>
      </w:r>
      <w:r w:rsidR="004B65E0">
        <w:t>-</w:t>
      </w:r>
      <w:r w:rsidRPr="00C0111D">
        <w:t>minute average walk. These distances are also affected by factors such as land</w:t>
      </w:r>
      <w:r w:rsidR="004B65E0">
        <w:t xml:space="preserve"> </w:t>
      </w:r>
      <w:r w:rsidRPr="00C0111D">
        <w:t>form (</w:t>
      </w:r>
      <w:r w:rsidR="009113AC">
        <w:t>eg,</w:t>
      </w:r>
      <w:r w:rsidRPr="00C0111D">
        <w:t xml:space="preserve"> hills take longer to walk up</w:t>
      </w:r>
      <w:r w:rsidR="00085E3A">
        <w:t xml:space="preserve"> and </w:t>
      </w:r>
      <w:r w:rsidRPr="00C0111D">
        <w:t>can be an obstacle to walking), connectivity or severance (</w:t>
      </w:r>
      <w:r w:rsidR="009113AC">
        <w:t>eg,</w:t>
      </w:r>
      <w:r w:rsidRPr="00C0111D">
        <w:t xml:space="preserve"> the lack of ease and safety of crossing roads, highways</w:t>
      </w:r>
      <w:r w:rsidR="00085E3A">
        <w:t xml:space="preserve"> and </w:t>
      </w:r>
      <w:r w:rsidRPr="00C0111D">
        <w:t>intersections)</w:t>
      </w:r>
      <w:r w:rsidR="004B65E0">
        <w:t>,</w:t>
      </w:r>
      <w:r w:rsidR="00085E3A">
        <w:t xml:space="preserve"> and </w:t>
      </w:r>
      <w:r w:rsidRPr="00C0111D">
        <w:t>the quality of footpaths. Walkable catchments can be determined either using a simple</w:t>
      </w:r>
      <w:r w:rsidR="004B65E0">
        <w:t>,</w:t>
      </w:r>
      <w:r w:rsidRPr="00C0111D">
        <w:t xml:space="preserve"> radial pedshed analysis or a more detailed GIS (geographic information systems) network analysis. </w:t>
      </w:r>
    </w:p>
    <w:p w14:paraId="3C1E1C6A" w14:textId="34AB1241" w:rsidR="00C0111D" w:rsidRPr="00C0111D" w:rsidRDefault="00C0111D" w:rsidP="007F3426">
      <w:pPr>
        <w:pStyle w:val="BodyText"/>
      </w:pPr>
      <w:r w:rsidRPr="00C0111D">
        <w:t>Policy 3(c) of the NPS-UD requires tier 1 local authorities to amend their regional policy statements and district plans to enable building heights of at least six storeys within walkable catchments of existing and planned rapid transit stops</w:t>
      </w:r>
      <w:r w:rsidR="00085E3A">
        <w:t xml:space="preserve"> and </w:t>
      </w:r>
      <w:r w:rsidRPr="00C0111D">
        <w:t xml:space="preserve">the edge of both city centre zones and metropolitan centre zones. This will require </w:t>
      </w:r>
      <w:r w:rsidR="004B65E0">
        <w:t xml:space="preserve">tier 1 </w:t>
      </w:r>
      <w:r w:rsidRPr="00C0111D">
        <w:t>local authorities to first determine the locations of these stops and zones, decide appropriate metrics or attributes for walkable catchments</w:t>
      </w:r>
      <w:r w:rsidR="004B65E0">
        <w:t>,</w:t>
      </w:r>
      <w:r w:rsidR="00085E3A">
        <w:t xml:space="preserve"> and </w:t>
      </w:r>
      <w:r w:rsidRPr="00C0111D">
        <w:t>then use spatial analysis and other methods to determine the catchments.</w:t>
      </w:r>
    </w:p>
    <w:p w14:paraId="6A34D11E" w14:textId="2465B910" w:rsidR="00C0111D" w:rsidRPr="00C0111D" w:rsidRDefault="00C0111D" w:rsidP="007F3426">
      <w:pPr>
        <w:pStyle w:val="BodyText"/>
      </w:pPr>
      <w:r w:rsidRPr="00C0111D">
        <w:t>Tier 2 and tier 3 local authorities do not have directive intensification requirements related to walkable catchments. However, understanding walkability and walkable catchments around public transport stops and networks</w:t>
      </w:r>
      <w:r w:rsidR="00085E3A">
        <w:t xml:space="preserve"> and </w:t>
      </w:r>
      <w:r w:rsidRPr="00C0111D">
        <w:t xml:space="preserve">centres (city, metropolitan, local </w:t>
      </w:r>
      <w:r w:rsidR="00CA4909" w:rsidRPr="00C0111D">
        <w:t>and neighbourhood</w:t>
      </w:r>
      <w:r w:rsidRPr="00C0111D">
        <w:t xml:space="preserve">) is a useful tool in thinking about what is accessible and locations </w:t>
      </w:r>
      <w:r w:rsidR="004B65E0">
        <w:t>that</w:t>
      </w:r>
      <w:r w:rsidR="004B65E0" w:rsidRPr="00C0111D">
        <w:t xml:space="preserve"> </w:t>
      </w:r>
      <w:r w:rsidRPr="00C0111D">
        <w:t xml:space="preserve">are likely to be appropriate for supporting intensification, </w:t>
      </w:r>
      <w:r w:rsidR="004B65E0">
        <w:t xml:space="preserve">as </w:t>
      </w:r>
      <w:r w:rsidRPr="00C0111D">
        <w:t>required under policy 5(a).</w:t>
      </w:r>
    </w:p>
    <w:p w14:paraId="07475819" w14:textId="3607DC70" w:rsidR="00C0111D" w:rsidRPr="00C0111D" w:rsidRDefault="004B65E0" w:rsidP="007F3426">
      <w:pPr>
        <w:pStyle w:val="BodyText"/>
      </w:pPr>
      <w:r>
        <w:t>More</w:t>
      </w:r>
      <w:r w:rsidRPr="00C0111D">
        <w:t xml:space="preserve"> </w:t>
      </w:r>
      <w:r w:rsidR="00C0111D" w:rsidRPr="00C0111D">
        <w:t>reference material that may support</w:t>
      </w:r>
      <w:r>
        <w:t xml:space="preserve"> you</w:t>
      </w:r>
      <w:r w:rsidR="00C0111D" w:rsidRPr="00C0111D">
        <w:t xml:space="preserve"> in understanding and determining walkable catchments can be found in </w:t>
      </w:r>
      <w:hyperlink w:anchor="_Resources" w:history="1">
        <w:r w:rsidR="000D35C0" w:rsidRPr="004059ED">
          <w:rPr>
            <w:rStyle w:val="Hyperlink"/>
            <w:b/>
          </w:rPr>
          <w:t>Resources</w:t>
        </w:r>
      </w:hyperlink>
      <w:r w:rsidR="00C0111D" w:rsidRPr="00C0111D">
        <w:t>.</w:t>
      </w:r>
    </w:p>
    <w:p w14:paraId="570B75A5" w14:textId="27FC3CD9" w:rsidR="00C0111D" w:rsidRPr="00C0111D" w:rsidRDefault="00A04635" w:rsidP="00611C1E">
      <w:pPr>
        <w:pStyle w:val="Heading3"/>
        <w:rPr>
          <w:rFonts w:eastAsiaTheme="minorEastAsia"/>
        </w:rPr>
      </w:pPr>
      <w:bookmarkStart w:id="44" w:name="_Toc50720787"/>
      <w:r>
        <w:rPr>
          <w:rFonts w:eastAsiaTheme="minorEastAsia"/>
        </w:rPr>
        <w:lastRenderedPageBreak/>
        <w:t>5</w:t>
      </w:r>
      <w:r w:rsidR="00C0111D" w:rsidRPr="00C0111D">
        <w:rPr>
          <w:rFonts w:eastAsiaTheme="minorEastAsia"/>
        </w:rPr>
        <w:t>.5.1</w:t>
      </w:r>
      <w:r w:rsidR="00C0111D" w:rsidRPr="00C0111D">
        <w:rPr>
          <w:rFonts w:eastAsiaTheme="minorEastAsia"/>
        </w:rPr>
        <w:tab/>
        <w:t>Important definitions for determining walkable catchments</w:t>
      </w:r>
      <w:bookmarkEnd w:id="44"/>
    </w:p>
    <w:p w14:paraId="6DAD2E7A" w14:textId="77777777" w:rsidR="00C0111D" w:rsidRPr="00C0111D" w:rsidRDefault="00C0111D" w:rsidP="00611C1E">
      <w:pPr>
        <w:pStyle w:val="Heading4"/>
        <w:rPr>
          <w:rFonts w:eastAsiaTheme="minorEastAsia"/>
        </w:rPr>
      </w:pPr>
      <w:r w:rsidRPr="00C0111D">
        <w:rPr>
          <w:rFonts w:eastAsiaTheme="minorEastAsia"/>
        </w:rPr>
        <w:t>Existing rapid transit stops</w:t>
      </w:r>
    </w:p>
    <w:p w14:paraId="27DD01F9" w14:textId="335BF1C9" w:rsidR="00C0111D" w:rsidRPr="00C0111D" w:rsidRDefault="00C0111D" w:rsidP="007F3426">
      <w:pPr>
        <w:pStyle w:val="BodyText"/>
      </w:pPr>
      <w:r w:rsidRPr="00C0111D">
        <w:t>The NPS-UD defines a rapid transit stop as a place where people can enter or exit a rapid transit service. Rapid transit services are fast, frequent, reliable and high-capacity public transport services</w:t>
      </w:r>
      <w:r w:rsidR="00570F12">
        <w:t>,</w:t>
      </w:r>
      <w:r w:rsidRPr="00C0111D">
        <w:t xml:space="preserve"> </w:t>
      </w:r>
      <w:r w:rsidR="00570F12">
        <w:t>which</w:t>
      </w:r>
      <w:r w:rsidR="00570F12" w:rsidRPr="00C0111D">
        <w:t xml:space="preserve"> </w:t>
      </w:r>
      <w:r w:rsidRPr="00C0111D">
        <w:t>operate on a permanent route (road or rail) and</w:t>
      </w:r>
      <w:r w:rsidR="00570F12">
        <w:t xml:space="preserve"> that are</w:t>
      </w:r>
      <w:r w:rsidRPr="00C0111D">
        <w:t xml:space="preserve"> </w:t>
      </w:r>
      <w:r w:rsidR="00570F12">
        <w:t>generally</w:t>
      </w:r>
      <w:r w:rsidR="00570F12" w:rsidRPr="00C0111D">
        <w:t xml:space="preserve"> </w:t>
      </w:r>
      <w:r w:rsidRPr="00C0111D">
        <w:t>separated from other traffic. Examples of existing rapid transit stops include train stations on the commuter rail services in Wellington and Auckland</w:t>
      </w:r>
      <w:r w:rsidR="00085E3A">
        <w:t xml:space="preserve"> and </w:t>
      </w:r>
      <w:r w:rsidRPr="00C0111D">
        <w:t>bus stations on Auckland’s Northern Busway.</w:t>
      </w:r>
    </w:p>
    <w:p w14:paraId="64A1667A" w14:textId="5229FE1F" w:rsidR="00C0111D" w:rsidRPr="00C0111D" w:rsidRDefault="00C0111D" w:rsidP="007F3426">
      <w:pPr>
        <w:pStyle w:val="BodyText"/>
      </w:pPr>
      <w:r w:rsidRPr="00C0111D">
        <w:t xml:space="preserve">For the purposes of determining walkable catchments </w:t>
      </w:r>
      <w:r w:rsidR="00F62D18">
        <w:t>for</w:t>
      </w:r>
      <w:r w:rsidRPr="00C0111D">
        <w:t xml:space="preserve"> existing rapid transit stops, </w:t>
      </w:r>
      <w:r w:rsidR="004B65E0">
        <w:t xml:space="preserve">we suggest you use </w:t>
      </w:r>
      <w:r w:rsidRPr="00C0111D">
        <w:t>the pedestrian entrances and exits to the stops or stations</w:t>
      </w:r>
      <w:r w:rsidR="004B65E0">
        <w:t xml:space="preserve">. These </w:t>
      </w:r>
      <w:r w:rsidRPr="00C0111D">
        <w:t xml:space="preserve">better represent the location of the station as part of the pedestrian network than the </w:t>
      </w:r>
      <w:r w:rsidR="00710C09">
        <w:t xml:space="preserve">station’s </w:t>
      </w:r>
      <w:r w:rsidRPr="00C0111D">
        <w:t>centre point, which is often represented as a dot in the middl</w:t>
      </w:r>
      <w:r w:rsidR="00625402">
        <w:t>e of the tracks</w:t>
      </w:r>
      <w:r w:rsidR="004B65E0">
        <w:t xml:space="preserve"> and/or </w:t>
      </w:r>
      <w:r w:rsidR="00625402">
        <w:t>busway. Figure 4</w:t>
      </w:r>
      <w:r w:rsidRPr="00C0111D">
        <w:t xml:space="preserve"> </w:t>
      </w:r>
      <w:r w:rsidR="004B65E0">
        <w:t xml:space="preserve">below </w:t>
      </w:r>
      <w:r w:rsidRPr="00C0111D">
        <w:t>shows the pedestrian entrances to Kingsland Station in Auckland, compared to the station centre point.</w:t>
      </w:r>
    </w:p>
    <w:p w14:paraId="1EE538EE" w14:textId="53832B8D" w:rsidR="00C0111D" w:rsidRDefault="00625402" w:rsidP="00611C1E">
      <w:pPr>
        <w:pStyle w:val="Figureheading"/>
      </w:pPr>
      <w:bookmarkStart w:id="45" w:name="_Toc51240490"/>
      <w:r>
        <w:t>Figure 4</w:t>
      </w:r>
      <w:r w:rsidR="00C0111D" w:rsidRPr="00C0111D">
        <w:t xml:space="preserve">: </w:t>
      </w:r>
      <w:r w:rsidR="00611C1E">
        <w:tab/>
      </w:r>
      <w:r w:rsidR="00C0111D" w:rsidRPr="00C0111D">
        <w:t>Example of pedestrian entrances to a rapid transit stop compared to the station centre point (Kingsland Station, Auckland)</w:t>
      </w:r>
      <w:bookmarkEnd w:id="45"/>
    </w:p>
    <w:p w14:paraId="6A2A9ABC" w14:textId="4D3CF3B7" w:rsidR="00815F04" w:rsidRPr="00815F04" w:rsidRDefault="00815F04" w:rsidP="00815F04">
      <w:pPr>
        <w:pStyle w:val="BodyText"/>
      </w:pPr>
      <w:r>
        <w:rPr>
          <w:noProof/>
        </w:rPr>
        <w:drawing>
          <wp:inline distT="0" distB="0" distL="0" distR="0" wp14:anchorId="365E938A" wp14:editId="2F3ACFA6">
            <wp:extent cx="5400000" cy="34116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4 - Example of pedestrian entrance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00" cy="3411684"/>
                    </a:xfrm>
                    <a:prstGeom prst="rect">
                      <a:avLst/>
                    </a:prstGeom>
                  </pic:spPr>
                </pic:pic>
              </a:graphicData>
            </a:graphic>
          </wp:inline>
        </w:drawing>
      </w:r>
    </w:p>
    <w:p w14:paraId="6E1B0745" w14:textId="752D602D" w:rsidR="00C0111D" w:rsidRPr="00C0111D" w:rsidRDefault="00C0111D" w:rsidP="00815F04">
      <w:pPr>
        <w:pStyle w:val="Heading4"/>
        <w:rPr>
          <w:rFonts w:eastAsiaTheme="minorEastAsia"/>
        </w:rPr>
      </w:pPr>
      <w:r w:rsidRPr="00C0111D">
        <w:t xml:space="preserve"> </w:t>
      </w:r>
      <w:r w:rsidRPr="00C0111D">
        <w:rPr>
          <w:rFonts w:eastAsiaTheme="minorEastAsia"/>
        </w:rPr>
        <w:t>Planned rapid transit stops</w:t>
      </w:r>
    </w:p>
    <w:p w14:paraId="1DF2DC21" w14:textId="5409920D" w:rsidR="00C0111D" w:rsidRPr="00C0111D" w:rsidRDefault="00C0111D" w:rsidP="007F3426">
      <w:pPr>
        <w:pStyle w:val="BodyText"/>
      </w:pPr>
      <w:r w:rsidRPr="00C0111D">
        <w:t>The NPS-UD defines a planned rapid transit stop as one that is planned in a regional land transport plan (RLTP) under the Land Transport Management Act 200</w:t>
      </w:r>
      <w:r w:rsidR="00F62D18">
        <w:t>3</w:t>
      </w:r>
      <w:r w:rsidRPr="00C0111D">
        <w:t>.</w:t>
      </w:r>
    </w:p>
    <w:p w14:paraId="08F38D6C" w14:textId="5CE4D7AA" w:rsidR="00C0111D" w:rsidRPr="00C0111D" w:rsidRDefault="00C0111D" w:rsidP="007F3426">
      <w:pPr>
        <w:pStyle w:val="BodyText"/>
      </w:pPr>
      <w:r w:rsidRPr="00C0111D">
        <w:t xml:space="preserve">Planned rapid transit stops identified in an RLTP are often only an intention to plan or build a station at some point </w:t>
      </w:r>
      <w:r w:rsidR="00710C09">
        <w:t xml:space="preserve">in </w:t>
      </w:r>
      <w:r w:rsidRPr="00C0111D">
        <w:t>the future. Often</w:t>
      </w:r>
      <w:r w:rsidR="00710C09">
        <w:t xml:space="preserve"> the RLTP provides</w:t>
      </w:r>
      <w:r w:rsidRPr="00C0111D">
        <w:t xml:space="preserve"> no specific information </w:t>
      </w:r>
      <w:r w:rsidR="00710C09">
        <w:t>on the station’s location</w:t>
      </w:r>
      <w:r w:rsidRPr="00C0111D">
        <w:t xml:space="preserve">. For example, the Auckland RLTP (2018) </w:t>
      </w:r>
      <w:r w:rsidR="00710C09">
        <w:t>notes</w:t>
      </w:r>
      <w:r w:rsidRPr="00C0111D">
        <w:t xml:space="preserve"> a number of new stations will be built for the Eastern Busway but does not </w:t>
      </w:r>
      <w:r w:rsidR="00710C09">
        <w:t>show</w:t>
      </w:r>
      <w:r w:rsidR="00710C09" w:rsidRPr="00C0111D">
        <w:t xml:space="preserve"> </w:t>
      </w:r>
      <w:r w:rsidRPr="00C0111D">
        <w:t xml:space="preserve">on a map where these will be. </w:t>
      </w:r>
      <w:r w:rsidR="00710C09">
        <w:t>In other cases</w:t>
      </w:r>
      <w:r w:rsidRPr="00C0111D">
        <w:t xml:space="preserve">, an RLTP may only show </w:t>
      </w:r>
      <w:r w:rsidR="00710C09">
        <w:t xml:space="preserve">on a map </w:t>
      </w:r>
      <w:r w:rsidRPr="00C0111D">
        <w:t>a</w:t>
      </w:r>
      <w:r w:rsidR="00710C09">
        <w:t>n approximate</w:t>
      </w:r>
      <w:r w:rsidRPr="00C0111D">
        <w:t xml:space="preserve"> indication of where a proposed station may be.</w:t>
      </w:r>
    </w:p>
    <w:p w14:paraId="5053485F" w14:textId="5BECB1C7" w:rsidR="00710C09" w:rsidRDefault="00C0111D" w:rsidP="007F3426">
      <w:pPr>
        <w:pStyle w:val="BodyText"/>
      </w:pPr>
      <w:r w:rsidRPr="00C0111D">
        <w:lastRenderedPageBreak/>
        <w:t xml:space="preserve">The planning for some transport projects may </w:t>
      </w:r>
      <w:r w:rsidR="00710C09">
        <w:t>be set out</w:t>
      </w:r>
      <w:r w:rsidRPr="00C0111D">
        <w:t xml:space="preserve"> in other documents before </w:t>
      </w:r>
      <w:r w:rsidR="00710C09">
        <w:t>these projects are added</w:t>
      </w:r>
      <w:r w:rsidRPr="00C0111D">
        <w:t xml:space="preserve"> </w:t>
      </w:r>
      <w:r w:rsidR="00710C09">
        <w:t>to</w:t>
      </w:r>
      <w:r w:rsidR="00710C09" w:rsidRPr="00C0111D">
        <w:t xml:space="preserve"> </w:t>
      </w:r>
      <w:r w:rsidRPr="00C0111D">
        <w:t>an RLTP. Because of this, it may make sense for local authorities to use other transport planning documents to support their understanding of planned rapid transit stops and other proposed public transport and active mode infrastructure. This could include infrastructure proposed in</w:t>
      </w:r>
      <w:r w:rsidR="00710C09">
        <w:t>:</w:t>
      </w:r>
    </w:p>
    <w:p w14:paraId="30EDD3A5" w14:textId="0CF6D4C1" w:rsidR="00710C09" w:rsidRDefault="00C0111D" w:rsidP="000269D7">
      <w:pPr>
        <w:pStyle w:val="Bullet"/>
      </w:pPr>
      <w:r w:rsidRPr="00C0111D">
        <w:t>regional spatial plans</w:t>
      </w:r>
    </w:p>
    <w:p w14:paraId="59D69B14" w14:textId="29D4E829" w:rsidR="00710C09" w:rsidRDefault="00C0111D" w:rsidP="000269D7">
      <w:pPr>
        <w:pStyle w:val="Bullet"/>
      </w:pPr>
      <w:r w:rsidRPr="00C0111D">
        <w:t>master</w:t>
      </w:r>
      <w:r w:rsidR="00710C09">
        <w:t xml:space="preserve"> </w:t>
      </w:r>
      <w:r w:rsidRPr="00C0111D">
        <w:t>planning and structure planning documents</w:t>
      </w:r>
    </w:p>
    <w:p w14:paraId="4BB90FBC" w14:textId="11D5AA03" w:rsidR="00710C09" w:rsidRDefault="00C0111D" w:rsidP="000269D7">
      <w:pPr>
        <w:pStyle w:val="Bullet"/>
      </w:pPr>
      <w:r w:rsidRPr="00C0111D">
        <w:t>future development strategies</w:t>
      </w:r>
    </w:p>
    <w:p w14:paraId="23BE3F05" w14:textId="4D861BAE" w:rsidR="00710C09" w:rsidRDefault="00C0111D" w:rsidP="000269D7">
      <w:pPr>
        <w:pStyle w:val="Bullet"/>
      </w:pPr>
      <w:r w:rsidRPr="00C0111D">
        <w:t>infrastructure plans</w:t>
      </w:r>
    </w:p>
    <w:p w14:paraId="6571917A" w14:textId="7D987FB5" w:rsidR="00710C09" w:rsidRDefault="00C0111D" w:rsidP="000269D7">
      <w:pPr>
        <w:pStyle w:val="Bullet"/>
      </w:pPr>
      <w:r w:rsidRPr="00C0111D">
        <w:t xml:space="preserve">national infrastructure funding documents (such as </w:t>
      </w:r>
      <w:r w:rsidR="00710C09">
        <w:t>the New Zealand</w:t>
      </w:r>
      <w:r w:rsidR="00710C09" w:rsidRPr="00C0111D">
        <w:t xml:space="preserve"> </w:t>
      </w:r>
      <w:r w:rsidRPr="00C0111D">
        <w:t>Upgrade Programme)</w:t>
      </w:r>
    </w:p>
    <w:p w14:paraId="02851AE4" w14:textId="28A172AF" w:rsidR="00C0111D" w:rsidRPr="00C0111D" w:rsidRDefault="00C0111D" w:rsidP="000269D7">
      <w:pPr>
        <w:pStyle w:val="Bullet"/>
      </w:pPr>
      <w:r w:rsidRPr="00C0111D">
        <w:t xml:space="preserve">central-local government infrastructure agreements (such as </w:t>
      </w:r>
      <w:r w:rsidR="00710C09">
        <w:t xml:space="preserve">the </w:t>
      </w:r>
      <w:r w:rsidRPr="00C0111D">
        <w:t xml:space="preserve">Auckland Transport Alignment Project). </w:t>
      </w:r>
    </w:p>
    <w:p w14:paraId="47654836" w14:textId="41D055AD" w:rsidR="00C0111D" w:rsidRPr="00C0111D" w:rsidRDefault="00C0111D" w:rsidP="007F3426">
      <w:pPr>
        <w:pStyle w:val="BodyText"/>
      </w:pPr>
      <w:r w:rsidRPr="00C0111D">
        <w:t>It is difficult to determine a walkable catchment for a rapid transit stop before the exact location of a stop has been determined</w:t>
      </w:r>
      <w:r w:rsidR="00041F8B">
        <w:t xml:space="preserve">. Determining </w:t>
      </w:r>
      <w:r w:rsidR="000269D7">
        <w:t>the</w:t>
      </w:r>
      <w:r w:rsidR="00041F8B">
        <w:t xml:space="preserve"> walkable catchment requires you to assess </w:t>
      </w:r>
      <w:r w:rsidRPr="00C0111D">
        <w:t>the optimal corridor</w:t>
      </w:r>
      <w:r w:rsidR="00041F8B">
        <w:t xml:space="preserve"> and/or </w:t>
      </w:r>
      <w:r w:rsidRPr="00C0111D">
        <w:t>location for a stop</w:t>
      </w:r>
      <w:r w:rsidR="00041F8B">
        <w:t>,</w:t>
      </w:r>
      <w:r w:rsidRPr="00C0111D">
        <w:t xml:space="preserve"> including the potential for uplift, structure planning, transport network planning</w:t>
      </w:r>
      <w:r w:rsidR="00085E3A">
        <w:t xml:space="preserve"> and </w:t>
      </w:r>
      <w:r w:rsidRPr="00C0111D">
        <w:t xml:space="preserve">detailed design work. Therefore, it is essential </w:t>
      </w:r>
      <w:r w:rsidR="00710C09">
        <w:t>you</w:t>
      </w:r>
      <w:r w:rsidRPr="00C0111D">
        <w:t xml:space="preserve"> ensure transport planning for public transport and active modes</w:t>
      </w:r>
      <w:r w:rsidR="00041F8B">
        <w:t xml:space="preserve"> is done in an</w:t>
      </w:r>
      <w:r w:rsidRPr="00C0111D">
        <w:t xml:space="preserve"> integrated and iterative </w:t>
      </w:r>
      <w:r w:rsidR="00041F8B">
        <w:t>way</w:t>
      </w:r>
      <w:r w:rsidR="00041F8B" w:rsidRPr="00C0111D">
        <w:t xml:space="preserve"> </w:t>
      </w:r>
      <w:r w:rsidRPr="00C0111D">
        <w:t xml:space="preserve">alongside land-use planning. This will be especially pertinent when considering the requirements of the NPS-UD intensification provisions, in both greenfield areas </w:t>
      </w:r>
      <w:r w:rsidR="00041F8B">
        <w:t>and</w:t>
      </w:r>
      <w:r w:rsidRPr="00C0111D">
        <w:t xml:space="preserve"> existing urban areas.</w:t>
      </w:r>
    </w:p>
    <w:p w14:paraId="13901FFB" w14:textId="77777777" w:rsidR="00C0111D" w:rsidRPr="00C0111D" w:rsidRDefault="00C0111D" w:rsidP="00611C1E">
      <w:pPr>
        <w:pStyle w:val="Heading4"/>
        <w:rPr>
          <w:rFonts w:eastAsiaTheme="minorEastAsia"/>
        </w:rPr>
      </w:pPr>
      <w:r w:rsidRPr="00C0111D">
        <w:rPr>
          <w:rFonts w:eastAsiaTheme="minorEastAsia"/>
        </w:rPr>
        <w:t>Edge of city centre and metropolitan centre zones</w:t>
      </w:r>
    </w:p>
    <w:p w14:paraId="1B279AEE" w14:textId="6D3B09EA" w:rsidR="00C0111D" w:rsidRPr="00C0111D" w:rsidRDefault="00C0111D" w:rsidP="007F3426">
      <w:pPr>
        <w:pStyle w:val="BodyText"/>
      </w:pPr>
      <w:r w:rsidRPr="00C0111D">
        <w:t xml:space="preserve">Intensification will also need to be enabled within walkable catchments on the edge of city centre and metropolitan centre zones. For this, the ‘edge’ of the zone could be defined as the outside edge of the parcels, or groups of parcels, zoned as either city centre zone or metropolitan centre zone, including any streets or open space that may be within that area. An example is shown in Figure </w:t>
      </w:r>
      <w:r w:rsidR="00625402" w:rsidRPr="000269D7">
        <w:t>5</w:t>
      </w:r>
      <w:r w:rsidRPr="00C0111D">
        <w:t>.</w:t>
      </w:r>
    </w:p>
    <w:p w14:paraId="596F5F85" w14:textId="10D8C743" w:rsidR="00C0111D" w:rsidRDefault="00625402" w:rsidP="00611C1E">
      <w:pPr>
        <w:pStyle w:val="Figureheading"/>
      </w:pPr>
      <w:bookmarkStart w:id="46" w:name="_Toc51240491"/>
      <w:r>
        <w:lastRenderedPageBreak/>
        <w:t>Figure 5</w:t>
      </w:r>
      <w:r w:rsidR="00C0111D" w:rsidRPr="00C0111D">
        <w:t>: Example of edge of metropolitan centre zone</w:t>
      </w:r>
      <w:bookmarkEnd w:id="46"/>
    </w:p>
    <w:p w14:paraId="20B060F6" w14:textId="3CD7C481" w:rsidR="00C0111D" w:rsidRPr="00C0111D" w:rsidRDefault="00C0111D" w:rsidP="007F3426">
      <w:pPr>
        <w:pStyle w:val="BodyText"/>
      </w:pPr>
      <w:r w:rsidRPr="00C0111D">
        <w:t xml:space="preserve"> </w:t>
      </w:r>
      <w:r w:rsidR="0070523B">
        <w:rPr>
          <w:noProof/>
        </w:rPr>
        <w:drawing>
          <wp:inline distT="0" distB="0" distL="0" distR="0" wp14:anchorId="3C9A56A4" wp14:editId="5CFA8285">
            <wp:extent cx="5400000" cy="3542034"/>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 - Example of edge of metro centre zone FINAL.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00" cy="3542034"/>
                    </a:xfrm>
                    <a:prstGeom prst="rect">
                      <a:avLst/>
                    </a:prstGeom>
                  </pic:spPr>
                </pic:pic>
              </a:graphicData>
            </a:graphic>
          </wp:inline>
        </w:drawing>
      </w:r>
    </w:p>
    <w:p w14:paraId="5C9E7576" w14:textId="28C91C11" w:rsidR="00C0111D" w:rsidRPr="00C0111D" w:rsidRDefault="00A04635" w:rsidP="00611C1E">
      <w:pPr>
        <w:pStyle w:val="Heading3"/>
        <w:rPr>
          <w:rFonts w:eastAsiaTheme="minorEastAsia"/>
        </w:rPr>
      </w:pPr>
      <w:bookmarkStart w:id="47" w:name="_Toc50720788"/>
      <w:r>
        <w:rPr>
          <w:rFonts w:eastAsiaTheme="minorEastAsia"/>
        </w:rPr>
        <w:t>5</w:t>
      </w:r>
      <w:r w:rsidR="00C0111D" w:rsidRPr="00C0111D">
        <w:rPr>
          <w:rFonts w:eastAsiaTheme="minorEastAsia"/>
        </w:rPr>
        <w:t>.5.2</w:t>
      </w:r>
      <w:r w:rsidR="00C0111D" w:rsidRPr="00C0111D">
        <w:rPr>
          <w:rFonts w:eastAsiaTheme="minorEastAsia"/>
        </w:rPr>
        <w:tab/>
        <w:t>Size of walkable catchments</w:t>
      </w:r>
      <w:bookmarkEnd w:id="47"/>
    </w:p>
    <w:p w14:paraId="460D1E63" w14:textId="2DA6C063" w:rsidR="00C0111D" w:rsidRPr="00C0111D" w:rsidRDefault="00C0111D" w:rsidP="007F3426">
      <w:pPr>
        <w:pStyle w:val="BodyText"/>
      </w:pPr>
      <w:r w:rsidRPr="00C0111D">
        <w:t xml:space="preserve">The walkability of a neighbourhood is determined by a range of factors. The general rule used by many organisations, including </w:t>
      </w:r>
      <w:r w:rsidR="00E072CD">
        <w:t xml:space="preserve">by </w:t>
      </w:r>
      <w:r w:rsidRPr="00C0111D">
        <w:t>the Ministry for Environment</w:t>
      </w:r>
      <w:r w:rsidR="00E072CD">
        <w:t xml:space="preserve">’s </w:t>
      </w:r>
      <w:hyperlink r:id="rId23" w:history="1">
        <w:r w:rsidR="00E072CD" w:rsidRPr="000D35C0">
          <w:rPr>
            <w:rStyle w:val="Hyperlink"/>
            <w:b/>
          </w:rPr>
          <w:t>U</w:t>
        </w:r>
        <w:r w:rsidRPr="000D35C0">
          <w:rPr>
            <w:rStyle w:val="Hyperlink"/>
            <w:b/>
          </w:rPr>
          <w:t xml:space="preserve">rban Design Toolkit (Third </w:t>
        </w:r>
        <w:r w:rsidR="00E072CD" w:rsidRPr="000D35C0">
          <w:rPr>
            <w:rStyle w:val="Hyperlink"/>
            <w:b/>
          </w:rPr>
          <w:t>e</w:t>
        </w:r>
        <w:r w:rsidRPr="000D35C0">
          <w:rPr>
            <w:rStyle w:val="Hyperlink"/>
            <w:b/>
          </w:rPr>
          <w:t>dition</w:t>
        </w:r>
        <w:r w:rsidRPr="000269D7">
          <w:rPr>
            <w:rStyle w:val="Hyperlink"/>
          </w:rPr>
          <w:t>)</w:t>
        </w:r>
      </w:hyperlink>
      <w:r w:rsidR="00E072CD">
        <w:t>,</w:t>
      </w:r>
      <w:r w:rsidRPr="00C0111D">
        <w:t xml:space="preserve"> is that a walkable catchment is often around 800 metres.</w:t>
      </w:r>
    </w:p>
    <w:p w14:paraId="005392BC" w14:textId="435DC31E" w:rsidR="00C0111D" w:rsidRPr="00C0111D" w:rsidRDefault="00C0111D" w:rsidP="007F3426">
      <w:pPr>
        <w:pStyle w:val="BodyText"/>
      </w:pPr>
      <w:r w:rsidRPr="00C0111D">
        <w:t>The 800</w:t>
      </w:r>
      <w:r w:rsidR="00085E3A">
        <w:t>-</w:t>
      </w:r>
      <w:r w:rsidRPr="00C0111D">
        <w:t>metre distance was determined by assuming most people would be happy to walk 10 minutes to access services and amenities,</w:t>
      </w:r>
      <w:r w:rsidR="00085E3A">
        <w:t xml:space="preserve"> and</w:t>
      </w:r>
      <w:r w:rsidRPr="00C0111D">
        <w:t xml:space="preserve"> that they walk at a walking speed averaging 1.3 metres per second across the journey (Munro, 2009). The vast majority of people walk at speeds between 0.8 metres per second and 1.8 </w:t>
      </w:r>
      <w:r w:rsidR="00E072CD">
        <w:t>metres per second</w:t>
      </w:r>
      <w:r w:rsidRPr="00C0111D">
        <w:t xml:space="preserve"> (2.9 kilometres per hour and 6.5 </w:t>
      </w:r>
      <w:r w:rsidR="00E072CD">
        <w:t>kilometres per hour</w:t>
      </w:r>
      <w:r w:rsidRPr="00C0111D">
        <w:t>) (</w:t>
      </w:r>
      <w:r w:rsidR="00E072CD">
        <w:t>New Zealand</w:t>
      </w:r>
      <w:r w:rsidR="00E072CD" w:rsidRPr="00C0111D">
        <w:t xml:space="preserve"> </w:t>
      </w:r>
      <w:r w:rsidRPr="00C0111D">
        <w:t xml:space="preserve">Transport Agency, 2009). Australian </w:t>
      </w:r>
      <w:r w:rsidR="00E072CD">
        <w:t>s</w:t>
      </w:r>
      <w:r w:rsidRPr="00C0111D">
        <w:t xml:space="preserve">tate </w:t>
      </w:r>
      <w:r w:rsidR="00E072CD">
        <w:t>g</w:t>
      </w:r>
      <w:r w:rsidRPr="00C0111D">
        <w:t>overnment policies and</w:t>
      </w:r>
      <w:r w:rsidR="00E072CD">
        <w:t xml:space="preserve"> </w:t>
      </w:r>
      <w:r w:rsidRPr="00C0111D">
        <w:t>the Ministry for the Environmen</w:t>
      </w:r>
      <w:r w:rsidR="00E072CD">
        <w:t xml:space="preserve">t’s </w:t>
      </w:r>
      <w:r w:rsidR="00FA2C63">
        <w:t>toolkit</w:t>
      </w:r>
      <w:r w:rsidR="00E072CD">
        <w:t xml:space="preserve"> for urban design </w:t>
      </w:r>
      <w:r w:rsidRPr="00C0111D">
        <w:t xml:space="preserve">consider pedsheds (another term for walkable catchment) to be within a five- to 10-minute walk of an activity, node or urban amenity (Allen, 2018). </w:t>
      </w:r>
    </w:p>
    <w:p w14:paraId="2130F6D0" w14:textId="0876C257" w:rsidR="00C0111D" w:rsidRPr="00C0111D" w:rsidRDefault="00C0111D" w:rsidP="007F3426">
      <w:pPr>
        <w:pStyle w:val="BodyText"/>
      </w:pPr>
      <w:r w:rsidRPr="00C0111D">
        <w:t xml:space="preserve">While the </w:t>
      </w:r>
      <w:r w:rsidR="00085E3A">
        <w:t>800-metre</w:t>
      </w:r>
      <w:r w:rsidRPr="00C0111D">
        <w:t xml:space="preserve"> catchment may be a good starting point, the draw of certain amenities will influence how far people are willing to walk to access them</w:t>
      </w:r>
      <w:r w:rsidR="00E072CD">
        <w:t>,</w:t>
      </w:r>
      <w:r w:rsidR="00085E3A">
        <w:t xml:space="preserve"> and </w:t>
      </w:r>
      <w:r w:rsidRPr="00C0111D">
        <w:t xml:space="preserve">is likely to influence the size of a walkable catchment. While walkable catchments of 400 to 800 metres will be suitable for most tier 1 urban environments, it may be appropriate for larger tier 1 urban environments to consider greater distances in some situations. </w:t>
      </w:r>
      <w:r w:rsidR="00E072CD">
        <w:t xml:space="preserve">For example, </w:t>
      </w:r>
      <w:r w:rsidRPr="00C0111D">
        <w:t>where rapid transit is of high frequency, there is potential for higher densities</w:t>
      </w:r>
      <w:r w:rsidR="00085E3A">
        <w:t xml:space="preserve"> and </w:t>
      </w:r>
      <w:r w:rsidRPr="00C0111D">
        <w:t xml:space="preserve">other factors such as high amenity along adjacent </w:t>
      </w:r>
      <w:r w:rsidR="00E072CD">
        <w:t>main</w:t>
      </w:r>
      <w:r w:rsidR="00E072CD" w:rsidRPr="00C0111D">
        <w:t xml:space="preserve"> </w:t>
      </w:r>
      <w:r w:rsidRPr="00C0111D">
        <w:t xml:space="preserve">routes and corridors. </w:t>
      </w:r>
    </w:p>
    <w:p w14:paraId="6E794C19" w14:textId="341CC40F" w:rsidR="00C0111D" w:rsidRPr="00C0111D" w:rsidRDefault="00C0111D" w:rsidP="007F3426">
      <w:pPr>
        <w:pStyle w:val="BodyText"/>
      </w:pPr>
      <w:r w:rsidRPr="00C0111D">
        <w:t xml:space="preserve">Research in Auckland of pedestrians’ trips to train stations (rapid transit stops) showed </w:t>
      </w:r>
      <w:r w:rsidR="004059ED">
        <w:t>half</w:t>
      </w:r>
      <w:r w:rsidRPr="00C0111D">
        <w:t xml:space="preserve"> of </w:t>
      </w:r>
      <w:r w:rsidR="004059ED">
        <w:t xml:space="preserve">the </w:t>
      </w:r>
      <w:r w:rsidRPr="00C0111D">
        <w:t>people surveyed walk</w:t>
      </w:r>
      <w:r w:rsidR="00E072CD">
        <w:t>ed</w:t>
      </w:r>
      <w:r w:rsidRPr="00C0111D">
        <w:t xml:space="preserve"> further than 800 metres to a train station. Using this information, Auckland Transport suggest</w:t>
      </w:r>
      <w:r w:rsidR="00965090">
        <w:t>ed</w:t>
      </w:r>
      <w:r w:rsidRPr="00C0111D">
        <w:t xml:space="preserve"> a range </w:t>
      </w:r>
      <w:r w:rsidR="00965090">
        <w:t>of</w:t>
      </w:r>
      <w:r w:rsidR="00965090" w:rsidRPr="00C0111D">
        <w:t xml:space="preserve"> </w:t>
      </w:r>
      <w:r w:rsidRPr="00C0111D">
        <w:t>sizes for desirable walkable catchments for town and neighbourhood centres and amenities</w:t>
      </w:r>
      <w:r w:rsidR="00965090">
        <w:t xml:space="preserve">. These ranged </w:t>
      </w:r>
      <w:r w:rsidRPr="00C0111D">
        <w:t>from 400 metres (a five</w:t>
      </w:r>
      <w:r w:rsidR="00965090">
        <w:t>-</w:t>
      </w:r>
      <w:r w:rsidRPr="00C0111D">
        <w:t xml:space="preserve"> to </w:t>
      </w:r>
      <w:r w:rsidR="00965090">
        <w:t>10-</w:t>
      </w:r>
      <w:r w:rsidRPr="00C0111D">
        <w:t xml:space="preserve">minute walk), </w:t>
      </w:r>
      <w:r w:rsidR="00965090">
        <w:t xml:space="preserve">and </w:t>
      </w:r>
      <w:r w:rsidRPr="00C0111D">
        <w:t>1000 metres or a 20</w:t>
      </w:r>
      <w:r w:rsidR="00965090">
        <w:t>-</w:t>
      </w:r>
      <w:r w:rsidRPr="00C0111D">
        <w:t xml:space="preserve">minute walk for town centres and rapid transit stops, to 1200 metres for intermediate or high schools (Auckland Transport, 2018). </w:t>
      </w:r>
    </w:p>
    <w:p w14:paraId="3E694EB2" w14:textId="1FE6323B" w:rsidR="00C0111D" w:rsidRPr="00C0111D" w:rsidRDefault="00A04635" w:rsidP="00611C1E">
      <w:pPr>
        <w:pStyle w:val="Heading3"/>
        <w:rPr>
          <w:rFonts w:eastAsiaTheme="minorEastAsia"/>
        </w:rPr>
      </w:pPr>
      <w:bookmarkStart w:id="48" w:name="_Toc50720789"/>
      <w:r>
        <w:rPr>
          <w:rFonts w:eastAsiaTheme="minorEastAsia"/>
        </w:rPr>
        <w:lastRenderedPageBreak/>
        <w:t>5</w:t>
      </w:r>
      <w:r w:rsidR="00C0111D" w:rsidRPr="00C0111D">
        <w:rPr>
          <w:rFonts w:eastAsiaTheme="minorEastAsia"/>
        </w:rPr>
        <w:t>.5.3</w:t>
      </w:r>
      <w:r w:rsidR="00C0111D" w:rsidRPr="00C0111D">
        <w:rPr>
          <w:rFonts w:eastAsiaTheme="minorEastAsia"/>
        </w:rPr>
        <w:tab/>
        <w:t>Different locations will have different</w:t>
      </w:r>
      <w:r w:rsidR="00965090">
        <w:rPr>
          <w:rFonts w:eastAsiaTheme="minorEastAsia"/>
        </w:rPr>
        <w:t>-</w:t>
      </w:r>
      <w:r w:rsidR="00C0111D" w:rsidRPr="00C0111D">
        <w:rPr>
          <w:rFonts w:eastAsiaTheme="minorEastAsia"/>
        </w:rPr>
        <w:t>sized walkable catchments</w:t>
      </w:r>
      <w:bookmarkEnd w:id="48"/>
    </w:p>
    <w:p w14:paraId="68FCE6FE" w14:textId="58115B30" w:rsidR="00C0111D" w:rsidRPr="00C0111D" w:rsidRDefault="00C0111D" w:rsidP="007F3426">
      <w:pPr>
        <w:pStyle w:val="BodyText"/>
      </w:pPr>
      <w:r w:rsidRPr="00C0111D">
        <w:t>Not all places are equal</w:t>
      </w:r>
      <w:r w:rsidR="00085E3A">
        <w:t xml:space="preserve"> and</w:t>
      </w:r>
      <w:r w:rsidRPr="00C0111D">
        <w:t xml:space="preserve"> different locations with different characteristics may often have different</w:t>
      </w:r>
      <w:r w:rsidR="00965090">
        <w:t>-</w:t>
      </w:r>
      <w:r w:rsidRPr="00C0111D">
        <w:t xml:space="preserve">sized walkable catchments. </w:t>
      </w:r>
      <w:r w:rsidR="00965090">
        <w:t>We should expect w</w:t>
      </w:r>
      <w:r w:rsidRPr="00C0111D">
        <w:t>alkable catchments of rapid transit stops and a city centre to be larger than those of metropolitan centre zones, particularly in larger tier 1 urban environments. This is because city centres are likely to be larger, have more services and amenities</w:t>
      </w:r>
      <w:r w:rsidR="00965090">
        <w:t>,</w:t>
      </w:r>
      <w:r w:rsidR="00085E3A">
        <w:t xml:space="preserve"> and</w:t>
      </w:r>
      <w:r w:rsidRPr="00C0111D">
        <w:t xml:space="preserve"> be </w:t>
      </w:r>
      <w:r w:rsidR="00965090">
        <w:t>better</w:t>
      </w:r>
      <w:r w:rsidR="00965090" w:rsidRPr="00C0111D">
        <w:t xml:space="preserve"> </w:t>
      </w:r>
      <w:r w:rsidRPr="00C0111D">
        <w:t>connected than a metropolitan centre</w:t>
      </w:r>
      <w:r w:rsidR="00965090">
        <w:t xml:space="preserve">. Also, </w:t>
      </w:r>
      <w:r w:rsidRPr="00C0111D">
        <w:t>the convenience of using rapid transit</w:t>
      </w:r>
      <w:r w:rsidR="00085E3A">
        <w:t xml:space="preserve"> and</w:t>
      </w:r>
      <w:r w:rsidRPr="00C0111D">
        <w:t xml:space="preserve"> the connections that rapid transit services often offer</w:t>
      </w:r>
      <w:r w:rsidR="004059ED">
        <w:t>,</w:t>
      </w:r>
      <w:r w:rsidRPr="00C0111D">
        <w:t xml:space="preserve"> mean people are prepared to travel further to use them than other modes of public or active transport.</w:t>
      </w:r>
    </w:p>
    <w:p w14:paraId="4936806E" w14:textId="1212C0DC" w:rsidR="00C0111D" w:rsidRPr="00C0111D" w:rsidRDefault="00C0111D" w:rsidP="007F3426">
      <w:pPr>
        <w:pStyle w:val="BodyText"/>
      </w:pPr>
      <w:r w:rsidRPr="00C0111D">
        <w:t xml:space="preserve">The </w:t>
      </w:r>
      <w:r w:rsidR="00965090">
        <w:t xml:space="preserve">centre’s </w:t>
      </w:r>
      <w:r w:rsidRPr="00C0111D">
        <w:t>size can also</w:t>
      </w:r>
      <w:r w:rsidR="00965090">
        <w:t xml:space="preserve"> affect the size of the catchment. For example, </w:t>
      </w:r>
      <w:r w:rsidRPr="00C0111D">
        <w:t xml:space="preserve">a </w:t>
      </w:r>
      <w:r w:rsidR="00965090">
        <w:t xml:space="preserve">smaller </w:t>
      </w:r>
      <w:r w:rsidRPr="00C0111D">
        <w:t xml:space="preserve">metropolitan centre with </w:t>
      </w:r>
      <w:r w:rsidR="00FD047C">
        <w:t>fewer</w:t>
      </w:r>
      <w:r w:rsidR="00FD047C" w:rsidRPr="00C0111D">
        <w:t xml:space="preserve"> </w:t>
      </w:r>
      <w:r w:rsidRPr="00C0111D">
        <w:t xml:space="preserve">services and amenities than a larger </w:t>
      </w:r>
      <w:r w:rsidR="00965090">
        <w:t>centre</w:t>
      </w:r>
      <w:r w:rsidRPr="00C0111D">
        <w:t>, will also</w:t>
      </w:r>
      <w:r w:rsidR="00965090">
        <w:t xml:space="preserve"> be</w:t>
      </w:r>
      <w:r w:rsidRPr="00C0111D">
        <w:t xml:space="preserve"> likely </w:t>
      </w:r>
      <w:r w:rsidR="00965090">
        <w:t xml:space="preserve">to </w:t>
      </w:r>
      <w:r w:rsidRPr="00C0111D">
        <w:t xml:space="preserve">have a smaller walkable catchment. Additionally, a city or a metropolitan centre </w:t>
      </w:r>
      <w:r w:rsidR="00965090">
        <w:t xml:space="preserve">with </w:t>
      </w:r>
      <w:r w:rsidRPr="00C0111D">
        <w:t>a rapid transit stop located within or close by</w:t>
      </w:r>
      <w:r w:rsidR="00965090">
        <w:t>,</w:t>
      </w:r>
      <w:r w:rsidRPr="00C0111D">
        <w:t xml:space="preserve"> is also likely to have a larger </w:t>
      </w:r>
      <w:r w:rsidR="00965090">
        <w:t xml:space="preserve">walkable </w:t>
      </w:r>
      <w:r w:rsidRPr="00C0111D">
        <w:t xml:space="preserve">catchment than </w:t>
      </w:r>
      <w:r w:rsidR="00965090">
        <w:t xml:space="preserve">a centre without a </w:t>
      </w:r>
      <w:r w:rsidR="00FD047C">
        <w:t>rapid transit stop.</w:t>
      </w:r>
    </w:p>
    <w:p w14:paraId="4AE9D3DA" w14:textId="5096E823" w:rsidR="00C0111D" w:rsidRPr="00C0111D" w:rsidRDefault="00C0111D" w:rsidP="007F3426">
      <w:pPr>
        <w:pStyle w:val="BodyText"/>
      </w:pPr>
      <w:r w:rsidRPr="00C0111D">
        <w:t xml:space="preserve">Although it is up to each local authority to determine the size of walkable catchments appropriate for local circumstances, </w:t>
      </w:r>
      <w:r w:rsidR="00965090">
        <w:t xml:space="preserve">we offer </w:t>
      </w:r>
      <w:r w:rsidRPr="00C0111D">
        <w:t>the following recommendations</w:t>
      </w:r>
      <w:r w:rsidR="00965090">
        <w:t xml:space="preserve"> </w:t>
      </w:r>
      <w:r w:rsidRPr="00C0111D">
        <w:t>consistent with long</w:t>
      </w:r>
      <w:r w:rsidR="00965090">
        <w:t>-</w:t>
      </w:r>
      <w:r w:rsidRPr="00C0111D">
        <w:t xml:space="preserve">standing academic and international best practice: </w:t>
      </w:r>
    </w:p>
    <w:p w14:paraId="07712E83" w14:textId="559A417A" w:rsidR="00C0111D" w:rsidRPr="00C0111D" w:rsidRDefault="00C0111D" w:rsidP="000D494E">
      <w:pPr>
        <w:pStyle w:val="Numberedparagraph"/>
        <w:numPr>
          <w:ilvl w:val="0"/>
          <w:numId w:val="20"/>
        </w:numPr>
        <w:ind w:left="426" w:hanging="426"/>
      </w:pPr>
      <w:r w:rsidRPr="00C0111D">
        <w:t>A distance of 800 metres from each main entrance to a transit stop is considered a minimum walkable catchment in all urban areas</w:t>
      </w:r>
      <w:r w:rsidR="00965090">
        <w:t>.</w:t>
      </w:r>
    </w:p>
    <w:p w14:paraId="1C1202AD" w14:textId="7944E090" w:rsidR="00C0111D" w:rsidRPr="00C0111D" w:rsidRDefault="00C0111D" w:rsidP="006A1F4B">
      <w:pPr>
        <w:pStyle w:val="Numberedparagraph"/>
      </w:pPr>
      <w:r w:rsidRPr="00C0111D">
        <w:t xml:space="preserve">For larger tier 2 and all tier 1 </w:t>
      </w:r>
      <w:r w:rsidR="00965090">
        <w:t xml:space="preserve">local </w:t>
      </w:r>
      <w:r w:rsidRPr="00C0111D">
        <w:t xml:space="preserve">authorities, </w:t>
      </w:r>
      <w:r w:rsidR="00965090">
        <w:t>we suggest</w:t>
      </w:r>
      <w:r w:rsidRPr="00C0111D">
        <w:t xml:space="preserve"> this threshold is extended further to account for local factors that include:</w:t>
      </w:r>
    </w:p>
    <w:p w14:paraId="79FD6B54" w14:textId="47474A5A" w:rsidR="00C0111D" w:rsidRPr="00C0111D" w:rsidRDefault="00716756" w:rsidP="006A1F4B">
      <w:pPr>
        <w:pStyle w:val="Bullet"/>
        <w:tabs>
          <w:tab w:val="clear" w:pos="397"/>
          <w:tab w:val="left" w:pos="709"/>
        </w:tabs>
        <w:ind w:left="709" w:hanging="283"/>
        <w:rPr>
          <w:rFonts w:eastAsiaTheme="minorEastAsia"/>
        </w:rPr>
      </w:pPr>
      <w:r>
        <w:rPr>
          <w:rFonts w:eastAsiaTheme="minorEastAsia"/>
        </w:rPr>
        <w:t>S</w:t>
      </w:r>
      <w:r w:rsidR="00C0111D" w:rsidRPr="00C0111D">
        <w:rPr>
          <w:rFonts w:eastAsiaTheme="minorEastAsia"/>
        </w:rPr>
        <w:t>treet layout – are the streets laid out in a grid, or well connected through footpaths and open space that permit easier connectivity?</w:t>
      </w:r>
    </w:p>
    <w:p w14:paraId="0A0B7679" w14:textId="6E6A4372" w:rsidR="00C0111D" w:rsidRPr="00C0111D" w:rsidRDefault="00716756" w:rsidP="006A1F4B">
      <w:pPr>
        <w:pStyle w:val="Bullet"/>
        <w:tabs>
          <w:tab w:val="clear" w:pos="397"/>
          <w:tab w:val="left" w:pos="709"/>
        </w:tabs>
        <w:ind w:left="709" w:hanging="283"/>
        <w:rPr>
          <w:rFonts w:eastAsiaTheme="minorEastAsia"/>
        </w:rPr>
      </w:pPr>
      <w:r>
        <w:rPr>
          <w:rFonts w:eastAsiaTheme="minorEastAsia"/>
        </w:rPr>
        <w:t>S</w:t>
      </w:r>
      <w:r w:rsidR="00C0111D" w:rsidRPr="00C0111D">
        <w:rPr>
          <w:rFonts w:eastAsiaTheme="minorEastAsia"/>
        </w:rPr>
        <w:t>everance – are major pieces of infrastructure or natural landscape interrupting or channelling convenient pedestrian movement?</w:t>
      </w:r>
    </w:p>
    <w:p w14:paraId="74CCA44B" w14:textId="4D175C8C" w:rsidR="00C0111D" w:rsidRPr="00C0111D" w:rsidRDefault="00716756" w:rsidP="006A1F4B">
      <w:pPr>
        <w:pStyle w:val="Bullet"/>
        <w:tabs>
          <w:tab w:val="clear" w:pos="397"/>
          <w:tab w:val="left" w:pos="709"/>
        </w:tabs>
        <w:ind w:left="709" w:hanging="283"/>
        <w:rPr>
          <w:rFonts w:eastAsiaTheme="minorEastAsia"/>
        </w:rPr>
      </w:pPr>
      <w:r>
        <w:rPr>
          <w:rFonts w:eastAsiaTheme="minorEastAsia"/>
        </w:rPr>
        <w:t>T</w:t>
      </w:r>
      <w:r w:rsidR="00C0111D" w:rsidRPr="00C0111D">
        <w:rPr>
          <w:rFonts w:eastAsiaTheme="minorEastAsia"/>
        </w:rPr>
        <w:t>opography – how hilly or steep an area is will affect how easy or difficult it is for people to walk within a period of time</w:t>
      </w:r>
      <w:r>
        <w:rPr>
          <w:rFonts w:eastAsiaTheme="minorEastAsia"/>
        </w:rPr>
        <w:t>.</w:t>
      </w:r>
    </w:p>
    <w:p w14:paraId="69C7D51E" w14:textId="47F4C4F6" w:rsidR="00C0111D" w:rsidRPr="00C0111D" w:rsidRDefault="00716756" w:rsidP="006A1F4B">
      <w:pPr>
        <w:pStyle w:val="Bullet"/>
        <w:tabs>
          <w:tab w:val="clear" w:pos="397"/>
          <w:tab w:val="left" w:pos="709"/>
        </w:tabs>
        <w:ind w:left="709" w:hanging="283"/>
        <w:rPr>
          <w:rFonts w:eastAsiaTheme="minorEastAsia"/>
        </w:rPr>
      </w:pPr>
      <w:r>
        <w:rPr>
          <w:rFonts w:eastAsiaTheme="minorEastAsia"/>
        </w:rPr>
        <w:t>C</w:t>
      </w:r>
      <w:r w:rsidR="00C0111D" w:rsidRPr="00C0111D">
        <w:rPr>
          <w:rFonts w:eastAsiaTheme="minorEastAsia"/>
        </w:rPr>
        <w:t>onnectivity –</w:t>
      </w:r>
      <w:r w:rsidR="009113AC">
        <w:rPr>
          <w:rFonts w:eastAsiaTheme="minorEastAsia"/>
        </w:rPr>
        <w:t xml:space="preserve"> </w:t>
      </w:r>
      <w:r w:rsidR="00C0111D" w:rsidRPr="00C0111D">
        <w:rPr>
          <w:rFonts w:eastAsiaTheme="minorEastAsia"/>
        </w:rPr>
        <w:t>are there footpaths on both sides of the roads? Is there access via pathways that run through reserves and open space? Are there pedestrian crossings?</w:t>
      </w:r>
    </w:p>
    <w:p w14:paraId="3247D41D" w14:textId="00F86963" w:rsidR="00C0111D" w:rsidRPr="00C0111D" w:rsidRDefault="00716756" w:rsidP="006A1F4B">
      <w:pPr>
        <w:pStyle w:val="Bullet"/>
        <w:tabs>
          <w:tab w:val="clear" w:pos="397"/>
          <w:tab w:val="left" w:pos="709"/>
        </w:tabs>
        <w:ind w:left="709" w:hanging="283"/>
        <w:rPr>
          <w:rFonts w:eastAsiaTheme="minorEastAsia"/>
        </w:rPr>
      </w:pPr>
      <w:r>
        <w:rPr>
          <w:rFonts w:eastAsiaTheme="minorEastAsia"/>
        </w:rPr>
        <w:t>U</w:t>
      </w:r>
      <w:r w:rsidR="00C0111D" w:rsidRPr="00C0111D">
        <w:rPr>
          <w:rFonts w:eastAsiaTheme="minorEastAsia"/>
        </w:rPr>
        <w:t xml:space="preserve">rban amenity – what other activities, such as local retail, pharmacy or green space, </w:t>
      </w:r>
      <w:r w:rsidR="00965090">
        <w:rPr>
          <w:rFonts w:eastAsiaTheme="minorEastAsia"/>
        </w:rPr>
        <w:t>exist</w:t>
      </w:r>
      <w:r w:rsidR="00C0111D" w:rsidRPr="00C0111D">
        <w:rPr>
          <w:rFonts w:eastAsiaTheme="minorEastAsia"/>
        </w:rPr>
        <w:t xml:space="preserve"> </w:t>
      </w:r>
      <w:r w:rsidR="00965090">
        <w:rPr>
          <w:rFonts w:eastAsiaTheme="minorEastAsia"/>
        </w:rPr>
        <w:t>in</w:t>
      </w:r>
      <w:r w:rsidR="00965090" w:rsidRPr="00C0111D">
        <w:rPr>
          <w:rFonts w:eastAsiaTheme="minorEastAsia"/>
        </w:rPr>
        <w:t xml:space="preserve"> </w:t>
      </w:r>
      <w:r w:rsidR="00C0111D" w:rsidRPr="00C0111D">
        <w:rPr>
          <w:rFonts w:eastAsiaTheme="minorEastAsia"/>
        </w:rPr>
        <w:t>streets within the extended catchment that would encourage local walking activity and multi-purpose trips?</w:t>
      </w:r>
    </w:p>
    <w:p w14:paraId="08A12BD0" w14:textId="06056CF2" w:rsidR="00C0111D" w:rsidRPr="00C0111D" w:rsidRDefault="00716756" w:rsidP="006A1F4B">
      <w:pPr>
        <w:pStyle w:val="Bullet"/>
        <w:tabs>
          <w:tab w:val="clear" w:pos="397"/>
          <w:tab w:val="left" w:pos="709"/>
        </w:tabs>
        <w:ind w:left="709" w:hanging="283"/>
        <w:rPr>
          <w:rFonts w:eastAsiaTheme="minorEastAsia"/>
        </w:rPr>
      </w:pPr>
      <w:r>
        <w:rPr>
          <w:rFonts w:eastAsiaTheme="minorEastAsia"/>
        </w:rPr>
        <w:t>S</w:t>
      </w:r>
      <w:r w:rsidR="00C0111D" w:rsidRPr="00C0111D">
        <w:rPr>
          <w:rFonts w:eastAsiaTheme="minorEastAsia"/>
        </w:rPr>
        <w:t>treet lighting – are streets well lit</w:t>
      </w:r>
      <w:r>
        <w:rPr>
          <w:rFonts w:eastAsiaTheme="minorEastAsia"/>
        </w:rPr>
        <w:t>,</w:t>
      </w:r>
      <w:r w:rsidR="00C0111D" w:rsidRPr="00C0111D">
        <w:rPr>
          <w:rFonts w:eastAsiaTheme="minorEastAsia"/>
        </w:rPr>
        <w:t xml:space="preserve"> including through local footpath connections, </w:t>
      </w:r>
      <w:r>
        <w:rPr>
          <w:rFonts w:eastAsiaTheme="minorEastAsia"/>
        </w:rPr>
        <w:t>to</w:t>
      </w:r>
      <w:r w:rsidR="00C0111D" w:rsidRPr="00C0111D">
        <w:rPr>
          <w:rFonts w:eastAsiaTheme="minorEastAsia"/>
        </w:rPr>
        <w:t xml:space="preserve"> ensure that vulnerable groups feel secure?</w:t>
      </w:r>
    </w:p>
    <w:p w14:paraId="2A1A84C9" w14:textId="31353350" w:rsidR="00C0111D" w:rsidRPr="00C0111D" w:rsidRDefault="00716756" w:rsidP="006A1F4B">
      <w:pPr>
        <w:pStyle w:val="Bullet"/>
        <w:tabs>
          <w:tab w:val="clear" w:pos="397"/>
          <w:tab w:val="left" w:pos="709"/>
        </w:tabs>
        <w:ind w:left="709" w:hanging="283"/>
        <w:rPr>
          <w:rFonts w:eastAsiaTheme="minorEastAsia"/>
        </w:rPr>
      </w:pPr>
      <w:r>
        <w:rPr>
          <w:rFonts w:eastAsiaTheme="minorEastAsia"/>
        </w:rPr>
        <w:t>P</w:t>
      </w:r>
      <w:r w:rsidR="00C0111D" w:rsidRPr="00C0111D">
        <w:rPr>
          <w:rFonts w:eastAsiaTheme="minorEastAsia"/>
        </w:rPr>
        <w:t>assive security – are footpaths and pedestrian routes overlooked by buildings with active frontages or otherwise designed to meet the security needs of vulnerable groups (noting that increased density can improve passive security</w:t>
      </w:r>
      <w:r>
        <w:rPr>
          <w:rFonts w:eastAsiaTheme="minorEastAsia"/>
        </w:rPr>
        <w:t>)</w:t>
      </w:r>
      <w:r w:rsidR="00C0111D" w:rsidRPr="00C0111D">
        <w:rPr>
          <w:rFonts w:eastAsiaTheme="minorEastAsia"/>
        </w:rPr>
        <w:t>?</w:t>
      </w:r>
    </w:p>
    <w:p w14:paraId="5664CBAA" w14:textId="0DD53F5D" w:rsidR="00C0111D" w:rsidRPr="00C0111D" w:rsidRDefault="00716756" w:rsidP="006A1F4B">
      <w:pPr>
        <w:pStyle w:val="Bullet"/>
        <w:tabs>
          <w:tab w:val="clear" w:pos="397"/>
          <w:tab w:val="left" w:pos="709"/>
        </w:tabs>
        <w:ind w:left="709" w:hanging="283"/>
        <w:rPr>
          <w:rFonts w:eastAsiaTheme="minorEastAsia"/>
        </w:rPr>
      </w:pPr>
      <w:r>
        <w:rPr>
          <w:rFonts w:eastAsiaTheme="minorEastAsia"/>
        </w:rPr>
        <w:t>M</w:t>
      </w:r>
      <w:r w:rsidR="00C0111D" w:rsidRPr="00C0111D">
        <w:rPr>
          <w:rFonts w:eastAsiaTheme="minorEastAsia"/>
        </w:rPr>
        <w:t xml:space="preserve">obility needs – is the street layout and accessible design suitable for those with mobility needs, specifically those using wheelchairs or with pushchairs, those using walking aids and other groups who may not be physically able </w:t>
      </w:r>
      <w:r w:rsidR="004059ED">
        <w:rPr>
          <w:rFonts w:eastAsiaTheme="minorEastAsia"/>
        </w:rPr>
        <w:t xml:space="preserve">to </w:t>
      </w:r>
      <w:r w:rsidR="00C0111D" w:rsidRPr="00C0111D">
        <w:rPr>
          <w:rFonts w:eastAsiaTheme="minorEastAsia"/>
        </w:rPr>
        <w:t>walk as far or as fast?</w:t>
      </w:r>
    </w:p>
    <w:p w14:paraId="73E61EE2" w14:textId="6542B175" w:rsidR="00C0111D" w:rsidRPr="00C0111D" w:rsidRDefault="00716756" w:rsidP="006A1F4B">
      <w:pPr>
        <w:pStyle w:val="Bullet"/>
        <w:tabs>
          <w:tab w:val="clear" w:pos="397"/>
          <w:tab w:val="left" w:pos="709"/>
        </w:tabs>
        <w:ind w:left="709" w:hanging="283"/>
        <w:rPr>
          <w:rFonts w:eastAsiaTheme="minorEastAsia"/>
        </w:rPr>
      </w:pPr>
      <w:r>
        <w:rPr>
          <w:rFonts w:eastAsiaTheme="minorEastAsia"/>
        </w:rPr>
        <w:t>O</w:t>
      </w:r>
      <w:r w:rsidR="00C0111D" w:rsidRPr="00C0111D">
        <w:rPr>
          <w:rFonts w:eastAsiaTheme="minorEastAsia"/>
        </w:rPr>
        <w:t>ther considerations – matters such as traffic light</w:t>
      </w:r>
      <w:r>
        <w:rPr>
          <w:rFonts w:eastAsiaTheme="minorEastAsia"/>
        </w:rPr>
        <w:t>-</w:t>
      </w:r>
      <w:r w:rsidR="00C0111D" w:rsidRPr="00C0111D">
        <w:rPr>
          <w:rFonts w:eastAsiaTheme="minorEastAsia"/>
        </w:rPr>
        <w:t>controlled intersections, especially those that require pedestrians to wait for multiple lights to travel across a road</w:t>
      </w:r>
      <w:r>
        <w:rPr>
          <w:rFonts w:eastAsiaTheme="minorEastAsia"/>
        </w:rPr>
        <w:t>,</w:t>
      </w:r>
      <w:r w:rsidR="00C0111D" w:rsidRPr="00C0111D">
        <w:rPr>
          <w:rFonts w:eastAsiaTheme="minorEastAsia"/>
        </w:rPr>
        <w:t xml:space="preserve"> means a pedestrian’s travel distance in a fixed period of time will be shorter.</w:t>
      </w:r>
    </w:p>
    <w:p w14:paraId="5E3BB40B" w14:textId="387FA762" w:rsidR="00C0111D" w:rsidRPr="00C0111D" w:rsidRDefault="00161F4F" w:rsidP="006A1F4B">
      <w:pPr>
        <w:pStyle w:val="Heading3"/>
        <w:rPr>
          <w:rFonts w:eastAsiaTheme="minorEastAsia"/>
        </w:rPr>
      </w:pPr>
      <w:bookmarkStart w:id="49" w:name="_Toc50720790"/>
      <w:r>
        <w:rPr>
          <w:rFonts w:eastAsiaTheme="minorEastAsia"/>
        </w:rPr>
        <w:lastRenderedPageBreak/>
        <w:t>5</w:t>
      </w:r>
      <w:r w:rsidR="00C0111D" w:rsidRPr="00C0111D">
        <w:rPr>
          <w:rFonts w:eastAsiaTheme="minorEastAsia"/>
        </w:rPr>
        <w:t>.5.4</w:t>
      </w:r>
      <w:r w:rsidR="00C0111D" w:rsidRPr="00C0111D">
        <w:rPr>
          <w:rFonts w:eastAsiaTheme="minorEastAsia"/>
        </w:rPr>
        <w:tab/>
        <w:t>Calculating walkable catchments</w:t>
      </w:r>
      <w:bookmarkEnd w:id="49"/>
    </w:p>
    <w:p w14:paraId="3376F239" w14:textId="3C4D5EF2" w:rsidR="00C0111D" w:rsidRPr="00C0111D" w:rsidRDefault="00C0111D" w:rsidP="007F3426">
      <w:pPr>
        <w:pStyle w:val="BodyText"/>
      </w:pPr>
      <w:r w:rsidRPr="00C0111D">
        <w:t>The most suitable way for tier 1 local authorities to calculate walkable catchments is to use spatial data and GIS. Tier 1</w:t>
      </w:r>
      <w:r w:rsidR="00FD5B56">
        <w:t xml:space="preserve"> local authorities</w:t>
      </w:r>
      <w:r w:rsidRPr="00C0111D">
        <w:t xml:space="preserve"> should have ready access to GIS software, digital road and pedestrian networks</w:t>
      </w:r>
      <w:r w:rsidR="00716756">
        <w:t>,</w:t>
      </w:r>
      <w:r w:rsidRPr="00C0111D">
        <w:t xml:space="preserve"> </w:t>
      </w:r>
      <w:r w:rsidR="00716756">
        <w:t xml:space="preserve">which will </w:t>
      </w:r>
      <w:r w:rsidR="00FD5B56">
        <w:t>enable</w:t>
      </w:r>
      <w:r w:rsidRPr="00C0111D">
        <w:t xml:space="preserve"> a network analysis to determine walkable catchments. </w:t>
      </w:r>
      <w:r w:rsidR="00716756">
        <w:t>If you do not own and maintain your own d</w:t>
      </w:r>
      <w:r w:rsidRPr="00C0111D">
        <w:t xml:space="preserve">igital road network </w:t>
      </w:r>
      <w:r w:rsidR="00716756">
        <w:t>that</w:t>
      </w:r>
      <w:r w:rsidR="00716756" w:rsidRPr="00C0111D">
        <w:t xml:space="preserve"> </w:t>
      </w:r>
      <w:r w:rsidRPr="00C0111D">
        <w:t>include</w:t>
      </w:r>
      <w:r w:rsidR="00716756">
        <w:t>s</w:t>
      </w:r>
      <w:r w:rsidRPr="00C0111D">
        <w:t xml:space="preserve"> pedestrian access information</w:t>
      </w:r>
      <w:r w:rsidR="00716756">
        <w:t xml:space="preserve">, you can purchase these </w:t>
      </w:r>
      <w:r w:rsidRPr="00C0111D">
        <w:t>from a number of commercial providers.</w:t>
      </w:r>
    </w:p>
    <w:p w14:paraId="75374195" w14:textId="475D114C" w:rsidR="00C0111D" w:rsidRPr="00C0111D" w:rsidRDefault="00716756" w:rsidP="007F3426">
      <w:pPr>
        <w:pStyle w:val="BodyText"/>
      </w:pPr>
      <w:r>
        <w:t>You can calculate b</w:t>
      </w:r>
      <w:r w:rsidR="00C0111D" w:rsidRPr="00C0111D">
        <w:t>asic network catchments in GIS software</w:t>
      </w:r>
      <w:r>
        <w:t xml:space="preserve">, </w:t>
      </w:r>
      <w:r w:rsidR="00C0111D" w:rsidRPr="00C0111D">
        <w:t xml:space="preserve">often known as isochrones, although these catchments may not always accurately represent true walkable catchments. An example is shown in Figure </w:t>
      </w:r>
      <w:r>
        <w:t>6</w:t>
      </w:r>
      <w:r w:rsidR="00C0111D" w:rsidRPr="00C0111D">
        <w:t>. Often, digital street and pedestrian networks do not take into account well</w:t>
      </w:r>
      <w:r>
        <w:t>-</w:t>
      </w:r>
      <w:r w:rsidR="00C0111D" w:rsidRPr="00C0111D">
        <w:t>known walking paths</w:t>
      </w:r>
      <w:r>
        <w:t xml:space="preserve"> and/or </w:t>
      </w:r>
      <w:r w:rsidR="00C0111D" w:rsidRPr="00C0111D">
        <w:t>routes, such as those found in public parks</w:t>
      </w:r>
      <w:r w:rsidR="004059ED">
        <w:t>,</w:t>
      </w:r>
      <w:r w:rsidR="00C0111D" w:rsidRPr="00C0111D">
        <w:t xml:space="preserve"> or other shortcuts. </w:t>
      </w:r>
      <w:r>
        <w:t xml:space="preserve">We recommend you </w:t>
      </w:r>
      <w:r w:rsidR="00C0111D" w:rsidRPr="00C0111D">
        <w:t>check these software-generated catchments using other information, such as aerial photography and local knowledge, to ensure their accuracy.</w:t>
      </w:r>
    </w:p>
    <w:p w14:paraId="63DBD8E7" w14:textId="487AB925" w:rsidR="00C0111D" w:rsidRPr="00C0111D" w:rsidRDefault="00C0111D" w:rsidP="006A1F4B">
      <w:pPr>
        <w:pStyle w:val="Figureheading"/>
      </w:pPr>
      <w:bookmarkStart w:id="50" w:name="_Toc51240492"/>
      <w:r w:rsidRPr="00C0111D">
        <w:t xml:space="preserve">Figure </w:t>
      </w:r>
      <w:r w:rsidR="00625402">
        <w:t>6</w:t>
      </w:r>
      <w:r w:rsidRPr="00C0111D">
        <w:t xml:space="preserve">: </w:t>
      </w:r>
      <w:r w:rsidR="006A1F4B">
        <w:tab/>
      </w:r>
      <w:r w:rsidRPr="00C0111D">
        <w:t>Example of ArcGIS generated walkable catchment isochrone for Glen Innes rail station in Auckland (Chung, 2012)</w:t>
      </w:r>
      <w:bookmarkEnd w:id="50"/>
    </w:p>
    <w:p w14:paraId="041D05CA" w14:textId="20AEA9DB" w:rsidR="00C0111D" w:rsidRPr="00C0111D" w:rsidRDefault="006A1F4B" w:rsidP="007F3426">
      <w:pPr>
        <w:pStyle w:val="BodyText"/>
      </w:pPr>
      <w:r w:rsidRPr="00313AC0">
        <w:rPr>
          <w:noProof/>
        </w:rPr>
        <w:drawing>
          <wp:anchor distT="0" distB="0" distL="114300" distR="114300" simplePos="0" relativeHeight="251661312" behindDoc="0" locked="0" layoutInCell="1" allowOverlap="1" wp14:anchorId="468FADB9" wp14:editId="64B716FA">
            <wp:simplePos x="0" y="0"/>
            <wp:positionH relativeFrom="column">
              <wp:posOffset>123825</wp:posOffset>
            </wp:positionH>
            <wp:positionV relativeFrom="paragraph">
              <wp:posOffset>3196590</wp:posOffset>
            </wp:positionV>
            <wp:extent cx="1200150" cy="1705011"/>
            <wp:effectExtent l="0" t="0" r="0"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200150" cy="1705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13AC">
        <w:t xml:space="preserve"> </w:t>
      </w:r>
      <w:r w:rsidRPr="00060155">
        <w:rPr>
          <w:noProof/>
        </w:rPr>
        <w:drawing>
          <wp:inline distT="0" distB="0" distL="0" distR="0" wp14:anchorId="0B03E317" wp14:editId="1EA96300">
            <wp:extent cx="5400040" cy="489988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400040" cy="4899881"/>
                    </a:xfrm>
                    <a:prstGeom prst="rect">
                      <a:avLst/>
                    </a:prstGeom>
                    <a:noFill/>
                    <a:ln>
                      <a:noFill/>
                    </a:ln>
                  </pic:spPr>
                </pic:pic>
              </a:graphicData>
            </a:graphic>
          </wp:inline>
        </w:drawing>
      </w:r>
    </w:p>
    <w:p w14:paraId="6873D120" w14:textId="71DDA152" w:rsidR="00C0111D" w:rsidRPr="00C0111D" w:rsidRDefault="00FD5B56" w:rsidP="007F3426">
      <w:pPr>
        <w:pStyle w:val="BodyText"/>
      </w:pPr>
      <w:r>
        <w:t>You</w:t>
      </w:r>
      <w:r w:rsidR="00C0111D" w:rsidRPr="00C0111D">
        <w:t xml:space="preserve"> may also want to consider using GIS</w:t>
      </w:r>
      <w:r w:rsidR="004059ED">
        <w:t>-</w:t>
      </w:r>
      <w:r w:rsidR="00C0111D" w:rsidRPr="00C0111D">
        <w:t>generated catchments as a guide to creating more formalised walking catchments based on property boundaries. This is because GIS</w:t>
      </w:r>
      <w:r w:rsidR="00716756">
        <w:t>-</w:t>
      </w:r>
      <w:r w:rsidR="00C0111D" w:rsidRPr="00C0111D">
        <w:t xml:space="preserve">generated catchments will often cut across property boundaries, especially where properties are large. One benefit of </w:t>
      </w:r>
      <w:r w:rsidR="00716756">
        <w:t xml:space="preserve">having </w:t>
      </w:r>
      <w:r w:rsidR="00C0111D" w:rsidRPr="00C0111D">
        <w:t>property</w:t>
      </w:r>
      <w:r w:rsidR="00716756">
        <w:t>-</w:t>
      </w:r>
      <w:r w:rsidR="00C0111D" w:rsidRPr="00C0111D">
        <w:t xml:space="preserve">based catchments </w:t>
      </w:r>
      <w:r w:rsidR="00716756">
        <w:t xml:space="preserve">is they </w:t>
      </w:r>
      <w:r w:rsidR="00C0111D" w:rsidRPr="00C0111D">
        <w:t xml:space="preserve">may </w:t>
      </w:r>
      <w:r w:rsidR="00716756">
        <w:t>help</w:t>
      </w:r>
      <w:r w:rsidR="00716756" w:rsidRPr="00C0111D">
        <w:t xml:space="preserve"> </w:t>
      </w:r>
      <w:r w:rsidR="00716756">
        <w:t>later when considering</w:t>
      </w:r>
      <w:r w:rsidR="00716756" w:rsidRPr="00C0111D">
        <w:t xml:space="preserve"> </w:t>
      </w:r>
      <w:r w:rsidR="00C0111D" w:rsidRPr="00C0111D">
        <w:t xml:space="preserve">how </w:t>
      </w:r>
      <w:r w:rsidR="00716756">
        <w:t xml:space="preserve">to zone </w:t>
      </w:r>
      <w:r w:rsidR="00C0111D" w:rsidRPr="00C0111D">
        <w:t xml:space="preserve">properties. Figure </w:t>
      </w:r>
      <w:r w:rsidR="00625402">
        <w:t>7</w:t>
      </w:r>
      <w:r w:rsidR="00C0111D" w:rsidRPr="00C0111D">
        <w:t xml:space="preserve"> </w:t>
      </w:r>
      <w:r w:rsidR="00716756">
        <w:t xml:space="preserve">below </w:t>
      </w:r>
      <w:r w:rsidR="00C0111D" w:rsidRPr="00C0111D">
        <w:t>shows an example of the difference between a GIS</w:t>
      </w:r>
      <w:r w:rsidR="00716756">
        <w:t>-</w:t>
      </w:r>
      <w:r w:rsidR="00C0111D" w:rsidRPr="00C0111D">
        <w:t xml:space="preserve">generated catchment </w:t>
      </w:r>
      <w:r w:rsidR="00C0111D" w:rsidRPr="00C0111D">
        <w:lastRenderedPageBreak/>
        <w:t>(isochrone) and a sense-checked</w:t>
      </w:r>
      <w:r w:rsidR="00716756">
        <w:t>,</w:t>
      </w:r>
      <w:r w:rsidR="00C0111D" w:rsidRPr="00C0111D">
        <w:t xml:space="preserve"> property</w:t>
      </w:r>
      <w:r w:rsidR="00716756">
        <w:t>-</w:t>
      </w:r>
      <w:r w:rsidR="00C0111D" w:rsidRPr="00C0111D">
        <w:t>based catchment.</w:t>
      </w:r>
      <w:r w:rsidR="009113AC">
        <w:t xml:space="preserve"> </w:t>
      </w:r>
      <w:r w:rsidR="00C0111D" w:rsidRPr="00C0111D">
        <w:t xml:space="preserve">This sort of assessment may also show </w:t>
      </w:r>
      <w:r w:rsidR="00716756">
        <w:t xml:space="preserve">where you could establish </w:t>
      </w:r>
      <w:r w:rsidR="00C0111D" w:rsidRPr="00C0111D">
        <w:t xml:space="preserve">future walking connections. </w:t>
      </w:r>
    </w:p>
    <w:p w14:paraId="3E2AA20D" w14:textId="035B5E70" w:rsidR="00C0111D" w:rsidRDefault="00C0111D" w:rsidP="006A1F4B">
      <w:pPr>
        <w:pStyle w:val="Figureheading"/>
      </w:pPr>
      <w:bookmarkStart w:id="51" w:name="_Toc51240493"/>
      <w:r w:rsidRPr="00C0111D">
        <w:t xml:space="preserve">Figure </w:t>
      </w:r>
      <w:r w:rsidR="00625402">
        <w:t>7</w:t>
      </w:r>
      <w:r w:rsidRPr="00C0111D">
        <w:t xml:space="preserve">: </w:t>
      </w:r>
      <w:r w:rsidR="006A1F4B">
        <w:tab/>
      </w:r>
      <w:r w:rsidRPr="00C0111D">
        <w:t>Example of GIS</w:t>
      </w:r>
      <w:r w:rsidR="00716756">
        <w:t>-</w:t>
      </w:r>
      <w:r w:rsidRPr="00C0111D">
        <w:t>generated catchment (isochrone) and property</w:t>
      </w:r>
      <w:r w:rsidR="00716756">
        <w:t>-</w:t>
      </w:r>
      <w:r w:rsidRPr="00C0111D">
        <w:t>based catchment for rapid transit stop</w:t>
      </w:r>
      <w:bookmarkEnd w:id="51"/>
    </w:p>
    <w:p w14:paraId="04979602" w14:textId="5032B0E0" w:rsidR="00C0111D" w:rsidRPr="00C0111D" w:rsidRDefault="00C0111D" w:rsidP="007F3426">
      <w:pPr>
        <w:pStyle w:val="BodyText"/>
      </w:pPr>
      <w:r w:rsidRPr="00C0111D">
        <w:t xml:space="preserve"> </w:t>
      </w:r>
      <w:r w:rsidR="0070523B">
        <w:rPr>
          <w:noProof/>
        </w:rPr>
        <w:drawing>
          <wp:inline distT="0" distB="0" distL="0" distR="0" wp14:anchorId="43B86F5F" wp14:editId="22A9BA04">
            <wp:extent cx="5400000" cy="4908873"/>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7 - Example of GIS-generated catchment.FINAL.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00" cy="4908873"/>
                    </a:xfrm>
                    <a:prstGeom prst="rect">
                      <a:avLst/>
                    </a:prstGeom>
                  </pic:spPr>
                </pic:pic>
              </a:graphicData>
            </a:graphic>
          </wp:inline>
        </w:drawing>
      </w:r>
    </w:p>
    <w:p w14:paraId="49853A19" w14:textId="6CEBE204" w:rsidR="00C0111D" w:rsidRPr="00C0111D" w:rsidRDefault="00C0111D" w:rsidP="007F3426">
      <w:pPr>
        <w:pStyle w:val="BodyText"/>
      </w:pPr>
      <w:r w:rsidRPr="00C0111D">
        <w:t xml:space="preserve">In the past, when complex digital road networks, including pedestrian access and the GIS network modelling tools to analyse them, were limited in availability and functionality, often radial circles from the centre point of an urban centre were used </w:t>
      </w:r>
      <w:r w:rsidR="00995375">
        <w:t xml:space="preserve">as </w:t>
      </w:r>
      <w:r w:rsidRPr="00C0111D">
        <w:t>a proxy for a walkable catchment.</w:t>
      </w:r>
      <w:r w:rsidR="009113AC">
        <w:t xml:space="preserve"> </w:t>
      </w:r>
      <w:r w:rsidRPr="00C0111D">
        <w:t>This technique is known a</w:t>
      </w:r>
      <w:r w:rsidR="00161F4F">
        <w:t xml:space="preserve">s </w:t>
      </w:r>
      <w:r w:rsidR="00161F4F" w:rsidRPr="00FD5B56">
        <w:rPr>
          <w:i/>
        </w:rPr>
        <w:t>pedshed</w:t>
      </w:r>
      <w:r w:rsidR="00161F4F">
        <w:t xml:space="preserve"> </w:t>
      </w:r>
      <w:r w:rsidRPr="00C0111D">
        <w:t xml:space="preserve">analysis. A link to a method </w:t>
      </w:r>
      <w:r w:rsidR="00995375">
        <w:t>for</w:t>
      </w:r>
      <w:r w:rsidR="00995375" w:rsidRPr="00C0111D">
        <w:t xml:space="preserve"> </w:t>
      </w:r>
      <w:r w:rsidRPr="00C0111D">
        <w:t>producing a pedshed by Active Healthy Communities can be found in</w:t>
      </w:r>
      <w:r w:rsidR="000D35C0">
        <w:t xml:space="preserve"> </w:t>
      </w:r>
      <w:hyperlink w:anchor="_Resources" w:history="1">
        <w:r w:rsidR="000D35C0" w:rsidRPr="000D35C0">
          <w:rPr>
            <w:rStyle w:val="Hyperlink"/>
            <w:b/>
          </w:rPr>
          <w:t>Resources</w:t>
        </w:r>
      </w:hyperlink>
      <w:r w:rsidR="001D1620">
        <w:rPr>
          <w:rStyle w:val="Hyperlink"/>
        </w:rPr>
        <w:t>.</w:t>
      </w:r>
    </w:p>
    <w:p w14:paraId="1712BF9B" w14:textId="6D12B223" w:rsidR="00C0111D" w:rsidRPr="00C0111D" w:rsidRDefault="00C0111D" w:rsidP="007F3426">
      <w:pPr>
        <w:pStyle w:val="BodyText"/>
      </w:pPr>
      <w:r w:rsidRPr="00C0111D">
        <w:t>It is common practice to use an 800</w:t>
      </w:r>
      <w:r w:rsidR="00085E3A">
        <w:t>-metre</w:t>
      </w:r>
      <w:r w:rsidRPr="00C0111D">
        <w:t xml:space="preserve"> diameter circle to represent a 10</w:t>
      </w:r>
      <w:r w:rsidR="00995375">
        <w:t>-</w:t>
      </w:r>
      <w:r w:rsidRPr="00C0111D">
        <w:t xml:space="preserve">minute walk for most people in a community. While these circles may have proved to be a useful proxy in the past, they often misrepresented the actual size of </w:t>
      </w:r>
      <w:r w:rsidR="00995375">
        <w:t>a centre’s</w:t>
      </w:r>
      <w:r w:rsidR="00995375" w:rsidRPr="00C0111D">
        <w:t xml:space="preserve"> </w:t>
      </w:r>
      <w:r w:rsidRPr="00C0111D">
        <w:t>walkable catchment</w:t>
      </w:r>
      <w:r w:rsidR="00995375">
        <w:t xml:space="preserve"> – for example, </w:t>
      </w:r>
      <w:r w:rsidRPr="00C0111D">
        <w:t xml:space="preserve">including land that did not effectively form part of the catchment or areas not accessible via the pedestrian network (Munro, 2009). Figure </w:t>
      </w:r>
      <w:r w:rsidR="00625402">
        <w:t>8</w:t>
      </w:r>
      <w:r w:rsidRPr="00C0111D">
        <w:t xml:space="preserve"> </w:t>
      </w:r>
      <w:r w:rsidR="00995375">
        <w:t xml:space="preserve">below </w:t>
      </w:r>
      <w:r w:rsidRPr="00C0111D">
        <w:t>shows the difference in size between a property</w:t>
      </w:r>
      <w:r w:rsidR="00995375">
        <w:t>-</w:t>
      </w:r>
      <w:r w:rsidRPr="00C0111D">
        <w:t>based</w:t>
      </w:r>
      <w:r w:rsidR="00995375">
        <w:t>,</w:t>
      </w:r>
      <w:r w:rsidRPr="00C0111D">
        <w:t xml:space="preserve"> 800</w:t>
      </w:r>
      <w:r w:rsidR="00085E3A">
        <w:t>-metre</w:t>
      </w:r>
      <w:r w:rsidRPr="00C0111D">
        <w:t xml:space="preserve"> walkable catchment and an 800</w:t>
      </w:r>
      <w:r w:rsidR="00085E3A">
        <w:t>-metre</w:t>
      </w:r>
      <w:r w:rsidRPr="00C0111D">
        <w:t xml:space="preserve"> radius circle from a centre point.</w:t>
      </w:r>
    </w:p>
    <w:p w14:paraId="454D4DB6" w14:textId="27DDC201" w:rsidR="00C0111D" w:rsidRDefault="00C0111D" w:rsidP="006A1F4B">
      <w:pPr>
        <w:pStyle w:val="Figureheading"/>
      </w:pPr>
      <w:bookmarkStart w:id="52" w:name="_Toc51240494"/>
      <w:r w:rsidRPr="00C0111D">
        <w:lastRenderedPageBreak/>
        <w:t xml:space="preserve">Figure </w:t>
      </w:r>
      <w:r w:rsidR="00625402">
        <w:t>8</w:t>
      </w:r>
      <w:r w:rsidRPr="00C0111D">
        <w:t xml:space="preserve">: </w:t>
      </w:r>
      <w:r w:rsidR="006A1F4B">
        <w:tab/>
      </w:r>
      <w:r w:rsidRPr="00C0111D">
        <w:t>Example of difference between an 800</w:t>
      </w:r>
      <w:r w:rsidR="00995375">
        <w:t>-</w:t>
      </w:r>
      <w:r w:rsidRPr="00C0111D">
        <w:t xml:space="preserve">m walkable catchment from the edge of </w:t>
      </w:r>
      <w:r w:rsidR="00995375">
        <w:t xml:space="preserve">a </w:t>
      </w:r>
      <w:r w:rsidRPr="00C0111D">
        <w:t>metropolitan centre zone and an 800</w:t>
      </w:r>
      <w:r w:rsidR="00995375">
        <w:t>-</w:t>
      </w:r>
      <w:r w:rsidRPr="00C0111D">
        <w:t xml:space="preserve">m radius circle from </w:t>
      </w:r>
      <w:r w:rsidR="00995375">
        <w:t xml:space="preserve">the </w:t>
      </w:r>
      <w:r w:rsidRPr="00C0111D">
        <w:t>centre of metropolitan centre zone</w:t>
      </w:r>
      <w:bookmarkEnd w:id="52"/>
    </w:p>
    <w:p w14:paraId="41AB25FE" w14:textId="64C1BBB8" w:rsidR="00C0111D" w:rsidRPr="00C0111D" w:rsidRDefault="00C0111D" w:rsidP="007F3426">
      <w:pPr>
        <w:pStyle w:val="BodyText"/>
      </w:pPr>
      <w:r w:rsidRPr="00C0111D">
        <w:t xml:space="preserve"> </w:t>
      </w:r>
      <w:r w:rsidR="0070523B">
        <w:rPr>
          <w:noProof/>
        </w:rPr>
        <w:drawing>
          <wp:inline distT="0" distB="0" distL="0" distR="0" wp14:anchorId="774B6340" wp14:editId="131F6B5F">
            <wp:extent cx="5400000" cy="5219623"/>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8 - Example of difference between 800-m walkable...FINA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00" cy="5219623"/>
                    </a:xfrm>
                    <a:prstGeom prst="rect">
                      <a:avLst/>
                    </a:prstGeom>
                  </pic:spPr>
                </pic:pic>
              </a:graphicData>
            </a:graphic>
          </wp:inline>
        </w:drawing>
      </w:r>
    </w:p>
    <w:p w14:paraId="5BF76F60" w14:textId="3DB615B8" w:rsidR="002F718B" w:rsidRDefault="00C0111D" w:rsidP="007F3426">
      <w:pPr>
        <w:pStyle w:val="BodyText"/>
      </w:pPr>
      <w:r w:rsidRPr="00E23716">
        <w:t>While the use of a pedshed circle</w:t>
      </w:r>
      <w:r w:rsidRPr="00C0111D">
        <w:t xml:space="preserve"> to illustrate catchments can be used to conceptualise locations, </w:t>
      </w:r>
      <w:r w:rsidR="002F718B">
        <w:t>it is</w:t>
      </w:r>
      <w:r w:rsidRPr="00C0111D">
        <w:t xml:space="preserve"> not appropriate for tier 1 local authorities to use as </w:t>
      </w:r>
      <w:r w:rsidR="002F718B">
        <w:t xml:space="preserve">a </w:t>
      </w:r>
      <w:r w:rsidRPr="00C0111D">
        <w:t xml:space="preserve">proxy when considering walkable catchments. However, </w:t>
      </w:r>
      <w:r w:rsidR="002F718B">
        <w:t>this approach</w:t>
      </w:r>
      <w:r w:rsidR="002F718B" w:rsidRPr="00C0111D">
        <w:t xml:space="preserve"> </w:t>
      </w:r>
      <w:r w:rsidRPr="00C0111D">
        <w:t>may be suitable for tier 2 and tier 3 local authorities</w:t>
      </w:r>
      <w:r w:rsidR="002F718B">
        <w:t xml:space="preserve"> with s</w:t>
      </w:r>
      <w:r w:rsidRPr="00C0111D">
        <w:t xml:space="preserve">maller urban environments to understand areas that may be suitable for intensification under Policy 5(a). </w:t>
      </w:r>
    </w:p>
    <w:p w14:paraId="123EFF37" w14:textId="1D8E9BD8" w:rsidR="00C0111D" w:rsidRPr="00C0111D" w:rsidRDefault="00C0111D" w:rsidP="007F3426">
      <w:pPr>
        <w:pStyle w:val="BodyText"/>
      </w:pPr>
      <w:r w:rsidRPr="00C0111D">
        <w:t xml:space="preserve">Local authorities have discretion when determining what radius best matches the likely pedshed based on the local context. </w:t>
      </w:r>
      <w:r w:rsidR="002F718B">
        <w:t>This</w:t>
      </w:r>
      <w:r w:rsidRPr="00C0111D">
        <w:t xml:space="preserve"> may mean</w:t>
      </w:r>
      <w:r w:rsidR="002F718B">
        <w:t>,</w:t>
      </w:r>
      <w:r w:rsidRPr="00C0111D">
        <w:t xml:space="preserve"> in some areas, a smaller radius of 400–600</w:t>
      </w:r>
      <w:r w:rsidR="002F718B">
        <w:t xml:space="preserve"> </w:t>
      </w:r>
      <w:r w:rsidRPr="00C0111D">
        <w:t>m</w:t>
      </w:r>
      <w:r w:rsidR="002F718B">
        <w:t>etres</w:t>
      </w:r>
      <w:r w:rsidRPr="00C0111D">
        <w:t xml:space="preserve">, for example, is appropriate for tier 2 and 3 local authorities. Pedshed analysis of city and town centres could provide a suitable indicator of locations </w:t>
      </w:r>
      <w:r w:rsidR="002F718B">
        <w:t>with</w:t>
      </w:r>
      <w:r w:rsidRPr="00C0111D">
        <w:t xml:space="preserve"> high levels of accessib</w:t>
      </w:r>
      <w:r w:rsidR="002F718B">
        <w:t>ility</w:t>
      </w:r>
      <w:r w:rsidRPr="00C0111D">
        <w:t xml:space="preserve">, especially </w:t>
      </w:r>
      <w:r w:rsidR="002F718B">
        <w:t xml:space="preserve">in terms of </w:t>
      </w:r>
      <w:r w:rsidRPr="00C0111D">
        <w:t>active transport modes to a range of commercial activities and community services. Where possible, we recommend local authorities use a GIS network analysis approach.</w:t>
      </w:r>
    </w:p>
    <w:p w14:paraId="15D1A3AB" w14:textId="77777777" w:rsidR="00C0111D" w:rsidRPr="00C0111D" w:rsidRDefault="00C0111D" w:rsidP="007F3426">
      <w:pPr>
        <w:pStyle w:val="BodyText"/>
      </w:pPr>
    </w:p>
    <w:p w14:paraId="2680A3ED" w14:textId="26EA5D2D" w:rsidR="00C0111D" w:rsidRPr="00C0111D" w:rsidRDefault="00C0111D" w:rsidP="000D494E">
      <w:pPr>
        <w:pStyle w:val="Heading1"/>
        <w:numPr>
          <w:ilvl w:val="0"/>
          <w:numId w:val="22"/>
        </w:numPr>
        <w:ind w:left="709" w:hanging="709"/>
        <w:rPr>
          <w:rFonts w:eastAsiaTheme="minorEastAsia"/>
        </w:rPr>
      </w:pPr>
      <w:bookmarkStart w:id="53" w:name="_Determining_heights_and"/>
      <w:bookmarkStart w:id="54" w:name="_Toc50720791"/>
      <w:bookmarkStart w:id="55" w:name="_Ref51166099"/>
      <w:bookmarkEnd w:id="53"/>
      <w:r w:rsidRPr="00C0111D">
        <w:rPr>
          <w:rFonts w:eastAsiaTheme="minorEastAsia"/>
        </w:rPr>
        <w:lastRenderedPageBreak/>
        <w:t>Determining heights and densities to support implementing the intensification provisions</w:t>
      </w:r>
      <w:bookmarkEnd w:id="54"/>
      <w:bookmarkEnd w:id="55"/>
    </w:p>
    <w:p w14:paraId="301D758B" w14:textId="6ABC1153" w:rsidR="00C0111D" w:rsidRPr="00C0111D" w:rsidRDefault="00C0111D" w:rsidP="007F3426">
      <w:pPr>
        <w:pStyle w:val="BodyText"/>
      </w:pPr>
      <w:r w:rsidRPr="00C0111D">
        <w:t xml:space="preserve">Policies 3 and 5 of the NPS-UD direct the levels and type of intensification that local authorities must enable in urban </w:t>
      </w:r>
      <w:r w:rsidR="00DA5DCF">
        <w:t>environments. The following sub</w:t>
      </w:r>
      <w:r w:rsidR="000D494E">
        <w:t>-</w:t>
      </w:r>
      <w:r w:rsidRPr="00C0111D">
        <w:t>sections step through the different intensification requirements across tier 1, 2 and 3 urban environments</w:t>
      </w:r>
      <w:r w:rsidR="00085E3A">
        <w:t xml:space="preserve"> and</w:t>
      </w:r>
      <w:r w:rsidRPr="00C0111D">
        <w:t xml:space="preserve"> in particular: </w:t>
      </w:r>
    </w:p>
    <w:p w14:paraId="7533230B" w14:textId="05C834B7" w:rsidR="00C0111D" w:rsidRPr="00C0111D" w:rsidRDefault="00C0111D" w:rsidP="006A1F4B">
      <w:pPr>
        <w:pStyle w:val="Bullet"/>
        <w:rPr>
          <w:rFonts w:eastAsiaTheme="minorEastAsia"/>
        </w:rPr>
      </w:pPr>
      <w:r w:rsidRPr="00C0111D">
        <w:rPr>
          <w:rFonts w:eastAsiaTheme="minorEastAsia"/>
        </w:rPr>
        <w:t xml:space="preserve">the anticipated outcomes </w:t>
      </w:r>
    </w:p>
    <w:p w14:paraId="45D45D20" w14:textId="3FFEBA6D" w:rsidR="00C0111D" w:rsidRPr="00C0111D" w:rsidRDefault="002F718B" w:rsidP="006A1F4B">
      <w:pPr>
        <w:pStyle w:val="Bullet"/>
        <w:rPr>
          <w:rFonts w:eastAsiaTheme="minorEastAsia"/>
        </w:rPr>
      </w:pPr>
      <w:r>
        <w:rPr>
          <w:rFonts w:eastAsiaTheme="minorEastAsia"/>
        </w:rPr>
        <w:t>p</w:t>
      </w:r>
      <w:r w:rsidR="00C0111D" w:rsidRPr="00C0111D">
        <w:rPr>
          <w:rFonts w:eastAsiaTheme="minorEastAsia"/>
        </w:rPr>
        <w:t xml:space="preserve">rinciples to consider </w:t>
      </w:r>
    </w:p>
    <w:p w14:paraId="7F055F7A" w14:textId="24DF71F7" w:rsidR="00C0111D" w:rsidRPr="00C0111D" w:rsidRDefault="002F718B" w:rsidP="006A1F4B">
      <w:pPr>
        <w:pStyle w:val="Bullet"/>
        <w:rPr>
          <w:rFonts w:eastAsiaTheme="minorEastAsia"/>
        </w:rPr>
      </w:pPr>
      <w:r>
        <w:rPr>
          <w:rFonts w:eastAsiaTheme="minorEastAsia"/>
        </w:rPr>
        <w:t>h</w:t>
      </w:r>
      <w:r w:rsidR="00C0111D" w:rsidRPr="00C0111D">
        <w:rPr>
          <w:rFonts w:eastAsiaTheme="minorEastAsia"/>
        </w:rPr>
        <w:t xml:space="preserve">igh-level suggestions for how to approach the work required to give effect to these policies. </w:t>
      </w:r>
    </w:p>
    <w:p w14:paraId="0C2CB6C5" w14:textId="07288B94" w:rsidR="00C0111D" w:rsidRPr="00C0111D" w:rsidRDefault="001D1620" w:rsidP="006A1F4B">
      <w:pPr>
        <w:pStyle w:val="Box"/>
      </w:pPr>
      <w:r>
        <w:t>D</w:t>
      </w:r>
      <w:r w:rsidR="00C0111D" w:rsidRPr="00C0111D">
        <w:t xml:space="preserve">istrict plans include a package of controls relating to built form </w:t>
      </w:r>
      <w:r w:rsidR="002F718B">
        <w:t>that</w:t>
      </w:r>
      <w:r w:rsidR="002F718B" w:rsidRPr="00C0111D">
        <w:t xml:space="preserve"> </w:t>
      </w:r>
      <w:r w:rsidR="00C0111D" w:rsidRPr="00C0111D">
        <w:t xml:space="preserve">manage a range of effects. These controls are still relevant when giving effect to the intensification provisions. </w:t>
      </w:r>
    </w:p>
    <w:p w14:paraId="2A6C6954" w14:textId="5A9FF9CF" w:rsidR="00C0111D" w:rsidRPr="00C0111D" w:rsidRDefault="00C0111D" w:rsidP="006A1F4B">
      <w:pPr>
        <w:pStyle w:val="Box"/>
      </w:pPr>
      <w:r w:rsidRPr="00C0111D">
        <w:t>The intensification provisions are not intended to direct local authorities to have no controls</w:t>
      </w:r>
      <w:r w:rsidR="002F718B">
        <w:t>. P</w:t>
      </w:r>
      <w:r w:rsidRPr="00C0111D">
        <w:t xml:space="preserve">lans will still have development controls, however local authorities need to pay careful </w:t>
      </w:r>
      <w:r w:rsidR="002F718B">
        <w:t xml:space="preserve">attention </w:t>
      </w:r>
      <w:r w:rsidRPr="00C0111D">
        <w:t>to controls that affect height and density. If the controls in a plan undermine or restrict the ability to enable intensification as directed</w:t>
      </w:r>
      <w:r w:rsidR="00085E3A">
        <w:t xml:space="preserve"> and</w:t>
      </w:r>
      <w:r w:rsidRPr="00C0111D">
        <w:t xml:space="preserve"> prevent intensification outcomes from being achieved, then those controls need to be reviewed. This does not necessarily mean removing those controls from plans, but carefully reviewing and testing each control to ensure </w:t>
      </w:r>
      <w:r w:rsidR="002F718B">
        <w:t xml:space="preserve">it is </w:t>
      </w:r>
      <w:r w:rsidRPr="00C0111D">
        <w:t>balanced to enable intensification.</w:t>
      </w:r>
    </w:p>
    <w:p w14:paraId="1C11731D" w14:textId="77777777" w:rsidR="00C0111D" w:rsidRPr="00C0111D" w:rsidRDefault="00C0111D" w:rsidP="006A1F4B">
      <w:pPr>
        <w:pStyle w:val="Box"/>
      </w:pPr>
      <w:r w:rsidRPr="00C0111D">
        <w:t xml:space="preserve">None of the intensification requirements are intended to override or undermine good quality urban design or quality urban environments. </w:t>
      </w:r>
    </w:p>
    <w:p w14:paraId="19FA11B7" w14:textId="3F81665F" w:rsidR="00C0111D" w:rsidRPr="00C0111D" w:rsidRDefault="002F718B" w:rsidP="007F3426">
      <w:pPr>
        <w:pStyle w:val="BodyText"/>
      </w:pPr>
      <w:r>
        <w:t>You should read and consider t</w:t>
      </w:r>
      <w:r w:rsidR="00C0111D" w:rsidRPr="00C0111D">
        <w:t xml:space="preserve">he other provisions in the NPS-UD </w:t>
      </w:r>
      <w:r>
        <w:t xml:space="preserve">together </w:t>
      </w:r>
      <w:r w:rsidR="00C0111D" w:rsidRPr="00C0111D">
        <w:t xml:space="preserve">with the intensification requirements. Also, local authorities should continue to ensure the intensification outcomes will support well-functioning urban environments and sensible zoning patterns. ‘Sensible zoning patterns’ refers to zoning </w:t>
      </w:r>
      <w:r>
        <w:t>that</w:t>
      </w:r>
      <w:r w:rsidRPr="00C0111D">
        <w:t xml:space="preserve"> </w:t>
      </w:r>
      <w:r w:rsidR="00C0111D" w:rsidRPr="00C0111D">
        <w:t>takes into account how the package of zones work together</w:t>
      </w:r>
      <w:r>
        <w:t>. R</w:t>
      </w:r>
      <w:r w:rsidR="00C0111D" w:rsidRPr="00C0111D">
        <w:t xml:space="preserve">efer to </w:t>
      </w:r>
      <w:r w:rsidR="00C0111D" w:rsidRPr="00F23D49">
        <w:rPr>
          <w:b/>
          <w:color w:val="32809C"/>
        </w:rPr>
        <w:t xml:space="preserve">section </w:t>
      </w:r>
      <w:r w:rsidR="00BA33E4" w:rsidRPr="00F23D49">
        <w:rPr>
          <w:b/>
          <w:color w:val="32809C"/>
        </w:rPr>
        <w:fldChar w:fldCharType="begin"/>
      </w:r>
      <w:r w:rsidR="00BA33E4" w:rsidRPr="00F23D49">
        <w:rPr>
          <w:b/>
          <w:color w:val="32809C"/>
        </w:rPr>
        <w:instrText xml:space="preserve"> REF _Ref51146375 \h </w:instrText>
      </w:r>
      <w:r w:rsidR="00F23D49" w:rsidRPr="00F23D49">
        <w:rPr>
          <w:b/>
          <w:color w:val="32809C"/>
        </w:rPr>
        <w:instrText xml:space="preserve"> \* MERGEFORMAT </w:instrText>
      </w:r>
      <w:r w:rsidR="00BA33E4" w:rsidRPr="00F23D49">
        <w:rPr>
          <w:b/>
          <w:color w:val="32809C"/>
        </w:rPr>
      </w:r>
      <w:r w:rsidR="00BA33E4" w:rsidRPr="00F23D49">
        <w:rPr>
          <w:b/>
          <w:color w:val="32809C"/>
        </w:rPr>
        <w:fldChar w:fldCharType="separate"/>
      </w:r>
      <w:r w:rsidR="005D2599" w:rsidRPr="005D2599">
        <w:rPr>
          <w:b/>
          <w:color w:val="32809C"/>
        </w:rPr>
        <w:t>6.4</w:t>
      </w:r>
      <w:r w:rsidR="005D2599" w:rsidRPr="009F1328">
        <w:tab/>
        <w:t>Walkable catchments (Policy 3(c))</w:t>
      </w:r>
      <w:r w:rsidR="00BA33E4" w:rsidRPr="00F23D49">
        <w:rPr>
          <w:b/>
          <w:color w:val="32809C"/>
        </w:rPr>
        <w:fldChar w:fldCharType="end"/>
      </w:r>
      <w:r w:rsidR="00F23D49">
        <w:rPr>
          <w:b/>
          <w:color w:val="32809C"/>
        </w:rPr>
        <w:t xml:space="preserve"> </w:t>
      </w:r>
      <w:r w:rsidR="00C0111D" w:rsidRPr="00BA33E4">
        <w:t xml:space="preserve">for </w:t>
      </w:r>
      <w:r w:rsidR="00C0111D" w:rsidRPr="00C0111D">
        <w:t>further detail on this concept.</w:t>
      </w:r>
      <w:r w:rsidR="00A31C99">
        <w:t xml:space="preserve"> </w:t>
      </w:r>
    </w:p>
    <w:p w14:paraId="239E9E02" w14:textId="6FBF48E8" w:rsidR="00C0111D" w:rsidRPr="00C0111D" w:rsidRDefault="00C0111D" w:rsidP="007F3426">
      <w:pPr>
        <w:pStyle w:val="BodyText"/>
      </w:pPr>
      <w:r w:rsidRPr="00C0111D">
        <w:t xml:space="preserve">The heights and densities that should be enabled by local authorities in Policies 3 and 5 will look different across urban environments. The policies require local authorities to consider the local context, while applying the principles and policy intent as outlined in </w:t>
      </w:r>
      <w:hyperlink w:anchor="_Analysis_and_evidence" w:history="1">
        <w:r w:rsidRPr="00F23D49">
          <w:rPr>
            <w:rStyle w:val="Hyperlink"/>
            <w:b/>
          </w:rPr>
          <w:t xml:space="preserve">section </w:t>
        </w:r>
        <w:r w:rsidR="000D494E" w:rsidRPr="00F23D49">
          <w:rPr>
            <w:rStyle w:val="Hyperlink"/>
            <w:b/>
            <w:color w:val="0F7B7D"/>
          </w:rPr>
          <w:fldChar w:fldCharType="begin"/>
        </w:r>
        <w:r w:rsidR="000D494E" w:rsidRPr="00F23D49">
          <w:rPr>
            <w:rStyle w:val="Hyperlink"/>
            <w:b/>
            <w:color w:val="0F7B7D"/>
          </w:rPr>
          <w:instrText xml:space="preserve"> REF _Ref51166083 \r \h </w:instrText>
        </w:r>
        <w:r w:rsidR="00F23D49" w:rsidRPr="00F23D49">
          <w:rPr>
            <w:rStyle w:val="Hyperlink"/>
            <w:b/>
            <w:color w:val="0F7B7D"/>
          </w:rPr>
          <w:instrText xml:space="preserve"> \* MERGEFORMAT </w:instrText>
        </w:r>
        <w:r w:rsidR="000D494E" w:rsidRPr="00F23D49">
          <w:rPr>
            <w:rStyle w:val="Hyperlink"/>
            <w:b/>
            <w:color w:val="0F7B7D"/>
          </w:rPr>
        </w:r>
        <w:r w:rsidR="000D494E" w:rsidRPr="00F23D49">
          <w:rPr>
            <w:rStyle w:val="Hyperlink"/>
            <w:b/>
            <w:color w:val="0F7B7D"/>
          </w:rPr>
          <w:fldChar w:fldCharType="separate"/>
        </w:r>
        <w:r w:rsidR="005D2599">
          <w:rPr>
            <w:rStyle w:val="Hyperlink"/>
            <w:b/>
            <w:color w:val="0F7B7D"/>
          </w:rPr>
          <w:t>5</w:t>
        </w:r>
        <w:r w:rsidR="000D494E" w:rsidRPr="00F23D49">
          <w:rPr>
            <w:rStyle w:val="Hyperlink"/>
            <w:b/>
            <w:color w:val="0F7B7D"/>
          </w:rPr>
          <w:fldChar w:fldCharType="end"/>
        </w:r>
      </w:hyperlink>
      <w:r w:rsidRPr="00C0111D">
        <w:t xml:space="preserve"> and </w:t>
      </w:r>
      <w:hyperlink w:anchor="_Determining_heights_and" w:history="1">
        <w:r w:rsidR="00F23D49" w:rsidRPr="00F23D49">
          <w:rPr>
            <w:rStyle w:val="Hyperlink"/>
            <w:b/>
          </w:rPr>
          <w:t>section</w:t>
        </w:r>
        <w:r w:rsidR="00F23D49" w:rsidRPr="00F23D49">
          <w:rPr>
            <w:rStyle w:val="Hyperlink"/>
            <w:b/>
            <w:color w:val="0F7B7D"/>
          </w:rPr>
          <w:t xml:space="preserve"> </w:t>
        </w:r>
        <w:r w:rsidR="000D494E" w:rsidRPr="00F23D49">
          <w:rPr>
            <w:rStyle w:val="Hyperlink"/>
            <w:b/>
            <w:color w:val="0F7B7D"/>
          </w:rPr>
          <w:fldChar w:fldCharType="begin"/>
        </w:r>
        <w:r w:rsidR="000D494E" w:rsidRPr="00F23D49">
          <w:rPr>
            <w:rStyle w:val="Hyperlink"/>
            <w:b/>
            <w:color w:val="0F7B7D"/>
          </w:rPr>
          <w:instrText xml:space="preserve"> REF _Ref51166099 \r \h </w:instrText>
        </w:r>
        <w:r w:rsidR="00F23D49" w:rsidRPr="00F23D49">
          <w:rPr>
            <w:rStyle w:val="Hyperlink"/>
            <w:b/>
            <w:color w:val="0F7B7D"/>
          </w:rPr>
          <w:instrText xml:space="preserve"> \* MERGEFORMAT </w:instrText>
        </w:r>
        <w:r w:rsidR="000D494E" w:rsidRPr="00F23D49">
          <w:rPr>
            <w:rStyle w:val="Hyperlink"/>
            <w:b/>
            <w:color w:val="0F7B7D"/>
          </w:rPr>
        </w:r>
        <w:r w:rsidR="000D494E" w:rsidRPr="00F23D49">
          <w:rPr>
            <w:rStyle w:val="Hyperlink"/>
            <w:b/>
            <w:color w:val="0F7B7D"/>
          </w:rPr>
          <w:fldChar w:fldCharType="separate"/>
        </w:r>
        <w:r w:rsidR="005D2599">
          <w:rPr>
            <w:rStyle w:val="Hyperlink"/>
            <w:b/>
            <w:color w:val="0F7B7D"/>
          </w:rPr>
          <w:t>6</w:t>
        </w:r>
        <w:r w:rsidR="000D494E" w:rsidRPr="00F23D49">
          <w:rPr>
            <w:rStyle w:val="Hyperlink"/>
            <w:b/>
            <w:color w:val="0F7B7D"/>
          </w:rPr>
          <w:fldChar w:fldCharType="end"/>
        </w:r>
      </w:hyperlink>
      <w:r w:rsidRPr="00C0111D">
        <w:t xml:space="preserve"> of this guidance. A guiding principle is that more height and density should be enabled where evidence indicates it would be appropriate. This may include</w:t>
      </w:r>
      <w:r w:rsidR="002F718B">
        <w:t xml:space="preserve"> areas</w:t>
      </w:r>
      <w:r w:rsidRPr="00C0111D">
        <w:t xml:space="preserve">: </w:t>
      </w:r>
    </w:p>
    <w:p w14:paraId="1720878C" w14:textId="713302DA" w:rsidR="00C0111D" w:rsidRPr="00C0111D" w:rsidRDefault="00C0111D" w:rsidP="006A1F4B">
      <w:pPr>
        <w:pStyle w:val="Bullet"/>
        <w:rPr>
          <w:rFonts w:eastAsiaTheme="minorEastAsia"/>
        </w:rPr>
      </w:pPr>
      <w:r w:rsidRPr="00C0111D">
        <w:rPr>
          <w:rFonts w:eastAsiaTheme="minorEastAsia"/>
        </w:rPr>
        <w:t xml:space="preserve">with higher residential and business demand – </w:t>
      </w:r>
      <w:r w:rsidR="009113AC">
        <w:rPr>
          <w:rFonts w:eastAsiaTheme="minorEastAsia"/>
        </w:rPr>
        <w:t>for example,</w:t>
      </w:r>
      <w:r w:rsidRPr="00C0111D">
        <w:rPr>
          <w:rFonts w:eastAsiaTheme="minorEastAsia"/>
        </w:rPr>
        <w:t xml:space="preserve"> </w:t>
      </w:r>
      <w:r w:rsidR="002F718B">
        <w:rPr>
          <w:rFonts w:eastAsiaTheme="minorEastAsia"/>
        </w:rPr>
        <w:t>those</w:t>
      </w:r>
      <w:r w:rsidR="002F718B" w:rsidRPr="00C0111D">
        <w:rPr>
          <w:rFonts w:eastAsiaTheme="minorEastAsia"/>
        </w:rPr>
        <w:t xml:space="preserve"> </w:t>
      </w:r>
      <w:r w:rsidRPr="00C0111D">
        <w:rPr>
          <w:rFonts w:eastAsiaTheme="minorEastAsia"/>
        </w:rPr>
        <w:t>with good views</w:t>
      </w:r>
      <w:r w:rsidR="002F718B">
        <w:rPr>
          <w:rFonts w:eastAsiaTheme="minorEastAsia"/>
        </w:rPr>
        <w:t xml:space="preserve"> and/or </w:t>
      </w:r>
      <w:r w:rsidRPr="00C0111D">
        <w:rPr>
          <w:rFonts w:eastAsiaTheme="minorEastAsia"/>
        </w:rPr>
        <w:t xml:space="preserve">outlooks, close to open space </w:t>
      </w:r>
      <w:r w:rsidR="002F718B">
        <w:rPr>
          <w:rFonts w:eastAsiaTheme="minorEastAsia"/>
        </w:rPr>
        <w:t>or w</w:t>
      </w:r>
      <w:r w:rsidRPr="00C0111D">
        <w:rPr>
          <w:rFonts w:eastAsiaTheme="minorEastAsia"/>
        </w:rPr>
        <w:t>ith good access to jobs and other amenities</w:t>
      </w:r>
    </w:p>
    <w:p w14:paraId="55FCD103" w14:textId="29615639" w:rsidR="00C0111D" w:rsidRPr="00C0111D" w:rsidRDefault="00C0111D" w:rsidP="006A1F4B">
      <w:pPr>
        <w:pStyle w:val="Bullet"/>
        <w:rPr>
          <w:rFonts w:eastAsiaTheme="minorEastAsia"/>
        </w:rPr>
      </w:pPr>
      <w:r w:rsidRPr="00C0111D">
        <w:rPr>
          <w:rFonts w:eastAsiaTheme="minorEastAsia"/>
        </w:rPr>
        <w:t>within walkable catchments of centres or rapid transit stops</w:t>
      </w:r>
    </w:p>
    <w:p w14:paraId="5EEB410C" w14:textId="2336EB28" w:rsidR="00C0111D" w:rsidRPr="00C0111D" w:rsidRDefault="00C0111D" w:rsidP="006A1F4B">
      <w:pPr>
        <w:pStyle w:val="Bullet"/>
        <w:rPr>
          <w:rFonts w:eastAsiaTheme="minorEastAsia"/>
        </w:rPr>
      </w:pPr>
      <w:r w:rsidRPr="00C0111D">
        <w:rPr>
          <w:rFonts w:eastAsiaTheme="minorEastAsia"/>
        </w:rPr>
        <w:t>with good accessibility that support access to planned and existing forms of public transport</w:t>
      </w:r>
      <w:r w:rsidR="002F718B">
        <w:rPr>
          <w:rFonts w:eastAsiaTheme="minorEastAsia"/>
        </w:rPr>
        <w:t>.</w:t>
      </w:r>
    </w:p>
    <w:p w14:paraId="022B44DA" w14:textId="785A1657" w:rsidR="00C0111D" w:rsidRDefault="00C0111D" w:rsidP="007F3426">
      <w:pPr>
        <w:pStyle w:val="BodyText"/>
      </w:pPr>
      <w:r w:rsidRPr="00C0111D">
        <w:t xml:space="preserve">When </w:t>
      </w:r>
      <w:r w:rsidR="00E23716">
        <w:t>considering where to enable</w:t>
      </w:r>
      <w:r w:rsidRPr="00C0111D">
        <w:t xml:space="preserve"> intensification, note that locations with both high demand and accessibility are </w:t>
      </w:r>
      <w:r w:rsidR="00E23716">
        <w:t xml:space="preserve">the </w:t>
      </w:r>
      <w:r w:rsidRPr="00C0111D">
        <w:t xml:space="preserve">most suitable. However, you do not need both good accessibility and relative </w:t>
      </w:r>
      <w:r w:rsidRPr="00C0111D">
        <w:lastRenderedPageBreak/>
        <w:t xml:space="preserve">demand to enable greater heights and densities. Intensification must be enabled even if you only have high demand and low accessibility or vice versa. </w:t>
      </w:r>
    </w:p>
    <w:p w14:paraId="3245D7DB" w14:textId="70C96FBD" w:rsidR="00BA33E4" w:rsidRPr="00BA33E4" w:rsidRDefault="00161F4F" w:rsidP="00BA33E4">
      <w:pPr>
        <w:pStyle w:val="Heading3"/>
        <w:rPr>
          <w:rFonts w:eastAsiaTheme="minorEastAsia"/>
        </w:rPr>
      </w:pPr>
      <w:bookmarkStart w:id="56" w:name="_Toc50720792"/>
      <w:r>
        <w:rPr>
          <w:rFonts w:eastAsiaTheme="minorEastAsia"/>
        </w:rPr>
        <w:t>6.1</w:t>
      </w:r>
      <w:r>
        <w:rPr>
          <w:rFonts w:eastAsiaTheme="minorEastAsia"/>
        </w:rPr>
        <w:tab/>
      </w:r>
      <w:r w:rsidR="00C0111D" w:rsidRPr="00C0111D">
        <w:rPr>
          <w:rFonts w:eastAsiaTheme="minorEastAsia"/>
        </w:rPr>
        <w:t>Relevant policies</w:t>
      </w:r>
      <w:bookmarkEnd w:id="56"/>
    </w:p>
    <w:tbl>
      <w:tblPr>
        <w:tblStyle w:val="TableGrid"/>
        <w:tblW w:w="0" w:type="auto"/>
        <w:tblBorders>
          <w:top w:val="single" w:sz="4" w:space="0" w:color="D2DDE2" w:themeColor="accent3"/>
          <w:left w:val="single" w:sz="4" w:space="0" w:color="D2DDE2" w:themeColor="accent3"/>
          <w:bottom w:val="single" w:sz="4" w:space="0" w:color="D2DDE2" w:themeColor="accent3"/>
          <w:right w:val="single" w:sz="4" w:space="0" w:color="D2DDE2" w:themeColor="accent3"/>
          <w:insideH w:val="none" w:sz="0" w:space="0" w:color="auto"/>
          <w:insideV w:val="none" w:sz="0" w:space="0" w:color="auto"/>
        </w:tblBorders>
        <w:shd w:val="clear" w:color="auto" w:fill="6FC7B7"/>
        <w:tblLook w:val="04A0" w:firstRow="1" w:lastRow="0" w:firstColumn="1" w:lastColumn="0" w:noHBand="0" w:noVBand="1"/>
      </w:tblPr>
      <w:tblGrid>
        <w:gridCol w:w="9061"/>
      </w:tblGrid>
      <w:tr w:rsidR="00BA33E4" w14:paraId="197BB6D1" w14:textId="77777777" w:rsidTr="0036662C">
        <w:tc>
          <w:tcPr>
            <w:tcW w:w="9061" w:type="dxa"/>
            <w:shd w:val="clear" w:color="auto" w:fill="6FC7B7"/>
          </w:tcPr>
          <w:p w14:paraId="4822B383" w14:textId="77777777" w:rsidR="00BA33E4" w:rsidRPr="008A2DC4" w:rsidRDefault="00BA33E4" w:rsidP="00BA33E4">
            <w:pPr>
              <w:spacing w:before="240"/>
              <w:ind w:left="641" w:right="284" w:hanging="357"/>
              <w:rPr>
                <w:rFonts w:cstheme="minorBidi"/>
                <w:color w:val="1C556C"/>
                <w:szCs w:val="22"/>
              </w:rPr>
            </w:pPr>
            <w:r w:rsidRPr="008A2DC4">
              <w:rPr>
                <w:rFonts w:cstheme="minorBidi"/>
                <w:b/>
                <w:color w:val="1C556C"/>
                <w:szCs w:val="22"/>
              </w:rPr>
              <w:t>Policy 3</w:t>
            </w:r>
            <w:r w:rsidRPr="008A2DC4">
              <w:rPr>
                <w:rFonts w:cstheme="minorBidi"/>
                <w:color w:val="1C556C"/>
                <w:szCs w:val="22"/>
              </w:rPr>
              <w:t>: In relation to tier 1 urban environments, regional policy statements and district plans enable:</w:t>
            </w:r>
          </w:p>
          <w:p w14:paraId="764D7D8E" w14:textId="77777777" w:rsidR="00BA33E4" w:rsidRPr="008A2DC4" w:rsidRDefault="00BA33E4" w:rsidP="00CA3C61">
            <w:pPr>
              <w:pStyle w:val="ListParagraph"/>
              <w:numPr>
                <w:ilvl w:val="0"/>
                <w:numId w:val="35"/>
              </w:numPr>
              <w:spacing w:before="60" w:after="60" w:line="280" w:lineRule="atLeast"/>
              <w:ind w:left="641" w:right="284" w:hanging="357"/>
              <w:contextualSpacing w:val="0"/>
              <w:rPr>
                <w:rFonts w:ascii="Calibri" w:hAnsi="Calibri" w:cstheme="minorBidi"/>
                <w:color w:val="1C556C"/>
                <w:szCs w:val="22"/>
                <w:lang w:eastAsia="en-NZ"/>
              </w:rPr>
            </w:pPr>
            <w:r w:rsidRPr="008A2DC4">
              <w:rPr>
                <w:rFonts w:ascii="Calibri" w:hAnsi="Calibri" w:cstheme="minorBidi"/>
                <w:color w:val="1C556C"/>
                <w:szCs w:val="22"/>
                <w:lang w:eastAsia="en-NZ"/>
              </w:rPr>
              <w:t>in city centre zones, building heights and density of urban form to realise as much development capacity as possible, to maximise benefits of intensification; and</w:t>
            </w:r>
          </w:p>
          <w:p w14:paraId="15D6B00B" w14:textId="77777777" w:rsidR="00BA33E4" w:rsidRPr="008A2DC4" w:rsidRDefault="00BA33E4" w:rsidP="00CA3C61">
            <w:pPr>
              <w:pStyle w:val="ListParagraph"/>
              <w:numPr>
                <w:ilvl w:val="0"/>
                <w:numId w:val="35"/>
              </w:numPr>
              <w:spacing w:before="60" w:after="60" w:line="280" w:lineRule="atLeast"/>
              <w:ind w:left="641" w:right="284" w:hanging="357"/>
              <w:contextualSpacing w:val="0"/>
              <w:rPr>
                <w:rFonts w:ascii="Calibri" w:hAnsi="Calibri" w:cstheme="minorBidi"/>
                <w:color w:val="1C556C"/>
                <w:szCs w:val="22"/>
                <w:lang w:eastAsia="en-NZ"/>
              </w:rPr>
            </w:pPr>
            <w:r w:rsidRPr="008A2DC4">
              <w:rPr>
                <w:rFonts w:ascii="Calibri" w:hAnsi="Calibri" w:cstheme="minorBidi"/>
                <w:color w:val="1C556C"/>
                <w:szCs w:val="22"/>
                <w:lang w:eastAsia="en-NZ"/>
              </w:rPr>
              <w:t>in metropolitan centre zones, building heights and density of urban form to reflect demand for housing and business use in those locations, and in all cases building heights of at least 6 storeys; and</w:t>
            </w:r>
          </w:p>
          <w:p w14:paraId="682C486C" w14:textId="77777777" w:rsidR="00BA33E4" w:rsidRPr="008A2DC4" w:rsidRDefault="00BA33E4" w:rsidP="00CA3C61">
            <w:pPr>
              <w:pStyle w:val="ListParagraph"/>
              <w:numPr>
                <w:ilvl w:val="0"/>
                <w:numId w:val="35"/>
              </w:numPr>
              <w:spacing w:before="60" w:after="60" w:line="280" w:lineRule="atLeast"/>
              <w:ind w:left="641" w:right="284" w:hanging="357"/>
              <w:contextualSpacing w:val="0"/>
              <w:rPr>
                <w:rFonts w:ascii="Calibri" w:hAnsi="Calibri" w:cstheme="minorBidi"/>
                <w:color w:val="1C556C"/>
                <w:szCs w:val="22"/>
                <w:lang w:eastAsia="en-NZ"/>
              </w:rPr>
            </w:pPr>
            <w:r w:rsidRPr="008A2DC4">
              <w:rPr>
                <w:rFonts w:ascii="Calibri" w:hAnsi="Calibri" w:cstheme="minorBidi"/>
                <w:color w:val="1C556C"/>
                <w:szCs w:val="22"/>
                <w:lang w:eastAsia="en-NZ"/>
              </w:rPr>
              <w:t>building heights of least 6 storeys within at least a walkable catchment of the following:</w:t>
            </w:r>
          </w:p>
          <w:p w14:paraId="05E33A71" w14:textId="77777777" w:rsidR="00BA33E4" w:rsidRPr="008A2DC4" w:rsidRDefault="00BA33E4" w:rsidP="0070523B">
            <w:pPr>
              <w:spacing w:before="60" w:after="60"/>
              <w:ind w:left="641" w:right="284" w:hanging="357"/>
              <w:rPr>
                <w:rFonts w:cstheme="minorBidi"/>
                <w:color w:val="1C556C"/>
                <w:szCs w:val="22"/>
              </w:rPr>
            </w:pPr>
            <w:r w:rsidRPr="008A2DC4">
              <w:rPr>
                <w:rFonts w:cstheme="minorBidi"/>
                <w:color w:val="1C556C"/>
                <w:szCs w:val="22"/>
              </w:rPr>
              <w:tab/>
              <w:t>(i)</w:t>
            </w:r>
            <w:r w:rsidRPr="008A2DC4">
              <w:rPr>
                <w:rFonts w:cstheme="minorBidi"/>
                <w:color w:val="1C556C"/>
                <w:szCs w:val="22"/>
              </w:rPr>
              <w:tab/>
              <w:t>existing and planned rapid transit stops</w:t>
            </w:r>
          </w:p>
          <w:p w14:paraId="7945C768" w14:textId="77777777" w:rsidR="00BA33E4" w:rsidRPr="008A2DC4" w:rsidRDefault="00BA33E4" w:rsidP="0070523B">
            <w:pPr>
              <w:spacing w:before="60" w:after="60"/>
              <w:ind w:left="641" w:right="284" w:hanging="357"/>
              <w:rPr>
                <w:rFonts w:cstheme="minorBidi"/>
                <w:color w:val="1C556C"/>
                <w:szCs w:val="22"/>
              </w:rPr>
            </w:pPr>
            <w:r w:rsidRPr="008A2DC4">
              <w:rPr>
                <w:rFonts w:cstheme="minorBidi"/>
                <w:color w:val="1C556C"/>
                <w:szCs w:val="22"/>
              </w:rPr>
              <w:tab/>
              <w:t>(ii)</w:t>
            </w:r>
            <w:r w:rsidRPr="008A2DC4">
              <w:rPr>
                <w:rFonts w:cstheme="minorBidi"/>
                <w:color w:val="1C556C"/>
                <w:szCs w:val="22"/>
              </w:rPr>
              <w:tab/>
              <w:t>the edge of city centre zones</w:t>
            </w:r>
          </w:p>
          <w:p w14:paraId="04FFD021" w14:textId="77777777" w:rsidR="00BA33E4" w:rsidRPr="008A2DC4" w:rsidRDefault="00BA33E4" w:rsidP="0070523B">
            <w:pPr>
              <w:spacing w:before="60" w:after="60"/>
              <w:ind w:left="641" w:right="284" w:hanging="357"/>
              <w:rPr>
                <w:rFonts w:cstheme="minorBidi"/>
                <w:color w:val="1C556C"/>
                <w:szCs w:val="22"/>
              </w:rPr>
            </w:pPr>
            <w:r w:rsidRPr="008A2DC4">
              <w:rPr>
                <w:rFonts w:cstheme="minorBidi"/>
                <w:color w:val="1C556C"/>
                <w:szCs w:val="22"/>
              </w:rPr>
              <w:tab/>
              <w:t>(iii)</w:t>
            </w:r>
            <w:r w:rsidRPr="008A2DC4">
              <w:rPr>
                <w:rFonts w:cstheme="minorBidi"/>
                <w:color w:val="1C556C"/>
                <w:szCs w:val="22"/>
              </w:rPr>
              <w:tab/>
              <w:t>the edge of metropolitan centre zones; and</w:t>
            </w:r>
          </w:p>
          <w:p w14:paraId="64E03277" w14:textId="77777777" w:rsidR="00BA33E4" w:rsidRPr="008A2DC4" w:rsidRDefault="00BA33E4" w:rsidP="00CA3C61">
            <w:pPr>
              <w:pStyle w:val="ListParagraph"/>
              <w:numPr>
                <w:ilvl w:val="0"/>
                <w:numId w:val="35"/>
              </w:numPr>
              <w:spacing w:before="60" w:after="60" w:line="280" w:lineRule="atLeast"/>
              <w:ind w:left="641" w:right="284" w:hanging="357"/>
              <w:contextualSpacing w:val="0"/>
              <w:rPr>
                <w:rFonts w:ascii="Calibri" w:hAnsi="Calibri" w:cstheme="minorBidi"/>
                <w:color w:val="1C556C"/>
                <w:szCs w:val="22"/>
                <w:lang w:eastAsia="en-NZ"/>
              </w:rPr>
            </w:pPr>
            <w:r w:rsidRPr="008A2DC4">
              <w:rPr>
                <w:rFonts w:ascii="Calibri" w:hAnsi="Calibri" w:cstheme="minorBidi"/>
                <w:color w:val="1C556C"/>
                <w:szCs w:val="22"/>
                <w:lang w:eastAsia="en-NZ"/>
              </w:rPr>
              <w:t>in all other locations in the tier 1 urban environment, building heights and density of urban form commensurate with the greater of:</w:t>
            </w:r>
          </w:p>
          <w:p w14:paraId="07FCED14" w14:textId="77777777" w:rsidR="00BA33E4" w:rsidRPr="008A2DC4" w:rsidRDefault="00BA33E4" w:rsidP="0070523B">
            <w:pPr>
              <w:spacing w:before="60" w:after="60"/>
              <w:ind w:left="998" w:right="284" w:hanging="357"/>
              <w:rPr>
                <w:rFonts w:cstheme="minorBidi"/>
                <w:color w:val="1C556C"/>
                <w:szCs w:val="22"/>
              </w:rPr>
            </w:pPr>
            <w:r w:rsidRPr="008A2DC4">
              <w:rPr>
                <w:rFonts w:cstheme="minorBidi"/>
                <w:color w:val="1C556C"/>
                <w:szCs w:val="22"/>
              </w:rPr>
              <w:t>(i)</w:t>
            </w:r>
            <w:r w:rsidRPr="008A2DC4">
              <w:rPr>
                <w:rFonts w:cstheme="minorBidi"/>
                <w:color w:val="1C556C"/>
                <w:szCs w:val="22"/>
              </w:rPr>
              <w:tab/>
              <w:t>the level of accessibility by existing or planned active or public transport to a range of commercial activities and community services; or</w:t>
            </w:r>
          </w:p>
          <w:p w14:paraId="78C65164" w14:textId="77777777" w:rsidR="0070523B" w:rsidRDefault="00BA33E4" w:rsidP="0070523B">
            <w:pPr>
              <w:spacing w:before="60" w:after="60"/>
              <w:ind w:left="998" w:right="284" w:hanging="357"/>
              <w:rPr>
                <w:rFonts w:cstheme="minorBidi"/>
                <w:color w:val="1C556C"/>
                <w:szCs w:val="22"/>
              </w:rPr>
            </w:pPr>
            <w:r w:rsidRPr="008A2DC4">
              <w:rPr>
                <w:rFonts w:cstheme="minorBidi"/>
                <w:color w:val="1C556C"/>
                <w:szCs w:val="22"/>
              </w:rPr>
              <w:t>(ii)</w:t>
            </w:r>
            <w:r w:rsidRPr="008A2DC4">
              <w:rPr>
                <w:rFonts w:cstheme="minorBidi"/>
                <w:color w:val="1C556C"/>
                <w:szCs w:val="22"/>
              </w:rPr>
              <w:tab/>
              <w:t>relative demand for housing and business use in that location</w:t>
            </w:r>
          </w:p>
          <w:p w14:paraId="0D1FD6AF" w14:textId="41085C36" w:rsidR="00BA33E4" w:rsidRPr="008A2DC4" w:rsidRDefault="00BA33E4" w:rsidP="0070523B">
            <w:pPr>
              <w:spacing w:before="60" w:after="60"/>
              <w:ind w:left="998" w:right="284" w:hanging="357"/>
              <w:rPr>
                <w:rFonts w:cstheme="minorBidi"/>
                <w:color w:val="1C556C"/>
                <w:szCs w:val="22"/>
              </w:rPr>
            </w:pPr>
            <w:r w:rsidRPr="008A2DC4">
              <w:rPr>
                <w:rFonts w:cstheme="minorBidi"/>
                <w:color w:val="1C556C"/>
                <w:szCs w:val="22"/>
              </w:rPr>
              <w:t>.</w:t>
            </w:r>
          </w:p>
        </w:tc>
      </w:tr>
    </w:tbl>
    <w:p w14:paraId="1EBC2272" w14:textId="388BEEB7" w:rsidR="00BA33E4" w:rsidRDefault="00BA33E4" w:rsidP="008470FA">
      <w:pPr>
        <w:pStyle w:val="BodyText"/>
      </w:pPr>
    </w:p>
    <w:tbl>
      <w:tblPr>
        <w:tblStyle w:val="TableGrid"/>
        <w:tblW w:w="0" w:type="auto"/>
        <w:shd w:val="clear" w:color="auto" w:fill="6FC7B7"/>
        <w:tblLook w:val="04A0" w:firstRow="1" w:lastRow="0" w:firstColumn="1" w:lastColumn="0" w:noHBand="0" w:noVBand="1"/>
      </w:tblPr>
      <w:tblGrid>
        <w:gridCol w:w="9061"/>
      </w:tblGrid>
      <w:tr w:rsidR="00BA33E4" w14:paraId="227DB2C4" w14:textId="77777777" w:rsidTr="0036662C">
        <w:tc>
          <w:tcPr>
            <w:tcW w:w="9061" w:type="dxa"/>
            <w:tcBorders>
              <w:top w:val="single" w:sz="4" w:space="0" w:color="D2DDE2" w:themeColor="accent3"/>
              <w:left w:val="single" w:sz="4" w:space="0" w:color="D2DDE2" w:themeColor="accent3"/>
              <w:bottom w:val="single" w:sz="4" w:space="0" w:color="D2DDE2" w:themeColor="accent3"/>
              <w:right w:val="single" w:sz="4" w:space="0" w:color="D2DDE2" w:themeColor="accent3"/>
            </w:tcBorders>
            <w:shd w:val="clear" w:color="auto" w:fill="6FC7B7"/>
          </w:tcPr>
          <w:p w14:paraId="7F336494" w14:textId="77777777" w:rsidR="00BA33E4" w:rsidRPr="00E91CDF" w:rsidRDefault="00BA33E4" w:rsidP="00BA33E4">
            <w:pPr>
              <w:spacing w:before="240"/>
              <w:ind w:left="284" w:right="284"/>
              <w:rPr>
                <w:color w:val="1C556C"/>
                <w:szCs w:val="22"/>
              </w:rPr>
            </w:pPr>
            <w:r w:rsidRPr="00E91CDF">
              <w:rPr>
                <w:b/>
                <w:color w:val="1C556C"/>
                <w:szCs w:val="22"/>
              </w:rPr>
              <w:t>Policy 5:</w:t>
            </w:r>
            <w:r w:rsidRPr="00E91CDF">
              <w:rPr>
                <w:color w:val="1C556C"/>
                <w:szCs w:val="22"/>
              </w:rPr>
              <w:t xml:space="preserve"> Regional policy statements and district plans applying to tier 2 and 3 urban environments enable heights and density of urban form commensurate with the greater of: </w:t>
            </w:r>
          </w:p>
          <w:p w14:paraId="71A67980" w14:textId="77777777" w:rsidR="00BA33E4" w:rsidRDefault="00BA33E4" w:rsidP="00CA3C61">
            <w:pPr>
              <w:pStyle w:val="ListParagraph"/>
              <w:numPr>
                <w:ilvl w:val="0"/>
                <w:numId w:val="36"/>
              </w:numPr>
              <w:spacing w:before="60" w:after="60" w:line="280" w:lineRule="atLeast"/>
              <w:ind w:left="641" w:right="284" w:hanging="357"/>
              <w:contextualSpacing w:val="0"/>
              <w:rPr>
                <w:rFonts w:ascii="Calibri" w:hAnsi="Calibri" w:cstheme="minorBidi"/>
                <w:color w:val="1C556C"/>
                <w:szCs w:val="22"/>
                <w:lang w:eastAsia="en-NZ"/>
              </w:rPr>
            </w:pPr>
            <w:r w:rsidRPr="00E91CDF">
              <w:rPr>
                <w:rFonts w:ascii="Calibri" w:hAnsi="Calibri" w:cstheme="minorBidi"/>
                <w:color w:val="1C556C"/>
                <w:szCs w:val="22"/>
                <w:lang w:eastAsia="en-NZ"/>
              </w:rPr>
              <w:t>the level of accessibility by existing or planned active or public transport to a range of commercial and community services; or</w:t>
            </w:r>
          </w:p>
          <w:p w14:paraId="146C65F7" w14:textId="77777777" w:rsidR="00BA33E4" w:rsidRPr="0070523B" w:rsidRDefault="00BA33E4" w:rsidP="00CA3C61">
            <w:pPr>
              <w:pStyle w:val="ListParagraph"/>
              <w:numPr>
                <w:ilvl w:val="0"/>
                <w:numId w:val="36"/>
              </w:numPr>
              <w:spacing w:before="60" w:after="60" w:line="280" w:lineRule="atLeast"/>
              <w:ind w:left="641" w:right="284" w:hanging="357"/>
              <w:contextualSpacing w:val="0"/>
              <w:rPr>
                <w:rFonts w:ascii="Calibri" w:hAnsi="Calibri" w:cstheme="minorBidi"/>
                <w:color w:val="1C556C"/>
                <w:szCs w:val="22"/>
                <w:lang w:eastAsia="en-NZ"/>
              </w:rPr>
            </w:pPr>
            <w:r w:rsidRPr="00E91CDF">
              <w:rPr>
                <w:rFonts w:ascii="Calibri" w:hAnsi="Calibri"/>
                <w:color w:val="1C556C"/>
                <w:lang w:eastAsia="en-NZ"/>
              </w:rPr>
              <w:t>the relative demand for housing and business use in that location.</w:t>
            </w:r>
            <w:r w:rsidRPr="00E91CDF">
              <w:t xml:space="preserve"> </w:t>
            </w:r>
          </w:p>
          <w:p w14:paraId="1A900788" w14:textId="681BFAAB" w:rsidR="0070523B" w:rsidRPr="00E91CDF" w:rsidRDefault="0070523B" w:rsidP="0070523B">
            <w:pPr>
              <w:pStyle w:val="ListParagraph"/>
              <w:spacing w:before="60" w:after="60" w:line="280" w:lineRule="atLeast"/>
              <w:ind w:left="641" w:right="284"/>
              <w:contextualSpacing w:val="0"/>
              <w:rPr>
                <w:rFonts w:ascii="Calibri" w:hAnsi="Calibri" w:cstheme="minorBidi"/>
                <w:color w:val="1C556C"/>
                <w:szCs w:val="22"/>
                <w:lang w:eastAsia="en-NZ"/>
              </w:rPr>
            </w:pPr>
          </w:p>
        </w:tc>
      </w:tr>
    </w:tbl>
    <w:p w14:paraId="29EAD18F" w14:textId="7B0B2D17" w:rsidR="00C0111D" w:rsidRPr="00C0111D" w:rsidRDefault="00161F4F" w:rsidP="00161F4F">
      <w:pPr>
        <w:pStyle w:val="Heading3"/>
        <w:ind w:left="851" w:hanging="851"/>
        <w:rPr>
          <w:rFonts w:eastAsiaTheme="minorEastAsia"/>
        </w:rPr>
      </w:pPr>
      <w:bookmarkStart w:id="57" w:name="_Toc50720793"/>
      <w:r>
        <w:rPr>
          <w:rFonts w:eastAsiaTheme="minorEastAsia"/>
        </w:rPr>
        <w:t>6</w:t>
      </w:r>
      <w:r w:rsidR="00C0111D" w:rsidRPr="00C0111D">
        <w:rPr>
          <w:rFonts w:eastAsiaTheme="minorEastAsia"/>
        </w:rPr>
        <w:t>.2</w:t>
      </w:r>
      <w:r w:rsidR="00C0111D" w:rsidRPr="00C0111D">
        <w:rPr>
          <w:rFonts w:eastAsiaTheme="minorEastAsia"/>
        </w:rPr>
        <w:tab/>
        <w:t>Enabling as much development capacity as possible in city centre zones (Policy 3(a))</w:t>
      </w:r>
      <w:bookmarkEnd w:id="57"/>
      <w:r w:rsidR="00C0111D" w:rsidRPr="00C0111D">
        <w:rPr>
          <w:rFonts w:eastAsiaTheme="minorEastAsia"/>
        </w:rPr>
        <w:t xml:space="preserve"> </w:t>
      </w:r>
    </w:p>
    <w:p w14:paraId="30762667" w14:textId="5A5B81F8" w:rsidR="00C0111D" w:rsidRPr="00C0111D" w:rsidRDefault="00C0111D" w:rsidP="007F3426">
      <w:pPr>
        <w:pStyle w:val="BodyText"/>
      </w:pPr>
      <w:r w:rsidRPr="00C0111D">
        <w:t xml:space="preserve">In city centre zones, tier 1 </w:t>
      </w:r>
      <w:r w:rsidR="00E23716">
        <w:t xml:space="preserve">local </w:t>
      </w:r>
      <w:r w:rsidRPr="00C0111D">
        <w:t>authorities are required to enable building heights and density of urban form to support as much development capacity as possible</w:t>
      </w:r>
      <w:r w:rsidR="00E23716">
        <w:t>. This is</w:t>
      </w:r>
      <w:r w:rsidRPr="00C0111D">
        <w:t xml:space="preserve"> to maximise the benefits of intensification. In practice, ‘as much as possible’ means removing unnecessary and unreasonable barriers to accommodate the maximum amount of development capacity that can be realised. Removing these barriers will help to enable greater up-zoning in city centres where intensification will have the greatest benefits. </w:t>
      </w:r>
    </w:p>
    <w:p w14:paraId="3FAC13E3" w14:textId="73B7F1CE" w:rsidR="00C0111D" w:rsidRPr="00C0111D" w:rsidRDefault="00C0111D" w:rsidP="007F3426">
      <w:pPr>
        <w:pStyle w:val="BodyText"/>
      </w:pPr>
      <w:r w:rsidRPr="00C0111D">
        <w:t xml:space="preserve">Practically, ‘as much as possible’ will likely look different in </w:t>
      </w:r>
      <w:r w:rsidR="00BA33E4">
        <w:t>various</w:t>
      </w:r>
      <w:r w:rsidRPr="00C0111D">
        <w:t xml:space="preserve"> urban environments. City centres are a step up in the zoning hierarchy from metropolitan centres, so enabling as much development capacity as possible is expected to mean greater than six storeys (because six storeys is the minimum </w:t>
      </w:r>
      <w:r w:rsidRPr="00C0111D">
        <w:lastRenderedPageBreak/>
        <w:t>for metropolitan centres). Tier 1 local authorities should be considering the level of demand and accessibility in determining what heights and densities can be enabled. In practice</w:t>
      </w:r>
      <w:r w:rsidR="00E23716">
        <w:t>,</w:t>
      </w:r>
      <w:r w:rsidRPr="00C0111D">
        <w:t xml:space="preserve"> this may mean: </w:t>
      </w:r>
    </w:p>
    <w:p w14:paraId="4783B678" w14:textId="1FCD3FE6" w:rsidR="00C0111D" w:rsidRPr="00C0111D" w:rsidRDefault="00E23716" w:rsidP="008470FA">
      <w:pPr>
        <w:pStyle w:val="Bullet"/>
        <w:rPr>
          <w:rFonts w:eastAsiaTheme="minorEastAsia"/>
        </w:rPr>
      </w:pPr>
      <w:r>
        <w:rPr>
          <w:rFonts w:eastAsiaTheme="minorEastAsia"/>
        </w:rPr>
        <w:t>n</w:t>
      </w:r>
      <w:r w:rsidR="00C0111D" w:rsidRPr="00C0111D">
        <w:rPr>
          <w:rFonts w:eastAsiaTheme="minorEastAsia"/>
        </w:rPr>
        <w:t>o maximum building heights or maximum gross floor area (GFA) standards in city centre zones or large parts of city centre zones</w:t>
      </w:r>
    </w:p>
    <w:p w14:paraId="22FBEC9E" w14:textId="0896CE3B" w:rsidR="00C0111D" w:rsidRPr="00C0111D" w:rsidRDefault="00E23716" w:rsidP="008470FA">
      <w:pPr>
        <w:pStyle w:val="Bullet"/>
        <w:rPr>
          <w:rFonts w:eastAsiaTheme="minorEastAsia"/>
        </w:rPr>
      </w:pPr>
      <w:r>
        <w:rPr>
          <w:rFonts w:eastAsiaTheme="minorEastAsia"/>
        </w:rPr>
        <w:t>d</w:t>
      </w:r>
      <w:r w:rsidR="00C0111D" w:rsidRPr="00C0111D">
        <w:rPr>
          <w:rFonts w:eastAsiaTheme="minorEastAsia"/>
        </w:rPr>
        <w:t xml:space="preserve">evelopment standards </w:t>
      </w:r>
      <w:r>
        <w:rPr>
          <w:rFonts w:eastAsiaTheme="minorEastAsia"/>
        </w:rPr>
        <w:t>that</w:t>
      </w:r>
      <w:r w:rsidRPr="00C0111D">
        <w:rPr>
          <w:rFonts w:eastAsiaTheme="minorEastAsia"/>
        </w:rPr>
        <w:t xml:space="preserve"> </w:t>
      </w:r>
      <w:r w:rsidR="00C0111D" w:rsidRPr="00C0111D">
        <w:rPr>
          <w:rFonts w:eastAsiaTheme="minorEastAsia"/>
        </w:rPr>
        <w:t xml:space="preserve">may limit building height and density, where there is evidence that doing so </w:t>
      </w:r>
      <w:r>
        <w:rPr>
          <w:rFonts w:eastAsiaTheme="minorEastAsia"/>
        </w:rPr>
        <w:t xml:space="preserve">will </w:t>
      </w:r>
      <w:r w:rsidR="00C0111D" w:rsidRPr="00C0111D">
        <w:rPr>
          <w:rFonts w:eastAsiaTheme="minorEastAsia"/>
        </w:rPr>
        <w:t xml:space="preserve">contribute to a well-functioning urban environment and </w:t>
      </w:r>
      <w:r>
        <w:rPr>
          <w:rFonts w:eastAsiaTheme="minorEastAsia"/>
        </w:rPr>
        <w:t xml:space="preserve">achieving </w:t>
      </w:r>
      <w:r w:rsidR="00C0111D" w:rsidRPr="00C0111D">
        <w:rPr>
          <w:rFonts w:eastAsiaTheme="minorEastAsia"/>
        </w:rPr>
        <w:t xml:space="preserve">the objectives of the NPS-UD as a whole. </w:t>
      </w:r>
    </w:p>
    <w:p w14:paraId="35B126C4" w14:textId="746C4378" w:rsidR="00C0111D" w:rsidRPr="00C0111D" w:rsidRDefault="00C0111D" w:rsidP="00161F4F">
      <w:pPr>
        <w:pStyle w:val="Box"/>
      </w:pPr>
      <w:r w:rsidRPr="00C0111D">
        <w:t xml:space="preserve">In giving effect to this policy requirement, local authorities need to step through the following: </w:t>
      </w:r>
    </w:p>
    <w:p w14:paraId="6828FDF9" w14:textId="2367EE91" w:rsidR="00C0111D" w:rsidRPr="00C0111D" w:rsidRDefault="00E23716" w:rsidP="000D494E">
      <w:pPr>
        <w:pStyle w:val="Boxbullet"/>
        <w:numPr>
          <w:ilvl w:val="0"/>
          <w:numId w:val="25"/>
        </w:numPr>
        <w:ind w:left="641" w:hanging="357"/>
      </w:pPr>
      <w:r>
        <w:t>Consider what</w:t>
      </w:r>
      <w:r w:rsidR="00C0111D" w:rsidRPr="00C0111D">
        <w:t xml:space="preserve"> ‘as much as possible’ </w:t>
      </w:r>
      <w:r>
        <w:t xml:space="preserve">is </w:t>
      </w:r>
      <w:r w:rsidR="00C0111D" w:rsidRPr="00C0111D">
        <w:t>going to mean in the city centre, taking into account local circumstances and factors – specifically, the level of demand and accessibility should be key considerations.</w:t>
      </w:r>
    </w:p>
    <w:p w14:paraId="07A43252" w14:textId="08436E6A" w:rsidR="00C0111D" w:rsidRPr="00C0111D" w:rsidRDefault="00E23716" w:rsidP="000D494E">
      <w:pPr>
        <w:pStyle w:val="Boxbullet"/>
        <w:numPr>
          <w:ilvl w:val="0"/>
          <w:numId w:val="25"/>
        </w:numPr>
        <w:ind w:left="641" w:hanging="357"/>
      </w:pPr>
      <w:r>
        <w:t xml:space="preserve">Consider if </w:t>
      </w:r>
      <w:r w:rsidR="00C0111D" w:rsidRPr="00C0111D">
        <w:t>any of the qualifying matters (</w:t>
      </w:r>
      <w:r w:rsidR="009113AC">
        <w:t>eg,</w:t>
      </w:r>
      <w:r w:rsidR="00C0111D" w:rsidRPr="00C0111D">
        <w:t xml:space="preserve"> matters of national importance, open space, heritage orders or other matters) apply to the city centre</w:t>
      </w:r>
      <w:r>
        <w:t>. Also,</w:t>
      </w:r>
      <w:r w:rsidR="00C0111D" w:rsidRPr="00C0111D">
        <w:t xml:space="preserve"> </w:t>
      </w:r>
      <w:r>
        <w:t xml:space="preserve">look at </w:t>
      </w:r>
      <w:r w:rsidR="00C0111D" w:rsidRPr="00C0111D">
        <w:t xml:space="preserve">to what extent heights and densities </w:t>
      </w:r>
      <w:r>
        <w:t xml:space="preserve">may </w:t>
      </w:r>
      <w:r w:rsidR="00C0111D" w:rsidRPr="00C0111D">
        <w:t>need to be modified to accommodate the qualifying matter</w:t>
      </w:r>
      <w:r>
        <w:t>.</w:t>
      </w:r>
      <w:r w:rsidR="00C0111D" w:rsidRPr="00C0111D">
        <w:t xml:space="preserve"> (</w:t>
      </w:r>
      <w:r>
        <w:t>T</w:t>
      </w:r>
      <w:r w:rsidR="00C0111D" w:rsidRPr="00C0111D">
        <w:t>he qualifying matters set out the matters</w:t>
      </w:r>
      <w:r w:rsidR="009113AC">
        <w:t xml:space="preserve"> </w:t>
      </w:r>
      <w:r w:rsidR="00C0111D" w:rsidRPr="00C0111D">
        <w:t>local authorities need to consider in enabling ‘as much as possible’</w:t>
      </w:r>
      <w:r>
        <w:t>.</w:t>
      </w:r>
      <w:r w:rsidR="00C0111D" w:rsidRPr="00C0111D">
        <w:t>)</w:t>
      </w:r>
    </w:p>
    <w:p w14:paraId="412B26BE" w14:textId="4F05C26D" w:rsidR="00C0111D" w:rsidRPr="00C0111D" w:rsidRDefault="00C0111D" w:rsidP="000D494E">
      <w:pPr>
        <w:pStyle w:val="Boxbullet"/>
        <w:numPr>
          <w:ilvl w:val="0"/>
          <w:numId w:val="25"/>
        </w:numPr>
        <w:ind w:left="641" w:hanging="357"/>
      </w:pPr>
      <w:r w:rsidRPr="00C0111D">
        <w:t>Review the current city centre controls and determine if they are enabling enough to support the outcomes intended in the NPS-UD and by Policy 3(a). This means checking the controls are enabling as much development capacity as possible to maximise the benefits of intensification. If not, the controls will need to be amended accordingly.</w:t>
      </w:r>
    </w:p>
    <w:p w14:paraId="2F7A0E48" w14:textId="76713DAC" w:rsidR="00C0111D" w:rsidRPr="00C0111D" w:rsidRDefault="00C0111D" w:rsidP="000D494E">
      <w:pPr>
        <w:pStyle w:val="Boxbullet"/>
        <w:numPr>
          <w:ilvl w:val="0"/>
          <w:numId w:val="25"/>
        </w:numPr>
        <w:ind w:left="641" w:hanging="357"/>
      </w:pPr>
      <w:r w:rsidRPr="00C0111D">
        <w:t>In maximising the benefits of intensification, consider whether enough intensification has been enabled to support outcomes such as transport choice, accessibility and climate emission</w:t>
      </w:r>
      <w:r w:rsidR="00E23716">
        <w:t>s</w:t>
      </w:r>
      <w:r w:rsidRPr="00C0111D">
        <w:t xml:space="preserve"> reduction. If you are not maximising the benefits of intensification due to other factors (</w:t>
      </w:r>
      <w:r w:rsidR="009113AC">
        <w:t>eg,</w:t>
      </w:r>
      <w:r w:rsidRPr="00C0111D">
        <w:t xml:space="preserve"> character), ensure the effects of doing so have been taken into account using adequate evidence in a section 32 report.</w:t>
      </w:r>
    </w:p>
    <w:p w14:paraId="7882B007" w14:textId="2B6ED603" w:rsidR="00C0111D" w:rsidRPr="00C0111D" w:rsidRDefault="00C0111D" w:rsidP="000D494E">
      <w:pPr>
        <w:pStyle w:val="Boxbullet"/>
        <w:numPr>
          <w:ilvl w:val="0"/>
          <w:numId w:val="25"/>
        </w:numPr>
        <w:ind w:left="641" w:hanging="357"/>
      </w:pPr>
      <w:r w:rsidRPr="00C0111D">
        <w:t xml:space="preserve">As directed by Policy 6, consider what ‘as much as possible’ will mean for the urban environment in terms of urban form, amenity changes and the benefits of urban development. Local authorities will need to ensure the specific outcome of enabling as much development capacity as possible is consistent with the wider NPS-UD policy direction. </w:t>
      </w:r>
    </w:p>
    <w:p w14:paraId="48A7EE82" w14:textId="234DEA22" w:rsidR="00C0111D" w:rsidRPr="00C0111D" w:rsidRDefault="00C0111D" w:rsidP="000D494E">
      <w:pPr>
        <w:pStyle w:val="Boxbullet"/>
        <w:numPr>
          <w:ilvl w:val="0"/>
          <w:numId w:val="25"/>
        </w:numPr>
        <w:ind w:left="641" w:hanging="357"/>
      </w:pPr>
      <w:r w:rsidRPr="00C0111D">
        <w:t>Consider if the outcome</w:t>
      </w:r>
      <w:r w:rsidR="00E23716">
        <w:t xml:space="preserve"> and/or </w:t>
      </w:r>
      <w:r w:rsidRPr="00C0111D">
        <w:t xml:space="preserve">decision on what ‘as much as possible’ means for the city centre environment will ensure that a well-functioning urban environment is achieved. </w:t>
      </w:r>
    </w:p>
    <w:p w14:paraId="6D75D5B4" w14:textId="2AD9DF6A" w:rsidR="00C0111D" w:rsidRPr="00C0111D" w:rsidRDefault="00C0111D" w:rsidP="007F3426">
      <w:pPr>
        <w:pStyle w:val="BodyText"/>
      </w:pPr>
      <w:r w:rsidRPr="00C0111D">
        <w:t>In some urban environments, there may be circumstances or factors</w:t>
      </w:r>
      <w:r w:rsidR="00A22D15">
        <w:t>,</w:t>
      </w:r>
      <w:r w:rsidRPr="00C0111D">
        <w:t xml:space="preserve"> </w:t>
      </w:r>
      <w:r w:rsidR="00A22D15">
        <w:t xml:space="preserve">which are </w:t>
      </w:r>
      <w:r w:rsidRPr="00C0111D">
        <w:t>linked to the qualifying matters in the NPS-UD (subpart 6, clause 3.33)</w:t>
      </w:r>
      <w:r w:rsidR="00A22D15">
        <w:t>,</w:t>
      </w:r>
      <w:r w:rsidRPr="00C0111D">
        <w:t xml:space="preserve"> that </w:t>
      </w:r>
      <w:r w:rsidR="00A22D15">
        <w:t>will mean these will</w:t>
      </w:r>
      <w:r w:rsidRPr="00C0111D">
        <w:t xml:space="preserve"> need maximum height limits or GFAs in city centre zones. Any such decisions will need to be </w:t>
      </w:r>
      <w:r w:rsidR="00A22D15">
        <w:t xml:space="preserve">supported by robust evidence and </w:t>
      </w:r>
      <w:r w:rsidRPr="00C0111D">
        <w:t xml:space="preserve">analysis. Where heights and density within city centres are scaled below maximum levels due to other circumstances or factors, the trade-offs of this approach should be clearly articulated in a section 32 report. </w:t>
      </w:r>
    </w:p>
    <w:p w14:paraId="5C944A7B" w14:textId="02F5859D" w:rsidR="00C0111D" w:rsidRPr="00C0111D" w:rsidRDefault="00C0111D" w:rsidP="007F3426">
      <w:pPr>
        <w:pStyle w:val="BodyText"/>
      </w:pPr>
      <w:r w:rsidRPr="00C0111D">
        <w:t xml:space="preserve">Local authorities will need to ensure </w:t>
      </w:r>
      <w:r w:rsidR="00A22D15">
        <w:t xml:space="preserve">they enable </w:t>
      </w:r>
      <w:r w:rsidRPr="00C0111D">
        <w:t>as much development capacity as possible</w:t>
      </w:r>
      <w:r w:rsidR="00085E3A">
        <w:t xml:space="preserve"> and</w:t>
      </w:r>
      <w:r w:rsidRPr="00C0111D">
        <w:t xml:space="preserve"> </w:t>
      </w:r>
      <w:r w:rsidR="00A22D15">
        <w:t xml:space="preserve">that </w:t>
      </w:r>
      <w:r w:rsidRPr="00C0111D">
        <w:t>the outcomes will deliver a well-functioning urban environment</w:t>
      </w:r>
      <w:r w:rsidR="00A22D15">
        <w:t>,</w:t>
      </w:r>
      <w:r w:rsidRPr="00C0111D">
        <w:t xml:space="preserve"> </w:t>
      </w:r>
      <w:r w:rsidR="00A22D15">
        <w:t>which</w:t>
      </w:r>
      <w:r w:rsidR="00A22D15" w:rsidRPr="00C0111D">
        <w:t xml:space="preserve"> </w:t>
      </w:r>
      <w:r w:rsidRPr="00C0111D">
        <w:t>enables all people and communities to provide for their social, economic</w:t>
      </w:r>
      <w:r w:rsidR="00085E3A">
        <w:t xml:space="preserve"> and</w:t>
      </w:r>
      <w:r w:rsidRPr="00C0111D">
        <w:t xml:space="preserve"> cultural wellbeing</w:t>
      </w:r>
      <w:r w:rsidR="00085E3A">
        <w:t xml:space="preserve"> and</w:t>
      </w:r>
      <w:r w:rsidRPr="00C0111D">
        <w:t xml:space="preserve"> for their health and safety, now and into the future. </w:t>
      </w:r>
    </w:p>
    <w:p w14:paraId="3FFA46B2" w14:textId="77777777" w:rsidR="00C0111D" w:rsidRPr="00C0111D" w:rsidRDefault="00C0111D" w:rsidP="007F3426">
      <w:pPr>
        <w:pStyle w:val="BodyText"/>
      </w:pPr>
      <w:r w:rsidRPr="00C0111D">
        <w:lastRenderedPageBreak/>
        <w:t xml:space="preserve">Subpart 7 of the NPS-UD requires local authorities to ensure objectives, policies and rules in district plans are consistent with the outcomes required by the intensification provisions. To ensure as much development capacity as possible is enabled in city centre zones, local authorities will need to: </w:t>
      </w:r>
    </w:p>
    <w:p w14:paraId="7F76F7B9" w14:textId="59C8B4E6" w:rsidR="00C0111D" w:rsidRPr="00C0111D" w:rsidRDefault="00A22D15" w:rsidP="008470FA">
      <w:pPr>
        <w:pStyle w:val="Bullet"/>
        <w:rPr>
          <w:rFonts w:eastAsiaTheme="minorEastAsia"/>
        </w:rPr>
      </w:pPr>
      <w:r>
        <w:rPr>
          <w:rFonts w:eastAsiaTheme="minorEastAsia"/>
        </w:rPr>
        <w:t>c</w:t>
      </w:r>
      <w:r w:rsidR="00C0111D" w:rsidRPr="00C0111D">
        <w:rPr>
          <w:rFonts w:eastAsiaTheme="minorEastAsia"/>
        </w:rPr>
        <w:t>learly articulate the development outcomes intended in the city centre zone objectives</w:t>
      </w:r>
    </w:p>
    <w:p w14:paraId="120A64FA" w14:textId="5CFF2724" w:rsidR="00C0111D" w:rsidRPr="00C0111D" w:rsidRDefault="00A22D15" w:rsidP="008470FA">
      <w:pPr>
        <w:pStyle w:val="Bullet"/>
        <w:rPr>
          <w:rFonts w:eastAsiaTheme="minorEastAsia"/>
        </w:rPr>
      </w:pPr>
      <w:r>
        <w:rPr>
          <w:rFonts w:eastAsiaTheme="minorEastAsia"/>
        </w:rPr>
        <w:t>r</w:t>
      </w:r>
      <w:r w:rsidR="00C0111D" w:rsidRPr="00C0111D">
        <w:rPr>
          <w:rFonts w:eastAsiaTheme="minorEastAsia"/>
        </w:rPr>
        <w:t>eview</w:t>
      </w:r>
      <w:r w:rsidR="00085E3A">
        <w:rPr>
          <w:rFonts w:eastAsiaTheme="minorEastAsia"/>
        </w:rPr>
        <w:t xml:space="preserve"> and</w:t>
      </w:r>
      <w:r>
        <w:rPr>
          <w:rFonts w:eastAsiaTheme="minorEastAsia"/>
        </w:rPr>
        <w:t>,</w:t>
      </w:r>
      <w:r w:rsidR="00C0111D" w:rsidRPr="00C0111D">
        <w:rPr>
          <w:rFonts w:eastAsiaTheme="minorEastAsia"/>
        </w:rPr>
        <w:t xml:space="preserve"> if necessary, update the rule framework to ensure development controls relating specifically to heights and densities will not undermine intensification</w:t>
      </w:r>
      <w:r w:rsidR="00085E3A">
        <w:rPr>
          <w:rFonts w:eastAsiaTheme="minorEastAsia"/>
        </w:rPr>
        <w:t xml:space="preserve"> and</w:t>
      </w:r>
      <w:r w:rsidR="00C0111D" w:rsidRPr="00C0111D">
        <w:rPr>
          <w:rFonts w:eastAsiaTheme="minorEastAsia"/>
        </w:rPr>
        <w:t xml:space="preserve"> that the cumulative effects of district plan provisions are consistent with the outcomes required. </w:t>
      </w:r>
    </w:p>
    <w:p w14:paraId="33D08C89" w14:textId="785AC0EE" w:rsidR="00C0111D" w:rsidRPr="00C0111D" w:rsidRDefault="00161F4F" w:rsidP="00161F4F">
      <w:pPr>
        <w:pStyle w:val="Heading3"/>
        <w:rPr>
          <w:rFonts w:eastAsiaTheme="minorEastAsia"/>
        </w:rPr>
      </w:pPr>
      <w:bookmarkStart w:id="58" w:name="_Toc50720794"/>
      <w:r>
        <w:rPr>
          <w:rFonts w:eastAsiaTheme="minorEastAsia"/>
        </w:rPr>
        <w:t>6</w:t>
      </w:r>
      <w:r w:rsidR="00C0111D" w:rsidRPr="00C0111D">
        <w:rPr>
          <w:rFonts w:eastAsiaTheme="minorEastAsia"/>
        </w:rPr>
        <w:t>.3</w:t>
      </w:r>
      <w:r w:rsidR="00C0111D" w:rsidRPr="00C0111D">
        <w:rPr>
          <w:rFonts w:eastAsiaTheme="minorEastAsia"/>
        </w:rPr>
        <w:tab/>
        <w:t>Metropolitan centre zones (Policy 3(b))</w:t>
      </w:r>
      <w:bookmarkEnd w:id="58"/>
    </w:p>
    <w:p w14:paraId="62AC22B5" w14:textId="6AD1613F" w:rsidR="00C0111D" w:rsidRPr="00C0111D" w:rsidRDefault="00C0111D" w:rsidP="007F3426">
      <w:pPr>
        <w:pStyle w:val="BodyText"/>
      </w:pPr>
      <w:r w:rsidRPr="00C0111D">
        <w:t>The requirement for tier 1 local authorities to enable</w:t>
      </w:r>
      <w:r w:rsidR="009113AC">
        <w:t xml:space="preserve"> </w:t>
      </w:r>
      <w:r w:rsidRPr="00C0111D">
        <w:t>at least six storeys in metropolitan centres is intended to ensure there are sufficient opportunities to enable more people to live in</w:t>
      </w:r>
      <w:r w:rsidR="00A22D15">
        <w:t>,</w:t>
      </w:r>
      <w:r w:rsidR="00085E3A">
        <w:t xml:space="preserve"> and</w:t>
      </w:r>
      <w:r w:rsidRPr="00C0111D">
        <w:t xml:space="preserve"> more businesses and community services to be located in, areas </w:t>
      </w:r>
      <w:r w:rsidR="00A22D15">
        <w:t>with</w:t>
      </w:r>
      <w:r w:rsidRPr="00C0111D">
        <w:t xml:space="preserve"> high demand</w:t>
      </w:r>
      <w:r w:rsidR="00A22D15">
        <w:t xml:space="preserve"> and </w:t>
      </w:r>
      <w:r w:rsidRPr="00C0111D">
        <w:t>good access</w:t>
      </w:r>
      <w:r w:rsidR="00085E3A">
        <w:t xml:space="preserve"> and</w:t>
      </w:r>
      <w:r w:rsidRPr="00C0111D">
        <w:t xml:space="preserve"> well-serviced by existing or planned public transport. In most cases, metropolitan centre zones will exhibit most, if not all</w:t>
      </w:r>
      <w:r w:rsidR="00A22D15">
        <w:t>, of</w:t>
      </w:r>
      <w:r w:rsidRPr="00C0111D">
        <w:t xml:space="preserve"> these attributes.</w:t>
      </w:r>
    </w:p>
    <w:p w14:paraId="00BC69C7" w14:textId="7EC6E1D6" w:rsidR="00C0111D" w:rsidRPr="00C0111D" w:rsidRDefault="00C0111D" w:rsidP="00161F4F">
      <w:pPr>
        <w:pStyle w:val="Box"/>
      </w:pPr>
      <w:r w:rsidRPr="00C0111D">
        <w:t>Tier 1 local authorities are required</w:t>
      </w:r>
      <w:r w:rsidR="00A22D15">
        <w:t>,</w:t>
      </w:r>
      <w:r w:rsidRPr="00C0111D">
        <w:t xml:space="preserve"> at a minimum</w:t>
      </w:r>
      <w:r w:rsidR="00A22D15">
        <w:t>,</w:t>
      </w:r>
      <w:r w:rsidRPr="00C0111D">
        <w:t xml:space="preserve"> to enable at least six storeys within metropolitan centre zones. The six storeys is a minimum and not a target, with Policy 3 requiring building heights and density of urban form to reflect demand for housing and business use. There may be cases where higher heights and densities than the six</w:t>
      </w:r>
      <w:r w:rsidR="00A22D15">
        <w:t>-</w:t>
      </w:r>
      <w:r w:rsidRPr="00C0111D">
        <w:t xml:space="preserve">storey minimum as directed might be appropriate, for example: </w:t>
      </w:r>
    </w:p>
    <w:p w14:paraId="5732999C" w14:textId="2EA44A23" w:rsidR="00C0111D" w:rsidRPr="00C0111D" w:rsidRDefault="00A22D15" w:rsidP="000D494E">
      <w:pPr>
        <w:pStyle w:val="Box"/>
        <w:numPr>
          <w:ilvl w:val="0"/>
          <w:numId w:val="26"/>
        </w:numPr>
        <w:ind w:left="641" w:hanging="357"/>
      </w:pPr>
      <w:r>
        <w:t>w</w:t>
      </w:r>
      <w:r w:rsidR="00C0111D" w:rsidRPr="00C0111D">
        <w:t>here there is a high level of demand – this could include areas with good outlooks or views, or areas adjoining or near open space</w:t>
      </w:r>
      <w:r>
        <w:t>,</w:t>
      </w:r>
      <w:r w:rsidR="00C0111D" w:rsidRPr="00C0111D">
        <w:t xml:space="preserve"> which provide higher levels of amenity</w:t>
      </w:r>
    </w:p>
    <w:p w14:paraId="4B3BD6DB" w14:textId="16E2A782" w:rsidR="00C0111D" w:rsidRPr="00C0111D" w:rsidRDefault="00A22D15" w:rsidP="000D494E">
      <w:pPr>
        <w:pStyle w:val="Box"/>
        <w:numPr>
          <w:ilvl w:val="0"/>
          <w:numId w:val="26"/>
        </w:numPr>
        <w:ind w:left="641" w:hanging="357"/>
      </w:pPr>
      <w:r>
        <w:t>a</w:t>
      </w:r>
      <w:r w:rsidR="00C0111D" w:rsidRPr="00C0111D">
        <w:t>reas with more jobs or access to job opportunities</w:t>
      </w:r>
    </w:p>
    <w:p w14:paraId="51AE650D" w14:textId="252985A1" w:rsidR="00C0111D" w:rsidRPr="00C0111D" w:rsidRDefault="00A22D15" w:rsidP="000D494E">
      <w:pPr>
        <w:pStyle w:val="Box"/>
        <w:numPr>
          <w:ilvl w:val="0"/>
          <w:numId w:val="26"/>
        </w:numPr>
        <w:ind w:left="641" w:hanging="357"/>
      </w:pPr>
      <w:r>
        <w:t>a</w:t>
      </w:r>
      <w:r w:rsidR="00C0111D" w:rsidRPr="00C0111D">
        <w:t>reas where multiple modes of transport are accessible – both public and active</w:t>
      </w:r>
      <w:r>
        <w:t>.</w:t>
      </w:r>
    </w:p>
    <w:p w14:paraId="3626BD34" w14:textId="5C1B9516" w:rsidR="008470FA" w:rsidRDefault="00C0111D" w:rsidP="00161F4F">
      <w:pPr>
        <w:pStyle w:val="Box"/>
      </w:pPr>
      <w:r w:rsidRPr="00C0111D">
        <w:t>In these types of scenarios</w:t>
      </w:r>
      <w:r w:rsidR="00A22D15">
        <w:t>,</w:t>
      </w:r>
      <w:r w:rsidRPr="00C0111D">
        <w:t xml:space="preserve"> amongst others, it would be considered appropriate to enable more intensification tha</w:t>
      </w:r>
      <w:r w:rsidR="00A22D15">
        <w:t>n</w:t>
      </w:r>
      <w:r w:rsidRPr="00C0111D">
        <w:t xml:space="preserve"> the minimum requirement. This </w:t>
      </w:r>
      <w:r w:rsidR="00A22D15">
        <w:t>would mean, for example,</w:t>
      </w:r>
      <w:r w:rsidR="00A22D15" w:rsidRPr="00C0111D">
        <w:t xml:space="preserve"> </w:t>
      </w:r>
      <w:r w:rsidRPr="00C0111D">
        <w:t xml:space="preserve">that if there </w:t>
      </w:r>
      <w:r w:rsidR="00A22D15">
        <w:t>was</w:t>
      </w:r>
      <w:r w:rsidR="00A22D15" w:rsidRPr="00C0111D">
        <w:t xml:space="preserve"> </w:t>
      </w:r>
      <w:r w:rsidRPr="00C0111D">
        <w:t>demand for residential and commercial space in a metropolitan centre that requir</w:t>
      </w:r>
      <w:r w:rsidR="00A22D15">
        <w:t>ed</w:t>
      </w:r>
      <w:r w:rsidRPr="00C0111D">
        <w:t xml:space="preserve"> </w:t>
      </w:r>
      <w:r w:rsidR="00A22D15">
        <w:t>more</w:t>
      </w:r>
      <w:r w:rsidR="00A22D15" w:rsidRPr="00C0111D">
        <w:t xml:space="preserve"> </w:t>
      </w:r>
      <w:r w:rsidRPr="00C0111D">
        <w:t xml:space="preserve">than six storeys, then that </w:t>
      </w:r>
      <w:r w:rsidR="00A22D15">
        <w:t>would be</w:t>
      </w:r>
      <w:r w:rsidR="00A22D15" w:rsidRPr="00C0111D">
        <w:t xml:space="preserve"> </w:t>
      </w:r>
      <w:r w:rsidRPr="00C0111D">
        <w:t>what should be enabled.</w:t>
      </w:r>
    </w:p>
    <w:p w14:paraId="6B6F9991" w14:textId="720F0B15" w:rsidR="00C0111D" w:rsidRPr="00C0111D" w:rsidRDefault="00C0111D" w:rsidP="007F3426">
      <w:pPr>
        <w:pStyle w:val="BodyText"/>
      </w:pPr>
      <w:r w:rsidRPr="00C0111D">
        <w:t>For the avoidance of doubt, the six</w:t>
      </w:r>
      <w:r w:rsidR="00A22D15">
        <w:t>-</w:t>
      </w:r>
      <w:r w:rsidRPr="00C0111D">
        <w:t xml:space="preserve">storey minimum is </w:t>
      </w:r>
      <w:r w:rsidR="00CB3B62">
        <w:t xml:space="preserve">the </w:t>
      </w:r>
      <w:r w:rsidRPr="00C0111D">
        <w:t>minimum district plans must enable</w:t>
      </w:r>
      <w:r w:rsidR="00085E3A">
        <w:t xml:space="preserve"> and</w:t>
      </w:r>
      <w:r w:rsidRPr="00C0111D">
        <w:t xml:space="preserve"> not a minimum development rule. For example, local authorities are not required to set objectives, policies and rules to prevent the construction of buildings less than six storeys. While plans must enable six or more storeys, a developer or land</w:t>
      </w:r>
      <w:r w:rsidR="001D0F35">
        <w:t xml:space="preserve"> </w:t>
      </w:r>
      <w:r w:rsidRPr="00C0111D">
        <w:t xml:space="preserve">owner can still choose to construct a </w:t>
      </w:r>
      <w:r w:rsidR="00A22D15">
        <w:br/>
      </w:r>
      <w:r w:rsidRPr="00C0111D">
        <w:t>four</w:t>
      </w:r>
      <w:r w:rsidR="00A22D15">
        <w:t>-</w:t>
      </w:r>
      <w:r w:rsidRPr="00C0111D">
        <w:t>storey building. Instead, district plans just need to be enabling</w:t>
      </w:r>
      <w:r w:rsidR="00A22D15">
        <w:t>,</w:t>
      </w:r>
      <w:r w:rsidRPr="00C0111D">
        <w:t xml:space="preserve"> with the controls supporting the minimum height (six storeys or more) and as much yield of developable space across a site as appropriate, without compromising well-functioning urban environments. This will include:</w:t>
      </w:r>
    </w:p>
    <w:p w14:paraId="336347DD" w14:textId="0D6FD0FC" w:rsidR="00C0111D" w:rsidRPr="00C0111D" w:rsidRDefault="00A22D15" w:rsidP="008470FA">
      <w:pPr>
        <w:pStyle w:val="Bullet"/>
        <w:rPr>
          <w:rFonts w:eastAsiaTheme="minorEastAsia"/>
        </w:rPr>
      </w:pPr>
      <w:r>
        <w:rPr>
          <w:rFonts w:eastAsiaTheme="minorEastAsia"/>
        </w:rPr>
        <w:t>r</w:t>
      </w:r>
      <w:r w:rsidR="00C0111D" w:rsidRPr="00C0111D">
        <w:rPr>
          <w:rFonts w:eastAsiaTheme="minorEastAsia"/>
        </w:rPr>
        <w:t>eviewing</w:t>
      </w:r>
      <w:r w:rsidR="00085E3A">
        <w:rPr>
          <w:rFonts w:eastAsiaTheme="minorEastAsia"/>
        </w:rPr>
        <w:t xml:space="preserve"> and</w:t>
      </w:r>
      <w:r>
        <w:rPr>
          <w:rFonts w:eastAsiaTheme="minorEastAsia"/>
        </w:rPr>
        <w:t>,</w:t>
      </w:r>
      <w:r w:rsidR="00C0111D" w:rsidRPr="00C0111D">
        <w:rPr>
          <w:rFonts w:eastAsiaTheme="minorEastAsia"/>
        </w:rPr>
        <w:t xml:space="preserve"> if necessary, updating provisions to enable these outcomes to be achieved, including understanding how the package of controls </w:t>
      </w:r>
      <w:r w:rsidR="001D0F35">
        <w:rPr>
          <w:rFonts w:eastAsiaTheme="minorEastAsia"/>
        </w:rPr>
        <w:t>a</w:t>
      </w:r>
      <w:r w:rsidR="00C0111D" w:rsidRPr="00C0111D">
        <w:rPr>
          <w:rFonts w:eastAsiaTheme="minorEastAsia"/>
        </w:rPr>
        <w:t>ffects the delivery of both the minimum storey requirements</w:t>
      </w:r>
      <w:r w:rsidR="00085E3A">
        <w:rPr>
          <w:rFonts w:eastAsiaTheme="minorEastAsia"/>
        </w:rPr>
        <w:t xml:space="preserve"> and</w:t>
      </w:r>
      <w:r w:rsidR="00C0111D" w:rsidRPr="00C0111D">
        <w:rPr>
          <w:rFonts w:eastAsiaTheme="minorEastAsia"/>
        </w:rPr>
        <w:t xml:space="preserve"> the total developable space yields. This will </w:t>
      </w:r>
      <w:r>
        <w:rPr>
          <w:rFonts w:eastAsiaTheme="minorEastAsia"/>
        </w:rPr>
        <w:t>require</w:t>
      </w:r>
      <w:r w:rsidRPr="00C0111D">
        <w:rPr>
          <w:rFonts w:eastAsiaTheme="minorEastAsia"/>
        </w:rPr>
        <w:t xml:space="preserve"> </w:t>
      </w:r>
      <w:r w:rsidR="00C0111D" w:rsidRPr="00C0111D">
        <w:rPr>
          <w:rFonts w:eastAsiaTheme="minorEastAsia"/>
        </w:rPr>
        <w:t>understanding how the provisions relat</w:t>
      </w:r>
      <w:r>
        <w:rPr>
          <w:rFonts w:eastAsiaTheme="minorEastAsia"/>
        </w:rPr>
        <w:t>e</w:t>
      </w:r>
      <w:r w:rsidR="00C0111D" w:rsidRPr="00C0111D">
        <w:rPr>
          <w:rFonts w:eastAsiaTheme="minorEastAsia"/>
        </w:rPr>
        <w:t xml:space="preserve"> to (but </w:t>
      </w:r>
      <w:r w:rsidR="008828F5">
        <w:rPr>
          <w:rFonts w:eastAsiaTheme="minorEastAsia"/>
        </w:rPr>
        <w:t xml:space="preserve">are </w:t>
      </w:r>
      <w:r w:rsidR="00C0111D" w:rsidRPr="00C0111D">
        <w:rPr>
          <w:rFonts w:eastAsiaTheme="minorEastAsia"/>
        </w:rPr>
        <w:t>not limited to) gross floor area, yard and podium setbacks</w:t>
      </w:r>
      <w:r w:rsidR="00085E3A">
        <w:rPr>
          <w:rFonts w:eastAsiaTheme="minorEastAsia"/>
        </w:rPr>
        <w:t xml:space="preserve"> and</w:t>
      </w:r>
      <w:r w:rsidR="00C0111D" w:rsidRPr="00C0111D">
        <w:rPr>
          <w:rFonts w:eastAsiaTheme="minorEastAsia"/>
        </w:rPr>
        <w:t xml:space="preserve"> recession planes</w:t>
      </w:r>
    </w:p>
    <w:p w14:paraId="02C8AA41" w14:textId="5D52E9A5" w:rsidR="00C0111D" w:rsidRPr="00C0111D" w:rsidRDefault="00A22D15" w:rsidP="008470FA">
      <w:pPr>
        <w:pStyle w:val="Bullet"/>
        <w:rPr>
          <w:rFonts w:eastAsiaTheme="minorEastAsia"/>
        </w:rPr>
      </w:pPr>
      <w:r>
        <w:rPr>
          <w:rFonts w:eastAsiaTheme="minorEastAsia"/>
        </w:rPr>
        <w:t>e</w:t>
      </w:r>
      <w:r w:rsidR="00C0111D" w:rsidRPr="00C0111D">
        <w:rPr>
          <w:rFonts w:eastAsiaTheme="minorEastAsia"/>
        </w:rPr>
        <w:t xml:space="preserve">nabling maximum yield across a site – this doesn’t mean density controls cannot be used but rather </w:t>
      </w:r>
      <w:r w:rsidR="008828F5">
        <w:rPr>
          <w:rFonts w:eastAsiaTheme="minorEastAsia"/>
        </w:rPr>
        <w:t>they</w:t>
      </w:r>
      <w:r w:rsidR="00C0111D" w:rsidRPr="00C0111D">
        <w:rPr>
          <w:rFonts w:eastAsiaTheme="minorEastAsia"/>
        </w:rPr>
        <w:t xml:space="preserve"> shouldn’t undermine or restrict these outcomes</w:t>
      </w:r>
    </w:p>
    <w:p w14:paraId="67381F3B" w14:textId="42720F23" w:rsidR="00C0111D" w:rsidRPr="00C0111D" w:rsidRDefault="00A22D15" w:rsidP="008470FA">
      <w:pPr>
        <w:pStyle w:val="Bullet"/>
        <w:rPr>
          <w:rFonts w:eastAsiaTheme="minorEastAsia"/>
        </w:rPr>
      </w:pPr>
      <w:r>
        <w:rPr>
          <w:rFonts w:eastAsiaTheme="minorEastAsia"/>
        </w:rPr>
        <w:lastRenderedPageBreak/>
        <w:t>e</w:t>
      </w:r>
      <w:r w:rsidR="00C0111D" w:rsidRPr="00C0111D">
        <w:rPr>
          <w:rFonts w:eastAsiaTheme="minorEastAsia"/>
        </w:rPr>
        <w:t>nabling different building typologies that support a greater yield across a site (</w:t>
      </w:r>
      <w:r w:rsidR="009113AC">
        <w:rPr>
          <w:rFonts w:eastAsiaTheme="minorEastAsia"/>
        </w:rPr>
        <w:t>eg,</w:t>
      </w:r>
      <w:r w:rsidR="00C0111D" w:rsidRPr="00C0111D">
        <w:rPr>
          <w:rFonts w:eastAsiaTheme="minorEastAsia"/>
        </w:rPr>
        <w:t xml:space="preserve"> height and density).</w:t>
      </w:r>
    </w:p>
    <w:p w14:paraId="6F130D4C" w14:textId="2605A280" w:rsidR="00C0111D" w:rsidRPr="00C0111D" w:rsidRDefault="00C0111D" w:rsidP="007F3426">
      <w:pPr>
        <w:pStyle w:val="BodyText"/>
      </w:pPr>
      <w:r w:rsidRPr="00C0111D">
        <w:t xml:space="preserve">The below example (Figure </w:t>
      </w:r>
      <w:r w:rsidR="00625402">
        <w:t>9</w:t>
      </w:r>
      <w:r w:rsidR="008828F5">
        <w:t>)</w:t>
      </w:r>
      <w:r w:rsidRPr="00C0111D">
        <w:t xml:space="preserve"> shows how a package of district plan rules could prevent or undermine six storeys from being realised on sites in the walkable catchment of a metropolitan centre zone. In this case, the application of rules (</w:t>
      </w:r>
      <w:r w:rsidR="009113AC">
        <w:t xml:space="preserve">eg, </w:t>
      </w:r>
      <w:r w:rsidRPr="00C0111D">
        <w:t>setback from the front or road boundary</w:t>
      </w:r>
      <w:r w:rsidR="00085E3A">
        <w:t xml:space="preserve"> and</w:t>
      </w:r>
      <w:r w:rsidRPr="00C0111D">
        <w:t xml:space="preserve"> height in relation to boundary from the adjoining residential zone) in practice only allows four storeys to be realised</w:t>
      </w:r>
      <w:r w:rsidR="00085E3A">
        <w:t xml:space="preserve"> and</w:t>
      </w:r>
      <w:r w:rsidRPr="00C0111D">
        <w:t xml:space="preserve"> prevents the six minimum storeys being achieved.</w:t>
      </w:r>
    </w:p>
    <w:p w14:paraId="48F21EE9" w14:textId="4F804FD8" w:rsidR="00C0111D" w:rsidRPr="00C0111D" w:rsidRDefault="00C0111D" w:rsidP="008470FA">
      <w:pPr>
        <w:pStyle w:val="Figureheading"/>
      </w:pPr>
      <w:bookmarkStart w:id="59" w:name="_Toc51240495"/>
      <w:r w:rsidRPr="00C0111D">
        <w:t xml:space="preserve">Figure </w:t>
      </w:r>
      <w:r w:rsidR="00625402">
        <w:t>9</w:t>
      </w:r>
      <w:r w:rsidRPr="00C0111D">
        <w:t xml:space="preserve">: </w:t>
      </w:r>
      <w:r w:rsidR="008470FA">
        <w:tab/>
      </w:r>
      <w:r w:rsidRPr="00C0111D">
        <w:t>Example of how a package of district plan controls could prevent the six</w:t>
      </w:r>
      <w:r w:rsidR="008828F5">
        <w:t>-</w:t>
      </w:r>
      <w:r w:rsidRPr="00C0111D">
        <w:t>storey minimum being achieved in a metropolitan centre zone walkable catchment</w:t>
      </w:r>
      <w:bookmarkEnd w:id="59"/>
    </w:p>
    <w:p w14:paraId="0B98A5B1" w14:textId="1535235B" w:rsidR="00C0111D" w:rsidRPr="00C0111D" w:rsidRDefault="00C0111D" w:rsidP="007F3426">
      <w:pPr>
        <w:pStyle w:val="BodyText"/>
      </w:pPr>
      <w:r w:rsidRPr="00C0111D">
        <w:t xml:space="preserve"> </w:t>
      </w:r>
      <w:r w:rsidR="008470FA">
        <w:rPr>
          <w:noProof/>
        </w:rPr>
        <w:drawing>
          <wp:inline distT="0" distB="0" distL="0" distR="0" wp14:anchorId="329A0B4A" wp14:editId="5AAFD652">
            <wp:extent cx="5399998" cy="4602061"/>
            <wp:effectExtent l="0" t="0" r="0" b="8255"/>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399998" cy="4602061"/>
                    </a:xfrm>
                    <a:prstGeom prst="rect">
                      <a:avLst/>
                    </a:prstGeom>
                  </pic:spPr>
                </pic:pic>
              </a:graphicData>
            </a:graphic>
          </wp:inline>
        </w:drawing>
      </w:r>
    </w:p>
    <w:p w14:paraId="7A1930FE" w14:textId="6163174B" w:rsidR="00C0111D" w:rsidRPr="00C0111D" w:rsidRDefault="008828F5" w:rsidP="007F3426">
      <w:pPr>
        <w:pStyle w:val="BodyText"/>
      </w:pPr>
      <w:r>
        <w:t>Instead, l</w:t>
      </w:r>
      <w:r w:rsidR="00C0111D" w:rsidRPr="00C0111D">
        <w:t>ocal authorities should ensure the package of district plan rules allow</w:t>
      </w:r>
      <w:r>
        <w:t>s</w:t>
      </w:r>
      <w:r w:rsidR="00C0111D" w:rsidRPr="00C0111D">
        <w:t xml:space="preserve"> six storeys to be realised on sites. Figure </w:t>
      </w:r>
      <w:r w:rsidR="00625402">
        <w:t>10</w:t>
      </w:r>
      <w:r w:rsidR="00625402" w:rsidRPr="00C0111D">
        <w:t xml:space="preserve"> </w:t>
      </w:r>
      <w:r w:rsidR="00C0111D" w:rsidRPr="00C0111D">
        <w:t>below shows how district plan rules and controls can enable six storeys. In this case, recession planes may still be appropriate but need to enable flexibility at upper floors. In combination with other controls (</w:t>
      </w:r>
      <w:r w:rsidR="009113AC">
        <w:t>eg,</w:t>
      </w:r>
      <w:r w:rsidR="00C0111D" w:rsidRPr="00C0111D">
        <w:t xml:space="preserve"> yards), increased recession plane angles and projection heights can support taller buildings. For example, these recession planes can still enable adequate daylight or sunlight to adjacent sites or zones, as well as encourage some building setback at upper levels to reduce perceived building height and visual dominance. Local authorities should also consider providing a gradual step down in zones and where </w:t>
      </w:r>
      <w:r>
        <w:t xml:space="preserve">to locate </w:t>
      </w:r>
      <w:r w:rsidR="00C0111D" w:rsidRPr="00C0111D">
        <w:t>zone boundaries to avoid interf</w:t>
      </w:r>
      <w:r w:rsidR="000D494E">
        <w:t>ace issues with adjoining zones.</w:t>
      </w:r>
    </w:p>
    <w:p w14:paraId="33797B3B" w14:textId="1D9E0275" w:rsidR="00C0111D" w:rsidRPr="00C0111D" w:rsidRDefault="00C0111D" w:rsidP="008470FA">
      <w:pPr>
        <w:pStyle w:val="Figureheading"/>
      </w:pPr>
      <w:bookmarkStart w:id="60" w:name="_Toc51240496"/>
      <w:r w:rsidRPr="00C0111D">
        <w:lastRenderedPageBreak/>
        <w:t xml:space="preserve">Figure </w:t>
      </w:r>
      <w:r w:rsidR="00625402">
        <w:t>10</w:t>
      </w:r>
      <w:r w:rsidRPr="00C0111D">
        <w:t xml:space="preserve">: </w:t>
      </w:r>
      <w:r w:rsidR="008470FA">
        <w:tab/>
      </w:r>
      <w:r w:rsidRPr="00C0111D">
        <w:t xml:space="preserve">Example of how </w:t>
      </w:r>
      <w:r w:rsidR="008828F5">
        <w:t xml:space="preserve">a </w:t>
      </w:r>
      <w:r w:rsidRPr="00C0111D">
        <w:t>package of district plan controls could enable the six</w:t>
      </w:r>
      <w:r w:rsidR="008828F5">
        <w:t>-</w:t>
      </w:r>
      <w:r w:rsidRPr="00C0111D">
        <w:t>storey minimum in a metropolitan centre zone walkable catchment</w:t>
      </w:r>
      <w:bookmarkEnd w:id="60"/>
    </w:p>
    <w:p w14:paraId="1C22455E" w14:textId="233224BA" w:rsidR="007A064E" w:rsidRDefault="007A064E" w:rsidP="009F1328">
      <w:pPr>
        <w:pStyle w:val="Heading2"/>
        <w:numPr>
          <w:ilvl w:val="0"/>
          <w:numId w:val="0"/>
        </w:numPr>
        <w:ind w:left="851" w:hanging="851"/>
        <w:rPr>
          <w:noProof/>
        </w:rPr>
      </w:pPr>
      <w:bookmarkStart w:id="61" w:name="_Toc50720795"/>
      <w:r>
        <w:rPr>
          <w:noProof/>
        </w:rPr>
        <w:drawing>
          <wp:anchor distT="0" distB="0" distL="114300" distR="114300" simplePos="0" relativeHeight="251666432" behindDoc="1" locked="0" layoutInCell="1" allowOverlap="1" wp14:anchorId="18CFE067" wp14:editId="1A927022">
            <wp:simplePos x="0" y="0"/>
            <wp:positionH relativeFrom="margin">
              <wp:posOffset>4445</wp:posOffset>
            </wp:positionH>
            <wp:positionV relativeFrom="paragraph">
              <wp:posOffset>76835</wp:posOffset>
            </wp:positionV>
            <wp:extent cx="5399405" cy="44577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rotWithShape="1">
                    <a:blip r:embed="rId29">
                      <a:extLst>
                        <a:ext uri="{28A0092B-C50C-407E-A947-70E740481C1C}">
                          <a14:useLocalDpi xmlns:a14="http://schemas.microsoft.com/office/drawing/2010/main" val="0"/>
                        </a:ext>
                      </a:extLst>
                    </a:blip>
                    <a:srcRect t="5612" b="3819"/>
                    <a:stretch/>
                  </pic:blipFill>
                  <pic:spPr bwMode="auto">
                    <a:xfrm>
                      <a:off x="0" y="0"/>
                      <a:ext cx="5399405" cy="445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61"/>
    <w:p w14:paraId="0FB223E1" w14:textId="1ACC4A8A" w:rsidR="009F1328" w:rsidRDefault="009F1328" w:rsidP="009F1328">
      <w:pPr>
        <w:pStyle w:val="Heading2"/>
        <w:numPr>
          <w:ilvl w:val="0"/>
          <w:numId w:val="0"/>
        </w:numPr>
        <w:ind w:left="851" w:hanging="851"/>
        <w:rPr>
          <w:rFonts w:eastAsiaTheme="minorEastAsia"/>
        </w:rPr>
      </w:pPr>
    </w:p>
    <w:p w14:paraId="5EC1B4DA" w14:textId="45680B46" w:rsidR="009F1328" w:rsidRDefault="009F1328" w:rsidP="009F1328">
      <w:pPr>
        <w:pStyle w:val="Heading2"/>
        <w:numPr>
          <w:ilvl w:val="0"/>
          <w:numId w:val="0"/>
        </w:numPr>
        <w:ind w:left="4406"/>
        <w:rPr>
          <w:rFonts w:eastAsiaTheme="minorEastAsia"/>
        </w:rPr>
      </w:pPr>
    </w:p>
    <w:p w14:paraId="51A60E37" w14:textId="77777777" w:rsidR="009F1328" w:rsidRDefault="009F1328" w:rsidP="009F1328">
      <w:pPr>
        <w:pStyle w:val="Heading2"/>
        <w:numPr>
          <w:ilvl w:val="0"/>
          <w:numId w:val="0"/>
        </w:numPr>
        <w:ind w:left="851" w:hanging="851"/>
        <w:rPr>
          <w:rFonts w:eastAsiaTheme="minorEastAsia"/>
        </w:rPr>
      </w:pPr>
    </w:p>
    <w:p w14:paraId="0DE59DB6" w14:textId="77777777" w:rsidR="009F1328" w:rsidRDefault="009F1328" w:rsidP="009F1328">
      <w:pPr>
        <w:pStyle w:val="Heading2"/>
        <w:numPr>
          <w:ilvl w:val="0"/>
          <w:numId w:val="0"/>
        </w:numPr>
        <w:ind w:left="851" w:hanging="851"/>
        <w:rPr>
          <w:rFonts w:eastAsiaTheme="minorEastAsia"/>
        </w:rPr>
      </w:pPr>
    </w:p>
    <w:p w14:paraId="5AC2B870" w14:textId="77777777" w:rsidR="009F1328" w:rsidRDefault="009F1328" w:rsidP="009F1328">
      <w:pPr>
        <w:pStyle w:val="Heading2"/>
        <w:numPr>
          <w:ilvl w:val="0"/>
          <w:numId w:val="0"/>
        </w:numPr>
        <w:ind w:left="851" w:hanging="851"/>
        <w:rPr>
          <w:rFonts w:eastAsiaTheme="minorEastAsia"/>
        </w:rPr>
      </w:pPr>
    </w:p>
    <w:p w14:paraId="7969F285" w14:textId="77777777" w:rsidR="009F1328" w:rsidRDefault="009F1328" w:rsidP="009F1328">
      <w:pPr>
        <w:pStyle w:val="Heading2"/>
        <w:numPr>
          <w:ilvl w:val="0"/>
          <w:numId w:val="0"/>
        </w:numPr>
        <w:ind w:left="851" w:hanging="851"/>
        <w:rPr>
          <w:rFonts w:eastAsiaTheme="minorEastAsia"/>
        </w:rPr>
      </w:pPr>
    </w:p>
    <w:p w14:paraId="53A9BB21" w14:textId="77777777" w:rsidR="009F1328" w:rsidRDefault="009F1328" w:rsidP="009F1328">
      <w:pPr>
        <w:pStyle w:val="Heading2"/>
        <w:numPr>
          <w:ilvl w:val="0"/>
          <w:numId w:val="0"/>
        </w:numPr>
      </w:pPr>
    </w:p>
    <w:p w14:paraId="3B624887" w14:textId="77777777" w:rsidR="009F1328" w:rsidRDefault="009F1328" w:rsidP="009F1328">
      <w:pPr>
        <w:pStyle w:val="Heading2"/>
        <w:numPr>
          <w:ilvl w:val="0"/>
          <w:numId w:val="0"/>
        </w:numPr>
      </w:pPr>
    </w:p>
    <w:p w14:paraId="5679631E" w14:textId="42F7CEF0" w:rsidR="00C0111D" w:rsidRPr="009F1328" w:rsidRDefault="00161F4F" w:rsidP="00161F4F">
      <w:pPr>
        <w:pStyle w:val="Heading3"/>
      </w:pPr>
      <w:bookmarkStart w:id="62" w:name="_6.4_Walkable_catchments"/>
      <w:bookmarkStart w:id="63" w:name="_Toc50720796"/>
      <w:bookmarkStart w:id="64" w:name="_Ref51146356"/>
      <w:bookmarkStart w:id="65" w:name="_Ref51146360"/>
      <w:bookmarkStart w:id="66" w:name="_Ref51146375"/>
      <w:bookmarkEnd w:id="62"/>
      <w:r>
        <w:t>6</w:t>
      </w:r>
      <w:r w:rsidR="009F1328">
        <w:t>.4</w:t>
      </w:r>
      <w:r w:rsidR="009F1328" w:rsidRPr="009F1328">
        <w:tab/>
      </w:r>
      <w:r w:rsidR="00C0111D" w:rsidRPr="009F1328">
        <w:t>Walkable catchments (Policy 3(c))</w:t>
      </w:r>
      <w:bookmarkEnd w:id="63"/>
      <w:bookmarkEnd w:id="64"/>
      <w:bookmarkEnd w:id="65"/>
      <w:bookmarkEnd w:id="66"/>
    </w:p>
    <w:p w14:paraId="09DC6A31" w14:textId="46590334" w:rsidR="00C0111D" w:rsidRPr="00C0111D" w:rsidRDefault="00C0111D" w:rsidP="007F3426">
      <w:pPr>
        <w:pStyle w:val="BodyText"/>
      </w:pPr>
      <w:r w:rsidRPr="00C0111D">
        <w:t xml:space="preserve">The minimum height is also six storeys for areas within a walkable catchment of rapid transit stops, or the edge of city centre and metropolitan centre zones (refer </w:t>
      </w:r>
      <w:hyperlink w:anchor="_5.5_Walkable_catchments" w:history="1">
        <w:r w:rsidRPr="000D35C0">
          <w:rPr>
            <w:rStyle w:val="Hyperlink"/>
            <w:b/>
          </w:rPr>
          <w:t>section</w:t>
        </w:r>
      </w:hyperlink>
      <w:r w:rsidRPr="000D35C0">
        <w:rPr>
          <w:b/>
          <w:color w:val="32809C"/>
        </w:rPr>
        <w:t xml:space="preserve"> </w:t>
      </w:r>
      <w:r w:rsidR="000D494E" w:rsidRPr="000D35C0">
        <w:rPr>
          <w:b/>
          <w:color w:val="32809C"/>
        </w:rPr>
        <w:fldChar w:fldCharType="begin"/>
      </w:r>
      <w:r w:rsidR="000D494E" w:rsidRPr="000D35C0">
        <w:rPr>
          <w:b/>
          <w:color w:val="32809C"/>
        </w:rPr>
        <w:instrText xml:space="preserve"> REF _Ref51166194 \h </w:instrText>
      </w:r>
      <w:r w:rsidR="000D35C0">
        <w:rPr>
          <w:b/>
          <w:color w:val="32809C"/>
        </w:rPr>
        <w:instrText xml:space="preserve"> \* MERGEFORMAT </w:instrText>
      </w:r>
      <w:r w:rsidR="000D494E" w:rsidRPr="000D35C0">
        <w:rPr>
          <w:b/>
          <w:color w:val="32809C"/>
        </w:rPr>
      </w:r>
      <w:r w:rsidR="000D494E" w:rsidRPr="000D35C0">
        <w:rPr>
          <w:b/>
          <w:color w:val="32809C"/>
        </w:rPr>
        <w:fldChar w:fldCharType="separate"/>
      </w:r>
      <w:r w:rsidR="005D2599" w:rsidRPr="005D2599">
        <w:rPr>
          <w:b/>
          <w:color w:val="32809C"/>
        </w:rPr>
        <w:t>5.5</w:t>
      </w:r>
      <w:r w:rsidR="005D2599" w:rsidRPr="00C0111D">
        <w:tab/>
        <w:t>Walkable catchments</w:t>
      </w:r>
      <w:r w:rsidR="000D494E" w:rsidRPr="000D35C0">
        <w:rPr>
          <w:b/>
          <w:color w:val="32809C"/>
        </w:rPr>
        <w:fldChar w:fldCharType="end"/>
      </w:r>
      <w:r w:rsidRPr="00C0111D">
        <w:t>). Again, six storeys is the minimum and not a target</w:t>
      </w:r>
      <w:r w:rsidR="00085E3A">
        <w:t xml:space="preserve"> and</w:t>
      </w:r>
      <w:r w:rsidR="008828F5">
        <w:t>,</w:t>
      </w:r>
      <w:r w:rsidRPr="00C0111D">
        <w:t xml:space="preserve"> in many cases</w:t>
      </w:r>
      <w:r w:rsidR="008828F5">
        <w:t>,</w:t>
      </w:r>
      <w:r w:rsidRPr="00C0111D">
        <w:t xml:space="preserve"> local authorities should enable higher than six storeys, especially where there is evidence higher buildings would be appropriate, including</w:t>
      </w:r>
      <w:r w:rsidR="008828F5">
        <w:t xml:space="preserve"> when</w:t>
      </w:r>
      <w:r w:rsidRPr="00C0111D">
        <w:t>:</w:t>
      </w:r>
    </w:p>
    <w:p w14:paraId="67E289AE" w14:textId="2687EEEB" w:rsidR="00C0111D" w:rsidRPr="00C0111D" w:rsidRDefault="00C0111D" w:rsidP="008470FA">
      <w:pPr>
        <w:pStyle w:val="Bullet"/>
        <w:rPr>
          <w:rFonts w:eastAsiaTheme="minorEastAsia"/>
        </w:rPr>
      </w:pPr>
      <w:r w:rsidRPr="00C0111D">
        <w:rPr>
          <w:rFonts w:eastAsiaTheme="minorEastAsia"/>
        </w:rPr>
        <w:t>the HBA for the urban environment shows there is high demand for residential and commercial space in a walkable catchment</w:t>
      </w:r>
    </w:p>
    <w:p w14:paraId="78C8B4AB" w14:textId="1370331C" w:rsidR="00C0111D" w:rsidRPr="00C0111D" w:rsidRDefault="00C0111D" w:rsidP="008470FA">
      <w:pPr>
        <w:pStyle w:val="Bullet"/>
        <w:rPr>
          <w:rFonts w:eastAsiaTheme="minorEastAsia"/>
        </w:rPr>
      </w:pPr>
      <w:r w:rsidRPr="00C0111D">
        <w:rPr>
          <w:rFonts w:eastAsiaTheme="minorEastAsia"/>
        </w:rPr>
        <w:t xml:space="preserve">a walkable catchment of a city centre zone or metropolitan centre zone also falls within a walkable catchment of a rapid transit stop </w:t>
      </w:r>
    </w:p>
    <w:p w14:paraId="46C809DE" w14:textId="17CB59BD" w:rsidR="00C0111D" w:rsidRDefault="00C0111D" w:rsidP="008470FA">
      <w:pPr>
        <w:pStyle w:val="Bullet"/>
        <w:rPr>
          <w:rFonts w:eastAsiaTheme="minorEastAsia"/>
        </w:rPr>
      </w:pPr>
      <w:r w:rsidRPr="00C0111D">
        <w:rPr>
          <w:rFonts w:eastAsiaTheme="minorEastAsia"/>
        </w:rPr>
        <w:t>a walkable catchment enables access to planned and existing forms of public transport</w:t>
      </w:r>
      <w:r w:rsidR="008828F5">
        <w:rPr>
          <w:rFonts w:eastAsiaTheme="minorEastAsia"/>
        </w:rPr>
        <w:t>,</w:t>
      </w:r>
      <w:r w:rsidR="00A31C99">
        <w:rPr>
          <w:rFonts w:eastAsiaTheme="minorEastAsia"/>
        </w:rPr>
        <w:t xml:space="preserve"> </w:t>
      </w:r>
      <w:r w:rsidRPr="00C0111D">
        <w:rPr>
          <w:rFonts w:eastAsiaTheme="minorEastAsia"/>
        </w:rPr>
        <w:t>especially frequent public transport services.</w:t>
      </w:r>
    </w:p>
    <w:p w14:paraId="273BACA9" w14:textId="32C1F197" w:rsidR="008470FA" w:rsidRPr="008470FA" w:rsidRDefault="00C0111D" w:rsidP="008470FA">
      <w:pPr>
        <w:pStyle w:val="Box"/>
      </w:pPr>
      <w:r w:rsidRPr="008470FA">
        <w:t>While enabling a minimum of six storeys is required within walkable catchments of city centre and metropolitan zones and rapid transit stops, it is likely there are cases where higher heights and greater density (</w:t>
      </w:r>
      <w:r w:rsidR="009113AC">
        <w:t>ie,</w:t>
      </w:r>
      <w:r w:rsidRPr="008470FA">
        <w:t xml:space="preserve"> greater than six storeys) are appropriate within these walkable catchments that local authorities should consider. This will depend on local circumstances and evidence.</w:t>
      </w:r>
      <w:r w:rsidR="009113AC">
        <w:t xml:space="preserve"> </w:t>
      </w:r>
      <w:r w:rsidRPr="008470FA">
        <w:t>An example might include:</w:t>
      </w:r>
    </w:p>
    <w:p w14:paraId="4D5BB4D2" w14:textId="1D2DD6FE" w:rsidR="00C0111D" w:rsidRPr="008470FA" w:rsidRDefault="00C0111D" w:rsidP="000D494E">
      <w:pPr>
        <w:pStyle w:val="Box"/>
        <w:numPr>
          <w:ilvl w:val="0"/>
          <w:numId w:val="24"/>
        </w:numPr>
        <w:ind w:left="641" w:hanging="357"/>
      </w:pPr>
      <w:r w:rsidRPr="008470FA">
        <w:lastRenderedPageBreak/>
        <w:t>Local authorities may wish to graduate or step</w:t>
      </w:r>
      <w:r w:rsidR="001D0F35">
        <w:t xml:space="preserve"> </w:t>
      </w:r>
      <w:r w:rsidRPr="008470FA">
        <w:t>down building heights</w:t>
      </w:r>
      <w:r w:rsidR="008828F5">
        <w:t>,</w:t>
      </w:r>
      <w:r w:rsidRPr="008470FA">
        <w:t xml:space="preserve"> from the edge of their city centre or metropolitan centre zones that may have height limits considerably higher than six storeys, to the minimum six storeys that must be enabled inside</w:t>
      </w:r>
      <w:r w:rsidR="008828F5">
        <w:t>,</w:t>
      </w:r>
      <w:r w:rsidRPr="008470FA">
        <w:t xml:space="preserve"> and to the edge o</w:t>
      </w:r>
      <w:r w:rsidR="008828F5">
        <w:t>f,</w:t>
      </w:r>
      <w:r w:rsidRPr="008470FA">
        <w:t xml:space="preserve"> walkable catchments. </w:t>
      </w:r>
    </w:p>
    <w:p w14:paraId="4D07E3F8" w14:textId="4C24DC15" w:rsidR="00C0111D" w:rsidRPr="00C0111D" w:rsidRDefault="00C0111D" w:rsidP="007F3426">
      <w:pPr>
        <w:pStyle w:val="BodyText"/>
      </w:pPr>
      <w:r w:rsidRPr="00C0111D">
        <w:t>As noted earlier, when enabling a minimum of six storeys within walkable catchments, local authorities should take care to ensure an appropriate zoning pattern is achieved. This is necessary to ensure there is consistency in the way areas are zoned</w:t>
      </w:r>
      <w:r w:rsidR="00085E3A">
        <w:t xml:space="preserve"> and</w:t>
      </w:r>
      <w:r w:rsidRPr="00C0111D">
        <w:t xml:space="preserve"> to ensure issues that can arise where different zones interface do not impact on delivering the other objectives of this NPS, such as well</w:t>
      </w:r>
      <w:r w:rsidR="001D0F35">
        <w:t>-</w:t>
      </w:r>
      <w:r w:rsidRPr="00C0111D">
        <w:t xml:space="preserve">functioning urban environments. Some key considerations for intensification in achieving sensible zoning patterns include: </w:t>
      </w:r>
    </w:p>
    <w:p w14:paraId="42C19096" w14:textId="05529583" w:rsidR="00C0111D" w:rsidRPr="00C0111D" w:rsidRDefault="008828F5" w:rsidP="008470FA">
      <w:pPr>
        <w:pStyle w:val="Bullet"/>
        <w:rPr>
          <w:rFonts w:eastAsiaTheme="minorEastAsia"/>
        </w:rPr>
      </w:pPr>
      <w:r>
        <w:rPr>
          <w:rFonts w:eastAsiaTheme="minorEastAsia"/>
        </w:rPr>
        <w:t>c</w:t>
      </w:r>
      <w:r w:rsidR="00C0111D" w:rsidRPr="00C0111D">
        <w:rPr>
          <w:rFonts w:eastAsiaTheme="minorEastAsia"/>
        </w:rPr>
        <w:t>onsistency in the way areas are zoned and how the different zones are applied</w:t>
      </w:r>
    </w:p>
    <w:p w14:paraId="16D4AF20" w14:textId="16CA3352" w:rsidR="00C0111D" w:rsidRPr="00C0111D" w:rsidRDefault="008828F5" w:rsidP="008470FA">
      <w:pPr>
        <w:pStyle w:val="Bullet"/>
        <w:rPr>
          <w:rFonts w:eastAsiaTheme="minorEastAsia"/>
        </w:rPr>
      </w:pPr>
      <w:r>
        <w:rPr>
          <w:rFonts w:eastAsiaTheme="minorEastAsia"/>
        </w:rPr>
        <w:t>i</w:t>
      </w:r>
      <w:r w:rsidR="00C0111D" w:rsidRPr="00C0111D">
        <w:rPr>
          <w:rFonts w:eastAsiaTheme="minorEastAsia"/>
        </w:rPr>
        <w:t>nterface of zones and avoiding putting zones side by side</w:t>
      </w:r>
      <w:r>
        <w:rPr>
          <w:rFonts w:eastAsiaTheme="minorEastAsia"/>
        </w:rPr>
        <w:t xml:space="preserve"> – t</w:t>
      </w:r>
      <w:r w:rsidR="00C0111D" w:rsidRPr="00C0111D">
        <w:rPr>
          <w:rFonts w:eastAsiaTheme="minorEastAsia"/>
        </w:rPr>
        <w:t>his could include using steps down in zones to avoid the impacts on more sensitive zones</w:t>
      </w:r>
      <w:r w:rsidR="009113AC">
        <w:rPr>
          <w:rFonts w:eastAsiaTheme="minorEastAsia"/>
        </w:rPr>
        <w:t xml:space="preserve"> </w:t>
      </w:r>
    </w:p>
    <w:p w14:paraId="784F0FED" w14:textId="5AE76193" w:rsidR="00C0111D" w:rsidRPr="00C0111D" w:rsidRDefault="008828F5" w:rsidP="008470FA">
      <w:pPr>
        <w:pStyle w:val="Bullet"/>
        <w:rPr>
          <w:rFonts w:eastAsiaTheme="minorEastAsia"/>
        </w:rPr>
      </w:pPr>
      <w:r>
        <w:rPr>
          <w:rFonts w:eastAsiaTheme="minorEastAsia"/>
        </w:rPr>
        <w:t>integrating</w:t>
      </w:r>
      <w:r w:rsidR="00C0111D" w:rsidRPr="00C0111D">
        <w:rPr>
          <w:rFonts w:eastAsiaTheme="minorEastAsia"/>
        </w:rPr>
        <w:t xml:space="preserve"> zones and trying to align or create more natural transitions between compatible zones.</w:t>
      </w:r>
    </w:p>
    <w:p w14:paraId="31B2F689" w14:textId="48E461F9" w:rsidR="00C0111D" w:rsidRPr="00C0111D" w:rsidRDefault="00C0111D" w:rsidP="007F3426">
      <w:pPr>
        <w:pStyle w:val="BodyText"/>
      </w:pPr>
      <w:r w:rsidRPr="00C0111D">
        <w:t>In achieving a sensible zoning pattern as described above, local authorities will still need to ensure they enable at least the relevant height minimums. Figure 1</w:t>
      </w:r>
      <w:r w:rsidR="00625402">
        <w:t>1</w:t>
      </w:r>
      <w:r w:rsidRPr="00C0111D">
        <w:t xml:space="preserve"> below provides one example of a sensible zoning pattern for intensification,</w:t>
      </w:r>
      <w:r w:rsidR="00CB3B62">
        <w:t xml:space="preserve"> achieving a gradual step down.</w:t>
      </w:r>
    </w:p>
    <w:p w14:paraId="39A8B019" w14:textId="6D8D213D" w:rsidR="00C0111D" w:rsidRDefault="00C0111D" w:rsidP="008470FA">
      <w:pPr>
        <w:pStyle w:val="Figureheading"/>
      </w:pPr>
      <w:bookmarkStart w:id="67" w:name="_Toc51240497"/>
      <w:r w:rsidRPr="00C0111D">
        <w:t>Figure 1</w:t>
      </w:r>
      <w:r w:rsidR="00625402">
        <w:t>1</w:t>
      </w:r>
      <w:r w:rsidRPr="00C0111D">
        <w:t xml:space="preserve">: </w:t>
      </w:r>
      <w:r w:rsidR="008470FA">
        <w:tab/>
      </w:r>
      <w:r w:rsidRPr="00C0111D">
        <w:t>Sensible zoning patterns for intensification achieving a gradual step down</w:t>
      </w:r>
      <w:bookmarkEnd w:id="67"/>
    </w:p>
    <w:p w14:paraId="73FB7FD0" w14:textId="23DC1859" w:rsidR="007A064E" w:rsidRPr="007A064E" w:rsidRDefault="007A064E" w:rsidP="007A064E">
      <w:pPr>
        <w:pStyle w:val="BodyText"/>
      </w:pPr>
      <w:r>
        <w:rPr>
          <w:noProof/>
        </w:rPr>
        <w:drawing>
          <wp:inline distT="0" distB="0" distL="0" distR="0" wp14:anchorId="4D9ED943" wp14:editId="1E66133B">
            <wp:extent cx="5760085" cy="42297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 11 - Sensible zoning patters for intensificatio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4229735"/>
                    </a:xfrm>
                    <a:prstGeom prst="rect">
                      <a:avLst/>
                    </a:prstGeom>
                  </pic:spPr>
                </pic:pic>
              </a:graphicData>
            </a:graphic>
          </wp:inline>
        </w:drawing>
      </w:r>
    </w:p>
    <w:p w14:paraId="073D8AFF" w14:textId="68429A8E" w:rsidR="00C0111D" w:rsidRPr="00C0111D" w:rsidRDefault="003A53EC" w:rsidP="003A53EC">
      <w:pPr>
        <w:pStyle w:val="Heading3"/>
        <w:ind w:left="851" w:hanging="851"/>
        <w:rPr>
          <w:rFonts w:eastAsiaTheme="minorEastAsia"/>
        </w:rPr>
      </w:pPr>
      <w:bookmarkStart w:id="68" w:name="_Toc50720798"/>
      <w:r>
        <w:rPr>
          <w:rFonts w:eastAsiaTheme="minorEastAsia"/>
        </w:rPr>
        <w:lastRenderedPageBreak/>
        <w:t>6.5</w:t>
      </w:r>
      <w:r>
        <w:rPr>
          <w:rFonts w:eastAsiaTheme="minorEastAsia"/>
        </w:rPr>
        <w:tab/>
      </w:r>
      <w:r w:rsidR="00C0111D" w:rsidRPr="00C0111D">
        <w:rPr>
          <w:rFonts w:eastAsiaTheme="minorEastAsia"/>
        </w:rPr>
        <w:t>Enabling building heights and density commensurate with accessibility and demand (Policies 3d and 5)</w:t>
      </w:r>
      <w:bookmarkEnd w:id="68"/>
    </w:p>
    <w:p w14:paraId="5F09FFAC" w14:textId="77777777" w:rsidR="00C0111D" w:rsidRPr="003D1A5C" w:rsidRDefault="00C0111D" w:rsidP="003D1A5C">
      <w:pPr>
        <w:pStyle w:val="BodyText"/>
      </w:pPr>
      <w:r w:rsidRPr="003D1A5C">
        <w:t xml:space="preserve">Policy 3(d) for tier 1 local authorities and Policy 5 for tier 2 and 3 local authorities of the NPS-UD requires building heights and densities of urban form to be enabled commensurate with the: </w:t>
      </w:r>
    </w:p>
    <w:p w14:paraId="1DA25BAD" w14:textId="58B468D5" w:rsidR="00C0111D" w:rsidRPr="00C0111D" w:rsidRDefault="00C0111D" w:rsidP="003D1A5C">
      <w:pPr>
        <w:pStyle w:val="Bullet"/>
        <w:rPr>
          <w:rFonts w:eastAsiaTheme="minorEastAsia"/>
        </w:rPr>
      </w:pPr>
      <w:r w:rsidRPr="00C0111D">
        <w:rPr>
          <w:rFonts w:eastAsiaTheme="minorEastAsia"/>
        </w:rPr>
        <w:t>level of accessibility by existing or planned active and public transport to a range of commercial activities and community services, or</w:t>
      </w:r>
    </w:p>
    <w:p w14:paraId="78A3CECA" w14:textId="67EB0FBC" w:rsidR="00C0111D" w:rsidRPr="00C0111D" w:rsidRDefault="00C0111D" w:rsidP="003D1A5C">
      <w:pPr>
        <w:pStyle w:val="Bullet"/>
        <w:rPr>
          <w:rFonts w:eastAsiaTheme="minorEastAsia"/>
        </w:rPr>
      </w:pPr>
      <w:r w:rsidRPr="00C0111D">
        <w:rPr>
          <w:rFonts w:eastAsiaTheme="minorEastAsia"/>
        </w:rPr>
        <w:t>relative demand for housing and business use in that location.</w:t>
      </w:r>
    </w:p>
    <w:p w14:paraId="3F411E82" w14:textId="1F55F647" w:rsidR="00C0111D" w:rsidRPr="00C0111D" w:rsidRDefault="00C0111D" w:rsidP="007F3426">
      <w:pPr>
        <w:pStyle w:val="BodyText"/>
      </w:pPr>
      <w:r w:rsidRPr="00C0111D">
        <w:t>For tier 1 urban areas, this will be for all areas outside of city centre and metropolitan centre zones, as well as walkable catchments of existing and planned rapid transit stops</w:t>
      </w:r>
      <w:r w:rsidR="00085E3A">
        <w:t xml:space="preserve"> and</w:t>
      </w:r>
      <w:r w:rsidRPr="00C0111D">
        <w:t xml:space="preserve"> the edge of city centre and metropolitan centre zones.</w:t>
      </w:r>
    </w:p>
    <w:p w14:paraId="403C3645" w14:textId="77777777" w:rsidR="00C0111D" w:rsidRPr="00C0111D" w:rsidRDefault="00C0111D" w:rsidP="007F3426">
      <w:pPr>
        <w:pStyle w:val="BodyText"/>
      </w:pPr>
      <w:r w:rsidRPr="00C0111D">
        <w:t>Tier 2 and tier 3 urban areas will need to apply Policy 5 to their entire urban area.</w:t>
      </w:r>
    </w:p>
    <w:p w14:paraId="60FAD51F" w14:textId="54AAD8BC" w:rsidR="00C0111D" w:rsidRPr="00C0111D" w:rsidRDefault="003A53EC" w:rsidP="003D1A5C">
      <w:pPr>
        <w:pStyle w:val="Heading3"/>
        <w:rPr>
          <w:rFonts w:eastAsiaTheme="minorEastAsia"/>
        </w:rPr>
      </w:pPr>
      <w:bookmarkStart w:id="69" w:name="_Toc50720799"/>
      <w:r>
        <w:rPr>
          <w:rFonts w:eastAsiaTheme="minorEastAsia"/>
        </w:rPr>
        <w:t>6</w:t>
      </w:r>
      <w:r w:rsidR="00C0111D" w:rsidRPr="00C0111D">
        <w:rPr>
          <w:rFonts w:eastAsiaTheme="minorEastAsia"/>
        </w:rPr>
        <w:t>.5.1</w:t>
      </w:r>
      <w:r w:rsidR="00C0111D" w:rsidRPr="00C0111D">
        <w:rPr>
          <w:rFonts w:eastAsiaTheme="minorEastAsia"/>
        </w:rPr>
        <w:tab/>
      </w:r>
      <w:r w:rsidR="00E477C4">
        <w:rPr>
          <w:rFonts w:eastAsiaTheme="minorEastAsia"/>
        </w:rPr>
        <w:t>A</w:t>
      </w:r>
      <w:r w:rsidR="00C0111D" w:rsidRPr="00C0111D">
        <w:rPr>
          <w:rFonts w:eastAsiaTheme="minorEastAsia"/>
        </w:rPr>
        <w:t xml:space="preserve"> ‘range’ of commercial activities and community services</w:t>
      </w:r>
      <w:bookmarkEnd w:id="69"/>
    </w:p>
    <w:p w14:paraId="11CF0139" w14:textId="6AFCF000" w:rsidR="00C0111D" w:rsidRPr="00C0111D" w:rsidRDefault="00C0111D" w:rsidP="007F3426">
      <w:pPr>
        <w:pStyle w:val="BodyText"/>
      </w:pPr>
      <w:r w:rsidRPr="00C0111D">
        <w:t>Commercial activities include those that serve the needs of the community (</w:t>
      </w:r>
      <w:r w:rsidR="009113AC">
        <w:t>eg,</w:t>
      </w:r>
      <w:r w:rsidRPr="00C0111D">
        <w:t xml:space="preserve"> shops) and provide people with employment. Community services include health</w:t>
      </w:r>
      <w:r w:rsidR="00E477C4">
        <w:t xml:space="preserve"> </w:t>
      </w:r>
      <w:r w:rsidRPr="00C0111D">
        <w:t>care, education (including universities and tertiary training institutes), cultural activities (</w:t>
      </w:r>
      <w:r w:rsidR="009113AC">
        <w:t>eg,</w:t>
      </w:r>
      <w:r w:rsidRPr="00C0111D">
        <w:t xml:space="preserve"> museums, galleries, churches)</w:t>
      </w:r>
      <w:r w:rsidR="00085E3A">
        <w:t xml:space="preserve"> and</w:t>
      </w:r>
      <w:r w:rsidRPr="00C0111D">
        <w:t xml:space="preserve"> land or venues for sport and recreation. </w:t>
      </w:r>
    </w:p>
    <w:p w14:paraId="4D6E9DF4" w14:textId="2111F831" w:rsidR="00C0111D" w:rsidRPr="00C0111D" w:rsidRDefault="00C0111D" w:rsidP="007F3426">
      <w:pPr>
        <w:pStyle w:val="BodyText"/>
      </w:pPr>
      <w:r w:rsidRPr="00C0111D">
        <w:t>A ‘range’ of services should be thought of as a variety of commercial and community services that serve the needs of the catchment when implementing this policy. For example, a doctor and/or pharmacy, school and/or kindergarten</w:t>
      </w:r>
      <w:r w:rsidR="00085E3A">
        <w:t xml:space="preserve"> and</w:t>
      </w:r>
      <w:r w:rsidRPr="00C0111D">
        <w:t xml:space="preserve"> a café and shops would be considered as providing a range of services. The locations that provide a range of activities and services are likely to be places that are easily accessible to a wide range of people</w:t>
      </w:r>
      <w:r w:rsidR="00E477C4">
        <w:t>. T</w:t>
      </w:r>
      <w:r w:rsidRPr="00C0111D">
        <w:t>hese locations will often be commercial centres within urban areas</w:t>
      </w:r>
      <w:r w:rsidR="00E477C4">
        <w:t>,</w:t>
      </w:r>
      <w:r w:rsidR="00085E3A">
        <w:t xml:space="preserve"> </w:t>
      </w:r>
      <w:r w:rsidR="00E477C4">
        <w:t>ranging</w:t>
      </w:r>
      <w:r w:rsidRPr="00C0111D">
        <w:t xml:space="preserve"> in size from smaller local or town centres th</w:t>
      </w:r>
      <w:r w:rsidR="001D0F35">
        <w:t>r</w:t>
      </w:r>
      <w:r w:rsidRPr="00C0111D">
        <w:t xml:space="preserve">ough to larger metropolitan centres or even city centres (in the case of tier 2 and tier 3 urban environments). </w:t>
      </w:r>
    </w:p>
    <w:p w14:paraId="27AE86F6" w14:textId="2BDF2769" w:rsidR="00C0111D" w:rsidRPr="00C0111D" w:rsidRDefault="00C0111D" w:rsidP="007F3426">
      <w:pPr>
        <w:pStyle w:val="BodyText"/>
      </w:pPr>
      <w:r w:rsidRPr="00C0111D">
        <w:t xml:space="preserve">This also means a small set of neighbourhood shops, for example with amenities such as a dairy, hairdresser and butcher, would </w:t>
      </w:r>
      <w:r w:rsidR="00E477C4">
        <w:t>not likely</w:t>
      </w:r>
      <w:r w:rsidRPr="00C0111D">
        <w:t xml:space="preserve"> be considered to be providing a range of services. An example of neighbourhood shops </w:t>
      </w:r>
      <w:r w:rsidR="00E477C4">
        <w:t>that</w:t>
      </w:r>
      <w:r w:rsidR="00E477C4" w:rsidRPr="00C0111D">
        <w:t xml:space="preserve"> </w:t>
      </w:r>
      <w:r w:rsidRPr="00C0111D">
        <w:t>would not be considered to provide a range of services is shown in Figure 1</w:t>
      </w:r>
      <w:r w:rsidR="00625402">
        <w:t>2</w:t>
      </w:r>
      <w:r w:rsidRPr="00C0111D">
        <w:t xml:space="preserve"> below.</w:t>
      </w:r>
    </w:p>
    <w:p w14:paraId="6D7C65BA" w14:textId="6E068BB1" w:rsidR="00C0111D" w:rsidRPr="00C0111D" w:rsidRDefault="00C0111D" w:rsidP="003D1A5C">
      <w:pPr>
        <w:pStyle w:val="Figureheading"/>
      </w:pPr>
      <w:bookmarkStart w:id="70" w:name="_Toc51240498"/>
      <w:r w:rsidRPr="00C0111D">
        <w:lastRenderedPageBreak/>
        <w:t>Figure 1</w:t>
      </w:r>
      <w:r w:rsidR="00625402">
        <w:t>2</w:t>
      </w:r>
      <w:r w:rsidRPr="00C0111D">
        <w:t xml:space="preserve">: </w:t>
      </w:r>
      <w:r w:rsidR="003D1A5C">
        <w:tab/>
      </w:r>
      <w:r w:rsidRPr="00C0111D">
        <w:t>Example of neighbourhood shops that do not provide a ‘range of services’</w:t>
      </w:r>
      <w:bookmarkEnd w:id="70"/>
    </w:p>
    <w:p w14:paraId="58579305" w14:textId="14A847A3" w:rsidR="00C0111D" w:rsidRPr="00C0111D" w:rsidRDefault="003D1A5C" w:rsidP="007F3426">
      <w:pPr>
        <w:pStyle w:val="BodyText"/>
      </w:pPr>
      <w:r>
        <w:rPr>
          <w:noProof/>
        </w:rPr>
        <w:drawing>
          <wp:inline distT="0" distB="0" distL="0" distR="0" wp14:anchorId="16D0E267" wp14:editId="1E770ACA">
            <wp:extent cx="4645910" cy="284797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4655585" cy="2853906"/>
                    </a:xfrm>
                    <a:prstGeom prst="rect">
                      <a:avLst/>
                    </a:prstGeom>
                    <a:noFill/>
                    <a:ln>
                      <a:noFill/>
                    </a:ln>
                  </pic:spPr>
                </pic:pic>
              </a:graphicData>
            </a:graphic>
          </wp:inline>
        </w:drawing>
      </w:r>
      <w:r w:rsidR="00C0111D" w:rsidRPr="00C0111D">
        <w:t xml:space="preserve"> </w:t>
      </w:r>
    </w:p>
    <w:p w14:paraId="32B009CC" w14:textId="5693DC99" w:rsidR="00C0111D" w:rsidRPr="00C0111D" w:rsidRDefault="003A53EC" w:rsidP="003D1A5C">
      <w:pPr>
        <w:pStyle w:val="Heading3"/>
        <w:rPr>
          <w:rFonts w:eastAsiaTheme="minorEastAsia"/>
        </w:rPr>
      </w:pPr>
      <w:bookmarkStart w:id="71" w:name="_Toc50720800"/>
      <w:r>
        <w:rPr>
          <w:rFonts w:eastAsiaTheme="minorEastAsia"/>
        </w:rPr>
        <w:t>6</w:t>
      </w:r>
      <w:r w:rsidR="00C0111D" w:rsidRPr="00C0111D">
        <w:rPr>
          <w:rFonts w:eastAsiaTheme="minorEastAsia"/>
        </w:rPr>
        <w:t>.5.2</w:t>
      </w:r>
      <w:r w:rsidR="00C0111D" w:rsidRPr="00C0111D">
        <w:rPr>
          <w:rFonts w:eastAsiaTheme="minorEastAsia"/>
        </w:rPr>
        <w:tab/>
        <w:t>Determining the level of accessibility to a range of services</w:t>
      </w:r>
      <w:bookmarkEnd w:id="71"/>
    </w:p>
    <w:p w14:paraId="2674AEED" w14:textId="5D4D7150" w:rsidR="00C0111D" w:rsidRPr="00C0111D" w:rsidRDefault="00C0111D" w:rsidP="007F3426">
      <w:pPr>
        <w:pStyle w:val="BodyText"/>
      </w:pPr>
      <w:r w:rsidRPr="00C0111D">
        <w:t xml:space="preserve">Guidance on accessibility is provided in </w:t>
      </w:r>
      <w:hyperlink w:anchor="_5.4_Measuring_accessibility" w:history="1">
        <w:r w:rsidRPr="000D35C0">
          <w:rPr>
            <w:rStyle w:val="Hyperlink"/>
            <w:b/>
          </w:rPr>
          <w:t>section</w:t>
        </w:r>
      </w:hyperlink>
      <w:r w:rsidRPr="000D35C0">
        <w:rPr>
          <w:b/>
          <w:color w:val="32809C"/>
        </w:rPr>
        <w:t xml:space="preserve"> </w:t>
      </w:r>
      <w:r w:rsidR="000D494E" w:rsidRPr="000D35C0">
        <w:rPr>
          <w:b/>
          <w:color w:val="32809C"/>
        </w:rPr>
        <w:fldChar w:fldCharType="begin"/>
      </w:r>
      <w:r w:rsidR="000D494E" w:rsidRPr="000D35C0">
        <w:rPr>
          <w:b/>
          <w:color w:val="32809C"/>
        </w:rPr>
        <w:instrText xml:space="preserve"> REF _Ref51166245 \h </w:instrText>
      </w:r>
      <w:r w:rsidR="000D35C0">
        <w:rPr>
          <w:b/>
          <w:color w:val="32809C"/>
        </w:rPr>
        <w:instrText xml:space="preserve"> \* MERGEFORMAT </w:instrText>
      </w:r>
      <w:r w:rsidR="000D494E" w:rsidRPr="000D35C0">
        <w:rPr>
          <w:b/>
          <w:color w:val="32809C"/>
        </w:rPr>
      </w:r>
      <w:r w:rsidR="000D494E" w:rsidRPr="000D35C0">
        <w:rPr>
          <w:b/>
          <w:color w:val="32809C"/>
        </w:rPr>
        <w:fldChar w:fldCharType="separate"/>
      </w:r>
      <w:r w:rsidR="005D2599" w:rsidRPr="005D2599">
        <w:rPr>
          <w:b/>
          <w:color w:val="32809C"/>
        </w:rPr>
        <w:t>5.4</w:t>
      </w:r>
      <w:r w:rsidR="005D2599" w:rsidRPr="00C0111D">
        <w:tab/>
        <w:t>Measuring accessibility</w:t>
      </w:r>
      <w:r w:rsidR="000D494E" w:rsidRPr="000D35C0">
        <w:rPr>
          <w:b/>
          <w:color w:val="32809C"/>
        </w:rPr>
        <w:fldChar w:fldCharType="end"/>
      </w:r>
      <w:r w:rsidR="000D494E" w:rsidRPr="000D494E">
        <w:rPr>
          <w:color w:val="32809C"/>
        </w:rPr>
        <w:t xml:space="preserve"> </w:t>
      </w:r>
      <w:r w:rsidRPr="00C0111D">
        <w:t>above. This section should be referred to when determining accessibility.</w:t>
      </w:r>
    </w:p>
    <w:p w14:paraId="65678F70" w14:textId="2AC29E40" w:rsidR="00C0111D" w:rsidRPr="00C0111D" w:rsidRDefault="00C0111D" w:rsidP="007F3426">
      <w:pPr>
        <w:pStyle w:val="BodyText"/>
      </w:pPr>
      <w:r w:rsidRPr="00C0111D">
        <w:t>Areas closer to a range of services will have a higher level of accessibility than areas further away from services</w:t>
      </w:r>
      <w:r w:rsidR="00E477C4">
        <w:t xml:space="preserve">. This means </w:t>
      </w:r>
      <w:r w:rsidRPr="00C0111D">
        <w:t>the level of accessibility will range from higher to lower, depending on</w:t>
      </w:r>
      <w:r w:rsidR="00E477C4">
        <w:t xml:space="preserve"> </w:t>
      </w:r>
      <w:r w:rsidRPr="00C0111D">
        <w:t>the distance from a range of services. Heights and densities enabled must be commensurate to the level of accessibility. This means areas with high accessibility (</w:t>
      </w:r>
      <w:r w:rsidR="009113AC">
        <w:t>ie,</w:t>
      </w:r>
      <w:r w:rsidRPr="00C0111D">
        <w:t xml:space="preserve"> those areas closest to a range of services) should have greater heights and densities enabled which (depending on the level of demand) may gradually decrease as you move away from the services</w:t>
      </w:r>
      <w:r w:rsidR="00085E3A">
        <w:t xml:space="preserve"> and</w:t>
      </w:r>
      <w:r w:rsidRPr="00C0111D">
        <w:t xml:space="preserve"> as accessibility reduces. If you have both high demand and high accessibility, you may find heights and densities do not gradually decrease like they could if you were intensifying based on high levels of accessibility only.</w:t>
      </w:r>
    </w:p>
    <w:p w14:paraId="50F6B79E" w14:textId="1029FBF5" w:rsidR="00C0111D" w:rsidRPr="00C0111D" w:rsidRDefault="00C0111D" w:rsidP="007F3426">
      <w:pPr>
        <w:pStyle w:val="BodyText"/>
      </w:pPr>
      <w:r w:rsidRPr="00C0111D">
        <w:t>Below, Figure 1</w:t>
      </w:r>
      <w:r w:rsidR="00C73361">
        <w:t>3</w:t>
      </w:r>
      <w:r w:rsidRPr="00C0111D">
        <w:t xml:space="preserve"> shows how accessibility to a range of services, represented by a town centre, decreases as you move further away from them. In such a case, district plan rules should reflect that heights and densities would need to be greater the closer or more accessible they are to services. This </w:t>
      </w:r>
      <w:r w:rsidR="00E477C4">
        <w:t>figure</w:t>
      </w:r>
      <w:r w:rsidR="00E477C4" w:rsidRPr="00C0111D">
        <w:t xml:space="preserve"> </w:t>
      </w:r>
      <w:r w:rsidRPr="00C0111D">
        <w:t xml:space="preserve">illustrates accessibility by active modes. The area that is considered accessible by public transport could be much larger (if frequent public transport services operate in this area). </w:t>
      </w:r>
    </w:p>
    <w:p w14:paraId="23EF12E0" w14:textId="3CF8A105" w:rsidR="00C0111D" w:rsidRPr="00C0111D" w:rsidRDefault="00C0111D" w:rsidP="003D1A5C">
      <w:pPr>
        <w:pStyle w:val="Figureheading"/>
      </w:pPr>
      <w:bookmarkStart w:id="72" w:name="_Toc51240499"/>
      <w:r w:rsidRPr="00C0111D">
        <w:lastRenderedPageBreak/>
        <w:t xml:space="preserve">Figure </w:t>
      </w:r>
      <w:r w:rsidR="00625402" w:rsidRPr="00C0111D">
        <w:t>1</w:t>
      </w:r>
      <w:r w:rsidR="00625402">
        <w:t>3</w:t>
      </w:r>
      <w:r w:rsidRPr="00C0111D">
        <w:t>:</w:t>
      </w:r>
      <w:r w:rsidR="003D1A5C">
        <w:tab/>
      </w:r>
      <w:r w:rsidRPr="00C0111D">
        <w:t>Example of a 'range of services' interacting with accessibility only</w:t>
      </w:r>
      <w:r w:rsidR="00085E3A">
        <w:t xml:space="preserve"> and</w:t>
      </w:r>
      <w:r w:rsidRPr="00C0111D">
        <w:t xml:space="preserve"> how this influences heights and density</w:t>
      </w:r>
      <w:bookmarkEnd w:id="72"/>
      <w:r w:rsidRPr="00C0111D">
        <w:t xml:space="preserve"> </w:t>
      </w:r>
    </w:p>
    <w:p w14:paraId="69C60BFF" w14:textId="5245B0A1" w:rsidR="00C73361" w:rsidRDefault="00C73361" w:rsidP="007F3426">
      <w:pPr>
        <w:pStyle w:val="BodyText"/>
        <w:rPr>
          <w:noProof/>
        </w:rPr>
      </w:pPr>
      <w:r>
        <w:rPr>
          <w:noProof/>
        </w:rPr>
        <w:drawing>
          <wp:anchor distT="0" distB="0" distL="114300" distR="114300" simplePos="0" relativeHeight="251688960" behindDoc="0" locked="0" layoutInCell="1" allowOverlap="1" wp14:anchorId="5AE535AA" wp14:editId="0AA7263C">
            <wp:simplePos x="0" y="0"/>
            <wp:positionH relativeFrom="column">
              <wp:posOffset>4445</wp:posOffset>
            </wp:positionH>
            <wp:positionV relativeFrom="paragraph">
              <wp:posOffset>48260</wp:posOffset>
            </wp:positionV>
            <wp:extent cx="3581400" cy="3312160"/>
            <wp:effectExtent l="0" t="0" r="0" b="2540"/>
            <wp:wrapSquare wrapText="bothSides"/>
            <wp:docPr id="24" name="Picture 24" descr="A picture containing object, antenna, sitt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rotWithShape="1">
                    <a:blip r:embed="rId33" cstate="print">
                      <a:extLst>
                        <a:ext uri="{28A0092B-C50C-407E-A947-70E740481C1C}">
                          <a14:useLocalDpi xmlns:a14="http://schemas.microsoft.com/office/drawing/2010/main" val="0"/>
                        </a:ext>
                      </a:extLst>
                    </a:blip>
                    <a:srcRect r="33669"/>
                    <a:stretch/>
                  </pic:blipFill>
                  <pic:spPr bwMode="auto">
                    <a:xfrm>
                      <a:off x="0" y="0"/>
                      <a:ext cx="3581400" cy="3312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111D" w:rsidRPr="00C0111D">
        <w:t xml:space="preserve"> </w:t>
      </w:r>
    </w:p>
    <w:p w14:paraId="540C7BCE" w14:textId="1526827A" w:rsidR="00C0111D" w:rsidRPr="00C0111D" w:rsidRDefault="00C0111D" w:rsidP="00C73361">
      <w:pPr>
        <w:pStyle w:val="Source"/>
      </w:pPr>
      <w:r w:rsidRPr="00C0111D">
        <w:t>Accessibility will go from high to low as you move away from the services</w:t>
      </w:r>
      <w:r w:rsidR="00E477C4">
        <w:t>,</w:t>
      </w:r>
      <w:r w:rsidR="00085E3A">
        <w:t xml:space="preserve"> and</w:t>
      </w:r>
      <w:r w:rsidRPr="00C0111D">
        <w:t xml:space="preserve"> heights and densities should reflect this</w:t>
      </w:r>
      <w:r w:rsidR="00E477C4">
        <w:t xml:space="preserve"> – </w:t>
      </w:r>
      <w:r w:rsidRPr="00C0111D">
        <w:t>higher heights and greater densities closer to the services that gradually decrease as you move out.</w:t>
      </w:r>
    </w:p>
    <w:p w14:paraId="2F121C5B" w14:textId="77777777" w:rsidR="00C73361" w:rsidRDefault="00C73361" w:rsidP="00C73361">
      <w:pPr>
        <w:pStyle w:val="Source"/>
      </w:pPr>
    </w:p>
    <w:p w14:paraId="7E73505F" w14:textId="6A201CA1" w:rsidR="00C73361" w:rsidRPr="005502C4" w:rsidRDefault="00C73361" w:rsidP="00C73361">
      <w:pPr>
        <w:pStyle w:val="Source"/>
        <w:rPr>
          <w:sz w:val="36"/>
        </w:rPr>
      </w:pPr>
    </w:p>
    <w:p w14:paraId="7DF67190" w14:textId="729CC3E7" w:rsidR="00C0111D" w:rsidRPr="00C0111D" w:rsidRDefault="00C0111D" w:rsidP="00C73361">
      <w:pPr>
        <w:pStyle w:val="Source"/>
      </w:pPr>
      <w:r w:rsidRPr="00C0111D">
        <w:t>Cluster of a ‘range of services’</w:t>
      </w:r>
    </w:p>
    <w:p w14:paraId="67CE91D3" w14:textId="77777777" w:rsidR="00C73361" w:rsidRDefault="00C73361" w:rsidP="003D1A5C">
      <w:pPr>
        <w:pStyle w:val="Heading3"/>
        <w:rPr>
          <w:rFonts w:eastAsiaTheme="minorEastAsia"/>
        </w:rPr>
      </w:pPr>
      <w:bookmarkStart w:id="73" w:name="_Toc50720801"/>
    </w:p>
    <w:p w14:paraId="48F1A0D5" w14:textId="77777777" w:rsidR="00C73361" w:rsidRPr="005502C4" w:rsidRDefault="00C73361" w:rsidP="003D1A5C">
      <w:pPr>
        <w:pStyle w:val="Heading3"/>
        <w:rPr>
          <w:rFonts w:eastAsiaTheme="minorEastAsia"/>
          <w:sz w:val="16"/>
        </w:rPr>
      </w:pPr>
    </w:p>
    <w:p w14:paraId="726F9872" w14:textId="547C5076" w:rsidR="00C0111D" w:rsidRPr="00C0111D" w:rsidRDefault="003A53EC" w:rsidP="003D1A5C">
      <w:pPr>
        <w:pStyle w:val="Heading3"/>
        <w:rPr>
          <w:rFonts w:eastAsiaTheme="minorEastAsia"/>
        </w:rPr>
      </w:pPr>
      <w:bookmarkStart w:id="74" w:name="_6.5.3_Determining_relative"/>
      <w:bookmarkStart w:id="75" w:name="Determining_relative_6"/>
      <w:bookmarkStart w:id="76" w:name="_Ref51165973"/>
      <w:bookmarkEnd w:id="74"/>
      <w:r>
        <w:rPr>
          <w:rFonts w:eastAsiaTheme="minorEastAsia"/>
        </w:rPr>
        <w:t>6</w:t>
      </w:r>
      <w:r w:rsidR="00C0111D" w:rsidRPr="00C0111D">
        <w:rPr>
          <w:rFonts w:eastAsiaTheme="minorEastAsia"/>
        </w:rPr>
        <w:t>.5.3</w:t>
      </w:r>
      <w:bookmarkEnd w:id="75"/>
      <w:r w:rsidR="00C0111D" w:rsidRPr="00C0111D">
        <w:rPr>
          <w:rFonts w:eastAsiaTheme="minorEastAsia"/>
        </w:rPr>
        <w:tab/>
        <w:t>Determining relative demand for housing and business use</w:t>
      </w:r>
      <w:bookmarkEnd w:id="73"/>
      <w:bookmarkEnd w:id="76"/>
    </w:p>
    <w:p w14:paraId="3E38466C" w14:textId="5622156B" w:rsidR="00C0111D" w:rsidRPr="00C0111D" w:rsidRDefault="00C0111D" w:rsidP="007F3426">
      <w:pPr>
        <w:pStyle w:val="BodyText"/>
      </w:pPr>
      <w:r w:rsidRPr="00C0111D">
        <w:t xml:space="preserve">Determining relative demand for housing and business use to enable commensurate heights and density or urban form will be undertaken differently for tier 1, 2 and 3 local authorities. </w:t>
      </w:r>
    </w:p>
    <w:p w14:paraId="0FF28490" w14:textId="77777777" w:rsidR="00C0111D" w:rsidRPr="00C0111D" w:rsidRDefault="00C0111D" w:rsidP="007F3426">
      <w:pPr>
        <w:pStyle w:val="BodyText"/>
      </w:pPr>
      <w:r w:rsidRPr="00C0111D">
        <w:t>In preparing the intensification plan changes, some principles or types of areas where demand is often high and intensification is likely to be appropriate could include:</w:t>
      </w:r>
    </w:p>
    <w:p w14:paraId="65D44E4B" w14:textId="67D6CA0F" w:rsidR="00C0111D" w:rsidRPr="00C0111D" w:rsidRDefault="00E477C4" w:rsidP="003D1A5C">
      <w:pPr>
        <w:pStyle w:val="Bullet"/>
        <w:rPr>
          <w:rFonts w:eastAsiaTheme="minorEastAsia"/>
        </w:rPr>
      </w:pPr>
      <w:r>
        <w:rPr>
          <w:rFonts w:eastAsiaTheme="minorEastAsia"/>
        </w:rPr>
        <w:t>a</w:t>
      </w:r>
      <w:r w:rsidR="00C0111D" w:rsidRPr="00C0111D">
        <w:rPr>
          <w:rFonts w:eastAsiaTheme="minorEastAsia"/>
        </w:rPr>
        <w:t>reas with high land prices relative to others</w:t>
      </w:r>
    </w:p>
    <w:p w14:paraId="1CCC861D" w14:textId="30B8F623" w:rsidR="00C0111D" w:rsidRPr="00C0111D" w:rsidRDefault="00E477C4" w:rsidP="003D1A5C">
      <w:pPr>
        <w:pStyle w:val="Bullet"/>
        <w:rPr>
          <w:rFonts w:eastAsiaTheme="minorEastAsia"/>
        </w:rPr>
      </w:pPr>
      <w:r>
        <w:rPr>
          <w:rFonts w:eastAsiaTheme="minorEastAsia"/>
        </w:rPr>
        <w:t>l</w:t>
      </w:r>
      <w:r w:rsidR="00C0111D" w:rsidRPr="00C0111D">
        <w:rPr>
          <w:rFonts w:eastAsiaTheme="minorEastAsia"/>
        </w:rPr>
        <w:t>ocations close to open space and recreation opportunities</w:t>
      </w:r>
    </w:p>
    <w:p w14:paraId="6D41CB77" w14:textId="2FFA7D0C" w:rsidR="00C0111D" w:rsidRPr="00C0111D" w:rsidRDefault="00E477C4" w:rsidP="003D1A5C">
      <w:pPr>
        <w:pStyle w:val="Bullet"/>
        <w:rPr>
          <w:rFonts w:eastAsiaTheme="minorEastAsia"/>
        </w:rPr>
      </w:pPr>
      <w:r>
        <w:rPr>
          <w:rFonts w:eastAsiaTheme="minorEastAsia"/>
        </w:rPr>
        <w:t>a</w:t>
      </w:r>
      <w:r w:rsidR="00C0111D" w:rsidRPr="00C0111D">
        <w:rPr>
          <w:rFonts w:eastAsiaTheme="minorEastAsia"/>
        </w:rPr>
        <w:t>reas within</w:t>
      </w:r>
      <w:r w:rsidR="00F11B38">
        <w:rPr>
          <w:rFonts w:eastAsiaTheme="minorEastAsia"/>
        </w:rPr>
        <w:t>,</w:t>
      </w:r>
      <w:r w:rsidR="00C0111D" w:rsidRPr="00C0111D">
        <w:rPr>
          <w:rFonts w:eastAsiaTheme="minorEastAsia"/>
        </w:rPr>
        <w:t xml:space="preserve"> or close to</w:t>
      </w:r>
      <w:r w:rsidR="00F11B38">
        <w:rPr>
          <w:rFonts w:eastAsiaTheme="minorEastAsia"/>
        </w:rPr>
        <w:t>,</w:t>
      </w:r>
      <w:r w:rsidR="00C0111D" w:rsidRPr="00C0111D">
        <w:rPr>
          <w:rFonts w:eastAsiaTheme="minorEastAsia"/>
        </w:rPr>
        <w:t xml:space="preserve"> centres</w:t>
      </w:r>
    </w:p>
    <w:p w14:paraId="102798A2" w14:textId="4D897F2B" w:rsidR="00C0111D" w:rsidRPr="00C0111D" w:rsidRDefault="00E477C4" w:rsidP="003D1A5C">
      <w:pPr>
        <w:pStyle w:val="Bullet"/>
        <w:rPr>
          <w:rFonts w:eastAsiaTheme="minorEastAsia"/>
        </w:rPr>
      </w:pPr>
      <w:r>
        <w:rPr>
          <w:rFonts w:eastAsiaTheme="minorEastAsia"/>
        </w:rPr>
        <w:t>a</w:t>
      </w:r>
      <w:r w:rsidR="00C0111D" w:rsidRPr="00C0111D">
        <w:rPr>
          <w:rFonts w:eastAsiaTheme="minorEastAsia"/>
        </w:rPr>
        <w:t xml:space="preserve">reas with good transport opportunities – including frequent public </w:t>
      </w:r>
      <w:r w:rsidR="00F11B38">
        <w:rPr>
          <w:rFonts w:eastAsiaTheme="minorEastAsia"/>
        </w:rPr>
        <w:t xml:space="preserve">transport, </w:t>
      </w:r>
      <w:r w:rsidR="00C0111D" w:rsidRPr="00C0111D">
        <w:rPr>
          <w:rFonts w:eastAsiaTheme="minorEastAsia"/>
        </w:rPr>
        <w:t>multi-mode transport opportunities (</w:t>
      </w:r>
      <w:r w:rsidR="009113AC">
        <w:rPr>
          <w:rFonts w:eastAsiaTheme="minorEastAsia"/>
        </w:rPr>
        <w:t>eg,</w:t>
      </w:r>
      <w:r w:rsidR="00C0111D" w:rsidRPr="00C0111D">
        <w:rPr>
          <w:rFonts w:eastAsiaTheme="minorEastAsia"/>
        </w:rPr>
        <w:t xml:space="preserve"> public transport, walking and cycling) and freight </w:t>
      </w:r>
    </w:p>
    <w:p w14:paraId="3C9661C9" w14:textId="457EDE23" w:rsidR="00F11B38" w:rsidRPr="00C0111D" w:rsidRDefault="00F11B38" w:rsidP="003D1A5C">
      <w:pPr>
        <w:pStyle w:val="Bullet"/>
        <w:rPr>
          <w:rFonts w:eastAsiaTheme="minorEastAsia"/>
        </w:rPr>
      </w:pPr>
      <w:r>
        <w:rPr>
          <w:rFonts w:eastAsiaTheme="minorEastAsia"/>
        </w:rPr>
        <w:t>a</w:t>
      </w:r>
      <w:r w:rsidR="00C0111D" w:rsidRPr="00C0111D">
        <w:rPr>
          <w:rFonts w:eastAsiaTheme="minorEastAsia"/>
        </w:rPr>
        <w:t xml:space="preserve">reas close to </w:t>
      </w:r>
      <w:r w:rsidR="00CB3B62">
        <w:rPr>
          <w:rFonts w:eastAsiaTheme="minorEastAsia"/>
        </w:rPr>
        <w:t>key</w:t>
      </w:r>
      <w:r w:rsidRPr="00C0111D">
        <w:rPr>
          <w:rFonts w:eastAsiaTheme="minorEastAsia"/>
        </w:rPr>
        <w:t xml:space="preserve"> </w:t>
      </w:r>
      <w:r w:rsidR="00C0111D" w:rsidRPr="00C0111D">
        <w:rPr>
          <w:rFonts w:eastAsiaTheme="minorEastAsia"/>
        </w:rPr>
        <w:t>services including, schools, hospitals</w:t>
      </w:r>
      <w:r>
        <w:rPr>
          <w:rFonts w:eastAsiaTheme="minorEastAsia"/>
        </w:rPr>
        <w:t xml:space="preserve"> and </w:t>
      </w:r>
      <w:r w:rsidR="00C0111D" w:rsidRPr="00C0111D">
        <w:rPr>
          <w:rFonts w:eastAsiaTheme="minorEastAsia"/>
        </w:rPr>
        <w:t>supermarkets</w:t>
      </w:r>
    </w:p>
    <w:p w14:paraId="46B914C6" w14:textId="17954ADB" w:rsidR="00C0111D" w:rsidRPr="00892F4A" w:rsidRDefault="00F11B38" w:rsidP="00892F4A">
      <w:pPr>
        <w:pStyle w:val="Bullet"/>
        <w:rPr>
          <w:rFonts w:eastAsiaTheme="minorEastAsia"/>
        </w:rPr>
      </w:pPr>
      <w:r>
        <w:rPr>
          <w:rFonts w:eastAsiaTheme="minorEastAsia"/>
        </w:rPr>
        <w:t>a</w:t>
      </w:r>
      <w:r w:rsidR="00C0111D" w:rsidRPr="00892F4A">
        <w:rPr>
          <w:rFonts w:eastAsiaTheme="minorEastAsia"/>
        </w:rPr>
        <w:t xml:space="preserve">reas close to a range of business activities </w:t>
      </w:r>
    </w:p>
    <w:p w14:paraId="455ECF04" w14:textId="46E2D715" w:rsidR="00C0111D" w:rsidRDefault="00F11B38" w:rsidP="003D1A5C">
      <w:pPr>
        <w:pStyle w:val="Bullet"/>
        <w:rPr>
          <w:rFonts w:eastAsiaTheme="minorEastAsia"/>
        </w:rPr>
      </w:pPr>
      <w:r>
        <w:rPr>
          <w:rFonts w:eastAsiaTheme="minorEastAsia"/>
        </w:rPr>
        <w:t>l</w:t>
      </w:r>
      <w:r w:rsidR="00C0111D" w:rsidRPr="00C0111D">
        <w:rPr>
          <w:rFonts w:eastAsiaTheme="minorEastAsia"/>
        </w:rPr>
        <w:t>ocations with good views, outlook and amenity</w:t>
      </w:r>
      <w:r>
        <w:rPr>
          <w:rFonts w:eastAsiaTheme="minorEastAsia"/>
        </w:rPr>
        <w:t xml:space="preserve">, including </w:t>
      </w:r>
      <w:r w:rsidR="00C0111D" w:rsidRPr="00C0111D">
        <w:rPr>
          <w:rFonts w:eastAsiaTheme="minorEastAsia"/>
        </w:rPr>
        <w:t>areas with water views or green space outlooks.</w:t>
      </w:r>
      <w:r w:rsidR="00A31C99">
        <w:rPr>
          <w:rFonts w:eastAsiaTheme="minorEastAsia"/>
        </w:rPr>
        <w:t xml:space="preserve"> </w:t>
      </w:r>
    </w:p>
    <w:p w14:paraId="07622AF5" w14:textId="77777777" w:rsidR="0070523B" w:rsidRDefault="0070523B" w:rsidP="0070523B">
      <w:pPr>
        <w:pStyle w:val="Bullet"/>
        <w:numPr>
          <w:ilvl w:val="0"/>
          <w:numId w:val="0"/>
        </w:numPr>
        <w:ind w:left="397"/>
        <w:rPr>
          <w:rFonts w:eastAsiaTheme="minorEastAsia"/>
        </w:rPr>
      </w:pPr>
    </w:p>
    <w:p w14:paraId="6138932F" w14:textId="0164F4C5" w:rsidR="00C0111D" w:rsidRPr="00C0111D" w:rsidRDefault="00C0111D" w:rsidP="003D1A5C">
      <w:pPr>
        <w:pStyle w:val="Box"/>
      </w:pPr>
      <w:r w:rsidRPr="00C0111D">
        <w:t>Determining and understanding relative demand in tier 1, 2 and 3 urban areas could be achieved through a number of different methods. As a general starting point for all local authorities, land price is a good proxy to consider in understanding demand; areas with high land prices indicate the area</w:t>
      </w:r>
      <w:r w:rsidR="00F11B38">
        <w:t>s</w:t>
      </w:r>
      <w:r w:rsidRPr="00C0111D">
        <w:t xml:space="preserve"> </w:t>
      </w:r>
      <w:r w:rsidR="00F11B38">
        <w:t>are</w:t>
      </w:r>
      <w:r w:rsidR="00F11B38" w:rsidRPr="00C0111D">
        <w:t xml:space="preserve"> </w:t>
      </w:r>
      <w:r w:rsidRPr="00C0111D">
        <w:t xml:space="preserve">more desirable to live in. When combined with capital values in an area, this will help highlight </w:t>
      </w:r>
      <w:r w:rsidR="00F11B38">
        <w:t>locations</w:t>
      </w:r>
      <w:r w:rsidR="00F11B38" w:rsidRPr="00C0111D">
        <w:t xml:space="preserve"> </w:t>
      </w:r>
      <w:r w:rsidRPr="00C0111D">
        <w:t>where it is desirable and/or feasible to deliver intensification.</w:t>
      </w:r>
      <w:r w:rsidR="009113AC">
        <w:t xml:space="preserve"> </w:t>
      </w:r>
    </w:p>
    <w:p w14:paraId="2EE602A5" w14:textId="1B549D7C" w:rsidR="00C0111D" w:rsidRPr="00C0111D" w:rsidRDefault="00C0111D" w:rsidP="007F3426">
      <w:pPr>
        <w:pStyle w:val="BodyText"/>
      </w:pPr>
      <w:r w:rsidRPr="00C0111D">
        <w:lastRenderedPageBreak/>
        <w:t xml:space="preserve">Methods to understand and determine demand that </w:t>
      </w:r>
      <w:r w:rsidR="00F11B38">
        <w:t>local authorities</w:t>
      </w:r>
      <w:r w:rsidR="00F11B38" w:rsidRPr="00C0111D">
        <w:t xml:space="preserve"> </w:t>
      </w:r>
      <w:r w:rsidRPr="00C0111D">
        <w:t xml:space="preserve">may use include: </w:t>
      </w:r>
    </w:p>
    <w:p w14:paraId="49002F5C" w14:textId="09FB9C28" w:rsidR="00C0111D" w:rsidRPr="00C0111D" w:rsidRDefault="00F11B38" w:rsidP="003D1A5C">
      <w:pPr>
        <w:pStyle w:val="Bullet"/>
        <w:rPr>
          <w:rFonts w:eastAsiaTheme="minorEastAsia"/>
        </w:rPr>
      </w:pPr>
      <w:r>
        <w:rPr>
          <w:rFonts w:eastAsiaTheme="minorEastAsia"/>
        </w:rPr>
        <w:t>u</w:t>
      </w:r>
      <w:r w:rsidR="00C0111D" w:rsidRPr="00C0111D">
        <w:rPr>
          <w:rFonts w:eastAsiaTheme="minorEastAsia"/>
        </w:rPr>
        <w:t xml:space="preserve">sing information produced as part of an HBA for tier 1 and 2 local authorities </w:t>
      </w:r>
    </w:p>
    <w:p w14:paraId="2725B7D6" w14:textId="4A9DCD80" w:rsidR="00C0111D" w:rsidRPr="00C0111D" w:rsidRDefault="00F11B38" w:rsidP="003D1A5C">
      <w:pPr>
        <w:pStyle w:val="Bullet"/>
        <w:rPr>
          <w:rFonts w:eastAsiaTheme="minorEastAsia"/>
        </w:rPr>
      </w:pPr>
      <w:r>
        <w:rPr>
          <w:rFonts w:eastAsiaTheme="minorEastAsia"/>
        </w:rPr>
        <w:t>using p</w:t>
      </w:r>
      <w:r w:rsidR="00C0111D" w:rsidRPr="00C0111D">
        <w:rPr>
          <w:rFonts w:eastAsiaTheme="minorEastAsia"/>
        </w:rPr>
        <w:t>opulation and growth projections and statistics for the areas or regions – this may be particularly helpful for tier 3 local authorities</w:t>
      </w:r>
    </w:p>
    <w:p w14:paraId="6D0A574B" w14:textId="7D6CB6A0" w:rsidR="00C0111D" w:rsidRPr="00C0111D" w:rsidRDefault="00F11B38" w:rsidP="003D1A5C">
      <w:pPr>
        <w:pStyle w:val="Bullet"/>
        <w:rPr>
          <w:rFonts w:eastAsiaTheme="minorEastAsia"/>
        </w:rPr>
      </w:pPr>
      <w:r>
        <w:rPr>
          <w:rFonts w:eastAsiaTheme="minorEastAsia"/>
        </w:rPr>
        <w:t>a</w:t>
      </w:r>
      <w:r w:rsidR="00C0111D" w:rsidRPr="00C0111D">
        <w:rPr>
          <w:rFonts w:eastAsiaTheme="minorEastAsia"/>
        </w:rPr>
        <w:t>nalysing recent resource consent data to highlight areas where there may be high demand, such as:</w:t>
      </w:r>
    </w:p>
    <w:p w14:paraId="40C3CE2F" w14:textId="44CF1ADB" w:rsidR="00C0111D" w:rsidRPr="00C0111D" w:rsidRDefault="00C0111D" w:rsidP="003D1A5C">
      <w:pPr>
        <w:pStyle w:val="Sub-list"/>
      </w:pPr>
      <w:r w:rsidRPr="00C0111D">
        <w:t>areas where a number of consents have been lodged for housing and business use</w:t>
      </w:r>
    </w:p>
    <w:p w14:paraId="32C9B751" w14:textId="2C156BF0" w:rsidR="00C0111D" w:rsidRPr="00C0111D" w:rsidRDefault="00C0111D" w:rsidP="003D1A5C">
      <w:pPr>
        <w:pStyle w:val="Sub-list"/>
      </w:pPr>
      <w:r w:rsidRPr="00C0111D">
        <w:t>the number of consents seeking to infringe standards such as maximum building height, building coverage</w:t>
      </w:r>
      <w:r w:rsidR="00F11B38">
        <w:t xml:space="preserve"> and </w:t>
      </w:r>
      <w:r w:rsidRPr="00C0111D">
        <w:t xml:space="preserve">height in relation to boundary gross floor area, or </w:t>
      </w:r>
    </w:p>
    <w:p w14:paraId="7F8A7AE2" w14:textId="44C58C43" w:rsidR="00C0111D" w:rsidRPr="00C0111D" w:rsidRDefault="00C0111D" w:rsidP="003D1A5C">
      <w:pPr>
        <w:pStyle w:val="Sub-list"/>
      </w:pPr>
      <w:r w:rsidRPr="00C0111D">
        <w:t>other development controls that impact on the development potential of a site</w:t>
      </w:r>
    </w:p>
    <w:p w14:paraId="7E9935D8" w14:textId="6FC3FC26" w:rsidR="00C0111D" w:rsidRPr="00C0111D" w:rsidRDefault="00F11B38" w:rsidP="003D1A5C">
      <w:pPr>
        <w:pStyle w:val="Bullet"/>
        <w:rPr>
          <w:rFonts w:eastAsiaTheme="minorEastAsia"/>
        </w:rPr>
      </w:pPr>
      <w:r>
        <w:rPr>
          <w:rFonts w:eastAsiaTheme="minorEastAsia"/>
        </w:rPr>
        <w:t>surveying</w:t>
      </w:r>
      <w:r w:rsidR="00C0111D" w:rsidRPr="00C0111D">
        <w:rPr>
          <w:rFonts w:eastAsiaTheme="minorEastAsia"/>
        </w:rPr>
        <w:t xml:space="preserve"> consumer preference</w:t>
      </w:r>
      <w:r>
        <w:rPr>
          <w:rFonts w:eastAsiaTheme="minorEastAsia"/>
        </w:rPr>
        <w:t>s</w:t>
      </w:r>
      <w:r w:rsidR="00C0111D" w:rsidRPr="00C0111D">
        <w:rPr>
          <w:rFonts w:eastAsiaTheme="minorEastAsia"/>
        </w:rPr>
        <w:t xml:space="preserve"> under scenarios where higher</w:t>
      </w:r>
      <w:r w:rsidR="00B7718C">
        <w:rPr>
          <w:rFonts w:eastAsiaTheme="minorEastAsia"/>
        </w:rPr>
        <w:t>-</w:t>
      </w:r>
      <w:r w:rsidR="00C0111D" w:rsidRPr="00C0111D">
        <w:rPr>
          <w:rFonts w:eastAsiaTheme="minorEastAsia"/>
        </w:rPr>
        <w:t>density housing is permitted using highly flexible zoning and building rules (</w:t>
      </w:r>
      <w:r w:rsidR="009113AC">
        <w:rPr>
          <w:rFonts w:eastAsiaTheme="minorEastAsia"/>
        </w:rPr>
        <w:t>ie,</w:t>
      </w:r>
      <w:r w:rsidR="00C0111D" w:rsidRPr="00C0111D">
        <w:rPr>
          <w:rFonts w:eastAsiaTheme="minorEastAsia"/>
        </w:rPr>
        <w:t xml:space="preserve"> unconstrained demand for a greater range of housing types and prices). Additionally, local authorities could engage with the development sector to understand preference </w:t>
      </w:r>
    </w:p>
    <w:p w14:paraId="56B3A883" w14:textId="4A559514" w:rsidR="00C0111D" w:rsidRPr="00C0111D" w:rsidRDefault="00F11B38" w:rsidP="003D1A5C">
      <w:pPr>
        <w:pStyle w:val="Bullet"/>
        <w:rPr>
          <w:rFonts w:eastAsiaTheme="minorEastAsia"/>
        </w:rPr>
      </w:pPr>
      <w:r>
        <w:rPr>
          <w:rFonts w:eastAsiaTheme="minorEastAsia"/>
        </w:rPr>
        <w:t>m</w:t>
      </w:r>
      <w:r w:rsidR="00C0111D" w:rsidRPr="00C0111D">
        <w:rPr>
          <w:rFonts w:eastAsiaTheme="minorEastAsia"/>
        </w:rPr>
        <w:t xml:space="preserve">onitoring economic indicators such as land prices. As noted above, these can be used as a proxy to indicate demand; if comparable land prices are high, it would suggest there is higher relative demand. </w:t>
      </w:r>
    </w:p>
    <w:p w14:paraId="5621CF12" w14:textId="594BCCF6" w:rsidR="00C51115" w:rsidRDefault="00C0111D" w:rsidP="007F3426">
      <w:pPr>
        <w:pStyle w:val="BodyText"/>
      </w:pPr>
      <w:r w:rsidRPr="00C0111D">
        <w:t>One particular method an HBA can use to understand areas of high</w:t>
      </w:r>
      <w:r w:rsidR="00777F65">
        <w:t xml:space="preserve"> </w:t>
      </w:r>
      <w:r w:rsidRPr="00C0111D">
        <w:t xml:space="preserve">demand in an urban area is </w:t>
      </w:r>
      <w:r w:rsidR="00777F65">
        <w:t>analysing</w:t>
      </w:r>
      <w:r w:rsidRPr="00C0111D">
        <w:t xml:space="preserve"> the capital value</w:t>
      </w:r>
      <w:r w:rsidR="00C51115">
        <w:t>-</w:t>
      </w:r>
      <w:r w:rsidRPr="00C0111D">
        <w:t>to</w:t>
      </w:r>
      <w:r w:rsidR="00C51115">
        <w:t>-</w:t>
      </w:r>
      <w:r w:rsidRPr="00C0111D">
        <w:t xml:space="preserve">land value ratio of properties. This is detailed in </w:t>
      </w:r>
      <w:hyperlink r:id="rId34" w:history="1">
        <w:r w:rsidRPr="000D35C0">
          <w:rPr>
            <w:rStyle w:val="Hyperlink"/>
            <w:b/>
          </w:rPr>
          <w:t xml:space="preserve">the Guide on </w:t>
        </w:r>
        <w:r w:rsidR="004C4453">
          <w:rPr>
            <w:rStyle w:val="Hyperlink"/>
            <w:b/>
          </w:rPr>
          <w:br/>
        </w:r>
        <w:r w:rsidRPr="000D35C0">
          <w:rPr>
            <w:rStyle w:val="Hyperlink"/>
            <w:b/>
          </w:rPr>
          <w:t>Evidence and Monitoring</w:t>
        </w:r>
      </w:hyperlink>
      <w:r w:rsidR="00C51115">
        <w:rPr>
          <w:rStyle w:val="Hyperlink"/>
          <w:b/>
        </w:rPr>
        <w:t>,</w:t>
      </w:r>
      <w:r w:rsidR="009113AC" w:rsidRPr="00CB3B62">
        <w:rPr>
          <w:b/>
        </w:rPr>
        <w:t xml:space="preserve"> </w:t>
      </w:r>
      <w:r w:rsidR="00C51115">
        <w:t>which</w:t>
      </w:r>
      <w:r w:rsidR="00C51115" w:rsidRPr="00C0111D">
        <w:t xml:space="preserve"> </w:t>
      </w:r>
      <w:r w:rsidRPr="00C0111D">
        <w:t xml:space="preserve">was produced to support the implementation of the National Policy Statement on Urban Development Capacity (2016). </w:t>
      </w:r>
    </w:p>
    <w:p w14:paraId="4DFF0B01" w14:textId="5F84EE07" w:rsidR="00C51115" w:rsidRDefault="00C0111D" w:rsidP="007F3426">
      <w:pPr>
        <w:pStyle w:val="BodyText"/>
      </w:pPr>
      <w:r w:rsidRPr="00C0111D">
        <w:t>A high land value</w:t>
      </w:r>
      <w:r w:rsidR="00C51115">
        <w:t>-</w:t>
      </w:r>
      <w:r w:rsidRPr="00C0111D">
        <w:t>to</w:t>
      </w:r>
      <w:r w:rsidR="00C51115">
        <w:t>-</w:t>
      </w:r>
      <w:r w:rsidRPr="00C0111D">
        <w:t>capital value ratio can indicate the land is in a location of high demand</w:t>
      </w:r>
      <w:r w:rsidR="00085E3A">
        <w:t xml:space="preserve"> and</w:t>
      </w:r>
      <w:r w:rsidRPr="00C0111D">
        <w:t xml:space="preserve"> </w:t>
      </w:r>
      <w:r w:rsidR="00777F65">
        <w:t>the</w:t>
      </w:r>
      <w:r w:rsidRPr="00C0111D">
        <w:t xml:space="preserve"> land use is under-capitalised. This is likely to mean it is feasible to redevelop for greater intensification. For example, when the relative price of a land parcel rises, it is a signal people want to live and work in that location. Land with low capitalisation is easier and more profitable for development because most of the value is in the land (</w:t>
      </w:r>
      <w:r w:rsidR="00C51115">
        <w:t xml:space="preserve">as shown in the </w:t>
      </w:r>
      <w:hyperlink r:id="rId35" w:history="1">
        <w:r w:rsidRPr="000D35C0">
          <w:rPr>
            <w:rStyle w:val="Hyperlink"/>
            <w:b/>
          </w:rPr>
          <w:t xml:space="preserve">cost-benefit analysis for the </w:t>
        </w:r>
        <w:r w:rsidR="00777F65" w:rsidRPr="000D35C0">
          <w:rPr>
            <w:rStyle w:val="Hyperlink"/>
            <w:b/>
          </w:rPr>
          <w:t>NPS-U</w:t>
        </w:r>
        <w:r w:rsidR="00777F65" w:rsidRPr="00BB10BB">
          <w:rPr>
            <w:rStyle w:val="Hyperlink"/>
          </w:rPr>
          <w:t>D</w:t>
        </w:r>
      </w:hyperlink>
      <w:r w:rsidRPr="00C0111D">
        <w:t>). Under-capitalisation might also be in relation to a disparity between the current and possible land use</w:t>
      </w:r>
      <w:r w:rsidR="00777F65">
        <w:t xml:space="preserve">, </w:t>
      </w:r>
      <w:r w:rsidRPr="00C0111D">
        <w:t>such as what is there now</w:t>
      </w:r>
      <w:r w:rsidR="00085E3A">
        <w:t xml:space="preserve"> and</w:t>
      </w:r>
      <w:r w:rsidRPr="00C0111D">
        <w:t xml:space="preserve"> what could be provided if greater density was enabled. This indicates these places could be suitable for intensification. </w:t>
      </w:r>
    </w:p>
    <w:p w14:paraId="45548BF8" w14:textId="6CF8C12D" w:rsidR="00C0111D" w:rsidRDefault="00C0111D" w:rsidP="007F3426">
      <w:pPr>
        <w:pStyle w:val="BodyText"/>
      </w:pPr>
      <w:r w:rsidRPr="00C0111D">
        <w:t xml:space="preserve">The matrix shown in </w:t>
      </w:r>
      <w:r w:rsidR="00777F65">
        <w:t>table 2 below</w:t>
      </w:r>
      <w:r w:rsidRPr="00C0111D">
        <w:t xml:space="preserve"> shows how local authorities could use this metric to understand and identify areas </w:t>
      </w:r>
      <w:r w:rsidR="00777F65">
        <w:t>m</w:t>
      </w:r>
      <w:r w:rsidRPr="00C0111D">
        <w:t>ost suitable for intensification.</w:t>
      </w:r>
    </w:p>
    <w:p w14:paraId="578A95E3" w14:textId="29B64408" w:rsidR="00C0111D" w:rsidRDefault="00C73361" w:rsidP="00E44236">
      <w:pPr>
        <w:pStyle w:val="Tableheading"/>
      </w:pPr>
      <w:bookmarkStart w:id="77" w:name="_Toc51236786"/>
      <w:r>
        <w:t>Table</w:t>
      </w:r>
      <w:r w:rsidRPr="00C0111D">
        <w:t xml:space="preserve"> </w:t>
      </w:r>
      <w:r>
        <w:t>2</w:t>
      </w:r>
      <w:r w:rsidR="00C0111D" w:rsidRPr="00C0111D">
        <w:t xml:space="preserve">: </w:t>
      </w:r>
      <w:r w:rsidR="003D1A5C">
        <w:tab/>
      </w:r>
      <w:r w:rsidR="00C0111D" w:rsidRPr="00C0111D">
        <w:t>Capitalisation and land value and suitability for redevelopment and intensification</w:t>
      </w:r>
      <w:bookmarkEnd w:id="77"/>
    </w:p>
    <w:tbl>
      <w:tblPr>
        <w:tblStyle w:val="TableGrid"/>
        <w:tblW w:w="0" w:type="auto"/>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2552"/>
        <w:gridCol w:w="3118"/>
        <w:gridCol w:w="3391"/>
      </w:tblGrid>
      <w:tr w:rsidR="00511DE6" w14:paraId="1324CDB8" w14:textId="77777777" w:rsidTr="0036662C">
        <w:tc>
          <w:tcPr>
            <w:tcW w:w="2552" w:type="dxa"/>
            <w:tcBorders>
              <w:top w:val="nil"/>
              <w:bottom w:val="single" w:sz="4" w:space="0" w:color="1C556C"/>
              <w:right w:val="nil"/>
            </w:tcBorders>
            <w:shd w:val="clear" w:color="auto" w:fill="1C556C"/>
          </w:tcPr>
          <w:p w14:paraId="758DA307" w14:textId="77777777" w:rsidR="00511DE6" w:rsidRDefault="00511DE6" w:rsidP="00511DE6">
            <w:pPr>
              <w:pStyle w:val="BodyText"/>
            </w:pPr>
          </w:p>
        </w:tc>
        <w:tc>
          <w:tcPr>
            <w:tcW w:w="3118" w:type="dxa"/>
            <w:tcBorders>
              <w:left w:val="nil"/>
              <w:bottom w:val="single" w:sz="4" w:space="0" w:color="8B391D"/>
            </w:tcBorders>
            <w:shd w:val="clear" w:color="auto" w:fill="1C556C"/>
          </w:tcPr>
          <w:p w14:paraId="55B42BD8" w14:textId="24CDF5DD" w:rsidR="00511DE6" w:rsidRPr="00511DE6" w:rsidRDefault="00511DE6" w:rsidP="00511DE6">
            <w:pPr>
              <w:pStyle w:val="Tableheading"/>
              <w:rPr>
                <w:color w:val="FFFFFF" w:themeColor="background1"/>
              </w:rPr>
            </w:pPr>
            <w:bookmarkStart w:id="78" w:name="_Toc51236809"/>
            <w:r w:rsidRPr="00511DE6">
              <w:rPr>
                <w:color w:val="FFFFFF" w:themeColor="background1"/>
              </w:rPr>
              <w:t>Low land value</w:t>
            </w:r>
            <w:bookmarkEnd w:id="78"/>
          </w:p>
        </w:tc>
        <w:tc>
          <w:tcPr>
            <w:tcW w:w="3391" w:type="dxa"/>
            <w:tcBorders>
              <w:bottom w:val="single" w:sz="4" w:space="0" w:color="1C556C"/>
              <w:right w:val="single" w:sz="4" w:space="0" w:color="1C556C"/>
            </w:tcBorders>
            <w:shd w:val="clear" w:color="auto" w:fill="1C556C"/>
          </w:tcPr>
          <w:p w14:paraId="7C02D14F" w14:textId="0DB58AF6" w:rsidR="00511DE6" w:rsidRPr="00511DE6" w:rsidRDefault="00511DE6" w:rsidP="00511DE6">
            <w:pPr>
              <w:pStyle w:val="Tableheading"/>
              <w:rPr>
                <w:color w:val="FFFFFF" w:themeColor="background1"/>
              </w:rPr>
            </w:pPr>
            <w:bookmarkStart w:id="79" w:name="_Toc51236810"/>
            <w:r w:rsidRPr="00511DE6">
              <w:rPr>
                <w:color w:val="FFFFFF" w:themeColor="background1"/>
              </w:rPr>
              <w:t>High land value</w:t>
            </w:r>
            <w:bookmarkEnd w:id="79"/>
          </w:p>
        </w:tc>
      </w:tr>
      <w:tr w:rsidR="00511DE6" w14:paraId="0F710509" w14:textId="77777777" w:rsidTr="0036662C">
        <w:tc>
          <w:tcPr>
            <w:tcW w:w="2552" w:type="dxa"/>
            <w:tcBorders>
              <w:top w:val="single" w:sz="4" w:space="0" w:color="1C556C"/>
              <w:right w:val="single" w:sz="4" w:space="0" w:color="8B391D"/>
            </w:tcBorders>
          </w:tcPr>
          <w:p w14:paraId="05F4D5CD" w14:textId="6FD02172" w:rsidR="00511DE6" w:rsidRPr="00511DE6" w:rsidRDefault="00511DE6" w:rsidP="00511DE6">
            <w:pPr>
              <w:pStyle w:val="BodyText"/>
              <w:rPr>
                <w:b/>
              </w:rPr>
            </w:pPr>
            <w:r w:rsidRPr="00511DE6">
              <w:rPr>
                <w:b/>
              </w:rPr>
              <w:t>High capitalisation</w:t>
            </w:r>
          </w:p>
        </w:tc>
        <w:tc>
          <w:tcPr>
            <w:tcW w:w="3118" w:type="dxa"/>
            <w:tcBorders>
              <w:top w:val="single" w:sz="4" w:space="0" w:color="8B391D"/>
              <w:left w:val="single" w:sz="4" w:space="0" w:color="8B391D"/>
              <w:bottom w:val="single" w:sz="4" w:space="0" w:color="8B391D"/>
              <w:right w:val="single" w:sz="4" w:space="0" w:color="8B391D"/>
            </w:tcBorders>
            <w:shd w:val="clear" w:color="auto" w:fill="8B391D"/>
          </w:tcPr>
          <w:p w14:paraId="485EE5CC" w14:textId="77777777" w:rsidR="00511DE6" w:rsidRPr="0036662C" w:rsidRDefault="00511DE6" w:rsidP="00511DE6">
            <w:pPr>
              <w:pStyle w:val="TableText"/>
              <w:rPr>
                <w:color w:val="FFFFFF" w:themeColor="background1"/>
              </w:rPr>
            </w:pPr>
            <w:r w:rsidRPr="0036662C">
              <w:rPr>
                <w:color w:val="FFFFFF" w:themeColor="background1"/>
              </w:rPr>
              <w:t>Low value land and high capitalisation, unlikely to be redeveloped</w:t>
            </w:r>
          </w:p>
          <w:p w14:paraId="1CBAD7AA" w14:textId="6B2A39CD" w:rsidR="00511DE6" w:rsidRDefault="00511DE6" w:rsidP="00511DE6">
            <w:pPr>
              <w:pStyle w:val="TableText"/>
            </w:pPr>
            <w:r w:rsidRPr="0036662C">
              <w:rPr>
                <w:color w:val="FFFFFF" w:themeColor="background1"/>
              </w:rPr>
              <w:t>Areas of low demand, likely not suitable for intensification</w:t>
            </w:r>
          </w:p>
        </w:tc>
        <w:tc>
          <w:tcPr>
            <w:tcW w:w="3391" w:type="dxa"/>
            <w:tcBorders>
              <w:left w:val="single" w:sz="4" w:space="0" w:color="8B391D"/>
              <w:bottom w:val="single" w:sz="4" w:space="0" w:color="1C556C"/>
              <w:right w:val="single" w:sz="4" w:space="0" w:color="1C556C"/>
            </w:tcBorders>
            <w:shd w:val="clear" w:color="auto" w:fill="FFC000"/>
          </w:tcPr>
          <w:p w14:paraId="3E18D546" w14:textId="77777777" w:rsidR="00511DE6" w:rsidRDefault="00511DE6" w:rsidP="00511DE6">
            <w:pPr>
              <w:pStyle w:val="TableText"/>
            </w:pPr>
            <w:r>
              <w:t>Valuable land and high capitalisation, limited likelihood of redevelopment</w:t>
            </w:r>
          </w:p>
          <w:p w14:paraId="46F06575" w14:textId="23697532" w:rsidR="00511DE6" w:rsidRDefault="00511DE6" w:rsidP="00511DE6">
            <w:pPr>
              <w:pStyle w:val="TableText"/>
            </w:pPr>
            <w:r>
              <w:t>Areas of some demand, may suitable for intensification</w:t>
            </w:r>
          </w:p>
        </w:tc>
      </w:tr>
      <w:tr w:rsidR="00511DE6" w14:paraId="1F7291CF" w14:textId="77777777" w:rsidTr="0036662C">
        <w:tc>
          <w:tcPr>
            <w:tcW w:w="2552" w:type="dxa"/>
          </w:tcPr>
          <w:p w14:paraId="7DDAE157" w14:textId="3A131048" w:rsidR="00511DE6" w:rsidRPr="00511DE6" w:rsidRDefault="00511DE6" w:rsidP="00511DE6">
            <w:pPr>
              <w:pStyle w:val="BodyText"/>
              <w:rPr>
                <w:b/>
              </w:rPr>
            </w:pPr>
            <w:r w:rsidRPr="00511DE6">
              <w:rPr>
                <w:b/>
              </w:rPr>
              <w:t>Low capitalisation</w:t>
            </w:r>
          </w:p>
        </w:tc>
        <w:tc>
          <w:tcPr>
            <w:tcW w:w="3118" w:type="dxa"/>
            <w:tcBorders>
              <w:top w:val="single" w:sz="4" w:space="0" w:color="8B391D"/>
            </w:tcBorders>
            <w:shd w:val="clear" w:color="auto" w:fill="FFC000"/>
          </w:tcPr>
          <w:p w14:paraId="4F6061FA" w14:textId="77777777" w:rsidR="00511DE6" w:rsidRDefault="00511DE6" w:rsidP="00511DE6">
            <w:pPr>
              <w:pStyle w:val="TableText"/>
            </w:pPr>
            <w:r>
              <w:t>Low value land and low capitalisation, unlikely to be redeveloped</w:t>
            </w:r>
          </w:p>
          <w:p w14:paraId="5103B3DA" w14:textId="26464A49" w:rsidR="00511DE6" w:rsidRDefault="00511DE6" w:rsidP="0036662C">
            <w:pPr>
              <w:pStyle w:val="TableText"/>
              <w:shd w:val="clear" w:color="auto" w:fill="FFC000"/>
            </w:pPr>
            <w:r>
              <w:t>Areas of some demand, may suitable for intensification</w:t>
            </w:r>
          </w:p>
        </w:tc>
        <w:tc>
          <w:tcPr>
            <w:tcW w:w="3391" w:type="dxa"/>
            <w:tcBorders>
              <w:right w:val="single" w:sz="4" w:space="0" w:color="1C556C"/>
            </w:tcBorders>
            <w:shd w:val="clear" w:color="auto" w:fill="6FC7B7"/>
          </w:tcPr>
          <w:p w14:paraId="0D95C782" w14:textId="57158443" w:rsidR="00511DE6" w:rsidRDefault="00511DE6" w:rsidP="00511DE6">
            <w:pPr>
              <w:pStyle w:val="TableText"/>
            </w:pPr>
            <w:r>
              <w:t>Valuable land and low capital value, likelihood of redevelopment</w:t>
            </w:r>
          </w:p>
          <w:p w14:paraId="4519DD14" w14:textId="10854A9B" w:rsidR="00511DE6" w:rsidRDefault="00511DE6" w:rsidP="00511DE6">
            <w:pPr>
              <w:pStyle w:val="TableText"/>
            </w:pPr>
            <w:r>
              <w:t>Areas of most demand, most suitable for intensification</w:t>
            </w:r>
          </w:p>
          <w:p w14:paraId="161785BE" w14:textId="77777777" w:rsidR="00511DE6" w:rsidRDefault="00511DE6" w:rsidP="00511DE6">
            <w:pPr>
              <w:pStyle w:val="TableText"/>
            </w:pPr>
          </w:p>
        </w:tc>
      </w:tr>
    </w:tbl>
    <w:p w14:paraId="7E03F7B4" w14:textId="4C1F7752" w:rsidR="00C0111D" w:rsidRPr="00C0111D" w:rsidRDefault="00C0111D" w:rsidP="007F3426">
      <w:pPr>
        <w:pStyle w:val="BodyText"/>
      </w:pPr>
      <w:r w:rsidRPr="00C0111D">
        <w:lastRenderedPageBreak/>
        <w:t xml:space="preserve">The Ministry of Housing and Urban Development (HUD) have </w:t>
      </w:r>
      <w:r w:rsidR="00C51115">
        <w:t>done</w:t>
      </w:r>
      <w:r w:rsidRPr="00C0111D">
        <w:t xml:space="preserve"> some work on understanding the costs of growth. This work include</w:t>
      </w:r>
      <w:r w:rsidR="00C51115">
        <w:t>s</w:t>
      </w:r>
      <w:r w:rsidRPr="00C0111D">
        <w:t xml:space="preserve"> </w:t>
      </w:r>
      <w:r w:rsidR="00C51115">
        <w:t>developing</w:t>
      </w:r>
      <w:r w:rsidRPr="00C0111D">
        <w:t xml:space="preserve"> </w:t>
      </w:r>
      <w:r w:rsidR="00C51115">
        <w:t xml:space="preserve">a </w:t>
      </w:r>
      <w:r w:rsidRPr="00C0111D">
        <w:t xml:space="preserve">methodology </w:t>
      </w:r>
      <w:r w:rsidR="00C51115">
        <w:t>for</w:t>
      </w:r>
      <w:r w:rsidRPr="00C0111D">
        <w:t xml:space="preserve"> local authorities to understand and measure the wider costs and benefits of different forms of urban development in different locations. </w:t>
      </w:r>
      <w:r w:rsidR="00C51115">
        <w:t>We also expect</w:t>
      </w:r>
      <w:r w:rsidRPr="00C0111D">
        <w:t xml:space="preserve"> the methodology could be used as an input into HBAs and </w:t>
      </w:r>
      <w:r w:rsidR="00C51115">
        <w:t>to assess</w:t>
      </w:r>
      <w:r w:rsidRPr="00C0111D">
        <w:t xml:space="preserve"> appropriate areas for intensification. The methodology will be available by the end of 2020.</w:t>
      </w:r>
    </w:p>
    <w:p w14:paraId="7942B544" w14:textId="3464E93A" w:rsidR="00C0111D" w:rsidRPr="00C0111D" w:rsidRDefault="00C0111D" w:rsidP="007F3426">
      <w:pPr>
        <w:pStyle w:val="BodyText"/>
      </w:pPr>
      <w:r w:rsidRPr="00C0111D">
        <w:t>When determining demand, tier 3 local authorities could also look to their centre type zones (city centre, town centre, neighbourhood centre)</w:t>
      </w:r>
      <w:r w:rsidR="00C51115">
        <w:t xml:space="preserve">, </w:t>
      </w:r>
      <w:r w:rsidR="00C51115" w:rsidRPr="00C0111D">
        <w:t>where demand and access is likely to be greatest</w:t>
      </w:r>
      <w:r w:rsidR="00C51115">
        <w:t>,</w:t>
      </w:r>
      <w:r w:rsidRPr="00C0111D">
        <w:t xml:space="preserve"> as starting points for locations that are best suited </w:t>
      </w:r>
      <w:r w:rsidR="00C51115">
        <w:t>for</w:t>
      </w:r>
      <w:r w:rsidR="00C51115" w:rsidRPr="00C0111D">
        <w:t xml:space="preserve"> </w:t>
      </w:r>
      <w:r w:rsidRPr="00C0111D">
        <w:t xml:space="preserve">intensification. </w:t>
      </w:r>
    </w:p>
    <w:p w14:paraId="0F30DBBB" w14:textId="556A0729" w:rsidR="00C0111D" w:rsidRPr="00C0111D" w:rsidRDefault="00C51115" w:rsidP="007F3426">
      <w:pPr>
        <w:pStyle w:val="BodyText"/>
      </w:pPr>
      <w:r>
        <w:t xml:space="preserve">While </w:t>
      </w:r>
      <w:r w:rsidR="00BB10BB">
        <w:t>t</w:t>
      </w:r>
      <w:r w:rsidR="00C0111D" w:rsidRPr="00C0111D">
        <w:t xml:space="preserve">ier 3 local authorities </w:t>
      </w:r>
      <w:r>
        <w:t>are not</w:t>
      </w:r>
      <w:r w:rsidRPr="00C0111D">
        <w:t xml:space="preserve"> </w:t>
      </w:r>
      <w:r w:rsidR="00C0111D" w:rsidRPr="00C0111D">
        <w:t xml:space="preserve">required to undertake an HBA, they </w:t>
      </w:r>
      <w:r>
        <w:t>must</w:t>
      </w:r>
      <w:r w:rsidR="00C0111D" w:rsidRPr="00C0111D">
        <w:t xml:space="preserve"> undertake basis evaluations and analysis as directed in subpart 3, clause 3.9 of the NPS-UD – </w:t>
      </w:r>
      <w:r>
        <w:t>for example</w:t>
      </w:r>
      <w:r w:rsidR="009113AC">
        <w:t>,</w:t>
      </w:r>
      <w:r w:rsidR="00C0111D" w:rsidRPr="00C0111D">
        <w:t xml:space="preserve"> </w:t>
      </w:r>
      <w:r>
        <w:t xml:space="preserve">analysing the </w:t>
      </w:r>
      <w:r w:rsidR="00C0111D" w:rsidRPr="00C0111D">
        <w:t>price of and rents for dwellings</w:t>
      </w:r>
      <w:r>
        <w:t xml:space="preserve"> c</w:t>
      </w:r>
      <w:r w:rsidR="00C0111D" w:rsidRPr="00C0111D">
        <w:t xml:space="preserve">an assist in understanding </w:t>
      </w:r>
      <w:r>
        <w:t xml:space="preserve">housing </w:t>
      </w:r>
      <w:r w:rsidR="00C0111D" w:rsidRPr="00C0111D">
        <w:t>demand.</w:t>
      </w:r>
      <w:r w:rsidR="009113AC">
        <w:t xml:space="preserve"> </w:t>
      </w:r>
      <w:r>
        <w:t xml:space="preserve">They </w:t>
      </w:r>
      <w:r w:rsidR="00C0111D" w:rsidRPr="00C0111D">
        <w:t xml:space="preserve">may also wish to apply and consider the principles of an HBA to determine demand including: </w:t>
      </w:r>
    </w:p>
    <w:p w14:paraId="606A494F" w14:textId="08F7CDA5" w:rsidR="00C0111D" w:rsidRPr="00245794" w:rsidRDefault="00C0111D" w:rsidP="00245794">
      <w:pPr>
        <w:pStyle w:val="Bullet"/>
        <w:rPr>
          <w:rFonts w:eastAsiaTheme="minorEastAsia"/>
        </w:rPr>
      </w:pPr>
      <w:r w:rsidRPr="00245794">
        <w:rPr>
          <w:rFonts w:eastAsiaTheme="minorEastAsia"/>
        </w:rPr>
        <w:t>current supply of housing and whether there is additional demand</w:t>
      </w:r>
    </w:p>
    <w:p w14:paraId="688B3443" w14:textId="075A1AF0" w:rsidR="00C0111D" w:rsidRPr="00245794" w:rsidRDefault="00C0111D" w:rsidP="00245794">
      <w:pPr>
        <w:pStyle w:val="Bullet"/>
        <w:rPr>
          <w:rFonts w:eastAsiaTheme="minorEastAsia"/>
        </w:rPr>
      </w:pPr>
      <w:r w:rsidRPr="00245794">
        <w:rPr>
          <w:rFonts w:eastAsiaTheme="minorEastAsia"/>
        </w:rPr>
        <w:t xml:space="preserve">housing affordability across the district </w:t>
      </w:r>
    </w:p>
    <w:p w14:paraId="3F60E301" w14:textId="3B53DE4E" w:rsidR="00C0111D" w:rsidRPr="00245794" w:rsidRDefault="00C0111D" w:rsidP="00245794">
      <w:pPr>
        <w:pStyle w:val="Bullet"/>
        <w:rPr>
          <w:rFonts w:eastAsiaTheme="minorEastAsia"/>
        </w:rPr>
      </w:pPr>
      <w:r w:rsidRPr="00245794">
        <w:rPr>
          <w:rFonts w:eastAsiaTheme="minorEastAsia"/>
        </w:rPr>
        <w:t>location of housing</w:t>
      </w:r>
    </w:p>
    <w:p w14:paraId="02F17017" w14:textId="590BEAF2" w:rsidR="00C0111D" w:rsidRPr="00245794" w:rsidRDefault="00C0111D" w:rsidP="00245794">
      <w:pPr>
        <w:pStyle w:val="Bullet"/>
        <w:rPr>
          <w:rFonts w:eastAsiaTheme="minorEastAsia"/>
        </w:rPr>
      </w:pPr>
      <w:r w:rsidRPr="00245794">
        <w:rPr>
          <w:rFonts w:eastAsiaTheme="minorEastAsia"/>
        </w:rPr>
        <w:t xml:space="preserve">dwelling typologies – </w:t>
      </w:r>
      <w:r w:rsidR="00C51115">
        <w:rPr>
          <w:rFonts w:eastAsiaTheme="minorEastAsia"/>
        </w:rPr>
        <w:t>for example,</w:t>
      </w:r>
      <w:r w:rsidR="00A31C99">
        <w:rPr>
          <w:rFonts w:eastAsiaTheme="minorEastAsia"/>
        </w:rPr>
        <w:t xml:space="preserve"> </w:t>
      </w:r>
      <w:r w:rsidRPr="00245794">
        <w:rPr>
          <w:rFonts w:eastAsiaTheme="minorEastAsia"/>
        </w:rPr>
        <w:t xml:space="preserve">is there a shortage or desire for a particular typology </w:t>
      </w:r>
    </w:p>
    <w:p w14:paraId="0365C3DA" w14:textId="6BC219B1" w:rsidR="00C0111D" w:rsidRPr="00245794" w:rsidRDefault="00C0111D" w:rsidP="00245794">
      <w:pPr>
        <w:pStyle w:val="Bullet"/>
        <w:rPr>
          <w:rFonts w:eastAsiaTheme="minorEastAsia"/>
        </w:rPr>
      </w:pPr>
      <w:r w:rsidRPr="00245794">
        <w:rPr>
          <w:rFonts w:eastAsiaTheme="minorEastAsia"/>
        </w:rPr>
        <w:t>number of dwellings that can reasonably be expected to be realised.</w:t>
      </w:r>
    </w:p>
    <w:p w14:paraId="72173D17" w14:textId="508FFCB2" w:rsidR="00C0111D" w:rsidRPr="00C0111D" w:rsidRDefault="00C0111D" w:rsidP="007F3426">
      <w:pPr>
        <w:pStyle w:val="BodyText"/>
      </w:pPr>
      <w:r w:rsidRPr="00C0111D">
        <w:t>Heights and densities enabled in urban areas must be commensurate to the level of demand. This means areas with high demand should enable greater heights and densities than areas with low or no demand.</w:t>
      </w:r>
      <w:r w:rsidR="009113AC">
        <w:t xml:space="preserve"> </w:t>
      </w:r>
    </w:p>
    <w:p w14:paraId="008F835A" w14:textId="1C6FB023" w:rsidR="00C0111D" w:rsidRPr="00C0111D" w:rsidRDefault="00245794" w:rsidP="003D1A5C">
      <w:pPr>
        <w:pStyle w:val="Heading3"/>
        <w:rPr>
          <w:rFonts w:eastAsiaTheme="minorEastAsia"/>
        </w:rPr>
      </w:pPr>
      <w:bookmarkStart w:id="80" w:name="_Toc50720802"/>
      <w:r w:rsidRPr="00B7718C">
        <w:rPr>
          <w:rFonts w:eastAsiaTheme="minorEastAsia"/>
        </w:rPr>
        <w:t>6</w:t>
      </w:r>
      <w:r w:rsidR="00C0111D" w:rsidRPr="00B7718C">
        <w:rPr>
          <w:rFonts w:eastAsiaTheme="minorEastAsia"/>
        </w:rPr>
        <w:t>.5.4</w:t>
      </w:r>
      <w:r w:rsidR="00C0111D" w:rsidRPr="00C0111D">
        <w:rPr>
          <w:rFonts w:eastAsiaTheme="minorEastAsia"/>
        </w:rPr>
        <w:tab/>
        <w:t>What this mean</w:t>
      </w:r>
      <w:r w:rsidR="00C51115">
        <w:rPr>
          <w:rFonts w:eastAsiaTheme="minorEastAsia"/>
        </w:rPr>
        <w:t>s</w:t>
      </w:r>
      <w:r w:rsidR="00C0111D" w:rsidRPr="00C0111D">
        <w:rPr>
          <w:rFonts w:eastAsiaTheme="minorEastAsia"/>
        </w:rPr>
        <w:t xml:space="preserve"> for intensification outcomes</w:t>
      </w:r>
      <w:bookmarkEnd w:id="80"/>
      <w:r w:rsidR="00C0111D" w:rsidRPr="00C0111D">
        <w:rPr>
          <w:rFonts w:eastAsiaTheme="minorEastAsia"/>
        </w:rPr>
        <w:t xml:space="preserve"> </w:t>
      </w:r>
    </w:p>
    <w:p w14:paraId="1CAEBC89" w14:textId="2E4C958A" w:rsidR="00C0111D" w:rsidRPr="00C0111D" w:rsidRDefault="00C0111D" w:rsidP="007F3426">
      <w:pPr>
        <w:pStyle w:val="BodyText"/>
      </w:pPr>
      <w:r w:rsidRPr="00C0111D">
        <w:t>Enabling heights and density of urban form commensurate to accessibility and demand is going to look different across urban environments</w:t>
      </w:r>
      <w:r w:rsidR="00C51115">
        <w:t xml:space="preserve"> of varying size</w:t>
      </w:r>
      <w:r w:rsidRPr="00C0111D">
        <w:t xml:space="preserve">. It is important local authorities remember: </w:t>
      </w:r>
    </w:p>
    <w:p w14:paraId="76838705" w14:textId="4ADC674D" w:rsidR="00C0111D" w:rsidRPr="00C0111D" w:rsidRDefault="00C51115" w:rsidP="003D1A5C">
      <w:pPr>
        <w:pStyle w:val="Bullet"/>
        <w:rPr>
          <w:rFonts w:eastAsiaTheme="minorEastAsia"/>
        </w:rPr>
      </w:pPr>
      <w:r>
        <w:rPr>
          <w:rFonts w:eastAsiaTheme="minorEastAsia"/>
        </w:rPr>
        <w:t>y</w:t>
      </w:r>
      <w:r w:rsidR="00C0111D" w:rsidRPr="00C0111D">
        <w:rPr>
          <w:rFonts w:eastAsiaTheme="minorEastAsia"/>
        </w:rPr>
        <w:t>ou do not need both good accessibility and higher relative demand to enable greater heights and densities</w:t>
      </w:r>
    </w:p>
    <w:p w14:paraId="2EDFB973" w14:textId="50B332AE" w:rsidR="00C0111D" w:rsidRPr="00C0111D" w:rsidRDefault="00C51115" w:rsidP="003D1A5C">
      <w:pPr>
        <w:pStyle w:val="Bullet"/>
        <w:rPr>
          <w:rFonts w:eastAsiaTheme="minorEastAsia"/>
        </w:rPr>
      </w:pPr>
      <w:r>
        <w:rPr>
          <w:rFonts w:eastAsiaTheme="minorEastAsia"/>
        </w:rPr>
        <w:t>i</w:t>
      </w:r>
      <w:r w:rsidR="00C0111D" w:rsidRPr="00C0111D">
        <w:rPr>
          <w:rFonts w:eastAsiaTheme="minorEastAsia"/>
        </w:rPr>
        <w:t>f you have high demand but no/low/moderate accessibility you still need to ensure greater heights and densities are enabled</w:t>
      </w:r>
    </w:p>
    <w:p w14:paraId="57DA3EED" w14:textId="2A580526" w:rsidR="00C0111D" w:rsidRPr="00C0111D" w:rsidRDefault="00C51115" w:rsidP="003D1A5C">
      <w:pPr>
        <w:pStyle w:val="Bullet"/>
        <w:rPr>
          <w:rFonts w:eastAsiaTheme="minorEastAsia"/>
        </w:rPr>
      </w:pPr>
      <w:r>
        <w:rPr>
          <w:rFonts w:eastAsiaTheme="minorEastAsia"/>
        </w:rPr>
        <w:t>i</w:t>
      </w:r>
      <w:r w:rsidR="00C0111D" w:rsidRPr="00C0111D">
        <w:rPr>
          <w:rFonts w:eastAsiaTheme="minorEastAsia"/>
        </w:rPr>
        <w:t xml:space="preserve">f you have high accessibility but no/low/moderate demand you still need to ensure heights and densities that reflect the level of accessibility are enabled </w:t>
      </w:r>
    </w:p>
    <w:p w14:paraId="6AACF53E" w14:textId="6CFA01A1" w:rsidR="00C0111D" w:rsidRPr="00C0111D" w:rsidRDefault="00C51115" w:rsidP="003D1A5C">
      <w:pPr>
        <w:pStyle w:val="Bullet"/>
        <w:rPr>
          <w:rFonts w:eastAsiaTheme="minorEastAsia"/>
        </w:rPr>
      </w:pPr>
      <w:r>
        <w:rPr>
          <w:rFonts w:eastAsiaTheme="minorEastAsia"/>
        </w:rPr>
        <w:t>i</w:t>
      </w:r>
      <w:r w:rsidR="00C0111D" w:rsidRPr="00C0111D">
        <w:rPr>
          <w:rFonts w:eastAsiaTheme="minorEastAsia"/>
        </w:rPr>
        <w:t>f you have both high demand and high accessibility then you should be seeking to enable more height and density in those areas, as these are the most suitable to accommodate intensification.</w:t>
      </w:r>
    </w:p>
    <w:p w14:paraId="084941FD" w14:textId="61ECB711" w:rsidR="00C0111D" w:rsidRPr="00C0111D" w:rsidRDefault="00C0111D" w:rsidP="007F3426">
      <w:pPr>
        <w:pStyle w:val="BodyText"/>
      </w:pPr>
      <w:r w:rsidRPr="00C0111D">
        <w:t xml:space="preserve">In all the above situations, it is important intensification is enabled in a way consistent with meeting the definition of well-functioning urban environments (Policy 1). </w:t>
      </w:r>
    </w:p>
    <w:p w14:paraId="7D75410D" w14:textId="23C3D4E1" w:rsidR="00C0111D" w:rsidRPr="00B7718C" w:rsidRDefault="00C0111D" w:rsidP="007F3426">
      <w:pPr>
        <w:pStyle w:val="BodyText"/>
        <w:rPr>
          <w:spacing w:val="-2"/>
        </w:rPr>
      </w:pPr>
      <w:r w:rsidRPr="00B7718C">
        <w:rPr>
          <w:spacing w:val="-2"/>
        </w:rPr>
        <w:t xml:space="preserve">Figure 14 below illustrates visually how you could think about enabling heights and densities when assessing a location against demand and accessibility. By plotting on the graph a location’s demand and accessibility, you can understand the extent to which you should enable density and heights. The higher a location’s accessibility </w:t>
      </w:r>
      <w:r w:rsidR="00AB7E08" w:rsidRPr="00B7718C">
        <w:rPr>
          <w:spacing w:val="-2"/>
        </w:rPr>
        <w:t xml:space="preserve">or </w:t>
      </w:r>
      <w:r w:rsidRPr="00B7718C">
        <w:rPr>
          <w:spacing w:val="-2"/>
        </w:rPr>
        <w:t>demand, the more enabling your density and heights will need to be.</w:t>
      </w:r>
    </w:p>
    <w:p w14:paraId="38524BF3" w14:textId="7B135E58" w:rsidR="00C0111D" w:rsidRDefault="00C0111D" w:rsidP="000D35C0">
      <w:pPr>
        <w:pStyle w:val="Figureheading"/>
        <w:ind w:left="1185" w:hanging="1185"/>
      </w:pPr>
      <w:bookmarkStart w:id="81" w:name="_Toc51240500"/>
      <w:r w:rsidRPr="00245794">
        <w:lastRenderedPageBreak/>
        <w:t xml:space="preserve">Figure 14: </w:t>
      </w:r>
      <w:r w:rsidR="003D1A5C" w:rsidRPr="00245794">
        <w:tab/>
      </w:r>
      <w:r w:rsidRPr="00245794">
        <w:t>Example framework for determining heights and densities for other areas in tier 1 urban environments</w:t>
      </w:r>
      <w:bookmarkEnd w:id="81"/>
      <w:r w:rsidRPr="00C0111D">
        <w:t xml:space="preserve"> </w:t>
      </w:r>
    </w:p>
    <w:p w14:paraId="31175DE4" w14:textId="4D7A32D6" w:rsidR="007A064E" w:rsidRPr="007A064E" w:rsidRDefault="007A064E" w:rsidP="007A064E">
      <w:pPr>
        <w:pStyle w:val="BodyText"/>
      </w:pPr>
      <w:r>
        <w:rPr>
          <w:noProof/>
        </w:rPr>
        <w:drawing>
          <wp:inline distT="0" distB="0" distL="0" distR="0" wp14:anchorId="63FD2311" wp14:editId="412B2B7B">
            <wp:extent cx="4619625" cy="4565374"/>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e 14 - Example framework for determining heights and densitie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24409" cy="4570101"/>
                    </a:xfrm>
                    <a:prstGeom prst="rect">
                      <a:avLst/>
                    </a:prstGeom>
                  </pic:spPr>
                </pic:pic>
              </a:graphicData>
            </a:graphic>
          </wp:inline>
        </w:drawing>
      </w:r>
    </w:p>
    <w:p w14:paraId="48387973" w14:textId="0ECCBFC5" w:rsidR="00C0111D" w:rsidRPr="00C0111D" w:rsidRDefault="00C0111D" w:rsidP="007F3426">
      <w:pPr>
        <w:pStyle w:val="BodyText"/>
      </w:pPr>
      <w:r w:rsidRPr="00C0111D">
        <w:t xml:space="preserve">The building height and density of urban form that is enabled through development standards will result in different housing typologies and business uses. </w:t>
      </w:r>
    </w:p>
    <w:p w14:paraId="1AE74989" w14:textId="77777777" w:rsidR="00C0111D" w:rsidRPr="00C0111D" w:rsidRDefault="00C0111D" w:rsidP="007F3426">
      <w:pPr>
        <w:pStyle w:val="BodyText"/>
      </w:pPr>
      <w:r w:rsidRPr="00C0111D">
        <w:t xml:space="preserve">Different housing typologies exist (see Figure 15 below) which result in a range of heights and densities. These include: </w:t>
      </w:r>
    </w:p>
    <w:p w14:paraId="35FCD108" w14:textId="02BD334D" w:rsidR="00C0111D" w:rsidRPr="00C0111D" w:rsidRDefault="00AB7E08" w:rsidP="00A04635">
      <w:pPr>
        <w:pStyle w:val="Bullet"/>
      </w:pPr>
      <w:r>
        <w:t>d</w:t>
      </w:r>
      <w:r w:rsidR="00C0111D" w:rsidRPr="00C0111D">
        <w:t>etached single</w:t>
      </w:r>
      <w:r>
        <w:t>-</w:t>
      </w:r>
      <w:r w:rsidR="00C0111D" w:rsidRPr="00C0111D">
        <w:t>level houses</w:t>
      </w:r>
    </w:p>
    <w:p w14:paraId="3EEBE597" w14:textId="72A0702D" w:rsidR="00C0111D" w:rsidRPr="00C0111D" w:rsidRDefault="00AB7E08" w:rsidP="00A04635">
      <w:pPr>
        <w:pStyle w:val="Bullet"/>
      </w:pPr>
      <w:r>
        <w:t>t</w:t>
      </w:r>
      <w:r w:rsidR="00C0111D" w:rsidRPr="00C0111D">
        <w:t>ownhouses</w:t>
      </w:r>
    </w:p>
    <w:p w14:paraId="7AD3A8D8" w14:textId="13BCDDB0" w:rsidR="00C0111D" w:rsidRPr="00C0111D" w:rsidRDefault="00AB7E08" w:rsidP="00A04635">
      <w:pPr>
        <w:pStyle w:val="Bullet"/>
      </w:pPr>
      <w:r>
        <w:t>d</w:t>
      </w:r>
      <w:r w:rsidR="00C0111D" w:rsidRPr="00C0111D">
        <w:t xml:space="preserve">uplex and multiplex houses </w:t>
      </w:r>
    </w:p>
    <w:p w14:paraId="25016241" w14:textId="105A61E6" w:rsidR="00C0111D" w:rsidRPr="00C0111D" w:rsidRDefault="00AB7E08" w:rsidP="00A04635">
      <w:pPr>
        <w:pStyle w:val="Bullet"/>
      </w:pPr>
      <w:r>
        <w:t>t</w:t>
      </w:r>
      <w:r w:rsidR="00C0111D" w:rsidRPr="00C0111D">
        <w:t>errace housing</w:t>
      </w:r>
    </w:p>
    <w:p w14:paraId="41230DC9" w14:textId="016EC92E" w:rsidR="00C0111D" w:rsidRPr="00C0111D" w:rsidRDefault="00AB7E08" w:rsidP="00A04635">
      <w:pPr>
        <w:pStyle w:val="Bullet"/>
      </w:pPr>
      <w:r>
        <w:t>a</w:t>
      </w:r>
      <w:r w:rsidR="00C0111D" w:rsidRPr="00C0111D">
        <w:t>partments.</w:t>
      </w:r>
    </w:p>
    <w:p w14:paraId="14982100" w14:textId="4C159250" w:rsidR="00C0111D" w:rsidRPr="00C0111D" w:rsidRDefault="00C0111D" w:rsidP="00A04635">
      <w:pPr>
        <w:pStyle w:val="Figureheading"/>
      </w:pPr>
      <w:bookmarkStart w:id="82" w:name="_Toc51240501"/>
      <w:r w:rsidRPr="00C0111D">
        <w:lastRenderedPageBreak/>
        <w:t xml:space="preserve">Figure 15: </w:t>
      </w:r>
      <w:r w:rsidR="00A04635">
        <w:tab/>
      </w:r>
      <w:r w:rsidRPr="00C0111D">
        <w:t>Spectrum of housing typologies</w:t>
      </w:r>
      <w:bookmarkEnd w:id="82"/>
      <w:r w:rsidRPr="00C0111D">
        <w:t xml:space="preserve"> </w:t>
      </w:r>
    </w:p>
    <w:p w14:paraId="21B85AD8" w14:textId="663FCD28" w:rsidR="00A04635" w:rsidRDefault="00A04635" w:rsidP="007F3426">
      <w:pPr>
        <w:pStyle w:val="BodyText"/>
      </w:pPr>
      <w:r>
        <w:rPr>
          <w:noProof/>
        </w:rPr>
        <w:drawing>
          <wp:anchor distT="0" distB="0" distL="114300" distR="114300" simplePos="0" relativeHeight="251670528" behindDoc="1" locked="0" layoutInCell="1" allowOverlap="1" wp14:anchorId="38AE76D6" wp14:editId="568777FF">
            <wp:simplePos x="0" y="0"/>
            <wp:positionH relativeFrom="margin">
              <wp:posOffset>0</wp:posOffset>
            </wp:positionH>
            <wp:positionV relativeFrom="paragraph">
              <wp:posOffset>332740</wp:posOffset>
            </wp:positionV>
            <wp:extent cx="5400000" cy="2014385"/>
            <wp:effectExtent l="0" t="0" r="0" b="5080"/>
            <wp:wrapSquare wrapText="bothSides"/>
            <wp:docPr id="17018455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7">
                      <a:extLst>
                        <a:ext uri="{28A0092B-C50C-407E-A947-70E740481C1C}">
                          <a14:useLocalDpi xmlns:a14="http://schemas.microsoft.com/office/drawing/2010/main" val="0"/>
                        </a:ext>
                      </a:extLst>
                    </a:blip>
                    <a:stretch>
                      <a:fillRect/>
                    </a:stretch>
                  </pic:blipFill>
                  <pic:spPr>
                    <a:xfrm>
                      <a:off x="0" y="0"/>
                      <a:ext cx="5400000" cy="2014385"/>
                    </a:xfrm>
                    <a:prstGeom prst="rect">
                      <a:avLst/>
                    </a:prstGeom>
                  </pic:spPr>
                </pic:pic>
              </a:graphicData>
            </a:graphic>
            <wp14:sizeRelH relativeFrom="page">
              <wp14:pctWidth>0</wp14:pctWidth>
            </wp14:sizeRelH>
            <wp14:sizeRelV relativeFrom="page">
              <wp14:pctHeight>0</wp14:pctHeight>
            </wp14:sizeRelV>
          </wp:anchor>
        </w:drawing>
      </w:r>
    </w:p>
    <w:p w14:paraId="4FA7985E" w14:textId="77777777" w:rsidR="00A04635" w:rsidRDefault="00A04635" w:rsidP="007F3426">
      <w:pPr>
        <w:pStyle w:val="BodyText"/>
      </w:pPr>
    </w:p>
    <w:p w14:paraId="7CF03DD3" w14:textId="77777777" w:rsidR="00245794" w:rsidRDefault="00245794" w:rsidP="007F3426">
      <w:pPr>
        <w:pStyle w:val="BodyText"/>
      </w:pPr>
    </w:p>
    <w:p w14:paraId="0C41F82B" w14:textId="77777777" w:rsidR="00245794" w:rsidRDefault="00245794" w:rsidP="007F3426">
      <w:pPr>
        <w:pStyle w:val="BodyText"/>
      </w:pPr>
    </w:p>
    <w:p w14:paraId="5963277F" w14:textId="77777777" w:rsidR="00245794" w:rsidRDefault="00245794" w:rsidP="007F3426">
      <w:pPr>
        <w:pStyle w:val="BodyText"/>
      </w:pPr>
    </w:p>
    <w:p w14:paraId="18411572" w14:textId="77777777" w:rsidR="00245794" w:rsidRDefault="00245794" w:rsidP="007F3426">
      <w:pPr>
        <w:pStyle w:val="BodyText"/>
      </w:pPr>
    </w:p>
    <w:p w14:paraId="3ED73F88" w14:textId="77777777" w:rsidR="00245794" w:rsidRDefault="00245794" w:rsidP="007F3426">
      <w:pPr>
        <w:pStyle w:val="BodyText"/>
      </w:pPr>
    </w:p>
    <w:p w14:paraId="5FD2341F" w14:textId="77777777" w:rsidR="00245794" w:rsidRDefault="00245794" w:rsidP="007F3426">
      <w:pPr>
        <w:pStyle w:val="BodyText"/>
      </w:pPr>
    </w:p>
    <w:p w14:paraId="2B36B26D" w14:textId="49A63E5C" w:rsidR="00C0111D" w:rsidRPr="00C0111D" w:rsidRDefault="00C0111D" w:rsidP="007F3426">
      <w:pPr>
        <w:pStyle w:val="BodyText"/>
      </w:pPr>
      <w:r w:rsidRPr="00C0111D">
        <w:t>In general, terrace housing and apartments will have greater heights and densities than townhouses and detached single</w:t>
      </w:r>
      <w:r w:rsidR="00AB7E08">
        <w:t>-</w:t>
      </w:r>
      <w:r w:rsidRPr="00C0111D">
        <w:t>level houses.</w:t>
      </w:r>
      <w:r w:rsidR="009113AC">
        <w:t xml:space="preserve"> </w:t>
      </w:r>
      <w:r w:rsidRPr="00C0111D">
        <w:t xml:space="preserve">Local authorities will need to think about the spectrum of typologies and outcomes that are appropriate to be enabled, based on the level of accessibility and demand. For example, if you have high accessibility and high demand it could be appropriate to enable apartments and more intensive business uses in an area. </w:t>
      </w:r>
    </w:p>
    <w:p w14:paraId="6C67C6A1" w14:textId="73AB2BE5" w:rsidR="00C0111D" w:rsidRPr="00C0111D" w:rsidRDefault="00245794" w:rsidP="00A04635">
      <w:pPr>
        <w:pStyle w:val="Heading3"/>
      </w:pPr>
      <w:bookmarkStart w:id="83" w:name="_Toc50720803"/>
      <w:r>
        <w:t>6</w:t>
      </w:r>
      <w:r w:rsidR="00C0111D" w:rsidRPr="00C0111D">
        <w:t>.5.5</w:t>
      </w:r>
      <w:r w:rsidR="00C0111D" w:rsidRPr="00C0111D">
        <w:tab/>
        <w:t>Amending district plans</w:t>
      </w:r>
      <w:bookmarkEnd w:id="83"/>
    </w:p>
    <w:p w14:paraId="643BEFD1" w14:textId="1C1EADFA" w:rsidR="00C0111D" w:rsidRPr="00C0111D" w:rsidRDefault="00C0111D" w:rsidP="007F3426">
      <w:pPr>
        <w:pStyle w:val="BodyText"/>
      </w:pPr>
      <w:r w:rsidRPr="00C0111D">
        <w:t>The level of accessibility and demand will be different across urban areas.</w:t>
      </w:r>
      <w:r w:rsidR="009113AC">
        <w:t xml:space="preserve"> </w:t>
      </w:r>
      <w:r w:rsidRPr="00C0111D">
        <w:t>Therefore, local authorities should consider options for implementing the intensification provisions through changes to regional policy statements and district plans. In giving effect to the intensification provisions</w:t>
      </w:r>
      <w:r w:rsidR="00AB7E08">
        <w:t>,</w:t>
      </w:r>
      <w:r w:rsidRPr="00C0111D">
        <w:t xml:space="preserve"> this could mean: </w:t>
      </w:r>
    </w:p>
    <w:p w14:paraId="6A6C2354" w14:textId="68D2C2AB" w:rsidR="00C0111D" w:rsidRPr="00C0111D" w:rsidRDefault="00AB7E08" w:rsidP="00A04635">
      <w:pPr>
        <w:pStyle w:val="Bullet"/>
      </w:pPr>
      <w:r>
        <w:t>r</w:t>
      </w:r>
      <w:r w:rsidR="00C0111D" w:rsidRPr="00C0111D">
        <w:t>ezoning areas to enable greater building height and density</w:t>
      </w:r>
    </w:p>
    <w:p w14:paraId="519437C3" w14:textId="0D19E513" w:rsidR="00C0111D" w:rsidRPr="00C0111D" w:rsidRDefault="00AB7E08" w:rsidP="00A04635">
      <w:pPr>
        <w:pStyle w:val="Bullet"/>
      </w:pPr>
      <w:r>
        <w:t>a</w:t>
      </w:r>
      <w:r w:rsidR="00C0111D" w:rsidRPr="00C0111D">
        <w:t>mending the development standards for an existing zone to enable commensurate heights and densities</w:t>
      </w:r>
    </w:p>
    <w:p w14:paraId="3E2C2369" w14:textId="4CEF1322" w:rsidR="00C0111D" w:rsidRPr="00C0111D" w:rsidRDefault="00AB7E08" w:rsidP="00A04635">
      <w:pPr>
        <w:pStyle w:val="Sub-list"/>
      </w:pPr>
      <w:r>
        <w:t>t</w:t>
      </w:r>
      <w:r w:rsidR="00C0111D" w:rsidRPr="00C0111D">
        <w:t>here may be instances where</w:t>
      </w:r>
      <w:r>
        <w:t xml:space="preserve"> most of </w:t>
      </w:r>
      <w:r w:rsidR="00C0111D" w:rsidRPr="00C0111D">
        <w:t>an existing zone is suitable for intensification</w:t>
      </w:r>
      <w:r>
        <w:t>,</w:t>
      </w:r>
      <w:r w:rsidR="00C0111D" w:rsidRPr="00C0111D">
        <w:t xml:space="preserve"> with a small area that might not be suitable because it </w:t>
      </w:r>
      <w:r w:rsidR="00CA4909" w:rsidRPr="00C0111D">
        <w:t>does not</w:t>
      </w:r>
      <w:r w:rsidR="00C0111D" w:rsidRPr="00C0111D">
        <w:t xml:space="preserve"> meet the accessibility or demand criteria. For consistent zoning outcomes, local authorities may decide to enable greater height and density throughout the zone</w:t>
      </w:r>
    </w:p>
    <w:p w14:paraId="3E573861" w14:textId="6AE545FE" w:rsidR="00C0111D" w:rsidRPr="00C0111D" w:rsidRDefault="00AB7E08" w:rsidP="00A04635">
      <w:pPr>
        <w:pStyle w:val="Bullet"/>
      </w:pPr>
      <w:r>
        <w:t>u</w:t>
      </w:r>
      <w:r w:rsidR="00C0111D" w:rsidRPr="00C0111D">
        <w:t xml:space="preserve">sing other planning tools such as: </w:t>
      </w:r>
    </w:p>
    <w:p w14:paraId="331AB4C9" w14:textId="146BA9C5" w:rsidR="00C0111D" w:rsidRPr="00C0111D" w:rsidRDefault="00AB7E08" w:rsidP="00A04635">
      <w:pPr>
        <w:pStyle w:val="Sub-list"/>
      </w:pPr>
      <w:r>
        <w:t>p</w:t>
      </w:r>
      <w:r w:rsidR="00C0111D" w:rsidRPr="00C0111D">
        <w:t>recincts</w:t>
      </w:r>
      <w:r>
        <w:t xml:space="preserve">: in instances where there are </w:t>
      </w:r>
      <w:r w:rsidR="00C0111D" w:rsidRPr="00C0111D">
        <w:t xml:space="preserve">various pockets across urban zones </w:t>
      </w:r>
      <w:r>
        <w:t>suited</w:t>
      </w:r>
      <w:r w:rsidR="00C0111D" w:rsidRPr="00C0111D">
        <w:t xml:space="preserve"> to intensification, but it </w:t>
      </w:r>
      <w:r>
        <w:t>is in</w:t>
      </w:r>
      <w:r w:rsidR="00C0111D" w:rsidRPr="00C0111D">
        <w:t xml:space="preserve">appropriate to enable greater building heights and densities across the </w:t>
      </w:r>
      <w:r>
        <w:t xml:space="preserve">entire </w:t>
      </w:r>
      <w:r w:rsidR="00C0111D" w:rsidRPr="00C0111D">
        <w:t xml:space="preserve">zone, local authorities could consider using a precinct to enable greater heights and densities within specific areas of an existing zone. Refer to Standard 12 (District Spatial Layers Standards) of </w:t>
      </w:r>
      <w:r w:rsidR="00195CE4">
        <w:t>the standards</w:t>
      </w:r>
      <w:r w:rsidR="00C0111D" w:rsidRPr="00C0111D">
        <w:t xml:space="preserve"> for further information on precincts</w:t>
      </w:r>
      <w:r w:rsidR="00A31C99">
        <w:t xml:space="preserve"> </w:t>
      </w:r>
    </w:p>
    <w:p w14:paraId="22964ACE" w14:textId="58646676" w:rsidR="00C0111D" w:rsidRPr="00C0111D" w:rsidRDefault="00AB7E08" w:rsidP="00A04635">
      <w:pPr>
        <w:pStyle w:val="Sub-list"/>
      </w:pPr>
      <w:r>
        <w:t>s</w:t>
      </w:r>
      <w:r w:rsidR="00C0111D" w:rsidRPr="00C0111D">
        <w:t>pecific control</w:t>
      </w:r>
      <w:r>
        <w:t xml:space="preserve">: </w:t>
      </w:r>
      <w:r w:rsidR="00195CE4">
        <w:t>the standards</w:t>
      </w:r>
      <w:r w:rsidR="00C0111D" w:rsidRPr="00C0111D">
        <w:t xml:space="preserve"> provide for ‘specific controls’ </w:t>
      </w:r>
      <w:r>
        <w:t>to</w:t>
      </w:r>
      <w:r w:rsidRPr="00C0111D">
        <w:t xml:space="preserve"> </w:t>
      </w:r>
      <w:r w:rsidR="00C0111D" w:rsidRPr="00C0111D">
        <w:t xml:space="preserve">spatially identify where a site or area has provisions that are different from other spatial layers, or </w:t>
      </w:r>
      <w:r>
        <w:t xml:space="preserve">where </w:t>
      </w:r>
      <w:r w:rsidR="00C0111D" w:rsidRPr="00C0111D">
        <w:t xml:space="preserve">district-wide provisions apply to that site or area. </w:t>
      </w:r>
      <w:r>
        <w:t>P</w:t>
      </w:r>
      <w:r w:rsidR="00C0111D" w:rsidRPr="00C0111D">
        <w:t xml:space="preserve">articular areas </w:t>
      </w:r>
      <w:r>
        <w:t>of a zone may be</w:t>
      </w:r>
      <w:r w:rsidR="00C0111D" w:rsidRPr="00C0111D">
        <w:t xml:space="preserve"> suited to intensification, but it is </w:t>
      </w:r>
      <w:r>
        <w:t>in</w:t>
      </w:r>
      <w:r w:rsidR="00C0111D" w:rsidRPr="00C0111D">
        <w:t xml:space="preserve">appropriate to enable greater building heights and densities across the </w:t>
      </w:r>
      <w:r>
        <w:t>whole</w:t>
      </w:r>
      <w:r w:rsidRPr="00C0111D">
        <w:t xml:space="preserve"> </w:t>
      </w:r>
      <w:r w:rsidR="00C0111D" w:rsidRPr="00C0111D">
        <w:t xml:space="preserve">zone. In these instances, local authorities could consider using a specific control to enable greater heights and densities within specific areas of an existing zone. Refer to </w:t>
      </w:r>
      <w:r w:rsidR="00C0111D" w:rsidRPr="00C0111D">
        <w:lastRenderedPageBreak/>
        <w:t xml:space="preserve">Standard 12 (District Spatial Layers Standards) of </w:t>
      </w:r>
      <w:r w:rsidR="00195CE4">
        <w:t>the standards</w:t>
      </w:r>
      <w:r w:rsidR="00C0111D" w:rsidRPr="00C0111D">
        <w:t xml:space="preserve"> for further information on specific controls.</w:t>
      </w:r>
      <w:r w:rsidR="00A31C99">
        <w:t xml:space="preserve"> </w:t>
      </w:r>
    </w:p>
    <w:p w14:paraId="7AC074C2" w14:textId="4E4E7643" w:rsidR="00C0111D" w:rsidRPr="00C0111D" w:rsidRDefault="00245794" w:rsidP="00245794">
      <w:pPr>
        <w:pStyle w:val="Heading3"/>
        <w:ind w:left="851" w:hanging="851"/>
      </w:pPr>
      <w:bookmarkStart w:id="84" w:name="_Toc50720804"/>
      <w:r>
        <w:t>6.6</w:t>
      </w:r>
      <w:r>
        <w:tab/>
      </w:r>
      <w:r w:rsidR="00C0111D" w:rsidRPr="00C0111D">
        <w:t xml:space="preserve">Qualifying </w:t>
      </w:r>
      <w:r w:rsidR="00794DB1">
        <w:t>m</w:t>
      </w:r>
      <w:r w:rsidR="00C0111D" w:rsidRPr="00C0111D">
        <w:t xml:space="preserve">atters – </w:t>
      </w:r>
      <w:r w:rsidR="00794DB1">
        <w:t>a</w:t>
      </w:r>
      <w:r w:rsidR="00C0111D" w:rsidRPr="00C0111D">
        <w:t>pplication</w:t>
      </w:r>
      <w:bookmarkEnd w:id="84"/>
      <w:r w:rsidR="00C0111D" w:rsidRPr="00C0111D">
        <w:t xml:space="preserve"> </w:t>
      </w:r>
    </w:p>
    <w:p w14:paraId="444C31F5" w14:textId="3B74E174" w:rsidR="00C0111D" w:rsidRPr="00C0111D" w:rsidRDefault="00C0111D" w:rsidP="00245794">
      <w:pPr>
        <w:pStyle w:val="Box"/>
      </w:pPr>
      <w:r w:rsidRPr="00C0111D">
        <w:t>The directive intensification outcomes in Policy 3 for tier 1 local authorities are designed to enable higher densities in locations where it is most suited. However, there may be some areas that are not suitable for higher levels</w:t>
      </w:r>
      <w:r w:rsidR="00794DB1">
        <w:t xml:space="preserve"> </w:t>
      </w:r>
      <w:r w:rsidRPr="00C0111D">
        <w:t xml:space="preserve">of intensification, or any intensification because of a qualifying matter. Where a qualifying matter applies, this does not mean intensification should not be enabled, rather that local authorities should </w:t>
      </w:r>
      <w:r w:rsidR="00794DB1">
        <w:t>carry out</w:t>
      </w:r>
      <w:r w:rsidR="00794DB1" w:rsidRPr="00C0111D">
        <w:t xml:space="preserve"> </w:t>
      </w:r>
      <w:r w:rsidRPr="00C0111D">
        <w:t>a comprehensive analysis and must seek to enable the greatest heights and densities possible while managing the specific qualifying matter (clause 3.32 and 3.33).</w:t>
      </w:r>
    </w:p>
    <w:p w14:paraId="4887E261" w14:textId="398B1F73" w:rsidR="00C0111D" w:rsidRDefault="00245794" w:rsidP="000D35C0">
      <w:pPr>
        <w:pStyle w:val="Heading3"/>
        <w:spacing w:after="120"/>
      </w:pPr>
      <w:bookmarkStart w:id="85" w:name="_Toc50720805"/>
      <w:r>
        <w:t>6</w:t>
      </w:r>
      <w:r w:rsidR="00B4625A">
        <w:t>.6.1</w:t>
      </w:r>
      <w:r w:rsidR="00B4625A">
        <w:tab/>
        <w:t>Relevant p</w:t>
      </w:r>
      <w:r w:rsidR="00C0111D" w:rsidRPr="00C0111D">
        <w:t>olicy</w:t>
      </w:r>
      <w:bookmarkEnd w:id="85"/>
    </w:p>
    <w:tbl>
      <w:tblPr>
        <w:tblStyle w:val="TableGrid"/>
        <w:tblW w:w="0" w:type="auto"/>
        <w:tblBorders>
          <w:top w:val="single" w:sz="4" w:space="0" w:color="D2DDE2" w:themeColor="accent3"/>
          <w:left w:val="single" w:sz="4" w:space="0" w:color="D2DDE2" w:themeColor="accent3"/>
          <w:bottom w:val="single" w:sz="4" w:space="0" w:color="D2DDE2" w:themeColor="accent3"/>
          <w:right w:val="single" w:sz="4" w:space="0" w:color="D2DDE2" w:themeColor="accent3"/>
          <w:insideH w:val="none" w:sz="0" w:space="0" w:color="auto"/>
          <w:insideV w:val="none" w:sz="0" w:space="0" w:color="auto"/>
        </w:tblBorders>
        <w:shd w:val="clear" w:color="auto" w:fill="6FC7B7"/>
        <w:tblLook w:val="04A0" w:firstRow="1" w:lastRow="0" w:firstColumn="1" w:lastColumn="0" w:noHBand="0" w:noVBand="1"/>
      </w:tblPr>
      <w:tblGrid>
        <w:gridCol w:w="9061"/>
      </w:tblGrid>
      <w:tr w:rsidR="00571E8D" w14:paraId="0B4E1165" w14:textId="77777777" w:rsidTr="0036662C">
        <w:tc>
          <w:tcPr>
            <w:tcW w:w="9061" w:type="dxa"/>
            <w:shd w:val="clear" w:color="auto" w:fill="6FC7B7"/>
          </w:tcPr>
          <w:p w14:paraId="546394BE" w14:textId="7E9EC272" w:rsidR="00571E8D" w:rsidRPr="008A2DC4" w:rsidRDefault="00571E8D" w:rsidP="00571E8D">
            <w:pPr>
              <w:spacing w:before="240" w:after="240"/>
              <w:ind w:left="284" w:right="284"/>
              <w:rPr>
                <w:rFonts w:cstheme="minorBidi"/>
                <w:color w:val="1C556C"/>
                <w:szCs w:val="22"/>
              </w:rPr>
            </w:pPr>
            <w:r w:rsidRPr="00571E8D">
              <w:rPr>
                <w:rFonts w:cstheme="minorBidi"/>
                <w:b/>
                <w:color w:val="1C556C"/>
                <w:szCs w:val="22"/>
              </w:rPr>
              <w:t xml:space="preserve">Policy 4: </w:t>
            </w:r>
            <w:r w:rsidRPr="00571E8D">
              <w:rPr>
                <w:rFonts w:cstheme="minorBidi"/>
                <w:color w:val="1C556C"/>
                <w:szCs w:val="22"/>
              </w:rPr>
              <w:t>Regional policy statements and district plans applying to tier 1 urban environments modify the relevant building height or density requirements under Policy 3 only to the extent necessary (as specified in subpart 6) to accommodate a qualifying matter in that area.</w:t>
            </w:r>
          </w:p>
        </w:tc>
      </w:tr>
    </w:tbl>
    <w:p w14:paraId="294260B6" w14:textId="1A620EA4" w:rsidR="00571E8D" w:rsidRDefault="00571E8D" w:rsidP="00571E8D">
      <w:pPr>
        <w:pStyle w:val="BodyText"/>
      </w:pPr>
    </w:p>
    <w:tbl>
      <w:tblPr>
        <w:tblStyle w:val="TableGrid"/>
        <w:tblW w:w="0" w:type="auto"/>
        <w:tblBorders>
          <w:top w:val="single" w:sz="4" w:space="0" w:color="D2DDE2" w:themeColor="accent3"/>
          <w:left w:val="single" w:sz="4" w:space="0" w:color="D2DDE2" w:themeColor="accent3"/>
          <w:bottom w:val="single" w:sz="4" w:space="0" w:color="D2DDE2" w:themeColor="accent3"/>
          <w:right w:val="single" w:sz="4" w:space="0" w:color="D2DDE2" w:themeColor="accent3"/>
          <w:insideH w:val="none" w:sz="0" w:space="0" w:color="auto"/>
          <w:insideV w:val="none" w:sz="0" w:space="0" w:color="auto"/>
        </w:tblBorders>
        <w:shd w:val="clear" w:color="auto" w:fill="D2DDE2" w:themeFill="accent3"/>
        <w:tblLook w:val="04A0" w:firstRow="1" w:lastRow="0" w:firstColumn="1" w:lastColumn="0" w:noHBand="0" w:noVBand="1"/>
      </w:tblPr>
      <w:tblGrid>
        <w:gridCol w:w="9061"/>
      </w:tblGrid>
      <w:tr w:rsidR="00571E8D" w14:paraId="5CA46A42" w14:textId="77777777" w:rsidTr="0036662C">
        <w:tc>
          <w:tcPr>
            <w:tcW w:w="9061" w:type="dxa"/>
            <w:shd w:val="clear" w:color="auto" w:fill="6FC7B7"/>
          </w:tcPr>
          <w:p w14:paraId="7F7DF0CA" w14:textId="77777777" w:rsidR="00571E8D" w:rsidRPr="00571E8D" w:rsidRDefault="00571E8D" w:rsidP="0070523B">
            <w:pPr>
              <w:spacing w:before="240"/>
              <w:ind w:left="284" w:right="284"/>
              <w:rPr>
                <w:b/>
                <w:color w:val="1C556C"/>
              </w:rPr>
            </w:pPr>
            <w:r w:rsidRPr="00571E8D">
              <w:rPr>
                <w:b/>
                <w:color w:val="1C556C"/>
              </w:rPr>
              <w:t xml:space="preserve">Subpart 6, clause 3.32 Qualifying matters </w:t>
            </w:r>
          </w:p>
          <w:p w14:paraId="1D8B6ACC" w14:textId="0BD9F78E" w:rsidR="00571E8D" w:rsidRPr="00731AA2" w:rsidRDefault="00571E8D" w:rsidP="000D494E">
            <w:pPr>
              <w:pStyle w:val="ListParagraph"/>
              <w:numPr>
                <w:ilvl w:val="0"/>
                <w:numId w:val="33"/>
              </w:numPr>
              <w:spacing w:before="120" w:after="120" w:line="280" w:lineRule="atLeast"/>
              <w:ind w:right="284" w:hanging="409"/>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In this National Policy Statement, </w:t>
            </w:r>
            <w:r w:rsidRPr="001560BC">
              <w:rPr>
                <w:rFonts w:ascii="Calibri" w:hAnsi="Calibri" w:cstheme="minorBidi"/>
                <w:b/>
                <w:color w:val="1C556C"/>
                <w:szCs w:val="22"/>
                <w:lang w:eastAsia="en-NZ"/>
              </w:rPr>
              <w:t>qualifying matter</w:t>
            </w:r>
            <w:r w:rsidRPr="00731AA2">
              <w:rPr>
                <w:rFonts w:ascii="Calibri" w:hAnsi="Calibri" w:cstheme="minorBidi"/>
                <w:color w:val="1C556C"/>
                <w:szCs w:val="22"/>
                <w:lang w:eastAsia="en-NZ"/>
              </w:rPr>
              <w:t xml:space="preserve"> means any of the following:</w:t>
            </w:r>
          </w:p>
          <w:p w14:paraId="088CDFDE" w14:textId="0D7E2664" w:rsidR="00571E8D" w:rsidRPr="00731AA2" w:rsidRDefault="00571E8D" w:rsidP="0070523B">
            <w:pPr>
              <w:pStyle w:val="ListParagraph"/>
              <w:numPr>
                <w:ilvl w:val="1"/>
                <w:numId w:val="33"/>
              </w:numPr>
              <w:spacing w:before="60" w:after="60" w:line="280" w:lineRule="atLeast"/>
              <w:ind w:left="1162" w:right="284" w:hanging="425"/>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a matter of national importance that decision-makers are required to recognise and provide for under section 6 of the Act </w:t>
            </w:r>
          </w:p>
          <w:p w14:paraId="1F74ED44" w14:textId="200E3095" w:rsidR="00571E8D" w:rsidRPr="00731AA2" w:rsidRDefault="00571E8D" w:rsidP="0070523B">
            <w:pPr>
              <w:pStyle w:val="ListParagraph"/>
              <w:numPr>
                <w:ilvl w:val="1"/>
                <w:numId w:val="33"/>
              </w:numPr>
              <w:spacing w:before="60" w:after="60" w:line="280" w:lineRule="atLeast"/>
              <w:ind w:left="1162" w:right="284" w:hanging="425"/>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a matter required in order to give effect to any other National Policy Statement </w:t>
            </w:r>
          </w:p>
          <w:p w14:paraId="63BF0438" w14:textId="4516ED95" w:rsidR="00571E8D" w:rsidRPr="00731AA2" w:rsidRDefault="00571E8D" w:rsidP="0070523B">
            <w:pPr>
              <w:pStyle w:val="ListParagraph"/>
              <w:numPr>
                <w:ilvl w:val="1"/>
                <w:numId w:val="33"/>
              </w:numPr>
              <w:spacing w:before="60" w:after="60" w:line="280" w:lineRule="atLeast"/>
              <w:ind w:left="1162" w:right="284" w:hanging="425"/>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any matter required for the purpose of ensuring the safe or efficient operation of nationally significant infrastructure </w:t>
            </w:r>
          </w:p>
          <w:p w14:paraId="3211D33A" w14:textId="1688B8AB" w:rsidR="00571E8D" w:rsidRPr="00731AA2" w:rsidRDefault="00571E8D" w:rsidP="0070523B">
            <w:pPr>
              <w:pStyle w:val="ListParagraph"/>
              <w:numPr>
                <w:ilvl w:val="1"/>
                <w:numId w:val="33"/>
              </w:numPr>
              <w:spacing w:before="60" w:after="60" w:line="280" w:lineRule="atLeast"/>
              <w:ind w:left="1162" w:right="284" w:hanging="425"/>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open space provided for public use, but only in relation to the land that is open space </w:t>
            </w:r>
          </w:p>
          <w:p w14:paraId="70E12DB6" w14:textId="11F5E41E" w:rsidR="00571E8D" w:rsidRPr="00731AA2" w:rsidRDefault="00571E8D" w:rsidP="0070523B">
            <w:pPr>
              <w:pStyle w:val="ListParagraph"/>
              <w:numPr>
                <w:ilvl w:val="1"/>
                <w:numId w:val="33"/>
              </w:numPr>
              <w:spacing w:before="60" w:after="60" w:line="280" w:lineRule="atLeast"/>
              <w:ind w:left="1162" w:right="284" w:hanging="425"/>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an area subject to a designation or heritage order, but only in relation to the land that is subject to the designation or heritage order </w:t>
            </w:r>
          </w:p>
          <w:p w14:paraId="09A39090" w14:textId="55B8B062" w:rsidR="00571E8D" w:rsidRPr="00731AA2" w:rsidRDefault="00571E8D" w:rsidP="0070523B">
            <w:pPr>
              <w:pStyle w:val="ListParagraph"/>
              <w:numPr>
                <w:ilvl w:val="1"/>
                <w:numId w:val="33"/>
              </w:numPr>
              <w:spacing w:before="60" w:after="60" w:line="280" w:lineRule="atLeast"/>
              <w:ind w:left="1162" w:right="284" w:hanging="425"/>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a matter necessary to implement, or ensure consistency with, iwi participation legislation </w:t>
            </w:r>
          </w:p>
          <w:p w14:paraId="62ED9816" w14:textId="593AAA96" w:rsidR="00571E8D" w:rsidRPr="00731AA2" w:rsidRDefault="00571E8D" w:rsidP="0070523B">
            <w:pPr>
              <w:pStyle w:val="ListParagraph"/>
              <w:numPr>
                <w:ilvl w:val="1"/>
                <w:numId w:val="33"/>
              </w:numPr>
              <w:spacing w:before="60" w:after="60" w:line="280" w:lineRule="atLeast"/>
              <w:ind w:left="1162" w:right="284" w:hanging="425"/>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the requirement to provide sufficient business land suitable for low density uses to meet expected demand under this National Policy Statement </w:t>
            </w:r>
          </w:p>
          <w:p w14:paraId="4FF07189" w14:textId="739328A9" w:rsidR="00571E8D" w:rsidRPr="00731AA2" w:rsidRDefault="00571E8D" w:rsidP="0070523B">
            <w:pPr>
              <w:pStyle w:val="ListParagraph"/>
              <w:numPr>
                <w:ilvl w:val="1"/>
                <w:numId w:val="33"/>
              </w:numPr>
              <w:spacing w:before="60" w:after="60" w:line="280" w:lineRule="atLeast"/>
              <w:ind w:left="1162" w:right="284" w:hanging="425"/>
              <w:contextualSpacing w:val="0"/>
              <w:rPr>
                <w:rFonts w:ascii="Calibri" w:hAnsi="Calibri" w:cstheme="minorBidi"/>
                <w:color w:val="1C556C"/>
                <w:szCs w:val="22"/>
                <w:lang w:eastAsia="en-NZ"/>
              </w:rPr>
            </w:pPr>
            <w:r w:rsidRPr="00731AA2">
              <w:rPr>
                <w:rFonts w:ascii="Calibri" w:hAnsi="Calibri" w:cstheme="minorBidi"/>
                <w:color w:val="1C556C"/>
                <w:szCs w:val="22"/>
                <w:lang w:eastAsia="en-NZ"/>
              </w:rPr>
              <w:t xml:space="preserve">any other matter that makes </w:t>
            </w:r>
            <w:r w:rsidR="00CA4909" w:rsidRPr="00731AA2">
              <w:rPr>
                <w:rFonts w:ascii="Calibri" w:hAnsi="Calibri" w:cstheme="minorBidi"/>
                <w:color w:val="1C556C"/>
                <w:szCs w:val="22"/>
                <w:lang w:eastAsia="en-NZ"/>
              </w:rPr>
              <w:t>high-density</w:t>
            </w:r>
            <w:r w:rsidRPr="00731AA2">
              <w:rPr>
                <w:rFonts w:ascii="Calibri" w:hAnsi="Calibri" w:cstheme="minorBidi"/>
                <w:color w:val="1C556C"/>
                <w:szCs w:val="22"/>
                <w:lang w:eastAsia="en-NZ"/>
              </w:rPr>
              <w:t xml:space="preserve"> development as directed by Policy 3 inappropriate in an area, but only if the requirements of clause 3.33(3) are met.</w:t>
            </w:r>
          </w:p>
          <w:p w14:paraId="56408409" w14:textId="2FEA4730" w:rsidR="00571E8D" w:rsidRPr="001560BC" w:rsidRDefault="00571E8D" w:rsidP="00DA5DCF">
            <w:pPr>
              <w:ind w:left="284" w:right="284"/>
              <w:rPr>
                <w:b/>
                <w:color w:val="1C556C"/>
                <w:szCs w:val="22"/>
              </w:rPr>
            </w:pPr>
            <w:r w:rsidRPr="001560BC">
              <w:rPr>
                <w:b/>
                <w:color w:val="1C556C"/>
                <w:szCs w:val="22"/>
              </w:rPr>
              <w:t xml:space="preserve">Subpart 6, clause 3.33 Requirements if qualifying matter applies </w:t>
            </w:r>
          </w:p>
          <w:p w14:paraId="58CA2228" w14:textId="77777777" w:rsidR="001560BC" w:rsidRDefault="00571E8D" w:rsidP="0070523B">
            <w:pPr>
              <w:pStyle w:val="ListParagraph"/>
              <w:numPr>
                <w:ilvl w:val="0"/>
                <w:numId w:val="34"/>
              </w:numPr>
              <w:spacing w:before="60" w:after="60" w:line="280" w:lineRule="atLeast"/>
              <w:ind w:right="284"/>
              <w:contextualSpacing w:val="0"/>
              <w:jc w:val="left"/>
              <w:rPr>
                <w:rFonts w:ascii="Calibri" w:hAnsi="Calibri" w:cstheme="minorBidi"/>
                <w:color w:val="1C556C"/>
                <w:szCs w:val="22"/>
                <w:lang w:eastAsia="en-NZ"/>
              </w:rPr>
            </w:pPr>
            <w:r w:rsidRPr="00731AA2">
              <w:rPr>
                <w:rFonts w:ascii="Calibri" w:hAnsi="Calibri" w:cstheme="minorBidi"/>
                <w:color w:val="1C556C"/>
                <w:szCs w:val="22"/>
                <w:lang w:eastAsia="en-NZ"/>
              </w:rPr>
              <w:t xml:space="preserve">This clause applies if a territorial authority is amending its district plan and intends to rely on Policy 4 to justify a modification to the direction in Policy 3 in relation to a specific area. </w:t>
            </w:r>
          </w:p>
          <w:p w14:paraId="66E03409" w14:textId="77777777" w:rsidR="001560BC" w:rsidRPr="001560BC" w:rsidRDefault="001560BC" w:rsidP="0070523B">
            <w:pPr>
              <w:pStyle w:val="ListParagraph"/>
              <w:numPr>
                <w:ilvl w:val="0"/>
                <w:numId w:val="34"/>
              </w:numPr>
              <w:spacing w:before="60" w:after="60" w:line="280" w:lineRule="atLeast"/>
              <w:ind w:right="284"/>
              <w:contextualSpacing w:val="0"/>
              <w:jc w:val="left"/>
              <w:rPr>
                <w:rFonts w:ascii="Calibri" w:hAnsi="Calibri" w:cstheme="minorBidi"/>
                <w:color w:val="1C556C"/>
                <w:szCs w:val="22"/>
                <w:lang w:eastAsia="en-NZ"/>
              </w:rPr>
            </w:pPr>
            <w:r w:rsidRPr="001560BC">
              <w:rPr>
                <w:rFonts w:ascii="Calibri" w:hAnsi="Calibri"/>
                <w:color w:val="1C556C"/>
                <w:lang w:eastAsia="en-NZ"/>
              </w:rPr>
              <w:t>T</w:t>
            </w:r>
            <w:r w:rsidR="00571E8D" w:rsidRPr="001560BC">
              <w:rPr>
                <w:rFonts w:ascii="Calibri" w:hAnsi="Calibri"/>
                <w:color w:val="1C556C"/>
                <w:lang w:eastAsia="en-NZ"/>
              </w:rPr>
              <w:t>he evaluation report prepared under section 32 of the Act in relation to the proposed amendment must</w:t>
            </w:r>
          </w:p>
          <w:p w14:paraId="4A76A272" w14:textId="77777777" w:rsidR="00DA5DCF" w:rsidRPr="00DA5DCF" w:rsidRDefault="00571E8D" w:rsidP="0070523B">
            <w:pPr>
              <w:pStyle w:val="ListParagraph"/>
              <w:numPr>
                <w:ilvl w:val="1"/>
                <w:numId w:val="34"/>
              </w:numPr>
              <w:spacing w:before="60" w:after="60" w:line="280" w:lineRule="atLeast"/>
              <w:ind w:left="1163" w:right="284" w:hanging="425"/>
              <w:contextualSpacing w:val="0"/>
              <w:jc w:val="left"/>
              <w:rPr>
                <w:rFonts w:ascii="Calibri" w:hAnsi="Calibri" w:cstheme="minorBidi"/>
                <w:color w:val="1C556C"/>
                <w:szCs w:val="22"/>
                <w:lang w:eastAsia="en-NZ"/>
              </w:rPr>
            </w:pPr>
            <w:r w:rsidRPr="001560BC">
              <w:rPr>
                <w:rFonts w:ascii="Calibri" w:hAnsi="Calibri"/>
                <w:color w:val="1C556C"/>
                <w:lang w:eastAsia="en-NZ"/>
              </w:rPr>
              <w:lastRenderedPageBreak/>
              <w:t>demonstrate why the territorial authority considers that</w:t>
            </w:r>
            <w:r w:rsidR="00DA5DCF">
              <w:rPr>
                <w:rFonts w:ascii="Calibri" w:hAnsi="Calibri"/>
                <w:color w:val="1C556C"/>
                <w:lang w:eastAsia="en-NZ"/>
              </w:rPr>
              <w:t>:</w:t>
            </w:r>
          </w:p>
          <w:p w14:paraId="22160C86" w14:textId="77777777" w:rsidR="00DA5DCF" w:rsidRPr="00DA5DCF" w:rsidRDefault="00571E8D" w:rsidP="0070523B">
            <w:pPr>
              <w:pStyle w:val="ListParagraph"/>
              <w:numPr>
                <w:ilvl w:val="2"/>
                <w:numId w:val="34"/>
              </w:numPr>
              <w:spacing w:before="60" w:after="60" w:line="280" w:lineRule="atLeast"/>
              <w:ind w:left="1446" w:right="284" w:hanging="142"/>
              <w:contextualSpacing w:val="0"/>
              <w:jc w:val="left"/>
              <w:rPr>
                <w:rFonts w:ascii="Calibri" w:hAnsi="Calibri" w:cstheme="minorBidi"/>
                <w:color w:val="1C556C"/>
                <w:szCs w:val="22"/>
                <w:lang w:eastAsia="en-NZ"/>
              </w:rPr>
            </w:pPr>
            <w:r w:rsidRPr="00DA5DCF">
              <w:rPr>
                <w:rFonts w:ascii="Calibri" w:hAnsi="Calibri"/>
                <w:color w:val="1C556C"/>
                <w:lang w:eastAsia="en-NZ"/>
              </w:rPr>
              <w:t xml:space="preserve">the area is subject to a qualifying matter; and </w:t>
            </w:r>
          </w:p>
          <w:p w14:paraId="18309101" w14:textId="1F7D3990" w:rsidR="00DA5DCF" w:rsidRPr="00DA5DCF" w:rsidRDefault="00571E8D" w:rsidP="0070523B">
            <w:pPr>
              <w:pStyle w:val="ListParagraph"/>
              <w:numPr>
                <w:ilvl w:val="2"/>
                <w:numId w:val="34"/>
              </w:numPr>
              <w:spacing w:before="60" w:after="60" w:line="280" w:lineRule="atLeast"/>
              <w:ind w:left="1446" w:right="284" w:hanging="142"/>
              <w:contextualSpacing w:val="0"/>
              <w:jc w:val="left"/>
              <w:rPr>
                <w:rFonts w:ascii="Calibri" w:hAnsi="Calibri" w:cstheme="minorBidi"/>
                <w:color w:val="1C556C"/>
                <w:szCs w:val="22"/>
                <w:lang w:eastAsia="en-NZ"/>
              </w:rPr>
            </w:pPr>
            <w:r w:rsidRPr="00DA5DCF">
              <w:rPr>
                <w:rFonts w:ascii="Calibri" w:hAnsi="Calibri"/>
                <w:color w:val="1C556C"/>
                <w:lang w:eastAsia="en-NZ"/>
              </w:rPr>
              <w:t xml:space="preserve">the qualifying matter is incompatible with the level of development directed by Policy 3 for that area; and </w:t>
            </w:r>
          </w:p>
          <w:p w14:paraId="42D2154A" w14:textId="77777777" w:rsidR="00DA5DCF" w:rsidRPr="00DA5DCF" w:rsidRDefault="00571E8D" w:rsidP="0070523B">
            <w:pPr>
              <w:pStyle w:val="ListParagraph"/>
              <w:numPr>
                <w:ilvl w:val="1"/>
                <w:numId w:val="34"/>
              </w:numPr>
              <w:spacing w:before="60" w:after="60" w:line="280" w:lineRule="atLeast"/>
              <w:ind w:left="1163" w:right="284" w:hanging="425"/>
              <w:contextualSpacing w:val="0"/>
              <w:jc w:val="left"/>
              <w:rPr>
                <w:rFonts w:ascii="Calibri" w:hAnsi="Calibri"/>
                <w:color w:val="1C556C"/>
                <w:lang w:eastAsia="en-NZ"/>
              </w:rPr>
            </w:pPr>
            <w:r w:rsidRPr="00DA5DCF">
              <w:rPr>
                <w:rFonts w:ascii="Calibri" w:hAnsi="Calibri"/>
                <w:color w:val="1C556C"/>
                <w:lang w:eastAsia="en-NZ"/>
              </w:rPr>
              <w:t xml:space="preserve">assess the impact that limiting development capacity, building height or density (as relevant) will have on the provision of development capacity; and </w:t>
            </w:r>
          </w:p>
          <w:p w14:paraId="49D2B08A" w14:textId="77777777" w:rsidR="00DA5DCF" w:rsidRPr="00DA5DCF" w:rsidRDefault="00571E8D" w:rsidP="0070523B">
            <w:pPr>
              <w:pStyle w:val="ListParagraph"/>
              <w:numPr>
                <w:ilvl w:val="1"/>
                <w:numId w:val="34"/>
              </w:numPr>
              <w:spacing w:before="60" w:after="60" w:line="280" w:lineRule="atLeast"/>
              <w:ind w:left="1163" w:right="284" w:hanging="425"/>
              <w:contextualSpacing w:val="0"/>
              <w:jc w:val="left"/>
              <w:rPr>
                <w:rFonts w:ascii="Calibri" w:hAnsi="Calibri"/>
                <w:color w:val="1C556C"/>
                <w:lang w:eastAsia="en-NZ"/>
              </w:rPr>
            </w:pPr>
            <w:r w:rsidRPr="00DA5DCF">
              <w:rPr>
                <w:rFonts w:ascii="Calibri" w:hAnsi="Calibri"/>
                <w:color w:val="1C556C"/>
                <w:lang w:eastAsia="en-NZ"/>
              </w:rPr>
              <w:t xml:space="preserve">assess the costs and broader impacts of imposing those limits. </w:t>
            </w:r>
          </w:p>
          <w:p w14:paraId="251754A8" w14:textId="77777777" w:rsidR="00DA5DCF" w:rsidRPr="00DA5DCF" w:rsidRDefault="00571E8D" w:rsidP="00B7718C">
            <w:pPr>
              <w:pStyle w:val="ListParagraph"/>
              <w:numPr>
                <w:ilvl w:val="0"/>
                <w:numId w:val="34"/>
              </w:numPr>
              <w:spacing w:before="120" w:after="120" w:line="280" w:lineRule="atLeast"/>
              <w:ind w:right="284"/>
              <w:contextualSpacing w:val="0"/>
              <w:jc w:val="left"/>
              <w:rPr>
                <w:rFonts w:ascii="Calibri" w:hAnsi="Calibri" w:cstheme="minorBidi"/>
                <w:color w:val="1C556C"/>
                <w:szCs w:val="22"/>
                <w:lang w:eastAsia="en-NZ"/>
              </w:rPr>
            </w:pPr>
            <w:r w:rsidRPr="00DA5DCF">
              <w:rPr>
                <w:rFonts w:ascii="Calibri" w:hAnsi="Calibri"/>
                <w:color w:val="1C556C"/>
                <w:lang w:eastAsia="en-NZ"/>
              </w:rPr>
              <w:t>A matter is not a qualifying matter under clause 3.32(1)(h) in relation to an area unless the evaluation report also:</w:t>
            </w:r>
          </w:p>
          <w:p w14:paraId="3130131A" w14:textId="77777777" w:rsidR="00DA5DCF" w:rsidRPr="00DA5DCF" w:rsidRDefault="00571E8D" w:rsidP="0070523B">
            <w:pPr>
              <w:pStyle w:val="ListParagraph"/>
              <w:numPr>
                <w:ilvl w:val="1"/>
                <w:numId w:val="34"/>
              </w:numPr>
              <w:spacing w:before="60" w:after="60" w:line="280" w:lineRule="atLeast"/>
              <w:ind w:left="1162" w:right="284" w:hanging="425"/>
              <w:contextualSpacing w:val="0"/>
              <w:jc w:val="left"/>
              <w:rPr>
                <w:rFonts w:ascii="Calibri" w:hAnsi="Calibri"/>
                <w:color w:val="1C556C"/>
                <w:lang w:eastAsia="en-NZ"/>
              </w:rPr>
            </w:pPr>
            <w:r w:rsidRPr="00DA5DCF">
              <w:rPr>
                <w:rFonts w:ascii="Calibri" w:hAnsi="Calibri"/>
                <w:color w:val="1C556C"/>
                <w:lang w:eastAsia="en-NZ"/>
              </w:rPr>
              <w:t>identifies the specific characteristic that makes the level of development directed by Policy 3 inappropriate in the area, and justifies why that is inappropriate in light of the national significance of urban development and the objectives of this National Policy Statement; and</w:t>
            </w:r>
          </w:p>
          <w:p w14:paraId="3A3FF9F7" w14:textId="77777777" w:rsidR="00DA5DCF" w:rsidRPr="00DA5DCF" w:rsidRDefault="00571E8D" w:rsidP="0070523B">
            <w:pPr>
              <w:pStyle w:val="ListParagraph"/>
              <w:numPr>
                <w:ilvl w:val="1"/>
                <w:numId w:val="34"/>
              </w:numPr>
              <w:spacing w:before="60" w:after="60" w:line="280" w:lineRule="atLeast"/>
              <w:ind w:left="1162" w:right="284" w:hanging="425"/>
              <w:contextualSpacing w:val="0"/>
              <w:jc w:val="left"/>
              <w:rPr>
                <w:rFonts w:ascii="Calibri" w:hAnsi="Calibri"/>
                <w:color w:val="1C556C"/>
                <w:lang w:eastAsia="en-NZ"/>
              </w:rPr>
            </w:pPr>
            <w:r w:rsidRPr="00DA5DCF">
              <w:rPr>
                <w:rFonts w:ascii="Calibri" w:hAnsi="Calibri"/>
                <w:color w:val="1C556C"/>
                <w:lang w:eastAsia="en-NZ"/>
              </w:rPr>
              <w:t>includes a site-specific analysis that:</w:t>
            </w:r>
          </w:p>
          <w:p w14:paraId="4D69A5C6" w14:textId="77777777" w:rsidR="00DA5DCF" w:rsidRPr="00DA5DCF" w:rsidRDefault="00571E8D" w:rsidP="0070523B">
            <w:pPr>
              <w:pStyle w:val="ListParagraph"/>
              <w:numPr>
                <w:ilvl w:val="2"/>
                <w:numId w:val="34"/>
              </w:numPr>
              <w:spacing w:before="60" w:after="60" w:line="280" w:lineRule="atLeast"/>
              <w:ind w:left="1447" w:right="284" w:hanging="142"/>
              <w:contextualSpacing w:val="0"/>
              <w:jc w:val="left"/>
              <w:rPr>
                <w:rFonts w:ascii="Calibri" w:hAnsi="Calibri"/>
                <w:color w:val="1C556C"/>
                <w:lang w:eastAsia="en-NZ"/>
              </w:rPr>
            </w:pPr>
            <w:r w:rsidRPr="00DA5DCF">
              <w:rPr>
                <w:rFonts w:ascii="Calibri" w:hAnsi="Calibri"/>
                <w:color w:val="1C556C"/>
                <w:lang w:eastAsia="en-NZ"/>
              </w:rPr>
              <w:t xml:space="preserve">identifies the site to which the matter relates; and </w:t>
            </w:r>
          </w:p>
          <w:p w14:paraId="7EBCCBE6" w14:textId="77777777" w:rsidR="00DA5DCF" w:rsidRPr="00DA5DCF" w:rsidRDefault="00571E8D" w:rsidP="0070523B">
            <w:pPr>
              <w:pStyle w:val="ListParagraph"/>
              <w:numPr>
                <w:ilvl w:val="2"/>
                <w:numId w:val="34"/>
              </w:numPr>
              <w:spacing w:before="60" w:after="60" w:line="280" w:lineRule="atLeast"/>
              <w:ind w:left="1447" w:right="284" w:hanging="142"/>
              <w:contextualSpacing w:val="0"/>
              <w:jc w:val="left"/>
              <w:rPr>
                <w:rFonts w:ascii="Calibri" w:hAnsi="Calibri"/>
                <w:color w:val="1C556C"/>
                <w:lang w:eastAsia="en-NZ"/>
              </w:rPr>
            </w:pPr>
            <w:r w:rsidRPr="00DA5DCF">
              <w:rPr>
                <w:rFonts w:ascii="Calibri" w:hAnsi="Calibri"/>
                <w:color w:val="1C556C"/>
                <w:lang w:eastAsia="en-NZ"/>
              </w:rPr>
              <w:t xml:space="preserve">evaluates the specific characteristics on a site-specific basis to determine the spatial extent where intensification needs to be compatible with the specific matter; and </w:t>
            </w:r>
          </w:p>
          <w:p w14:paraId="045C1BD5" w14:textId="51A6955C" w:rsidR="00571E8D" w:rsidRPr="00DA5DCF" w:rsidRDefault="00571E8D" w:rsidP="0070523B">
            <w:pPr>
              <w:pStyle w:val="ListParagraph"/>
              <w:numPr>
                <w:ilvl w:val="2"/>
                <w:numId w:val="34"/>
              </w:numPr>
              <w:spacing w:before="60" w:after="60" w:line="280" w:lineRule="atLeast"/>
              <w:ind w:left="1446" w:right="284" w:hanging="142"/>
              <w:contextualSpacing w:val="0"/>
              <w:jc w:val="left"/>
              <w:rPr>
                <w:rFonts w:ascii="Calibri" w:hAnsi="Calibri" w:cstheme="minorBidi"/>
                <w:color w:val="1C556C"/>
                <w:szCs w:val="22"/>
                <w:lang w:eastAsia="en-NZ"/>
              </w:rPr>
            </w:pPr>
            <w:r w:rsidRPr="00DA5DCF">
              <w:rPr>
                <w:rFonts w:ascii="Calibri" w:hAnsi="Calibri"/>
                <w:color w:val="1C556C"/>
                <w:lang w:eastAsia="en-NZ"/>
              </w:rPr>
              <w:t>evaluates an appropriate range of options to achieve the greatest heights and densities directed by Policy 3, while managing the specific characteristics.</w:t>
            </w:r>
          </w:p>
        </w:tc>
      </w:tr>
    </w:tbl>
    <w:p w14:paraId="4B21975F" w14:textId="75624A5A" w:rsidR="00C0111D" w:rsidRPr="00C0111D" w:rsidRDefault="00C0111D" w:rsidP="00B4625A">
      <w:pPr>
        <w:pStyle w:val="Heading3"/>
      </w:pPr>
      <w:bookmarkStart w:id="86" w:name="_Toc50720806"/>
      <w:r w:rsidRPr="00C0111D">
        <w:lastRenderedPageBreak/>
        <w:t>6.6.2</w:t>
      </w:r>
      <w:r w:rsidRPr="00C0111D">
        <w:tab/>
        <w:t>Qualifying matters</w:t>
      </w:r>
      <w:bookmarkEnd w:id="86"/>
    </w:p>
    <w:p w14:paraId="62B90475" w14:textId="7997C7D6" w:rsidR="00C0111D" w:rsidRPr="00C0111D" w:rsidRDefault="00C0111D" w:rsidP="007F3426">
      <w:pPr>
        <w:pStyle w:val="BodyText"/>
      </w:pPr>
      <w:r w:rsidRPr="00C0111D">
        <w:t>When giving effect to the Policy 3 (a, b, c and d) of the NPS-UD, tier 1 local authorities may modify, but only if necessary, the intensification requirements as directed if one of the qualifying matters in the NPS-UD apply. Qualifying matters mean any of the matters listed in subpart 6, clause 3.32. The matters are very specific</w:t>
      </w:r>
      <w:r w:rsidR="00794DB1">
        <w:t>,</w:t>
      </w:r>
      <w:r w:rsidRPr="00C0111D">
        <w:t xml:space="preserve"> with the exception of 3.32(h) relating to ‘other matters’</w:t>
      </w:r>
      <w:r w:rsidR="00794DB1">
        <w:t>,</w:t>
      </w:r>
      <w:r w:rsidRPr="00C0111D">
        <w:t xml:space="preserve"> which may also qualify for making higher</w:t>
      </w:r>
      <w:r w:rsidR="00794DB1">
        <w:t>-</w:t>
      </w:r>
      <w:r w:rsidRPr="00C0111D">
        <w:t>density development inappropriate. Where local authorities wish to use clause 3.32(h), a more robust evidence base is required to justify why intensification requires modification through a site-specific analysis</w:t>
      </w:r>
      <w:r w:rsidR="00794DB1">
        <w:t>,</w:t>
      </w:r>
      <w:r w:rsidR="00085E3A">
        <w:t xml:space="preserve"> and</w:t>
      </w:r>
      <w:r w:rsidRPr="00C0111D">
        <w:t xml:space="preserve"> </w:t>
      </w:r>
      <w:r w:rsidR="00794DB1">
        <w:t xml:space="preserve">also </w:t>
      </w:r>
      <w:r w:rsidRPr="00C0111D">
        <w:t xml:space="preserve">the requirements in clause 3.33(3) must be met. Some examples of what might be anticipated to be raised </w:t>
      </w:r>
      <w:r w:rsidR="00794DB1">
        <w:t xml:space="preserve">as </w:t>
      </w:r>
      <w:r w:rsidRPr="00C0111D">
        <w:t xml:space="preserve">an ‘other matter’ include: </w:t>
      </w:r>
    </w:p>
    <w:p w14:paraId="6EECDA63" w14:textId="5FD258B7" w:rsidR="00C0111D" w:rsidRPr="00C0111D" w:rsidRDefault="00794DB1" w:rsidP="00B4625A">
      <w:pPr>
        <w:pStyle w:val="Bullet"/>
      </w:pPr>
      <w:r>
        <w:t>s</w:t>
      </w:r>
      <w:r w:rsidR="00C0111D" w:rsidRPr="00C0111D">
        <w:t xml:space="preserve">pecial character </w:t>
      </w:r>
    </w:p>
    <w:p w14:paraId="0F82F8A9" w14:textId="5F45B06D" w:rsidR="00C0111D" w:rsidRPr="00C0111D" w:rsidRDefault="00794DB1" w:rsidP="00B4625A">
      <w:pPr>
        <w:pStyle w:val="Bullet"/>
      </w:pPr>
      <w:r>
        <w:t>v</w:t>
      </w:r>
      <w:r w:rsidR="00C0111D" w:rsidRPr="00C0111D">
        <w:t>iewshafts</w:t>
      </w:r>
    </w:p>
    <w:p w14:paraId="2E8A2611" w14:textId="0F2FA685" w:rsidR="00C0111D" w:rsidRPr="00C0111D" w:rsidRDefault="00794DB1" w:rsidP="00B4625A">
      <w:pPr>
        <w:pStyle w:val="Bullet"/>
      </w:pPr>
      <w:r>
        <w:t>l</w:t>
      </w:r>
      <w:r w:rsidR="00C0111D" w:rsidRPr="00C0111D">
        <w:t xml:space="preserve">ess significant hazard risk, that is not </w:t>
      </w:r>
      <w:r w:rsidR="0083012E">
        <w:t>covered</w:t>
      </w:r>
      <w:r w:rsidR="00C0111D" w:rsidRPr="00C0111D">
        <w:t xml:space="preserve"> by s6 of the RMA.</w:t>
      </w:r>
    </w:p>
    <w:p w14:paraId="04E31646" w14:textId="61DAD9F2" w:rsidR="00C0111D" w:rsidRPr="00C0111D" w:rsidRDefault="00C0111D" w:rsidP="007F3426">
      <w:pPr>
        <w:pStyle w:val="BodyText"/>
      </w:pPr>
      <w:r w:rsidRPr="00C0111D">
        <w:t xml:space="preserve">Where a qualifying matter is applicable for a tier 1 local authority, this does not mean intensification is excluded from an area, but instead that </w:t>
      </w:r>
      <w:r w:rsidR="00794DB1">
        <w:t>it</w:t>
      </w:r>
      <w:r w:rsidR="00794DB1" w:rsidRPr="00C0111D">
        <w:t xml:space="preserve"> </w:t>
      </w:r>
      <w:r w:rsidRPr="00C0111D">
        <w:t xml:space="preserve">is to be modified only to the extent necessary to accommodate the qualifying matter. </w:t>
      </w:r>
    </w:p>
    <w:p w14:paraId="16DA2278" w14:textId="55BA22AC" w:rsidR="00C0111D" w:rsidRPr="00C0111D" w:rsidRDefault="00794DB1" w:rsidP="007F3426">
      <w:pPr>
        <w:pStyle w:val="BodyText"/>
      </w:pPr>
      <w:r>
        <w:t>In addition</w:t>
      </w:r>
      <w:r w:rsidR="00C0111D" w:rsidRPr="00C0111D">
        <w:t>, in the case of ‘other’ matters, it does not mean local authorities cannot have viewshafts or special character, for example</w:t>
      </w:r>
      <w:r>
        <w:t>.</w:t>
      </w:r>
      <w:r w:rsidR="00C0111D" w:rsidRPr="00C0111D">
        <w:t xml:space="preserve"> </w:t>
      </w:r>
      <w:r>
        <w:t>T</w:t>
      </w:r>
      <w:r w:rsidR="00C0111D" w:rsidRPr="00C0111D">
        <w:t xml:space="preserve">hese can be retained where evidence supports their need. The qualifying matters simply provide the scope for local authorities to modify the level of intensification if it is required to protect the specific matter. </w:t>
      </w:r>
    </w:p>
    <w:p w14:paraId="4969216C" w14:textId="6B1C48C2" w:rsidR="00C0111D" w:rsidRPr="00C0111D" w:rsidRDefault="00C0111D" w:rsidP="007F3426">
      <w:pPr>
        <w:pStyle w:val="BodyText"/>
      </w:pPr>
      <w:r w:rsidRPr="00C0111D">
        <w:lastRenderedPageBreak/>
        <w:t xml:space="preserve">Local authorities will need to consider what qualifying matter is applicable </w:t>
      </w:r>
      <w:r w:rsidR="00794DB1">
        <w:t xml:space="preserve">carefully </w:t>
      </w:r>
      <w:r w:rsidRPr="00C0111D">
        <w:t xml:space="preserve">and then undertake a detailed assessment to determine the most appropriate level of intensification. This may look like: </w:t>
      </w:r>
    </w:p>
    <w:p w14:paraId="6133FF2E" w14:textId="14032DFF" w:rsidR="00C0111D" w:rsidRPr="00B4625A" w:rsidRDefault="00794DB1" w:rsidP="00B4625A">
      <w:pPr>
        <w:pStyle w:val="Bullet"/>
      </w:pPr>
      <w:r>
        <w:t>r</w:t>
      </w:r>
      <w:r w:rsidR="00C0111D" w:rsidRPr="00B4625A">
        <w:t xml:space="preserve">educed building heights from the applicable minimum height required </w:t>
      </w:r>
    </w:p>
    <w:p w14:paraId="22D16479" w14:textId="0BEB49D3" w:rsidR="00C0111D" w:rsidRPr="00B4625A" w:rsidRDefault="00794DB1" w:rsidP="00B4625A">
      <w:pPr>
        <w:pStyle w:val="Bullet"/>
      </w:pPr>
      <w:r>
        <w:t>l</w:t>
      </w:r>
      <w:r w:rsidR="00C0111D" w:rsidRPr="00B4625A">
        <w:t>ower densities than the applicable minimum density required</w:t>
      </w:r>
    </w:p>
    <w:p w14:paraId="56084ADA" w14:textId="719E705D" w:rsidR="00C0111D" w:rsidRPr="00B4625A" w:rsidRDefault="00794DB1" w:rsidP="00B4625A">
      <w:pPr>
        <w:pStyle w:val="Bullet"/>
      </w:pPr>
      <w:r>
        <w:t>n</w:t>
      </w:r>
      <w:r w:rsidR="00C0111D" w:rsidRPr="00B4625A">
        <w:t>o intensification (although this is expected to be an exception).</w:t>
      </w:r>
    </w:p>
    <w:p w14:paraId="172C5F52" w14:textId="39DB8E24" w:rsidR="00C0111D" w:rsidRPr="00C0111D" w:rsidRDefault="00C0111D" w:rsidP="007F3426">
      <w:pPr>
        <w:pStyle w:val="BodyText"/>
      </w:pPr>
      <w:r w:rsidRPr="00C0111D">
        <w:t xml:space="preserve">This assessment will only be required if one of matters listed in </w:t>
      </w:r>
      <w:r w:rsidR="000D494E">
        <w:t>clause</w:t>
      </w:r>
      <w:r w:rsidRPr="00C0111D">
        <w:t xml:space="preserve"> 3.32(a</w:t>
      </w:r>
      <w:r w:rsidR="00794DB1">
        <w:t>–</w:t>
      </w:r>
      <w:r w:rsidRPr="00C0111D">
        <w:t xml:space="preserve">g) means that intensification will be limited. </w:t>
      </w:r>
    </w:p>
    <w:p w14:paraId="1C518344" w14:textId="77777777" w:rsidR="00C0111D" w:rsidRPr="00C0111D" w:rsidRDefault="00C0111D" w:rsidP="00B4625A">
      <w:pPr>
        <w:pStyle w:val="Heading3"/>
      </w:pPr>
      <w:bookmarkStart w:id="87" w:name="_Toc50720807"/>
      <w:r w:rsidRPr="00C0111D">
        <w:t>6.6.3</w:t>
      </w:r>
      <w:r w:rsidRPr="00C0111D">
        <w:tab/>
        <w:t>Process to applying a qualifying matter</w:t>
      </w:r>
      <w:bookmarkEnd w:id="87"/>
    </w:p>
    <w:p w14:paraId="7E257D33" w14:textId="3FF49107" w:rsidR="00C0111D" w:rsidRPr="00C0111D" w:rsidRDefault="00C0111D" w:rsidP="007F3426">
      <w:pPr>
        <w:pStyle w:val="BodyText"/>
      </w:pPr>
      <w:r w:rsidRPr="00C0111D">
        <w:t>For any qualifying matter listed in subpart 6, clause 3.32 (a</w:t>
      </w:r>
      <w:r w:rsidR="00794DB1">
        <w:t>–</w:t>
      </w:r>
      <w:r w:rsidRPr="00C0111D">
        <w:t xml:space="preserve">g), for a tier 1 local authority to modify the intensification levels below those anticipated in </w:t>
      </w:r>
      <w:r w:rsidR="00DD4322">
        <w:t>Policy</w:t>
      </w:r>
      <w:r w:rsidRPr="00C0111D">
        <w:t xml:space="preserve"> 3, an evaluation report must be prepared under section 32 of the RMA. This section 32 report must include and consider the following </w:t>
      </w:r>
      <w:r w:rsidR="00794DB1">
        <w:t xml:space="preserve">aspects </w:t>
      </w:r>
      <w:r w:rsidRPr="00C0111D">
        <w:t xml:space="preserve">in light of the requirements in subpart 6, clause 3.33: </w:t>
      </w:r>
    </w:p>
    <w:p w14:paraId="7F4101E3" w14:textId="326E45A7" w:rsidR="00C0111D" w:rsidRPr="00C0111D" w:rsidRDefault="00892F4A" w:rsidP="00B4625A">
      <w:pPr>
        <w:pStyle w:val="Bullet"/>
      </w:pPr>
      <w:r>
        <w:t xml:space="preserve">identify </w:t>
      </w:r>
      <w:r w:rsidR="00C0111D" w:rsidRPr="00C0111D">
        <w:t>spatially</w:t>
      </w:r>
      <w:r w:rsidR="00794DB1">
        <w:t>,</w:t>
      </w:r>
      <w:r w:rsidR="00C0111D" w:rsidRPr="00C0111D">
        <w:t xml:space="preserve"> by location</w:t>
      </w:r>
      <w:r w:rsidR="00794DB1">
        <w:t>,</w:t>
      </w:r>
      <w:r w:rsidR="00C0111D" w:rsidRPr="00C0111D">
        <w:t xml:space="preserve"> where the qualifying matter applies</w:t>
      </w:r>
      <w:r>
        <w:t xml:space="preserve">, </w:t>
      </w:r>
      <w:r w:rsidR="009113AC">
        <w:t>for example,</w:t>
      </w:r>
      <w:r w:rsidR="00C0111D" w:rsidRPr="00C0111D">
        <w:t xml:space="preserve"> a map showing the area to be assessed for a qualifying matter</w:t>
      </w:r>
    </w:p>
    <w:p w14:paraId="7BF2651C" w14:textId="35AAAB1B" w:rsidR="00C0111D" w:rsidRPr="00C0111D" w:rsidRDefault="00892F4A" w:rsidP="00B4625A">
      <w:pPr>
        <w:pStyle w:val="Bullet"/>
      </w:pPr>
      <w:r>
        <w:t xml:space="preserve">determine </w:t>
      </w:r>
      <w:r w:rsidR="00C0111D" w:rsidRPr="00C0111D">
        <w:t xml:space="preserve">why an area is </w:t>
      </w:r>
      <w:r w:rsidR="00794DB1">
        <w:t xml:space="preserve">considered </w:t>
      </w:r>
      <w:r w:rsidR="00C0111D" w:rsidRPr="00C0111D">
        <w:t>subject to a qualifying matter</w:t>
      </w:r>
    </w:p>
    <w:p w14:paraId="1D1DE8EC" w14:textId="2D00E1F1" w:rsidR="00C0111D" w:rsidRPr="00C0111D" w:rsidRDefault="00892F4A" w:rsidP="00B4625A">
      <w:pPr>
        <w:pStyle w:val="Bullet"/>
      </w:pPr>
      <w:r>
        <w:t xml:space="preserve">determine </w:t>
      </w:r>
      <w:r w:rsidR="00C0111D" w:rsidRPr="00C0111D">
        <w:t>why the qualifying matter makes an area</w:t>
      </w:r>
      <w:r w:rsidR="00794DB1">
        <w:t xml:space="preserve"> and/or </w:t>
      </w:r>
      <w:r w:rsidR="00C0111D" w:rsidRPr="00C0111D">
        <w:t xml:space="preserve">site incompatible with the level of development directed by </w:t>
      </w:r>
      <w:r w:rsidR="00794DB1">
        <w:t>P</w:t>
      </w:r>
      <w:r w:rsidR="00C0111D" w:rsidRPr="00C0111D">
        <w:t>olicy 3 for that area</w:t>
      </w:r>
    </w:p>
    <w:p w14:paraId="1F7D620E" w14:textId="694FFD91" w:rsidR="00C0111D" w:rsidRPr="00C0111D" w:rsidRDefault="00C0111D" w:rsidP="00B4625A">
      <w:pPr>
        <w:pStyle w:val="Bullet"/>
      </w:pPr>
      <w:r w:rsidRPr="00C0111D">
        <w:t xml:space="preserve">assess the impact that limiting the development capacity, building height or density will have on </w:t>
      </w:r>
      <w:r w:rsidR="00892F4A">
        <w:t>providing</w:t>
      </w:r>
      <w:r w:rsidRPr="00C0111D">
        <w:t xml:space="preserve"> development capacity overall</w:t>
      </w:r>
    </w:p>
    <w:p w14:paraId="28276F08" w14:textId="725DE069" w:rsidR="00C0111D" w:rsidRPr="00C0111D" w:rsidRDefault="00892F4A" w:rsidP="00B4625A">
      <w:pPr>
        <w:pStyle w:val="Bullet"/>
      </w:pPr>
      <w:r>
        <w:t xml:space="preserve">assess </w:t>
      </w:r>
      <w:r w:rsidR="00C0111D" w:rsidRPr="00C0111D">
        <w:t>the costs, benefits and broader impacts of imposing lower intensification levels in the area</w:t>
      </w:r>
    </w:p>
    <w:p w14:paraId="0BDB4560" w14:textId="079247DE" w:rsidR="00C0111D" w:rsidRPr="00C0111D" w:rsidRDefault="00C0111D" w:rsidP="00B4625A">
      <w:pPr>
        <w:pStyle w:val="Bullet"/>
      </w:pPr>
      <w:r w:rsidRPr="00C0111D">
        <w:t xml:space="preserve">identify </w:t>
      </w:r>
      <w:r w:rsidR="00892F4A">
        <w:t xml:space="preserve">the </w:t>
      </w:r>
      <w:r w:rsidRPr="00C0111D">
        <w:t xml:space="preserve">appropriate alternative level of intensification for the area. </w:t>
      </w:r>
    </w:p>
    <w:p w14:paraId="76012194" w14:textId="3DBE9860" w:rsidR="00C0111D" w:rsidRPr="00C0111D" w:rsidRDefault="00C0111D" w:rsidP="007F3426">
      <w:pPr>
        <w:pStyle w:val="BodyText"/>
      </w:pPr>
      <w:r w:rsidRPr="00C0111D">
        <w:t xml:space="preserve">If a local authority believes there is an ‘other’ qualifying matter which is applicable under </w:t>
      </w:r>
      <w:r w:rsidRPr="00B4625A">
        <w:rPr>
          <w:b/>
        </w:rPr>
        <w:t>subpart 6, clause 3.32(h)</w:t>
      </w:r>
      <w:r w:rsidRPr="00C0111D">
        <w:t xml:space="preserve">, then a more detailed and robust assessment </w:t>
      </w:r>
      <w:r w:rsidR="00892F4A">
        <w:t xml:space="preserve">and </w:t>
      </w:r>
      <w:r w:rsidRPr="00C0111D">
        <w:t xml:space="preserve">higher evidential standard is required. In addition to the above matters, the following further evidence base must be prepared: </w:t>
      </w:r>
    </w:p>
    <w:p w14:paraId="24722354" w14:textId="78ACADDF" w:rsidR="00C0111D" w:rsidRPr="00C0111D" w:rsidRDefault="00892F4A" w:rsidP="00B4625A">
      <w:pPr>
        <w:pStyle w:val="Bullet"/>
      </w:pPr>
      <w:r>
        <w:t>identifying</w:t>
      </w:r>
      <w:r w:rsidR="00C0111D" w:rsidRPr="00C0111D">
        <w:t xml:space="preserve"> the specific characteristic or ‘other matter’ that makes the level of development directed by Policy 3 inappropriate</w:t>
      </w:r>
    </w:p>
    <w:p w14:paraId="49C20B08" w14:textId="065BF083" w:rsidR="00C0111D" w:rsidRPr="00C0111D" w:rsidRDefault="00892F4A" w:rsidP="00B4625A">
      <w:pPr>
        <w:pStyle w:val="Bullet"/>
      </w:pPr>
      <w:r>
        <w:t>justifying in</w:t>
      </w:r>
      <w:r w:rsidR="00C0111D" w:rsidRPr="00C0111D">
        <w:t xml:space="preserve"> the form of a detailed analysis and mapping to demonstrate why intensification is inappropriate (in light of the qualifying matter, the national significance of urban development and objectives of the NPS</w:t>
      </w:r>
      <w:r>
        <w:t>)</w:t>
      </w:r>
      <w:r w:rsidR="00C0111D" w:rsidRPr="00C0111D">
        <w:t xml:space="preserve"> </w:t>
      </w:r>
    </w:p>
    <w:p w14:paraId="342E109E" w14:textId="554AA51C" w:rsidR="00C0111D" w:rsidRPr="00C0111D" w:rsidRDefault="00892F4A" w:rsidP="00B4625A">
      <w:pPr>
        <w:pStyle w:val="Bullet"/>
      </w:pPr>
      <w:r>
        <w:t>conducting a s</w:t>
      </w:r>
      <w:r w:rsidR="009113AC">
        <w:t>ite-specific</w:t>
      </w:r>
      <w:r w:rsidR="00C0111D" w:rsidRPr="00C0111D">
        <w:t xml:space="preserve"> analysis of the ‘other matter’ and where it needs to apply, such as the exact boundaries where intensification is </w:t>
      </w:r>
      <w:r>
        <w:t>in</w:t>
      </w:r>
      <w:r w:rsidR="00C0111D" w:rsidRPr="00C0111D">
        <w:t>appropriate.</w:t>
      </w:r>
      <w:r w:rsidR="009113AC">
        <w:t xml:space="preserve"> </w:t>
      </w:r>
      <w:r w:rsidR="00C0111D" w:rsidRPr="00C0111D">
        <w:t>Local authorities will need to undertake a site</w:t>
      </w:r>
      <w:r>
        <w:t>-</w:t>
      </w:r>
      <w:r w:rsidR="00C0111D" w:rsidRPr="00C0111D">
        <w:t>by</w:t>
      </w:r>
      <w:r>
        <w:t>-</w:t>
      </w:r>
      <w:r w:rsidR="00C0111D" w:rsidRPr="00C0111D">
        <w:t>site assessment, identifying the extent of the site or sites in the area subject to a qualifying matter</w:t>
      </w:r>
      <w:r>
        <w:t xml:space="preserve">. They will need to evaluate </w:t>
      </w:r>
      <w:r w:rsidR="00C0111D" w:rsidRPr="00C0111D">
        <w:t xml:space="preserve">the specific characteristics on a site-specific basis to determine the spatial extent where intensification needs to be compatible with the specific matter </w:t>
      </w:r>
    </w:p>
    <w:p w14:paraId="664047A6" w14:textId="493E94CB" w:rsidR="00C0111D" w:rsidRPr="00C0111D" w:rsidRDefault="00892F4A" w:rsidP="00B4625A">
      <w:pPr>
        <w:pStyle w:val="Bullet"/>
      </w:pPr>
      <w:r>
        <w:t>evaluating</w:t>
      </w:r>
      <w:r w:rsidRPr="00C0111D">
        <w:t xml:space="preserve"> </w:t>
      </w:r>
      <w:r w:rsidR="00C0111D" w:rsidRPr="00C0111D">
        <w:t xml:space="preserve">an appropriate range of options of alternative heights and densities </w:t>
      </w:r>
      <w:r>
        <w:t>that</w:t>
      </w:r>
      <w:r w:rsidRPr="00C0111D">
        <w:t xml:space="preserve"> </w:t>
      </w:r>
      <w:r w:rsidR="00C0111D" w:rsidRPr="00C0111D">
        <w:t xml:space="preserve">could be applied to establish the best option to achieve the greatest heights and densities directed by Policy 3, while managing the specific characteristics. </w:t>
      </w:r>
    </w:p>
    <w:p w14:paraId="4B09ABBB" w14:textId="243C0F65" w:rsidR="00C0111D" w:rsidRPr="00C0111D" w:rsidRDefault="00C0111D" w:rsidP="007F3426">
      <w:pPr>
        <w:pStyle w:val="BodyText"/>
      </w:pPr>
      <w:r w:rsidRPr="00892F4A">
        <w:lastRenderedPageBreak/>
        <w:t>Note</w:t>
      </w:r>
      <w:r w:rsidR="00247801" w:rsidRPr="00892F4A">
        <w:t xml:space="preserve"> that </w:t>
      </w:r>
      <w:r w:rsidRPr="00892F4A">
        <w:t>a blanket</w:t>
      </w:r>
      <w:r w:rsidRPr="00C0111D">
        <w:t xml:space="preserve"> overlay approach to applying the qualifying matter is not appropriate. The qualifying matter should only apply to the specific</w:t>
      </w:r>
      <w:r w:rsidR="00247801">
        <w:t>,</w:t>
      </w:r>
      <w:r w:rsidRPr="00C0111D">
        <w:t xml:space="preserve"> spatial extent required. </w:t>
      </w:r>
    </w:p>
    <w:p w14:paraId="2EDC6D9E" w14:textId="0084AA1A" w:rsidR="00C0111D" w:rsidRPr="00C0111D" w:rsidRDefault="00C0111D" w:rsidP="007F3426">
      <w:pPr>
        <w:pStyle w:val="BodyText"/>
      </w:pPr>
      <w:r w:rsidRPr="00C0111D">
        <w:t>In practice</w:t>
      </w:r>
      <w:r w:rsidR="00D60223">
        <w:t>,</w:t>
      </w:r>
      <w:r w:rsidRPr="00C0111D">
        <w:t xml:space="preserve"> this means that: </w:t>
      </w:r>
    </w:p>
    <w:p w14:paraId="596615BF" w14:textId="1A25E8F1" w:rsidR="00C0111D" w:rsidRPr="00C0111D" w:rsidRDefault="00892F4A" w:rsidP="00B4625A">
      <w:pPr>
        <w:pStyle w:val="Bullet"/>
      </w:pPr>
      <w:r>
        <w:t>l</w:t>
      </w:r>
      <w:r w:rsidR="00D60223">
        <w:t>ocal authorities will need to justify their de</w:t>
      </w:r>
      <w:r w:rsidR="00C0111D" w:rsidRPr="00C0111D">
        <w:t>cisions on what ‘as much development capacity as possible’ means for determining heights and densities for a city centre zone with robust evidence in a section 32 report</w:t>
      </w:r>
      <w:r w:rsidR="00D60223">
        <w:t>. They will also need to take i</w:t>
      </w:r>
      <w:r w:rsidR="00C0111D" w:rsidRPr="00C0111D">
        <w:t>nto account any justifications under subpart 6, clause 3.33</w:t>
      </w:r>
    </w:p>
    <w:p w14:paraId="3C5D27F0" w14:textId="646BB62E" w:rsidR="00C0111D" w:rsidRPr="00C0111D" w:rsidRDefault="00892F4A" w:rsidP="00B4625A">
      <w:pPr>
        <w:pStyle w:val="Bullet"/>
      </w:pPr>
      <w:r>
        <w:t>i</w:t>
      </w:r>
      <w:r w:rsidR="00C0111D" w:rsidRPr="00C0111D">
        <w:t xml:space="preserve">n metropolitan centres and other locations </w:t>
      </w:r>
      <w:r w:rsidR="00D60223">
        <w:t>that</w:t>
      </w:r>
      <w:r w:rsidR="00D60223" w:rsidRPr="00C0111D">
        <w:t xml:space="preserve"> </w:t>
      </w:r>
      <w:r w:rsidR="00C0111D" w:rsidRPr="00C0111D">
        <w:t xml:space="preserve">require height limits of at least six storeys, </w:t>
      </w:r>
      <w:r w:rsidR="00D60223">
        <w:t xml:space="preserve">local authorities will only need to provide </w:t>
      </w:r>
      <w:r w:rsidR="00C0111D" w:rsidRPr="00C0111D">
        <w:t xml:space="preserve">justification </w:t>
      </w:r>
      <w:r w:rsidR="00D60223">
        <w:t>where they</w:t>
      </w:r>
      <w:r w:rsidR="00C0111D" w:rsidRPr="00C0111D">
        <w:t xml:space="preserve"> believe a height limit need</w:t>
      </w:r>
      <w:r w:rsidR="00D60223">
        <w:t>s</w:t>
      </w:r>
      <w:r w:rsidR="00C0111D" w:rsidRPr="00C0111D">
        <w:t xml:space="preserve"> to be </w:t>
      </w:r>
      <w:r w:rsidR="00D60223">
        <w:t>less</w:t>
      </w:r>
      <w:r w:rsidR="00D60223" w:rsidRPr="00C0111D">
        <w:t xml:space="preserve"> </w:t>
      </w:r>
      <w:r w:rsidR="00C0111D" w:rsidRPr="00C0111D">
        <w:t xml:space="preserve">than six storeys, with site-specific analysis required if heights </w:t>
      </w:r>
      <w:r w:rsidR="00D60223">
        <w:t>are</w:t>
      </w:r>
      <w:r w:rsidR="00D60223" w:rsidRPr="00C0111D">
        <w:t xml:space="preserve"> </w:t>
      </w:r>
      <w:r w:rsidR="00C0111D" w:rsidRPr="00C0111D">
        <w:t xml:space="preserve">being lowered due to an ‘other matter’ </w:t>
      </w:r>
    </w:p>
    <w:p w14:paraId="5CD1FD13" w14:textId="2664CAE7" w:rsidR="00C0111D" w:rsidRPr="00C0111D" w:rsidRDefault="00892F4A" w:rsidP="00B4625A">
      <w:pPr>
        <w:pStyle w:val="Bullet"/>
      </w:pPr>
      <w:r>
        <w:t>l</w:t>
      </w:r>
      <w:r w:rsidR="00D60223">
        <w:t xml:space="preserve">ocal authorities will need to justify </w:t>
      </w:r>
      <w:r w:rsidR="00D60223" w:rsidRPr="00C0111D">
        <w:t xml:space="preserve">any height limits or densities lower than what is standard in </w:t>
      </w:r>
      <w:r w:rsidR="00D60223">
        <w:t xml:space="preserve">their </w:t>
      </w:r>
      <w:r w:rsidR="00D60223" w:rsidRPr="00C0111D">
        <w:t>plans for that zone</w:t>
      </w:r>
      <w:r w:rsidR="00D60223">
        <w:t>, i</w:t>
      </w:r>
      <w:r w:rsidR="00C0111D" w:rsidRPr="00C0111D">
        <w:t xml:space="preserve">n other areas identified as suitable for intensification, either </w:t>
      </w:r>
      <w:r w:rsidR="00D60223">
        <w:t>due to be</w:t>
      </w:r>
      <w:r w:rsidR="00C0111D" w:rsidRPr="00C0111D">
        <w:t>ing in a location of high demand or having good access</w:t>
      </w:r>
    </w:p>
    <w:p w14:paraId="7EE6A867" w14:textId="33D963CE" w:rsidR="00C0111D" w:rsidRPr="00C0111D" w:rsidRDefault="00892F4A" w:rsidP="00B4625A">
      <w:pPr>
        <w:pStyle w:val="Bullet"/>
      </w:pPr>
      <w:r>
        <w:t>l</w:t>
      </w:r>
      <w:r w:rsidR="00D60223">
        <w:t>ocal authorities may review, reduce or remove</w:t>
      </w:r>
      <w:r w:rsidR="00D60223" w:rsidRPr="00C0111D">
        <w:t xml:space="preserve"> </w:t>
      </w:r>
      <w:r w:rsidR="00C0111D" w:rsidRPr="00C0111D">
        <w:t>spatial application of ‘other’ matters</w:t>
      </w:r>
      <w:r w:rsidR="00D60223">
        <w:t>,</w:t>
      </w:r>
      <w:r w:rsidR="00C0111D" w:rsidRPr="00C0111D">
        <w:t xml:space="preserve"> such as viewshafts</w:t>
      </w:r>
      <w:r w:rsidR="00D60223">
        <w:t>,</w:t>
      </w:r>
      <w:r w:rsidR="00C0111D" w:rsidRPr="00C0111D">
        <w:t xml:space="preserve"> following assessment to enable greater intensification. </w:t>
      </w:r>
    </w:p>
    <w:p w14:paraId="71D763D6" w14:textId="78E3ADC5" w:rsidR="00C0111D" w:rsidRPr="00C0111D" w:rsidRDefault="00C0111D" w:rsidP="007F3426">
      <w:pPr>
        <w:pStyle w:val="BodyText"/>
      </w:pPr>
      <w:r w:rsidRPr="00C0111D">
        <w:t xml:space="preserve">If tier 1 local authorities wish to modify heights and densities of intensification because of a qualifying matter, it is important </w:t>
      </w:r>
      <w:r w:rsidR="00D60223">
        <w:t xml:space="preserve">they provide </w:t>
      </w:r>
      <w:r w:rsidRPr="00C0111D">
        <w:t>a robust evidence base and section 32 analysis</w:t>
      </w:r>
      <w:r w:rsidR="00D60223">
        <w:t>,</w:t>
      </w:r>
      <w:r w:rsidRPr="00C0111D">
        <w:t xml:space="preserve"> </w:t>
      </w:r>
      <w:r w:rsidR="00D60223">
        <w:t xml:space="preserve">which </w:t>
      </w:r>
      <w:r w:rsidRPr="00C0111D">
        <w:t>clearly articulates the trade-offs</w:t>
      </w:r>
      <w:r w:rsidR="009113AC">
        <w:t xml:space="preserve"> </w:t>
      </w:r>
      <w:r w:rsidRPr="00C0111D">
        <w:t xml:space="preserve">of having less intensification. </w:t>
      </w:r>
    </w:p>
    <w:p w14:paraId="6F1E02A6" w14:textId="634C7F80" w:rsidR="00C0111D" w:rsidRPr="00C0111D" w:rsidRDefault="00D60223" w:rsidP="007F3426">
      <w:pPr>
        <w:pStyle w:val="BodyText"/>
      </w:pPr>
      <w:r>
        <w:t>They</w:t>
      </w:r>
      <w:r w:rsidR="00C0111D" w:rsidRPr="00C0111D">
        <w:t xml:space="preserve"> should </w:t>
      </w:r>
      <w:r>
        <w:t xml:space="preserve">answer </w:t>
      </w:r>
      <w:r w:rsidR="00C0111D" w:rsidRPr="00C0111D">
        <w:t xml:space="preserve">the following </w:t>
      </w:r>
      <w:r w:rsidR="00A77737">
        <w:t>questions</w:t>
      </w:r>
      <w:r>
        <w:t xml:space="preserve"> in their analysis</w:t>
      </w:r>
      <w:r w:rsidR="00C0111D" w:rsidRPr="00C0111D">
        <w:t xml:space="preserve">: </w:t>
      </w:r>
    </w:p>
    <w:p w14:paraId="6D588886" w14:textId="0A200613" w:rsidR="00C0111D" w:rsidRPr="00C0111D" w:rsidRDefault="00C0111D" w:rsidP="00B4625A">
      <w:pPr>
        <w:pStyle w:val="Bullet"/>
      </w:pPr>
      <w:r w:rsidRPr="00C0111D">
        <w:t xml:space="preserve">What is the qualifying matter? </w:t>
      </w:r>
    </w:p>
    <w:p w14:paraId="787A5E02" w14:textId="694BAE0B" w:rsidR="00C0111D" w:rsidRPr="00C0111D" w:rsidRDefault="00C0111D" w:rsidP="00B4625A">
      <w:pPr>
        <w:pStyle w:val="Bullet"/>
      </w:pPr>
      <w:r w:rsidRPr="00C0111D">
        <w:t xml:space="preserve">Why is the qualifying matter something that is being considered within the specific location? </w:t>
      </w:r>
    </w:p>
    <w:p w14:paraId="09757122" w14:textId="4C00C3BB" w:rsidR="00C0111D" w:rsidRPr="00C0111D" w:rsidRDefault="00C0111D" w:rsidP="00B4625A">
      <w:pPr>
        <w:pStyle w:val="Bullet"/>
      </w:pPr>
      <w:r w:rsidRPr="00C0111D">
        <w:t xml:space="preserve">What would be the implications of enabling intensification as directed by </w:t>
      </w:r>
      <w:r w:rsidR="00A77737">
        <w:t>P</w:t>
      </w:r>
      <w:r w:rsidRPr="00C0111D">
        <w:t xml:space="preserve">olicy 3? </w:t>
      </w:r>
    </w:p>
    <w:p w14:paraId="7981E94F" w14:textId="2DF056EE" w:rsidR="00C0111D" w:rsidRPr="00C0111D" w:rsidRDefault="00C0111D" w:rsidP="00B4625A">
      <w:pPr>
        <w:pStyle w:val="Bullet"/>
      </w:pPr>
      <w:r w:rsidRPr="00C0111D">
        <w:t>What area does the qualifying matter cover</w:t>
      </w:r>
      <w:r w:rsidR="00A77737">
        <w:t xml:space="preserve"> or </w:t>
      </w:r>
      <w:r w:rsidRPr="00C0111D">
        <w:t xml:space="preserve">what is the spatial extent? </w:t>
      </w:r>
    </w:p>
    <w:p w14:paraId="07E0723D" w14:textId="72E062CE" w:rsidR="00C0111D" w:rsidRPr="00C0111D" w:rsidRDefault="00C0111D" w:rsidP="00B4625A">
      <w:pPr>
        <w:pStyle w:val="Bullet"/>
      </w:pPr>
      <w:r w:rsidRPr="00C0111D">
        <w:t xml:space="preserve">Why does the </w:t>
      </w:r>
      <w:r w:rsidR="00A77737">
        <w:t xml:space="preserve">qualifying </w:t>
      </w:r>
      <w:r w:rsidRPr="00C0111D">
        <w:t>matter require heights and densities</w:t>
      </w:r>
      <w:r w:rsidR="00085E3A">
        <w:t xml:space="preserve"> </w:t>
      </w:r>
      <w:r w:rsidR="00A77737">
        <w:t xml:space="preserve">to be reduced </w:t>
      </w:r>
      <w:r w:rsidR="00085E3A">
        <w:t>and</w:t>
      </w:r>
      <w:r w:rsidRPr="00C0111D">
        <w:t xml:space="preserve"> </w:t>
      </w:r>
      <w:r w:rsidR="00A77737">
        <w:t>by how much</w:t>
      </w:r>
      <w:r w:rsidRPr="00C0111D">
        <w:t xml:space="preserve">? </w:t>
      </w:r>
    </w:p>
    <w:p w14:paraId="488B4F6C" w14:textId="7DE6F2FC" w:rsidR="00C0111D" w:rsidRPr="00C0111D" w:rsidRDefault="00C0111D" w:rsidP="00B4625A">
      <w:pPr>
        <w:pStyle w:val="Bullet"/>
      </w:pPr>
      <w:r w:rsidRPr="00C0111D">
        <w:t xml:space="preserve">Are there alternative approaches or mitigations that </w:t>
      </w:r>
      <w:r w:rsidR="00A77737">
        <w:t>could</w:t>
      </w:r>
      <w:r w:rsidR="00A77737" w:rsidRPr="00C0111D">
        <w:t xml:space="preserve"> </w:t>
      </w:r>
      <w:r w:rsidRPr="00C0111D">
        <w:t xml:space="preserve">be put in place to avoid the need to reduce intensification? If not, why? </w:t>
      </w:r>
    </w:p>
    <w:p w14:paraId="2372C418" w14:textId="04F89780" w:rsidR="00C0111D" w:rsidRPr="00C0111D" w:rsidRDefault="00C0111D" w:rsidP="00B4625A">
      <w:pPr>
        <w:pStyle w:val="Bullet"/>
      </w:pPr>
      <w:r w:rsidRPr="00C0111D">
        <w:t xml:space="preserve">How does limiting or reducing intensification in the area impact development capacity? </w:t>
      </w:r>
    </w:p>
    <w:p w14:paraId="04D988BE" w14:textId="1F40A77E" w:rsidR="00C0111D" w:rsidRPr="00C0111D" w:rsidRDefault="00C0111D" w:rsidP="00B4625A">
      <w:pPr>
        <w:pStyle w:val="Bullet"/>
      </w:pPr>
      <w:r w:rsidRPr="00C0111D">
        <w:t>What alternative to building height and density is appropriate without compromising the qualifying matter</w:t>
      </w:r>
      <w:r w:rsidR="00D60223">
        <w:t>?</w:t>
      </w:r>
      <w:r w:rsidR="00A31C99">
        <w:t xml:space="preserve"> </w:t>
      </w:r>
      <w:r w:rsidR="00D60223">
        <w:t>W</w:t>
      </w:r>
      <w:r w:rsidRPr="00C0111D">
        <w:t xml:space="preserve">hat are the options? </w:t>
      </w:r>
    </w:p>
    <w:p w14:paraId="285F8118" w14:textId="5F8DFD6E" w:rsidR="00C0111D" w:rsidRPr="00C0111D" w:rsidRDefault="00C0111D" w:rsidP="00B4625A">
      <w:pPr>
        <w:pStyle w:val="Bullet"/>
      </w:pPr>
      <w:r w:rsidRPr="00C0111D">
        <w:t xml:space="preserve">What are the trade-offs of not intensifying as directed? </w:t>
      </w:r>
    </w:p>
    <w:p w14:paraId="72E845AA" w14:textId="3EB12716" w:rsidR="00C0111D" w:rsidRPr="00C0111D" w:rsidRDefault="00D60223" w:rsidP="007F3426">
      <w:pPr>
        <w:pStyle w:val="BodyText"/>
      </w:pPr>
      <w:r>
        <w:t>Local authorities</w:t>
      </w:r>
      <w:r w:rsidR="00C0111D" w:rsidRPr="00C0111D">
        <w:t xml:space="preserve"> need to be mindful that just because a qualifying matter may apply or have been identified over a specific area, this does not mean intensification is inappropriate or should not be enabled. The level of intensification that may be enabled within areas where a qualifying matter applies may vary due to </w:t>
      </w:r>
      <w:r w:rsidR="009113AC">
        <w:t>site-specific</w:t>
      </w:r>
      <w:r w:rsidR="00C0111D" w:rsidRPr="00C0111D">
        <w:t xml:space="preserve"> factors. </w:t>
      </w:r>
      <w:r w:rsidR="00A77737">
        <w:t>S</w:t>
      </w:r>
      <w:r w:rsidR="00C0111D" w:rsidRPr="00C0111D">
        <w:t xml:space="preserve">everal different outcomes may be reached following the robust analysis and evaluation required under subpart 6, clause 3.33. For example: </w:t>
      </w:r>
    </w:p>
    <w:p w14:paraId="53C583B1" w14:textId="39039645" w:rsidR="00C0111D" w:rsidRPr="00C0111D" w:rsidRDefault="00A77737" w:rsidP="00B4625A">
      <w:pPr>
        <w:pStyle w:val="Bullet"/>
      </w:pPr>
      <w:r>
        <w:t>n</w:t>
      </w:r>
      <w:r w:rsidR="00C0111D" w:rsidRPr="00C0111D">
        <w:t xml:space="preserve">o intensification may be appropriate </w:t>
      </w:r>
    </w:p>
    <w:p w14:paraId="5B59FDBB" w14:textId="184D5843" w:rsidR="00C0111D" w:rsidRPr="00C0111D" w:rsidRDefault="00A77737" w:rsidP="00B4625A">
      <w:pPr>
        <w:pStyle w:val="Bullet"/>
      </w:pPr>
      <w:r>
        <w:t>i</w:t>
      </w:r>
      <w:r w:rsidR="00C0111D" w:rsidRPr="00C0111D">
        <w:t>ntensification as directed may not be achievable across the area but some intensification can be enabled</w:t>
      </w:r>
    </w:p>
    <w:p w14:paraId="2667E65F" w14:textId="05E2EBEA" w:rsidR="00C0111D" w:rsidRPr="00C0111D" w:rsidRDefault="00A77737" w:rsidP="00B4625A">
      <w:pPr>
        <w:pStyle w:val="Bullet"/>
      </w:pPr>
      <w:r>
        <w:lastRenderedPageBreak/>
        <w:t>a</w:t>
      </w:r>
      <w:r w:rsidR="00C0111D" w:rsidRPr="00C0111D">
        <w:t xml:space="preserve">reas within the </w:t>
      </w:r>
      <w:r>
        <w:t xml:space="preserve">extent of the </w:t>
      </w:r>
      <w:r w:rsidR="00C0111D" w:rsidRPr="00C0111D">
        <w:t xml:space="preserve">qualifying matter </w:t>
      </w:r>
      <w:r>
        <w:t>may</w:t>
      </w:r>
      <w:r w:rsidRPr="00C0111D">
        <w:t xml:space="preserve"> </w:t>
      </w:r>
      <w:r>
        <w:t xml:space="preserve">require lower </w:t>
      </w:r>
      <w:r w:rsidR="00C0111D" w:rsidRPr="00C0111D">
        <w:t xml:space="preserve">intensification requirements, </w:t>
      </w:r>
      <w:r>
        <w:t>whereas</w:t>
      </w:r>
      <w:r w:rsidRPr="00C0111D">
        <w:t xml:space="preserve"> </w:t>
      </w:r>
      <w:r>
        <w:t xml:space="preserve">intensification as directed by </w:t>
      </w:r>
      <w:r w:rsidR="0083012E">
        <w:t>P</w:t>
      </w:r>
      <w:r w:rsidR="00D82C06">
        <w:t>olicy 3</w:t>
      </w:r>
      <w:r>
        <w:t xml:space="preserve"> may be </w:t>
      </w:r>
      <w:r w:rsidR="00CA4909">
        <w:t>achievable</w:t>
      </w:r>
      <w:r>
        <w:t xml:space="preserve"> in </w:t>
      </w:r>
      <w:r w:rsidR="00C0111D" w:rsidRPr="00C0111D">
        <w:t xml:space="preserve">other sites within the wider spatial extent </w:t>
      </w:r>
      <w:r>
        <w:t>du</w:t>
      </w:r>
      <w:r w:rsidR="00C0111D" w:rsidRPr="00C0111D">
        <w:t xml:space="preserve">e to </w:t>
      </w:r>
      <w:r w:rsidR="009113AC">
        <w:t>site-specific</w:t>
      </w:r>
      <w:r w:rsidR="00C0111D" w:rsidRPr="00C0111D">
        <w:t xml:space="preserve"> factors</w:t>
      </w:r>
      <w:r w:rsidR="00CA4909">
        <w:t xml:space="preserve"> (eg, </w:t>
      </w:r>
      <w:r w:rsidR="00C0111D" w:rsidRPr="00C0111D">
        <w:t>topography</w:t>
      </w:r>
      <w:r w:rsidR="00CA4909">
        <w:t>)</w:t>
      </w:r>
      <w:r w:rsidR="00C0111D" w:rsidRPr="00C0111D">
        <w:t xml:space="preserve">. </w:t>
      </w:r>
    </w:p>
    <w:p w14:paraId="6CEAC125" w14:textId="32062200" w:rsidR="00C0111D" w:rsidRPr="00C0111D" w:rsidRDefault="00C0111D" w:rsidP="00B4625A">
      <w:pPr>
        <w:pStyle w:val="Heading3"/>
      </w:pPr>
      <w:bookmarkStart w:id="88" w:name="_Toc50720808"/>
      <w:r w:rsidRPr="00C0111D">
        <w:t>6.6.4</w:t>
      </w:r>
      <w:r w:rsidRPr="00C0111D">
        <w:tab/>
        <w:t xml:space="preserve">Qualifying </w:t>
      </w:r>
      <w:r w:rsidR="00A77737">
        <w:t>m</w:t>
      </w:r>
      <w:r w:rsidRPr="00C0111D">
        <w:t xml:space="preserve">atter (‘other matter’) – worked </w:t>
      </w:r>
      <w:r w:rsidR="00A77737">
        <w:t>e</w:t>
      </w:r>
      <w:r w:rsidRPr="00C0111D">
        <w:t>xample</w:t>
      </w:r>
      <w:bookmarkEnd w:id="88"/>
    </w:p>
    <w:p w14:paraId="05009790" w14:textId="118D599A" w:rsidR="00C0111D" w:rsidRDefault="002D7F9B" w:rsidP="002D7F9B">
      <w:pPr>
        <w:pStyle w:val="Figureheading"/>
      </w:pPr>
      <w:bookmarkStart w:id="89" w:name="_Toc51240502"/>
      <w:r>
        <w:t xml:space="preserve">Figure 16: </w:t>
      </w:r>
      <w:r>
        <w:tab/>
      </w:r>
      <w:r w:rsidR="00C0111D" w:rsidRPr="00B4625A">
        <w:t>S</w:t>
      </w:r>
      <w:r>
        <w:t>tep 1</w:t>
      </w:r>
      <w:r w:rsidR="002E3FCB">
        <w:t xml:space="preserve"> –</w:t>
      </w:r>
      <w:r>
        <w:t xml:space="preserve"> Identify the other qualifying matter</w:t>
      </w:r>
      <w:r w:rsidR="00A77737">
        <w:t xml:space="preserve"> or specific characteristic</w:t>
      </w:r>
      <w:bookmarkEnd w:id="89"/>
    </w:p>
    <w:p w14:paraId="02C3312E" w14:textId="48911C06" w:rsidR="00C0111D" w:rsidRPr="00C0111D" w:rsidRDefault="0070523B" w:rsidP="002D7F9B">
      <w:pPr>
        <w:pStyle w:val="Source"/>
      </w:pPr>
      <w:r>
        <w:rPr>
          <w:noProof/>
        </w:rPr>
        <w:drawing>
          <wp:anchor distT="0" distB="0" distL="114300" distR="114300" simplePos="0" relativeHeight="251694080" behindDoc="0" locked="0" layoutInCell="1" allowOverlap="1" wp14:anchorId="0F2766A0" wp14:editId="1EE020A8">
            <wp:simplePos x="0" y="0"/>
            <wp:positionH relativeFrom="column">
              <wp:posOffset>4445</wp:posOffset>
            </wp:positionH>
            <wp:positionV relativeFrom="paragraph">
              <wp:posOffset>75565</wp:posOffset>
            </wp:positionV>
            <wp:extent cx="3870000" cy="3862070"/>
            <wp:effectExtent l="0" t="0" r="0" b="508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 16- Step 1 Idenitfy the other qualifying matter...FINAL.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70000" cy="3862070"/>
                    </a:xfrm>
                    <a:prstGeom prst="rect">
                      <a:avLst/>
                    </a:prstGeom>
                  </pic:spPr>
                </pic:pic>
              </a:graphicData>
            </a:graphic>
            <wp14:sizeRelH relativeFrom="page">
              <wp14:pctWidth>0</wp14:pctWidth>
            </wp14:sizeRelH>
            <wp14:sizeRelV relativeFrom="page">
              <wp14:pctHeight>0</wp14:pctHeight>
            </wp14:sizeRelV>
          </wp:anchor>
        </w:drawing>
      </w:r>
      <w:r w:rsidR="00C0111D" w:rsidRPr="00C0111D">
        <w:t>Identify what the ‘other’ qualifying matter is – what is the specific characteristic</w:t>
      </w:r>
      <w:r w:rsidR="009113AC">
        <w:t>,</w:t>
      </w:r>
      <w:r w:rsidR="00C0111D" w:rsidRPr="00C0111D">
        <w:t xml:space="preserve"> </w:t>
      </w:r>
      <w:r w:rsidR="009113AC">
        <w:t>for example,</w:t>
      </w:r>
      <w:r w:rsidR="00C0111D" w:rsidRPr="00C0111D">
        <w:t xml:space="preserve"> view shaft, special character overlay that makes intensification as directed inappropriate.</w:t>
      </w:r>
    </w:p>
    <w:p w14:paraId="1542583A" w14:textId="5944F57D" w:rsidR="00C0111D" w:rsidRPr="00C0111D" w:rsidRDefault="00C0111D" w:rsidP="002D7F9B">
      <w:pPr>
        <w:pStyle w:val="Source"/>
      </w:pPr>
      <w:r w:rsidRPr="00C0111D">
        <w:t>Identify the area that the specific qualifying matter/specific characteristic applies</w:t>
      </w:r>
      <w:r w:rsidR="00553D29">
        <w:t xml:space="preserve">, for example, </w:t>
      </w:r>
      <w:r w:rsidRPr="00C0111D">
        <w:t>the spatial extent.</w:t>
      </w:r>
    </w:p>
    <w:p w14:paraId="2D3F6A7D" w14:textId="5568AAF6" w:rsidR="00C0111D" w:rsidRDefault="00C0111D" w:rsidP="002D7F9B">
      <w:pPr>
        <w:pStyle w:val="Source"/>
      </w:pPr>
      <w:r w:rsidRPr="00C0111D">
        <w:t>Justify and clearly demonstrate why the qualifying matter needs to be considered and why intensification in the specific area is inappropriate in light of the importance of urban development and the objectives of the NPS-UD.</w:t>
      </w:r>
    </w:p>
    <w:p w14:paraId="4A8B1CA1" w14:textId="43A2915B" w:rsidR="00B4625A" w:rsidRPr="00C0111D" w:rsidRDefault="00B4625A" w:rsidP="007F3426">
      <w:pPr>
        <w:pStyle w:val="BodyText"/>
      </w:pPr>
    </w:p>
    <w:p w14:paraId="2707181C" w14:textId="42593D7D" w:rsidR="00B4625A" w:rsidRDefault="002D7F9B" w:rsidP="002D7F9B">
      <w:pPr>
        <w:pStyle w:val="Figureheading"/>
      </w:pPr>
      <w:bookmarkStart w:id="90" w:name="_Toc51240503"/>
      <w:r>
        <w:lastRenderedPageBreak/>
        <w:t xml:space="preserve">Figure 17: </w:t>
      </w:r>
      <w:r w:rsidR="002E3FCB">
        <w:tab/>
      </w:r>
      <w:r w:rsidR="00C0111D" w:rsidRPr="002D7F9B">
        <w:t>Step 2</w:t>
      </w:r>
      <w:r w:rsidR="002E3FCB">
        <w:t xml:space="preserve"> – </w:t>
      </w:r>
      <w:r>
        <w:t xml:space="preserve">Undertake a site-specific analysis of all sites with the area that the qualifying </w:t>
      </w:r>
      <w:r w:rsidR="00A77737">
        <w:br/>
      </w:r>
      <w:r>
        <w:t>matter applies</w:t>
      </w:r>
      <w:bookmarkEnd w:id="90"/>
    </w:p>
    <w:p w14:paraId="33FEACA2" w14:textId="74518AEE" w:rsidR="00C0111D" w:rsidRPr="00C0111D" w:rsidRDefault="00F020AA" w:rsidP="00F020AA">
      <w:pPr>
        <w:pStyle w:val="Source"/>
      </w:pPr>
      <w:r>
        <w:rPr>
          <w:noProof/>
        </w:rPr>
        <w:drawing>
          <wp:anchor distT="0" distB="0" distL="114300" distR="114300" simplePos="0" relativeHeight="251695104" behindDoc="0" locked="0" layoutInCell="1" allowOverlap="1" wp14:anchorId="4EF53EC7" wp14:editId="7FDBB0FC">
            <wp:simplePos x="0" y="0"/>
            <wp:positionH relativeFrom="column">
              <wp:posOffset>4445</wp:posOffset>
            </wp:positionH>
            <wp:positionV relativeFrom="paragraph">
              <wp:posOffset>53975</wp:posOffset>
            </wp:positionV>
            <wp:extent cx="3718560" cy="3895725"/>
            <wp:effectExtent l="0" t="0" r="0"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 17 - Step 2 Undertake a site specific analysis...final.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18560" cy="3895725"/>
                    </a:xfrm>
                    <a:prstGeom prst="rect">
                      <a:avLst/>
                    </a:prstGeom>
                  </pic:spPr>
                </pic:pic>
              </a:graphicData>
            </a:graphic>
            <wp14:sizeRelH relativeFrom="page">
              <wp14:pctWidth>0</wp14:pctWidth>
            </wp14:sizeRelH>
            <wp14:sizeRelV relativeFrom="page">
              <wp14:pctHeight>0</wp14:pctHeight>
            </wp14:sizeRelV>
          </wp:anchor>
        </w:drawing>
      </w:r>
      <w:r w:rsidR="00B4625A">
        <w:t>Undertake a site-</w:t>
      </w:r>
      <w:r w:rsidR="00C0111D" w:rsidRPr="00C0111D">
        <w:t>specific analysis of all sites within the area that the qualifying matter applies.</w:t>
      </w:r>
    </w:p>
    <w:p w14:paraId="4C31999E" w14:textId="602317F7" w:rsidR="00C0111D" w:rsidRPr="00C0111D" w:rsidRDefault="00C0111D" w:rsidP="002D7F9B">
      <w:pPr>
        <w:pStyle w:val="Source"/>
      </w:pPr>
      <w:r w:rsidRPr="00C0111D">
        <w:t>Identify what the implications of enabling intensification as directed by Policy 3 would be.</w:t>
      </w:r>
    </w:p>
    <w:p w14:paraId="25DF2947" w14:textId="77777777" w:rsidR="00C0111D" w:rsidRPr="00C0111D" w:rsidRDefault="00C0111D" w:rsidP="002D7F9B">
      <w:pPr>
        <w:pStyle w:val="Source"/>
      </w:pPr>
      <w:r w:rsidRPr="00C0111D">
        <w:t>Evaluate how and why the qualifying matter applies to each individual site.</w:t>
      </w:r>
    </w:p>
    <w:p w14:paraId="7D3F4B53" w14:textId="77777777" w:rsidR="00C0111D" w:rsidRPr="00C0111D" w:rsidRDefault="00C0111D" w:rsidP="002D7F9B">
      <w:pPr>
        <w:pStyle w:val="Source"/>
      </w:pPr>
      <w:r w:rsidRPr="00C0111D">
        <w:t>Consider and clearly articulate the trade-offs of not enabling intensification as intended.</w:t>
      </w:r>
    </w:p>
    <w:p w14:paraId="0039BABF" w14:textId="381CEA81" w:rsidR="00C0111D" w:rsidRPr="00C0111D" w:rsidRDefault="00C0111D" w:rsidP="002D7F9B">
      <w:pPr>
        <w:pStyle w:val="Source"/>
      </w:pPr>
      <w:r w:rsidRPr="00C0111D">
        <w:t>Undertake a cost</w:t>
      </w:r>
      <w:r w:rsidR="00A77737">
        <w:t>-</w:t>
      </w:r>
      <w:r w:rsidRPr="00C0111D">
        <w:t>benefit analysis of a lower level of intensification.</w:t>
      </w:r>
    </w:p>
    <w:p w14:paraId="41BDF426" w14:textId="4440FDD9" w:rsidR="00C0111D" w:rsidRPr="00C0111D" w:rsidRDefault="00C0111D" w:rsidP="002D7F9B">
      <w:pPr>
        <w:pStyle w:val="Source"/>
      </w:pPr>
      <w:r w:rsidRPr="00C0111D">
        <w:t xml:space="preserve">Determine whether there are other mitigations or alternative approaches that </w:t>
      </w:r>
      <w:r w:rsidR="00A77737">
        <w:t>could</w:t>
      </w:r>
      <w:r w:rsidR="00A77737" w:rsidRPr="00C0111D">
        <w:t xml:space="preserve"> </w:t>
      </w:r>
      <w:r w:rsidRPr="00C0111D">
        <w:t>be put in place to avoid the need to reduce intensification.</w:t>
      </w:r>
    </w:p>
    <w:p w14:paraId="0EB66201" w14:textId="77777777" w:rsidR="00F020AA" w:rsidRDefault="00F020AA" w:rsidP="002E3FCB">
      <w:pPr>
        <w:pStyle w:val="Figureheading"/>
      </w:pPr>
      <w:bookmarkStart w:id="91" w:name="_Toc51240504"/>
    </w:p>
    <w:p w14:paraId="13DE14C7" w14:textId="37FA0C4B" w:rsidR="00B4625A" w:rsidRPr="002D7F9B" w:rsidRDefault="002E3FCB" w:rsidP="002E3FCB">
      <w:pPr>
        <w:pStyle w:val="Figureheading"/>
      </w:pPr>
      <w:r>
        <w:t xml:space="preserve">Figure 18: </w:t>
      </w:r>
      <w:r>
        <w:tab/>
      </w:r>
      <w:r w:rsidR="00C0111D" w:rsidRPr="002D7F9B">
        <w:t>Step 3</w:t>
      </w:r>
      <w:r>
        <w:t xml:space="preserve"> – Determine whether there are site-specific factors that may affect the level of intensification that can be realised eg, topography</w:t>
      </w:r>
      <w:bookmarkEnd w:id="91"/>
    </w:p>
    <w:p w14:paraId="17E3D77A" w14:textId="4B6F50A3" w:rsidR="00C0111D" w:rsidRPr="002D7F9B" w:rsidRDefault="00F020AA" w:rsidP="002D7F9B">
      <w:pPr>
        <w:pStyle w:val="Source"/>
        <w:rPr>
          <w:b/>
        </w:rPr>
      </w:pPr>
      <w:r>
        <w:rPr>
          <w:noProof/>
        </w:rPr>
        <w:drawing>
          <wp:anchor distT="0" distB="0" distL="114300" distR="114300" simplePos="0" relativeHeight="251696128" behindDoc="0" locked="0" layoutInCell="1" allowOverlap="1" wp14:anchorId="131C41F1" wp14:editId="1AE42736">
            <wp:simplePos x="0" y="0"/>
            <wp:positionH relativeFrom="column">
              <wp:posOffset>4445</wp:posOffset>
            </wp:positionH>
            <wp:positionV relativeFrom="paragraph">
              <wp:posOffset>73660</wp:posOffset>
            </wp:positionV>
            <wp:extent cx="3718800" cy="347487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 18 - Step 3 - Determine whether there are site specific factors that may affect FINAL.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18800" cy="3474870"/>
                    </a:xfrm>
                    <a:prstGeom prst="rect">
                      <a:avLst/>
                    </a:prstGeom>
                  </pic:spPr>
                </pic:pic>
              </a:graphicData>
            </a:graphic>
            <wp14:sizeRelH relativeFrom="page">
              <wp14:pctWidth>0</wp14:pctWidth>
            </wp14:sizeRelH>
            <wp14:sizeRelV relativeFrom="page">
              <wp14:pctHeight>0</wp14:pctHeight>
            </wp14:sizeRelV>
          </wp:anchor>
        </w:drawing>
      </w:r>
      <w:r w:rsidR="00C0111D" w:rsidRPr="00C0111D">
        <w:t xml:space="preserve">Determine whether there are </w:t>
      </w:r>
      <w:r w:rsidR="009113AC">
        <w:t>site-specific</w:t>
      </w:r>
      <w:r w:rsidR="00C0111D" w:rsidRPr="00C0111D">
        <w:t xml:space="preserve"> factors that may affect the level of intensification that can be realised</w:t>
      </w:r>
      <w:r w:rsidR="009113AC">
        <w:t>, for example,</w:t>
      </w:r>
      <w:r w:rsidR="00A77737">
        <w:t xml:space="preserve"> </w:t>
      </w:r>
      <w:r w:rsidR="00C0111D" w:rsidRPr="00C0111D">
        <w:t>topography.</w:t>
      </w:r>
    </w:p>
    <w:p w14:paraId="1ACE2C74" w14:textId="26BFCB8C" w:rsidR="00C0111D" w:rsidRPr="00C0111D" w:rsidRDefault="00C0111D" w:rsidP="002D7F9B">
      <w:pPr>
        <w:pStyle w:val="Source"/>
      </w:pPr>
      <w:r w:rsidRPr="00C0111D">
        <w:t xml:space="preserve">Evaluate a range of options for each site within the qualifying matter area to achieve the greatest heights and densities possible, while managing the specific qualifying matter – </w:t>
      </w:r>
      <w:r w:rsidR="009113AC">
        <w:t xml:space="preserve">for example, </w:t>
      </w:r>
      <w:r w:rsidR="00A77737">
        <w:t>determine</w:t>
      </w:r>
      <w:r w:rsidRPr="00C0111D">
        <w:t xml:space="preserve"> the different heights and densities that could be enabled without compromising the qualifying matter.</w:t>
      </w:r>
    </w:p>
    <w:p w14:paraId="5570E83C" w14:textId="77777777" w:rsidR="002D7F9B" w:rsidRDefault="002D7F9B" w:rsidP="007F3426">
      <w:pPr>
        <w:pStyle w:val="BodyText"/>
        <w:rPr>
          <w:b/>
        </w:rPr>
      </w:pPr>
    </w:p>
    <w:p w14:paraId="794E3499" w14:textId="77777777" w:rsidR="002D7F9B" w:rsidRDefault="002D7F9B" w:rsidP="002D7F9B">
      <w:pPr>
        <w:pStyle w:val="BodyText"/>
        <w:rPr>
          <w:b/>
          <w:sz w:val="32"/>
          <w:szCs w:val="32"/>
        </w:rPr>
      </w:pPr>
    </w:p>
    <w:p w14:paraId="191FD5D2" w14:textId="77777777" w:rsidR="002D7F9B" w:rsidRDefault="002D7F9B" w:rsidP="002D7F9B">
      <w:pPr>
        <w:pStyle w:val="BodyText"/>
        <w:rPr>
          <w:b/>
          <w:sz w:val="32"/>
          <w:szCs w:val="32"/>
        </w:rPr>
      </w:pPr>
    </w:p>
    <w:p w14:paraId="21D3E073" w14:textId="77777777" w:rsidR="002E3FCB" w:rsidRDefault="002E3FCB" w:rsidP="002D7F9B">
      <w:pPr>
        <w:pStyle w:val="BodyText"/>
        <w:rPr>
          <w:b/>
          <w:sz w:val="32"/>
          <w:szCs w:val="32"/>
        </w:rPr>
      </w:pPr>
    </w:p>
    <w:p w14:paraId="7E8B44B3" w14:textId="68A22AC0" w:rsidR="002D7F9B" w:rsidRDefault="002E3FCB" w:rsidP="002E3FCB">
      <w:pPr>
        <w:pStyle w:val="Figureheading"/>
      </w:pPr>
      <w:bookmarkStart w:id="92" w:name="_Toc51240505"/>
      <w:r>
        <w:lastRenderedPageBreak/>
        <w:t>Figure 19:</w:t>
      </w:r>
      <w:r>
        <w:tab/>
        <w:t>Step 4 – Determine and spatially identify</w:t>
      </w:r>
      <w:r w:rsidR="00A77737">
        <w:t xml:space="preserve"> </w:t>
      </w:r>
      <w:r w:rsidR="00FF0E56">
        <w:t xml:space="preserve">where the </w:t>
      </w:r>
      <w:r w:rsidR="00A77737">
        <w:t>qualifying matter</w:t>
      </w:r>
      <w:r w:rsidR="00FF0E56">
        <w:t xml:space="preserve"> applies</w:t>
      </w:r>
      <w:bookmarkEnd w:id="92"/>
      <w:r w:rsidR="00A77737">
        <w:t xml:space="preserve"> </w:t>
      </w:r>
    </w:p>
    <w:p w14:paraId="042A9974" w14:textId="257340C8" w:rsidR="00C0111D" w:rsidRPr="002D7F9B" w:rsidRDefault="0032640C" w:rsidP="002D7F9B">
      <w:pPr>
        <w:pStyle w:val="Source"/>
        <w:rPr>
          <w:b/>
          <w:sz w:val="32"/>
          <w:szCs w:val="32"/>
        </w:rPr>
      </w:pPr>
      <w:r>
        <w:rPr>
          <w:noProof/>
        </w:rPr>
        <w:drawing>
          <wp:anchor distT="0" distB="0" distL="114300" distR="114300" simplePos="0" relativeHeight="251697152" behindDoc="0" locked="0" layoutInCell="1" allowOverlap="1" wp14:anchorId="60C02811" wp14:editId="65C37A87">
            <wp:simplePos x="0" y="0"/>
            <wp:positionH relativeFrom="column">
              <wp:posOffset>4445</wp:posOffset>
            </wp:positionH>
            <wp:positionV relativeFrom="paragraph">
              <wp:posOffset>73660</wp:posOffset>
            </wp:positionV>
            <wp:extent cx="3718800" cy="3630247"/>
            <wp:effectExtent l="0" t="0" r="0" b="889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 19 - Step 4 Determine and spatially identify.final.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18800" cy="3630247"/>
                    </a:xfrm>
                    <a:prstGeom prst="rect">
                      <a:avLst/>
                    </a:prstGeom>
                  </pic:spPr>
                </pic:pic>
              </a:graphicData>
            </a:graphic>
            <wp14:sizeRelH relativeFrom="page">
              <wp14:pctWidth>0</wp14:pctWidth>
            </wp14:sizeRelH>
            <wp14:sizeRelV relativeFrom="page">
              <wp14:pctHeight>0</wp14:pctHeight>
            </wp14:sizeRelV>
          </wp:anchor>
        </w:drawing>
      </w:r>
      <w:r w:rsidR="00C0111D" w:rsidRPr="00C0111D">
        <w:t>Following the site</w:t>
      </w:r>
      <w:r w:rsidR="00B4625A">
        <w:t>-</w:t>
      </w:r>
      <w:r w:rsidR="00C0111D" w:rsidRPr="00C0111D">
        <w:t xml:space="preserve">specific assessments, determine and spatially identify: </w:t>
      </w:r>
    </w:p>
    <w:p w14:paraId="714D9855" w14:textId="08479DE5" w:rsidR="00C0111D" w:rsidRPr="00691422" w:rsidRDefault="00A77737" w:rsidP="00FF0E56">
      <w:pPr>
        <w:pStyle w:val="Bullet"/>
        <w:tabs>
          <w:tab w:val="clear" w:pos="397"/>
          <w:tab w:val="left" w:pos="6663"/>
        </w:tabs>
        <w:ind w:left="6663" w:hanging="6663"/>
        <w:rPr>
          <w:szCs w:val="18"/>
        </w:rPr>
      </w:pPr>
      <w:r>
        <w:rPr>
          <w:sz w:val="18"/>
          <w:szCs w:val="18"/>
        </w:rPr>
        <w:t>s</w:t>
      </w:r>
      <w:r w:rsidR="00C0111D" w:rsidRPr="00FF0E56">
        <w:rPr>
          <w:sz w:val="18"/>
          <w:szCs w:val="18"/>
        </w:rPr>
        <w:t>ites where the qualifying matter needs to apply and a lower level of intensification is required</w:t>
      </w:r>
    </w:p>
    <w:p w14:paraId="48D9E0A0" w14:textId="034E2DF1" w:rsidR="00C0111D" w:rsidRPr="00691422" w:rsidRDefault="00A77737" w:rsidP="00FF0E56">
      <w:pPr>
        <w:pStyle w:val="Bullet"/>
        <w:tabs>
          <w:tab w:val="clear" w:pos="397"/>
          <w:tab w:val="left" w:pos="6663"/>
        </w:tabs>
        <w:ind w:left="6663" w:hanging="6663"/>
        <w:rPr>
          <w:szCs w:val="18"/>
        </w:rPr>
      </w:pPr>
      <w:r>
        <w:rPr>
          <w:sz w:val="18"/>
          <w:szCs w:val="18"/>
        </w:rPr>
        <w:t>s</w:t>
      </w:r>
      <w:r w:rsidR="00C0111D" w:rsidRPr="00FF0E56">
        <w:rPr>
          <w:sz w:val="18"/>
          <w:szCs w:val="18"/>
        </w:rPr>
        <w:t xml:space="preserve">ites where the qualifying matter </w:t>
      </w:r>
      <w:r>
        <w:rPr>
          <w:sz w:val="18"/>
          <w:szCs w:val="18"/>
        </w:rPr>
        <w:t>does not apply</w:t>
      </w:r>
      <w:r w:rsidR="00C0111D" w:rsidRPr="00FF0E56">
        <w:rPr>
          <w:sz w:val="18"/>
          <w:szCs w:val="18"/>
        </w:rPr>
        <w:t xml:space="preserve"> to the site and intensification as directed can be enabled. </w:t>
      </w:r>
    </w:p>
    <w:p w14:paraId="698B3BC1" w14:textId="1D7DA055" w:rsidR="00C0111D" w:rsidRPr="00C0111D" w:rsidRDefault="00C0111D" w:rsidP="002D7F9B">
      <w:pPr>
        <w:pStyle w:val="Source"/>
      </w:pPr>
      <w:r w:rsidRPr="00C0111D">
        <w:t>The detailed assessment may result in local authorities wishing to remove or reduce the extent of the specific matter</w:t>
      </w:r>
      <w:r w:rsidR="00A77737">
        <w:t xml:space="preserve">, </w:t>
      </w:r>
      <w:r w:rsidR="009113AC">
        <w:t>for example,</w:t>
      </w:r>
      <w:r w:rsidRPr="00C0111D">
        <w:t xml:space="preserve"> viewshaft or special character areas, to enable intensification as directed</w:t>
      </w:r>
      <w:r w:rsidR="00A77737">
        <w:t>,</w:t>
      </w:r>
      <w:r w:rsidRPr="00C0111D">
        <w:t xml:space="preserve"> if appropriate. </w:t>
      </w:r>
    </w:p>
    <w:p w14:paraId="6CBDAD70" w14:textId="77777777" w:rsidR="002D7F9B" w:rsidRDefault="002D7F9B" w:rsidP="007F3426">
      <w:pPr>
        <w:pStyle w:val="BodyText"/>
        <w:rPr>
          <w:b/>
          <w:sz w:val="28"/>
          <w:szCs w:val="28"/>
        </w:rPr>
      </w:pPr>
    </w:p>
    <w:p w14:paraId="6CC1AF14" w14:textId="77777777" w:rsidR="0032640C" w:rsidRDefault="0032640C" w:rsidP="002E3FCB">
      <w:pPr>
        <w:pStyle w:val="Figureheading"/>
      </w:pPr>
      <w:bookmarkStart w:id="93" w:name="_Toc51240506"/>
    </w:p>
    <w:p w14:paraId="3D6AB3EF" w14:textId="66447ECF" w:rsidR="00B4625A" w:rsidRPr="002D7F9B" w:rsidRDefault="002E3FCB" w:rsidP="002E3FCB">
      <w:pPr>
        <w:pStyle w:val="Figureheading"/>
      </w:pPr>
      <w:r>
        <w:t>Figure 20:</w:t>
      </w:r>
      <w:r>
        <w:tab/>
      </w:r>
      <w:r w:rsidR="00C0111D" w:rsidRPr="002D7F9B">
        <w:t>Step 5</w:t>
      </w:r>
      <w:r>
        <w:t xml:space="preserve"> – Enable intensification to the extent appropriate while managing the specific characteristic of the qualifying matter</w:t>
      </w:r>
      <w:bookmarkEnd w:id="93"/>
    </w:p>
    <w:p w14:paraId="5E61B96F" w14:textId="6B963B20" w:rsidR="00C0111D" w:rsidRPr="00C0111D" w:rsidRDefault="0032640C" w:rsidP="002E3FCB">
      <w:pPr>
        <w:pStyle w:val="Source"/>
      </w:pPr>
      <w:r>
        <w:rPr>
          <w:noProof/>
        </w:rPr>
        <w:drawing>
          <wp:anchor distT="0" distB="0" distL="114300" distR="114300" simplePos="0" relativeHeight="251698176" behindDoc="0" locked="0" layoutInCell="1" allowOverlap="1" wp14:anchorId="4BFA9912" wp14:editId="109C53C6">
            <wp:simplePos x="0" y="0"/>
            <wp:positionH relativeFrom="column">
              <wp:posOffset>4445</wp:posOffset>
            </wp:positionH>
            <wp:positionV relativeFrom="paragraph">
              <wp:posOffset>78740</wp:posOffset>
            </wp:positionV>
            <wp:extent cx="3718800" cy="3701991"/>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e 20 - Step 5 - Enable intensification to the extent appropriateFINA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18800" cy="3701991"/>
                    </a:xfrm>
                    <a:prstGeom prst="rect">
                      <a:avLst/>
                    </a:prstGeom>
                  </pic:spPr>
                </pic:pic>
              </a:graphicData>
            </a:graphic>
            <wp14:sizeRelH relativeFrom="page">
              <wp14:pctWidth>0</wp14:pctWidth>
            </wp14:sizeRelH>
            <wp14:sizeRelV relativeFrom="page">
              <wp14:pctHeight>0</wp14:pctHeight>
            </wp14:sizeRelV>
          </wp:anchor>
        </w:drawing>
      </w:r>
      <w:r w:rsidR="00C0111D" w:rsidRPr="00C0111D">
        <w:t>Enable intensification to the extent appropriate while managing the specific characteristic of the qualifying matter.</w:t>
      </w:r>
    </w:p>
    <w:p w14:paraId="6613CC83" w14:textId="77777777" w:rsidR="00C0111D" w:rsidRPr="00C0111D" w:rsidRDefault="00C0111D" w:rsidP="002E3FCB">
      <w:pPr>
        <w:pStyle w:val="Source"/>
      </w:pPr>
      <w:r w:rsidRPr="00C0111D">
        <w:t>This might mean that areas within the spatial extent covered by the qualifying matter have different levels of intensification enabled.</w:t>
      </w:r>
    </w:p>
    <w:p w14:paraId="20999ABA" w14:textId="3E48F965" w:rsidR="00B4625A" w:rsidRDefault="00B4625A">
      <w:pPr>
        <w:spacing w:before="0" w:after="200" w:line="276" w:lineRule="auto"/>
        <w:jc w:val="left"/>
      </w:pPr>
      <w:r>
        <w:br w:type="page"/>
      </w:r>
    </w:p>
    <w:p w14:paraId="109460D3" w14:textId="77777777" w:rsidR="00C0111D" w:rsidRPr="00C0111D" w:rsidRDefault="00C0111D" w:rsidP="007F3426">
      <w:pPr>
        <w:pStyle w:val="BodyText"/>
      </w:pPr>
    </w:p>
    <w:p w14:paraId="3FD1A2F1" w14:textId="067C2148" w:rsidR="00C0111D" w:rsidRPr="00C0111D" w:rsidRDefault="00C0111D" w:rsidP="000D494E">
      <w:pPr>
        <w:pStyle w:val="Heading1"/>
        <w:numPr>
          <w:ilvl w:val="0"/>
          <w:numId w:val="22"/>
        </w:numPr>
        <w:ind w:left="851" w:hanging="851"/>
      </w:pPr>
      <w:bookmarkStart w:id="94" w:name="_Toc50720809"/>
      <w:r w:rsidRPr="00C0111D">
        <w:t>Full worked example of applying intensification provisions to determine heights or densities</w:t>
      </w:r>
      <w:bookmarkEnd w:id="94"/>
    </w:p>
    <w:p w14:paraId="6864DB6E" w14:textId="7B6DF347" w:rsidR="00C0111D" w:rsidRPr="00C0111D" w:rsidRDefault="00C0111D" w:rsidP="007F3426">
      <w:pPr>
        <w:pStyle w:val="BodyText"/>
      </w:pPr>
      <w:r w:rsidRPr="00C0111D">
        <w:t xml:space="preserve">This section of the guide </w:t>
      </w:r>
      <w:r w:rsidR="00E7506D">
        <w:t>takes</w:t>
      </w:r>
      <w:r w:rsidR="00E7506D" w:rsidRPr="00C0111D">
        <w:t xml:space="preserve"> </w:t>
      </w:r>
      <w:r w:rsidR="00E7506D">
        <w:t xml:space="preserve">you </w:t>
      </w:r>
      <w:r w:rsidRPr="00C0111D">
        <w:t xml:space="preserve">through an example to show how </w:t>
      </w:r>
      <w:r w:rsidR="00E7506D">
        <w:t xml:space="preserve">you need to consider </w:t>
      </w:r>
      <w:r w:rsidRPr="00C0111D">
        <w:t>the requirements of the intensification provisions</w:t>
      </w:r>
      <w:r w:rsidR="00E7506D">
        <w:t>. The example shows</w:t>
      </w:r>
      <w:r w:rsidRPr="00C0111D">
        <w:t xml:space="preserve"> how </w:t>
      </w:r>
      <w:r w:rsidR="00E7506D">
        <w:t>you could apply the provisions</w:t>
      </w:r>
      <w:r w:rsidR="00E7506D" w:rsidRPr="00C0111D">
        <w:t xml:space="preserve"> </w:t>
      </w:r>
      <w:r w:rsidRPr="00C0111D">
        <w:t xml:space="preserve">to determine heights and densities in and around a metropolitan centre </w:t>
      </w:r>
      <w:r w:rsidR="00E7506D">
        <w:t>with</w:t>
      </w:r>
      <w:r w:rsidRPr="00C0111D">
        <w:t xml:space="preserve"> a rapid transit stop</w:t>
      </w:r>
      <w:r w:rsidR="00085E3A">
        <w:t xml:space="preserve"> and</w:t>
      </w:r>
      <w:r w:rsidRPr="00C0111D">
        <w:t xml:space="preserve"> how this could translate to a zoning pattern.</w:t>
      </w:r>
    </w:p>
    <w:p w14:paraId="4FD64B6C" w14:textId="0D7FE843" w:rsidR="00E7506D" w:rsidRDefault="00E7506D" w:rsidP="007F3426">
      <w:pPr>
        <w:pStyle w:val="BodyText"/>
      </w:pPr>
      <w:r>
        <w:t>T</w:t>
      </w:r>
      <w:r w:rsidR="00C0111D" w:rsidRPr="00C0111D">
        <w:t xml:space="preserve">here will be other factors beyond the ones shown </w:t>
      </w:r>
      <w:r>
        <w:t xml:space="preserve">in this example you may </w:t>
      </w:r>
      <w:r w:rsidR="00C0111D" w:rsidRPr="00C0111D">
        <w:t>need to conside</w:t>
      </w:r>
      <w:r>
        <w:t>r</w:t>
      </w:r>
      <w:r w:rsidR="00C0111D" w:rsidRPr="00C0111D">
        <w:t xml:space="preserve"> in zoning an area, including </w:t>
      </w:r>
      <w:r>
        <w:t>applying</w:t>
      </w:r>
      <w:r w:rsidR="00C0111D" w:rsidRPr="00C0111D">
        <w:t xml:space="preserve"> other provisions from the NPS-UD. This example presumes that open space and special zoning remain the same, while all other zones may be changed </w:t>
      </w:r>
      <w:r>
        <w:t>through applying</w:t>
      </w:r>
      <w:r w:rsidR="00C0111D" w:rsidRPr="00C0111D">
        <w:t xml:space="preserve"> the intensification provisions. This is reflected in the </w:t>
      </w:r>
      <w:r>
        <w:t>map figures</w:t>
      </w:r>
      <w:r w:rsidR="00C0111D" w:rsidRPr="00C0111D">
        <w:t xml:space="preserve">. </w:t>
      </w:r>
    </w:p>
    <w:p w14:paraId="3D94B2C4" w14:textId="3801EE8D" w:rsidR="00E7506D" w:rsidRDefault="00E7506D" w:rsidP="007F3426">
      <w:pPr>
        <w:pStyle w:val="BodyText"/>
      </w:pPr>
      <w:r>
        <w:t xml:space="preserve">Figure 21 below is a </w:t>
      </w:r>
      <w:r w:rsidR="00C0111D" w:rsidRPr="00C0111D">
        <w:t xml:space="preserve">legend </w:t>
      </w:r>
      <w:r>
        <w:t>for</w:t>
      </w:r>
      <w:r w:rsidRPr="00C0111D">
        <w:t xml:space="preserve"> </w:t>
      </w:r>
      <w:r w:rsidR="00C0111D" w:rsidRPr="00C0111D">
        <w:t>the maps</w:t>
      </w:r>
      <w:r>
        <w:t xml:space="preserve"> and aspects </w:t>
      </w:r>
      <w:r w:rsidR="00C0111D" w:rsidRPr="00C0111D">
        <w:t xml:space="preserve">common to many of the figures in this section. </w:t>
      </w:r>
      <w:r>
        <w:t>Any additional features that you should note are shown</w:t>
      </w:r>
      <w:r w:rsidR="00C0111D" w:rsidRPr="00C0111D">
        <w:t xml:space="preserve"> in the legend for </w:t>
      </w:r>
      <w:r>
        <w:t>each</w:t>
      </w:r>
      <w:r w:rsidRPr="00C0111D">
        <w:t xml:space="preserve"> </w:t>
      </w:r>
      <w:r w:rsidR="00C0111D" w:rsidRPr="00C0111D">
        <w:t xml:space="preserve">individual map. </w:t>
      </w:r>
    </w:p>
    <w:p w14:paraId="0042E9AD" w14:textId="422BBF3E" w:rsidR="00C0111D" w:rsidRPr="00C0111D" w:rsidRDefault="00C0111D" w:rsidP="007F3426">
      <w:pPr>
        <w:pStyle w:val="BodyText"/>
      </w:pPr>
      <w:r w:rsidRPr="00C0111D">
        <w:t xml:space="preserve">The example uses the standard zones set out in </w:t>
      </w:r>
      <w:r w:rsidR="00195CE4">
        <w:t xml:space="preserve">the </w:t>
      </w:r>
      <w:r w:rsidR="00FF0E56">
        <w:t>n</w:t>
      </w:r>
      <w:r w:rsidR="00E7506D">
        <w:t xml:space="preserve">ational </w:t>
      </w:r>
      <w:r w:rsidR="00FF0E56">
        <w:t>p</w:t>
      </w:r>
      <w:r w:rsidR="00E7506D">
        <w:t xml:space="preserve">lanning </w:t>
      </w:r>
      <w:r w:rsidR="00FF0E56">
        <w:t>s</w:t>
      </w:r>
      <w:r w:rsidR="00195CE4">
        <w:t>tandards</w:t>
      </w:r>
      <w:r w:rsidRPr="00C0111D">
        <w:t>.</w:t>
      </w:r>
    </w:p>
    <w:p w14:paraId="220B35BE" w14:textId="6E5CC647" w:rsidR="00C0111D" w:rsidRPr="00C0111D" w:rsidRDefault="002E3FCB" w:rsidP="00B4625A">
      <w:pPr>
        <w:pStyle w:val="Figureheading"/>
      </w:pPr>
      <w:bookmarkStart w:id="95" w:name="_Toc51240507"/>
      <w:r>
        <w:t>Figure 21</w:t>
      </w:r>
      <w:r w:rsidR="00C0111D" w:rsidRPr="00C0111D">
        <w:t xml:space="preserve">: </w:t>
      </w:r>
      <w:r w:rsidR="00B4625A">
        <w:tab/>
      </w:r>
      <w:r w:rsidR="00C0111D" w:rsidRPr="00C0111D">
        <w:t>Legend/key for diagrams</w:t>
      </w:r>
      <w:bookmarkEnd w:id="95"/>
    </w:p>
    <w:p w14:paraId="23196DBA" w14:textId="3138B107" w:rsidR="00C0111D" w:rsidRPr="00C0111D" w:rsidRDefault="00C0111D" w:rsidP="007F3426">
      <w:pPr>
        <w:pStyle w:val="BodyText"/>
      </w:pPr>
      <w:r w:rsidRPr="00C0111D">
        <w:t xml:space="preserve"> </w:t>
      </w:r>
      <w:r w:rsidR="00B4625A">
        <w:rPr>
          <w:noProof/>
        </w:rPr>
        <w:drawing>
          <wp:inline distT="0" distB="0" distL="0" distR="0" wp14:anchorId="66EC3900" wp14:editId="0F539E94">
            <wp:extent cx="5434642" cy="25273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l="1807" t="3830" r="3332" b="2615"/>
                    <a:stretch/>
                  </pic:blipFill>
                  <pic:spPr bwMode="auto">
                    <a:xfrm>
                      <a:off x="0" y="0"/>
                      <a:ext cx="5436962" cy="2528379"/>
                    </a:xfrm>
                    <a:prstGeom prst="rect">
                      <a:avLst/>
                    </a:prstGeom>
                    <a:ln>
                      <a:noFill/>
                    </a:ln>
                    <a:extLst>
                      <a:ext uri="{53640926-AAD7-44D8-BBD7-CCE9431645EC}">
                        <a14:shadowObscured xmlns:a14="http://schemas.microsoft.com/office/drawing/2010/main"/>
                      </a:ext>
                    </a:extLst>
                  </pic:spPr>
                </pic:pic>
              </a:graphicData>
            </a:graphic>
          </wp:inline>
        </w:drawing>
      </w:r>
    </w:p>
    <w:p w14:paraId="4475F1CC" w14:textId="5CF49895" w:rsidR="00B4625A" w:rsidRDefault="00B86047" w:rsidP="00B86047">
      <w:pPr>
        <w:pStyle w:val="Figureheading"/>
      </w:pPr>
      <w:bookmarkStart w:id="96" w:name="_Toc51240508"/>
      <w:r>
        <w:lastRenderedPageBreak/>
        <w:t xml:space="preserve">Figure </w:t>
      </w:r>
      <w:r w:rsidR="002E3FCB">
        <w:t>22</w:t>
      </w:r>
      <w:r>
        <w:t>:</w:t>
      </w:r>
      <w:r>
        <w:tab/>
        <w:t>Current zoning pattern for a metropolitan centre that includes a rapid transit stop</w:t>
      </w:r>
      <w:bookmarkEnd w:id="96"/>
      <w:r w:rsidRPr="00C0111D">
        <w:t xml:space="preserve"> </w:t>
      </w:r>
    </w:p>
    <w:p w14:paraId="4724A412" w14:textId="5BF45431" w:rsidR="00C0111D" w:rsidRPr="00B86047" w:rsidRDefault="00B4625A" w:rsidP="00B86047">
      <w:pPr>
        <w:pStyle w:val="Source"/>
      </w:pPr>
      <w:r>
        <w:rPr>
          <w:noProof/>
        </w:rPr>
        <w:drawing>
          <wp:anchor distT="0" distB="0" distL="114300" distR="114300" simplePos="0" relativeHeight="251674624" behindDoc="0" locked="0" layoutInCell="1" allowOverlap="1" wp14:anchorId="3AF31BCF" wp14:editId="30D7AF0C">
            <wp:simplePos x="0" y="0"/>
            <wp:positionH relativeFrom="column">
              <wp:posOffset>4445</wp:posOffset>
            </wp:positionH>
            <wp:positionV relativeFrom="paragraph">
              <wp:posOffset>54610</wp:posOffset>
            </wp:positionV>
            <wp:extent cx="3870000" cy="3808258"/>
            <wp:effectExtent l="0" t="0" r="0" b="1905"/>
            <wp:wrapSquare wrapText="bothSides"/>
            <wp:docPr id="28" name="Picture 2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44">
                      <a:extLst>
                        <a:ext uri="{28A0092B-C50C-407E-A947-70E740481C1C}">
                          <a14:useLocalDpi xmlns:a14="http://schemas.microsoft.com/office/drawing/2010/main" val="0"/>
                        </a:ext>
                      </a:extLst>
                    </a:blip>
                    <a:stretch>
                      <a:fillRect/>
                    </a:stretch>
                  </pic:blipFill>
                  <pic:spPr>
                    <a:xfrm>
                      <a:off x="0" y="0"/>
                      <a:ext cx="3870000" cy="3808258"/>
                    </a:xfrm>
                    <a:prstGeom prst="rect">
                      <a:avLst/>
                    </a:prstGeom>
                  </pic:spPr>
                </pic:pic>
              </a:graphicData>
            </a:graphic>
            <wp14:sizeRelH relativeFrom="page">
              <wp14:pctWidth>0</wp14:pctWidth>
            </wp14:sizeRelH>
            <wp14:sizeRelV relativeFrom="page">
              <wp14:pctHeight>0</wp14:pctHeight>
            </wp14:sizeRelV>
          </wp:anchor>
        </w:drawing>
      </w:r>
      <w:r w:rsidR="00E7506D">
        <w:t>In this example, c</w:t>
      </w:r>
      <w:r w:rsidR="00C0111D" w:rsidRPr="00B86047">
        <w:t>urrent metropolitan centre zoning is surrounded by mixed</w:t>
      </w:r>
      <w:r w:rsidR="00E7506D">
        <w:t>-</w:t>
      </w:r>
      <w:r w:rsidR="00C0111D" w:rsidRPr="00B86047">
        <w:t>use zoning</w:t>
      </w:r>
      <w:r w:rsidR="00085E3A">
        <w:t xml:space="preserve"> and</w:t>
      </w:r>
      <w:r w:rsidR="00C0111D" w:rsidRPr="00B86047">
        <w:t xml:space="preserve"> large format retail, which is further surrounded by areas of a high</w:t>
      </w:r>
      <w:r w:rsidR="00E7506D">
        <w:t>-</w:t>
      </w:r>
      <w:r w:rsidR="00C0111D" w:rsidRPr="00B86047">
        <w:t>density</w:t>
      </w:r>
      <w:r w:rsidR="00E7506D">
        <w:t>,</w:t>
      </w:r>
      <w:r w:rsidR="00C0111D" w:rsidRPr="00B86047">
        <w:t xml:space="preserve"> residential zone. Most of the urban area in this example is currently zoned low</w:t>
      </w:r>
      <w:r w:rsidR="00E7506D">
        <w:t>-</w:t>
      </w:r>
      <w:r w:rsidR="00C0111D" w:rsidRPr="00B86047">
        <w:t>density</w:t>
      </w:r>
      <w:r w:rsidR="00E7506D">
        <w:t>,</w:t>
      </w:r>
      <w:r w:rsidR="00C0111D" w:rsidRPr="00B86047">
        <w:t xml:space="preserve"> residential zone.</w:t>
      </w:r>
    </w:p>
    <w:p w14:paraId="63B7283F" w14:textId="622D89E5" w:rsidR="00C0111D" w:rsidRPr="00B86047" w:rsidRDefault="00C0111D" w:rsidP="00B86047">
      <w:pPr>
        <w:pStyle w:val="Source"/>
      </w:pPr>
      <w:r w:rsidRPr="00B86047">
        <w:t xml:space="preserve">As part of applying the intensification provisions, the location of all of these zones </w:t>
      </w:r>
      <w:r w:rsidR="00E7506D">
        <w:t>would</w:t>
      </w:r>
      <w:r w:rsidR="00E7506D" w:rsidRPr="00B86047">
        <w:t xml:space="preserve"> </w:t>
      </w:r>
      <w:r w:rsidRPr="00B86047">
        <w:t>need to be reviewed.</w:t>
      </w:r>
    </w:p>
    <w:p w14:paraId="048FDBB9" w14:textId="1E02F327" w:rsidR="00C0111D" w:rsidRPr="00C0111D" w:rsidRDefault="00C0111D" w:rsidP="007F3426">
      <w:pPr>
        <w:pStyle w:val="BodyText"/>
      </w:pPr>
    </w:p>
    <w:p w14:paraId="1DECEBBA" w14:textId="49972CB6" w:rsidR="00C0111D" w:rsidRPr="00C0111D" w:rsidRDefault="00C0111D" w:rsidP="007F3426">
      <w:pPr>
        <w:pStyle w:val="BodyText"/>
      </w:pPr>
    </w:p>
    <w:p w14:paraId="301129C0" w14:textId="63E1722A" w:rsidR="00B86047" w:rsidRDefault="00B86047" w:rsidP="00B86047">
      <w:pPr>
        <w:pStyle w:val="Figureheading"/>
      </w:pPr>
    </w:p>
    <w:p w14:paraId="046A5045" w14:textId="648DB74E" w:rsidR="00B86047" w:rsidRDefault="00B86047" w:rsidP="00B86047">
      <w:pPr>
        <w:pStyle w:val="Figureheading"/>
      </w:pPr>
    </w:p>
    <w:p w14:paraId="0FAD2AA4" w14:textId="7A5749F7" w:rsidR="00B86047" w:rsidRDefault="00B86047" w:rsidP="00B86047">
      <w:pPr>
        <w:pStyle w:val="Figureheading"/>
      </w:pPr>
    </w:p>
    <w:p w14:paraId="452BCBC2" w14:textId="075491B8" w:rsidR="00B86047" w:rsidRDefault="002E3FCB" w:rsidP="00B86047">
      <w:pPr>
        <w:pStyle w:val="Figureheading"/>
      </w:pPr>
      <w:bookmarkStart w:id="97" w:name="_Toc51240509"/>
      <w:r>
        <w:t>Figure 23</w:t>
      </w:r>
      <w:r w:rsidR="00B86047">
        <w:t>:</w:t>
      </w:r>
      <w:r w:rsidR="00B86047">
        <w:tab/>
      </w:r>
      <w:r w:rsidR="00C0111D" w:rsidRPr="00C0111D">
        <w:t xml:space="preserve">Determine </w:t>
      </w:r>
      <w:r w:rsidR="00534382">
        <w:t xml:space="preserve">the extent of the </w:t>
      </w:r>
      <w:r w:rsidR="00C0111D" w:rsidRPr="00C0111D">
        <w:t>metropolitan centre zon</w:t>
      </w:r>
      <w:r w:rsidR="00534382">
        <w:t>e</w:t>
      </w:r>
      <w:bookmarkEnd w:id="97"/>
      <w:r w:rsidR="00534382">
        <w:t xml:space="preserve"> </w:t>
      </w:r>
    </w:p>
    <w:p w14:paraId="3CB14191" w14:textId="2FB775DA" w:rsidR="00C0111D" w:rsidRPr="00B86047" w:rsidRDefault="00952DCC" w:rsidP="00B86047">
      <w:pPr>
        <w:pStyle w:val="Source"/>
      </w:pPr>
      <w:r>
        <w:rPr>
          <w:noProof/>
        </w:rPr>
        <w:drawing>
          <wp:anchor distT="0" distB="0" distL="114300" distR="114300" simplePos="0" relativeHeight="251707392" behindDoc="0" locked="0" layoutInCell="1" allowOverlap="1" wp14:anchorId="2C30FA1F" wp14:editId="6DF84D80">
            <wp:simplePos x="0" y="0"/>
            <wp:positionH relativeFrom="column">
              <wp:posOffset>7620</wp:posOffset>
            </wp:positionH>
            <wp:positionV relativeFrom="paragraph">
              <wp:posOffset>105410</wp:posOffset>
            </wp:positionV>
            <wp:extent cx="3870000" cy="3808258"/>
            <wp:effectExtent l="0" t="0" r="0" b="1905"/>
            <wp:wrapSquare wrapText="bothSides"/>
            <wp:docPr id="16" name="Picture 1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45">
                      <a:extLst>
                        <a:ext uri="{28A0092B-C50C-407E-A947-70E740481C1C}">
                          <a14:useLocalDpi xmlns:a14="http://schemas.microsoft.com/office/drawing/2010/main" val="0"/>
                        </a:ext>
                      </a:extLst>
                    </a:blip>
                    <a:stretch>
                      <a:fillRect/>
                    </a:stretch>
                  </pic:blipFill>
                  <pic:spPr>
                    <a:xfrm>
                      <a:off x="0" y="0"/>
                      <a:ext cx="3870000" cy="3808258"/>
                    </a:xfrm>
                    <a:prstGeom prst="rect">
                      <a:avLst/>
                    </a:prstGeom>
                  </pic:spPr>
                </pic:pic>
              </a:graphicData>
            </a:graphic>
            <wp14:sizeRelH relativeFrom="page">
              <wp14:pctWidth>0</wp14:pctWidth>
            </wp14:sizeRelH>
            <wp14:sizeRelV relativeFrom="page">
              <wp14:pctHeight>0</wp14:pctHeight>
            </wp14:sizeRelV>
          </wp:anchor>
        </w:drawing>
      </w:r>
      <w:r w:rsidR="0032640C">
        <w:rPr>
          <w:noProof/>
        </w:rPr>
        <w:drawing>
          <wp:anchor distT="0" distB="0" distL="114300" distR="114300" simplePos="0" relativeHeight="251699200" behindDoc="0" locked="0" layoutInCell="1" allowOverlap="1" wp14:anchorId="01AC28BC" wp14:editId="0E6F85E1">
            <wp:simplePos x="0" y="0"/>
            <wp:positionH relativeFrom="column">
              <wp:posOffset>4679</wp:posOffset>
            </wp:positionH>
            <wp:positionV relativeFrom="paragraph">
              <wp:posOffset>105410</wp:posOffset>
            </wp:positionV>
            <wp:extent cx="3870000" cy="3705746"/>
            <wp:effectExtent l="0" t="0" r="0"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 23 - Determine the extent of the metropolitan centre zone final.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70000" cy="3705746"/>
                    </a:xfrm>
                    <a:prstGeom prst="rect">
                      <a:avLst/>
                    </a:prstGeom>
                  </pic:spPr>
                </pic:pic>
              </a:graphicData>
            </a:graphic>
            <wp14:sizeRelH relativeFrom="page">
              <wp14:pctWidth>0</wp14:pctWidth>
            </wp14:sizeRelH>
            <wp14:sizeRelV relativeFrom="page">
              <wp14:pctHeight>0</wp14:pctHeight>
            </wp14:sizeRelV>
          </wp:anchor>
        </w:drawing>
      </w:r>
      <w:r w:rsidR="00C0111D" w:rsidRPr="00B86047">
        <w:t xml:space="preserve">In this example, </w:t>
      </w:r>
      <w:r w:rsidR="00E7506D">
        <w:t xml:space="preserve">a </w:t>
      </w:r>
      <w:r w:rsidR="00C0111D" w:rsidRPr="00B86047">
        <w:t>review of the extent of the metropolitan centre zone was undertaken</w:t>
      </w:r>
      <w:r w:rsidR="00E7506D">
        <w:t>. I</w:t>
      </w:r>
      <w:r w:rsidR="00C0111D" w:rsidRPr="00B86047">
        <w:t>t was decided it was appropriate to make the zone larger to accommodate demand.</w:t>
      </w:r>
    </w:p>
    <w:p w14:paraId="772D22D3" w14:textId="6347A0AB" w:rsidR="00C0111D" w:rsidRPr="00B86047" w:rsidRDefault="002E3FCB" w:rsidP="00B86047">
      <w:pPr>
        <w:pStyle w:val="Figureheading"/>
      </w:pPr>
      <w:bookmarkStart w:id="98" w:name="_Toc51240510"/>
      <w:r>
        <w:lastRenderedPageBreak/>
        <w:t>Figure 24</w:t>
      </w:r>
      <w:r w:rsidR="00B86047">
        <w:t>:</w:t>
      </w:r>
      <w:r w:rsidR="00B86047">
        <w:tab/>
      </w:r>
      <w:r w:rsidR="00C0111D" w:rsidRPr="00B86047">
        <w:t>Walkable catchment from edge of metropolitan centre zone</w:t>
      </w:r>
      <w:bookmarkEnd w:id="98"/>
      <w:r w:rsidR="00C0111D" w:rsidRPr="00B86047">
        <w:tab/>
      </w:r>
    </w:p>
    <w:p w14:paraId="199DFFFA" w14:textId="64DAD6DA" w:rsidR="00C0111D" w:rsidRPr="00B86047" w:rsidRDefault="00952DCC" w:rsidP="00B86047">
      <w:pPr>
        <w:pStyle w:val="Source"/>
      </w:pPr>
      <w:r>
        <w:rPr>
          <w:noProof/>
        </w:rPr>
        <w:drawing>
          <wp:anchor distT="0" distB="0" distL="114300" distR="114300" simplePos="0" relativeHeight="251705344" behindDoc="0" locked="0" layoutInCell="1" allowOverlap="1" wp14:anchorId="34E9DA85" wp14:editId="7C5E45A2">
            <wp:simplePos x="0" y="0"/>
            <wp:positionH relativeFrom="column">
              <wp:posOffset>7620</wp:posOffset>
            </wp:positionH>
            <wp:positionV relativeFrom="paragraph">
              <wp:posOffset>16510</wp:posOffset>
            </wp:positionV>
            <wp:extent cx="3870000" cy="3705746"/>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 23 - Determine the extent of the metropolitan centre zone final.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70000" cy="3705746"/>
                    </a:xfrm>
                    <a:prstGeom prst="rect">
                      <a:avLst/>
                    </a:prstGeom>
                  </pic:spPr>
                </pic:pic>
              </a:graphicData>
            </a:graphic>
            <wp14:sizeRelH relativeFrom="page">
              <wp14:pctWidth>0</wp14:pctWidth>
            </wp14:sizeRelH>
            <wp14:sizeRelV relativeFrom="page">
              <wp14:pctHeight>0</wp14:pctHeight>
            </wp14:sizeRelV>
          </wp:anchor>
        </w:drawing>
      </w:r>
      <w:r w:rsidR="00C0111D" w:rsidRPr="00B86047">
        <w:t>Using the extent of the metropolitan centre zone, the edge</w:t>
      </w:r>
      <w:r w:rsidR="00E7506D">
        <w:t xml:space="preserve"> i</w:t>
      </w:r>
      <w:r w:rsidR="00C0111D" w:rsidRPr="00B86047">
        <w:t>s determined</w:t>
      </w:r>
      <w:r w:rsidR="00E7506D">
        <w:t xml:space="preserve">. Then </w:t>
      </w:r>
      <w:r w:rsidR="00C0111D" w:rsidRPr="00B86047">
        <w:t xml:space="preserve">using GIS network analysis, the </w:t>
      </w:r>
      <w:r w:rsidR="00E7506D">
        <w:t xml:space="preserve">walkable </w:t>
      </w:r>
      <w:r w:rsidR="00C0111D" w:rsidRPr="00B86047">
        <w:t>catchment from the edge of the zone is determined.</w:t>
      </w:r>
    </w:p>
    <w:p w14:paraId="5D71CF18" w14:textId="77777777" w:rsidR="00C0111D" w:rsidRPr="00C0111D" w:rsidRDefault="00C0111D" w:rsidP="007F3426">
      <w:pPr>
        <w:pStyle w:val="BodyText"/>
      </w:pPr>
    </w:p>
    <w:p w14:paraId="5BB39E30" w14:textId="77777777" w:rsidR="00B86047" w:rsidRDefault="00B86047" w:rsidP="00B86047">
      <w:pPr>
        <w:pStyle w:val="Figureheading"/>
      </w:pPr>
    </w:p>
    <w:p w14:paraId="7DFAA62C" w14:textId="77777777" w:rsidR="00B86047" w:rsidRDefault="00B86047" w:rsidP="00B86047">
      <w:pPr>
        <w:pStyle w:val="Figureheading"/>
      </w:pPr>
    </w:p>
    <w:p w14:paraId="389EC312" w14:textId="77777777" w:rsidR="00B86047" w:rsidRDefault="00B86047" w:rsidP="00B86047">
      <w:pPr>
        <w:pStyle w:val="Figureheading"/>
      </w:pPr>
    </w:p>
    <w:p w14:paraId="618A1D5F" w14:textId="77777777" w:rsidR="00B86047" w:rsidRDefault="00B86047" w:rsidP="00B86047">
      <w:pPr>
        <w:pStyle w:val="Figureheading"/>
      </w:pPr>
    </w:p>
    <w:p w14:paraId="2606E8AA" w14:textId="77777777" w:rsidR="00B86047" w:rsidRDefault="00B86047" w:rsidP="00B86047">
      <w:pPr>
        <w:pStyle w:val="Figureheading"/>
      </w:pPr>
    </w:p>
    <w:p w14:paraId="6341B0A6" w14:textId="77777777" w:rsidR="00B86047" w:rsidRDefault="00B86047" w:rsidP="00B86047">
      <w:pPr>
        <w:pStyle w:val="Figureheading"/>
      </w:pPr>
    </w:p>
    <w:p w14:paraId="2ABF8D2F" w14:textId="77777777" w:rsidR="00B86047" w:rsidRDefault="00B86047" w:rsidP="00B86047">
      <w:pPr>
        <w:pStyle w:val="Figureheading"/>
      </w:pPr>
    </w:p>
    <w:p w14:paraId="2E2A0437" w14:textId="77777777" w:rsidR="00B86047" w:rsidRDefault="00B86047" w:rsidP="00B86047">
      <w:pPr>
        <w:pStyle w:val="Figureheading"/>
      </w:pPr>
    </w:p>
    <w:p w14:paraId="3C011658" w14:textId="766BF66D" w:rsidR="00B86047" w:rsidRDefault="00B86047" w:rsidP="00B86047">
      <w:pPr>
        <w:pStyle w:val="Figureheading"/>
      </w:pPr>
      <w:bookmarkStart w:id="99" w:name="_Toc51240511"/>
      <w:r>
        <w:t xml:space="preserve">Figure </w:t>
      </w:r>
      <w:r w:rsidR="002E3FCB">
        <w:t>25</w:t>
      </w:r>
      <w:r>
        <w:t>:</w:t>
      </w:r>
      <w:r>
        <w:tab/>
      </w:r>
      <w:r w:rsidR="00C0111D" w:rsidRPr="00C0111D">
        <w:t>Walkable catchment from rapid transit stop</w:t>
      </w:r>
      <w:bookmarkEnd w:id="99"/>
    </w:p>
    <w:p w14:paraId="370DC6EC" w14:textId="3CF39417" w:rsidR="00C0111D" w:rsidRPr="00C0111D" w:rsidRDefault="0032640C" w:rsidP="00B86047">
      <w:pPr>
        <w:pStyle w:val="Source"/>
      </w:pPr>
      <w:r>
        <w:rPr>
          <w:noProof/>
        </w:rPr>
        <w:drawing>
          <wp:anchor distT="0" distB="0" distL="114300" distR="114300" simplePos="0" relativeHeight="251700224" behindDoc="0" locked="0" layoutInCell="1" allowOverlap="1" wp14:anchorId="7D9373BB" wp14:editId="51168EA2">
            <wp:simplePos x="0" y="0"/>
            <wp:positionH relativeFrom="column">
              <wp:posOffset>4445</wp:posOffset>
            </wp:positionH>
            <wp:positionV relativeFrom="paragraph">
              <wp:posOffset>73660</wp:posOffset>
            </wp:positionV>
            <wp:extent cx="3870000" cy="385037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ure 25 - Walkable catchment from rapid transit stop FINA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70000" cy="3850375"/>
                    </a:xfrm>
                    <a:prstGeom prst="rect">
                      <a:avLst/>
                    </a:prstGeom>
                  </pic:spPr>
                </pic:pic>
              </a:graphicData>
            </a:graphic>
            <wp14:sizeRelH relativeFrom="page">
              <wp14:pctWidth>0</wp14:pctWidth>
            </wp14:sizeRelH>
            <wp14:sizeRelV relativeFrom="page">
              <wp14:pctHeight>0</wp14:pctHeight>
            </wp14:sizeRelV>
          </wp:anchor>
        </w:drawing>
      </w:r>
      <w:r w:rsidR="00C0111D" w:rsidRPr="00C0111D">
        <w:t>The entrances to the rapid transit stop are identified</w:t>
      </w:r>
      <w:r w:rsidR="00085E3A">
        <w:t xml:space="preserve"> </w:t>
      </w:r>
      <w:r w:rsidR="00EF72EB">
        <w:t>on this map. Using</w:t>
      </w:r>
      <w:r w:rsidR="00C0111D" w:rsidRPr="00C0111D">
        <w:t xml:space="preserve"> these as part of GIS network analysis, the walkable catchment from the rapid transit stop is determined.</w:t>
      </w:r>
    </w:p>
    <w:p w14:paraId="4DD8BC7C" w14:textId="77777777" w:rsidR="00B86047" w:rsidRDefault="00B86047" w:rsidP="007F3426">
      <w:pPr>
        <w:pStyle w:val="BodyText"/>
      </w:pPr>
    </w:p>
    <w:p w14:paraId="39C65254" w14:textId="77777777" w:rsidR="00B86047" w:rsidRDefault="00B86047" w:rsidP="007F3426">
      <w:pPr>
        <w:pStyle w:val="BodyText"/>
      </w:pPr>
    </w:p>
    <w:p w14:paraId="256F845B" w14:textId="77777777" w:rsidR="00B86047" w:rsidRDefault="00B86047" w:rsidP="007F3426">
      <w:pPr>
        <w:pStyle w:val="BodyText"/>
      </w:pPr>
    </w:p>
    <w:p w14:paraId="4D15917C" w14:textId="77777777" w:rsidR="00B86047" w:rsidRDefault="00B86047" w:rsidP="007F3426">
      <w:pPr>
        <w:pStyle w:val="BodyText"/>
      </w:pPr>
    </w:p>
    <w:p w14:paraId="4FC628C4" w14:textId="77777777" w:rsidR="00B86047" w:rsidRDefault="00B86047" w:rsidP="007F3426">
      <w:pPr>
        <w:pStyle w:val="BodyText"/>
      </w:pPr>
    </w:p>
    <w:p w14:paraId="69A6B68E" w14:textId="77777777" w:rsidR="00B86047" w:rsidRDefault="00B86047" w:rsidP="007F3426">
      <w:pPr>
        <w:pStyle w:val="BodyText"/>
      </w:pPr>
    </w:p>
    <w:p w14:paraId="4F7A9095" w14:textId="77777777" w:rsidR="00B86047" w:rsidRDefault="00B86047" w:rsidP="007F3426">
      <w:pPr>
        <w:pStyle w:val="BodyText"/>
      </w:pPr>
    </w:p>
    <w:p w14:paraId="5B696E33" w14:textId="77777777" w:rsidR="00B86047" w:rsidRDefault="00B86047" w:rsidP="007F3426">
      <w:pPr>
        <w:pStyle w:val="BodyText"/>
      </w:pPr>
    </w:p>
    <w:p w14:paraId="5C234A19" w14:textId="77777777" w:rsidR="00B86047" w:rsidRDefault="00B86047" w:rsidP="007F3426">
      <w:pPr>
        <w:pStyle w:val="BodyText"/>
      </w:pPr>
    </w:p>
    <w:p w14:paraId="26952307" w14:textId="4A9148F0" w:rsidR="00C0111D" w:rsidRPr="00C0111D" w:rsidRDefault="002E3FCB" w:rsidP="00B86047">
      <w:pPr>
        <w:pStyle w:val="Figureheading"/>
      </w:pPr>
      <w:bookmarkStart w:id="100" w:name="_Toc51240512"/>
      <w:r>
        <w:lastRenderedPageBreak/>
        <w:t>Figure 26</w:t>
      </w:r>
      <w:r w:rsidR="00B86047">
        <w:t>:</w:t>
      </w:r>
      <w:r w:rsidR="00B86047">
        <w:tab/>
      </w:r>
      <w:r w:rsidR="00C0111D" w:rsidRPr="00C0111D">
        <w:t>Identif</w:t>
      </w:r>
      <w:r w:rsidR="00EF72EB">
        <w:t>ying</w:t>
      </w:r>
      <w:r w:rsidR="00C0111D" w:rsidRPr="00C0111D">
        <w:t xml:space="preserve"> areas of higher demand</w:t>
      </w:r>
      <w:bookmarkEnd w:id="100"/>
      <w:r w:rsidR="00C0111D" w:rsidRPr="00C0111D">
        <w:tab/>
      </w:r>
    </w:p>
    <w:p w14:paraId="426D8E79" w14:textId="7D9441C1" w:rsidR="00C0111D" w:rsidRPr="00C0111D" w:rsidRDefault="00397DE3" w:rsidP="00B86047">
      <w:pPr>
        <w:pStyle w:val="Source"/>
      </w:pPr>
      <w:bookmarkStart w:id="101" w:name="_GoBack"/>
      <w:r>
        <w:rPr>
          <w:noProof/>
        </w:rPr>
        <w:drawing>
          <wp:anchor distT="0" distB="0" distL="114300" distR="114300" simplePos="0" relativeHeight="251708416" behindDoc="0" locked="0" layoutInCell="1" allowOverlap="1" wp14:anchorId="29794A7E" wp14:editId="63DB8477">
            <wp:simplePos x="0" y="0"/>
            <wp:positionH relativeFrom="column">
              <wp:posOffset>-1270</wp:posOffset>
            </wp:positionH>
            <wp:positionV relativeFrom="paragraph">
              <wp:posOffset>78740</wp:posOffset>
            </wp:positionV>
            <wp:extent cx="3869690" cy="37973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26.jpg"/>
                    <pic:cNvPicPr/>
                  </pic:nvPicPr>
                  <pic:blipFill rotWithShape="1">
                    <a:blip r:embed="rId48" cstate="print">
                      <a:extLst>
                        <a:ext uri="{28A0092B-C50C-407E-A947-70E740481C1C}">
                          <a14:useLocalDpi xmlns:a14="http://schemas.microsoft.com/office/drawing/2010/main" val="0"/>
                        </a:ext>
                      </a:extLst>
                    </a:blip>
                    <a:srcRect l="21724" t="5550" r="24817" b="25017"/>
                    <a:stretch/>
                  </pic:blipFill>
                  <pic:spPr bwMode="auto">
                    <a:xfrm>
                      <a:off x="0" y="0"/>
                      <a:ext cx="3869690" cy="379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1"/>
      <w:r w:rsidR="00C0111D" w:rsidRPr="00C0111D">
        <w:t xml:space="preserve">Using information produced as part of an HBA or other evidence, identify the areas </w:t>
      </w:r>
      <w:r w:rsidR="00EF72EB">
        <w:t>with</w:t>
      </w:r>
      <w:r w:rsidR="00C0111D" w:rsidRPr="00C0111D">
        <w:t xml:space="preserve"> greater demand relative to elsewhere in the urban environment.</w:t>
      </w:r>
    </w:p>
    <w:p w14:paraId="7FFF8401" w14:textId="77777777" w:rsidR="00C0111D" w:rsidRPr="00C0111D" w:rsidRDefault="00C0111D" w:rsidP="007F3426">
      <w:pPr>
        <w:pStyle w:val="BodyText"/>
      </w:pPr>
    </w:p>
    <w:p w14:paraId="6F662831" w14:textId="77777777" w:rsidR="00B86047" w:rsidRDefault="00B86047" w:rsidP="007F3426">
      <w:pPr>
        <w:pStyle w:val="BodyText"/>
      </w:pPr>
    </w:p>
    <w:p w14:paraId="67B34330" w14:textId="77777777" w:rsidR="00B86047" w:rsidRDefault="00B86047" w:rsidP="007F3426">
      <w:pPr>
        <w:pStyle w:val="BodyText"/>
      </w:pPr>
    </w:p>
    <w:p w14:paraId="3A741489" w14:textId="77777777" w:rsidR="00B86047" w:rsidRDefault="00B86047" w:rsidP="007F3426">
      <w:pPr>
        <w:pStyle w:val="BodyText"/>
      </w:pPr>
    </w:p>
    <w:p w14:paraId="19D5D6DB" w14:textId="77777777" w:rsidR="00B86047" w:rsidRDefault="00B86047" w:rsidP="007F3426">
      <w:pPr>
        <w:pStyle w:val="BodyText"/>
      </w:pPr>
    </w:p>
    <w:p w14:paraId="74BC09A3" w14:textId="77777777" w:rsidR="00B86047" w:rsidRDefault="00B86047" w:rsidP="007F3426">
      <w:pPr>
        <w:pStyle w:val="BodyText"/>
      </w:pPr>
    </w:p>
    <w:p w14:paraId="6F36014F" w14:textId="77777777" w:rsidR="00B86047" w:rsidRDefault="00B86047" w:rsidP="007F3426">
      <w:pPr>
        <w:pStyle w:val="BodyText"/>
      </w:pPr>
    </w:p>
    <w:p w14:paraId="20487A06" w14:textId="39FFCDF4" w:rsidR="00B86047" w:rsidRDefault="00B86047" w:rsidP="007F3426">
      <w:pPr>
        <w:pStyle w:val="BodyText"/>
      </w:pPr>
    </w:p>
    <w:p w14:paraId="7649D753" w14:textId="77777777" w:rsidR="00157591" w:rsidRDefault="00157591" w:rsidP="00B86047">
      <w:pPr>
        <w:pStyle w:val="Figureheading"/>
      </w:pPr>
      <w:bookmarkStart w:id="102" w:name="_Toc51240513"/>
    </w:p>
    <w:p w14:paraId="08782895" w14:textId="692973BC" w:rsidR="00C0111D" w:rsidRPr="00C0111D" w:rsidRDefault="002E3FCB" w:rsidP="00B86047">
      <w:pPr>
        <w:pStyle w:val="Figureheading"/>
      </w:pPr>
      <w:r>
        <w:t>Figure 27</w:t>
      </w:r>
      <w:r w:rsidR="00B86047">
        <w:t>:</w:t>
      </w:r>
      <w:r w:rsidR="00B86047">
        <w:tab/>
      </w:r>
      <w:r w:rsidR="00C0111D" w:rsidRPr="00C0111D">
        <w:t>Accessibility to commercial activities and community services</w:t>
      </w:r>
      <w:bookmarkEnd w:id="102"/>
      <w:r w:rsidR="00C0111D" w:rsidRPr="00C0111D">
        <w:tab/>
      </w:r>
    </w:p>
    <w:p w14:paraId="04B98651" w14:textId="0D2ABDFD" w:rsidR="00C0111D" w:rsidRPr="00C0111D" w:rsidRDefault="0032640C" w:rsidP="00B86047">
      <w:pPr>
        <w:pStyle w:val="Source"/>
      </w:pPr>
      <w:r>
        <w:rPr>
          <w:noProof/>
        </w:rPr>
        <w:drawing>
          <wp:anchor distT="0" distB="0" distL="114300" distR="114300" simplePos="0" relativeHeight="251701248" behindDoc="0" locked="0" layoutInCell="1" allowOverlap="1" wp14:anchorId="06F67464" wp14:editId="05510EEB">
            <wp:simplePos x="0" y="0"/>
            <wp:positionH relativeFrom="column">
              <wp:posOffset>4445</wp:posOffset>
            </wp:positionH>
            <wp:positionV relativeFrom="paragraph">
              <wp:posOffset>76835</wp:posOffset>
            </wp:positionV>
            <wp:extent cx="3862800" cy="3909642"/>
            <wp:effectExtent l="0" t="0" r="444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 27 - Accessibility to commercial activities and community services final.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62800" cy="3909642"/>
                    </a:xfrm>
                    <a:prstGeom prst="rect">
                      <a:avLst/>
                    </a:prstGeom>
                  </pic:spPr>
                </pic:pic>
              </a:graphicData>
            </a:graphic>
            <wp14:sizeRelH relativeFrom="page">
              <wp14:pctWidth>0</wp14:pctWidth>
            </wp14:sizeRelH>
            <wp14:sizeRelV relativeFrom="page">
              <wp14:pctHeight>0</wp14:pctHeight>
            </wp14:sizeRelV>
          </wp:anchor>
        </w:drawing>
      </w:r>
      <w:r w:rsidR="00C0111D" w:rsidRPr="00C0111D">
        <w:t xml:space="preserve">Information from </w:t>
      </w:r>
      <w:r w:rsidR="00EF72EB">
        <w:t xml:space="preserve">accessibility </w:t>
      </w:r>
      <w:r w:rsidR="00C0111D" w:rsidRPr="00C0111D">
        <w:t xml:space="preserve">assessments will be used to identify areas </w:t>
      </w:r>
      <w:r w:rsidR="00EF72EB">
        <w:t>with</w:t>
      </w:r>
      <w:r w:rsidR="00C0111D" w:rsidRPr="00C0111D">
        <w:t xml:space="preserve"> high access to a “range of commercial activities and community services” by active or public transport. These areas are </w:t>
      </w:r>
      <w:r w:rsidR="00EF72EB">
        <w:t>shown</w:t>
      </w:r>
      <w:r w:rsidR="00EF72EB" w:rsidRPr="00C0111D">
        <w:t xml:space="preserve"> </w:t>
      </w:r>
      <w:r w:rsidR="00C0111D" w:rsidRPr="00C0111D">
        <w:t>on the map as being the walkable catchments of the metropolitan centre (which contains a range of services).</w:t>
      </w:r>
    </w:p>
    <w:p w14:paraId="5C628F04" w14:textId="48925B2A" w:rsidR="00C0111D" w:rsidRPr="00C0111D" w:rsidRDefault="00C0111D" w:rsidP="00B86047">
      <w:pPr>
        <w:pStyle w:val="Source"/>
      </w:pPr>
      <w:r w:rsidRPr="00C0111D">
        <w:t>In addition to this, areas served by public transport</w:t>
      </w:r>
      <w:r w:rsidR="00EF72EB">
        <w:t>,</w:t>
      </w:r>
      <w:r w:rsidRPr="00C0111D">
        <w:t xml:space="preserve"> such as rapid transit and frequent bus routes</w:t>
      </w:r>
      <w:r w:rsidR="00EF72EB">
        <w:t>,</w:t>
      </w:r>
      <w:r w:rsidRPr="00C0111D">
        <w:t xml:space="preserve"> have also been deemed accessible.</w:t>
      </w:r>
    </w:p>
    <w:p w14:paraId="4C157221" w14:textId="77777777" w:rsidR="00C0111D" w:rsidRPr="00C0111D" w:rsidRDefault="00C0111D" w:rsidP="007F3426">
      <w:pPr>
        <w:pStyle w:val="BodyText"/>
      </w:pPr>
    </w:p>
    <w:p w14:paraId="0A0B8B6F" w14:textId="77777777" w:rsidR="00B86047" w:rsidRDefault="00B86047" w:rsidP="007F3426">
      <w:pPr>
        <w:pStyle w:val="BodyText"/>
      </w:pPr>
    </w:p>
    <w:p w14:paraId="24F72158" w14:textId="77777777" w:rsidR="00B86047" w:rsidRDefault="00B86047" w:rsidP="007F3426">
      <w:pPr>
        <w:pStyle w:val="BodyText"/>
      </w:pPr>
    </w:p>
    <w:p w14:paraId="0EA6D6E9" w14:textId="77777777" w:rsidR="00B86047" w:rsidRDefault="00B86047" w:rsidP="007F3426">
      <w:pPr>
        <w:pStyle w:val="BodyText"/>
      </w:pPr>
    </w:p>
    <w:p w14:paraId="6DC8487B" w14:textId="25EEDB25" w:rsidR="00C0111D" w:rsidRPr="00C0111D" w:rsidRDefault="002E3FCB" w:rsidP="00B86047">
      <w:pPr>
        <w:pStyle w:val="Figureheading"/>
      </w:pPr>
      <w:bookmarkStart w:id="103" w:name="_Toc51240514"/>
      <w:r>
        <w:lastRenderedPageBreak/>
        <w:t>Figure 28</w:t>
      </w:r>
      <w:r w:rsidR="00B86047">
        <w:t>:</w:t>
      </w:r>
      <w:r w:rsidR="00B86047">
        <w:tab/>
      </w:r>
      <w:r w:rsidR="00EF72EB">
        <w:t>Identifying any q</w:t>
      </w:r>
      <w:r w:rsidR="00C0111D" w:rsidRPr="00C0111D">
        <w:t>ualifying matters (heritage site and areas)</w:t>
      </w:r>
      <w:r w:rsidR="00EF72EB">
        <w:t xml:space="preserve"> that may apply</w:t>
      </w:r>
      <w:bookmarkEnd w:id="103"/>
      <w:r w:rsidR="00C0111D" w:rsidRPr="00C0111D">
        <w:tab/>
      </w:r>
    </w:p>
    <w:p w14:paraId="676D532D" w14:textId="64CE1F02" w:rsidR="00C0111D" w:rsidRPr="00C0111D" w:rsidRDefault="00157591" w:rsidP="00B86047">
      <w:pPr>
        <w:pStyle w:val="Source"/>
      </w:pPr>
      <w:r>
        <w:rPr>
          <w:noProof/>
        </w:rPr>
        <w:drawing>
          <wp:anchor distT="0" distB="0" distL="114300" distR="114300" simplePos="0" relativeHeight="251709440" behindDoc="0" locked="0" layoutInCell="1" allowOverlap="1" wp14:anchorId="0F714ACF" wp14:editId="26CC91B2">
            <wp:simplePos x="0" y="0"/>
            <wp:positionH relativeFrom="column">
              <wp:posOffset>-1270</wp:posOffset>
            </wp:positionH>
            <wp:positionV relativeFrom="paragraph">
              <wp:posOffset>78740</wp:posOffset>
            </wp:positionV>
            <wp:extent cx="3865245" cy="3708400"/>
            <wp:effectExtent l="0" t="0" r="1905"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28.jpg"/>
                    <pic:cNvPicPr/>
                  </pic:nvPicPr>
                  <pic:blipFill rotWithShape="1">
                    <a:blip r:embed="rId50" cstate="print">
                      <a:extLst>
                        <a:ext uri="{28A0092B-C50C-407E-A947-70E740481C1C}">
                          <a14:useLocalDpi xmlns:a14="http://schemas.microsoft.com/office/drawing/2010/main" val="0"/>
                        </a:ext>
                      </a:extLst>
                    </a:blip>
                    <a:srcRect l="18928" t="2884" r="25071" b="25384"/>
                    <a:stretch/>
                  </pic:blipFill>
                  <pic:spPr bwMode="auto">
                    <a:xfrm>
                      <a:off x="0" y="0"/>
                      <a:ext cx="3865245" cy="370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72EB">
        <w:t>I</w:t>
      </w:r>
      <w:r w:rsidR="00C0111D" w:rsidRPr="00C0111D">
        <w:t>n this case</w:t>
      </w:r>
      <w:r w:rsidR="00EF72EB">
        <w:t>,</w:t>
      </w:r>
      <w:r w:rsidR="00C0111D" w:rsidRPr="00C0111D">
        <w:t xml:space="preserve"> there </w:t>
      </w:r>
      <w:r w:rsidR="00EF72EB">
        <w:t>are</w:t>
      </w:r>
      <w:r w:rsidR="00EF72EB" w:rsidRPr="00C0111D">
        <w:t xml:space="preserve"> </w:t>
      </w:r>
      <w:r w:rsidR="00EF72EB">
        <w:t>several</w:t>
      </w:r>
      <w:r w:rsidR="00C0111D" w:rsidRPr="00C0111D">
        <w:t xml:space="preserve"> heritage sites and areas that need to be noted when determining heights and densities.</w:t>
      </w:r>
      <w:r w:rsidR="00EF72EB">
        <w:t xml:space="preserve"> </w:t>
      </w:r>
      <w:r w:rsidR="00C0111D" w:rsidRPr="00C0111D">
        <w:t>Each site will need to have a section 32 assessment of the relevant qualifying matter to determine what the appropriate level of intensification will be.</w:t>
      </w:r>
    </w:p>
    <w:p w14:paraId="681CCB19" w14:textId="7C4DD3C6" w:rsidR="00C0111D" w:rsidRPr="00C0111D" w:rsidRDefault="00C0111D" w:rsidP="00B86047">
      <w:pPr>
        <w:pStyle w:val="Source"/>
      </w:pPr>
      <w:r w:rsidRPr="00C0111D">
        <w:t xml:space="preserve">In this </w:t>
      </w:r>
      <w:r w:rsidR="00EF72EB">
        <w:t xml:space="preserve">map </w:t>
      </w:r>
      <w:r w:rsidRPr="00C0111D">
        <w:t>example, the heritage items have been assessed as preventing any intensification.</w:t>
      </w:r>
      <w:r w:rsidR="00EF72EB">
        <w:t xml:space="preserve"> </w:t>
      </w:r>
      <w:r w:rsidRPr="00C0111D">
        <w:t xml:space="preserve">The </w:t>
      </w:r>
      <w:r w:rsidR="0058641B">
        <w:t xml:space="preserve">provisions for </w:t>
      </w:r>
      <w:r w:rsidRPr="00C0111D">
        <w:t>heritage areas not located on open space</w:t>
      </w:r>
      <w:r w:rsidR="00EF72EB">
        <w:t>-</w:t>
      </w:r>
      <w:r w:rsidRPr="00C0111D">
        <w:t xml:space="preserve">zoned land </w:t>
      </w:r>
      <w:r w:rsidR="0058641B">
        <w:t>control</w:t>
      </w:r>
      <w:r w:rsidRPr="00C0111D">
        <w:t xml:space="preserve"> building heritage features only. As intensification through increased heights is not limited by the presence of these heritage features </w:t>
      </w:r>
      <w:r w:rsidR="00534382">
        <w:t>(</w:t>
      </w:r>
      <w:r w:rsidRPr="00C0111D">
        <w:t xml:space="preserve">given </w:t>
      </w:r>
      <w:r w:rsidR="00EF72EB">
        <w:t xml:space="preserve">that </w:t>
      </w:r>
      <w:r w:rsidRPr="00C0111D">
        <w:t>redevelopment can incorporate them</w:t>
      </w:r>
      <w:r w:rsidR="00534382">
        <w:t>)</w:t>
      </w:r>
      <w:r w:rsidRPr="00C0111D">
        <w:t>, the assessment has determined this matter does not impact intensification.</w:t>
      </w:r>
    </w:p>
    <w:p w14:paraId="351047C7" w14:textId="14727C5B" w:rsidR="00C0111D" w:rsidRPr="00C0111D" w:rsidRDefault="00123328" w:rsidP="00123328">
      <w:pPr>
        <w:pStyle w:val="Figureheading"/>
      </w:pPr>
      <w:bookmarkStart w:id="104" w:name="_Toc51240515"/>
      <w:r>
        <w:t xml:space="preserve">Figure </w:t>
      </w:r>
      <w:r w:rsidR="002E3FCB">
        <w:t>29</w:t>
      </w:r>
      <w:r>
        <w:t xml:space="preserve">: </w:t>
      </w:r>
      <w:r>
        <w:tab/>
        <w:t>Map showing a</w:t>
      </w:r>
      <w:r w:rsidR="00C0111D" w:rsidRPr="00C0111D">
        <w:t xml:space="preserve">ll </w:t>
      </w:r>
      <w:r>
        <w:t>factors that need to be considered</w:t>
      </w:r>
      <w:r w:rsidR="00C0111D" w:rsidRPr="00C0111D">
        <w:t xml:space="preserve"> </w:t>
      </w:r>
      <w:r>
        <w:t xml:space="preserve">to determine heights and densities </w:t>
      </w:r>
      <w:r w:rsidR="00EF72EB">
        <w:br/>
      </w:r>
      <w:r>
        <w:t>for each location</w:t>
      </w:r>
      <w:bookmarkEnd w:id="104"/>
    </w:p>
    <w:p w14:paraId="7683C290" w14:textId="016A922F" w:rsidR="00C0111D" w:rsidRPr="00C0111D" w:rsidRDefault="00123328" w:rsidP="00123328">
      <w:pPr>
        <w:pStyle w:val="Source"/>
      </w:pPr>
      <w:r>
        <w:rPr>
          <w:noProof/>
        </w:rPr>
        <w:drawing>
          <wp:anchor distT="0" distB="0" distL="114300" distR="114300" simplePos="0" relativeHeight="251679744" behindDoc="0" locked="0" layoutInCell="1" allowOverlap="1" wp14:anchorId="14AFAC16" wp14:editId="4A87A52E">
            <wp:simplePos x="0" y="0"/>
            <wp:positionH relativeFrom="column">
              <wp:posOffset>4445</wp:posOffset>
            </wp:positionH>
            <wp:positionV relativeFrom="paragraph">
              <wp:posOffset>60960</wp:posOffset>
            </wp:positionV>
            <wp:extent cx="3869690" cy="3808095"/>
            <wp:effectExtent l="0" t="0" r="0" b="1905"/>
            <wp:wrapSquare wrapText="bothSides"/>
            <wp:docPr id="33" name="Picture 3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51">
                      <a:extLst>
                        <a:ext uri="{28A0092B-C50C-407E-A947-70E740481C1C}">
                          <a14:useLocalDpi xmlns:a14="http://schemas.microsoft.com/office/drawing/2010/main" val="0"/>
                        </a:ext>
                      </a:extLst>
                    </a:blip>
                    <a:stretch>
                      <a:fillRect/>
                    </a:stretch>
                  </pic:blipFill>
                  <pic:spPr>
                    <a:xfrm>
                      <a:off x="0" y="0"/>
                      <a:ext cx="3869690" cy="3808095"/>
                    </a:xfrm>
                    <a:prstGeom prst="rect">
                      <a:avLst/>
                    </a:prstGeom>
                  </pic:spPr>
                </pic:pic>
              </a:graphicData>
            </a:graphic>
            <wp14:sizeRelH relativeFrom="page">
              <wp14:pctWidth>0</wp14:pctWidth>
            </wp14:sizeRelH>
            <wp14:sizeRelV relativeFrom="page">
              <wp14:pctHeight>0</wp14:pctHeight>
            </wp14:sizeRelV>
          </wp:anchor>
        </w:drawing>
      </w:r>
      <w:r w:rsidR="00EF72EB">
        <w:t xml:space="preserve">While all factors that need to be considered </w:t>
      </w:r>
      <w:r w:rsidR="00553D29">
        <w:t>do</w:t>
      </w:r>
      <w:r w:rsidR="00553D29" w:rsidRPr="00C0111D">
        <w:t xml:space="preserve"> </w:t>
      </w:r>
      <w:r w:rsidR="00C0111D" w:rsidRPr="00C0111D">
        <w:t xml:space="preserve">not need to be </w:t>
      </w:r>
      <w:r w:rsidR="00EF72EB">
        <w:t xml:space="preserve">shown </w:t>
      </w:r>
      <w:r w:rsidR="00C0111D" w:rsidRPr="00C0111D">
        <w:t>visually on a map</w:t>
      </w:r>
      <w:r w:rsidR="00EF72EB">
        <w:t xml:space="preserve"> like this</w:t>
      </w:r>
      <w:r w:rsidR="00C0111D" w:rsidRPr="00C0111D">
        <w:t xml:space="preserve">, </w:t>
      </w:r>
      <w:r w:rsidR="00EF72EB">
        <w:t xml:space="preserve">you need to demonstrate that you have considered </w:t>
      </w:r>
      <w:r w:rsidR="00C0111D" w:rsidRPr="00C0111D">
        <w:t>each component.</w:t>
      </w:r>
    </w:p>
    <w:p w14:paraId="37CC0C7E" w14:textId="53259E7A" w:rsidR="00C0111D" w:rsidRPr="00C0111D" w:rsidRDefault="00C0111D" w:rsidP="00123328">
      <w:pPr>
        <w:pStyle w:val="Source"/>
      </w:pPr>
      <w:r w:rsidRPr="00C0111D">
        <w:t xml:space="preserve">In places where many factors </w:t>
      </w:r>
      <w:r w:rsidR="00EF72EB">
        <w:t>requiring</w:t>
      </w:r>
      <w:r w:rsidRPr="00C0111D">
        <w:t xml:space="preserve"> intensification overlap</w:t>
      </w:r>
      <w:r w:rsidR="00EF72EB">
        <w:t xml:space="preserve"> –</w:t>
      </w:r>
      <w:r w:rsidRPr="00C0111D">
        <w:t>such as high demand, high accessibility and walkable catchment of rapid transit stops</w:t>
      </w:r>
      <w:r w:rsidR="00EF72EB">
        <w:t xml:space="preserve"> –</w:t>
      </w:r>
      <w:r w:rsidRPr="00C0111D">
        <w:t xml:space="preserve"> we would expect to see rules that are the most enabling</w:t>
      </w:r>
      <w:r w:rsidR="00085E3A">
        <w:t xml:space="preserve"> and</w:t>
      </w:r>
      <w:r w:rsidRPr="00C0111D">
        <w:t xml:space="preserve"> heights above the minimum required for each of the components.</w:t>
      </w:r>
    </w:p>
    <w:p w14:paraId="2A08131E" w14:textId="77777777" w:rsidR="00C0111D" w:rsidRPr="00C0111D" w:rsidRDefault="00C0111D" w:rsidP="007F3426">
      <w:pPr>
        <w:pStyle w:val="BodyText"/>
      </w:pPr>
    </w:p>
    <w:p w14:paraId="549286FF" w14:textId="77777777" w:rsidR="00123328" w:rsidRDefault="00123328" w:rsidP="00123328">
      <w:pPr>
        <w:pStyle w:val="Figureheading"/>
      </w:pPr>
    </w:p>
    <w:p w14:paraId="3DC55A45" w14:textId="77777777" w:rsidR="00123328" w:rsidRDefault="00123328" w:rsidP="00123328">
      <w:pPr>
        <w:pStyle w:val="Figureheading"/>
      </w:pPr>
    </w:p>
    <w:p w14:paraId="317CFE89" w14:textId="77777777" w:rsidR="00123328" w:rsidRDefault="00123328" w:rsidP="00123328">
      <w:pPr>
        <w:pStyle w:val="Figureheading"/>
      </w:pPr>
    </w:p>
    <w:p w14:paraId="7C0A9790" w14:textId="77777777" w:rsidR="002D7F9B" w:rsidRDefault="002D7F9B">
      <w:pPr>
        <w:spacing w:before="0" w:after="200" w:line="276" w:lineRule="auto"/>
        <w:jc w:val="left"/>
        <w:rPr>
          <w:b/>
          <w:sz w:val="20"/>
        </w:rPr>
      </w:pPr>
      <w:r>
        <w:br w:type="page"/>
      </w:r>
    </w:p>
    <w:p w14:paraId="12D23B78" w14:textId="720DABF3" w:rsidR="00C0111D" w:rsidRPr="00C0111D" w:rsidRDefault="002E3FCB" w:rsidP="00123328">
      <w:pPr>
        <w:pStyle w:val="Figureheading"/>
      </w:pPr>
      <w:bookmarkStart w:id="105" w:name="_Toc51240516"/>
      <w:r>
        <w:lastRenderedPageBreak/>
        <w:t>Figure 30</w:t>
      </w:r>
      <w:r w:rsidR="00123328">
        <w:t>:</w:t>
      </w:r>
      <w:r w:rsidR="00123328">
        <w:tab/>
        <w:t xml:space="preserve">Map using the combined information to apply appropriate </w:t>
      </w:r>
      <w:r w:rsidR="00C0111D" w:rsidRPr="00C0111D">
        <w:t>heights and densities</w:t>
      </w:r>
      <w:r w:rsidR="00123328">
        <w:br/>
        <w:t>to a location</w:t>
      </w:r>
      <w:bookmarkEnd w:id="105"/>
      <w:r w:rsidR="00C0111D" w:rsidRPr="00C0111D">
        <w:tab/>
      </w:r>
    </w:p>
    <w:p w14:paraId="074C8D81" w14:textId="61CE8001" w:rsidR="00C0111D" w:rsidRPr="00C0111D" w:rsidRDefault="0032640C" w:rsidP="00123328">
      <w:pPr>
        <w:pStyle w:val="Source"/>
      </w:pPr>
      <w:r>
        <w:rPr>
          <w:noProof/>
        </w:rPr>
        <w:drawing>
          <wp:anchor distT="0" distB="0" distL="114300" distR="114300" simplePos="0" relativeHeight="251703296" behindDoc="0" locked="0" layoutInCell="1" allowOverlap="1" wp14:anchorId="089870AF" wp14:editId="1CDFE972">
            <wp:simplePos x="0" y="0"/>
            <wp:positionH relativeFrom="column">
              <wp:posOffset>4445</wp:posOffset>
            </wp:positionH>
            <wp:positionV relativeFrom="paragraph">
              <wp:posOffset>76835</wp:posOffset>
            </wp:positionV>
            <wp:extent cx="3862800" cy="3746120"/>
            <wp:effectExtent l="0" t="0" r="4445" b="698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 30 - Map using the combined information to apply appropriate heights and densities to a location final.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862800" cy="3746120"/>
                    </a:xfrm>
                    <a:prstGeom prst="rect">
                      <a:avLst/>
                    </a:prstGeom>
                  </pic:spPr>
                </pic:pic>
              </a:graphicData>
            </a:graphic>
            <wp14:sizeRelH relativeFrom="page">
              <wp14:pctWidth>0</wp14:pctWidth>
            </wp14:sizeRelH>
            <wp14:sizeRelV relativeFrom="page">
              <wp14:pctHeight>0</wp14:pctHeight>
            </wp14:sizeRelV>
          </wp:anchor>
        </w:drawing>
      </w:r>
      <w:r w:rsidR="00EF72EB">
        <w:t xml:space="preserve">Using the combined information to apply appropriate heights and densities to a location </w:t>
      </w:r>
      <w:r w:rsidR="00C0111D" w:rsidRPr="00C0111D">
        <w:t>can be done either by calculating these first</w:t>
      </w:r>
      <w:r w:rsidR="00085E3A">
        <w:t xml:space="preserve"> and</w:t>
      </w:r>
      <w:r w:rsidR="00C0111D" w:rsidRPr="00C0111D">
        <w:t xml:space="preserve"> then assigning zoning to fit, or by applying a range of appropriate zones. </w:t>
      </w:r>
    </w:p>
    <w:p w14:paraId="1EDD46BC" w14:textId="48DF9DDF" w:rsidR="00C0111D" w:rsidRPr="00C0111D" w:rsidRDefault="00C0111D" w:rsidP="00123328">
      <w:pPr>
        <w:pStyle w:val="Source"/>
      </w:pPr>
      <w:r w:rsidRPr="00C0111D">
        <w:t>In this example, you can see that qualifying matters have been applied to sites</w:t>
      </w:r>
      <w:r w:rsidR="00085E3A">
        <w:t xml:space="preserve"> and</w:t>
      </w:r>
      <w:r w:rsidR="00EF72EB">
        <w:t>,</w:t>
      </w:r>
      <w:r w:rsidRPr="00C0111D">
        <w:t xml:space="preserve"> where relevant, no intensification is to be enabled.</w:t>
      </w:r>
    </w:p>
    <w:p w14:paraId="29EF6EF8" w14:textId="77777777" w:rsidR="00C0111D" w:rsidRPr="00C0111D" w:rsidRDefault="00C0111D" w:rsidP="007F3426">
      <w:pPr>
        <w:pStyle w:val="BodyText"/>
      </w:pPr>
    </w:p>
    <w:p w14:paraId="7B6DDD39" w14:textId="77777777" w:rsidR="00123328" w:rsidRDefault="00123328" w:rsidP="007F3426">
      <w:pPr>
        <w:pStyle w:val="BodyText"/>
      </w:pPr>
    </w:p>
    <w:p w14:paraId="257A0FEB" w14:textId="77777777" w:rsidR="00123328" w:rsidRDefault="00123328" w:rsidP="007F3426">
      <w:pPr>
        <w:pStyle w:val="BodyText"/>
      </w:pPr>
    </w:p>
    <w:p w14:paraId="4E31C202" w14:textId="77777777" w:rsidR="00123328" w:rsidRDefault="00123328" w:rsidP="007F3426">
      <w:pPr>
        <w:pStyle w:val="BodyText"/>
      </w:pPr>
    </w:p>
    <w:p w14:paraId="499B4602" w14:textId="77777777" w:rsidR="00123328" w:rsidRDefault="00123328" w:rsidP="007F3426">
      <w:pPr>
        <w:pStyle w:val="BodyText"/>
      </w:pPr>
    </w:p>
    <w:p w14:paraId="6180DD4F" w14:textId="610B9676" w:rsidR="00C0111D" w:rsidRPr="00C0111D" w:rsidRDefault="00123328" w:rsidP="00123328">
      <w:pPr>
        <w:pStyle w:val="Figureheading"/>
      </w:pPr>
      <w:bookmarkStart w:id="106" w:name="_Toc51240517"/>
      <w:r>
        <w:t xml:space="preserve">Figure </w:t>
      </w:r>
      <w:r w:rsidR="002E3FCB">
        <w:t>31</w:t>
      </w:r>
      <w:r>
        <w:t xml:space="preserve">: </w:t>
      </w:r>
      <w:r>
        <w:tab/>
        <w:t>Map showing new zoning pattern determined, reflecting the requirements of the intensification (and other) provisions</w:t>
      </w:r>
      <w:bookmarkEnd w:id="106"/>
      <w:r w:rsidR="009113AC">
        <w:t xml:space="preserve"> </w:t>
      </w:r>
      <w:r w:rsidR="00C0111D" w:rsidRPr="00C0111D">
        <w:tab/>
      </w:r>
    </w:p>
    <w:p w14:paraId="33DD3A4B" w14:textId="0F03A9EA" w:rsidR="00C0111D" w:rsidRPr="00C0111D" w:rsidRDefault="00123328" w:rsidP="00123328">
      <w:pPr>
        <w:pStyle w:val="Source"/>
      </w:pPr>
      <w:r>
        <w:rPr>
          <w:noProof/>
        </w:rPr>
        <w:drawing>
          <wp:anchor distT="0" distB="0" distL="114300" distR="114300" simplePos="0" relativeHeight="251682816" behindDoc="0" locked="0" layoutInCell="1" allowOverlap="1" wp14:anchorId="3C5C9B56" wp14:editId="5EE7FC35">
            <wp:simplePos x="0" y="0"/>
            <wp:positionH relativeFrom="column">
              <wp:posOffset>0</wp:posOffset>
            </wp:positionH>
            <wp:positionV relativeFrom="paragraph">
              <wp:posOffset>123190</wp:posOffset>
            </wp:positionV>
            <wp:extent cx="3870000" cy="3808258"/>
            <wp:effectExtent l="0" t="0" r="0" b="1905"/>
            <wp:wrapSquare wrapText="bothSides"/>
            <wp:docPr id="35" name="Picture 35"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53">
                      <a:extLst>
                        <a:ext uri="{28A0092B-C50C-407E-A947-70E740481C1C}">
                          <a14:useLocalDpi xmlns:a14="http://schemas.microsoft.com/office/drawing/2010/main" val="0"/>
                        </a:ext>
                      </a:extLst>
                    </a:blip>
                    <a:stretch>
                      <a:fillRect/>
                    </a:stretch>
                  </pic:blipFill>
                  <pic:spPr>
                    <a:xfrm>
                      <a:off x="0" y="0"/>
                      <a:ext cx="3870000" cy="3808258"/>
                    </a:xfrm>
                    <a:prstGeom prst="rect">
                      <a:avLst/>
                    </a:prstGeom>
                  </pic:spPr>
                </pic:pic>
              </a:graphicData>
            </a:graphic>
            <wp14:sizeRelH relativeFrom="page">
              <wp14:pctWidth>0</wp14:pctWidth>
            </wp14:sizeRelH>
            <wp14:sizeRelV relativeFrom="page">
              <wp14:pctHeight>0</wp14:pctHeight>
            </wp14:sizeRelV>
          </wp:anchor>
        </w:drawing>
      </w:r>
      <w:r w:rsidR="00C0111D" w:rsidRPr="00C0111D">
        <w:t>Note the application of a sensible zoning pattern</w:t>
      </w:r>
      <w:r w:rsidR="007E4AC2">
        <w:t>,</w:t>
      </w:r>
      <w:r w:rsidR="00C0111D" w:rsidRPr="00C0111D">
        <w:t xml:space="preserve"> </w:t>
      </w:r>
      <w:r w:rsidR="007E4AC2">
        <w:t>which</w:t>
      </w:r>
      <w:r w:rsidR="007E4AC2" w:rsidRPr="00C0111D">
        <w:t xml:space="preserve"> </w:t>
      </w:r>
      <w:r w:rsidR="00C0111D" w:rsidRPr="00C0111D">
        <w:t>takes into account neighbouring zones and other requirements</w:t>
      </w:r>
      <w:r w:rsidR="007E4AC2">
        <w:t>,</w:t>
      </w:r>
      <w:r w:rsidR="00C0111D" w:rsidRPr="00C0111D">
        <w:t xml:space="preserve"> is to be expected</w:t>
      </w:r>
      <w:r w:rsidR="00085E3A">
        <w:t xml:space="preserve"> and</w:t>
      </w:r>
      <w:r w:rsidR="00C0111D" w:rsidRPr="00C0111D">
        <w:t xml:space="preserve"> zoned outcomes will not always need to match catchments perfectly.</w:t>
      </w:r>
    </w:p>
    <w:p w14:paraId="491227D0" w14:textId="0A60473F" w:rsidR="00C0111D" w:rsidRPr="00C0111D" w:rsidRDefault="00123328" w:rsidP="00123328">
      <w:pPr>
        <w:pStyle w:val="Source"/>
      </w:pPr>
      <w:r>
        <w:t>Note</w:t>
      </w:r>
      <w:r w:rsidR="007E4AC2">
        <w:t>,</w:t>
      </w:r>
      <w:r>
        <w:t xml:space="preserve"> </w:t>
      </w:r>
      <w:r w:rsidR="00C0111D" w:rsidRPr="00C0111D">
        <w:t>in some cases</w:t>
      </w:r>
      <w:r w:rsidR="007E4AC2">
        <w:t>,</w:t>
      </w:r>
      <w:r w:rsidR="00C0111D" w:rsidRPr="00C0111D">
        <w:t xml:space="preserve"> a change in zoning may not be necessary. The existing zoning may be suitable with a change in controls to enable intensification</w:t>
      </w:r>
      <w:r w:rsidR="007E4AC2">
        <w:t>,</w:t>
      </w:r>
      <w:r w:rsidR="00C0111D" w:rsidRPr="00C0111D">
        <w:t xml:space="preserve"> or a precinct could be applied. </w:t>
      </w:r>
    </w:p>
    <w:p w14:paraId="588E24DD" w14:textId="77777777" w:rsidR="00C0111D" w:rsidRPr="00C0111D" w:rsidRDefault="00C0111D" w:rsidP="007F3426">
      <w:pPr>
        <w:pStyle w:val="BodyText"/>
      </w:pPr>
    </w:p>
    <w:p w14:paraId="60290501" w14:textId="77777777" w:rsidR="00C0111D" w:rsidRPr="00C0111D" w:rsidRDefault="00C0111D" w:rsidP="007F3426">
      <w:pPr>
        <w:pStyle w:val="BodyText"/>
      </w:pPr>
      <w:r w:rsidRPr="00C0111D">
        <w:t> </w:t>
      </w:r>
    </w:p>
    <w:p w14:paraId="692F2BFF" w14:textId="5BF95D48" w:rsidR="0032640C" w:rsidRDefault="0032640C">
      <w:pPr>
        <w:spacing w:before="0" w:after="200" w:line="276" w:lineRule="auto"/>
        <w:jc w:val="left"/>
      </w:pPr>
      <w:r>
        <w:br w:type="page"/>
      </w:r>
    </w:p>
    <w:p w14:paraId="20B1E596" w14:textId="2DD6AC4E" w:rsidR="00C0111D" w:rsidRPr="00C0111D" w:rsidRDefault="00FD5B56" w:rsidP="000D494E">
      <w:pPr>
        <w:pStyle w:val="Heading1"/>
        <w:numPr>
          <w:ilvl w:val="0"/>
          <w:numId w:val="22"/>
        </w:numPr>
        <w:ind w:hanging="4330"/>
      </w:pPr>
      <w:bookmarkStart w:id="107" w:name="_Resources"/>
      <w:bookmarkStart w:id="108" w:name="_Toc50720810"/>
      <w:bookmarkStart w:id="109" w:name="_Ref51085251"/>
      <w:bookmarkStart w:id="110" w:name="_Ref51085266"/>
      <w:bookmarkStart w:id="111" w:name="_Ref51145477"/>
      <w:bookmarkStart w:id="112" w:name="_Ref51145484"/>
      <w:bookmarkStart w:id="113" w:name="_Ref51145687"/>
      <w:bookmarkStart w:id="114" w:name="_Ref51145693"/>
      <w:bookmarkStart w:id="115" w:name="_Ref51145713"/>
      <w:bookmarkStart w:id="116" w:name="_Ref51145727"/>
      <w:bookmarkEnd w:id="107"/>
      <w:r>
        <w:lastRenderedPageBreak/>
        <w:t>Resources</w:t>
      </w:r>
      <w:bookmarkEnd w:id="108"/>
      <w:bookmarkEnd w:id="109"/>
      <w:bookmarkEnd w:id="110"/>
      <w:bookmarkEnd w:id="111"/>
      <w:bookmarkEnd w:id="112"/>
      <w:bookmarkEnd w:id="113"/>
      <w:bookmarkEnd w:id="114"/>
      <w:bookmarkEnd w:id="115"/>
      <w:bookmarkEnd w:id="116"/>
    </w:p>
    <w:p w14:paraId="63C16662" w14:textId="590B517C" w:rsidR="00C0111D" w:rsidRPr="00534382" w:rsidRDefault="00C0111D" w:rsidP="00123328">
      <w:pPr>
        <w:pStyle w:val="BodyText"/>
        <w:spacing w:before="0" w:after="0"/>
      </w:pPr>
      <w:r w:rsidRPr="00534382">
        <w:t xml:space="preserve">Pedestrian </w:t>
      </w:r>
      <w:r w:rsidR="007E4AC2" w:rsidRPr="00534382">
        <w:t>p</w:t>
      </w:r>
      <w:r w:rsidRPr="00534382">
        <w:t xml:space="preserve">lanning and </w:t>
      </w:r>
      <w:r w:rsidR="007E4AC2" w:rsidRPr="00534382">
        <w:t>d</w:t>
      </w:r>
      <w:r w:rsidRPr="00534382">
        <w:t xml:space="preserve">esign </w:t>
      </w:r>
      <w:r w:rsidR="007E4AC2" w:rsidRPr="00534382">
        <w:t>g</w:t>
      </w:r>
      <w:r w:rsidRPr="00534382">
        <w:t>uide</w:t>
      </w:r>
    </w:p>
    <w:p w14:paraId="0D81B4F7" w14:textId="77777777" w:rsidR="00C0111D" w:rsidRPr="00C0111D" w:rsidRDefault="00C0111D" w:rsidP="00123328">
      <w:pPr>
        <w:pStyle w:val="BodyText"/>
        <w:spacing w:before="0" w:after="0"/>
      </w:pPr>
      <w:r w:rsidRPr="00C0111D">
        <w:t>Waka Kotahi NZTA, 2009</w:t>
      </w:r>
    </w:p>
    <w:p w14:paraId="4B5FD1DD" w14:textId="59482EF8" w:rsidR="00123328" w:rsidRDefault="005D2599" w:rsidP="00123328">
      <w:pPr>
        <w:pStyle w:val="BodyText"/>
        <w:spacing w:before="0" w:after="0"/>
      </w:pPr>
      <w:hyperlink r:id="rId54" w:history="1">
        <w:r w:rsidR="00123328" w:rsidRPr="00EE4EB0">
          <w:rPr>
            <w:rStyle w:val="Hyperlink"/>
          </w:rPr>
          <w:t>https://www.nzta.govt.nz/resources/pedestrian-planning-guide/</w:t>
        </w:r>
      </w:hyperlink>
    </w:p>
    <w:p w14:paraId="099BE8B3" w14:textId="771CC734" w:rsidR="00C0111D" w:rsidRPr="007E4AC2" w:rsidRDefault="00C0111D" w:rsidP="00123328">
      <w:pPr>
        <w:pStyle w:val="BodyText"/>
        <w:spacing w:before="0" w:after="0"/>
      </w:pPr>
      <w:r w:rsidRPr="00C0111D">
        <w:t xml:space="preserve"> </w:t>
      </w:r>
      <w:r w:rsidRPr="00C0111D">
        <w:cr/>
      </w:r>
      <w:r w:rsidRPr="00534382">
        <w:t>People</w:t>
      </w:r>
      <w:r w:rsidR="007E4AC2" w:rsidRPr="00534382">
        <w:t>,</w:t>
      </w:r>
      <w:r w:rsidRPr="00534382">
        <w:t xml:space="preserve"> </w:t>
      </w:r>
      <w:r w:rsidR="007E4AC2" w:rsidRPr="00534382">
        <w:t>p</w:t>
      </w:r>
      <w:r w:rsidRPr="00534382">
        <w:t>laces</w:t>
      </w:r>
      <w:r w:rsidR="007E4AC2" w:rsidRPr="00534382">
        <w:t>,</w:t>
      </w:r>
      <w:r w:rsidRPr="00534382">
        <w:t xml:space="preserve"> </w:t>
      </w:r>
      <w:r w:rsidR="007E4AC2" w:rsidRPr="00534382">
        <w:t>s</w:t>
      </w:r>
      <w:r w:rsidRPr="00534382">
        <w:t xml:space="preserve">paces </w:t>
      </w:r>
      <w:r w:rsidR="007E4AC2" w:rsidRPr="00534382">
        <w:t>u</w:t>
      </w:r>
      <w:r w:rsidRPr="00534382">
        <w:t xml:space="preserve">rban </w:t>
      </w:r>
      <w:r w:rsidR="007E4AC2" w:rsidRPr="00534382">
        <w:t>d</w:t>
      </w:r>
      <w:r w:rsidRPr="00534382">
        <w:t xml:space="preserve">esign </w:t>
      </w:r>
      <w:r w:rsidR="007E4AC2" w:rsidRPr="00534382">
        <w:t>g</w:t>
      </w:r>
      <w:r w:rsidRPr="00534382">
        <w:t>uid</w:t>
      </w:r>
      <w:r w:rsidRPr="007E4AC2">
        <w:t>e</w:t>
      </w:r>
    </w:p>
    <w:p w14:paraId="3D3AE056" w14:textId="77777777" w:rsidR="00C0111D" w:rsidRPr="00C0111D" w:rsidRDefault="00C0111D" w:rsidP="00123328">
      <w:pPr>
        <w:pStyle w:val="BodyText"/>
        <w:spacing w:before="0" w:after="0"/>
      </w:pPr>
      <w:r w:rsidRPr="00C0111D">
        <w:t>Ministry for the Environment, 2002</w:t>
      </w:r>
    </w:p>
    <w:p w14:paraId="1A13DF4B" w14:textId="27EF7985" w:rsidR="00123328" w:rsidRDefault="005D2599" w:rsidP="00123328">
      <w:pPr>
        <w:pStyle w:val="BodyText"/>
        <w:spacing w:before="0" w:after="0"/>
      </w:pPr>
      <w:hyperlink r:id="rId55" w:history="1">
        <w:r w:rsidR="00123328" w:rsidRPr="00EE4EB0">
          <w:rPr>
            <w:rStyle w:val="Hyperlink"/>
          </w:rPr>
          <w:t>https://www.mfe.govt.nz/publications/rma/people-places-spaces-mar02</w:t>
        </w:r>
      </w:hyperlink>
    </w:p>
    <w:p w14:paraId="4AED9C61" w14:textId="4EBDD070" w:rsidR="00C0111D" w:rsidRPr="00534382" w:rsidRDefault="00C0111D" w:rsidP="00123328">
      <w:pPr>
        <w:pStyle w:val="BodyText"/>
        <w:spacing w:before="0" w:after="0"/>
      </w:pPr>
      <w:r w:rsidRPr="00C0111D">
        <w:t xml:space="preserve"> </w:t>
      </w:r>
      <w:r w:rsidRPr="00C0111D">
        <w:cr/>
      </w:r>
      <w:r w:rsidRPr="00534382">
        <w:t xml:space="preserve">Urban Design Toolkit (Third </w:t>
      </w:r>
      <w:r w:rsidR="007E4AC2" w:rsidRPr="00534382">
        <w:t>e</w:t>
      </w:r>
      <w:r w:rsidRPr="00534382">
        <w:t>dition)</w:t>
      </w:r>
    </w:p>
    <w:p w14:paraId="189506FD" w14:textId="77777777" w:rsidR="00C0111D" w:rsidRPr="00C0111D" w:rsidRDefault="00C0111D" w:rsidP="00123328">
      <w:pPr>
        <w:pStyle w:val="BodyText"/>
        <w:spacing w:before="0" w:after="0"/>
      </w:pPr>
      <w:r w:rsidRPr="00C0111D">
        <w:t>Ministry for the Environment, 2006</w:t>
      </w:r>
    </w:p>
    <w:p w14:paraId="5CD91409" w14:textId="363A3ECE" w:rsidR="00123328" w:rsidRDefault="005D2599" w:rsidP="00123328">
      <w:pPr>
        <w:pStyle w:val="BodyText"/>
        <w:spacing w:before="0" w:after="0"/>
      </w:pPr>
      <w:hyperlink r:id="rId56" w:history="1">
        <w:r w:rsidR="00123328" w:rsidRPr="00EE4EB0">
          <w:rPr>
            <w:rStyle w:val="Hyperlink"/>
          </w:rPr>
          <w:t>https://www.mfe.govt.nz/sites/default/files/urban-design-toolkit-third-edition.pdf</w:t>
        </w:r>
      </w:hyperlink>
      <w:r w:rsidR="00C0111D" w:rsidRPr="00C0111D">
        <w:t xml:space="preserve"> </w:t>
      </w:r>
    </w:p>
    <w:p w14:paraId="3E285118" w14:textId="3475D034" w:rsidR="00C0111D" w:rsidRPr="00534382" w:rsidRDefault="00C0111D" w:rsidP="00123328">
      <w:pPr>
        <w:pStyle w:val="BodyText"/>
        <w:spacing w:before="0" w:after="0"/>
      </w:pPr>
      <w:r w:rsidRPr="00C0111D">
        <w:cr/>
      </w:r>
      <w:r w:rsidRPr="00534382">
        <w:t xml:space="preserve">Roads and </w:t>
      </w:r>
      <w:r w:rsidR="007E4AC2" w:rsidRPr="00534382">
        <w:t>s</w:t>
      </w:r>
      <w:r w:rsidRPr="00534382">
        <w:t xml:space="preserve">treets </w:t>
      </w:r>
      <w:r w:rsidR="007E4AC2" w:rsidRPr="00534382">
        <w:t>f</w:t>
      </w:r>
      <w:r w:rsidRPr="00534382">
        <w:t>ramework</w:t>
      </w:r>
    </w:p>
    <w:p w14:paraId="2BBBCE2D" w14:textId="77777777" w:rsidR="00C0111D" w:rsidRPr="00C0111D" w:rsidRDefault="00C0111D" w:rsidP="00123328">
      <w:pPr>
        <w:pStyle w:val="BodyText"/>
        <w:spacing w:before="0" w:after="0"/>
      </w:pPr>
      <w:r w:rsidRPr="00C0111D">
        <w:t>Auckland Transport, 2018</w:t>
      </w:r>
    </w:p>
    <w:p w14:paraId="53705EF3" w14:textId="2690172A" w:rsidR="00123328" w:rsidRDefault="005D2599" w:rsidP="00123328">
      <w:pPr>
        <w:pStyle w:val="BodyText"/>
        <w:spacing w:before="0" w:after="0"/>
      </w:pPr>
      <w:hyperlink r:id="rId57" w:history="1">
        <w:r w:rsidR="00123328" w:rsidRPr="00EE4EB0">
          <w:rPr>
            <w:rStyle w:val="Hyperlink"/>
          </w:rPr>
          <w:t>https://at.govt.nz/media/1976084/roads-and-streets-framework-webcompressed.pdf</w:t>
        </w:r>
      </w:hyperlink>
    </w:p>
    <w:p w14:paraId="7134A259" w14:textId="251626D3" w:rsidR="00C0111D" w:rsidRPr="007E4AC2" w:rsidRDefault="00C0111D" w:rsidP="00123328">
      <w:pPr>
        <w:pStyle w:val="BodyText"/>
        <w:spacing w:before="0" w:after="0"/>
      </w:pPr>
      <w:r w:rsidRPr="00C0111D">
        <w:t xml:space="preserve"> </w:t>
      </w:r>
      <w:r w:rsidRPr="00C0111D">
        <w:cr/>
      </w:r>
      <w:r w:rsidRPr="00534382">
        <w:t xml:space="preserve">Urban </w:t>
      </w:r>
      <w:r w:rsidR="007E4AC2" w:rsidRPr="00534382">
        <w:t>s</w:t>
      </w:r>
      <w:r w:rsidRPr="00534382">
        <w:t xml:space="preserve">treet and </w:t>
      </w:r>
      <w:r w:rsidR="007E4AC2" w:rsidRPr="00534382">
        <w:t>r</w:t>
      </w:r>
      <w:r w:rsidRPr="00534382">
        <w:t xml:space="preserve">oad </w:t>
      </w:r>
      <w:r w:rsidR="007E4AC2" w:rsidRPr="00534382">
        <w:t>d</w:t>
      </w:r>
      <w:r w:rsidRPr="00534382">
        <w:t xml:space="preserve">esign </w:t>
      </w:r>
      <w:r w:rsidR="007E4AC2" w:rsidRPr="00534382">
        <w:t>g</w:t>
      </w:r>
      <w:r w:rsidRPr="00534382">
        <w:t>uid</w:t>
      </w:r>
      <w:r w:rsidRPr="007E4AC2">
        <w:t>e</w:t>
      </w:r>
    </w:p>
    <w:p w14:paraId="0B452DD7" w14:textId="77777777" w:rsidR="00C0111D" w:rsidRPr="00C0111D" w:rsidRDefault="00C0111D" w:rsidP="00123328">
      <w:pPr>
        <w:pStyle w:val="BodyText"/>
        <w:spacing w:before="0" w:after="0"/>
      </w:pPr>
      <w:r w:rsidRPr="00C0111D">
        <w:t>Auckland Transport, 2019</w:t>
      </w:r>
    </w:p>
    <w:p w14:paraId="7D03BD12" w14:textId="05BB5E66" w:rsidR="00123328" w:rsidRDefault="005D2599" w:rsidP="00123328">
      <w:pPr>
        <w:pStyle w:val="BodyText"/>
        <w:spacing w:before="0" w:after="0"/>
      </w:pPr>
      <w:hyperlink r:id="rId58" w:history="1">
        <w:r w:rsidR="00123328" w:rsidRPr="00EE4EB0">
          <w:rPr>
            <w:rStyle w:val="Hyperlink"/>
          </w:rPr>
          <w:t>https://at.govt.nz/media/1980686/urban-street-and-road-design-guide.pdf</w:t>
        </w:r>
      </w:hyperlink>
    </w:p>
    <w:p w14:paraId="00E85905" w14:textId="7D1C8D38" w:rsidR="00C0111D" w:rsidRPr="00534382" w:rsidRDefault="00C0111D" w:rsidP="00123328">
      <w:pPr>
        <w:pStyle w:val="BodyText"/>
        <w:spacing w:before="0" w:after="0"/>
      </w:pPr>
      <w:r w:rsidRPr="00C0111D">
        <w:t xml:space="preserve"> </w:t>
      </w:r>
      <w:r w:rsidRPr="00C0111D">
        <w:cr/>
      </w:r>
      <w:r w:rsidRPr="00534382">
        <w:t>PedShed analysis</w:t>
      </w:r>
    </w:p>
    <w:p w14:paraId="6CABD434" w14:textId="77777777" w:rsidR="00C0111D" w:rsidRPr="00C0111D" w:rsidRDefault="00C0111D" w:rsidP="00123328">
      <w:pPr>
        <w:pStyle w:val="BodyText"/>
        <w:spacing w:before="0" w:after="0"/>
      </w:pPr>
      <w:r w:rsidRPr="00C0111D">
        <w:t>Active Healthy Communities, 2020</w:t>
      </w:r>
    </w:p>
    <w:p w14:paraId="6A290A37" w14:textId="2F553E0C" w:rsidR="00123328" w:rsidRDefault="005D2599" w:rsidP="00123328">
      <w:pPr>
        <w:pStyle w:val="BodyText"/>
        <w:spacing w:before="0" w:after="0"/>
      </w:pPr>
      <w:hyperlink r:id="rId59" w:history="1">
        <w:r w:rsidR="00123328" w:rsidRPr="00EE4EB0">
          <w:rPr>
            <w:rStyle w:val="Hyperlink"/>
          </w:rPr>
          <w:t>http://www.activehealthycommunities.com.au/plan/gis-analysis/walking-cycling-pedshed-analysis/</w:t>
        </w:r>
      </w:hyperlink>
    </w:p>
    <w:p w14:paraId="16F8C25C" w14:textId="2E3609F7" w:rsidR="00C0111D" w:rsidRPr="00C0111D" w:rsidRDefault="00C0111D" w:rsidP="00123328">
      <w:pPr>
        <w:pStyle w:val="BodyText"/>
        <w:spacing w:before="0" w:after="0"/>
      </w:pPr>
      <w:r w:rsidRPr="00C0111D">
        <w:t xml:space="preserve"> </w:t>
      </w:r>
      <w:r w:rsidRPr="00C0111D">
        <w:cr/>
      </w:r>
    </w:p>
    <w:p w14:paraId="6044FEFD" w14:textId="77777777" w:rsidR="00C0111D" w:rsidRPr="00C0111D" w:rsidRDefault="00C0111D" w:rsidP="007F3426">
      <w:pPr>
        <w:pStyle w:val="BodyText"/>
      </w:pPr>
    </w:p>
    <w:p w14:paraId="51F71942" w14:textId="77777777" w:rsidR="00C0111D" w:rsidRPr="00C0111D" w:rsidRDefault="00C0111D" w:rsidP="007F3426">
      <w:pPr>
        <w:pStyle w:val="BodyText"/>
      </w:pPr>
    </w:p>
    <w:p w14:paraId="0F90E1A8" w14:textId="77777777" w:rsidR="00C0111D" w:rsidRPr="00C0111D" w:rsidRDefault="00C0111D" w:rsidP="007F3426">
      <w:pPr>
        <w:pStyle w:val="BodyText"/>
      </w:pPr>
    </w:p>
    <w:p w14:paraId="442D93FE" w14:textId="77777777" w:rsidR="00C0111D" w:rsidRPr="00C0111D" w:rsidRDefault="00C0111D" w:rsidP="007F3426">
      <w:pPr>
        <w:pStyle w:val="BodyText"/>
      </w:pPr>
    </w:p>
    <w:p w14:paraId="23934653" w14:textId="77777777" w:rsidR="00C0111D" w:rsidRPr="00C0111D" w:rsidRDefault="00C0111D" w:rsidP="007F3426">
      <w:pPr>
        <w:pStyle w:val="BodyText"/>
      </w:pPr>
      <w:r w:rsidRPr="00C0111D">
        <w:t> </w:t>
      </w:r>
    </w:p>
    <w:p w14:paraId="1BB42CD9" w14:textId="77777777" w:rsidR="00123328" w:rsidRDefault="00123328">
      <w:pPr>
        <w:spacing w:before="0" w:after="200" w:line="276" w:lineRule="auto"/>
        <w:jc w:val="left"/>
      </w:pPr>
      <w:r>
        <w:br w:type="page"/>
      </w:r>
    </w:p>
    <w:p w14:paraId="63FDA9D4" w14:textId="6D33FBC1" w:rsidR="00C0111D" w:rsidRPr="00C0111D" w:rsidRDefault="00C0111D" w:rsidP="000D494E">
      <w:pPr>
        <w:pStyle w:val="Heading1"/>
        <w:numPr>
          <w:ilvl w:val="0"/>
          <w:numId w:val="22"/>
        </w:numPr>
        <w:ind w:hanging="4330"/>
      </w:pPr>
      <w:bookmarkStart w:id="117" w:name="_Toc50720811"/>
      <w:r w:rsidRPr="00C0111D">
        <w:lastRenderedPageBreak/>
        <w:t>References</w:t>
      </w:r>
      <w:bookmarkEnd w:id="117"/>
    </w:p>
    <w:p w14:paraId="15691564" w14:textId="1B5E9D25" w:rsidR="00C0111D" w:rsidRPr="00C0111D" w:rsidRDefault="00C0111D" w:rsidP="00123328">
      <w:pPr>
        <w:pStyle w:val="References"/>
      </w:pPr>
      <w:r w:rsidRPr="00C0111D">
        <w:t xml:space="preserve">Allen N. (2018). </w:t>
      </w:r>
      <w:r w:rsidRPr="00534382">
        <w:rPr>
          <w:i/>
        </w:rPr>
        <w:t xml:space="preserve">Concepts of </w:t>
      </w:r>
      <w:r w:rsidR="007E4AC2" w:rsidRPr="00534382">
        <w:rPr>
          <w:i/>
        </w:rPr>
        <w:t>n</w:t>
      </w:r>
      <w:r w:rsidRPr="00534382">
        <w:rPr>
          <w:i/>
        </w:rPr>
        <w:t xml:space="preserve">eighbourhood: A </w:t>
      </w:r>
      <w:r w:rsidR="007E4AC2" w:rsidRPr="00534382">
        <w:rPr>
          <w:i/>
        </w:rPr>
        <w:t>r</w:t>
      </w:r>
      <w:r w:rsidRPr="00534382">
        <w:rPr>
          <w:i/>
        </w:rPr>
        <w:t xml:space="preserve">eview of the </w:t>
      </w:r>
      <w:r w:rsidR="007E4AC2" w:rsidRPr="00534382">
        <w:rPr>
          <w:i/>
        </w:rPr>
        <w:t>l</w:t>
      </w:r>
      <w:r w:rsidRPr="00534382">
        <w:rPr>
          <w:i/>
        </w:rPr>
        <w:t>iterature.</w:t>
      </w:r>
      <w:r w:rsidRPr="00C0111D">
        <w:t xml:space="preserve"> Wellington: Building Better Homes Towns and Cities National Science Challenge.</w:t>
      </w:r>
    </w:p>
    <w:p w14:paraId="7B665BF7" w14:textId="6A8A4268" w:rsidR="00C0111D" w:rsidRPr="00C0111D" w:rsidRDefault="00C0111D" w:rsidP="00123328">
      <w:pPr>
        <w:pStyle w:val="References"/>
      </w:pPr>
      <w:r w:rsidRPr="00C0111D">
        <w:t>Auckland Council. 2012.</w:t>
      </w:r>
      <w:r w:rsidRPr="00534382">
        <w:rPr>
          <w:i/>
        </w:rPr>
        <w:t xml:space="preserve"> Auckland Plan.</w:t>
      </w:r>
      <w:r w:rsidRPr="00C0111D">
        <w:t xml:space="preserve"> Auckland: Auckland Council.</w:t>
      </w:r>
    </w:p>
    <w:p w14:paraId="20E30D3E" w14:textId="79BF02FA" w:rsidR="00C0111D" w:rsidRPr="00C0111D" w:rsidRDefault="00C0111D" w:rsidP="00123328">
      <w:pPr>
        <w:pStyle w:val="References"/>
      </w:pPr>
      <w:r w:rsidRPr="00C0111D">
        <w:t xml:space="preserve">Auckland Council. 2018. </w:t>
      </w:r>
      <w:r w:rsidRPr="00534382">
        <w:rPr>
          <w:i/>
        </w:rPr>
        <w:t>Auckland Plan 2050</w:t>
      </w:r>
      <w:r w:rsidRPr="00C0111D">
        <w:t>. Auckland: Auckland Council.</w:t>
      </w:r>
    </w:p>
    <w:p w14:paraId="417FB666" w14:textId="1453AE93" w:rsidR="00C0111D" w:rsidRPr="00C0111D" w:rsidRDefault="00C0111D" w:rsidP="00123328">
      <w:pPr>
        <w:pStyle w:val="References"/>
      </w:pPr>
      <w:r w:rsidRPr="00C0111D">
        <w:t xml:space="preserve">Auckland Transport. 2018. </w:t>
      </w:r>
      <w:r w:rsidRPr="00534382">
        <w:rPr>
          <w:i/>
        </w:rPr>
        <w:t xml:space="preserve">Roads and </w:t>
      </w:r>
      <w:r w:rsidR="007E4AC2" w:rsidRPr="00534382">
        <w:rPr>
          <w:i/>
        </w:rPr>
        <w:t>s</w:t>
      </w:r>
      <w:r w:rsidRPr="00534382">
        <w:rPr>
          <w:i/>
        </w:rPr>
        <w:t xml:space="preserve">treets </w:t>
      </w:r>
      <w:r w:rsidR="007E4AC2" w:rsidRPr="00534382">
        <w:rPr>
          <w:i/>
        </w:rPr>
        <w:t>f</w:t>
      </w:r>
      <w:r w:rsidRPr="00534382">
        <w:rPr>
          <w:i/>
        </w:rPr>
        <w:t>ramework</w:t>
      </w:r>
      <w:r w:rsidRPr="00C0111D">
        <w:t>. Auckland: Auckland Transport.</w:t>
      </w:r>
    </w:p>
    <w:p w14:paraId="5B854DB5" w14:textId="6E072745" w:rsidR="00C0111D" w:rsidRPr="00C0111D" w:rsidRDefault="00C0111D" w:rsidP="00123328">
      <w:pPr>
        <w:pStyle w:val="References"/>
      </w:pPr>
      <w:r w:rsidRPr="00C0111D">
        <w:t xml:space="preserve">Auckland Transport. 2019. </w:t>
      </w:r>
      <w:r w:rsidRPr="00534382">
        <w:rPr>
          <w:i/>
        </w:rPr>
        <w:t xml:space="preserve">Urban </w:t>
      </w:r>
      <w:r w:rsidR="007E4AC2" w:rsidRPr="00534382">
        <w:rPr>
          <w:i/>
        </w:rPr>
        <w:t>s</w:t>
      </w:r>
      <w:r w:rsidRPr="00534382">
        <w:rPr>
          <w:i/>
        </w:rPr>
        <w:t xml:space="preserve">treet and </w:t>
      </w:r>
      <w:r w:rsidR="007E4AC2" w:rsidRPr="00534382">
        <w:rPr>
          <w:i/>
        </w:rPr>
        <w:t>r</w:t>
      </w:r>
      <w:r w:rsidRPr="00534382">
        <w:rPr>
          <w:i/>
        </w:rPr>
        <w:t xml:space="preserve">oad </w:t>
      </w:r>
      <w:r w:rsidR="007E4AC2" w:rsidRPr="00534382">
        <w:rPr>
          <w:i/>
        </w:rPr>
        <w:t>d</w:t>
      </w:r>
      <w:r w:rsidRPr="00534382">
        <w:rPr>
          <w:i/>
        </w:rPr>
        <w:t xml:space="preserve">esign </w:t>
      </w:r>
      <w:r w:rsidR="007E4AC2" w:rsidRPr="00534382">
        <w:rPr>
          <w:i/>
        </w:rPr>
        <w:t>g</w:t>
      </w:r>
      <w:r w:rsidRPr="00534382">
        <w:rPr>
          <w:i/>
        </w:rPr>
        <w:t>uide</w:t>
      </w:r>
      <w:r w:rsidRPr="00C0111D">
        <w:t>. Auckland: Auckland Transport.</w:t>
      </w:r>
    </w:p>
    <w:p w14:paraId="2402ECC0" w14:textId="25847F8F" w:rsidR="00C0111D" w:rsidRPr="00C0111D" w:rsidRDefault="00C0111D" w:rsidP="00123328">
      <w:pPr>
        <w:pStyle w:val="References"/>
      </w:pPr>
      <w:r w:rsidRPr="00C0111D">
        <w:t xml:space="preserve">Chung P. 2012. </w:t>
      </w:r>
      <w:r w:rsidRPr="00534382">
        <w:rPr>
          <w:i/>
        </w:rPr>
        <w:t xml:space="preserve">Walkable </w:t>
      </w:r>
      <w:r w:rsidR="007E4AC2" w:rsidRPr="00534382">
        <w:rPr>
          <w:i/>
        </w:rPr>
        <w:t>c</w:t>
      </w:r>
      <w:r w:rsidRPr="00534382">
        <w:rPr>
          <w:i/>
        </w:rPr>
        <w:t xml:space="preserve">atchments </w:t>
      </w:r>
      <w:r w:rsidR="007E4AC2" w:rsidRPr="00534382">
        <w:rPr>
          <w:i/>
        </w:rPr>
        <w:t>a</w:t>
      </w:r>
      <w:r w:rsidRPr="00534382">
        <w:rPr>
          <w:i/>
        </w:rPr>
        <w:t xml:space="preserve">nalysis at Auckland </w:t>
      </w:r>
      <w:r w:rsidR="007E4AC2" w:rsidRPr="00534382">
        <w:rPr>
          <w:i/>
        </w:rPr>
        <w:t>t</w:t>
      </w:r>
      <w:r w:rsidRPr="00534382">
        <w:rPr>
          <w:i/>
        </w:rPr>
        <w:t xml:space="preserve">rain </w:t>
      </w:r>
      <w:r w:rsidR="007E4AC2" w:rsidRPr="00534382">
        <w:rPr>
          <w:i/>
        </w:rPr>
        <w:t>s</w:t>
      </w:r>
      <w:r w:rsidRPr="00534382">
        <w:rPr>
          <w:i/>
        </w:rPr>
        <w:t xml:space="preserve">tations: New Lynn, Glen Innes and Mt Albert. </w:t>
      </w:r>
      <w:r w:rsidRPr="00C0111D">
        <w:t>Auckland: Auckland Council.</w:t>
      </w:r>
    </w:p>
    <w:p w14:paraId="1F414CFB" w14:textId="423EBE6F" w:rsidR="00C0111D" w:rsidRPr="00C0111D" w:rsidRDefault="00C0111D" w:rsidP="00123328">
      <w:pPr>
        <w:pStyle w:val="References"/>
      </w:pPr>
      <w:r w:rsidRPr="00C0111D">
        <w:t>Greater Christchurch Partnership. 2019.</w:t>
      </w:r>
      <w:r w:rsidRPr="00534382">
        <w:rPr>
          <w:i/>
        </w:rPr>
        <w:t xml:space="preserve"> Our </w:t>
      </w:r>
      <w:r w:rsidR="007E4AC2" w:rsidRPr="00534382">
        <w:rPr>
          <w:i/>
        </w:rPr>
        <w:t>s</w:t>
      </w:r>
      <w:r w:rsidRPr="00534382">
        <w:rPr>
          <w:i/>
        </w:rPr>
        <w:t>pace 2018</w:t>
      </w:r>
      <w:r w:rsidR="007E4AC2" w:rsidRPr="00534382">
        <w:rPr>
          <w:i/>
        </w:rPr>
        <w:t>–</w:t>
      </w:r>
      <w:r w:rsidRPr="00534382">
        <w:rPr>
          <w:i/>
        </w:rPr>
        <w:t>2048: Greater Christchurch Settlement Pattern Update</w:t>
      </w:r>
      <w:r w:rsidRPr="00C0111D">
        <w:t>. Christchurch: Greater Christchurch Partnership.</w:t>
      </w:r>
    </w:p>
    <w:p w14:paraId="2732FABF" w14:textId="30BAC650" w:rsidR="00C0111D" w:rsidRPr="00C0111D" w:rsidRDefault="00C0111D" w:rsidP="00123328">
      <w:pPr>
        <w:pStyle w:val="References"/>
      </w:pPr>
      <w:r w:rsidRPr="00C0111D">
        <w:t xml:space="preserve">Greater Wellington Regional Council. 2015. </w:t>
      </w:r>
      <w:r w:rsidRPr="00534382">
        <w:rPr>
          <w:i/>
        </w:rPr>
        <w:t>Wellington Regional Land Transport P</w:t>
      </w:r>
      <w:r w:rsidR="007E4AC2" w:rsidRPr="00534382">
        <w:rPr>
          <w:i/>
        </w:rPr>
        <w:t>l</w:t>
      </w:r>
      <w:r w:rsidRPr="00534382">
        <w:rPr>
          <w:i/>
        </w:rPr>
        <w:t>an.</w:t>
      </w:r>
      <w:r w:rsidRPr="00C0111D">
        <w:t xml:space="preserve"> Wellington: Greater Wellington Regional Council.</w:t>
      </w:r>
    </w:p>
    <w:p w14:paraId="69CA48C0" w14:textId="4580B9A6" w:rsidR="00C0111D" w:rsidRPr="00C0111D" w:rsidRDefault="00C0111D" w:rsidP="00123328">
      <w:pPr>
        <w:pStyle w:val="References"/>
      </w:pPr>
      <w:r w:rsidRPr="00C0111D">
        <w:t xml:space="preserve">Ministry for the Environment. 2002. </w:t>
      </w:r>
      <w:r w:rsidRPr="00534382">
        <w:rPr>
          <w:i/>
        </w:rPr>
        <w:t>People</w:t>
      </w:r>
      <w:r w:rsidR="007E4AC2" w:rsidRPr="00534382">
        <w:rPr>
          <w:i/>
        </w:rPr>
        <w:t>,</w:t>
      </w:r>
      <w:r w:rsidRPr="00534382">
        <w:rPr>
          <w:i/>
        </w:rPr>
        <w:t xml:space="preserve"> </w:t>
      </w:r>
      <w:r w:rsidR="007E4AC2" w:rsidRPr="00534382">
        <w:rPr>
          <w:i/>
        </w:rPr>
        <w:t>p</w:t>
      </w:r>
      <w:r w:rsidRPr="00534382">
        <w:rPr>
          <w:i/>
        </w:rPr>
        <w:t>laces</w:t>
      </w:r>
      <w:r w:rsidR="007E4AC2" w:rsidRPr="00534382">
        <w:rPr>
          <w:i/>
        </w:rPr>
        <w:t>, s</w:t>
      </w:r>
      <w:r w:rsidRPr="00534382">
        <w:rPr>
          <w:i/>
        </w:rPr>
        <w:t xml:space="preserve">paces </w:t>
      </w:r>
      <w:r w:rsidR="007E4AC2" w:rsidRPr="00534382">
        <w:rPr>
          <w:i/>
        </w:rPr>
        <w:t>u</w:t>
      </w:r>
      <w:r w:rsidRPr="00534382">
        <w:rPr>
          <w:i/>
        </w:rPr>
        <w:t xml:space="preserve">rban </w:t>
      </w:r>
      <w:r w:rsidR="007E4AC2" w:rsidRPr="00534382">
        <w:rPr>
          <w:i/>
        </w:rPr>
        <w:t>d</w:t>
      </w:r>
      <w:r w:rsidRPr="00534382">
        <w:rPr>
          <w:i/>
        </w:rPr>
        <w:t xml:space="preserve">esign </w:t>
      </w:r>
      <w:r w:rsidR="007E4AC2" w:rsidRPr="00534382">
        <w:rPr>
          <w:i/>
        </w:rPr>
        <w:t>g</w:t>
      </w:r>
      <w:r w:rsidRPr="00534382">
        <w:rPr>
          <w:i/>
        </w:rPr>
        <w:t>uide.</w:t>
      </w:r>
      <w:r w:rsidRPr="00C0111D">
        <w:t xml:space="preserve"> Wellington: Ministry for the Environment.</w:t>
      </w:r>
    </w:p>
    <w:p w14:paraId="1055E603" w14:textId="27E903A8" w:rsidR="00C0111D" w:rsidRPr="00C0111D" w:rsidRDefault="00C0111D" w:rsidP="00123328">
      <w:pPr>
        <w:pStyle w:val="References"/>
      </w:pPr>
      <w:r w:rsidRPr="00C0111D">
        <w:t>Ministry for the Environment. 2006.</w:t>
      </w:r>
      <w:r w:rsidRPr="00534382">
        <w:rPr>
          <w:i/>
        </w:rPr>
        <w:t xml:space="preserve"> Urban Design Toolkit (Third </w:t>
      </w:r>
      <w:r w:rsidR="007E4AC2">
        <w:rPr>
          <w:i/>
        </w:rPr>
        <w:t>e</w:t>
      </w:r>
      <w:r w:rsidRPr="00534382">
        <w:rPr>
          <w:i/>
        </w:rPr>
        <w:t>dition)</w:t>
      </w:r>
      <w:r w:rsidRPr="00C0111D">
        <w:t>. Wellington: Ministry for the Environment.</w:t>
      </w:r>
    </w:p>
    <w:p w14:paraId="4A65C905" w14:textId="72212F9A" w:rsidR="00C0111D" w:rsidRPr="00C0111D" w:rsidRDefault="00C0111D" w:rsidP="00123328">
      <w:pPr>
        <w:pStyle w:val="References"/>
      </w:pPr>
      <w:r w:rsidRPr="00C0111D">
        <w:t xml:space="preserve">Munro I. 2009. </w:t>
      </w:r>
      <w:r w:rsidRPr="00534382">
        <w:rPr>
          <w:i/>
        </w:rPr>
        <w:t xml:space="preserve">The </w:t>
      </w:r>
      <w:r w:rsidR="007E4AC2" w:rsidRPr="00534382">
        <w:rPr>
          <w:i/>
        </w:rPr>
        <w:t>p</w:t>
      </w:r>
      <w:r w:rsidRPr="00534382">
        <w:rPr>
          <w:i/>
        </w:rPr>
        <w:t xml:space="preserve">roblem of </w:t>
      </w:r>
      <w:r w:rsidR="007E4AC2" w:rsidRPr="00534382">
        <w:rPr>
          <w:i/>
        </w:rPr>
        <w:t>c</w:t>
      </w:r>
      <w:r w:rsidRPr="00534382">
        <w:rPr>
          <w:i/>
        </w:rPr>
        <w:t xml:space="preserve">atchment in </w:t>
      </w:r>
      <w:r w:rsidR="007E4AC2" w:rsidRPr="00534382">
        <w:rPr>
          <w:i/>
        </w:rPr>
        <w:t>c</w:t>
      </w:r>
      <w:r w:rsidRPr="00534382">
        <w:rPr>
          <w:i/>
        </w:rPr>
        <w:t>entres-</w:t>
      </w:r>
      <w:r w:rsidR="007E4AC2" w:rsidRPr="00534382">
        <w:rPr>
          <w:i/>
        </w:rPr>
        <w:t>b</w:t>
      </w:r>
      <w:r w:rsidRPr="00534382">
        <w:rPr>
          <w:i/>
        </w:rPr>
        <w:t xml:space="preserve">ased </w:t>
      </w:r>
      <w:r w:rsidR="007E4AC2" w:rsidRPr="00534382">
        <w:rPr>
          <w:i/>
        </w:rPr>
        <w:t>r</w:t>
      </w:r>
      <w:r w:rsidRPr="00534382">
        <w:rPr>
          <w:i/>
        </w:rPr>
        <w:t xml:space="preserve">esidential </w:t>
      </w:r>
      <w:r w:rsidR="007E4AC2" w:rsidRPr="00534382">
        <w:rPr>
          <w:i/>
        </w:rPr>
        <w:t>g</w:t>
      </w:r>
      <w:r w:rsidRPr="00534382">
        <w:rPr>
          <w:i/>
        </w:rPr>
        <w:t xml:space="preserve">rowth </w:t>
      </w:r>
      <w:r w:rsidR="007E4AC2" w:rsidRPr="00534382">
        <w:rPr>
          <w:i/>
        </w:rPr>
        <w:t>p</w:t>
      </w:r>
      <w:r w:rsidRPr="00534382">
        <w:rPr>
          <w:i/>
        </w:rPr>
        <w:t>lanning.</w:t>
      </w:r>
      <w:r w:rsidRPr="00C0111D">
        <w:t xml:space="preserve"> 28</w:t>
      </w:r>
      <w:r w:rsidR="007E4AC2">
        <w:t>–</w:t>
      </w:r>
      <w:r w:rsidRPr="00C0111D">
        <w:t>29. Urbanismplus Ltd.</w:t>
      </w:r>
    </w:p>
    <w:p w14:paraId="3DDDAD0B" w14:textId="672A5DD1" w:rsidR="00C0111D" w:rsidRPr="00C0111D" w:rsidRDefault="00C0111D" w:rsidP="00123328">
      <w:pPr>
        <w:pStyle w:val="References"/>
      </w:pPr>
      <w:r w:rsidRPr="00C0111D">
        <w:t>NZ Transport Agency. 2009.</w:t>
      </w:r>
      <w:r w:rsidRPr="00534382">
        <w:rPr>
          <w:i/>
        </w:rPr>
        <w:t xml:space="preserve"> Pedestrian planning and design guide.</w:t>
      </w:r>
      <w:r w:rsidRPr="00C0111D">
        <w:t xml:space="preserve"> Wellington: NZ Transport Agency.</w:t>
      </w:r>
    </w:p>
    <w:p w14:paraId="7C444BDF" w14:textId="10E9B553" w:rsidR="00C0111D" w:rsidRPr="00C0111D" w:rsidRDefault="00C0111D" w:rsidP="00123328">
      <w:pPr>
        <w:pStyle w:val="References"/>
      </w:pPr>
      <w:r w:rsidRPr="00C0111D">
        <w:t xml:space="preserve">Porirua City Council. 2019. </w:t>
      </w:r>
      <w:r w:rsidRPr="00534382">
        <w:rPr>
          <w:i/>
        </w:rPr>
        <w:t>Porirua Growth Strategy 2048.</w:t>
      </w:r>
      <w:r w:rsidRPr="00C0111D">
        <w:t xml:space="preserve"> Porirua: Porirua City Council.</w:t>
      </w:r>
    </w:p>
    <w:p w14:paraId="631F91C9" w14:textId="4748486D" w:rsidR="00C0111D" w:rsidRPr="00C0111D" w:rsidRDefault="00C0111D" w:rsidP="00123328">
      <w:pPr>
        <w:pStyle w:val="References"/>
      </w:pPr>
      <w:r w:rsidRPr="00C0111D">
        <w:t xml:space="preserve">PwC. 2020. </w:t>
      </w:r>
      <w:r w:rsidRPr="00534382">
        <w:rPr>
          <w:i/>
        </w:rPr>
        <w:t xml:space="preserve">Cost </w:t>
      </w:r>
      <w:r w:rsidR="007E4AC2" w:rsidRPr="00534382">
        <w:rPr>
          <w:i/>
        </w:rPr>
        <w:t>b</w:t>
      </w:r>
      <w:r w:rsidRPr="00534382">
        <w:rPr>
          <w:i/>
        </w:rPr>
        <w:t xml:space="preserve">enefit </w:t>
      </w:r>
      <w:r w:rsidR="007E4AC2" w:rsidRPr="00534382">
        <w:rPr>
          <w:i/>
        </w:rPr>
        <w:t>a</w:t>
      </w:r>
      <w:r w:rsidRPr="00534382">
        <w:rPr>
          <w:i/>
        </w:rPr>
        <w:t xml:space="preserve">nalysis for the National Policy Statement on </w:t>
      </w:r>
      <w:r w:rsidR="007E4AC2" w:rsidRPr="00534382">
        <w:rPr>
          <w:i/>
        </w:rPr>
        <w:t>U</w:t>
      </w:r>
      <w:r w:rsidRPr="00534382">
        <w:rPr>
          <w:i/>
        </w:rPr>
        <w:t>rban Development.</w:t>
      </w:r>
      <w:r w:rsidRPr="00C0111D">
        <w:t xml:space="preserve"> Auckland: PwC. </w:t>
      </w:r>
    </w:p>
    <w:bookmarkEnd w:id="4"/>
    <w:p w14:paraId="5A05763F" w14:textId="1177C090" w:rsidR="00375C59" w:rsidRPr="006B77BB" w:rsidRDefault="00375C59" w:rsidP="00123328">
      <w:pPr>
        <w:pStyle w:val="References"/>
      </w:pPr>
    </w:p>
    <w:p w14:paraId="01299ECF" w14:textId="77777777" w:rsidR="00B51610" w:rsidRPr="006B77BB" w:rsidRDefault="00B51610" w:rsidP="00B51610">
      <w:pPr>
        <w:pStyle w:val="BodyText"/>
      </w:pPr>
    </w:p>
    <w:p w14:paraId="34BE0F9E" w14:textId="77777777" w:rsidR="00D009D8" w:rsidRPr="006B77BB" w:rsidRDefault="00D009D8" w:rsidP="00B51610">
      <w:pPr>
        <w:pStyle w:val="BodyText"/>
      </w:pPr>
    </w:p>
    <w:p w14:paraId="7A69DE83" w14:textId="4FC53368" w:rsidR="00D51469" w:rsidRPr="00554B30" w:rsidRDefault="00D51469" w:rsidP="00554B30"/>
    <w:sectPr w:rsidR="00D51469" w:rsidRPr="00554B30" w:rsidSect="00C73361">
      <w:footerReference w:type="even" r:id="rId60"/>
      <w:footerReference w:type="default" r:id="rId61"/>
      <w:pgSz w:w="11907" w:h="16840" w:code="9"/>
      <w:pgMar w:top="1134" w:right="1418" w:bottom="1276" w:left="1418"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AACEAC" w14:textId="77777777" w:rsidR="00307D72" w:rsidRDefault="00307D72" w:rsidP="0080531E">
      <w:pPr>
        <w:spacing w:before="0" w:after="0" w:line="240" w:lineRule="auto"/>
      </w:pPr>
      <w:r>
        <w:separator/>
      </w:r>
    </w:p>
    <w:p w14:paraId="5DC7659D" w14:textId="77777777" w:rsidR="00307D72" w:rsidRDefault="00307D72"/>
  </w:endnote>
  <w:endnote w:type="continuationSeparator" w:id="0">
    <w:p w14:paraId="11627D6D" w14:textId="77777777" w:rsidR="00307D72" w:rsidRDefault="00307D72" w:rsidP="0080531E">
      <w:pPr>
        <w:spacing w:before="0" w:after="0" w:line="240" w:lineRule="auto"/>
      </w:pPr>
      <w:r>
        <w:continuationSeparator/>
      </w:r>
    </w:p>
    <w:p w14:paraId="0A728602" w14:textId="77777777" w:rsidR="00307D72" w:rsidRDefault="00307D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B6D0C" w14:textId="77777777" w:rsidR="00307D72" w:rsidRDefault="00307D72" w:rsidP="00E65427">
    <w:pPr>
      <w:spacing w:before="240" w:after="0"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E08A" w14:textId="69396B65" w:rsidR="00307D72" w:rsidRDefault="00307D72" w:rsidP="00CD25E1">
    <w:pPr>
      <w:pStyle w:val="Footereven"/>
    </w:pPr>
    <w:r w:rsidRPr="004F458A">
      <w:rPr>
        <w:b/>
      </w:rPr>
      <w:fldChar w:fldCharType="begin"/>
    </w:r>
    <w:r w:rsidRPr="004F458A">
      <w:instrText xml:space="preserve"> PAGE </w:instrText>
    </w:r>
    <w:r w:rsidRPr="004F458A">
      <w:rPr>
        <w:b/>
      </w:rPr>
      <w:fldChar w:fldCharType="separate"/>
    </w:r>
    <w:r w:rsidR="005D2599">
      <w:rPr>
        <w:noProof/>
      </w:rPr>
      <w:t>20</w:t>
    </w:r>
    <w:r w:rsidRPr="004F458A">
      <w:rPr>
        <w:b/>
      </w:rPr>
      <w:fldChar w:fldCharType="end"/>
    </w:r>
    <w:r>
      <w:tab/>
      <w:t>Understanding and implementing intensification provisions for the NPS-UD</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5A351" w14:textId="753A65E2" w:rsidR="00307D72" w:rsidRDefault="00307D72" w:rsidP="00A61F97">
    <w:pPr>
      <w:pStyle w:val="Footerodd"/>
      <w:tabs>
        <w:tab w:val="clear" w:pos="7938"/>
      </w:tabs>
    </w:pPr>
    <w:r>
      <w:tab/>
      <w:t>Understanding and implementing intensification provisions for the NPS-UD</w:t>
    </w:r>
    <w:r>
      <w:tab/>
    </w:r>
    <w:r>
      <w:fldChar w:fldCharType="begin"/>
    </w:r>
    <w:r>
      <w:instrText xml:space="preserve"> PAGE   \* MERGEFORMAT </w:instrText>
    </w:r>
    <w:r>
      <w:fldChar w:fldCharType="separate"/>
    </w:r>
    <w:r w:rsidR="005D2599">
      <w:rPr>
        <w:noProof/>
      </w:rPr>
      <w:t>21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3914EA" w14:textId="77777777" w:rsidR="00307D72" w:rsidRDefault="00307D72" w:rsidP="00CB5C5F">
      <w:pPr>
        <w:spacing w:before="0" w:after="80" w:line="240" w:lineRule="auto"/>
      </w:pPr>
      <w:r>
        <w:separator/>
      </w:r>
    </w:p>
  </w:footnote>
  <w:footnote w:type="continuationSeparator" w:id="0">
    <w:p w14:paraId="4D2C0E76" w14:textId="77777777" w:rsidR="00307D72" w:rsidRDefault="00307D72" w:rsidP="0080531E">
      <w:pPr>
        <w:spacing w:before="0" w:after="0" w:line="240" w:lineRule="auto"/>
      </w:pPr>
      <w:r>
        <w:continuationSeparator/>
      </w:r>
    </w:p>
    <w:p w14:paraId="2E339604" w14:textId="77777777" w:rsidR="00307D72" w:rsidRDefault="00307D72"/>
  </w:footnote>
  <w:footnote w:id="1">
    <w:p w14:paraId="64DCC54D" w14:textId="070960A1" w:rsidR="00307D72" w:rsidRDefault="00307D72" w:rsidP="00B15070">
      <w:pPr>
        <w:pStyle w:val="FootnoteText"/>
      </w:pPr>
      <w:r>
        <w:rPr>
          <w:rStyle w:val="FootnoteReference"/>
        </w:rPr>
        <w:footnoteRef/>
      </w:r>
      <w:r>
        <w:t xml:space="preserve"> </w:t>
      </w:r>
      <w:r>
        <w:tab/>
        <w:t>Refer to the interpretation section (Part 1, clause 1.4) of the NPS-UD, specifically for the definitions of “urban environment”, “tier 1 urban environment”, “tier 2 urban environment” and “tier 3 urban environment”. Also, refer to appendix 1 of the NPS-UD for classification of tier 1 and tier 2 urban environments. Tier 3 urban environments include all of those not listed in the appendix.</w:t>
      </w:r>
    </w:p>
    <w:p w14:paraId="048A17F5" w14:textId="77777777" w:rsidR="00307D72" w:rsidRDefault="00307D72" w:rsidP="00B15070">
      <w:pPr>
        <w:pStyle w:val="FootnoteText"/>
      </w:pPr>
    </w:p>
  </w:footnote>
  <w:footnote w:id="2">
    <w:p w14:paraId="3EFC3243" w14:textId="5DC261E8" w:rsidR="00307D72" w:rsidRDefault="00307D72">
      <w:pPr>
        <w:pStyle w:val="FootnoteText"/>
      </w:pPr>
      <w:r>
        <w:rPr>
          <w:rStyle w:val="FootnoteReference"/>
        </w:rPr>
        <w:footnoteRef/>
      </w:r>
      <w:r>
        <w:t xml:space="preserve"> </w:t>
      </w:r>
      <w:r>
        <w:tab/>
      </w:r>
      <w:r>
        <w:tab/>
        <w:t xml:space="preserve">Community facility is defined in the national planning standards. </w:t>
      </w:r>
    </w:p>
  </w:footnote>
  <w:footnote w:id="3">
    <w:p w14:paraId="473B677C" w14:textId="0EB8BC57" w:rsidR="00307D72" w:rsidRDefault="00307D72" w:rsidP="007F3426">
      <w:pPr>
        <w:pStyle w:val="FootnoteText"/>
        <w:ind w:left="0" w:firstLine="0"/>
      </w:pPr>
      <w:r>
        <w:rPr>
          <w:rStyle w:val="FootnoteReference"/>
        </w:rPr>
        <w:footnoteRef/>
      </w:r>
      <w:r>
        <w:t xml:space="preserve"> </w:t>
      </w:r>
      <w:r>
        <w:tab/>
        <w:t>Educational facility is defined in the national planning standards.</w:t>
      </w:r>
    </w:p>
  </w:footnote>
  <w:footnote w:id="4">
    <w:p w14:paraId="7D1AC46E" w14:textId="6F9B0F3F" w:rsidR="00307D72" w:rsidRPr="00611C1E" w:rsidRDefault="00307D72" w:rsidP="00DA5DCF">
      <w:pPr>
        <w:spacing w:line="240" w:lineRule="auto"/>
        <w:ind w:left="426" w:hanging="426"/>
        <w:jc w:val="left"/>
        <w:rPr>
          <w:rStyle w:val="Hyperlink"/>
          <w:sz w:val="19"/>
          <w:szCs w:val="19"/>
        </w:rPr>
      </w:pPr>
      <w:r>
        <w:rPr>
          <w:rStyle w:val="FootnoteReference"/>
        </w:rPr>
        <w:footnoteRef/>
      </w:r>
      <w:r>
        <w:t xml:space="preserve"> </w:t>
      </w:r>
      <w:r>
        <w:tab/>
      </w:r>
      <w:r>
        <w:rPr>
          <w:sz w:val="19"/>
          <w:szCs w:val="19"/>
        </w:rPr>
        <w:t>F</w:t>
      </w:r>
      <w:r w:rsidRPr="00611C1E">
        <w:rPr>
          <w:sz w:val="19"/>
          <w:szCs w:val="19"/>
        </w:rPr>
        <w:t>urther information about Waka Kotahi</w:t>
      </w:r>
      <w:r>
        <w:rPr>
          <w:sz w:val="19"/>
          <w:szCs w:val="19"/>
        </w:rPr>
        <w:t xml:space="preserve"> NZ Transport Agency</w:t>
      </w:r>
      <w:r w:rsidRPr="00611C1E">
        <w:rPr>
          <w:sz w:val="19"/>
          <w:szCs w:val="19"/>
        </w:rPr>
        <w:t>’s Benefits Framework and the associated measures with data in the too</w:t>
      </w:r>
      <w:r>
        <w:rPr>
          <w:sz w:val="19"/>
          <w:szCs w:val="19"/>
        </w:rPr>
        <w:t>l are available</w:t>
      </w:r>
      <w:hyperlink r:id="rId1" w:history="1">
        <w:r w:rsidRPr="00FF0032">
          <w:rPr>
            <w:rStyle w:val="Hyperlink"/>
            <w:sz w:val="19"/>
            <w:szCs w:val="19"/>
          </w:rPr>
          <w:t xml:space="preserve"> </w:t>
        </w:r>
        <w:r w:rsidRPr="000D35C0">
          <w:rPr>
            <w:rStyle w:val="Hyperlink"/>
            <w:b/>
            <w:sz w:val="19"/>
            <w:szCs w:val="19"/>
          </w:rPr>
          <w:t>on the NZTA website</w:t>
        </w:r>
      </w:hyperlink>
      <w:r>
        <w:rPr>
          <w:sz w:val="19"/>
          <w:szCs w:val="19"/>
        </w:rPr>
        <w:t xml:space="preserve">. </w:t>
      </w:r>
    </w:p>
    <w:p w14:paraId="26784304" w14:textId="6794A090" w:rsidR="00307D72" w:rsidRDefault="00307D72">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C05C3"/>
    <w:multiLevelType w:val="hybridMultilevel"/>
    <w:tmpl w:val="3A123B24"/>
    <w:lvl w:ilvl="0" w:tplc="8BA0F24E">
      <w:start w:val="1"/>
      <w:numFmt w:val="decimal"/>
      <w:lvlText w:val="(%1)"/>
      <w:lvlJc w:val="left"/>
      <w:pPr>
        <w:ind w:left="720" w:hanging="360"/>
      </w:pPr>
      <w:rPr>
        <w:rFonts w:hint="default"/>
      </w:rPr>
    </w:lvl>
    <w:lvl w:ilvl="1" w:tplc="77765AD6">
      <w:start w:val="1"/>
      <w:numFmt w:val="lowerLetter"/>
      <w:lvlText w:val="(%2)"/>
      <w:lvlJc w:val="left"/>
      <w:pPr>
        <w:ind w:left="1470" w:hanging="390"/>
      </w:pPr>
      <w:rPr>
        <w:rFonts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0F375ABD"/>
    <w:multiLevelType w:val="hybridMultilevel"/>
    <w:tmpl w:val="7B283B9A"/>
    <w:lvl w:ilvl="0" w:tplc="1C66C75A">
      <w:start w:val="1"/>
      <w:numFmt w:val="lowerLetter"/>
      <w:lvlText w:val="(%1)"/>
      <w:lvlJc w:val="left"/>
      <w:pPr>
        <w:tabs>
          <w:tab w:val="num" w:pos="397"/>
        </w:tabs>
        <w:ind w:left="397" w:firstLine="0"/>
      </w:pPr>
      <w:rPr>
        <w:rFonts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8E0306"/>
    <w:multiLevelType w:val="hybridMultilevel"/>
    <w:tmpl w:val="C78A76BE"/>
    <w:lvl w:ilvl="0" w:tplc="8BA0F24E">
      <w:start w:val="1"/>
      <w:numFmt w:val="decimal"/>
      <w:lvlText w:val="(%1)"/>
      <w:lvlJc w:val="left"/>
      <w:pPr>
        <w:ind w:left="720" w:hanging="360"/>
      </w:pPr>
      <w:rPr>
        <w:rFonts w:hint="default"/>
      </w:rPr>
    </w:lvl>
    <w:lvl w:ilvl="1" w:tplc="77765AD6">
      <w:start w:val="1"/>
      <w:numFmt w:val="lowerLetter"/>
      <w:lvlText w:val="(%2)"/>
      <w:lvlJc w:val="left"/>
      <w:pPr>
        <w:ind w:left="1470" w:hanging="390"/>
      </w:pPr>
      <w:rPr>
        <w:rFonts w:hint="default"/>
      </w:rPr>
    </w:lvl>
    <w:lvl w:ilvl="2" w:tplc="BA58524A">
      <w:start w:val="1"/>
      <w:numFmt w:val="lowerRoman"/>
      <w:lvlText w:val="(%3)"/>
      <w:lvlJc w:val="right"/>
      <w:pPr>
        <w:ind w:left="2160" w:hanging="180"/>
      </w:pPr>
      <w:rPr>
        <w:rFonts w:hint="default"/>
      </w:r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1FBA57DE"/>
    <w:multiLevelType w:val="hybridMultilevel"/>
    <w:tmpl w:val="3284804E"/>
    <w:lvl w:ilvl="0" w:tplc="1C66C75A">
      <w:start w:val="1"/>
      <w:numFmt w:val="lowerLetter"/>
      <w:lvlText w:val="(%1)"/>
      <w:lvlJc w:val="left"/>
      <w:pPr>
        <w:ind w:left="720" w:hanging="360"/>
      </w:pPr>
      <w:rPr>
        <w:rFonts w:hint="default"/>
      </w:rPr>
    </w:lvl>
    <w:lvl w:ilvl="1" w:tplc="77765AD6">
      <w:start w:val="1"/>
      <w:numFmt w:val="lowerLetter"/>
      <w:lvlText w:val="(%2)"/>
      <w:lvlJc w:val="left"/>
      <w:pPr>
        <w:ind w:left="1470" w:hanging="390"/>
      </w:pPr>
      <w:rPr>
        <w:rFonts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204F1D2E"/>
    <w:multiLevelType w:val="multilevel"/>
    <w:tmpl w:val="78387896"/>
    <w:lvl w:ilvl="0">
      <w:start w:val="1"/>
      <w:numFmt w:val="bullet"/>
      <w:pStyle w:val="Blue-boxsub-bullet"/>
      <w:lvlText w:val="‒"/>
      <w:lvlJc w:val="left"/>
      <w:pPr>
        <w:ind w:left="1077" w:hanging="397"/>
      </w:pPr>
      <w:rPr>
        <w:rFonts w:ascii="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8" w15:restartNumberingAfterBreak="0">
    <w:nsid w:val="25FF636E"/>
    <w:multiLevelType w:val="hybridMultilevel"/>
    <w:tmpl w:val="93188D64"/>
    <w:lvl w:ilvl="0" w:tplc="1C66C75A">
      <w:start w:val="1"/>
      <w:numFmt w:val="lowerLetter"/>
      <w:lvlText w:val="(%1)"/>
      <w:lvlJc w:val="left"/>
      <w:pPr>
        <w:tabs>
          <w:tab w:val="num" w:pos="397"/>
        </w:tabs>
        <w:ind w:left="397" w:firstLine="0"/>
      </w:pPr>
      <w:rPr>
        <w:rFonts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BC263EA"/>
    <w:multiLevelType w:val="hybridMultilevel"/>
    <w:tmpl w:val="86D0829E"/>
    <w:lvl w:ilvl="0" w:tplc="44A01864">
      <w:start w:val="1"/>
      <w:numFmt w:val="bullet"/>
      <w:lvlText w:val=""/>
      <w:lvlJc w:val="left"/>
      <w:pPr>
        <w:ind w:left="1004" w:hanging="360"/>
      </w:pPr>
      <w:rPr>
        <w:rFonts w:ascii="Symbol" w:hAnsi="Symbol" w:hint="default"/>
        <w:sz w:val="22"/>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1"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D1A6BE2"/>
    <w:multiLevelType w:val="multilevel"/>
    <w:tmpl w:val="45DECC76"/>
    <w:lvl w:ilvl="0">
      <w:start w:val="1"/>
      <w:numFmt w:val="decimal"/>
      <w:pStyle w:val="Numberedparagraph"/>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3"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4" w15:restartNumberingAfterBreak="0">
    <w:nsid w:val="3C38766E"/>
    <w:multiLevelType w:val="hybridMultilevel"/>
    <w:tmpl w:val="4198BEF2"/>
    <w:lvl w:ilvl="0" w:tplc="1C66C75A">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DC02520"/>
    <w:multiLevelType w:val="multilevel"/>
    <w:tmpl w:val="1C38F460"/>
    <w:lvl w:ilvl="0">
      <w:start w:val="1"/>
      <w:numFmt w:val="decimal"/>
      <w:pStyle w:val="Heading1"/>
      <w:lvlText w:val="%1."/>
      <w:lvlJc w:val="left"/>
      <w:pPr>
        <w:ind w:left="360" w:hanging="360"/>
      </w:pPr>
      <w:rPr>
        <w:rFonts w:hint="default"/>
      </w:rPr>
    </w:lvl>
    <w:lvl w:ilvl="1">
      <w:start w:val="3"/>
      <w:numFmt w:val="decimal"/>
      <w:isLgl/>
      <w:lvlText w:val="%1.%2"/>
      <w:lvlJc w:val="left"/>
      <w:pPr>
        <w:ind w:left="1145" w:hanging="720"/>
      </w:pPr>
      <w:rPr>
        <w:rFonts w:hint="default"/>
      </w:rPr>
    </w:lvl>
    <w:lvl w:ilvl="2">
      <w:start w:val="1"/>
      <w:numFmt w:val="decimal"/>
      <w:isLgl/>
      <w:lvlText w:val="%1.%2.%3"/>
      <w:lvlJc w:val="left"/>
      <w:pPr>
        <w:ind w:left="1570" w:hanging="1080"/>
      </w:pPr>
      <w:rPr>
        <w:rFonts w:hint="default"/>
      </w:rPr>
    </w:lvl>
    <w:lvl w:ilvl="3">
      <w:start w:val="1"/>
      <w:numFmt w:val="decimal"/>
      <w:isLgl/>
      <w:lvlText w:val="%1.%2.%3.%4"/>
      <w:lvlJc w:val="left"/>
      <w:pPr>
        <w:ind w:left="1635" w:hanging="1080"/>
      </w:pPr>
      <w:rPr>
        <w:rFonts w:hint="default"/>
      </w:rPr>
    </w:lvl>
    <w:lvl w:ilvl="4">
      <w:start w:val="1"/>
      <w:numFmt w:val="decimal"/>
      <w:isLgl/>
      <w:lvlText w:val="%1.%2.%3.%4.%5"/>
      <w:lvlJc w:val="left"/>
      <w:pPr>
        <w:ind w:left="2060" w:hanging="1440"/>
      </w:pPr>
      <w:rPr>
        <w:rFonts w:hint="default"/>
      </w:rPr>
    </w:lvl>
    <w:lvl w:ilvl="5">
      <w:start w:val="1"/>
      <w:numFmt w:val="decimal"/>
      <w:isLgl/>
      <w:lvlText w:val="%1.%2.%3.%4.%5.%6"/>
      <w:lvlJc w:val="left"/>
      <w:pPr>
        <w:ind w:left="2485" w:hanging="1800"/>
      </w:pPr>
      <w:rPr>
        <w:rFonts w:hint="default"/>
      </w:rPr>
    </w:lvl>
    <w:lvl w:ilvl="6">
      <w:start w:val="1"/>
      <w:numFmt w:val="decimal"/>
      <w:isLgl/>
      <w:lvlText w:val="%1.%2.%3.%4.%5.%6.%7"/>
      <w:lvlJc w:val="left"/>
      <w:pPr>
        <w:ind w:left="2910" w:hanging="2160"/>
      </w:pPr>
      <w:rPr>
        <w:rFonts w:hint="default"/>
      </w:rPr>
    </w:lvl>
    <w:lvl w:ilvl="7">
      <w:start w:val="1"/>
      <w:numFmt w:val="decimal"/>
      <w:isLgl/>
      <w:lvlText w:val="%1.%2.%3.%4.%5.%6.%7.%8"/>
      <w:lvlJc w:val="left"/>
      <w:pPr>
        <w:ind w:left="2975" w:hanging="2160"/>
      </w:pPr>
      <w:rPr>
        <w:rFonts w:hint="default"/>
      </w:rPr>
    </w:lvl>
    <w:lvl w:ilvl="8">
      <w:start w:val="1"/>
      <w:numFmt w:val="decimal"/>
      <w:isLgl/>
      <w:lvlText w:val="%1.%2.%3.%4.%5.%6.%7.%8.%9"/>
      <w:lvlJc w:val="left"/>
      <w:pPr>
        <w:ind w:left="3400" w:hanging="2520"/>
      </w:pPr>
      <w:rPr>
        <w:rFonts w:hint="default"/>
      </w:rPr>
    </w:lvl>
  </w:abstractNum>
  <w:abstractNum w:abstractNumId="17"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A211B8"/>
    <w:multiLevelType w:val="hybridMultilevel"/>
    <w:tmpl w:val="9D0A20F8"/>
    <w:lvl w:ilvl="0" w:tplc="60586F24">
      <w:start w:val="1"/>
      <w:numFmt w:val="decimal"/>
      <w:pStyle w:val="Heading2"/>
      <w:lvlText w:val="%1.1"/>
      <w:lvlJc w:val="left"/>
      <w:pPr>
        <w:ind w:left="1070" w:hanging="360"/>
      </w:pPr>
      <w:rPr>
        <w:rFonts w:hint="default"/>
      </w:rPr>
    </w:lvl>
    <w:lvl w:ilvl="1" w:tplc="14090019">
      <w:start w:val="1"/>
      <w:numFmt w:val="lowerLetter"/>
      <w:lvlText w:val="%2."/>
      <w:lvlJc w:val="left"/>
      <w:pPr>
        <w:ind w:left="1441" w:hanging="360"/>
      </w:pPr>
    </w:lvl>
    <w:lvl w:ilvl="2" w:tplc="1409001B" w:tentative="1">
      <w:start w:val="1"/>
      <w:numFmt w:val="lowerRoman"/>
      <w:lvlText w:val="%3."/>
      <w:lvlJc w:val="right"/>
      <w:pPr>
        <w:ind w:left="2161" w:hanging="180"/>
      </w:pPr>
    </w:lvl>
    <w:lvl w:ilvl="3" w:tplc="1409000F" w:tentative="1">
      <w:start w:val="1"/>
      <w:numFmt w:val="decimal"/>
      <w:lvlText w:val="%4."/>
      <w:lvlJc w:val="left"/>
      <w:pPr>
        <w:ind w:left="2881" w:hanging="360"/>
      </w:pPr>
    </w:lvl>
    <w:lvl w:ilvl="4" w:tplc="14090019" w:tentative="1">
      <w:start w:val="1"/>
      <w:numFmt w:val="lowerLetter"/>
      <w:lvlText w:val="%5."/>
      <w:lvlJc w:val="left"/>
      <w:pPr>
        <w:ind w:left="3601" w:hanging="360"/>
      </w:pPr>
    </w:lvl>
    <w:lvl w:ilvl="5" w:tplc="1409001B" w:tentative="1">
      <w:start w:val="1"/>
      <w:numFmt w:val="lowerRoman"/>
      <w:lvlText w:val="%6."/>
      <w:lvlJc w:val="right"/>
      <w:pPr>
        <w:ind w:left="4321" w:hanging="180"/>
      </w:pPr>
    </w:lvl>
    <w:lvl w:ilvl="6" w:tplc="1409000F" w:tentative="1">
      <w:start w:val="1"/>
      <w:numFmt w:val="decimal"/>
      <w:lvlText w:val="%7."/>
      <w:lvlJc w:val="left"/>
      <w:pPr>
        <w:ind w:left="5041" w:hanging="360"/>
      </w:pPr>
    </w:lvl>
    <w:lvl w:ilvl="7" w:tplc="14090019" w:tentative="1">
      <w:start w:val="1"/>
      <w:numFmt w:val="lowerLetter"/>
      <w:lvlText w:val="%8."/>
      <w:lvlJc w:val="left"/>
      <w:pPr>
        <w:ind w:left="5761" w:hanging="360"/>
      </w:pPr>
    </w:lvl>
    <w:lvl w:ilvl="8" w:tplc="1409001B" w:tentative="1">
      <w:start w:val="1"/>
      <w:numFmt w:val="lowerRoman"/>
      <w:lvlText w:val="%9."/>
      <w:lvlJc w:val="right"/>
      <w:pPr>
        <w:ind w:left="6481" w:hanging="180"/>
      </w:pPr>
    </w:lvl>
  </w:abstractNum>
  <w:abstractNum w:abstractNumId="20"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1" w15:restartNumberingAfterBreak="0">
    <w:nsid w:val="48162FF9"/>
    <w:multiLevelType w:val="hybridMultilevel"/>
    <w:tmpl w:val="65EA4214"/>
    <w:lvl w:ilvl="0" w:tplc="E170203C">
      <w:start w:val="1"/>
      <w:numFmt w:val="decimal"/>
      <w:lvlText w:val="%1"/>
      <w:lvlJc w:val="left"/>
      <w:pPr>
        <w:ind w:left="720" w:hanging="360"/>
      </w:pPr>
      <w:rPr>
        <w:rFonts w:hint="default"/>
      </w:rPr>
    </w:lvl>
    <w:lvl w:ilvl="1" w:tplc="77765AD6">
      <w:start w:val="1"/>
      <w:numFmt w:val="lowerLetter"/>
      <w:lvlText w:val="(%2)"/>
      <w:lvlJc w:val="left"/>
      <w:pPr>
        <w:ind w:left="1470" w:hanging="390"/>
      </w:pPr>
      <w:rPr>
        <w:rFonts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48A11C4F"/>
    <w:multiLevelType w:val="hybridMultilevel"/>
    <w:tmpl w:val="8B768E18"/>
    <w:lvl w:ilvl="0" w:tplc="44A01864">
      <w:start w:val="1"/>
      <w:numFmt w:val="bullet"/>
      <w:lvlText w:val=""/>
      <w:lvlJc w:val="left"/>
      <w:pPr>
        <w:ind w:left="1004" w:hanging="360"/>
      </w:pPr>
      <w:rPr>
        <w:rFonts w:ascii="Symbol" w:hAnsi="Symbol" w:hint="default"/>
        <w:sz w:val="22"/>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3" w15:restartNumberingAfterBreak="0">
    <w:nsid w:val="491459F9"/>
    <w:multiLevelType w:val="multilevel"/>
    <w:tmpl w:val="8708DCBC"/>
    <w:lvl w:ilvl="0">
      <w:start w:val="2"/>
      <w:numFmt w:val="decimal"/>
      <w:lvlText w:val="%1"/>
      <w:lvlJc w:val="left"/>
      <w:pPr>
        <w:ind w:left="4330" w:hanging="360"/>
      </w:pPr>
      <w:rPr>
        <w:rFonts w:hint="default"/>
      </w:rPr>
    </w:lvl>
    <w:lvl w:ilvl="1">
      <w:start w:val="4"/>
      <w:numFmt w:val="decimal"/>
      <w:isLgl/>
      <w:lvlText w:val="%1.%2"/>
      <w:lvlJc w:val="left"/>
      <w:pPr>
        <w:ind w:left="4406" w:hanging="720"/>
      </w:pPr>
      <w:rPr>
        <w:rFonts w:hint="default"/>
      </w:rPr>
    </w:lvl>
    <w:lvl w:ilvl="2">
      <w:start w:val="1"/>
      <w:numFmt w:val="decimal"/>
      <w:isLgl/>
      <w:lvlText w:val="%1.%2.%3"/>
      <w:lvlJc w:val="left"/>
      <w:pPr>
        <w:ind w:left="4766" w:hanging="1080"/>
      </w:pPr>
      <w:rPr>
        <w:rFonts w:hint="default"/>
      </w:rPr>
    </w:lvl>
    <w:lvl w:ilvl="3">
      <w:start w:val="1"/>
      <w:numFmt w:val="decimal"/>
      <w:isLgl/>
      <w:lvlText w:val="%1.%2.%3.%4"/>
      <w:lvlJc w:val="left"/>
      <w:pPr>
        <w:ind w:left="4766" w:hanging="1080"/>
      </w:pPr>
      <w:rPr>
        <w:rFonts w:hint="default"/>
      </w:rPr>
    </w:lvl>
    <w:lvl w:ilvl="4">
      <w:start w:val="1"/>
      <w:numFmt w:val="decimal"/>
      <w:isLgl/>
      <w:lvlText w:val="%1.%2.%3.%4.%5"/>
      <w:lvlJc w:val="left"/>
      <w:pPr>
        <w:ind w:left="5126" w:hanging="1440"/>
      </w:pPr>
      <w:rPr>
        <w:rFonts w:hint="default"/>
      </w:rPr>
    </w:lvl>
    <w:lvl w:ilvl="5">
      <w:start w:val="1"/>
      <w:numFmt w:val="decimal"/>
      <w:isLgl/>
      <w:lvlText w:val="%1.%2.%3.%4.%5.%6"/>
      <w:lvlJc w:val="left"/>
      <w:pPr>
        <w:ind w:left="5486" w:hanging="1800"/>
      </w:pPr>
      <w:rPr>
        <w:rFonts w:hint="default"/>
      </w:rPr>
    </w:lvl>
    <w:lvl w:ilvl="6">
      <w:start w:val="1"/>
      <w:numFmt w:val="decimal"/>
      <w:isLgl/>
      <w:lvlText w:val="%1.%2.%3.%4.%5.%6.%7"/>
      <w:lvlJc w:val="left"/>
      <w:pPr>
        <w:ind w:left="5846" w:hanging="2160"/>
      </w:pPr>
      <w:rPr>
        <w:rFonts w:hint="default"/>
      </w:rPr>
    </w:lvl>
    <w:lvl w:ilvl="7">
      <w:start w:val="1"/>
      <w:numFmt w:val="decimal"/>
      <w:isLgl/>
      <w:lvlText w:val="%1.%2.%3.%4.%5.%6.%7.%8"/>
      <w:lvlJc w:val="left"/>
      <w:pPr>
        <w:ind w:left="5846" w:hanging="2160"/>
      </w:pPr>
      <w:rPr>
        <w:rFonts w:hint="default"/>
      </w:rPr>
    </w:lvl>
    <w:lvl w:ilvl="8">
      <w:start w:val="1"/>
      <w:numFmt w:val="decimal"/>
      <w:isLgl/>
      <w:lvlText w:val="%1.%2.%3.%4.%5.%6.%7.%8.%9"/>
      <w:lvlJc w:val="left"/>
      <w:pPr>
        <w:ind w:left="6206" w:hanging="2520"/>
      </w:pPr>
      <w:rPr>
        <w:rFonts w:hint="default"/>
      </w:rPr>
    </w:lvl>
  </w:abstractNum>
  <w:abstractNum w:abstractNumId="24" w15:restartNumberingAfterBreak="0">
    <w:nsid w:val="4AC70633"/>
    <w:multiLevelType w:val="hybridMultilevel"/>
    <w:tmpl w:val="3284804E"/>
    <w:lvl w:ilvl="0" w:tplc="1C66C75A">
      <w:start w:val="1"/>
      <w:numFmt w:val="lowerLetter"/>
      <w:lvlText w:val="(%1)"/>
      <w:lvlJc w:val="left"/>
      <w:pPr>
        <w:ind w:left="720" w:hanging="360"/>
      </w:pPr>
      <w:rPr>
        <w:rFonts w:hint="default"/>
      </w:rPr>
    </w:lvl>
    <w:lvl w:ilvl="1" w:tplc="77765AD6">
      <w:start w:val="1"/>
      <w:numFmt w:val="lowerLetter"/>
      <w:lvlText w:val="(%2)"/>
      <w:lvlJc w:val="left"/>
      <w:pPr>
        <w:ind w:left="1470" w:hanging="390"/>
      </w:pPr>
      <w:rPr>
        <w:rFonts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50616692"/>
    <w:multiLevelType w:val="hybridMultilevel"/>
    <w:tmpl w:val="3284804E"/>
    <w:lvl w:ilvl="0" w:tplc="1C66C75A">
      <w:start w:val="1"/>
      <w:numFmt w:val="lowerLetter"/>
      <w:lvlText w:val="(%1)"/>
      <w:lvlJc w:val="left"/>
      <w:pPr>
        <w:ind w:left="720" w:hanging="360"/>
      </w:pPr>
      <w:rPr>
        <w:rFonts w:hint="default"/>
      </w:rPr>
    </w:lvl>
    <w:lvl w:ilvl="1" w:tplc="77765AD6">
      <w:start w:val="1"/>
      <w:numFmt w:val="lowerLetter"/>
      <w:lvlText w:val="(%2)"/>
      <w:lvlJc w:val="left"/>
      <w:pPr>
        <w:ind w:left="1470" w:hanging="390"/>
      </w:pPr>
      <w:rPr>
        <w:rFonts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15:restartNumberingAfterBreak="0">
    <w:nsid w:val="52F82FA1"/>
    <w:multiLevelType w:val="hybridMultilevel"/>
    <w:tmpl w:val="DBC0E6FA"/>
    <w:lvl w:ilvl="0" w:tplc="44A01864">
      <w:start w:val="1"/>
      <w:numFmt w:val="bullet"/>
      <w:lvlText w:val=""/>
      <w:lvlJc w:val="left"/>
      <w:pPr>
        <w:ind w:left="1004" w:hanging="360"/>
      </w:pPr>
      <w:rPr>
        <w:rFonts w:ascii="Symbol" w:hAnsi="Symbol" w:hint="default"/>
        <w:sz w:val="22"/>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7" w15:restartNumberingAfterBreak="0">
    <w:nsid w:val="53535234"/>
    <w:multiLevelType w:val="singleLevel"/>
    <w:tmpl w:val="D1A2CC06"/>
    <w:lvl w:ilvl="0">
      <w:start w:val="1"/>
      <w:numFmt w:val="bullet"/>
      <w:pStyle w:val="Blue-boxbullet"/>
      <w:lvlText w:val=""/>
      <w:lvlJc w:val="left"/>
      <w:pPr>
        <w:ind w:left="644" w:hanging="360"/>
      </w:pPr>
      <w:rPr>
        <w:rFonts w:ascii="Symbol" w:hAnsi="Symbol" w:hint="default"/>
        <w:color w:val="1C556C"/>
        <w:sz w:val="16"/>
      </w:rPr>
    </w:lvl>
  </w:abstractNum>
  <w:abstractNum w:abstractNumId="28" w15:restartNumberingAfterBreak="0">
    <w:nsid w:val="6879485F"/>
    <w:multiLevelType w:val="hybridMultilevel"/>
    <w:tmpl w:val="3F6EC528"/>
    <w:lvl w:ilvl="0" w:tplc="44A01864">
      <w:start w:val="1"/>
      <w:numFmt w:val="bullet"/>
      <w:lvlText w:val=""/>
      <w:lvlJc w:val="left"/>
      <w:pPr>
        <w:ind w:left="1004" w:hanging="360"/>
      </w:pPr>
      <w:rPr>
        <w:rFonts w:ascii="Symbol" w:hAnsi="Symbol" w:hint="default"/>
        <w:sz w:val="22"/>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9" w15:restartNumberingAfterBreak="0">
    <w:nsid w:val="6DD5664C"/>
    <w:multiLevelType w:val="hybridMultilevel"/>
    <w:tmpl w:val="3284804E"/>
    <w:lvl w:ilvl="0" w:tplc="1C66C75A">
      <w:start w:val="1"/>
      <w:numFmt w:val="lowerLetter"/>
      <w:lvlText w:val="(%1)"/>
      <w:lvlJc w:val="left"/>
      <w:pPr>
        <w:ind w:left="720" w:hanging="360"/>
      </w:pPr>
      <w:rPr>
        <w:rFonts w:hint="default"/>
      </w:rPr>
    </w:lvl>
    <w:lvl w:ilvl="1" w:tplc="77765AD6">
      <w:start w:val="1"/>
      <w:numFmt w:val="lowerLetter"/>
      <w:lvlText w:val="(%2)"/>
      <w:lvlJc w:val="left"/>
      <w:pPr>
        <w:ind w:left="1470" w:hanging="390"/>
      </w:pPr>
      <w:rPr>
        <w:rFonts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2"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CC26C00"/>
    <w:multiLevelType w:val="hybridMultilevel"/>
    <w:tmpl w:val="FE46742E"/>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num w:numId="1">
    <w:abstractNumId w:val="13"/>
  </w:num>
  <w:num w:numId="2">
    <w:abstractNumId w:val="27"/>
  </w:num>
  <w:num w:numId="3">
    <w:abstractNumId w:val="17"/>
  </w:num>
  <w:num w:numId="4">
    <w:abstractNumId w:val="12"/>
  </w:num>
  <w:num w:numId="5">
    <w:abstractNumId w:val="7"/>
  </w:num>
  <w:num w:numId="6">
    <w:abstractNumId w:val="20"/>
  </w:num>
  <w:num w:numId="7">
    <w:abstractNumId w:val="18"/>
  </w:num>
  <w:num w:numId="8">
    <w:abstractNumId w:val="32"/>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30"/>
  </w:num>
  <w:num w:numId="12">
    <w:abstractNumId w:val="2"/>
  </w:num>
  <w:num w:numId="13">
    <w:abstractNumId w:val="9"/>
  </w:num>
  <w:num w:numId="14">
    <w:abstractNumId w:val="15"/>
  </w:num>
  <w:num w:numId="15">
    <w:abstractNumId w:val="6"/>
  </w:num>
  <w:num w:numId="16">
    <w:abstractNumId w:val="31"/>
  </w:num>
  <w:num w:numId="17">
    <w:abstractNumId w:val="16"/>
  </w:num>
  <w:num w:numId="18">
    <w:abstractNumId w:val="19"/>
  </w:num>
  <w:num w:numId="19">
    <w:abstractNumId w:val="33"/>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lvlOverride w:ilvl="0">
      <w:startOverride w:val="1"/>
    </w:lvlOverride>
    <w:lvlOverride w:ilvl="1">
      <w:startOverride w:val="2"/>
    </w:lvlOverride>
  </w:num>
  <w:num w:numId="22">
    <w:abstractNumId w:val="23"/>
  </w:num>
  <w:num w:numId="23">
    <w:abstractNumId w:val="21"/>
  </w:num>
  <w:num w:numId="24">
    <w:abstractNumId w:val="22"/>
  </w:num>
  <w:num w:numId="25">
    <w:abstractNumId w:val="10"/>
  </w:num>
  <w:num w:numId="26">
    <w:abstractNumId w:val="28"/>
  </w:num>
  <w:num w:numId="27">
    <w:abstractNumId w:val="26"/>
  </w:num>
  <w:num w:numId="28">
    <w:abstractNumId w:val="14"/>
  </w:num>
  <w:num w:numId="29">
    <w:abstractNumId w:val="3"/>
  </w:num>
  <w:num w:numId="30">
    <w:abstractNumId w:val="8"/>
  </w:num>
  <w:num w:numId="31">
    <w:abstractNumId w:val="5"/>
  </w:num>
  <w:num w:numId="32">
    <w:abstractNumId w:val="24"/>
  </w:num>
  <w:num w:numId="33">
    <w:abstractNumId w:val="0"/>
  </w:num>
  <w:num w:numId="34">
    <w:abstractNumId w:val="4"/>
  </w:num>
  <w:num w:numId="35">
    <w:abstractNumId w:val="29"/>
  </w:num>
  <w:num w:numId="36">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DateAndTime/>
  <w:attachedTemplate r:id="rId1"/>
  <w:defaultTabStop w:val="397"/>
  <w:evenAndOddHeaders/>
  <w:drawingGridHorizontalSpacing w:val="110"/>
  <w:displayHorizontalDrawingGridEvery w:val="2"/>
  <w:characterSpacingControl w:val="doNotCompress"/>
  <w:hdrShapeDefaults>
    <o:shapedefaults v:ext="edit" spidmax="28673"/>
  </w:hdrShapeDefaults>
  <w:footnotePr>
    <w:footnote w:id="-1"/>
    <w:footnote w:id="0"/>
  </w:footnotePr>
  <w:endnotePr>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37F9"/>
    <w:rsid w:val="00000792"/>
    <w:rsid w:val="00000F04"/>
    <w:rsid w:val="00003C4F"/>
    <w:rsid w:val="00004E0A"/>
    <w:rsid w:val="00004FD3"/>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4236"/>
    <w:rsid w:val="000148F6"/>
    <w:rsid w:val="00015217"/>
    <w:rsid w:val="000159D2"/>
    <w:rsid w:val="00016264"/>
    <w:rsid w:val="00016993"/>
    <w:rsid w:val="00016CAB"/>
    <w:rsid w:val="00016E5B"/>
    <w:rsid w:val="0001749B"/>
    <w:rsid w:val="00017D75"/>
    <w:rsid w:val="00017FE5"/>
    <w:rsid w:val="00021910"/>
    <w:rsid w:val="00022E8D"/>
    <w:rsid w:val="0002348A"/>
    <w:rsid w:val="00024708"/>
    <w:rsid w:val="00024EE7"/>
    <w:rsid w:val="00025F96"/>
    <w:rsid w:val="00025FAB"/>
    <w:rsid w:val="000269D7"/>
    <w:rsid w:val="00026E89"/>
    <w:rsid w:val="000275A3"/>
    <w:rsid w:val="00030558"/>
    <w:rsid w:val="00030699"/>
    <w:rsid w:val="00030725"/>
    <w:rsid w:val="00030ABF"/>
    <w:rsid w:val="00030DB8"/>
    <w:rsid w:val="00031A83"/>
    <w:rsid w:val="0003213A"/>
    <w:rsid w:val="00032A81"/>
    <w:rsid w:val="000340D8"/>
    <w:rsid w:val="0003427D"/>
    <w:rsid w:val="00034DFA"/>
    <w:rsid w:val="000357ED"/>
    <w:rsid w:val="00035E15"/>
    <w:rsid w:val="0003640E"/>
    <w:rsid w:val="0003688A"/>
    <w:rsid w:val="000368FC"/>
    <w:rsid w:val="00036DA3"/>
    <w:rsid w:val="000379BF"/>
    <w:rsid w:val="00037BEC"/>
    <w:rsid w:val="000400D9"/>
    <w:rsid w:val="0004035C"/>
    <w:rsid w:val="00040860"/>
    <w:rsid w:val="00040CED"/>
    <w:rsid w:val="00040EA1"/>
    <w:rsid w:val="00041F8B"/>
    <w:rsid w:val="0004205F"/>
    <w:rsid w:val="000423C6"/>
    <w:rsid w:val="00042EDB"/>
    <w:rsid w:val="0004338B"/>
    <w:rsid w:val="00044A50"/>
    <w:rsid w:val="00044C65"/>
    <w:rsid w:val="000458C7"/>
    <w:rsid w:val="00045991"/>
    <w:rsid w:val="00045E5C"/>
    <w:rsid w:val="00046288"/>
    <w:rsid w:val="00047941"/>
    <w:rsid w:val="00050A22"/>
    <w:rsid w:val="00050E27"/>
    <w:rsid w:val="0005144F"/>
    <w:rsid w:val="00051587"/>
    <w:rsid w:val="00051AF1"/>
    <w:rsid w:val="00051D42"/>
    <w:rsid w:val="000538A1"/>
    <w:rsid w:val="00055375"/>
    <w:rsid w:val="00056319"/>
    <w:rsid w:val="000564E7"/>
    <w:rsid w:val="00056770"/>
    <w:rsid w:val="00057386"/>
    <w:rsid w:val="00057EEF"/>
    <w:rsid w:val="000619CB"/>
    <w:rsid w:val="00062387"/>
    <w:rsid w:val="000640F0"/>
    <w:rsid w:val="0006434D"/>
    <w:rsid w:val="000643A1"/>
    <w:rsid w:val="00064679"/>
    <w:rsid w:val="00064A13"/>
    <w:rsid w:val="00064AF4"/>
    <w:rsid w:val="00064DB1"/>
    <w:rsid w:val="00065BA3"/>
    <w:rsid w:val="00065D3B"/>
    <w:rsid w:val="000662EC"/>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35A2"/>
    <w:rsid w:val="0007517E"/>
    <w:rsid w:val="00075FE1"/>
    <w:rsid w:val="00076667"/>
    <w:rsid w:val="00077473"/>
    <w:rsid w:val="00077481"/>
    <w:rsid w:val="000776F9"/>
    <w:rsid w:val="00077D5E"/>
    <w:rsid w:val="00077EE0"/>
    <w:rsid w:val="000802F9"/>
    <w:rsid w:val="0008145A"/>
    <w:rsid w:val="0008162D"/>
    <w:rsid w:val="000831C8"/>
    <w:rsid w:val="00083F5E"/>
    <w:rsid w:val="00084FDB"/>
    <w:rsid w:val="0008505C"/>
    <w:rsid w:val="00085C46"/>
    <w:rsid w:val="00085E3A"/>
    <w:rsid w:val="0008686A"/>
    <w:rsid w:val="00087175"/>
    <w:rsid w:val="00087D35"/>
    <w:rsid w:val="00091796"/>
    <w:rsid w:val="00091BA2"/>
    <w:rsid w:val="00091CB0"/>
    <w:rsid w:val="00094344"/>
    <w:rsid w:val="000953C6"/>
    <w:rsid w:val="000953F4"/>
    <w:rsid w:val="0009590C"/>
    <w:rsid w:val="000959E7"/>
    <w:rsid w:val="00095E7D"/>
    <w:rsid w:val="000964DE"/>
    <w:rsid w:val="000972AB"/>
    <w:rsid w:val="00097B40"/>
    <w:rsid w:val="00097D0E"/>
    <w:rsid w:val="000A17EA"/>
    <w:rsid w:val="000A1C7A"/>
    <w:rsid w:val="000A2345"/>
    <w:rsid w:val="000A2394"/>
    <w:rsid w:val="000A31C1"/>
    <w:rsid w:val="000A32C5"/>
    <w:rsid w:val="000A3411"/>
    <w:rsid w:val="000A34CA"/>
    <w:rsid w:val="000A426F"/>
    <w:rsid w:val="000A4559"/>
    <w:rsid w:val="000A45FD"/>
    <w:rsid w:val="000A477B"/>
    <w:rsid w:val="000A558D"/>
    <w:rsid w:val="000A5611"/>
    <w:rsid w:val="000A563C"/>
    <w:rsid w:val="000A59C5"/>
    <w:rsid w:val="000A5DEA"/>
    <w:rsid w:val="000A5EBD"/>
    <w:rsid w:val="000A7658"/>
    <w:rsid w:val="000A7F0F"/>
    <w:rsid w:val="000A7F4C"/>
    <w:rsid w:val="000B02BC"/>
    <w:rsid w:val="000B0498"/>
    <w:rsid w:val="000B0F36"/>
    <w:rsid w:val="000B1942"/>
    <w:rsid w:val="000B1BED"/>
    <w:rsid w:val="000B2240"/>
    <w:rsid w:val="000B2477"/>
    <w:rsid w:val="000B2600"/>
    <w:rsid w:val="000B36F9"/>
    <w:rsid w:val="000B4074"/>
    <w:rsid w:val="000B4732"/>
    <w:rsid w:val="000B4BCD"/>
    <w:rsid w:val="000B5F78"/>
    <w:rsid w:val="000B66DC"/>
    <w:rsid w:val="000B6D1F"/>
    <w:rsid w:val="000C062F"/>
    <w:rsid w:val="000C17E7"/>
    <w:rsid w:val="000C3270"/>
    <w:rsid w:val="000C577E"/>
    <w:rsid w:val="000D04BA"/>
    <w:rsid w:val="000D0B6E"/>
    <w:rsid w:val="000D0D65"/>
    <w:rsid w:val="000D12E0"/>
    <w:rsid w:val="000D1944"/>
    <w:rsid w:val="000D1DD9"/>
    <w:rsid w:val="000D2172"/>
    <w:rsid w:val="000D293C"/>
    <w:rsid w:val="000D2BC1"/>
    <w:rsid w:val="000D337B"/>
    <w:rsid w:val="000D35C0"/>
    <w:rsid w:val="000D385A"/>
    <w:rsid w:val="000D38C2"/>
    <w:rsid w:val="000D3CA7"/>
    <w:rsid w:val="000D494E"/>
    <w:rsid w:val="000D5B16"/>
    <w:rsid w:val="000D5FD6"/>
    <w:rsid w:val="000D6201"/>
    <w:rsid w:val="000D6488"/>
    <w:rsid w:val="000D7088"/>
    <w:rsid w:val="000D770B"/>
    <w:rsid w:val="000D788E"/>
    <w:rsid w:val="000E12B0"/>
    <w:rsid w:val="000E1BC8"/>
    <w:rsid w:val="000E1D32"/>
    <w:rsid w:val="000E26D8"/>
    <w:rsid w:val="000E2B94"/>
    <w:rsid w:val="000E3156"/>
    <w:rsid w:val="000E35B6"/>
    <w:rsid w:val="000E3BB8"/>
    <w:rsid w:val="000E3D9B"/>
    <w:rsid w:val="000E3DFD"/>
    <w:rsid w:val="000E4261"/>
    <w:rsid w:val="000E4697"/>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285"/>
    <w:rsid w:val="000F52E0"/>
    <w:rsid w:val="000F53A9"/>
    <w:rsid w:val="000F6464"/>
    <w:rsid w:val="000F6628"/>
    <w:rsid w:val="000F6C25"/>
    <w:rsid w:val="000F76EB"/>
    <w:rsid w:val="000F78AE"/>
    <w:rsid w:val="000F7E25"/>
    <w:rsid w:val="001007EE"/>
    <w:rsid w:val="00100F76"/>
    <w:rsid w:val="0010148E"/>
    <w:rsid w:val="0010253C"/>
    <w:rsid w:val="00102BD1"/>
    <w:rsid w:val="0010486A"/>
    <w:rsid w:val="0010561C"/>
    <w:rsid w:val="00105C0F"/>
    <w:rsid w:val="00105E39"/>
    <w:rsid w:val="00106561"/>
    <w:rsid w:val="00106D63"/>
    <w:rsid w:val="001075F3"/>
    <w:rsid w:val="00107A01"/>
    <w:rsid w:val="00107C23"/>
    <w:rsid w:val="00110307"/>
    <w:rsid w:val="00110C7F"/>
    <w:rsid w:val="00110EE2"/>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B2"/>
    <w:rsid w:val="00117F9B"/>
    <w:rsid w:val="00120AA8"/>
    <w:rsid w:val="00121211"/>
    <w:rsid w:val="00121628"/>
    <w:rsid w:val="0012167D"/>
    <w:rsid w:val="00121B32"/>
    <w:rsid w:val="00122189"/>
    <w:rsid w:val="00122280"/>
    <w:rsid w:val="00122D42"/>
    <w:rsid w:val="00123328"/>
    <w:rsid w:val="00123345"/>
    <w:rsid w:val="00123C46"/>
    <w:rsid w:val="0012470B"/>
    <w:rsid w:val="00125C75"/>
    <w:rsid w:val="00125C7E"/>
    <w:rsid w:val="00127945"/>
    <w:rsid w:val="00127D94"/>
    <w:rsid w:val="00127E90"/>
    <w:rsid w:val="001302C1"/>
    <w:rsid w:val="001306D3"/>
    <w:rsid w:val="001310BF"/>
    <w:rsid w:val="00131A61"/>
    <w:rsid w:val="00133E73"/>
    <w:rsid w:val="00133FDB"/>
    <w:rsid w:val="00134F4A"/>
    <w:rsid w:val="00135E4E"/>
    <w:rsid w:val="00136246"/>
    <w:rsid w:val="001364D4"/>
    <w:rsid w:val="001371C8"/>
    <w:rsid w:val="001372ED"/>
    <w:rsid w:val="00142B50"/>
    <w:rsid w:val="00143873"/>
    <w:rsid w:val="001439E9"/>
    <w:rsid w:val="00143C55"/>
    <w:rsid w:val="00144C6F"/>
    <w:rsid w:val="00145089"/>
    <w:rsid w:val="001451E7"/>
    <w:rsid w:val="001462E3"/>
    <w:rsid w:val="0014720C"/>
    <w:rsid w:val="001472C2"/>
    <w:rsid w:val="00147458"/>
    <w:rsid w:val="00147E21"/>
    <w:rsid w:val="00150BA8"/>
    <w:rsid w:val="00150D19"/>
    <w:rsid w:val="0015181B"/>
    <w:rsid w:val="00151A9F"/>
    <w:rsid w:val="00152B87"/>
    <w:rsid w:val="00153A96"/>
    <w:rsid w:val="00153D1C"/>
    <w:rsid w:val="001543E2"/>
    <w:rsid w:val="00155B43"/>
    <w:rsid w:val="001560BC"/>
    <w:rsid w:val="001565A2"/>
    <w:rsid w:val="001567C3"/>
    <w:rsid w:val="00156A12"/>
    <w:rsid w:val="00157591"/>
    <w:rsid w:val="00157B3F"/>
    <w:rsid w:val="00157F8A"/>
    <w:rsid w:val="00160C3D"/>
    <w:rsid w:val="00161B24"/>
    <w:rsid w:val="00161C41"/>
    <w:rsid w:val="00161DD5"/>
    <w:rsid w:val="00161F4F"/>
    <w:rsid w:val="001633A4"/>
    <w:rsid w:val="001634D6"/>
    <w:rsid w:val="001648DD"/>
    <w:rsid w:val="00165705"/>
    <w:rsid w:val="00166389"/>
    <w:rsid w:val="00166E03"/>
    <w:rsid w:val="00167E4C"/>
    <w:rsid w:val="001703F5"/>
    <w:rsid w:val="00171449"/>
    <w:rsid w:val="0017199C"/>
    <w:rsid w:val="00171C7E"/>
    <w:rsid w:val="00171F35"/>
    <w:rsid w:val="00172552"/>
    <w:rsid w:val="00172873"/>
    <w:rsid w:val="00172CF7"/>
    <w:rsid w:val="0017319E"/>
    <w:rsid w:val="00173A1F"/>
    <w:rsid w:val="00173BC3"/>
    <w:rsid w:val="00174128"/>
    <w:rsid w:val="00175476"/>
    <w:rsid w:val="00175C34"/>
    <w:rsid w:val="00175F9A"/>
    <w:rsid w:val="00176E98"/>
    <w:rsid w:val="00177996"/>
    <w:rsid w:val="00180B3F"/>
    <w:rsid w:val="00180C83"/>
    <w:rsid w:val="00180CE5"/>
    <w:rsid w:val="0018175B"/>
    <w:rsid w:val="001820A3"/>
    <w:rsid w:val="0018332A"/>
    <w:rsid w:val="00183D80"/>
    <w:rsid w:val="001842C8"/>
    <w:rsid w:val="00185044"/>
    <w:rsid w:val="001850DB"/>
    <w:rsid w:val="0018599C"/>
    <w:rsid w:val="001869EE"/>
    <w:rsid w:val="00186D00"/>
    <w:rsid w:val="0018743A"/>
    <w:rsid w:val="00190A57"/>
    <w:rsid w:val="00190B3F"/>
    <w:rsid w:val="0019122C"/>
    <w:rsid w:val="00191908"/>
    <w:rsid w:val="00192DF3"/>
    <w:rsid w:val="0019301F"/>
    <w:rsid w:val="00193286"/>
    <w:rsid w:val="001937B8"/>
    <w:rsid w:val="00194BB7"/>
    <w:rsid w:val="00194CC5"/>
    <w:rsid w:val="001951B2"/>
    <w:rsid w:val="0019565D"/>
    <w:rsid w:val="00195CE4"/>
    <w:rsid w:val="00197564"/>
    <w:rsid w:val="00197EC2"/>
    <w:rsid w:val="00197ECE"/>
    <w:rsid w:val="001A1CED"/>
    <w:rsid w:val="001A279B"/>
    <w:rsid w:val="001A2A5C"/>
    <w:rsid w:val="001A2DC3"/>
    <w:rsid w:val="001A2E87"/>
    <w:rsid w:val="001A3869"/>
    <w:rsid w:val="001A38C2"/>
    <w:rsid w:val="001A480E"/>
    <w:rsid w:val="001A65C8"/>
    <w:rsid w:val="001A732E"/>
    <w:rsid w:val="001A7F30"/>
    <w:rsid w:val="001B06E2"/>
    <w:rsid w:val="001B103A"/>
    <w:rsid w:val="001B103D"/>
    <w:rsid w:val="001B1513"/>
    <w:rsid w:val="001B1767"/>
    <w:rsid w:val="001B2453"/>
    <w:rsid w:val="001B3D48"/>
    <w:rsid w:val="001B5AF9"/>
    <w:rsid w:val="001B6600"/>
    <w:rsid w:val="001B6B9B"/>
    <w:rsid w:val="001B6C27"/>
    <w:rsid w:val="001B7144"/>
    <w:rsid w:val="001B7E91"/>
    <w:rsid w:val="001C147E"/>
    <w:rsid w:val="001C151B"/>
    <w:rsid w:val="001C19E5"/>
    <w:rsid w:val="001C3800"/>
    <w:rsid w:val="001C3C7B"/>
    <w:rsid w:val="001C6122"/>
    <w:rsid w:val="001C6587"/>
    <w:rsid w:val="001C69BE"/>
    <w:rsid w:val="001C6DB5"/>
    <w:rsid w:val="001C71AC"/>
    <w:rsid w:val="001C7316"/>
    <w:rsid w:val="001C7E5C"/>
    <w:rsid w:val="001D00CC"/>
    <w:rsid w:val="001D0494"/>
    <w:rsid w:val="001D07B7"/>
    <w:rsid w:val="001D0F35"/>
    <w:rsid w:val="001D1620"/>
    <w:rsid w:val="001D1719"/>
    <w:rsid w:val="001D171B"/>
    <w:rsid w:val="001D1732"/>
    <w:rsid w:val="001D1E2E"/>
    <w:rsid w:val="001D2203"/>
    <w:rsid w:val="001D255C"/>
    <w:rsid w:val="001D2DEF"/>
    <w:rsid w:val="001D30BB"/>
    <w:rsid w:val="001D488C"/>
    <w:rsid w:val="001D4CDF"/>
    <w:rsid w:val="001D4F88"/>
    <w:rsid w:val="001D578D"/>
    <w:rsid w:val="001D5818"/>
    <w:rsid w:val="001D653A"/>
    <w:rsid w:val="001D7DEE"/>
    <w:rsid w:val="001E02CB"/>
    <w:rsid w:val="001E05C2"/>
    <w:rsid w:val="001E14FD"/>
    <w:rsid w:val="001E180F"/>
    <w:rsid w:val="001E184B"/>
    <w:rsid w:val="001E1C64"/>
    <w:rsid w:val="001E1CEC"/>
    <w:rsid w:val="001E2ECB"/>
    <w:rsid w:val="001E4B64"/>
    <w:rsid w:val="001E552A"/>
    <w:rsid w:val="001E57B9"/>
    <w:rsid w:val="001E6E8D"/>
    <w:rsid w:val="001E7EE4"/>
    <w:rsid w:val="001E7F76"/>
    <w:rsid w:val="001F0FAF"/>
    <w:rsid w:val="001F139F"/>
    <w:rsid w:val="001F2805"/>
    <w:rsid w:val="001F2E79"/>
    <w:rsid w:val="001F2F07"/>
    <w:rsid w:val="001F3123"/>
    <w:rsid w:val="001F376D"/>
    <w:rsid w:val="001F418C"/>
    <w:rsid w:val="001F4B2D"/>
    <w:rsid w:val="001F4F40"/>
    <w:rsid w:val="001F50E0"/>
    <w:rsid w:val="001F594C"/>
    <w:rsid w:val="001F69FC"/>
    <w:rsid w:val="001F6D62"/>
    <w:rsid w:val="001F7675"/>
    <w:rsid w:val="00200FAE"/>
    <w:rsid w:val="0020102D"/>
    <w:rsid w:val="002010E2"/>
    <w:rsid w:val="00201B73"/>
    <w:rsid w:val="00202517"/>
    <w:rsid w:val="00202ADB"/>
    <w:rsid w:val="00202BB7"/>
    <w:rsid w:val="0020435B"/>
    <w:rsid w:val="00204533"/>
    <w:rsid w:val="00204F2D"/>
    <w:rsid w:val="00205566"/>
    <w:rsid w:val="002063AA"/>
    <w:rsid w:val="00210549"/>
    <w:rsid w:val="0021069E"/>
    <w:rsid w:val="00210804"/>
    <w:rsid w:val="0021088F"/>
    <w:rsid w:val="002113FE"/>
    <w:rsid w:val="00211737"/>
    <w:rsid w:val="0021181B"/>
    <w:rsid w:val="0021208B"/>
    <w:rsid w:val="0021230F"/>
    <w:rsid w:val="002125B0"/>
    <w:rsid w:val="00212A82"/>
    <w:rsid w:val="00214EA2"/>
    <w:rsid w:val="002160FA"/>
    <w:rsid w:val="002166DD"/>
    <w:rsid w:val="002168A2"/>
    <w:rsid w:val="00217867"/>
    <w:rsid w:val="002205E4"/>
    <w:rsid w:val="00220D67"/>
    <w:rsid w:val="002215F8"/>
    <w:rsid w:val="00221F80"/>
    <w:rsid w:val="0022273A"/>
    <w:rsid w:val="00222D28"/>
    <w:rsid w:val="00223CF4"/>
    <w:rsid w:val="00224220"/>
    <w:rsid w:val="00224398"/>
    <w:rsid w:val="00224A81"/>
    <w:rsid w:val="00224E91"/>
    <w:rsid w:val="00225B4C"/>
    <w:rsid w:val="00225E1E"/>
    <w:rsid w:val="00226129"/>
    <w:rsid w:val="0022614D"/>
    <w:rsid w:val="00226AA2"/>
    <w:rsid w:val="00227218"/>
    <w:rsid w:val="0022770A"/>
    <w:rsid w:val="00227BEE"/>
    <w:rsid w:val="00227FB4"/>
    <w:rsid w:val="0023057E"/>
    <w:rsid w:val="002312BC"/>
    <w:rsid w:val="002337E5"/>
    <w:rsid w:val="00233C06"/>
    <w:rsid w:val="00233F24"/>
    <w:rsid w:val="00234BBB"/>
    <w:rsid w:val="002356F4"/>
    <w:rsid w:val="00235F02"/>
    <w:rsid w:val="00236D28"/>
    <w:rsid w:val="00237FE4"/>
    <w:rsid w:val="00240656"/>
    <w:rsid w:val="00241610"/>
    <w:rsid w:val="00241AED"/>
    <w:rsid w:val="00243182"/>
    <w:rsid w:val="00243928"/>
    <w:rsid w:val="00243946"/>
    <w:rsid w:val="00243BC5"/>
    <w:rsid w:val="00243C7D"/>
    <w:rsid w:val="00243E9A"/>
    <w:rsid w:val="00243EC5"/>
    <w:rsid w:val="00244371"/>
    <w:rsid w:val="00244AF8"/>
    <w:rsid w:val="00244BC5"/>
    <w:rsid w:val="00244E68"/>
    <w:rsid w:val="002456C5"/>
    <w:rsid w:val="00245794"/>
    <w:rsid w:val="00245ABE"/>
    <w:rsid w:val="00245C0B"/>
    <w:rsid w:val="00246EAE"/>
    <w:rsid w:val="00247116"/>
    <w:rsid w:val="002471E5"/>
    <w:rsid w:val="00247801"/>
    <w:rsid w:val="002517A8"/>
    <w:rsid w:val="00251EEE"/>
    <w:rsid w:val="00253177"/>
    <w:rsid w:val="002538B8"/>
    <w:rsid w:val="0025396F"/>
    <w:rsid w:val="00254319"/>
    <w:rsid w:val="0025539F"/>
    <w:rsid w:val="00256388"/>
    <w:rsid w:val="00256E44"/>
    <w:rsid w:val="00257C80"/>
    <w:rsid w:val="00260919"/>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A65"/>
    <w:rsid w:val="002660F0"/>
    <w:rsid w:val="002675B6"/>
    <w:rsid w:val="00267A99"/>
    <w:rsid w:val="00270271"/>
    <w:rsid w:val="00272174"/>
    <w:rsid w:val="002721A6"/>
    <w:rsid w:val="002722E0"/>
    <w:rsid w:val="002730EC"/>
    <w:rsid w:val="00273100"/>
    <w:rsid w:val="002735CC"/>
    <w:rsid w:val="00274588"/>
    <w:rsid w:val="00274A67"/>
    <w:rsid w:val="00274AA2"/>
    <w:rsid w:val="002756EF"/>
    <w:rsid w:val="00275708"/>
    <w:rsid w:val="002768CF"/>
    <w:rsid w:val="00276F82"/>
    <w:rsid w:val="002805DF"/>
    <w:rsid w:val="0028092D"/>
    <w:rsid w:val="002815D9"/>
    <w:rsid w:val="00282317"/>
    <w:rsid w:val="00282D25"/>
    <w:rsid w:val="00282DF9"/>
    <w:rsid w:val="00283A44"/>
    <w:rsid w:val="0028529F"/>
    <w:rsid w:val="00285687"/>
    <w:rsid w:val="00287649"/>
    <w:rsid w:val="00287DAB"/>
    <w:rsid w:val="00287FB6"/>
    <w:rsid w:val="002900C5"/>
    <w:rsid w:val="002901E0"/>
    <w:rsid w:val="0029075B"/>
    <w:rsid w:val="00290BB1"/>
    <w:rsid w:val="00291BC1"/>
    <w:rsid w:val="002933CA"/>
    <w:rsid w:val="00293A8F"/>
    <w:rsid w:val="00295155"/>
    <w:rsid w:val="00295D51"/>
    <w:rsid w:val="00296203"/>
    <w:rsid w:val="00296428"/>
    <w:rsid w:val="0029643D"/>
    <w:rsid w:val="0029706A"/>
    <w:rsid w:val="002972EE"/>
    <w:rsid w:val="00297F01"/>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75CA"/>
    <w:rsid w:val="002A7889"/>
    <w:rsid w:val="002A799A"/>
    <w:rsid w:val="002B097D"/>
    <w:rsid w:val="002B11B2"/>
    <w:rsid w:val="002B18F7"/>
    <w:rsid w:val="002B3ED7"/>
    <w:rsid w:val="002B4778"/>
    <w:rsid w:val="002B75B2"/>
    <w:rsid w:val="002B79B7"/>
    <w:rsid w:val="002B7C48"/>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D0107"/>
    <w:rsid w:val="002D062E"/>
    <w:rsid w:val="002D0D43"/>
    <w:rsid w:val="002D15C2"/>
    <w:rsid w:val="002D2B10"/>
    <w:rsid w:val="002D386A"/>
    <w:rsid w:val="002D4100"/>
    <w:rsid w:val="002D477F"/>
    <w:rsid w:val="002D4F48"/>
    <w:rsid w:val="002D519B"/>
    <w:rsid w:val="002D621E"/>
    <w:rsid w:val="002D66DA"/>
    <w:rsid w:val="002D7027"/>
    <w:rsid w:val="002D70DC"/>
    <w:rsid w:val="002D758B"/>
    <w:rsid w:val="002D79BC"/>
    <w:rsid w:val="002D7E58"/>
    <w:rsid w:val="002D7F9B"/>
    <w:rsid w:val="002E0D31"/>
    <w:rsid w:val="002E0EFA"/>
    <w:rsid w:val="002E1073"/>
    <w:rsid w:val="002E12EC"/>
    <w:rsid w:val="002E146D"/>
    <w:rsid w:val="002E272B"/>
    <w:rsid w:val="002E29F8"/>
    <w:rsid w:val="002E2C52"/>
    <w:rsid w:val="002E342B"/>
    <w:rsid w:val="002E3B81"/>
    <w:rsid w:val="002E3D08"/>
    <w:rsid w:val="002E3E1D"/>
    <w:rsid w:val="002E3EEA"/>
    <w:rsid w:val="002E3FCB"/>
    <w:rsid w:val="002E4D08"/>
    <w:rsid w:val="002E4DA5"/>
    <w:rsid w:val="002E52B8"/>
    <w:rsid w:val="002E5DBF"/>
    <w:rsid w:val="002E5E01"/>
    <w:rsid w:val="002E60F5"/>
    <w:rsid w:val="002E6536"/>
    <w:rsid w:val="002E69F5"/>
    <w:rsid w:val="002E6CAA"/>
    <w:rsid w:val="002E73EC"/>
    <w:rsid w:val="002F023D"/>
    <w:rsid w:val="002F10EC"/>
    <w:rsid w:val="002F1136"/>
    <w:rsid w:val="002F1231"/>
    <w:rsid w:val="002F1521"/>
    <w:rsid w:val="002F15EE"/>
    <w:rsid w:val="002F21F1"/>
    <w:rsid w:val="002F3632"/>
    <w:rsid w:val="002F3AFB"/>
    <w:rsid w:val="002F3C41"/>
    <w:rsid w:val="002F4C8E"/>
    <w:rsid w:val="002F5076"/>
    <w:rsid w:val="002F5839"/>
    <w:rsid w:val="002F64D9"/>
    <w:rsid w:val="002F651D"/>
    <w:rsid w:val="002F6648"/>
    <w:rsid w:val="002F6E44"/>
    <w:rsid w:val="002F718B"/>
    <w:rsid w:val="002F74FD"/>
    <w:rsid w:val="002F787B"/>
    <w:rsid w:val="002F7974"/>
    <w:rsid w:val="002F7D01"/>
    <w:rsid w:val="0030005C"/>
    <w:rsid w:val="00300369"/>
    <w:rsid w:val="00301D0A"/>
    <w:rsid w:val="003027B8"/>
    <w:rsid w:val="0030293F"/>
    <w:rsid w:val="00302947"/>
    <w:rsid w:val="00302C50"/>
    <w:rsid w:val="003031C2"/>
    <w:rsid w:val="00303861"/>
    <w:rsid w:val="0030411D"/>
    <w:rsid w:val="00304FFF"/>
    <w:rsid w:val="00305557"/>
    <w:rsid w:val="0030561F"/>
    <w:rsid w:val="00305CA3"/>
    <w:rsid w:val="00306E5C"/>
    <w:rsid w:val="00307C19"/>
    <w:rsid w:val="00307D72"/>
    <w:rsid w:val="00310732"/>
    <w:rsid w:val="00310BC9"/>
    <w:rsid w:val="00311762"/>
    <w:rsid w:val="00311E98"/>
    <w:rsid w:val="00312215"/>
    <w:rsid w:val="0031249C"/>
    <w:rsid w:val="003125C3"/>
    <w:rsid w:val="00312896"/>
    <w:rsid w:val="00313EAC"/>
    <w:rsid w:val="003142F4"/>
    <w:rsid w:val="0031454E"/>
    <w:rsid w:val="0031611F"/>
    <w:rsid w:val="00317A33"/>
    <w:rsid w:val="00320339"/>
    <w:rsid w:val="00320CF1"/>
    <w:rsid w:val="00321214"/>
    <w:rsid w:val="003213D5"/>
    <w:rsid w:val="00323737"/>
    <w:rsid w:val="00323AD6"/>
    <w:rsid w:val="00323F27"/>
    <w:rsid w:val="003242EF"/>
    <w:rsid w:val="00325339"/>
    <w:rsid w:val="003255AA"/>
    <w:rsid w:val="0032640C"/>
    <w:rsid w:val="003314B6"/>
    <w:rsid w:val="00331A20"/>
    <w:rsid w:val="00331E65"/>
    <w:rsid w:val="00333107"/>
    <w:rsid w:val="0033343B"/>
    <w:rsid w:val="0033393C"/>
    <w:rsid w:val="003357EE"/>
    <w:rsid w:val="00337368"/>
    <w:rsid w:val="00337B4D"/>
    <w:rsid w:val="003407A9"/>
    <w:rsid w:val="00340BA3"/>
    <w:rsid w:val="00340BAF"/>
    <w:rsid w:val="00340C2B"/>
    <w:rsid w:val="00340F9A"/>
    <w:rsid w:val="00341018"/>
    <w:rsid w:val="003420D9"/>
    <w:rsid w:val="003423E0"/>
    <w:rsid w:val="0034301A"/>
    <w:rsid w:val="00343D76"/>
    <w:rsid w:val="00344DFD"/>
    <w:rsid w:val="003451D3"/>
    <w:rsid w:val="00345E58"/>
    <w:rsid w:val="00346631"/>
    <w:rsid w:val="00346AAD"/>
    <w:rsid w:val="00346D96"/>
    <w:rsid w:val="0034736A"/>
    <w:rsid w:val="0034747C"/>
    <w:rsid w:val="00347B6C"/>
    <w:rsid w:val="0035151C"/>
    <w:rsid w:val="00352254"/>
    <w:rsid w:val="003522A3"/>
    <w:rsid w:val="00353929"/>
    <w:rsid w:val="00353F9E"/>
    <w:rsid w:val="003540D1"/>
    <w:rsid w:val="003545BF"/>
    <w:rsid w:val="0035586A"/>
    <w:rsid w:val="0035611A"/>
    <w:rsid w:val="00356C3D"/>
    <w:rsid w:val="00360B75"/>
    <w:rsid w:val="0036151C"/>
    <w:rsid w:val="00361A9B"/>
    <w:rsid w:val="00362CCF"/>
    <w:rsid w:val="003631DB"/>
    <w:rsid w:val="00363F5D"/>
    <w:rsid w:val="00364524"/>
    <w:rsid w:val="0036513A"/>
    <w:rsid w:val="00365237"/>
    <w:rsid w:val="0036559C"/>
    <w:rsid w:val="0036587E"/>
    <w:rsid w:val="003660CD"/>
    <w:rsid w:val="0036662C"/>
    <w:rsid w:val="00366B08"/>
    <w:rsid w:val="00367496"/>
    <w:rsid w:val="003678BE"/>
    <w:rsid w:val="003700F8"/>
    <w:rsid w:val="00370949"/>
    <w:rsid w:val="0037243B"/>
    <w:rsid w:val="0037251C"/>
    <w:rsid w:val="0037272C"/>
    <w:rsid w:val="00372B9A"/>
    <w:rsid w:val="003731BF"/>
    <w:rsid w:val="00375287"/>
    <w:rsid w:val="00375791"/>
    <w:rsid w:val="00375826"/>
    <w:rsid w:val="0037593F"/>
    <w:rsid w:val="00375994"/>
    <w:rsid w:val="00375C59"/>
    <w:rsid w:val="00375E05"/>
    <w:rsid w:val="00376BB7"/>
    <w:rsid w:val="00376EEE"/>
    <w:rsid w:val="00377BA1"/>
    <w:rsid w:val="00377FF0"/>
    <w:rsid w:val="00380616"/>
    <w:rsid w:val="00381022"/>
    <w:rsid w:val="003814B8"/>
    <w:rsid w:val="00382909"/>
    <w:rsid w:val="00382EE1"/>
    <w:rsid w:val="00384258"/>
    <w:rsid w:val="00385131"/>
    <w:rsid w:val="0038620B"/>
    <w:rsid w:val="0038673F"/>
    <w:rsid w:val="00387647"/>
    <w:rsid w:val="0038791A"/>
    <w:rsid w:val="00390056"/>
    <w:rsid w:val="0039055C"/>
    <w:rsid w:val="00390718"/>
    <w:rsid w:val="00390767"/>
    <w:rsid w:val="00390883"/>
    <w:rsid w:val="00391470"/>
    <w:rsid w:val="003920C4"/>
    <w:rsid w:val="00392184"/>
    <w:rsid w:val="00392652"/>
    <w:rsid w:val="00392B41"/>
    <w:rsid w:val="0039456F"/>
    <w:rsid w:val="003945C8"/>
    <w:rsid w:val="0039480D"/>
    <w:rsid w:val="00395446"/>
    <w:rsid w:val="00396725"/>
    <w:rsid w:val="00397A28"/>
    <w:rsid w:val="00397DE3"/>
    <w:rsid w:val="00397E94"/>
    <w:rsid w:val="00397F05"/>
    <w:rsid w:val="003A0442"/>
    <w:rsid w:val="003A0899"/>
    <w:rsid w:val="003A1512"/>
    <w:rsid w:val="003A1EB7"/>
    <w:rsid w:val="003A23F3"/>
    <w:rsid w:val="003A2D82"/>
    <w:rsid w:val="003A337C"/>
    <w:rsid w:val="003A36DA"/>
    <w:rsid w:val="003A38F1"/>
    <w:rsid w:val="003A3D1B"/>
    <w:rsid w:val="003A3F39"/>
    <w:rsid w:val="003A4296"/>
    <w:rsid w:val="003A4549"/>
    <w:rsid w:val="003A49B3"/>
    <w:rsid w:val="003A53EC"/>
    <w:rsid w:val="003A55B4"/>
    <w:rsid w:val="003A61B6"/>
    <w:rsid w:val="003A623F"/>
    <w:rsid w:val="003A71AD"/>
    <w:rsid w:val="003A7D1D"/>
    <w:rsid w:val="003B1688"/>
    <w:rsid w:val="003B1FA4"/>
    <w:rsid w:val="003B1FE6"/>
    <w:rsid w:val="003B3106"/>
    <w:rsid w:val="003B3974"/>
    <w:rsid w:val="003B39E0"/>
    <w:rsid w:val="003B3DAB"/>
    <w:rsid w:val="003B404D"/>
    <w:rsid w:val="003B4B34"/>
    <w:rsid w:val="003B4CDA"/>
    <w:rsid w:val="003B4F2D"/>
    <w:rsid w:val="003B5BD9"/>
    <w:rsid w:val="003B64A3"/>
    <w:rsid w:val="003B6DB8"/>
    <w:rsid w:val="003B72B9"/>
    <w:rsid w:val="003C0887"/>
    <w:rsid w:val="003C08AF"/>
    <w:rsid w:val="003C2EDD"/>
    <w:rsid w:val="003C3220"/>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18CC"/>
    <w:rsid w:val="003D1A5C"/>
    <w:rsid w:val="003D3583"/>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E74"/>
    <w:rsid w:val="003E5F7D"/>
    <w:rsid w:val="003E6520"/>
    <w:rsid w:val="003E67E7"/>
    <w:rsid w:val="003E6B3C"/>
    <w:rsid w:val="003E6B95"/>
    <w:rsid w:val="003E70FF"/>
    <w:rsid w:val="003E7F1B"/>
    <w:rsid w:val="003F0B41"/>
    <w:rsid w:val="003F1E39"/>
    <w:rsid w:val="003F229D"/>
    <w:rsid w:val="003F25F0"/>
    <w:rsid w:val="003F2D5B"/>
    <w:rsid w:val="003F5AD2"/>
    <w:rsid w:val="003F5CA4"/>
    <w:rsid w:val="003F6D50"/>
    <w:rsid w:val="003F7006"/>
    <w:rsid w:val="003F7507"/>
    <w:rsid w:val="003F7C72"/>
    <w:rsid w:val="003F7D10"/>
    <w:rsid w:val="00401000"/>
    <w:rsid w:val="004016C6"/>
    <w:rsid w:val="0040179A"/>
    <w:rsid w:val="00401856"/>
    <w:rsid w:val="004028A2"/>
    <w:rsid w:val="00402FEB"/>
    <w:rsid w:val="00403344"/>
    <w:rsid w:val="00403C82"/>
    <w:rsid w:val="00404C44"/>
    <w:rsid w:val="00404EE8"/>
    <w:rsid w:val="0040510D"/>
    <w:rsid w:val="0040512D"/>
    <w:rsid w:val="004059ED"/>
    <w:rsid w:val="0040602F"/>
    <w:rsid w:val="00406AFB"/>
    <w:rsid w:val="00407382"/>
    <w:rsid w:val="0040791B"/>
    <w:rsid w:val="00411958"/>
    <w:rsid w:val="00411B2A"/>
    <w:rsid w:val="00412973"/>
    <w:rsid w:val="00412D42"/>
    <w:rsid w:val="00412DA4"/>
    <w:rsid w:val="00412EB6"/>
    <w:rsid w:val="0041351F"/>
    <w:rsid w:val="004137C8"/>
    <w:rsid w:val="00413BF9"/>
    <w:rsid w:val="00413C25"/>
    <w:rsid w:val="00415531"/>
    <w:rsid w:val="00416330"/>
    <w:rsid w:val="004176C7"/>
    <w:rsid w:val="00417877"/>
    <w:rsid w:val="00417D9F"/>
    <w:rsid w:val="00420229"/>
    <w:rsid w:val="00420DBA"/>
    <w:rsid w:val="004212B7"/>
    <w:rsid w:val="00421311"/>
    <w:rsid w:val="00422E13"/>
    <w:rsid w:val="0042350F"/>
    <w:rsid w:val="00423599"/>
    <w:rsid w:val="0042384C"/>
    <w:rsid w:val="00423893"/>
    <w:rsid w:val="00423BC9"/>
    <w:rsid w:val="004255B4"/>
    <w:rsid w:val="00426766"/>
    <w:rsid w:val="004267D0"/>
    <w:rsid w:val="004279CA"/>
    <w:rsid w:val="00427A82"/>
    <w:rsid w:val="00427EA2"/>
    <w:rsid w:val="00430115"/>
    <w:rsid w:val="00430A4B"/>
    <w:rsid w:val="00431C46"/>
    <w:rsid w:val="004327E6"/>
    <w:rsid w:val="004329DC"/>
    <w:rsid w:val="00432AC6"/>
    <w:rsid w:val="00434C5E"/>
    <w:rsid w:val="00435717"/>
    <w:rsid w:val="00435765"/>
    <w:rsid w:val="004360B6"/>
    <w:rsid w:val="004362E5"/>
    <w:rsid w:val="00436356"/>
    <w:rsid w:val="00440722"/>
    <w:rsid w:val="004425D9"/>
    <w:rsid w:val="00443244"/>
    <w:rsid w:val="00444AF6"/>
    <w:rsid w:val="0044519D"/>
    <w:rsid w:val="00445544"/>
    <w:rsid w:val="00445C0B"/>
    <w:rsid w:val="00446195"/>
    <w:rsid w:val="00447CD0"/>
    <w:rsid w:val="00447FC2"/>
    <w:rsid w:val="004502F4"/>
    <w:rsid w:val="004506F4"/>
    <w:rsid w:val="004509D1"/>
    <w:rsid w:val="00450A42"/>
    <w:rsid w:val="004513A5"/>
    <w:rsid w:val="00451D50"/>
    <w:rsid w:val="00452EC4"/>
    <w:rsid w:val="00453340"/>
    <w:rsid w:val="00453775"/>
    <w:rsid w:val="00453890"/>
    <w:rsid w:val="00454380"/>
    <w:rsid w:val="0045470C"/>
    <w:rsid w:val="004552C8"/>
    <w:rsid w:val="0045536C"/>
    <w:rsid w:val="00455A07"/>
    <w:rsid w:val="00455AEB"/>
    <w:rsid w:val="0045603C"/>
    <w:rsid w:val="00456053"/>
    <w:rsid w:val="00456068"/>
    <w:rsid w:val="00456896"/>
    <w:rsid w:val="00456ADA"/>
    <w:rsid w:val="00456B0D"/>
    <w:rsid w:val="0045770D"/>
    <w:rsid w:val="0045790F"/>
    <w:rsid w:val="00457D63"/>
    <w:rsid w:val="00457E21"/>
    <w:rsid w:val="0046007E"/>
    <w:rsid w:val="0046024B"/>
    <w:rsid w:val="00460E36"/>
    <w:rsid w:val="00461155"/>
    <w:rsid w:val="0046218C"/>
    <w:rsid w:val="004623D4"/>
    <w:rsid w:val="00463944"/>
    <w:rsid w:val="0046512A"/>
    <w:rsid w:val="00465234"/>
    <w:rsid w:val="00465B24"/>
    <w:rsid w:val="00466858"/>
    <w:rsid w:val="00466D0F"/>
    <w:rsid w:val="00467544"/>
    <w:rsid w:val="004676BA"/>
    <w:rsid w:val="0046784C"/>
    <w:rsid w:val="00467ECB"/>
    <w:rsid w:val="004710C3"/>
    <w:rsid w:val="00471459"/>
    <w:rsid w:val="00472274"/>
    <w:rsid w:val="004722D4"/>
    <w:rsid w:val="00472D9C"/>
    <w:rsid w:val="00473B60"/>
    <w:rsid w:val="00475AFF"/>
    <w:rsid w:val="00475D30"/>
    <w:rsid w:val="004765F4"/>
    <w:rsid w:val="00476B4D"/>
    <w:rsid w:val="00476CBC"/>
    <w:rsid w:val="00476E6C"/>
    <w:rsid w:val="00477282"/>
    <w:rsid w:val="00477947"/>
    <w:rsid w:val="00480FA1"/>
    <w:rsid w:val="00481FD7"/>
    <w:rsid w:val="00482DE5"/>
    <w:rsid w:val="00483266"/>
    <w:rsid w:val="0048352E"/>
    <w:rsid w:val="004836A9"/>
    <w:rsid w:val="00483B23"/>
    <w:rsid w:val="004840D7"/>
    <w:rsid w:val="004846F4"/>
    <w:rsid w:val="00485C26"/>
    <w:rsid w:val="00485EC0"/>
    <w:rsid w:val="004875E1"/>
    <w:rsid w:val="00487B37"/>
    <w:rsid w:val="00490636"/>
    <w:rsid w:val="00490FF0"/>
    <w:rsid w:val="004910FE"/>
    <w:rsid w:val="00491198"/>
    <w:rsid w:val="004917E0"/>
    <w:rsid w:val="00491BF6"/>
    <w:rsid w:val="00491FED"/>
    <w:rsid w:val="00492F82"/>
    <w:rsid w:val="004943C2"/>
    <w:rsid w:val="00494918"/>
    <w:rsid w:val="00494C65"/>
    <w:rsid w:val="00494F0C"/>
    <w:rsid w:val="00495557"/>
    <w:rsid w:val="0049618D"/>
    <w:rsid w:val="004965EF"/>
    <w:rsid w:val="0049719D"/>
    <w:rsid w:val="00497FCD"/>
    <w:rsid w:val="004A0D1E"/>
    <w:rsid w:val="004A0E66"/>
    <w:rsid w:val="004A0EEC"/>
    <w:rsid w:val="004A130F"/>
    <w:rsid w:val="004A17EF"/>
    <w:rsid w:val="004A1BDA"/>
    <w:rsid w:val="004A22DA"/>
    <w:rsid w:val="004A2700"/>
    <w:rsid w:val="004A36C8"/>
    <w:rsid w:val="004A3721"/>
    <w:rsid w:val="004A3742"/>
    <w:rsid w:val="004A37B8"/>
    <w:rsid w:val="004A3ED3"/>
    <w:rsid w:val="004A47BC"/>
    <w:rsid w:val="004A4AC6"/>
    <w:rsid w:val="004B019C"/>
    <w:rsid w:val="004B1199"/>
    <w:rsid w:val="004B16C4"/>
    <w:rsid w:val="004B1867"/>
    <w:rsid w:val="004B2A64"/>
    <w:rsid w:val="004B41DA"/>
    <w:rsid w:val="004B470D"/>
    <w:rsid w:val="004B4764"/>
    <w:rsid w:val="004B4846"/>
    <w:rsid w:val="004B5394"/>
    <w:rsid w:val="004B5BDD"/>
    <w:rsid w:val="004B65E0"/>
    <w:rsid w:val="004B6E9E"/>
    <w:rsid w:val="004B6F83"/>
    <w:rsid w:val="004B7C29"/>
    <w:rsid w:val="004C06E5"/>
    <w:rsid w:val="004C1B7D"/>
    <w:rsid w:val="004C1C8A"/>
    <w:rsid w:val="004C1E3C"/>
    <w:rsid w:val="004C25F0"/>
    <w:rsid w:val="004C26DD"/>
    <w:rsid w:val="004C2B5D"/>
    <w:rsid w:val="004C2D68"/>
    <w:rsid w:val="004C2DD1"/>
    <w:rsid w:val="004C2F56"/>
    <w:rsid w:val="004C339D"/>
    <w:rsid w:val="004C33E8"/>
    <w:rsid w:val="004C4307"/>
    <w:rsid w:val="004C4309"/>
    <w:rsid w:val="004C4453"/>
    <w:rsid w:val="004C49E3"/>
    <w:rsid w:val="004C4E8A"/>
    <w:rsid w:val="004C514A"/>
    <w:rsid w:val="004C6572"/>
    <w:rsid w:val="004C6D4F"/>
    <w:rsid w:val="004C7541"/>
    <w:rsid w:val="004D1E71"/>
    <w:rsid w:val="004D2CDF"/>
    <w:rsid w:val="004D33CE"/>
    <w:rsid w:val="004D4206"/>
    <w:rsid w:val="004D4AAE"/>
    <w:rsid w:val="004D7C86"/>
    <w:rsid w:val="004E0197"/>
    <w:rsid w:val="004E1122"/>
    <w:rsid w:val="004E1409"/>
    <w:rsid w:val="004E1A87"/>
    <w:rsid w:val="004E1BB0"/>
    <w:rsid w:val="004E3030"/>
    <w:rsid w:val="004E3311"/>
    <w:rsid w:val="004E38EC"/>
    <w:rsid w:val="004E3933"/>
    <w:rsid w:val="004E4549"/>
    <w:rsid w:val="004E4C83"/>
    <w:rsid w:val="004E4D53"/>
    <w:rsid w:val="004E4D84"/>
    <w:rsid w:val="004E4EBC"/>
    <w:rsid w:val="004E5104"/>
    <w:rsid w:val="004E5252"/>
    <w:rsid w:val="004E5B06"/>
    <w:rsid w:val="004E5FA8"/>
    <w:rsid w:val="004E684C"/>
    <w:rsid w:val="004E6FF1"/>
    <w:rsid w:val="004E76DB"/>
    <w:rsid w:val="004F1F90"/>
    <w:rsid w:val="004F2401"/>
    <w:rsid w:val="004F2A44"/>
    <w:rsid w:val="004F2DAD"/>
    <w:rsid w:val="004F34F7"/>
    <w:rsid w:val="004F55D6"/>
    <w:rsid w:val="004F565A"/>
    <w:rsid w:val="004F571B"/>
    <w:rsid w:val="004F64EB"/>
    <w:rsid w:val="004F7A74"/>
    <w:rsid w:val="00500250"/>
    <w:rsid w:val="00500264"/>
    <w:rsid w:val="00500824"/>
    <w:rsid w:val="00500DAB"/>
    <w:rsid w:val="00501144"/>
    <w:rsid w:val="005013EF"/>
    <w:rsid w:val="005019E0"/>
    <w:rsid w:val="0050211F"/>
    <w:rsid w:val="005022E7"/>
    <w:rsid w:val="00502A93"/>
    <w:rsid w:val="005037F9"/>
    <w:rsid w:val="00504EDB"/>
    <w:rsid w:val="00506083"/>
    <w:rsid w:val="005068D6"/>
    <w:rsid w:val="00506B86"/>
    <w:rsid w:val="00506EEC"/>
    <w:rsid w:val="00506FD4"/>
    <w:rsid w:val="005107FF"/>
    <w:rsid w:val="00510CBC"/>
    <w:rsid w:val="0051102D"/>
    <w:rsid w:val="005112A5"/>
    <w:rsid w:val="00511DE6"/>
    <w:rsid w:val="00511F48"/>
    <w:rsid w:val="00512448"/>
    <w:rsid w:val="0051253A"/>
    <w:rsid w:val="0051266C"/>
    <w:rsid w:val="00513B72"/>
    <w:rsid w:val="00515277"/>
    <w:rsid w:val="005158C2"/>
    <w:rsid w:val="005169DE"/>
    <w:rsid w:val="0051754D"/>
    <w:rsid w:val="0051785D"/>
    <w:rsid w:val="00517913"/>
    <w:rsid w:val="0052005F"/>
    <w:rsid w:val="00520200"/>
    <w:rsid w:val="00520E2D"/>
    <w:rsid w:val="00520F04"/>
    <w:rsid w:val="00521717"/>
    <w:rsid w:val="005224B2"/>
    <w:rsid w:val="00523B23"/>
    <w:rsid w:val="00523DFA"/>
    <w:rsid w:val="005254BC"/>
    <w:rsid w:val="005256FC"/>
    <w:rsid w:val="00526C27"/>
    <w:rsid w:val="00526DFF"/>
    <w:rsid w:val="00527473"/>
    <w:rsid w:val="00527EF9"/>
    <w:rsid w:val="005305FF"/>
    <w:rsid w:val="00530C9B"/>
    <w:rsid w:val="00532334"/>
    <w:rsid w:val="005324AF"/>
    <w:rsid w:val="0053402C"/>
    <w:rsid w:val="00534090"/>
    <w:rsid w:val="00534382"/>
    <w:rsid w:val="00534ABA"/>
    <w:rsid w:val="00535FFF"/>
    <w:rsid w:val="0053616F"/>
    <w:rsid w:val="005368AD"/>
    <w:rsid w:val="005370BC"/>
    <w:rsid w:val="00537B35"/>
    <w:rsid w:val="00537DE7"/>
    <w:rsid w:val="00537EC4"/>
    <w:rsid w:val="00537FE4"/>
    <w:rsid w:val="0054027D"/>
    <w:rsid w:val="00541222"/>
    <w:rsid w:val="00541A8D"/>
    <w:rsid w:val="00544DA0"/>
    <w:rsid w:val="005454BD"/>
    <w:rsid w:val="005457E4"/>
    <w:rsid w:val="00546C49"/>
    <w:rsid w:val="0055010B"/>
    <w:rsid w:val="005502C4"/>
    <w:rsid w:val="00550D59"/>
    <w:rsid w:val="0055110D"/>
    <w:rsid w:val="00551F81"/>
    <w:rsid w:val="0055210F"/>
    <w:rsid w:val="00552CD7"/>
    <w:rsid w:val="005533BE"/>
    <w:rsid w:val="00553D29"/>
    <w:rsid w:val="00554B30"/>
    <w:rsid w:val="00554FFB"/>
    <w:rsid w:val="005568DE"/>
    <w:rsid w:val="00557C50"/>
    <w:rsid w:val="005606B6"/>
    <w:rsid w:val="005608D6"/>
    <w:rsid w:val="00560F19"/>
    <w:rsid w:val="00561E6B"/>
    <w:rsid w:val="005621D2"/>
    <w:rsid w:val="005621E0"/>
    <w:rsid w:val="00562D90"/>
    <w:rsid w:val="00563A23"/>
    <w:rsid w:val="00563A5A"/>
    <w:rsid w:val="00563C61"/>
    <w:rsid w:val="00563ECB"/>
    <w:rsid w:val="00563F47"/>
    <w:rsid w:val="005640BB"/>
    <w:rsid w:val="00564C23"/>
    <w:rsid w:val="00565406"/>
    <w:rsid w:val="00565570"/>
    <w:rsid w:val="005657DD"/>
    <w:rsid w:val="00565B29"/>
    <w:rsid w:val="005664CC"/>
    <w:rsid w:val="0056664B"/>
    <w:rsid w:val="00567588"/>
    <w:rsid w:val="00567992"/>
    <w:rsid w:val="00567C3C"/>
    <w:rsid w:val="005702F8"/>
    <w:rsid w:val="00570F12"/>
    <w:rsid w:val="00571231"/>
    <w:rsid w:val="00571767"/>
    <w:rsid w:val="00571E44"/>
    <w:rsid w:val="00571E8D"/>
    <w:rsid w:val="00572AF4"/>
    <w:rsid w:val="00573E61"/>
    <w:rsid w:val="0057411B"/>
    <w:rsid w:val="00574525"/>
    <w:rsid w:val="00574778"/>
    <w:rsid w:val="0057498F"/>
    <w:rsid w:val="00574DE9"/>
    <w:rsid w:val="005756A2"/>
    <w:rsid w:val="00575DF4"/>
    <w:rsid w:val="005767C5"/>
    <w:rsid w:val="0057765D"/>
    <w:rsid w:val="005777FC"/>
    <w:rsid w:val="005808EB"/>
    <w:rsid w:val="00580D37"/>
    <w:rsid w:val="00581515"/>
    <w:rsid w:val="00581FA0"/>
    <w:rsid w:val="00582B90"/>
    <w:rsid w:val="005831A7"/>
    <w:rsid w:val="00583321"/>
    <w:rsid w:val="0058341E"/>
    <w:rsid w:val="00584F3A"/>
    <w:rsid w:val="005853AB"/>
    <w:rsid w:val="00585748"/>
    <w:rsid w:val="005859C5"/>
    <w:rsid w:val="00585C79"/>
    <w:rsid w:val="00586144"/>
    <w:rsid w:val="0058641B"/>
    <w:rsid w:val="00587785"/>
    <w:rsid w:val="0058788D"/>
    <w:rsid w:val="00587E29"/>
    <w:rsid w:val="00587FE6"/>
    <w:rsid w:val="0059088A"/>
    <w:rsid w:val="00591698"/>
    <w:rsid w:val="00593B87"/>
    <w:rsid w:val="00593C1C"/>
    <w:rsid w:val="00593E94"/>
    <w:rsid w:val="00594143"/>
    <w:rsid w:val="00594543"/>
    <w:rsid w:val="00594612"/>
    <w:rsid w:val="00595873"/>
    <w:rsid w:val="00595CDD"/>
    <w:rsid w:val="005964BB"/>
    <w:rsid w:val="00596A70"/>
    <w:rsid w:val="00596BD3"/>
    <w:rsid w:val="00596BE7"/>
    <w:rsid w:val="00596C3E"/>
    <w:rsid w:val="005977DD"/>
    <w:rsid w:val="005A04BD"/>
    <w:rsid w:val="005A0A3F"/>
    <w:rsid w:val="005A114F"/>
    <w:rsid w:val="005A1F49"/>
    <w:rsid w:val="005A2364"/>
    <w:rsid w:val="005A2480"/>
    <w:rsid w:val="005A2B2C"/>
    <w:rsid w:val="005A2D6B"/>
    <w:rsid w:val="005A3252"/>
    <w:rsid w:val="005A33F7"/>
    <w:rsid w:val="005A40CF"/>
    <w:rsid w:val="005A4A9C"/>
    <w:rsid w:val="005A4BAE"/>
    <w:rsid w:val="005A4F39"/>
    <w:rsid w:val="005A574D"/>
    <w:rsid w:val="005A5B5C"/>
    <w:rsid w:val="005A6E93"/>
    <w:rsid w:val="005A707A"/>
    <w:rsid w:val="005A7340"/>
    <w:rsid w:val="005A7F93"/>
    <w:rsid w:val="005B07EA"/>
    <w:rsid w:val="005B0B20"/>
    <w:rsid w:val="005B0BD6"/>
    <w:rsid w:val="005B0EFB"/>
    <w:rsid w:val="005B1060"/>
    <w:rsid w:val="005B12B9"/>
    <w:rsid w:val="005B17C1"/>
    <w:rsid w:val="005B3737"/>
    <w:rsid w:val="005B3A42"/>
    <w:rsid w:val="005B45DE"/>
    <w:rsid w:val="005B5D40"/>
    <w:rsid w:val="005B5EFC"/>
    <w:rsid w:val="005B6412"/>
    <w:rsid w:val="005B6698"/>
    <w:rsid w:val="005B68A7"/>
    <w:rsid w:val="005B6AC3"/>
    <w:rsid w:val="005C055E"/>
    <w:rsid w:val="005C0FA1"/>
    <w:rsid w:val="005C1615"/>
    <w:rsid w:val="005C1D98"/>
    <w:rsid w:val="005C1DA5"/>
    <w:rsid w:val="005C2559"/>
    <w:rsid w:val="005C2873"/>
    <w:rsid w:val="005C34FC"/>
    <w:rsid w:val="005C3B5C"/>
    <w:rsid w:val="005C3C7F"/>
    <w:rsid w:val="005C5143"/>
    <w:rsid w:val="005C5639"/>
    <w:rsid w:val="005C5742"/>
    <w:rsid w:val="005C760E"/>
    <w:rsid w:val="005C7E9E"/>
    <w:rsid w:val="005D165B"/>
    <w:rsid w:val="005D18C9"/>
    <w:rsid w:val="005D1B72"/>
    <w:rsid w:val="005D2471"/>
    <w:rsid w:val="005D2599"/>
    <w:rsid w:val="005D25A3"/>
    <w:rsid w:val="005D2779"/>
    <w:rsid w:val="005D3242"/>
    <w:rsid w:val="005D610C"/>
    <w:rsid w:val="005D74E7"/>
    <w:rsid w:val="005D7F7B"/>
    <w:rsid w:val="005E3BCD"/>
    <w:rsid w:val="005E4A87"/>
    <w:rsid w:val="005E4DA5"/>
    <w:rsid w:val="005E503E"/>
    <w:rsid w:val="005E59C7"/>
    <w:rsid w:val="005E5E7B"/>
    <w:rsid w:val="005E6095"/>
    <w:rsid w:val="005E6A3F"/>
    <w:rsid w:val="005E6DB8"/>
    <w:rsid w:val="005E7228"/>
    <w:rsid w:val="005E7284"/>
    <w:rsid w:val="005E7BAC"/>
    <w:rsid w:val="005F0E5C"/>
    <w:rsid w:val="005F0FC0"/>
    <w:rsid w:val="005F134E"/>
    <w:rsid w:val="005F1365"/>
    <w:rsid w:val="005F2C1F"/>
    <w:rsid w:val="005F2E44"/>
    <w:rsid w:val="005F3690"/>
    <w:rsid w:val="005F3986"/>
    <w:rsid w:val="005F4C57"/>
    <w:rsid w:val="005F6774"/>
    <w:rsid w:val="005F79AA"/>
    <w:rsid w:val="0060044B"/>
    <w:rsid w:val="006013D7"/>
    <w:rsid w:val="006014DB"/>
    <w:rsid w:val="00601587"/>
    <w:rsid w:val="00602079"/>
    <w:rsid w:val="006022F3"/>
    <w:rsid w:val="00602579"/>
    <w:rsid w:val="00602BA4"/>
    <w:rsid w:val="00602DA2"/>
    <w:rsid w:val="00602FF4"/>
    <w:rsid w:val="00603228"/>
    <w:rsid w:val="00603F05"/>
    <w:rsid w:val="00604ACD"/>
    <w:rsid w:val="00604C15"/>
    <w:rsid w:val="00604DC2"/>
    <w:rsid w:val="006060C4"/>
    <w:rsid w:val="00607C35"/>
    <w:rsid w:val="00611777"/>
    <w:rsid w:val="0061189F"/>
    <w:rsid w:val="00611C1E"/>
    <w:rsid w:val="0061219B"/>
    <w:rsid w:val="00612D05"/>
    <w:rsid w:val="00613FB6"/>
    <w:rsid w:val="006140C6"/>
    <w:rsid w:val="00614134"/>
    <w:rsid w:val="00614241"/>
    <w:rsid w:val="0061428D"/>
    <w:rsid w:val="00615411"/>
    <w:rsid w:val="0061599E"/>
    <w:rsid w:val="00615AC7"/>
    <w:rsid w:val="006162E6"/>
    <w:rsid w:val="006171A5"/>
    <w:rsid w:val="00620309"/>
    <w:rsid w:val="0062159D"/>
    <w:rsid w:val="00621680"/>
    <w:rsid w:val="00621EC5"/>
    <w:rsid w:val="006223E0"/>
    <w:rsid w:val="006224D0"/>
    <w:rsid w:val="00622BCE"/>
    <w:rsid w:val="00622E29"/>
    <w:rsid w:val="00623643"/>
    <w:rsid w:val="00624018"/>
    <w:rsid w:val="006240C4"/>
    <w:rsid w:val="00625304"/>
    <w:rsid w:val="00625402"/>
    <w:rsid w:val="0062581B"/>
    <w:rsid w:val="006261F4"/>
    <w:rsid w:val="006267B6"/>
    <w:rsid w:val="0063164E"/>
    <w:rsid w:val="0063191D"/>
    <w:rsid w:val="00633488"/>
    <w:rsid w:val="00633581"/>
    <w:rsid w:val="006339AF"/>
    <w:rsid w:val="00633C47"/>
    <w:rsid w:val="006348F7"/>
    <w:rsid w:val="0063512D"/>
    <w:rsid w:val="006358FB"/>
    <w:rsid w:val="00635AE2"/>
    <w:rsid w:val="00635E1E"/>
    <w:rsid w:val="0063677C"/>
    <w:rsid w:val="00636972"/>
    <w:rsid w:val="00636B69"/>
    <w:rsid w:val="00636BC2"/>
    <w:rsid w:val="006404D1"/>
    <w:rsid w:val="00640F43"/>
    <w:rsid w:val="006412CA"/>
    <w:rsid w:val="006419B7"/>
    <w:rsid w:val="006420DA"/>
    <w:rsid w:val="00642A0A"/>
    <w:rsid w:val="00643AC1"/>
    <w:rsid w:val="00643D62"/>
    <w:rsid w:val="00644A5E"/>
    <w:rsid w:val="00644A6C"/>
    <w:rsid w:val="00644D69"/>
    <w:rsid w:val="006457A8"/>
    <w:rsid w:val="00645EA0"/>
    <w:rsid w:val="00645F76"/>
    <w:rsid w:val="00646EB0"/>
    <w:rsid w:val="0064714D"/>
    <w:rsid w:val="0064727D"/>
    <w:rsid w:val="00647B32"/>
    <w:rsid w:val="00647C27"/>
    <w:rsid w:val="006519E6"/>
    <w:rsid w:val="00651CDE"/>
    <w:rsid w:val="00652326"/>
    <w:rsid w:val="00652907"/>
    <w:rsid w:val="00652E06"/>
    <w:rsid w:val="00653FC4"/>
    <w:rsid w:val="00654F91"/>
    <w:rsid w:val="00655361"/>
    <w:rsid w:val="00656253"/>
    <w:rsid w:val="00656799"/>
    <w:rsid w:val="00656B77"/>
    <w:rsid w:val="00656E72"/>
    <w:rsid w:val="006578A1"/>
    <w:rsid w:val="0066137B"/>
    <w:rsid w:val="0066174E"/>
    <w:rsid w:val="00661BBB"/>
    <w:rsid w:val="00661E57"/>
    <w:rsid w:val="006629E4"/>
    <w:rsid w:val="00663783"/>
    <w:rsid w:val="00663E47"/>
    <w:rsid w:val="006644A7"/>
    <w:rsid w:val="00664BDE"/>
    <w:rsid w:val="0066565B"/>
    <w:rsid w:val="00665C44"/>
    <w:rsid w:val="00666284"/>
    <w:rsid w:val="006667F3"/>
    <w:rsid w:val="00667AEA"/>
    <w:rsid w:val="006704FA"/>
    <w:rsid w:val="00670687"/>
    <w:rsid w:val="00670DC5"/>
    <w:rsid w:val="00671652"/>
    <w:rsid w:val="00671FAA"/>
    <w:rsid w:val="00675DA5"/>
    <w:rsid w:val="00680482"/>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1422"/>
    <w:rsid w:val="006927F2"/>
    <w:rsid w:val="006931E1"/>
    <w:rsid w:val="00694310"/>
    <w:rsid w:val="00694700"/>
    <w:rsid w:val="00694803"/>
    <w:rsid w:val="00694CE8"/>
    <w:rsid w:val="00694E1F"/>
    <w:rsid w:val="0069569E"/>
    <w:rsid w:val="006956C6"/>
    <w:rsid w:val="00696EE3"/>
    <w:rsid w:val="0069715D"/>
    <w:rsid w:val="00697392"/>
    <w:rsid w:val="006973E5"/>
    <w:rsid w:val="00697664"/>
    <w:rsid w:val="00697681"/>
    <w:rsid w:val="0069770C"/>
    <w:rsid w:val="006A08F2"/>
    <w:rsid w:val="006A151A"/>
    <w:rsid w:val="006A1E62"/>
    <w:rsid w:val="006A1F4B"/>
    <w:rsid w:val="006A2A12"/>
    <w:rsid w:val="006A2E9C"/>
    <w:rsid w:val="006A35E0"/>
    <w:rsid w:val="006A377F"/>
    <w:rsid w:val="006A384A"/>
    <w:rsid w:val="006A3875"/>
    <w:rsid w:val="006A3D40"/>
    <w:rsid w:val="006A561D"/>
    <w:rsid w:val="006A5A0C"/>
    <w:rsid w:val="006A5BA0"/>
    <w:rsid w:val="006A5BB1"/>
    <w:rsid w:val="006A5F88"/>
    <w:rsid w:val="006A7D95"/>
    <w:rsid w:val="006B120D"/>
    <w:rsid w:val="006B13C1"/>
    <w:rsid w:val="006B2CC7"/>
    <w:rsid w:val="006B3AF9"/>
    <w:rsid w:val="006B44C5"/>
    <w:rsid w:val="006B555F"/>
    <w:rsid w:val="006B6242"/>
    <w:rsid w:val="006B6C7C"/>
    <w:rsid w:val="006B6EA4"/>
    <w:rsid w:val="006B77BB"/>
    <w:rsid w:val="006B7F8F"/>
    <w:rsid w:val="006B7FC5"/>
    <w:rsid w:val="006C055E"/>
    <w:rsid w:val="006C0D13"/>
    <w:rsid w:val="006C187F"/>
    <w:rsid w:val="006C19BC"/>
    <w:rsid w:val="006C19D5"/>
    <w:rsid w:val="006C1B44"/>
    <w:rsid w:val="006C1F77"/>
    <w:rsid w:val="006C2211"/>
    <w:rsid w:val="006C3031"/>
    <w:rsid w:val="006C3607"/>
    <w:rsid w:val="006C3990"/>
    <w:rsid w:val="006C3ED2"/>
    <w:rsid w:val="006C4233"/>
    <w:rsid w:val="006C42E7"/>
    <w:rsid w:val="006C4422"/>
    <w:rsid w:val="006C5CCA"/>
    <w:rsid w:val="006C625F"/>
    <w:rsid w:val="006C78A6"/>
    <w:rsid w:val="006C7AB4"/>
    <w:rsid w:val="006D006B"/>
    <w:rsid w:val="006D105C"/>
    <w:rsid w:val="006D30E7"/>
    <w:rsid w:val="006D48E7"/>
    <w:rsid w:val="006D4947"/>
    <w:rsid w:val="006D5F16"/>
    <w:rsid w:val="006D63AD"/>
    <w:rsid w:val="006D6764"/>
    <w:rsid w:val="006D67D9"/>
    <w:rsid w:val="006D6C93"/>
    <w:rsid w:val="006D7573"/>
    <w:rsid w:val="006E0340"/>
    <w:rsid w:val="006E06F9"/>
    <w:rsid w:val="006E07A9"/>
    <w:rsid w:val="006E0D91"/>
    <w:rsid w:val="006E1706"/>
    <w:rsid w:val="006E3CB2"/>
    <w:rsid w:val="006E3DA8"/>
    <w:rsid w:val="006E5DAA"/>
    <w:rsid w:val="006E7006"/>
    <w:rsid w:val="006F00E7"/>
    <w:rsid w:val="006F0F6E"/>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CC1"/>
    <w:rsid w:val="006F67A5"/>
    <w:rsid w:val="006F762D"/>
    <w:rsid w:val="00700492"/>
    <w:rsid w:val="0070167E"/>
    <w:rsid w:val="00701E1B"/>
    <w:rsid w:val="00702ED0"/>
    <w:rsid w:val="00703C09"/>
    <w:rsid w:val="0070434A"/>
    <w:rsid w:val="007048C4"/>
    <w:rsid w:val="00704CC4"/>
    <w:rsid w:val="0070523B"/>
    <w:rsid w:val="00705345"/>
    <w:rsid w:val="0070638D"/>
    <w:rsid w:val="00706DBF"/>
    <w:rsid w:val="00707A59"/>
    <w:rsid w:val="0071046B"/>
    <w:rsid w:val="00710AC6"/>
    <w:rsid w:val="00710C09"/>
    <w:rsid w:val="00710C1D"/>
    <w:rsid w:val="007110A3"/>
    <w:rsid w:val="00711108"/>
    <w:rsid w:val="00711213"/>
    <w:rsid w:val="007112A1"/>
    <w:rsid w:val="00711996"/>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B6E"/>
    <w:rsid w:val="0071512F"/>
    <w:rsid w:val="00716756"/>
    <w:rsid w:val="007169AC"/>
    <w:rsid w:val="007169DD"/>
    <w:rsid w:val="00717679"/>
    <w:rsid w:val="00717B67"/>
    <w:rsid w:val="007206A2"/>
    <w:rsid w:val="00720B38"/>
    <w:rsid w:val="00720CA7"/>
    <w:rsid w:val="0072147B"/>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8C7"/>
    <w:rsid w:val="00726AAB"/>
    <w:rsid w:val="00727077"/>
    <w:rsid w:val="00730EA6"/>
    <w:rsid w:val="00731AA2"/>
    <w:rsid w:val="00731C15"/>
    <w:rsid w:val="00732045"/>
    <w:rsid w:val="007322A0"/>
    <w:rsid w:val="00732C1A"/>
    <w:rsid w:val="00733CDC"/>
    <w:rsid w:val="00734B9A"/>
    <w:rsid w:val="00735695"/>
    <w:rsid w:val="007360CB"/>
    <w:rsid w:val="00737566"/>
    <w:rsid w:val="00741BA2"/>
    <w:rsid w:val="00741CF4"/>
    <w:rsid w:val="00741DCC"/>
    <w:rsid w:val="00741DE2"/>
    <w:rsid w:val="007421A1"/>
    <w:rsid w:val="007427FE"/>
    <w:rsid w:val="00742C51"/>
    <w:rsid w:val="00743445"/>
    <w:rsid w:val="00745E01"/>
    <w:rsid w:val="0074666B"/>
    <w:rsid w:val="007468D6"/>
    <w:rsid w:val="00746BFF"/>
    <w:rsid w:val="007473E1"/>
    <w:rsid w:val="00747897"/>
    <w:rsid w:val="00747E47"/>
    <w:rsid w:val="00750192"/>
    <w:rsid w:val="007504E1"/>
    <w:rsid w:val="00750544"/>
    <w:rsid w:val="00750804"/>
    <w:rsid w:val="007509AB"/>
    <w:rsid w:val="00751689"/>
    <w:rsid w:val="007524AA"/>
    <w:rsid w:val="00753744"/>
    <w:rsid w:val="00753A93"/>
    <w:rsid w:val="00755663"/>
    <w:rsid w:val="00756386"/>
    <w:rsid w:val="00756603"/>
    <w:rsid w:val="007575C0"/>
    <w:rsid w:val="00757D2F"/>
    <w:rsid w:val="0076000E"/>
    <w:rsid w:val="00760C00"/>
    <w:rsid w:val="007610E9"/>
    <w:rsid w:val="00761728"/>
    <w:rsid w:val="00761C6C"/>
    <w:rsid w:val="00762B72"/>
    <w:rsid w:val="00763469"/>
    <w:rsid w:val="00763CCB"/>
    <w:rsid w:val="007642B4"/>
    <w:rsid w:val="00764C45"/>
    <w:rsid w:val="00766277"/>
    <w:rsid w:val="0076656A"/>
    <w:rsid w:val="00766701"/>
    <w:rsid w:val="00766911"/>
    <w:rsid w:val="00767793"/>
    <w:rsid w:val="007679D8"/>
    <w:rsid w:val="00770803"/>
    <w:rsid w:val="00771319"/>
    <w:rsid w:val="007713E8"/>
    <w:rsid w:val="00771794"/>
    <w:rsid w:val="00771CCF"/>
    <w:rsid w:val="00771F7D"/>
    <w:rsid w:val="00772C3E"/>
    <w:rsid w:val="007736E8"/>
    <w:rsid w:val="00774ACE"/>
    <w:rsid w:val="00775823"/>
    <w:rsid w:val="00775F57"/>
    <w:rsid w:val="00776584"/>
    <w:rsid w:val="007769EF"/>
    <w:rsid w:val="00776D4F"/>
    <w:rsid w:val="00776DDC"/>
    <w:rsid w:val="007770F9"/>
    <w:rsid w:val="00777179"/>
    <w:rsid w:val="00777945"/>
    <w:rsid w:val="00777D40"/>
    <w:rsid w:val="00777F65"/>
    <w:rsid w:val="00780B8D"/>
    <w:rsid w:val="00780B8E"/>
    <w:rsid w:val="00781649"/>
    <w:rsid w:val="007823D6"/>
    <w:rsid w:val="0078254E"/>
    <w:rsid w:val="00782628"/>
    <w:rsid w:val="007826AB"/>
    <w:rsid w:val="007840E2"/>
    <w:rsid w:val="0078569F"/>
    <w:rsid w:val="00785803"/>
    <w:rsid w:val="00785EB4"/>
    <w:rsid w:val="0078609A"/>
    <w:rsid w:val="00786F85"/>
    <w:rsid w:val="0078731A"/>
    <w:rsid w:val="00787487"/>
    <w:rsid w:val="007906F1"/>
    <w:rsid w:val="00790EDA"/>
    <w:rsid w:val="00791349"/>
    <w:rsid w:val="00791D85"/>
    <w:rsid w:val="00791DAF"/>
    <w:rsid w:val="007924CA"/>
    <w:rsid w:val="00794CBF"/>
    <w:rsid w:val="00794DB1"/>
    <w:rsid w:val="00795365"/>
    <w:rsid w:val="0079567E"/>
    <w:rsid w:val="007961D5"/>
    <w:rsid w:val="00796A6F"/>
    <w:rsid w:val="00796C5D"/>
    <w:rsid w:val="00797B06"/>
    <w:rsid w:val="00797B9C"/>
    <w:rsid w:val="007A0483"/>
    <w:rsid w:val="007A064E"/>
    <w:rsid w:val="007A1065"/>
    <w:rsid w:val="007A1D86"/>
    <w:rsid w:val="007A2A97"/>
    <w:rsid w:val="007A2CDC"/>
    <w:rsid w:val="007A371B"/>
    <w:rsid w:val="007A3832"/>
    <w:rsid w:val="007A3A0F"/>
    <w:rsid w:val="007A3E60"/>
    <w:rsid w:val="007A407D"/>
    <w:rsid w:val="007A464F"/>
    <w:rsid w:val="007A6196"/>
    <w:rsid w:val="007A63D5"/>
    <w:rsid w:val="007A689A"/>
    <w:rsid w:val="007A68EA"/>
    <w:rsid w:val="007A6B7D"/>
    <w:rsid w:val="007A7629"/>
    <w:rsid w:val="007B1027"/>
    <w:rsid w:val="007B1691"/>
    <w:rsid w:val="007B174F"/>
    <w:rsid w:val="007B1863"/>
    <w:rsid w:val="007B22E0"/>
    <w:rsid w:val="007B28CA"/>
    <w:rsid w:val="007B358D"/>
    <w:rsid w:val="007B5401"/>
    <w:rsid w:val="007B5FB4"/>
    <w:rsid w:val="007B6B2B"/>
    <w:rsid w:val="007B7949"/>
    <w:rsid w:val="007B7D30"/>
    <w:rsid w:val="007C0FA9"/>
    <w:rsid w:val="007C2413"/>
    <w:rsid w:val="007C25AE"/>
    <w:rsid w:val="007C3152"/>
    <w:rsid w:val="007C333B"/>
    <w:rsid w:val="007C3914"/>
    <w:rsid w:val="007C3CEA"/>
    <w:rsid w:val="007C3D92"/>
    <w:rsid w:val="007C3E98"/>
    <w:rsid w:val="007C5A8F"/>
    <w:rsid w:val="007C5B38"/>
    <w:rsid w:val="007C76E8"/>
    <w:rsid w:val="007D01E6"/>
    <w:rsid w:val="007D035E"/>
    <w:rsid w:val="007D0396"/>
    <w:rsid w:val="007D0644"/>
    <w:rsid w:val="007D1801"/>
    <w:rsid w:val="007D1FE0"/>
    <w:rsid w:val="007D20BB"/>
    <w:rsid w:val="007D261E"/>
    <w:rsid w:val="007D2F61"/>
    <w:rsid w:val="007D3004"/>
    <w:rsid w:val="007D3D0E"/>
    <w:rsid w:val="007D3D33"/>
    <w:rsid w:val="007D41C2"/>
    <w:rsid w:val="007D4F02"/>
    <w:rsid w:val="007D674C"/>
    <w:rsid w:val="007D6B7B"/>
    <w:rsid w:val="007D6CF1"/>
    <w:rsid w:val="007D7131"/>
    <w:rsid w:val="007D7BEC"/>
    <w:rsid w:val="007D7CE3"/>
    <w:rsid w:val="007E051A"/>
    <w:rsid w:val="007E0798"/>
    <w:rsid w:val="007E1B72"/>
    <w:rsid w:val="007E3EE3"/>
    <w:rsid w:val="007E4AC2"/>
    <w:rsid w:val="007E57DE"/>
    <w:rsid w:val="007E5902"/>
    <w:rsid w:val="007E6719"/>
    <w:rsid w:val="007E68ED"/>
    <w:rsid w:val="007E69ED"/>
    <w:rsid w:val="007E7B2D"/>
    <w:rsid w:val="007F0221"/>
    <w:rsid w:val="007F034B"/>
    <w:rsid w:val="007F07B9"/>
    <w:rsid w:val="007F0928"/>
    <w:rsid w:val="007F15CE"/>
    <w:rsid w:val="007F1E88"/>
    <w:rsid w:val="007F2CD7"/>
    <w:rsid w:val="007F3426"/>
    <w:rsid w:val="007F3568"/>
    <w:rsid w:val="007F422D"/>
    <w:rsid w:val="007F496E"/>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4114"/>
    <w:rsid w:val="00804634"/>
    <w:rsid w:val="008047E8"/>
    <w:rsid w:val="0080531E"/>
    <w:rsid w:val="00805C3D"/>
    <w:rsid w:val="00806F1D"/>
    <w:rsid w:val="008077ED"/>
    <w:rsid w:val="00807B6F"/>
    <w:rsid w:val="00807E93"/>
    <w:rsid w:val="00810172"/>
    <w:rsid w:val="00810762"/>
    <w:rsid w:val="00810858"/>
    <w:rsid w:val="00810EFF"/>
    <w:rsid w:val="00811314"/>
    <w:rsid w:val="00811A39"/>
    <w:rsid w:val="0081291B"/>
    <w:rsid w:val="00813622"/>
    <w:rsid w:val="00813DCF"/>
    <w:rsid w:val="00813FAB"/>
    <w:rsid w:val="0081498C"/>
    <w:rsid w:val="00814AE1"/>
    <w:rsid w:val="00815D31"/>
    <w:rsid w:val="00815F04"/>
    <w:rsid w:val="0081601F"/>
    <w:rsid w:val="00816064"/>
    <w:rsid w:val="008174B2"/>
    <w:rsid w:val="00817CFF"/>
    <w:rsid w:val="0082000D"/>
    <w:rsid w:val="0082037E"/>
    <w:rsid w:val="00820C9C"/>
    <w:rsid w:val="00820F55"/>
    <w:rsid w:val="00821572"/>
    <w:rsid w:val="00822310"/>
    <w:rsid w:val="00823794"/>
    <w:rsid w:val="008237F4"/>
    <w:rsid w:val="00823F67"/>
    <w:rsid w:val="00824022"/>
    <w:rsid w:val="0082483A"/>
    <w:rsid w:val="00824A81"/>
    <w:rsid w:val="008257B8"/>
    <w:rsid w:val="008260ED"/>
    <w:rsid w:val="0082699D"/>
    <w:rsid w:val="00826E6B"/>
    <w:rsid w:val="008275FD"/>
    <w:rsid w:val="0083012E"/>
    <w:rsid w:val="00830BA1"/>
    <w:rsid w:val="00830EB2"/>
    <w:rsid w:val="00831652"/>
    <w:rsid w:val="0083202E"/>
    <w:rsid w:val="0083304F"/>
    <w:rsid w:val="008334C9"/>
    <w:rsid w:val="00834122"/>
    <w:rsid w:val="008352C5"/>
    <w:rsid w:val="008358A6"/>
    <w:rsid w:val="008359FB"/>
    <w:rsid w:val="00835C56"/>
    <w:rsid w:val="008360FC"/>
    <w:rsid w:val="00836E81"/>
    <w:rsid w:val="008377C1"/>
    <w:rsid w:val="00837C90"/>
    <w:rsid w:val="00837EB1"/>
    <w:rsid w:val="0084042B"/>
    <w:rsid w:val="008409BB"/>
    <w:rsid w:val="0084184A"/>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0FA"/>
    <w:rsid w:val="008478ED"/>
    <w:rsid w:val="00851728"/>
    <w:rsid w:val="00851DFF"/>
    <w:rsid w:val="00853084"/>
    <w:rsid w:val="00853142"/>
    <w:rsid w:val="008540A6"/>
    <w:rsid w:val="00854420"/>
    <w:rsid w:val="00854481"/>
    <w:rsid w:val="00857591"/>
    <w:rsid w:val="00857E88"/>
    <w:rsid w:val="008612DB"/>
    <w:rsid w:val="00861B57"/>
    <w:rsid w:val="00862AC4"/>
    <w:rsid w:val="008633AC"/>
    <w:rsid w:val="008634E3"/>
    <w:rsid w:val="00864627"/>
    <w:rsid w:val="00864635"/>
    <w:rsid w:val="00864678"/>
    <w:rsid w:val="00864C1A"/>
    <w:rsid w:val="00865217"/>
    <w:rsid w:val="008658AA"/>
    <w:rsid w:val="00865CBD"/>
    <w:rsid w:val="00866E37"/>
    <w:rsid w:val="00866F9E"/>
    <w:rsid w:val="008672E2"/>
    <w:rsid w:val="0086793D"/>
    <w:rsid w:val="00867B1C"/>
    <w:rsid w:val="008713D6"/>
    <w:rsid w:val="00871643"/>
    <w:rsid w:val="0087281D"/>
    <w:rsid w:val="008732D8"/>
    <w:rsid w:val="00873377"/>
    <w:rsid w:val="00873577"/>
    <w:rsid w:val="0087409F"/>
    <w:rsid w:val="00874D58"/>
    <w:rsid w:val="008750D2"/>
    <w:rsid w:val="00875AB5"/>
    <w:rsid w:val="00875C91"/>
    <w:rsid w:val="00875F85"/>
    <w:rsid w:val="00876C6B"/>
    <w:rsid w:val="00876DC9"/>
    <w:rsid w:val="00877125"/>
    <w:rsid w:val="008777C2"/>
    <w:rsid w:val="00881511"/>
    <w:rsid w:val="00882448"/>
    <w:rsid w:val="008828F5"/>
    <w:rsid w:val="00882F1D"/>
    <w:rsid w:val="00883A4D"/>
    <w:rsid w:val="00883B21"/>
    <w:rsid w:val="00883F8F"/>
    <w:rsid w:val="00884235"/>
    <w:rsid w:val="00885285"/>
    <w:rsid w:val="00885985"/>
    <w:rsid w:val="00886699"/>
    <w:rsid w:val="0088709A"/>
    <w:rsid w:val="0089199F"/>
    <w:rsid w:val="00891C32"/>
    <w:rsid w:val="00891D7F"/>
    <w:rsid w:val="00892265"/>
    <w:rsid w:val="0089233E"/>
    <w:rsid w:val="00892F4A"/>
    <w:rsid w:val="0089330E"/>
    <w:rsid w:val="00893A8E"/>
    <w:rsid w:val="00893E27"/>
    <w:rsid w:val="008945F7"/>
    <w:rsid w:val="0089463D"/>
    <w:rsid w:val="0089554F"/>
    <w:rsid w:val="008955E6"/>
    <w:rsid w:val="00895B5F"/>
    <w:rsid w:val="0089637C"/>
    <w:rsid w:val="00896712"/>
    <w:rsid w:val="00896870"/>
    <w:rsid w:val="008969BD"/>
    <w:rsid w:val="008A13BD"/>
    <w:rsid w:val="008A1596"/>
    <w:rsid w:val="008A1EDF"/>
    <w:rsid w:val="008A2695"/>
    <w:rsid w:val="008A2DC4"/>
    <w:rsid w:val="008A2DC9"/>
    <w:rsid w:val="008A2FF1"/>
    <w:rsid w:val="008A32D4"/>
    <w:rsid w:val="008A367F"/>
    <w:rsid w:val="008A37AF"/>
    <w:rsid w:val="008A3D62"/>
    <w:rsid w:val="008A448D"/>
    <w:rsid w:val="008A4A55"/>
    <w:rsid w:val="008A506F"/>
    <w:rsid w:val="008A528A"/>
    <w:rsid w:val="008A5298"/>
    <w:rsid w:val="008A535A"/>
    <w:rsid w:val="008A720F"/>
    <w:rsid w:val="008A7C72"/>
    <w:rsid w:val="008B04F2"/>
    <w:rsid w:val="008B0D0E"/>
    <w:rsid w:val="008B12BB"/>
    <w:rsid w:val="008B1411"/>
    <w:rsid w:val="008B17A2"/>
    <w:rsid w:val="008B25F2"/>
    <w:rsid w:val="008B2643"/>
    <w:rsid w:val="008B2FAE"/>
    <w:rsid w:val="008B3317"/>
    <w:rsid w:val="008B414B"/>
    <w:rsid w:val="008B4E0E"/>
    <w:rsid w:val="008B4FB9"/>
    <w:rsid w:val="008B5715"/>
    <w:rsid w:val="008B5A2D"/>
    <w:rsid w:val="008B5BC2"/>
    <w:rsid w:val="008B60BB"/>
    <w:rsid w:val="008B6732"/>
    <w:rsid w:val="008B68EC"/>
    <w:rsid w:val="008B711E"/>
    <w:rsid w:val="008C042F"/>
    <w:rsid w:val="008C057B"/>
    <w:rsid w:val="008C0CAC"/>
    <w:rsid w:val="008C13B4"/>
    <w:rsid w:val="008C1557"/>
    <w:rsid w:val="008C1B8C"/>
    <w:rsid w:val="008C2306"/>
    <w:rsid w:val="008C26D1"/>
    <w:rsid w:val="008C2B7F"/>
    <w:rsid w:val="008C36AC"/>
    <w:rsid w:val="008C4953"/>
    <w:rsid w:val="008C4E44"/>
    <w:rsid w:val="008C6255"/>
    <w:rsid w:val="008C684B"/>
    <w:rsid w:val="008C6ABD"/>
    <w:rsid w:val="008C6F18"/>
    <w:rsid w:val="008C7685"/>
    <w:rsid w:val="008D007A"/>
    <w:rsid w:val="008D07DE"/>
    <w:rsid w:val="008D0831"/>
    <w:rsid w:val="008D0E40"/>
    <w:rsid w:val="008D1E7F"/>
    <w:rsid w:val="008D2367"/>
    <w:rsid w:val="008D427A"/>
    <w:rsid w:val="008D4DD5"/>
    <w:rsid w:val="008D5657"/>
    <w:rsid w:val="008D6752"/>
    <w:rsid w:val="008D69E7"/>
    <w:rsid w:val="008D6FC1"/>
    <w:rsid w:val="008E0140"/>
    <w:rsid w:val="008E0688"/>
    <w:rsid w:val="008E0BEF"/>
    <w:rsid w:val="008E266D"/>
    <w:rsid w:val="008E2F0C"/>
    <w:rsid w:val="008E3E23"/>
    <w:rsid w:val="008E547B"/>
    <w:rsid w:val="008E5DF8"/>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AA7"/>
    <w:rsid w:val="00900947"/>
    <w:rsid w:val="00900EB8"/>
    <w:rsid w:val="00900FBA"/>
    <w:rsid w:val="00902E5B"/>
    <w:rsid w:val="00903FD9"/>
    <w:rsid w:val="00904CF5"/>
    <w:rsid w:val="00905259"/>
    <w:rsid w:val="0090556C"/>
    <w:rsid w:val="00905633"/>
    <w:rsid w:val="00905EAE"/>
    <w:rsid w:val="009060C4"/>
    <w:rsid w:val="00906C91"/>
    <w:rsid w:val="00906C95"/>
    <w:rsid w:val="00907656"/>
    <w:rsid w:val="00907E47"/>
    <w:rsid w:val="009113AC"/>
    <w:rsid w:val="009115EF"/>
    <w:rsid w:val="009116DD"/>
    <w:rsid w:val="00912D1C"/>
    <w:rsid w:val="00913019"/>
    <w:rsid w:val="00913F1E"/>
    <w:rsid w:val="00913FB2"/>
    <w:rsid w:val="009140C4"/>
    <w:rsid w:val="009144A9"/>
    <w:rsid w:val="0091468B"/>
    <w:rsid w:val="0091526F"/>
    <w:rsid w:val="009153D2"/>
    <w:rsid w:val="00916286"/>
    <w:rsid w:val="00916595"/>
    <w:rsid w:val="00916C47"/>
    <w:rsid w:val="009171AD"/>
    <w:rsid w:val="00917569"/>
    <w:rsid w:val="00920174"/>
    <w:rsid w:val="009219D2"/>
    <w:rsid w:val="00921A4E"/>
    <w:rsid w:val="00921E37"/>
    <w:rsid w:val="00922511"/>
    <w:rsid w:val="00922F07"/>
    <w:rsid w:val="00923463"/>
    <w:rsid w:val="00925238"/>
    <w:rsid w:val="00925ACF"/>
    <w:rsid w:val="0092615D"/>
    <w:rsid w:val="00926546"/>
    <w:rsid w:val="009265A1"/>
    <w:rsid w:val="00927700"/>
    <w:rsid w:val="00930054"/>
    <w:rsid w:val="009301DA"/>
    <w:rsid w:val="0093036E"/>
    <w:rsid w:val="00931224"/>
    <w:rsid w:val="009333D3"/>
    <w:rsid w:val="009339B6"/>
    <w:rsid w:val="00933B4C"/>
    <w:rsid w:val="00933DC4"/>
    <w:rsid w:val="0093431B"/>
    <w:rsid w:val="009346D6"/>
    <w:rsid w:val="00934743"/>
    <w:rsid w:val="009347FD"/>
    <w:rsid w:val="0093487E"/>
    <w:rsid w:val="00934FFE"/>
    <w:rsid w:val="00936405"/>
    <w:rsid w:val="00936B64"/>
    <w:rsid w:val="009379C4"/>
    <w:rsid w:val="0094041A"/>
    <w:rsid w:val="00940D32"/>
    <w:rsid w:val="0094190D"/>
    <w:rsid w:val="00942354"/>
    <w:rsid w:val="00942681"/>
    <w:rsid w:val="00943A7E"/>
    <w:rsid w:val="00943E42"/>
    <w:rsid w:val="00943E5D"/>
    <w:rsid w:val="00944728"/>
    <w:rsid w:val="009453E8"/>
    <w:rsid w:val="00945664"/>
    <w:rsid w:val="00945AD1"/>
    <w:rsid w:val="00946ECB"/>
    <w:rsid w:val="00947268"/>
    <w:rsid w:val="0094750E"/>
    <w:rsid w:val="00947C94"/>
    <w:rsid w:val="009507C8"/>
    <w:rsid w:val="0095115E"/>
    <w:rsid w:val="0095118A"/>
    <w:rsid w:val="00952468"/>
    <w:rsid w:val="00952DCC"/>
    <w:rsid w:val="00954767"/>
    <w:rsid w:val="0095487A"/>
    <w:rsid w:val="009548FB"/>
    <w:rsid w:val="0095538B"/>
    <w:rsid w:val="00957AF7"/>
    <w:rsid w:val="00960ACA"/>
    <w:rsid w:val="00960C4F"/>
    <w:rsid w:val="0096217C"/>
    <w:rsid w:val="00962441"/>
    <w:rsid w:val="00963277"/>
    <w:rsid w:val="00964B53"/>
    <w:rsid w:val="00964C3F"/>
    <w:rsid w:val="00964C6C"/>
    <w:rsid w:val="00965090"/>
    <w:rsid w:val="00965176"/>
    <w:rsid w:val="00965240"/>
    <w:rsid w:val="00965847"/>
    <w:rsid w:val="00965A3E"/>
    <w:rsid w:val="00965C48"/>
    <w:rsid w:val="00966D9D"/>
    <w:rsid w:val="00966E4A"/>
    <w:rsid w:val="00967041"/>
    <w:rsid w:val="00970918"/>
    <w:rsid w:val="0097099E"/>
    <w:rsid w:val="00971761"/>
    <w:rsid w:val="0097216F"/>
    <w:rsid w:val="0097290F"/>
    <w:rsid w:val="00972C3B"/>
    <w:rsid w:val="00973057"/>
    <w:rsid w:val="00974D50"/>
    <w:rsid w:val="009751AF"/>
    <w:rsid w:val="00975326"/>
    <w:rsid w:val="00975DEA"/>
    <w:rsid w:val="00977CDF"/>
    <w:rsid w:val="0098043F"/>
    <w:rsid w:val="00981038"/>
    <w:rsid w:val="0098106E"/>
    <w:rsid w:val="00981511"/>
    <w:rsid w:val="00981D1C"/>
    <w:rsid w:val="00981E1C"/>
    <w:rsid w:val="00982118"/>
    <w:rsid w:val="00982C62"/>
    <w:rsid w:val="00982C91"/>
    <w:rsid w:val="00982F76"/>
    <w:rsid w:val="00982FA3"/>
    <w:rsid w:val="009840FD"/>
    <w:rsid w:val="00984701"/>
    <w:rsid w:val="00984847"/>
    <w:rsid w:val="00984BEC"/>
    <w:rsid w:val="00985B8E"/>
    <w:rsid w:val="00985EB8"/>
    <w:rsid w:val="00985FB3"/>
    <w:rsid w:val="00986566"/>
    <w:rsid w:val="00986CC1"/>
    <w:rsid w:val="00986F4E"/>
    <w:rsid w:val="00987191"/>
    <w:rsid w:val="00987A5A"/>
    <w:rsid w:val="00987CB4"/>
    <w:rsid w:val="0099097E"/>
    <w:rsid w:val="009921FC"/>
    <w:rsid w:val="0099272B"/>
    <w:rsid w:val="00992A0E"/>
    <w:rsid w:val="0099399E"/>
    <w:rsid w:val="0099413C"/>
    <w:rsid w:val="00994230"/>
    <w:rsid w:val="0099479E"/>
    <w:rsid w:val="009951D8"/>
    <w:rsid w:val="00995355"/>
    <w:rsid w:val="00995375"/>
    <w:rsid w:val="009953FA"/>
    <w:rsid w:val="0099586F"/>
    <w:rsid w:val="0099719E"/>
    <w:rsid w:val="009A0169"/>
    <w:rsid w:val="009A02D9"/>
    <w:rsid w:val="009A1B56"/>
    <w:rsid w:val="009A3C93"/>
    <w:rsid w:val="009A3FD0"/>
    <w:rsid w:val="009A51C7"/>
    <w:rsid w:val="009A59EC"/>
    <w:rsid w:val="009A5C56"/>
    <w:rsid w:val="009A5CA8"/>
    <w:rsid w:val="009A6ED0"/>
    <w:rsid w:val="009A706A"/>
    <w:rsid w:val="009A71AB"/>
    <w:rsid w:val="009A7745"/>
    <w:rsid w:val="009A7C3D"/>
    <w:rsid w:val="009B0156"/>
    <w:rsid w:val="009B0295"/>
    <w:rsid w:val="009B05BA"/>
    <w:rsid w:val="009B1B0E"/>
    <w:rsid w:val="009B2596"/>
    <w:rsid w:val="009B42B6"/>
    <w:rsid w:val="009B42CC"/>
    <w:rsid w:val="009B43D6"/>
    <w:rsid w:val="009B5081"/>
    <w:rsid w:val="009B6985"/>
    <w:rsid w:val="009B69B3"/>
    <w:rsid w:val="009B7011"/>
    <w:rsid w:val="009B71E4"/>
    <w:rsid w:val="009C04EE"/>
    <w:rsid w:val="009C0CD4"/>
    <w:rsid w:val="009C15E7"/>
    <w:rsid w:val="009C17C8"/>
    <w:rsid w:val="009C1A7B"/>
    <w:rsid w:val="009C2014"/>
    <w:rsid w:val="009C385B"/>
    <w:rsid w:val="009C3E3C"/>
    <w:rsid w:val="009C4353"/>
    <w:rsid w:val="009C49C2"/>
    <w:rsid w:val="009C4E2D"/>
    <w:rsid w:val="009C62C0"/>
    <w:rsid w:val="009C6A88"/>
    <w:rsid w:val="009C765D"/>
    <w:rsid w:val="009C7ADA"/>
    <w:rsid w:val="009D000A"/>
    <w:rsid w:val="009D1A86"/>
    <w:rsid w:val="009D1E12"/>
    <w:rsid w:val="009D2DA9"/>
    <w:rsid w:val="009D2E93"/>
    <w:rsid w:val="009D2EA9"/>
    <w:rsid w:val="009D3038"/>
    <w:rsid w:val="009D34C0"/>
    <w:rsid w:val="009D35FB"/>
    <w:rsid w:val="009D4BBE"/>
    <w:rsid w:val="009D4E16"/>
    <w:rsid w:val="009D5893"/>
    <w:rsid w:val="009D6620"/>
    <w:rsid w:val="009D6C54"/>
    <w:rsid w:val="009D72B0"/>
    <w:rsid w:val="009D77CE"/>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1328"/>
    <w:rsid w:val="009F245B"/>
    <w:rsid w:val="009F25E6"/>
    <w:rsid w:val="009F2BE8"/>
    <w:rsid w:val="009F2F09"/>
    <w:rsid w:val="009F39A7"/>
    <w:rsid w:val="009F40B7"/>
    <w:rsid w:val="009F4188"/>
    <w:rsid w:val="009F4302"/>
    <w:rsid w:val="009F4393"/>
    <w:rsid w:val="009F4BE9"/>
    <w:rsid w:val="009F62D3"/>
    <w:rsid w:val="00A00112"/>
    <w:rsid w:val="00A008B5"/>
    <w:rsid w:val="00A017B4"/>
    <w:rsid w:val="00A01C53"/>
    <w:rsid w:val="00A01D38"/>
    <w:rsid w:val="00A02414"/>
    <w:rsid w:val="00A025B9"/>
    <w:rsid w:val="00A0355C"/>
    <w:rsid w:val="00A03A13"/>
    <w:rsid w:val="00A040CD"/>
    <w:rsid w:val="00A04429"/>
    <w:rsid w:val="00A04635"/>
    <w:rsid w:val="00A06446"/>
    <w:rsid w:val="00A06697"/>
    <w:rsid w:val="00A06C40"/>
    <w:rsid w:val="00A10586"/>
    <w:rsid w:val="00A10A48"/>
    <w:rsid w:val="00A110DA"/>
    <w:rsid w:val="00A1132B"/>
    <w:rsid w:val="00A11930"/>
    <w:rsid w:val="00A11B54"/>
    <w:rsid w:val="00A11CDC"/>
    <w:rsid w:val="00A1238C"/>
    <w:rsid w:val="00A1263D"/>
    <w:rsid w:val="00A12AF2"/>
    <w:rsid w:val="00A12D8A"/>
    <w:rsid w:val="00A12E6C"/>
    <w:rsid w:val="00A136D0"/>
    <w:rsid w:val="00A13D1A"/>
    <w:rsid w:val="00A14DC2"/>
    <w:rsid w:val="00A14DD6"/>
    <w:rsid w:val="00A1546D"/>
    <w:rsid w:val="00A15D5E"/>
    <w:rsid w:val="00A161F8"/>
    <w:rsid w:val="00A169FA"/>
    <w:rsid w:val="00A1766A"/>
    <w:rsid w:val="00A200F4"/>
    <w:rsid w:val="00A206C9"/>
    <w:rsid w:val="00A20C27"/>
    <w:rsid w:val="00A20E7D"/>
    <w:rsid w:val="00A216BC"/>
    <w:rsid w:val="00A22D15"/>
    <w:rsid w:val="00A23931"/>
    <w:rsid w:val="00A23FD6"/>
    <w:rsid w:val="00A25317"/>
    <w:rsid w:val="00A25706"/>
    <w:rsid w:val="00A25D84"/>
    <w:rsid w:val="00A26029"/>
    <w:rsid w:val="00A262E4"/>
    <w:rsid w:val="00A268EA"/>
    <w:rsid w:val="00A31C99"/>
    <w:rsid w:val="00A31CE0"/>
    <w:rsid w:val="00A31FA9"/>
    <w:rsid w:val="00A333BF"/>
    <w:rsid w:val="00A33825"/>
    <w:rsid w:val="00A3398F"/>
    <w:rsid w:val="00A35583"/>
    <w:rsid w:val="00A363EF"/>
    <w:rsid w:val="00A36DFE"/>
    <w:rsid w:val="00A370FD"/>
    <w:rsid w:val="00A3798C"/>
    <w:rsid w:val="00A37DD9"/>
    <w:rsid w:val="00A40D91"/>
    <w:rsid w:val="00A40ED7"/>
    <w:rsid w:val="00A40F83"/>
    <w:rsid w:val="00A412BA"/>
    <w:rsid w:val="00A41416"/>
    <w:rsid w:val="00A4200D"/>
    <w:rsid w:val="00A424BF"/>
    <w:rsid w:val="00A4258E"/>
    <w:rsid w:val="00A432D1"/>
    <w:rsid w:val="00A43716"/>
    <w:rsid w:val="00A442C5"/>
    <w:rsid w:val="00A44712"/>
    <w:rsid w:val="00A44AF5"/>
    <w:rsid w:val="00A44B8B"/>
    <w:rsid w:val="00A45EC4"/>
    <w:rsid w:val="00A47212"/>
    <w:rsid w:val="00A474EA"/>
    <w:rsid w:val="00A501B2"/>
    <w:rsid w:val="00A5034A"/>
    <w:rsid w:val="00A50FFA"/>
    <w:rsid w:val="00A539D1"/>
    <w:rsid w:val="00A54DAE"/>
    <w:rsid w:val="00A56D3B"/>
    <w:rsid w:val="00A57450"/>
    <w:rsid w:val="00A57479"/>
    <w:rsid w:val="00A57C08"/>
    <w:rsid w:val="00A600D9"/>
    <w:rsid w:val="00A604CD"/>
    <w:rsid w:val="00A61F97"/>
    <w:rsid w:val="00A637A0"/>
    <w:rsid w:val="00A63ECD"/>
    <w:rsid w:val="00A64093"/>
    <w:rsid w:val="00A640EB"/>
    <w:rsid w:val="00A64815"/>
    <w:rsid w:val="00A65043"/>
    <w:rsid w:val="00A66DF9"/>
    <w:rsid w:val="00A704E4"/>
    <w:rsid w:val="00A7136A"/>
    <w:rsid w:val="00A71C44"/>
    <w:rsid w:val="00A72296"/>
    <w:rsid w:val="00A7388E"/>
    <w:rsid w:val="00A74544"/>
    <w:rsid w:val="00A74548"/>
    <w:rsid w:val="00A74DF2"/>
    <w:rsid w:val="00A74E4D"/>
    <w:rsid w:val="00A7592E"/>
    <w:rsid w:val="00A76C1F"/>
    <w:rsid w:val="00A77737"/>
    <w:rsid w:val="00A803FC"/>
    <w:rsid w:val="00A8071A"/>
    <w:rsid w:val="00A80DD9"/>
    <w:rsid w:val="00A80FCA"/>
    <w:rsid w:val="00A81CBC"/>
    <w:rsid w:val="00A82506"/>
    <w:rsid w:val="00A82ABC"/>
    <w:rsid w:val="00A837CE"/>
    <w:rsid w:val="00A83DB5"/>
    <w:rsid w:val="00A83FBA"/>
    <w:rsid w:val="00A84636"/>
    <w:rsid w:val="00A84FE1"/>
    <w:rsid w:val="00A85080"/>
    <w:rsid w:val="00A86406"/>
    <w:rsid w:val="00A86853"/>
    <w:rsid w:val="00A86B75"/>
    <w:rsid w:val="00A86E75"/>
    <w:rsid w:val="00A86F33"/>
    <w:rsid w:val="00A9065F"/>
    <w:rsid w:val="00A90B0E"/>
    <w:rsid w:val="00A91AA1"/>
    <w:rsid w:val="00A91C8C"/>
    <w:rsid w:val="00A91F0D"/>
    <w:rsid w:val="00A9235A"/>
    <w:rsid w:val="00A92FF7"/>
    <w:rsid w:val="00A93069"/>
    <w:rsid w:val="00A9468F"/>
    <w:rsid w:val="00A9498D"/>
    <w:rsid w:val="00A95335"/>
    <w:rsid w:val="00A9566B"/>
    <w:rsid w:val="00A9657F"/>
    <w:rsid w:val="00A9797D"/>
    <w:rsid w:val="00AA015F"/>
    <w:rsid w:val="00AA0C3A"/>
    <w:rsid w:val="00AA1723"/>
    <w:rsid w:val="00AA190D"/>
    <w:rsid w:val="00AA1FDD"/>
    <w:rsid w:val="00AA22C3"/>
    <w:rsid w:val="00AA230D"/>
    <w:rsid w:val="00AA4941"/>
    <w:rsid w:val="00AA49E9"/>
    <w:rsid w:val="00AA5475"/>
    <w:rsid w:val="00AA5876"/>
    <w:rsid w:val="00AA6A8A"/>
    <w:rsid w:val="00AA6DD8"/>
    <w:rsid w:val="00AA6FA3"/>
    <w:rsid w:val="00AA70BB"/>
    <w:rsid w:val="00AA757C"/>
    <w:rsid w:val="00AA7F10"/>
    <w:rsid w:val="00AB0391"/>
    <w:rsid w:val="00AB2151"/>
    <w:rsid w:val="00AB2C59"/>
    <w:rsid w:val="00AB2C8A"/>
    <w:rsid w:val="00AB42B6"/>
    <w:rsid w:val="00AB4D67"/>
    <w:rsid w:val="00AB5203"/>
    <w:rsid w:val="00AB545D"/>
    <w:rsid w:val="00AB54D7"/>
    <w:rsid w:val="00AB57D3"/>
    <w:rsid w:val="00AB6886"/>
    <w:rsid w:val="00AB6AE4"/>
    <w:rsid w:val="00AB6E00"/>
    <w:rsid w:val="00AB6F37"/>
    <w:rsid w:val="00AB769E"/>
    <w:rsid w:val="00AB7D55"/>
    <w:rsid w:val="00AB7E08"/>
    <w:rsid w:val="00AC0681"/>
    <w:rsid w:val="00AC154B"/>
    <w:rsid w:val="00AC1B72"/>
    <w:rsid w:val="00AC26FE"/>
    <w:rsid w:val="00AC350D"/>
    <w:rsid w:val="00AC3568"/>
    <w:rsid w:val="00AC3CF2"/>
    <w:rsid w:val="00AC47EC"/>
    <w:rsid w:val="00AC4E5D"/>
    <w:rsid w:val="00AC5F20"/>
    <w:rsid w:val="00AC6C53"/>
    <w:rsid w:val="00AC6E85"/>
    <w:rsid w:val="00AC7284"/>
    <w:rsid w:val="00AC7CE6"/>
    <w:rsid w:val="00AD0828"/>
    <w:rsid w:val="00AD0B13"/>
    <w:rsid w:val="00AD0E69"/>
    <w:rsid w:val="00AD103D"/>
    <w:rsid w:val="00AD159C"/>
    <w:rsid w:val="00AD17FA"/>
    <w:rsid w:val="00AD19EC"/>
    <w:rsid w:val="00AD2717"/>
    <w:rsid w:val="00AD3DC4"/>
    <w:rsid w:val="00AD4FF4"/>
    <w:rsid w:val="00AD531D"/>
    <w:rsid w:val="00AD600C"/>
    <w:rsid w:val="00AD63D6"/>
    <w:rsid w:val="00AD6CD5"/>
    <w:rsid w:val="00AD733B"/>
    <w:rsid w:val="00AD7CA7"/>
    <w:rsid w:val="00AE0040"/>
    <w:rsid w:val="00AE184D"/>
    <w:rsid w:val="00AE1C03"/>
    <w:rsid w:val="00AE23E3"/>
    <w:rsid w:val="00AE2F65"/>
    <w:rsid w:val="00AE317E"/>
    <w:rsid w:val="00AE35A5"/>
    <w:rsid w:val="00AE4E2A"/>
    <w:rsid w:val="00AE5CF9"/>
    <w:rsid w:val="00AE5DB6"/>
    <w:rsid w:val="00AE6C3C"/>
    <w:rsid w:val="00AE702E"/>
    <w:rsid w:val="00AE73E0"/>
    <w:rsid w:val="00AF03C0"/>
    <w:rsid w:val="00AF166F"/>
    <w:rsid w:val="00AF1C03"/>
    <w:rsid w:val="00AF39AF"/>
    <w:rsid w:val="00AF3E3B"/>
    <w:rsid w:val="00AF3E5A"/>
    <w:rsid w:val="00AF46FE"/>
    <w:rsid w:val="00AF486F"/>
    <w:rsid w:val="00AF548B"/>
    <w:rsid w:val="00AF55E0"/>
    <w:rsid w:val="00AF5666"/>
    <w:rsid w:val="00AF5870"/>
    <w:rsid w:val="00AF6619"/>
    <w:rsid w:val="00AF6CFD"/>
    <w:rsid w:val="00AF7DC1"/>
    <w:rsid w:val="00B000AE"/>
    <w:rsid w:val="00B0040B"/>
    <w:rsid w:val="00B00830"/>
    <w:rsid w:val="00B00AB5"/>
    <w:rsid w:val="00B00CC0"/>
    <w:rsid w:val="00B00F5C"/>
    <w:rsid w:val="00B019C1"/>
    <w:rsid w:val="00B0236E"/>
    <w:rsid w:val="00B02506"/>
    <w:rsid w:val="00B02ACE"/>
    <w:rsid w:val="00B03913"/>
    <w:rsid w:val="00B04CEA"/>
    <w:rsid w:val="00B05607"/>
    <w:rsid w:val="00B05A08"/>
    <w:rsid w:val="00B05F14"/>
    <w:rsid w:val="00B06737"/>
    <w:rsid w:val="00B0784C"/>
    <w:rsid w:val="00B07CE9"/>
    <w:rsid w:val="00B101D5"/>
    <w:rsid w:val="00B10633"/>
    <w:rsid w:val="00B10B08"/>
    <w:rsid w:val="00B11A78"/>
    <w:rsid w:val="00B11CFB"/>
    <w:rsid w:val="00B12111"/>
    <w:rsid w:val="00B13E18"/>
    <w:rsid w:val="00B14109"/>
    <w:rsid w:val="00B14410"/>
    <w:rsid w:val="00B1486D"/>
    <w:rsid w:val="00B15070"/>
    <w:rsid w:val="00B150D6"/>
    <w:rsid w:val="00B15373"/>
    <w:rsid w:val="00B15639"/>
    <w:rsid w:val="00B15D15"/>
    <w:rsid w:val="00B15E42"/>
    <w:rsid w:val="00B15EEE"/>
    <w:rsid w:val="00B16198"/>
    <w:rsid w:val="00B16A2C"/>
    <w:rsid w:val="00B16FB6"/>
    <w:rsid w:val="00B17022"/>
    <w:rsid w:val="00B20FDA"/>
    <w:rsid w:val="00B21736"/>
    <w:rsid w:val="00B218B1"/>
    <w:rsid w:val="00B21A33"/>
    <w:rsid w:val="00B224AA"/>
    <w:rsid w:val="00B22998"/>
    <w:rsid w:val="00B229FE"/>
    <w:rsid w:val="00B2302B"/>
    <w:rsid w:val="00B24363"/>
    <w:rsid w:val="00B2456E"/>
    <w:rsid w:val="00B24979"/>
    <w:rsid w:val="00B250A5"/>
    <w:rsid w:val="00B25651"/>
    <w:rsid w:val="00B26937"/>
    <w:rsid w:val="00B30243"/>
    <w:rsid w:val="00B30421"/>
    <w:rsid w:val="00B30DC8"/>
    <w:rsid w:val="00B315BB"/>
    <w:rsid w:val="00B31977"/>
    <w:rsid w:val="00B3235A"/>
    <w:rsid w:val="00B333FE"/>
    <w:rsid w:val="00B3382B"/>
    <w:rsid w:val="00B35094"/>
    <w:rsid w:val="00B350F0"/>
    <w:rsid w:val="00B357AC"/>
    <w:rsid w:val="00B35992"/>
    <w:rsid w:val="00B35E4B"/>
    <w:rsid w:val="00B35FCC"/>
    <w:rsid w:val="00B36518"/>
    <w:rsid w:val="00B378CC"/>
    <w:rsid w:val="00B41615"/>
    <w:rsid w:val="00B41FD8"/>
    <w:rsid w:val="00B420DF"/>
    <w:rsid w:val="00B428E2"/>
    <w:rsid w:val="00B42A2C"/>
    <w:rsid w:val="00B42A5C"/>
    <w:rsid w:val="00B42A98"/>
    <w:rsid w:val="00B42C64"/>
    <w:rsid w:val="00B448EF"/>
    <w:rsid w:val="00B4625A"/>
    <w:rsid w:val="00B47493"/>
    <w:rsid w:val="00B474C8"/>
    <w:rsid w:val="00B474DF"/>
    <w:rsid w:val="00B47915"/>
    <w:rsid w:val="00B50E18"/>
    <w:rsid w:val="00B513A9"/>
    <w:rsid w:val="00B51568"/>
    <w:rsid w:val="00B51610"/>
    <w:rsid w:val="00B5167B"/>
    <w:rsid w:val="00B520E3"/>
    <w:rsid w:val="00B52336"/>
    <w:rsid w:val="00B53143"/>
    <w:rsid w:val="00B5388C"/>
    <w:rsid w:val="00B55CED"/>
    <w:rsid w:val="00B55D57"/>
    <w:rsid w:val="00B55F80"/>
    <w:rsid w:val="00B56480"/>
    <w:rsid w:val="00B565D6"/>
    <w:rsid w:val="00B576A4"/>
    <w:rsid w:val="00B57998"/>
    <w:rsid w:val="00B57CD0"/>
    <w:rsid w:val="00B57DA9"/>
    <w:rsid w:val="00B60177"/>
    <w:rsid w:val="00B60639"/>
    <w:rsid w:val="00B6308E"/>
    <w:rsid w:val="00B63D58"/>
    <w:rsid w:val="00B64E8A"/>
    <w:rsid w:val="00B65588"/>
    <w:rsid w:val="00B658D1"/>
    <w:rsid w:val="00B66064"/>
    <w:rsid w:val="00B66995"/>
    <w:rsid w:val="00B671A1"/>
    <w:rsid w:val="00B675A6"/>
    <w:rsid w:val="00B6794D"/>
    <w:rsid w:val="00B67B55"/>
    <w:rsid w:val="00B67C6C"/>
    <w:rsid w:val="00B70C61"/>
    <w:rsid w:val="00B70E5A"/>
    <w:rsid w:val="00B7220D"/>
    <w:rsid w:val="00B749B6"/>
    <w:rsid w:val="00B7509A"/>
    <w:rsid w:val="00B7613E"/>
    <w:rsid w:val="00B766C1"/>
    <w:rsid w:val="00B76966"/>
    <w:rsid w:val="00B76B96"/>
    <w:rsid w:val="00B76EFB"/>
    <w:rsid w:val="00B77129"/>
    <w:rsid w:val="00B7718C"/>
    <w:rsid w:val="00B77C37"/>
    <w:rsid w:val="00B807BF"/>
    <w:rsid w:val="00B809B1"/>
    <w:rsid w:val="00B82543"/>
    <w:rsid w:val="00B82998"/>
    <w:rsid w:val="00B834B0"/>
    <w:rsid w:val="00B837F6"/>
    <w:rsid w:val="00B83DAE"/>
    <w:rsid w:val="00B84FB4"/>
    <w:rsid w:val="00B86047"/>
    <w:rsid w:val="00B8756E"/>
    <w:rsid w:val="00B87DF9"/>
    <w:rsid w:val="00B91951"/>
    <w:rsid w:val="00B91A58"/>
    <w:rsid w:val="00B91EAD"/>
    <w:rsid w:val="00B920B9"/>
    <w:rsid w:val="00B930D2"/>
    <w:rsid w:val="00B93291"/>
    <w:rsid w:val="00B937CD"/>
    <w:rsid w:val="00B938BC"/>
    <w:rsid w:val="00B93997"/>
    <w:rsid w:val="00B93C98"/>
    <w:rsid w:val="00B976BB"/>
    <w:rsid w:val="00BA01A7"/>
    <w:rsid w:val="00BA0224"/>
    <w:rsid w:val="00BA05C8"/>
    <w:rsid w:val="00BA09AA"/>
    <w:rsid w:val="00BA0AD5"/>
    <w:rsid w:val="00BA0CA0"/>
    <w:rsid w:val="00BA0E3C"/>
    <w:rsid w:val="00BA1F74"/>
    <w:rsid w:val="00BA1FE7"/>
    <w:rsid w:val="00BA2B1D"/>
    <w:rsid w:val="00BA33E4"/>
    <w:rsid w:val="00BA3D14"/>
    <w:rsid w:val="00BA435A"/>
    <w:rsid w:val="00BA54BA"/>
    <w:rsid w:val="00BA5603"/>
    <w:rsid w:val="00BA56D9"/>
    <w:rsid w:val="00BA6194"/>
    <w:rsid w:val="00BA7EEE"/>
    <w:rsid w:val="00BB10BB"/>
    <w:rsid w:val="00BB2008"/>
    <w:rsid w:val="00BB29DF"/>
    <w:rsid w:val="00BB2CFC"/>
    <w:rsid w:val="00BB34DC"/>
    <w:rsid w:val="00BB35D0"/>
    <w:rsid w:val="00BB3AC4"/>
    <w:rsid w:val="00BB4999"/>
    <w:rsid w:val="00BB4BCD"/>
    <w:rsid w:val="00BB56C7"/>
    <w:rsid w:val="00BB5B62"/>
    <w:rsid w:val="00BB6502"/>
    <w:rsid w:val="00BB6BCD"/>
    <w:rsid w:val="00BB70F9"/>
    <w:rsid w:val="00BB7C9B"/>
    <w:rsid w:val="00BC1527"/>
    <w:rsid w:val="00BC2306"/>
    <w:rsid w:val="00BC2F31"/>
    <w:rsid w:val="00BC4036"/>
    <w:rsid w:val="00BC4F0A"/>
    <w:rsid w:val="00BC509F"/>
    <w:rsid w:val="00BC51D2"/>
    <w:rsid w:val="00BC64BE"/>
    <w:rsid w:val="00BC7155"/>
    <w:rsid w:val="00BC7550"/>
    <w:rsid w:val="00BD0B72"/>
    <w:rsid w:val="00BD2668"/>
    <w:rsid w:val="00BD3924"/>
    <w:rsid w:val="00BD450F"/>
    <w:rsid w:val="00BD4512"/>
    <w:rsid w:val="00BD52AA"/>
    <w:rsid w:val="00BE1061"/>
    <w:rsid w:val="00BE1321"/>
    <w:rsid w:val="00BE2893"/>
    <w:rsid w:val="00BE2EB4"/>
    <w:rsid w:val="00BE2F5A"/>
    <w:rsid w:val="00BE37D3"/>
    <w:rsid w:val="00BE522A"/>
    <w:rsid w:val="00BE57B5"/>
    <w:rsid w:val="00BE7A7C"/>
    <w:rsid w:val="00BF0A44"/>
    <w:rsid w:val="00BF0CEC"/>
    <w:rsid w:val="00BF1A44"/>
    <w:rsid w:val="00BF1EDF"/>
    <w:rsid w:val="00BF4D3D"/>
    <w:rsid w:val="00BF5B8C"/>
    <w:rsid w:val="00BF66B7"/>
    <w:rsid w:val="00BF6A68"/>
    <w:rsid w:val="00BF7152"/>
    <w:rsid w:val="00BF73F0"/>
    <w:rsid w:val="00BF75B1"/>
    <w:rsid w:val="00BF75C9"/>
    <w:rsid w:val="00BF7BD3"/>
    <w:rsid w:val="00C00352"/>
    <w:rsid w:val="00C007CE"/>
    <w:rsid w:val="00C00A22"/>
    <w:rsid w:val="00C00F18"/>
    <w:rsid w:val="00C0111D"/>
    <w:rsid w:val="00C01D39"/>
    <w:rsid w:val="00C0200C"/>
    <w:rsid w:val="00C020A8"/>
    <w:rsid w:val="00C02D2A"/>
    <w:rsid w:val="00C034A4"/>
    <w:rsid w:val="00C03DD0"/>
    <w:rsid w:val="00C04445"/>
    <w:rsid w:val="00C04705"/>
    <w:rsid w:val="00C04A7F"/>
    <w:rsid w:val="00C04E2B"/>
    <w:rsid w:val="00C051AA"/>
    <w:rsid w:val="00C060A0"/>
    <w:rsid w:val="00C07187"/>
    <w:rsid w:val="00C075C9"/>
    <w:rsid w:val="00C07FAD"/>
    <w:rsid w:val="00C106C4"/>
    <w:rsid w:val="00C111EA"/>
    <w:rsid w:val="00C119AD"/>
    <w:rsid w:val="00C1228D"/>
    <w:rsid w:val="00C13FED"/>
    <w:rsid w:val="00C14E7D"/>
    <w:rsid w:val="00C15722"/>
    <w:rsid w:val="00C16897"/>
    <w:rsid w:val="00C200C9"/>
    <w:rsid w:val="00C21D8E"/>
    <w:rsid w:val="00C22525"/>
    <w:rsid w:val="00C23DBB"/>
    <w:rsid w:val="00C23FE1"/>
    <w:rsid w:val="00C2410D"/>
    <w:rsid w:val="00C24BAF"/>
    <w:rsid w:val="00C25267"/>
    <w:rsid w:val="00C25F8B"/>
    <w:rsid w:val="00C265C0"/>
    <w:rsid w:val="00C26B9E"/>
    <w:rsid w:val="00C272EF"/>
    <w:rsid w:val="00C2732B"/>
    <w:rsid w:val="00C2753F"/>
    <w:rsid w:val="00C276A8"/>
    <w:rsid w:val="00C27975"/>
    <w:rsid w:val="00C300BC"/>
    <w:rsid w:val="00C318F7"/>
    <w:rsid w:val="00C319D2"/>
    <w:rsid w:val="00C31F85"/>
    <w:rsid w:val="00C32534"/>
    <w:rsid w:val="00C326EE"/>
    <w:rsid w:val="00C32951"/>
    <w:rsid w:val="00C32C02"/>
    <w:rsid w:val="00C33235"/>
    <w:rsid w:val="00C33677"/>
    <w:rsid w:val="00C34137"/>
    <w:rsid w:val="00C3476B"/>
    <w:rsid w:val="00C35240"/>
    <w:rsid w:val="00C368B3"/>
    <w:rsid w:val="00C36F07"/>
    <w:rsid w:val="00C37214"/>
    <w:rsid w:val="00C372E8"/>
    <w:rsid w:val="00C409DC"/>
    <w:rsid w:val="00C40B1B"/>
    <w:rsid w:val="00C40E88"/>
    <w:rsid w:val="00C416A3"/>
    <w:rsid w:val="00C41785"/>
    <w:rsid w:val="00C41FC1"/>
    <w:rsid w:val="00C434C2"/>
    <w:rsid w:val="00C43940"/>
    <w:rsid w:val="00C44342"/>
    <w:rsid w:val="00C44694"/>
    <w:rsid w:val="00C44744"/>
    <w:rsid w:val="00C457C1"/>
    <w:rsid w:val="00C46625"/>
    <w:rsid w:val="00C46870"/>
    <w:rsid w:val="00C47545"/>
    <w:rsid w:val="00C47593"/>
    <w:rsid w:val="00C5044B"/>
    <w:rsid w:val="00C506BD"/>
    <w:rsid w:val="00C50E55"/>
    <w:rsid w:val="00C51115"/>
    <w:rsid w:val="00C51426"/>
    <w:rsid w:val="00C51622"/>
    <w:rsid w:val="00C51FB3"/>
    <w:rsid w:val="00C5223C"/>
    <w:rsid w:val="00C52A35"/>
    <w:rsid w:val="00C53213"/>
    <w:rsid w:val="00C53917"/>
    <w:rsid w:val="00C541DE"/>
    <w:rsid w:val="00C54C11"/>
    <w:rsid w:val="00C54C67"/>
    <w:rsid w:val="00C54E65"/>
    <w:rsid w:val="00C56324"/>
    <w:rsid w:val="00C5653B"/>
    <w:rsid w:val="00C565A3"/>
    <w:rsid w:val="00C577F7"/>
    <w:rsid w:val="00C60667"/>
    <w:rsid w:val="00C61AB9"/>
    <w:rsid w:val="00C61F84"/>
    <w:rsid w:val="00C62FF7"/>
    <w:rsid w:val="00C63135"/>
    <w:rsid w:val="00C637DC"/>
    <w:rsid w:val="00C63EE8"/>
    <w:rsid w:val="00C6432E"/>
    <w:rsid w:val="00C65718"/>
    <w:rsid w:val="00C65C81"/>
    <w:rsid w:val="00C66772"/>
    <w:rsid w:val="00C66D2B"/>
    <w:rsid w:val="00C67580"/>
    <w:rsid w:val="00C6781C"/>
    <w:rsid w:val="00C67EA1"/>
    <w:rsid w:val="00C70AEE"/>
    <w:rsid w:val="00C71D15"/>
    <w:rsid w:val="00C7234D"/>
    <w:rsid w:val="00C7244E"/>
    <w:rsid w:val="00C726C9"/>
    <w:rsid w:val="00C72801"/>
    <w:rsid w:val="00C72C0A"/>
    <w:rsid w:val="00C73361"/>
    <w:rsid w:val="00C73E67"/>
    <w:rsid w:val="00C73FAD"/>
    <w:rsid w:val="00C74AE1"/>
    <w:rsid w:val="00C757B8"/>
    <w:rsid w:val="00C76906"/>
    <w:rsid w:val="00C76B7C"/>
    <w:rsid w:val="00C76CC7"/>
    <w:rsid w:val="00C76F81"/>
    <w:rsid w:val="00C77460"/>
    <w:rsid w:val="00C776A4"/>
    <w:rsid w:val="00C800DD"/>
    <w:rsid w:val="00C80920"/>
    <w:rsid w:val="00C80B03"/>
    <w:rsid w:val="00C8243F"/>
    <w:rsid w:val="00C8289B"/>
    <w:rsid w:val="00C82D54"/>
    <w:rsid w:val="00C82F3B"/>
    <w:rsid w:val="00C837C4"/>
    <w:rsid w:val="00C83829"/>
    <w:rsid w:val="00C83EDD"/>
    <w:rsid w:val="00C84BF1"/>
    <w:rsid w:val="00C84CA2"/>
    <w:rsid w:val="00C85A36"/>
    <w:rsid w:val="00C85CD1"/>
    <w:rsid w:val="00C86C56"/>
    <w:rsid w:val="00C8773E"/>
    <w:rsid w:val="00C90601"/>
    <w:rsid w:val="00C90D16"/>
    <w:rsid w:val="00C9116A"/>
    <w:rsid w:val="00C9265D"/>
    <w:rsid w:val="00C92824"/>
    <w:rsid w:val="00C937BA"/>
    <w:rsid w:val="00C949FC"/>
    <w:rsid w:val="00C960CF"/>
    <w:rsid w:val="00C96672"/>
    <w:rsid w:val="00C96678"/>
    <w:rsid w:val="00C96772"/>
    <w:rsid w:val="00C96CFA"/>
    <w:rsid w:val="00C96E5A"/>
    <w:rsid w:val="00C96EB5"/>
    <w:rsid w:val="00CA0257"/>
    <w:rsid w:val="00CA0917"/>
    <w:rsid w:val="00CA102B"/>
    <w:rsid w:val="00CA283D"/>
    <w:rsid w:val="00CA29D1"/>
    <w:rsid w:val="00CA2DD6"/>
    <w:rsid w:val="00CA3247"/>
    <w:rsid w:val="00CA3752"/>
    <w:rsid w:val="00CA3999"/>
    <w:rsid w:val="00CA39C0"/>
    <w:rsid w:val="00CA3C61"/>
    <w:rsid w:val="00CA41E1"/>
    <w:rsid w:val="00CA4909"/>
    <w:rsid w:val="00CA5AD3"/>
    <w:rsid w:val="00CA62DD"/>
    <w:rsid w:val="00CA69BA"/>
    <w:rsid w:val="00CA7DE6"/>
    <w:rsid w:val="00CB0339"/>
    <w:rsid w:val="00CB110E"/>
    <w:rsid w:val="00CB11F8"/>
    <w:rsid w:val="00CB225B"/>
    <w:rsid w:val="00CB2EF5"/>
    <w:rsid w:val="00CB33E4"/>
    <w:rsid w:val="00CB3B62"/>
    <w:rsid w:val="00CB4230"/>
    <w:rsid w:val="00CB4278"/>
    <w:rsid w:val="00CB431B"/>
    <w:rsid w:val="00CB4A77"/>
    <w:rsid w:val="00CB4EA5"/>
    <w:rsid w:val="00CB557F"/>
    <w:rsid w:val="00CB592B"/>
    <w:rsid w:val="00CB5C5F"/>
    <w:rsid w:val="00CB600E"/>
    <w:rsid w:val="00CB65B8"/>
    <w:rsid w:val="00CB6CDF"/>
    <w:rsid w:val="00CB7264"/>
    <w:rsid w:val="00CB730F"/>
    <w:rsid w:val="00CB761C"/>
    <w:rsid w:val="00CB76B5"/>
    <w:rsid w:val="00CB7AD6"/>
    <w:rsid w:val="00CC0495"/>
    <w:rsid w:val="00CC110F"/>
    <w:rsid w:val="00CC11B8"/>
    <w:rsid w:val="00CC1AF9"/>
    <w:rsid w:val="00CC20E0"/>
    <w:rsid w:val="00CC2818"/>
    <w:rsid w:val="00CC2F7A"/>
    <w:rsid w:val="00CC3A70"/>
    <w:rsid w:val="00CC4033"/>
    <w:rsid w:val="00CC40B8"/>
    <w:rsid w:val="00CC5444"/>
    <w:rsid w:val="00CC5631"/>
    <w:rsid w:val="00CC62A6"/>
    <w:rsid w:val="00CC676C"/>
    <w:rsid w:val="00CC7A11"/>
    <w:rsid w:val="00CD04A8"/>
    <w:rsid w:val="00CD051B"/>
    <w:rsid w:val="00CD1DB1"/>
    <w:rsid w:val="00CD22B5"/>
    <w:rsid w:val="00CD22F4"/>
    <w:rsid w:val="00CD25E1"/>
    <w:rsid w:val="00CD367C"/>
    <w:rsid w:val="00CD454A"/>
    <w:rsid w:val="00CD4F54"/>
    <w:rsid w:val="00CD4FFE"/>
    <w:rsid w:val="00CD57FA"/>
    <w:rsid w:val="00CD5A6E"/>
    <w:rsid w:val="00CD711F"/>
    <w:rsid w:val="00CD74A7"/>
    <w:rsid w:val="00CD79B2"/>
    <w:rsid w:val="00CE157C"/>
    <w:rsid w:val="00CE1AF6"/>
    <w:rsid w:val="00CE2298"/>
    <w:rsid w:val="00CE3064"/>
    <w:rsid w:val="00CE39E4"/>
    <w:rsid w:val="00CE4282"/>
    <w:rsid w:val="00CE54E1"/>
    <w:rsid w:val="00CE55B6"/>
    <w:rsid w:val="00CE5856"/>
    <w:rsid w:val="00CE5BDE"/>
    <w:rsid w:val="00CE6A6D"/>
    <w:rsid w:val="00CE774C"/>
    <w:rsid w:val="00CF012E"/>
    <w:rsid w:val="00CF04D4"/>
    <w:rsid w:val="00CF0B4C"/>
    <w:rsid w:val="00CF1680"/>
    <w:rsid w:val="00CF1BD7"/>
    <w:rsid w:val="00CF21A5"/>
    <w:rsid w:val="00CF2518"/>
    <w:rsid w:val="00CF2DDE"/>
    <w:rsid w:val="00CF344A"/>
    <w:rsid w:val="00CF398F"/>
    <w:rsid w:val="00CF39A0"/>
    <w:rsid w:val="00CF3D1C"/>
    <w:rsid w:val="00CF4713"/>
    <w:rsid w:val="00CF4B12"/>
    <w:rsid w:val="00CF58FE"/>
    <w:rsid w:val="00CF5EBE"/>
    <w:rsid w:val="00CF5F8F"/>
    <w:rsid w:val="00CF783B"/>
    <w:rsid w:val="00CF7D97"/>
    <w:rsid w:val="00CF7EEC"/>
    <w:rsid w:val="00D001C2"/>
    <w:rsid w:val="00D00779"/>
    <w:rsid w:val="00D009D8"/>
    <w:rsid w:val="00D012E1"/>
    <w:rsid w:val="00D01318"/>
    <w:rsid w:val="00D01665"/>
    <w:rsid w:val="00D01D1E"/>
    <w:rsid w:val="00D02580"/>
    <w:rsid w:val="00D03BF7"/>
    <w:rsid w:val="00D03F1E"/>
    <w:rsid w:val="00D0428E"/>
    <w:rsid w:val="00D04426"/>
    <w:rsid w:val="00D0482F"/>
    <w:rsid w:val="00D04A33"/>
    <w:rsid w:val="00D05892"/>
    <w:rsid w:val="00D06824"/>
    <w:rsid w:val="00D06C03"/>
    <w:rsid w:val="00D1037A"/>
    <w:rsid w:val="00D10D09"/>
    <w:rsid w:val="00D1163E"/>
    <w:rsid w:val="00D12362"/>
    <w:rsid w:val="00D12A4F"/>
    <w:rsid w:val="00D14C15"/>
    <w:rsid w:val="00D15CB3"/>
    <w:rsid w:val="00D15F51"/>
    <w:rsid w:val="00D16ED5"/>
    <w:rsid w:val="00D202B1"/>
    <w:rsid w:val="00D20662"/>
    <w:rsid w:val="00D21291"/>
    <w:rsid w:val="00D21C8A"/>
    <w:rsid w:val="00D2297E"/>
    <w:rsid w:val="00D22DE5"/>
    <w:rsid w:val="00D233BD"/>
    <w:rsid w:val="00D233D7"/>
    <w:rsid w:val="00D23CBB"/>
    <w:rsid w:val="00D25806"/>
    <w:rsid w:val="00D25E9D"/>
    <w:rsid w:val="00D25F1C"/>
    <w:rsid w:val="00D26DE6"/>
    <w:rsid w:val="00D26EE7"/>
    <w:rsid w:val="00D30718"/>
    <w:rsid w:val="00D322FB"/>
    <w:rsid w:val="00D32475"/>
    <w:rsid w:val="00D32EF4"/>
    <w:rsid w:val="00D33F81"/>
    <w:rsid w:val="00D34850"/>
    <w:rsid w:val="00D35060"/>
    <w:rsid w:val="00D369D4"/>
    <w:rsid w:val="00D36AD7"/>
    <w:rsid w:val="00D373E9"/>
    <w:rsid w:val="00D37C61"/>
    <w:rsid w:val="00D403FF"/>
    <w:rsid w:val="00D404C4"/>
    <w:rsid w:val="00D40CE9"/>
    <w:rsid w:val="00D42115"/>
    <w:rsid w:val="00D42EFD"/>
    <w:rsid w:val="00D457D1"/>
    <w:rsid w:val="00D458AA"/>
    <w:rsid w:val="00D46338"/>
    <w:rsid w:val="00D46BA2"/>
    <w:rsid w:val="00D47234"/>
    <w:rsid w:val="00D47281"/>
    <w:rsid w:val="00D47581"/>
    <w:rsid w:val="00D50295"/>
    <w:rsid w:val="00D5069A"/>
    <w:rsid w:val="00D50E43"/>
    <w:rsid w:val="00D51469"/>
    <w:rsid w:val="00D52B45"/>
    <w:rsid w:val="00D530EB"/>
    <w:rsid w:val="00D53393"/>
    <w:rsid w:val="00D535B6"/>
    <w:rsid w:val="00D55235"/>
    <w:rsid w:val="00D55D78"/>
    <w:rsid w:val="00D572B2"/>
    <w:rsid w:val="00D57F53"/>
    <w:rsid w:val="00D6022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F17"/>
    <w:rsid w:val="00D712DA"/>
    <w:rsid w:val="00D719EF"/>
    <w:rsid w:val="00D72327"/>
    <w:rsid w:val="00D727E0"/>
    <w:rsid w:val="00D72B87"/>
    <w:rsid w:val="00D72C72"/>
    <w:rsid w:val="00D74160"/>
    <w:rsid w:val="00D75D22"/>
    <w:rsid w:val="00D75DA5"/>
    <w:rsid w:val="00D76C58"/>
    <w:rsid w:val="00D76CF2"/>
    <w:rsid w:val="00D76E7C"/>
    <w:rsid w:val="00D80B40"/>
    <w:rsid w:val="00D8155B"/>
    <w:rsid w:val="00D81E79"/>
    <w:rsid w:val="00D825A5"/>
    <w:rsid w:val="00D825B7"/>
    <w:rsid w:val="00D8290E"/>
    <w:rsid w:val="00D82AD1"/>
    <w:rsid w:val="00D82C06"/>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F2"/>
    <w:rsid w:val="00D93C1C"/>
    <w:rsid w:val="00D94026"/>
    <w:rsid w:val="00D94120"/>
    <w:rsid w:val="00D951DD"/>
    <w:rsid w:val="00D952ED"/>
    <w:rsid w:val="00D957FA"/>
    <w:rsid w:val="00D9664C"/>
    <w:rsid w:val="00D97404"/>
    <w:rsid w:val="00D975A3"/>
    <w:rsid w:val="00D979D0"/>
    <w:rsid w:val="00DA08CA"/>
    <w:rsid w:val="00DA0F37"/>
    <w:rsid w:val="00DA101A"/>
    <w:rsid w:val="00DA122C"/>
    <w:rsid w:val="00DA2FD5"/>
    <w:rsid w:val="00DA4838"/>
    <w:rsid w:val="00DA4989"/>
    <w:rsid w:val="00DA5721"/>
    <w:rsid w:val="00DA5DCF"/>
    <w:rsid w:val="00DA6173"/>
    <w:rsid w:val="00DA7477"/>
    <w:rsid w:val="00DA7573"/>
    <w:rsid w:val="00DA7BD4"/>
    <w:rsid w:val="00DB0191"/>
    <w:rsid w:val="00DB0359"/>
    <w:rsid w:val="00DB0EF6"/>
    <w:rsid w:val="00DB0F8A"/>
    <w:rsid w:val="00DB26A8"/>
    <w:rsid w:val="00DB27CF"/>
    <w:rsid w:val="00DB2E41"/>
    <w:rsid w:val="00DB324C"/>
    <w:rsid w:val="00DB3FD3"/>
    <w:rsid w:val="00DB5F2A"/>
    <w:rsid w:val="00DB6F45"/>
    <w:rsid w:val="00DB72B7"/>
    <w:rsid w:val="00DB7546"/>
    <w:rsid w:val="00DC0624"/>
    <w:rsid w:val="00DC0FC3"/>
    <w:rsid w:val="00DC1A58"/>
    <w:rsid w:val="00DC1AC0"/>
    <w:rsid w:val="00DC1CDD"/>
    <w:rsid w:val="00DC1D8E"/>
    <w:rsid w:val="00DC20C3"/>
    <w:rsid w:val="00DC227A"/>
    <w:rsid w:val="00DC2360"/>
    <w:rsid w:val="00DC26E4"/>
    <w:rsid w:val="00DC2BAE"/>
    <w:rsid w:val="00DC2CEE"/>
    <w:rsid w:val="00DC2F4A"/>
    <w:rsid w:val="00DC3257"/>
    <w:rsid w:val="00DC3279"/>
    <w:rsid w:val="00DC3BF1"/>
    <w:rsid w:val="00DC46D7"/>
    <w:rsid w:val="00DC4D1D"/>
    <w:rsid w:val="00DC4D87"/>
    <w:rsid w:val="00DC54EB"/>
    <w:rsid w:val="00DC580A"/>
    <w:rsid w:val="00DC5B50"/>
    <w:rsid w:val="00DC66BC"/>
    <w:rsid w:val="00DC727F"/>
    <w:rsid w:val="00DC7E78"/>
    <w:rsid w:val="00DD015C"/>
    <w:rsid w:val="00DD0493"/>
    <w:rsid w:val="00DD0924"/>
    <w:rsid w:val="00DD0CBF"/>
    <w:rsid w:val="00DD1071"/>
    <w:rsid w:val="00DD12FD"/>
    <w:rsid w:val="00DD1576"/>
    <w:rsid w:val="00DD2893"/>
    <w:rsid w:val="00DD4322"/>
    <w:rsid w:val="00DD4717"/>
    <w:rsid w:val="00DD4F74"/>
    <w:rsid w:val="00DD531F"/>
    <w:rsid w:val="00DD556C"/>
    <w:rsid w:val="00DD5737"/>
    <w:rsid w:val="00DD5E81"/>
    <w:rsid w:val="00DD6C46"/>
    <w:rsid w:val="00DD6C7A"/>
    <w:rsid w:val="00DD6F44"/>
    <w:rsid w:val="00DD7CCA"/>
    <w:rsid w:val="00DE0BDE"/>
    <w:rsid w:val="00DE10CF"/>
    <w:rsid w:val="00DE1270"/>
    <w:rsid w:val="00DE1E1E"/>
    <w:rsid w:val="00DE223E"/>
    <w:rsid w:val="00DE2D33"/>
    <w:rsid w:val="00DE34EB"/>
    <w:rsid w:val="00DE3592"/>
    <w:rsid w:val="00DE3E78"/>
    <w:rsid w:val="00DE41F8"/>
    <w:rsid w:val="00DE4B9D"/>
    <w:rsid w:val="00DE50EA"/>
    <w:rsid w:val="00DE545C"/>
    <w:rsid w:val="00DE5C9F"/>
    <w:rsid w:val="00DE734E"/>
    <w:rsid w:val="00DE7887"/>
    <w:rsid w:val="00DE7BF8"/>
    <w:rsid w:val="00DF0DC3"/>
    <w:rsid w:val="00DF14F9"/>
    <w:rsid w:val="00DF1C2D"/>
    <w:rsid w:val="00DF1FAE"/>
    <w:rsid w:val="00DF2AD9"/>
    <w:rsid w:val="00DF3584"/>
    <w:rsid w:val="00DF54D0"/>
    <w:rsid w:val="00DF580C"/>
    <w:rsid w:val="00DF5C1A"/>
    <w:rsid w:val="00DF6BCB"/>
    <w:rsid w:val="00DF6D45"/>
    <w:rsid w:val="00DF7042"/>
    <w:rsid w:val="00DF78FD"/>
    <w:rsid w:val="00DF7EFE"/>
    <w:rsid w:val="00E00E15"/>
    <w:rsid w:val="00E00F63"/>
    <w:rsid w:val="00E01210"/>
    <w:rsid w:val="00E01D50"/>
    <w:rsid w:val="00E02664"/>
    <w:rsid w:val="00E02C4D"/>
    <w:rsid w:val="00E031A5"/>
    <w:rsid w:val="00E0341B"/>
    <w:rsid w:val="00E0348F"/>
    <w:rsid w:val="00E035A6"/>
    <w:rsid w:val="00E038F5"/>
    <w:rsid w:val="00E03D67"/>
    <w:rsid w:val="00E04510"/>
    <w:rsid w:val="00E04784"/>
    <w:rsid w:val="00E05569"/>
    <w:rsid w:val="00E05A6C"/>
    <w:rsid w:val="00E05F59"/>
    <w:rsid w:val="00E0655D"/>
    <w:rsid w:val="00E072CD"/>
    <w:rsid w:val="00E1024A"/>
    <w:rsid w:val="00E10B17"/>
    <w:rsid w:val="00E10B67"/>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1702C"/>
    <w:rsid w:val="00E20CC5"/>
    <w:rsid w:val="00E21ACA"/>
    <w:rsid w:val="00E22B80"/>
    <w:rsid w:val="00E22C0E"/>
    <w:rsid w:val="00E22CFF"/>
    <w:rsid w:val="00E231CD"/>
    <w:rsid w:val="00E231E1"/>
    <w:rsid w:val="00E23716"/>
    <w:rsid w:val="00E23888"/>
    <w:rsid w:val="00E23B9C"/>
    <w:rsid w:val="00E23CE3"/>
    <w:rsid w:val="00E23CF7"/>
    <w:rsid w:val="00E23E76"/>
    <w:rsid w:val="00E249DB"/>
    <w:rsid w:val="00E253A3"/>
    <w:rsid w:val="00E25402"/>
    <w:rsid w:val="00E259B0"/>
    <w:rsid w:val="00E25AF8"/>
    <w:rsid w:val="00E26AEC"/>
    <w:rsid w:val="00E2757B"/>
    <w:rsid w:val="00E2792D"/>
    <w:rsid w:val="00E30828"/>
    <w:rsid w:val="00E30B37"/>
    <w:rsid w:val="00E3109C"/>
    <w:rsid w:val="00E311D1"/>
    <w:rsid w:val="00E31C2D"/>
    <w:rsid w:val="00E32432"/>
    <w:rsid w:val="00E33B1E"/>
    <w:rsid w:val="00E34277"/>
    <w:rsid w:val="00E3621B"/>
    <w:rsid w:val="00E36F43"/>
    <w:rsid w:val="00E37F0C"/>
    <w:rsid w:val="00E40ADF"/>
    <w:rsid w:val="00E418E3"/>
    <w:rsid w:val="00E423DE"/>
    <w:rsid w:val="00E42F07"/>
    <w:rsid w:val="00E4370F"/>
    <w:rsid w:val="00E44236"/>
    <w:rsid w:val="00E4441D"/>
    <w:rsid w:val="00E453AB"/>
    <w:rsid w:val="00E462E6"/>
    <w:rsid w:val="00E463A0"/>
    <w:rsid w:val="00E477C4"/>
    <w:rsid w:val="00E47839"/>
    <w:rsid w:val="00E51CDE"/>
    <w:rsid w:val="00E5210B"/>
    <w:rsid w:val="00E53631"/>
    <w:rsid w:val="00E5388F"/>
    <w:rsid w:val="00E54239"/>
    <w:rsid w:val="00E54272"/>
    <w:rsid w:val="00E542BC"/>
    <w:rsid w:val="00E54521"/>
    <w:rsid w:val="00E54617"/>
    <w:rsid w:val="00E5484B"/>
    <w:rsid w:val="00E56023"/>
    <w:rsid w:val="00E56D6E"/>
    <w:rsid w:val="00E56FEF"/>
    <w:rsid w:val="00E577F9"/>
    <w:rsid w:val="00E57FB5"/>
    <w:rsid w:val="00E60F14"/>
    <w:rsid w:val="00E61B23"/>
    <w:rsid w:val="00E625BE"/>
    <w:rsid w:val="00E6284B"/>
    <w:rsid w:val="00E62D07"/>
    <w:rsid w:val="00E62DF6"/>
    <w:rsid w:val="00E63A22"/>
    <w:rsid w:val="00E63B8F"/>
    <w:rsid w:val="00E646B5"/>
    <w:rsid w:val="00E65427"/>
    <w:rsid w:val="00E6543F"/>
    <w:rsid w:val="00E661C0"/>
    <w:rsid w:val="00E663F5"/>
    <w:rsid w:val="00E66E97"/>
    <w:rsid w:val="00E70BD6"/>
    <w:rsid w:val="00E71305"/>
    <w:rsid w:val="00E72383"/>
    <w:rsid w:val="00E724D2"/>
    <w:rsid w:val="00E72D9F"/>
    <w:rsid w:val="00E73C41"/>
    <w:rsid w:val="00E74185"/>
    <w:rsid w:val="00E74933"/>
    <w:rsid w:val="00E74EDC"/>
    <w:rsid w:val="00E7506D"/>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4C89"/>
    <w:rsid w:val="00E85E56"/>
    <w:rsid w:val="00E860DD"/>
    <w:rsid w:val="00E8713D"/>
    <w:rsid w:val="00E90329"/>
    <w:rsid w:val="00E910D5"/>
    <w:rsid w:val="00E91CDF"/>
    <w:rsid w:val="00E922C4"/>
    <w:rsid w:val="00E93823"/>
    <w:rsid w:val="00E943AE"/>
    <w:rsid w:val="00E947B0"/>
    <w:rsid w:val="00E95D82"/>
    <w:rsid w:val="00E95F21"/>
    <w:rsid w:val="00E96273"/>
    <w:rsid w:val="00E9687F"/>
    <w:rsid w:val="00E96E97"/>
    <w:rsid w:val="00E97D49"/>
    <w:rsid w:val="00EA0251"/>
    <w:rsid w:val="00EA1065"/>
    <w:rsid w:val="00EA1434"/>
    <w:rsid w:val="00EA3C3E"/>
    <w:rsid w:val="00EA4694"/>
    <w:rsid w:val="00EA48D3"/>
    <w:rsid w:val="00EA546B"/>
    <w:rsid w:val="00EA57C5"/>
    <w:rsid w:val="00EA5D7E"/>
    <w:rsid w:val="00EA5F31"/>
    <w:rsid w:val="00EA5F92"/>
    <w:rsid w:val="00EA6070"/>
    <w:rsid w:val="00EA64B4"/>
    <w:rsid w:val="00EA65F1"/>
    <w:rsid w:val="00EA6665"/>
    <w:rsid w:val="00EA6935"/>
    <w:rsid w:val="00EA6967"/>
    <w:rsid w:val="00EA6F44"/>
    <w:rsid w:val="00EA7613"/>
    <w:rsid w:val="00EA793B"/>
    <w:rsid w:val="00EA7A7E"/>
    <w:rsid w:val="00EB05DA"/>
    <w:rsid w:val="00EB190F"/>
    <w:rsid w:val="00EB235B"/>
    <w:rsid w:val="00EB31A3"/>
    <w:rsid w:val="00EB325B"/>
    <w:rsid w:val="00EB3E22"/>
    <w:rsid w:val="00EB693B"/>
    <w:rsid w:val="00EB7BA9"/>
    <w:rsid w:val="00EB7D75"/>
    <w:rsid w:val="00EC0B20"/>
    <w:rsid w:val="00EC0EE7"/>
    <w:rsid w:val="00EC1C3A"/>
    <w:rsid w:val="00EC1F51"/>
    <w:rsid w:val="00EC2B1D"/>
    <w:rsid w:val="00EC4233"/>
    <w:rsid w:val="00EC4544"/>
    <w:rsid w:val="00EC4A85"/>
    <w:rsid w:val="00EC57B2"/>
    <w:rsid w:val="00EC58F4"/>
    <w:rsid w:val="00EC650B"/>
    <w:rsid w:val="00EC7808"/>
    <w:rsid w:val="00EC7BFA"/>
    <w:rsid w:val="00ED042E"/>
    <w:rsid w:val="00ED1295"/>
    <w:rsid w:val="00ED2725"/>
    <w:rsid w:val="00ED34D1"/>
    <w:rsid w:val="00ED367F"/>
    <w:rsid w:val="00ED4206"/>
    <w:rsid w:val="00ED46E1"/>
    <w:rsid w:val="00ED58A2"/>
    <w:rsid w:val="00ED58C3"/>
    <w:rsid w:val="00ED5C71"/>
    <w:rsid w:val="00ED5EEE"/>
    <w:rsid w:val="00ED667C"/>
    <w:rsid w:val="00ED7966"/>
    <w:rsid w:val="00EE01CC"/>
    <w:rsid w:val="00EE04EE"/>
    <w:rsid w:val="00EE1760"/>
    <w:rsid w:val="00EE287D"/>
    <w:rsid w:val="00EE3B32"/>
    <w:rsid w:val="00EE3CFF"/>
    <w:rsid w:val="00EE3F39"/>
    <w:rsid w:val="00EE414C"/>
    <w:rsid w:val="00EE44FE"/>
    <w:rsid w:val="00EE5406"/>
    <w:rsid w:val="00EE5EF8"/>
    <w:rsid w:val="00EE6964"/>
    <w:rsid w:val="00EE6A1D"/>
    <w:rsid w:val="00EE6D18"/>
    <w:rsid w:val="00EE7E7A"/>
    <w:rsid w:val="00EF1230"/>
    <w:rsid w:val="00EF223B"/>
    <w:rsid w:val="00EF29DE"/>
    <w:rsid w:val="00EF3978"/>
    <w:rsid w:val="00EF3AAC"/>
    <w:rsid w:val="00EF46F2"/>
    <w:rsid w:val="00EF4D42"/>
    <w:rsid w:val="00EF4FD1"/>
    <w:rsid w:val="00EF5318"/>
    <w:rsid w:val="00EF5C76"/>
    <w:rsid w:val="00EF708A"/>
    <w:rsid w:val="00EF72C3"/>
    <w:rsid w:val="00EF72EB"/>
    <w:rsid w:val="00EF79CE"/>
    <w:rsid w:val="00F00152"/>
    <w:rsid w:val="00F00352"/>
    <w:rsid w:val="00F00B1B"/>
    <w:rsid w:val="00F00E37"/>
    <w:rsid w:val="00F010EE"/>
    <w:rsid w:val="00F01383"/>
    <w:rsid w:val="00F0167D"/>
    <w:rsid w:val="00F0177A"/>
    <w:rsid w:val="00F019D5"/>
    <w:rsid w:val="00F020AA"/>
    <w:rsid w:val="00F02500"/>
    <w:rsid w:val="00F032E2"/>
    <w:rsid w:val="00F037E3"/>
    <w:rsid w:val="00F03FF2"/>
    <w:rsid w:val="00F04F9E"/>
    <w:rsid w:val="00F06A47"/>
    <w:rsid w:val="00F0717F"/>
    <w:rsid w:val="00F0747A"/>
    <w:rsid w:val="00F07849"/>
    <w:rsid w:val="00F07882"/>
    <w:rsid w:val="00F07883"/>
    <w:rsid w:val="00F10177"/>
    <w:rsid w:val="00F10D83"/>
    <w:rsid w:val="00F1196B"/>
    <w:rsid w:val="00F11A6A"/>
    <w:rsid w:val="00F11B38"/>
    <w:rsid w:val="00F126BD"/>
    <w:rsid w:val="00F13433"/>
    <w:rsid w:val="00F134FC"/>
    <w:rsid w:val="00F1350E"/>
    <w:rsid w:val="00F14419"/>
    <w:rsid w:val="00F1470E"/>
    <w:rsid w:val="00F147A5"/>
    <w:rsid w:val="00F14AA7"/>
    <w:rsid w:val="00F15884"/>
    <w:rsid w:val="00F15B8E"/>
    <w:rsid w:val="00F16665"/>
    <w:rsid w:val="00F16FB0"/>
    <w:rsid w:val="00F1733B"/>
    <w:rsid w:val="00F17474"/>
    <w:rsid w:val="00F201CC"/>
    <w:rsid w:val="00F20487"/>
    <w:rsid w:val="00F20F65"/>
    <w:rsid w:val="00F2106D"/>
    <w:rsid w:val="00F22337"/>
    <w:rsid w:val="00F22D65"/>
    <w:rsid w:val="00F23175"/>
    <w:rsid w:val="00F23D49"/>
    <w:rsid w:val="00F23FB0"/>
    <w:rsid w:val="00F2480A"/>
    <w:rsid w:val="00F24891"/>
    <w:rsid w:val="00F24B9F"/>
    <w:rsid w:val="00F24CA6"/>
    <w:rsid w:val="00F256AE"/>
    <w:rsid w:val="00F25773"/>
    <w:rsid w:val="00F257FA"/>
    <w:rsid w:val="00F26004"/>
    <w:rsid w:val="00F270E8"/>
    <w:rsid w:val="00F27EF5"/>
    <w:rsid w:val="00F27FDB"/>
    <w:rsid w:val="00F30251"/>
    <w:rsid w:val="00F305CC"/>
    <w:rsid w:val="00F3179A"/>
    <w:rsid w:val="00F31D54"/>
    <w:rsid w:val="00F32357"/>
    <w:rsid w:val="00F32C70"/>
    <w:rsid w:val="00F34E02"/>
    <w:rsid w:val="00F3549E"/>
    <w:rsid w:val="00F365A7"/>
    <w:rsid w:val="00F3681C"/>
    <w:rsid w:val="00F3769D"/>
    <w:rsid w:val="00F404F4"/>
    <w:rsid w:val="00F4143E"/>
    <w:rsid w:val="00F41CC5"/>
    <w:rsid w:val="00F41D25"/>
    <w:rsid w:val="00F423C2"/>
    <w:rsid w:val="00F433F8"/>
    <w:rsid w:val="00F433F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736B"/>
    <w:rsid w:val="00F57880"/>
    <w:rsid w:val="00F608AB"/>
    <w:rsid w:val="00F60BE7"/>
    <w:rsid w:val="00F6159C"/>
    <w:rsid w:val="00F61714"/>
    <w:rsid w:val="00F6238F"/>
    <w:rsid w:val="00F62D18"/>
    <w:rsid w:val="00F63E59"/>
    <w:rsid w:val="00F64BE0"/>
    <w:rsid w:val="00F65B68"/>
    <w:rsid w:val="00F67846"/>
    <w:rsid w:val="00F67B42"/>
    <w:rsid w:val="00F70B72"/>
    <w:rsid w:val="00F70DEF"/>
    <w:rsid w:val="00F70EA3"/>
    <w:rsid w:val="00F71398"/>
    <w:rsid w:val="00F7294C"/>
    <w:rsid w:val="00F72C5F"/>
    <w:rsid w:val="00F73549"/>
    <w:rsid w:val="00F75782"/>
    <w:rsid w:val="00F773FB"/>
    <w:rsid w:val="00F80C1D"/>
    <w:rsid w:val="00F81130"/>
    <w:rsid w:val="00F818F7"/>
    <w:rsid w:val="00F8325D"/>
    <w:rsid w:val="00F832A9"/>
    <w:rsid w:val="00F832B0"/>
    <w:rsid w:val="00F83307"/>
    <w:rsid w:val="00F833A5"/>
    <w:rsid w:val="00F844D3"/>
    <w:rsid w:val="00F84629"/>
    <w:rsid w:val="00F84B71"/>
    <w:rsid w:val="00F84F0E"/>
    <w:rsid w:val="00F8519E"/>
    <w:rsid w:val="00F85FF5"/>
    <w:rsid w:val="00F86BB4"/>
    <w:rsid w:val="00F870F5"/>
    <w:rsid w:val="00F8740C"/>
    <w:rsid w:val="00F902D2"/>
    <w:rsid w:val="00F90B12"/>
    <w:rsid w:val="00F90CBD"/>
    <w:rsid w:val="00F9109E"/>
    <w:rsid w:val="00F9177E"/>
    <w:rsid w:val="00F91E4F"/>
    <w:rsid w:val="00F91FDF"/>
    <w:rsid w:val="00F92AA1"/>
    <w:rsid w:val="00F92FDC"/>
    <w:rsid w:val="00F931D2"/>
    <w:rsid w:val="00F93431"/>
    <w:rsid w:val="00F93A4A"/>
    <w:rsid w:val="00F93D27"/>
    <w:rsid w:val="00F95DD6"/>
    <w:rsid w:val="00F96370"/>
    <w:rsid w:val="00F97940"/>
    <w:rsid w:val="00F97BA3"/>
    <w:rsid w:val="00F97EA2"/>
    <w:rsid w:val="00F97F0D"/>
    <w:rsid w:val="00FA0B0A"/>
    <w:rsid w:val="00FA121C"/>
    <w:rsid w:val="00FA1407"/>
    <w:rsid w:val="00FA1A68"/>
    <w:rsid w:val="00FA1B1A"/>
    <w:rsid w:val="00FA2747"/>
    <w:rsid w:val="00FA2A33"/>
    <w:rsid w:val="00FA2C63"/>
    <w:rsid w:val="00FA2C8F"/>
    <w:rsid w:val="00FA2CF7"/>
    <w:rsid w:val="00FA3410"/>
    <w:rsid w:val="00FA360B"/>
    <w:rsid w:val="00FA3860"/>
    <w:rsid w:val="00FA3A50"/>
    <w:rsid w:val="00FA4763"/>
    <w:rsid w:val="00FA4830"/>
    <w:rsid w:val="00FA5032"/>
    <w:rsid w:val="00FA6980"/>
    <w:rsid w:val="00FA6CDF"/>
    <w:rsid w:val="00FA7BB5"/>
    <w:rsid w:val="00FA7C85"/>
    <w:rsid w:val="00FB12D8"/>
    <w:rsid w:val="00FB176A"/>
    <w:rsid w:val="00FB1CDC"/>
    <w:rsid w:val="00FB238A"/>
    <w:rsid w:val="00FB2446"/>
    <w:rsid w:val="00FB2C81"/>
    <w:rsid w:val="00FB3BC4"/>
    <w:rsid w:val="00FB3F9C"/>
    <w:rsid w:val="00FB3FDE"/>
    <w:rsid w:val="00FB4676"/>
    <w:rsid w:val="00FB5552"/>
    <w:rsid w:val="00FB5789"/>
    <w:rsid w:val="00FB5F3A"/>
    <w:rsid w:val="00FB6AA9"/>
    <w:rsid w:val="00FB6AD4"/>
    <w:rsid w:val="00FB7F22"/>
    <w:rsid w:val="00FC00F3"/>
    <w:rsid w:val="00FC0A33"/>
    <w:rsid w:val="00FC1416"/>
    <w:rsid w:val="00FC14B2"/>
    <w:rsid w:val="00FC1823"/>
    <w:rsid w:val="00FC2198"/>
    <w:rsid w:val="00FC26A4"/>
    <w:rsid w:val="00FC2C93"/>
    <w:rsid w:val="00FC325A"/>
    <w:rsid w:val="00FC33ED"/>
    <w:rsid w:val="00FC43AD"/>
    <w:rsid w:val="00FC5876"/>
    <w:rsid w:val="00FC62F5"/>
    <w:rsid w:val="00FC68DF"/>
    <w:rsid w:val="00FC731E"/>
    <w:rsid w:val="00FD035A"/>
    <w:rsid w:val="00FD047C"/>
    <w:rsid w:val="00FD19F1"/>
    <w:rsid w:val="00FD1A7E"/>
    <w:rsid w:val="00FD2CC3"/>
    <w:rsid w:val="00FD31BF"/>
    <w:rsid w:val="00FD3CC7"/>
    <w:rsid w:val="00FD4148"/>
    <w:rsid w:val="00FD4D5B"/>
    <w:rsid w:val="00FD5B56"/>
    <w:rsid w:val="00FD6453"/>
    <w:rsid w:val="00FD67FD"/>
    <w:rsid w:val="00FD7CB2"/>
    <w:rsid w:val="00FD7D46"/>
    <w:rsid w:val="00FD7D8B"/>
    <w:rsid w:val="00FE0124"/>
    <w:rsid w:val="00FE0AF2"/>
    <w:rsid w:val="00FE1C47"/>
    <w:rsid w:val="00FE22DD"/>
    <w:rsid w:val="00FE2CFB"/>
    <w:rsid w:val="00FE4A60"/>
    <w:rsid w:val="00FE54E0"/>
    <w:rsid w:val="00FE55F0"/>
    <w:rsid w:val="00FE6331"/>
    <w:rsid w:val="00FE685B"/>
    <w:rsid w:val="00FE6C12"/>
    <w:rsid w:val="00FE7894"/>
    <w:rsid w:val="00FF0032"/>
    <w:rsid w:val="00FF01FA"/>
    <w:rsid w:val="00FF0E56"/>
    <w:rsid w:val="00FF21B5"/>
    <w:rsid w:val="00FF21C3"/>
    <w:rsid w:val="00FF2A11"/>
    <w:rsid w:val="00FF2AA0"/>
    <w:rsid w:val="00FF3F6C"/>
    <w:rsid w:val="00FF4603"/>
    <w:rsid w:val="00FF4B07"/>
    <w:rsid w:val="00FF4BFC"/>
    <w:rsid w:val="00FF4C11"/>
    <w:rsid w:val="00FF56B9"/>
    <w:rsid w:val="00FF57E8"/>
    <w:rsid w:val="00FF58C0"/>
    <w:rsid w:val="00FF5948"/>
    <w:rsid w:val="00FF6B71"/>
    <w:rsid w:val="00FF6EDF"/>
    <w:rsid w:val="00FF6EEA"/>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168EF216"/>
  <w15:docId w15:val="{B56CDCDD-4E76-4ADE-A682-ACCBA4E0D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33E4"/>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4C4453"/>
    <w:pPr>
      <w:keepNext/>
      <w:numPr>
        <w:numId w:val="17"/>
      </w:numPr>
      <w:tabs>
        <w:tab w:val="left" w:pos="851"/>
      </w:tabs>
      <w:spacing w:before="0" w:after="360" w:line="240" w:lineRule="auto"/>
      <w:ind w:left="720"/>
      <w:jc w:val="left"/>
      <w:outlineLvl w:val="0"/>
    </w:pPr>
    <w:rPr>
      <w:rFonts w:eastAsiaTheme="majorEastAsia" w:cstheme="majorBidi"/>
      <w:b/>
      <w:bCs/>
      <w:color w:val="1C556C"/>
      <w:sz w:val="48"/>
      <w:szCs w:val="28"/>
    </w:rPr>
  </w:style>
  <w:style w:type="paragraph" w:styleId="Heading2">
    <w:name w:val="heading 2"/>
    <w:basedOn w:val="Normal"/>
    <w:next w:val="BodyText"/>
    <w:link w:val="Heading2Char"/>
    <w:qFormat/>
    <w:rsid w:val="00121B32"/>
    <w:pPr>
      <w:keepNext/>
      <w:numPr>
        <w:numId w:val="18"/>
      </w:numPr>
      <w:tabs>
        <w:tab w:val="left" w:pos="851"/>
      </w:tabs>
      <w:spacing w:before="360" w:after="0" w:line="240" w:lineRule="auto"/>
      <w:ind w:left="786"/>
      <w:jc w:val="left"/>
      <w:outlineLvl w:val="1"/>
    </w:pPr>
    <w:rPr>
      <w:rFonts w:eastAsiaTheme="majorEastAsia" w:cstheme="majorBidi"/>
      <w:b/>
      <w:bCs/>
      <w:color w:val="0F7B7D"/>
      <w:sz w:val="36"/>
      <w:szCs w:val="26"/>
    </w:rPr>
  </w:style>
  <w:style w:type="paragraph" w:styleId="Heading3">
    <w:name w:val="heading 3"/>
    <w:basedOn w:val="Normal"/>
    <w:next w:val="BodyText"/>
    <w:link w:val="Heading3Char"/>
    <w:qFormat/>
    <w:rsid w:val="008B68EC"/>
    <w:pPr>
      <w:keepNext/>
      <w:tabs>
        <w:tab w:val="left" w:pos="851"/>
      </w:tabs>
      <w:spacing w:before="360" w:after="0" w:line="240" w:lineRule="auto"/>
      <w:jc w:val="left"/>
      <w:outlineLvl w:val="2"/>
    </w:pPr>
    <w:rPr>
      <w:rFonts w:eastAsiaTheme="majorEastAsia" w:cstheme="majorBidi"/>
      <w:b/>
      <w:bCs/>
      <w:sz w:val="28"/>
    </w:rPr>
  </w:style>
  <w:style w:type="paragraph" w:styleId="Heading4">
    <w:name w:val="heading 4"/>
    <w:basedOn w:val="Heading3"/>
    <w:next w:val="BodyText"/>
    <w:link w:val="Heading4Char"/>
    <w:qFormat/>
    <w:rsid w:val="00B51610"/>
    <w:pPr>
      <w:outlineLvl w:val="3"/>
    </w:pPr>
    <w:rPr>
      <w:color w:val="0F7B7D"/>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C4453"/>
    <w:rPr>
      <w:rFonts w:ascii="Calibri" w:eastAsiaTheme="majorEastAsia" w:hAnsi="Calibri" w:cstheme="majorBidi"/>
      <w:b/>
      <w:bCs/>
      <w:color w:val="1C556C"/>
      <w:sz w:val="48"/>
      <w:szCs w:val="28"/>
      <w:lang w:eastAsia="en-NZ"/>
    </w:rPr>
  </w:style>
  <w:style w:type="character" w:customStyle="1" w:styleId="Heading2Char">
    <w:name w:val="Heading 2 Char"/>
    <w:basedOn w:val="DefaultParagraphFont"/>
    <w:link w:val="Heading2"/>
    <w:rsid w:val="00B51610"/>
    <w:rPr>
      <w:rFonts w:ascii="Calibri" w:eastAsiaTheme="majorEastAsia" w:hAnsi="Calibri" w:cstheme="majorBidi"/>
      <w:b/>
      <w:bCs/>
      <w:color w:val="0F7B7D"/>
      <w:sz w:val="36"/>
      <w:szCs w:val="26"/>
      <w:lang w:eastAsia="en-NZ"/>
    </w:rPr>
  </w:style>
  <w:style w:type="character" w:customStyle="1" w:styleId="Heading3Char">
    <w:name w:val="Heading 3 Char"/>
    <w:basedOn w:val="DefaultParagraphFont"/>
    <w:link w:val="Heading3"/>
    <w:rsid w:val="008B68EC"/>
    <w:rPr>
      <w:rFonts w:ascii="Calibri" w:eastAsiaTheme="majorEastAsia" w:hAnsi="Calibri" w:cstheme="majorBidi"/>
      <w:b/>
      <w:bCs/>
      <w:sz w:val="28"/>
      <w:lang w:eastAsia="en-NZ"/>
    </w:rPr>
  </w:style>
  <w:style w:type="character" w:customStyle="1" w:styleId="Heading4Char">
    <w:name w:val="Heading 4 Char"/>
    <w:basedOn w:val="DefaultParagraphFont"/>
    <w:link w:val="Heading4"/>
    <w:rsid w:val="00B51610"/>
    <w:rPr>
      <w:rFonts w:ascii="Calibri" w:eastAsiaTheme="majorEastAsia" w:hAnsi="Calibri" w:cstheme="majorBidi"/>
      <w:b/>
      <w:bCs/>
      <w:color w:val="0F7B7D"/>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3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ox">
    <w:name w:val="Box"/>
    <w:basedOn w:val="Normal"/>
    <w:uiPriority w:val="1"/>
    <w:qFormat/>
    <w:rsid w:val="001820A3"/>
    <w:pPr>
      <w:pBdr>
        <w:top w:val="single" w:sz="4" w:space="15" w:color="D2DDE2"/>
        <w:left w:val="single" w:sz="4" w:space="15" w:color="D2DDE2"/>
        <w:bottom w:val="single" w:sz="4" w:space="15" w:color="D2DDE2"/>
        <w:right w:val="single" w:sz="4" w:space="15" w:color="D2DDE2"/>
      </w:pBdr>
      <w:shd w:val="clear" w:color="auto" w:fill="D2DDE2"/>
      <w:ind w:left="284" w:right="284"/>
      <w:jc w:val="left"/>
    </w:pPr>
    <w:rPr>
      <w:color w:val="1C556C"/>
      <w:sz w:val="20"/>
    </w:rPr>
  </w:style>
  <w:style w:type="paragraph" w:customStyle="1" w:styleId="Boxbullet">
    <w:name w:val="Box bullet"/>
    <w:basedOn w:val="Box"/>
    <w:uiPriority w:val="1"/>
    <w:qFormat/>
    <w:rsid w:val="00A56D3B"/>
    <w:pPr>
      <w:tabs>
        <w:tab w:val="left" w:pos="680"/>
      </w:tabs>
      <w:spacing w:before="0"/>
      <w:ind w:left="681" w:hanging="397"/>
    </w:pPr>
  </w:style>
  <w:style w:type="paragraph" w:customStyle="1" w:styleId="Boxheading">
    <w:name w:val="Box heading"/>
    <w:basedOn w:val="Box"/>
    <w:next w:val="Box"/>
    <w:uiPriority w:val="1"/>
    <w:qFormat/>
    <w:rsid w:val="001820A3"/>
    <w:pPr>
      <w:keepNext/>
      <w:spacing w:after="0"/>
    </w:pPr>
    <w:rPr>
      <w:b/>
    </w:rPr>
  </w:style>
  <w:style w:type="paragraph" w:customStyle="1" w:styleId="Bullet">
    <w:name w:val="Bullet"/>
    <w:basedOn w:val="Normal"/>
    <w:link w:val="BulletChar"/>
    <w:qFormat/>
    <w:rsid w:val="008B5A2D"/>
    <w:pPr>
      <w:numPr>
        <w:numId w:val="14"/>
      </w:numPr>
      <w:tabs>
        <w:tab w:val="left" w:pos="397"/>
      </w:tabs>
      <w:spacing w:before="0" w:line="280" w:lineRule="exact"/>
      <w:jc w:val="left"/>
    </w:pPr>
    <w:rPr>
      <w:rFonts w:eastAsia="Times New Roman" w:cs="Times New Roman"/>
      <w:szCs w:val="20"/>
    </w:rPr>
  </w:style>
  <w:style w:type="paragraph" w:customStyle="1" w:styleId="Heading">
    <w:name w:val="Heading"/>
    <w:basedOn w:val="Heading1"/>
    <w:next w:val="Normal"/>
    <w:uiPriority w:val="3"/>
    <w:rsid w:val="008B68EC"/>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624018"/>
    <w:pPr>
      <w:spacing w:line="360" w:lineRule="auto"/>
      <w:jc w:val="center"/>
    </w:pPr>
    <w:rPr>
      <w:b/>
      <w:color w:val="17556C"/>
      <w:sz w:val="52"/>
    </w:rPr>
  </w:style>
  <w:style w:type="character" w:customStyle="1" w:styleId="TitleChar">
    <w:name w:val="Title Char"/>
    <w:basedOn w:val="DefaultParagraphFont"/>
    <w:link w:val="Title"/>
    <w:uiPriority w:val="2"/>
    <w:rsid w:val="00684D9B"/>
    <w:rPr>
      <w:rFonts w:ascii="Calibri" w:eastAsiaTheme="minorEastAsia" w:hAnsi="Calibri"/>
      <w:b/>
      <w:color w:val="17556C"/>
      <w:sz w:val="52"/>
      <w:lang w:eastAsia="en-NZ"/>
    </w:rPr>
  </w:style>
  <w:style w:type="paragraph" w:styleId="Subtitle">
    <w:name w:val="Subtitle"/>
    <w:basedOn w:val="Title"/>
    <w:link w:val="SubtitleChar"/>
    <w:uiPriority w:val="2"/>
    <w:rsid w:val="00D94120"/>
    <w:pPr>
      <w:spacing w:before="600" w:line="240" w:lineRule="auto"/>
    </w:pPr>
    <w:rPr>
      <w:sz w:val="36"/>
      <w:szCs w:val="36"/>
    </w:rPr>
  </w:style>
  <w:style w:type="character" w:customStyle="1" w:styleId="SubtitleChar">
    <w:name w:val="Subtitle Char"/>
    <w:basedOn w:val="DefaultParagraphFont"/>
    <w:link w:val="Subtitle"/>
    <w:uiPriority w:val="2"/>
    <w:rsid w:val="00D94120"/>
    <w:rPr>
      <w:rFonts w:ascii="Calibri" w:eastAsiaTheme="minorEastAsia" w:hAnsi="Calibri"/>
      <w:b/>
      <w:color w:val="17556C"/>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1"/>
    <w:rsid w:val="00EA64B4"/>
    <w:pPr>
      <w:tabs>
        <w:tab w:val="right" w:pos="7938"/>
        <w:tab w:val="right" w:pos="8505"/>
      </w:tabs>
      <w:jc w:val="left"/>
    </w:pPr>
    <w:rPr>
      <w:sz w:val="16"/>
    </w:rPr>
  </w:style>
  <w:style w:type="paragraph" w:customStyle="1" w:styleId="Footereven">
    <w:name w:val="Footer even"/>
    <w:basedOn w:val="Normal"/>
    <w:uiPriority w:val="1"/>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ind w:left="397" w:hanging="397"/>
      <w:jc w:val="left"/>
    </w:pPr>
  </w:style>
  <w:style w:type="paragraph" w:customStyle="1" w:styleId="Sub-lista">
    <w:name w:val="Sub-list a"/>
    <w:aliases w:val="b"/>
    <w:basedOn w:val="Normal"/>
    <w:uiPriority w:val="2"/>
    <w:rsid w:val="00E21ACA"/>
    <w:pPr>
      <w:numPr>
        <w:numId w:val="5"/>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uiPriority w:val="39"/>
    <w:rsid w:val="00EF46F2"/>
    <w:pPr>
      <w:tabs>
        <w:tab w:val="left" w:pos="709"/>
        <w:tab w:val="right" w:pos="8505"/>
      </w:tabs>
      <w:ind w:left="567" w:hanging="567"/>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styleId="ListParagraph">
    <w:name w:val="List Paragraph"/>
    <w:basedOn w:val="Normal"/>
    <w:uiPriority w:val="34"/>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single" w:sz="8" w:space="0" w:color="19CCCF" w:themeColor="accent2" w:themeTint="BF"/>
      </w:tblBorders>
    </w:tblPr>
    <w:tblStylePr w:type="firstRow">
      <w:pPr>
        <w:spacing w:before="0" w:after="0" w:line="240" w:lineRule="auto"/>
      </w:pPr>
      <w:rPr>
        <w:b/>
        <w:bCs/>
        <w:color w:val="FFFFFF" w:themeColor="background1"/>
      </w:rPr>
      <w:tblPr/>
      <w:tcPr>
        <w:tc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shd w:val="clear" w:color="auto" w:fill="0F7B7D" w:themeFill="accent2"/>
      </w:tcPr>
    </w:tblStylePr>
    <w:tblStylePr w:type="lastRow">
      <w:pPr>
        <w:spacing w:before="0" w:after="0" w:line="240" w:lineRule="auto"/>
      </w:pPr>
      <w:rPr>
        <w:b/>
        <w:bCs/>
      </w:rPr>
      <w:tblPr/>
      <w:tcPr>
        <w:tcBorders>
          <w:top w:val="double" w:sz="6"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DF3F5" w:themeFill="accent2" w:themeFillTint="3F"/>
      </w:tcPr>
    </w:tblStylePr>
    <w:tblStylePr w:type="band1Horz">
      <w:tblPr/>
      <w:tcPr>
        <w:tcBorders>
          <w:insideH w:val="nil"/>
          <w:insideV w:val="nil"/>
        </w:tcBorders>
        <w:shd w:val="clear" w:color="auto" w:fill="ADF3F5"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Box"/>
    <w:semiHidden/>
    <w:rsid w:val="00EA64B4"/>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EA64B4"/>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8B5A2D"/>
    <w:rPr>
      <w:rFonts w:ascii="Calibri" w:eastAsia="Times New Roman" w:hAnsi="Calibri" w:cs="Times New Roman"/>
      <w:szCs w:val="20"/>
      <w:lang w:eastAsia="en-NZ"/>
    </w:rPr>
  </w:style>
  <w:style w:type="paragraph" w:customStyle="1" w:styleId="Casestudyheading">
    <w:name w:val="Case study heading"/>
    <w:basedOn w:val="BodyText"/>
    <w:uiPriority w:val="1"/>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2DDE2" w:themeColor="accent3"/>
        <w:left w:val="single" w:sz="8" w:space="0" w:color="D2DDE2" w:themeColor="accent3"/>
        <w:bottom w:val="single" w:sz="8" w:space="0" w:color="D2DDE2" w:themeColor="accent3"/>
        <w:right w:val="single" w:sz="8" w:space="0" w:color="D2DDE2" w:themeColor="accent3"/>
      </w:tblBorders>
    </w:tblPr>
    <w:tblStylePr w:type="firstRow">
      <w:pPr>
        <w:spacing w:before="0" w:after="0" w:line="240" w:lineRule="auto"/>
      </w:pPr>
      <w:rPr>
        <w:b/>
        <w:bCs/>
        <w:color w:val="FFFFFF" w:themeColor="background1"/>
      </w:rPr>
      <w:tblPr/>
      <w:tcPr>
        <w:shd w:val="clear" w:color="auto" w:fill="D2DDE2" w:themeFill="accent3"/>
      </w:tcPr>
    </w:tblStylePr>
    <w:tblStylePr w:type="lastRow">
      <w:pPr>
        <w:spacing w:before="0" w:after="0" w:line="240" w:lineRule="auto"/>
      </w:pPr>
      <w:rPr>
        <w:b/>
        <w:bCs/>
      </w:rPr>
      <w:tblPr/>
      <w:tcPr>
        <w:tcBorders>
          <w:top w:val="double" w:sz="6" w:space="0" w:color="D2DDE2" w:themeColor="accent3"/>
          <w:left w:val="single" w:sz="8" w:space="0" w:color="D2DDE2" w:themeColor="accent3"/>
          <w:bottom w:val="single" w:sz="8" w:space="0" w:color="D2DDE2" w:themeColor="accent3"/>
          <w:right w:val="single" w:sz="8" w:space="0" w:color="D2DDE2" w:themeColor="accent3"/>
        </w:tcBorders>
      </w:tcPr>
    </w:tblStylePr>
    <w:tblStylePr w:type="firstCol">
      <w:rPr>
        <w:b/>
        <w:bCs/>
      </w:rPr>
    </w:tblStylePr>
    <w:tblStylePr w:type="lastCol">
      <w:rPr>
        <w:b/>
        <w:bCs/>
      </w:rPr>
    </w:tblStylePr>
    <w:tblStylePr w:type="band1Vert">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tblStylePr w:type="band1Horz">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rsid w:val="00C15722"/>
    <w:pPr>
      <w:numPr>
        <w:numId w:val="12"/>
      </w:numPr>
      <w:spacing w:before="0"/>
      <w:ind w:left="681" w:hanging="397"/>
    </w:pPr>
  </w:style>
  <w:style w:type="paragraph" w:customStyle="1" w:styleId="Greentext-casestudytables">
    <w:name w:val="Green text - case study tables"/>
    <w:basedOn w:val="BodyText"/>
    <w:uiPriority w:val="1"/>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rsid w:val="0051754D"/>
    <w:pPr>
      <w:keepNext/>
      <w:spacing w:before="240" w:after="0"/>
    </w:pPr>
    <w:rPr>
      <w:rFonts w:eastAsia="Times New Roman"/>
      <w:b/>
    </w:rPr>
  </w:style>
  <w:style w:type="numbering" w:customStyle="1" w:styleId="Style3">
    <w:name w:val="Style3"/>
    <w:uiPriority w:val="99"/>
    <w:rsid w:val="008B5A2D"/>
    <w:pPr>
      <w:numPr>
        <w:numId w:val="13"/>
      </w:numPr>
    </w:pPr>
  </w:style>
  <w:style w:type="paragraph" w:customStyle="1" w:styleId="Blueboxtext">
    <w:name w:val="Blue box text"/>
    <w:basedOn w:val="Normal"/>
    <w:uiPriority w:val="1"/>
    <w:qFormat/>
    <w:rsid w:val="007823D6"/>
    <w:pPr>
      <w:spacing w:line="260" w:lineRule="atLeast"/>
      <w:ind w:left="284" w:right="284"/>
      <w:jc w:val="left"/>
    </w:pPr>
    <w:rPr>
      <w:color w:val="1C556C"/>
      <w:sz w:val="20"/>
    </w:rPr>
  </w:style>
  <w:style w:type="paragraph" w:customStyle="1" w:styleId="Blue-boxbullet">
    <w:name w:val="Blue-box bullet"/>
    <w:basedOn w:val="Blueboxtext"/>
    <w:uiPriority w:val="1"/>
    <w:qFormat/>
    <w:rsid w:val="005D3242"/>
    <w:pPr>
      <w:numPr>
        <w:numId w:val="2"/>
      </w:numPr>
      <w:tabs>
        <w:tab w:val="left" w:pos="680"/>
      </w:tabs>
      <w:spacing w:before="0"/>
      <w:ind w:left="681" w:hanging="397"/>
    </w:pPr>
    <w:rPr>
      <w:rFonts w:cs="Times New Roman"/>
      <w:szCs w:val="20"/>
    </w:rPr>
  </w:style>
  <w:style w:type="paragraph" w:customStyle="1" w:styleId="Blueboxheading">
    <w:name w:val="Blue box heading"/>
    <w:basedOn w:val="Blueboxtext"/>
    <w:next w:val="Blueboxtext"/>
    <w:uiPriority w:val="1"/>
    <w:qFormat/>
    <w:rsid w:val="007823D6"/>
    <w:pPr>
      <w:keepNext/>
      <w:spacing w:before="240" w:after="0"/>
    </w:pPr>
    <w:rPr>
      <w:rFonts w:cs="Times New Roman"/>
      <w:b/>
      <w:szCs w:val="20"/>
    </w:rPr>
  </w:style>
  <w:style w:type="paragraph" w:customStyle="1" w:styleId="Blue-boxsub-bullet">
    <w:name w:val="Blue-box sub-bullet"/>
    <w:basedOn w:val="Blueboxtext"/>
    <w:uiPriority w:val="1"/>
    <w:qFormat/>
    <w:rsid w:val="007823D6"/>
    <w:pPr>
      <w:numPr>
        <w:numId w:val="15"/>
      </w:numPr>
      <w:spacing w:before="0"/>
    </w:pPr>
    <w:rPr>
      <w:rFonts w:cs="Times New Roman"/>
      <w:szCs w:val="20"/>
    </w:rPr>
  </w:style>
  <w:style w:type="paragraph" w:customStyle="1" w:styleId="Greensub-bullet-casestudytables">
    <w:name w:val="Green sub-bullet - case study tables"/>
    <w:basedOn w:val="Greentext-casestudytables"/>
    <w:uiPriority w:val="1"/>
    <w:qFormat/>
    <w:rsid w:val="00C15722"/>
    <w:pPr>
      <w:numPr>
        <w:numId w:val="16"/>
      </w:numPr>
      <w:spacing w:before="0"/>
      <w:ind w:left="1077" w:hanging="397"/>
    </w:pPr>
  </w:style>
  <w:style w:type="paragraph" w:styleId="CommentText">
    <w:name w:val="annotation text"/>
    <w:basedOn w:val="Normal"/>
    <w:link w:val="CommentTextChar"/>
    <w:uiPriority w:val="99"/>
    <w:semiHidden/>
    <w:rsid w:val="00C0111D"/>
    <w:pPr>
      <w:spacing w:line="240" w:lineRule="auto"/>
    </w:pPr>
    <w:rPr>
      <w:sz w:val="20"/>
      <w:szCs w:val="20"/>
    </w:rPr>
  </w:style>
  <w:style w:type="character" w:customStyle="1" w:styleId="CommentTextChar">
    <w:name w:val="Comment Text Char"/>
    <w:basedOn w:val="DefaultParagraphFont"/>
    <w:link w:val="CommentText"/>
    <w:uiPriority w:val="99"/>
    <w:semiHidden/>
    <w:rsid w:val="00C0111D"/>
    <w:rPr>
      <w:rFonts w:ascii="Calibri" w:eastAsiaTheme="minorEastAsia" w:hAnsi="Calibri"/>
      <w:sz w:val="20"/>
      <w:szCs w:val="20"/>
      <w:lang w:eastAsia="en-NZ"/>
    </w:rPr>
  </w:style>
  <w:style w:type="paragraph" w:styleId="TOCHeading">
    <w:name w:val="TOC Heading"/>
    <w:basedOn w:val="Heading1"/>
    <w:next w:val="Normal"/>
    <w:uiPriority w:val="39"/>
    <w:unhideWhenUsed/>
    <w:qFormat/>
    <w:rsid w:val="00EF46F2"/>
    <w:pPr>
      <w:keepLines/>
      <w:numPr>
        <w:numId w:val="0"/>
      </w:numPr>
      <w:tabs>
        <w:tab w:val="clear" w:pos="851"/>
      </w:tabs>
      <w:spacing w:before="240" w:after="0" w:line="259" w:lineRule="auto"/>
      <w:outlineLvl w:val="9"/>
    </w:pPr>
    <w:rPr>
      <w:rFonts w:asciiTheme="majorHAnsi" w:hAnsiTheme="majorHAnsi"/>
      <w:b w:val="0"/>
      <w:bCs w:val="0"/>
      <w:color w:val="153F50" w:themeColor="accent1" w:themeShade="BF"/>
      <w:sz w:val="32"/>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fe.govt.nz/publications/towns-and-cities/understanding-and-implementing-responsive-planning-policies" TargetMode="External"/><Relationship Id="rId18" Type="http://schemas.openxmlformats.org/officeDocument/2006/relationships/hyperlink" Target="mailto:investment.benefits@nzta.govt.nz" TargetMode="External"/><Relationship Id="rId26" Type="http://schemas.openxmlformats.org/officeDocument/2006/relationships/image" Target="media/image9.jpeg"/><Relationship Id="rId39" Type="http://schemas.openxmlformats.org/officeDocument/2006/relationships/image" Target="media/image19.jpeg"/><Relationship Id="rId21" Type="http://schemas.openxmlformats.org/officeDocument/2006/relationships/image" Target="media/image5.jpeg"/><Relationship Id="rId34" Type="http://schemas.openxmlformats.org/officeDocument/2006/relationships/hyperlink" Target="https://www.mfe.govt.nz/sites/default/files/media/Towns%20and%20cities/FINAL-NPS-UDC%20Evidence%20and%20Monitoring%20guide.pdf" TargetMode="External"/><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hyperlink" Target="https://www.mfe.govt.nz/publications/rma/people-places-spaces-mar02"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aus01.safelinks.protection.outlook.com/?url=https%3A%2F%2Fstorymaps.arcgis.com%2Fcollections%2F16be4050255c49489067a39bca090818%3Fitem%3D6&amp;data=02%7C01%7CDavid.Hampton%40nzta.govt.nz%7C517513c811bd41d9e22e08d83ff561d5%7C7245e48ca9ff4b2898ef05cfa8edb518%7C0%7C0%7C637329670861714119&amp;sdata=EVR1CeAMMyY9iR%2FacN703NXRB%2BAFjL8omIXsxNlTqvw%3D&amp;reserved=0" TargetMode="External"/><Relationship Id="rId20" Type="http://schemas.openxmlformats.org/officeDocument/2006/relationships/image" Target="media/image4.emf"/><Relationship Id="rId29" Type="http://schemas.openxmlformats.org/officeDocument/2006/relationships/image" Target="media/image12.jpg"/><Relationship Id="rId41" Type="http://schemas.openxmlformats.org/officeDocument/2006/relationships/image" Target="media/image21.jpeg"/><Relationship Id="rId54" Type="http://schemas.openxmlformats.org/officeDocument/2006/relationships/hyperlink" Target="https://www.nzta.govt.nz/resources/pedestrian-planning-guide/"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cid:image002.jpg@01D68210.0B1C25D0" TargetMode="External"/><Relationship Id="rId37" Type="http://schemas.openxmlformats.org/officeDocument/2006/relationships/image" Target="media/image17.jpg"/><Relationship Id="rId40" Type="http://schemas.openxmlformats.org/officeDocument/2006/relationships/image" Target="media/image20.jpeg"/><Relationship Id="rId45" Type="http://schemas.openxmlformats.org/officeDocument/2006/relationships/image" Target="media/image25.jpg"/><Relationship Id="rId53" Type="http://schemas.openxmlformats.org/officeDocument/2006/relationships/image" Target="media/image33.jpg"/><Relationship Id="rId58" Type="http://schemas.openxmlformats.org/officeDocument/2006/relationships/hyperlink" Target="https://at.govt.nz/media/1980686/urban-street-and-road-design-guide.pdf" TargetMode="External"/><Relationship Id="rId5" Type="http://schemas.openxmlformats.org/officeDocument/2006/relationships/webSettings" Target="webSettings.xml"/><Relationship Id="rId15" Type="http://schemas.openxmlformats.org/officeDocument/2006/relationships/hyperlink" Target="https://www.mfe.govt.nz/more/towns-and-cities/national-policy-statement-urban-development/guidance-implementation-of" TargetMode="External"/><Relationship Id="rId23" Type="http://schemas.openxmlformats.org/officeDocument/2006/relationships/hyperlink" Target="https://www.mfe.govt.nz/publications/towns-and-cities/urban-design-toolkit-third-edition" TargetMode="External"/><Relationship Id="rId28" Type="http://schemas.openxmlformats.org/officeDocument/2006/relationships/image" Target="media/image11.jp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hyperlink" Target="https://at.govt.nz/media/1976084/roads-and-streets-framework-webcompressed.pdf" TargetMode="External"/><Relationship Id="rId61"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3.emf"/><Relationship Id="rId31" Type="http://schemas.openxmlformats.org/officeDocument/2006/relationships/image" Target="media/image14.jpeg"/><Relationship Id="rId44" Type="http://schemas.openxmlformats.org/officeDocument/2006/relationships/image" Target="media/image24.jpg"/><Relationship Id="rId52" Type="http://schemas.openxmlformats.org/officeDocument/2006/relationships/image" Target="media/image32.jpe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mfe.govt.nz" TargetMode="External"/><Relationship Id="rId14" Type="http://schemas.openxmlformats.org/officeDocument/2006/relationships/hyperlink" Target="http://www.legislation.govt.nz/act/public/1991/0069/latest/DLM234355.html" TargetMode="External"/><Relationship Id="rId22" Type="http://schemas.openxmlformats.org/officeDocument/2006/relationships/image" Target="media/image6.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s://www.mfe.govt.nz/publications/towns-and-cities/cost-benefit-analysis-nps-ud-2020" TargetMode="External"/><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hyperlink" Target="https://www.mfe.govt.nz/sites/default/files/urban-design-toolkit-third-edition.pdf" TargetMode="External"/><Relationship Id="rId8" Type="http://schemas.openxmlformats.org/officeDocument/2006/relationships/image" Target="media/image1.png"/><Relationship Id="rId51" Type="http://schemas.openxmlformats.org/officeDocument/2006/relationships/image" Target="media/image31.jpg"/><Relationship Id="rId3" Type="http://schemas.openxmlformats.org/officeDocument/2006/relationships/styles" Target="styles.xml"/><Relationship Id="rId12" Type="http://schemas.openxmlformats.org/officeDocument/2006/relationships/hyperlink" Target="https://www.mfe.govt.nz/more/towns-and-cities/national-policy-statement-urban-development/guidance-implementation-of" TargetMode="External"/><Relationship Id="rId17" Type="http://schemas.openxmlformats.org/officeDocument/2006/relationships/hyperlink" Target="https://www.mfe.govt.nz/more/towns-and-cities/national-policy-statement-urban-development/guidance-implementation-of" TargetMode="External"/><Relationship Id="rId25" Type="http://schemas.openxmlformats.org/officeDocument/2006/relationships/image" Target="media/image8.emf"/><Relationship Id="rId33" Type="http://schemas.openxmlformats.org/officeDocument/2006/relationships/image" Target="media/image15.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hyperlink" Target="http://www.activehealthycommunities.com.au/plan/gis-analysis/walking-cycling-pedshed-analysis/"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nzta.govt.nz/resources/land-transport-benefits-framework-and-management-approach-guidelines/?category=&amp;subcategory=&amp;audience=&amp;term=benefits+framewor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ttonv\AppData\Local\Microsoft\Windows\INetCache\IE\X5IYNSMW\MfE%20report%20template.dotx" TargetMode="External"/></Relationships>
</file>

<file path=word/theme/theme1.xml><?xml version="1.0" encoding="utf-8"?>
<a:theme xmlns:a="http://schemas.openxmlformats.org/drawingml/2006/main" name="MFE">
  <a:themeElements>
    <a:clrScheme name="MFE colours">
      <a:dk1>
        <a:sysClr val="windowText" lastClr="000000"/>
      </a:dk1>
      <a:lt1>
        <a:sysClr val="window" lastClr="FFFFFF"/>
      </a:lt1>
      <a:dk2>
        <a:srgbClr val="1F497D"/>
      </a:dk2>
      <a:lt2>
        <a:srgbClr val="EEECE1"/>
      </a:lt2>
      <a:accent1>
        <a:srgbClr val="1C556C"/>
      </a:accent1>
      <a:accent2>
        <a:srgbClr val="0F7B7D"/>
      </a:accent2>
      <a:accent3>
        <a:srgbClr val="D2DDE2"/>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D555BB-97FB-45FF-BCBF-A64F8B86E3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MfE report template</Template>
  <TotalTime>11</TotalTime>
  <Pages>56</Pages>
  <Words>16717</Words>
  <Characters>95293</Characters>
  <Application>Microsoft Office Word</Application>
  <DocSecurity>0</DocSecurity>
  <Lines>794</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suttonv</dc:creator>
  <cp:lastModifiedBy>Dee Warring</cp:lastModifiedBy>
  <cp:revision>3</cp:revision>
  <cp:lastPrinted>2020-09-20T22:28:00Z</cp:lastPrinted>
  <dcterms:created xsi:type="dcterms:W3CDTF">2020-09-20T22:28:00Z</dcterms:created>
  <dcterms:modified xsi:type="dcterms:W3CDTF">2020-09-20T22:38:00Z</dcterms:modified>
</cp:coreProperties>
</file>