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86BC4" w14:textId="32E9CEBC" w:rsidR="00C57A42" w:rsidRDefault="00970ED0" w:rsidP="00C57A42">
      <w:pPr>
        <w:pStyle w:val="Imprint"/>
        <w:sectPr w:rsidR="00C57A42" w:rsidSect="0028498A">
          <w:endnotePr>
            <w:numFmt w:val="decimal"/>
          </w:endnotePr>
          <w:pgSz w:w="11907" w:h="16840" w:code="9"/>
          <w:pgMar w:top="1134" w:right="1418" w:bottom="1134" w:left="1418" w:header="567" w:footer="567" w:gutter="567"/>
          <w:cols w:space="720"/>
        </w:sectPr>
      </w:pPr>
      <w:bookmarkStart w:id="0" w:name="_GoBack"/>
      <w:bookmarkEnd w:id="0"/>
      <w:r>
        <w:rPr>
          <w:noProof/>
          <w:lang w:eastAsia="en-NZ"/>
        </w:rPr>
        <w:drawing>
          <wp:anchor distT="0" distB="0" distL="114300" distR="114300" simplePos="0" relativeHeight="251661312" behindDoc="0" locked="0" layoutInCell="1" allowOverlap="1" wp14:anchorId="258A58C4" wp14:editId="173E4314">
            <wp:simplePos x="0" y="0"/>
            <wp:positionH relativeFrom="column">
              <wp:posOffset>-1240485</wp:posOffset>
            </wp:positionH>
            <wp:positionV relativeFrom="paragraph">
              <wp:posOffset>-688191</wp:posOffset>
            </wp:positionV>
            <wp:extent cx="7513221" cy="106319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sed NMS Guidance 2019-20 Cover.jpg"/>
                    <pic:cNvPicPr/>
                  </pic:nvPicPr>
                  <pic:blipFill>
                    <a:blip r:embed="rId8">
                      <a:extLst>
                        <a:ext uri="{28A0092B-C50C-407E-A947-70E740481C1C}">
                          <a14:useLocalDpi xmlns:a14="http://schemas.microsoft.com/office/drawing/2010/main" val="0"/>
                        </a:ext>
                      </a:extLst>
                    </a:blip>
                    <a:stretch>
                      <a:fillRect/>
                    </a:stretch>
                  </pic:blipFill>
                  <pic:spPr>
                    <a:xfrm>
                      <a:off x="0" y="0"/>
                      <a:ext cx="7528971" cy="10654240"/>
                    </a:xfrm>
                    <a:prstGeom prst="rect">
                      <a:avLst/>
                    </a:prstGeom>
                  </pic:spPr>
                </pic:pic>
              </a:graphicData>
            </a:graphic>
            <wp14:sizeRelH relativeFrom="page">
              <wp14:pctWidth>0</wp14:pctWidth>
            </wp14:sizeRelH>
            <wp14:sizeRelV relativeFrom="page">
              <wp14:pctHeight>0</wp14:pctHeight>
            </wp14:sizeRelV>
          </wp:anchor>
        </w:drawing>
      </w:r>
    </w:p>
    <w:p w14:paraId="54EB1472" w14:textId="77777777" w:rsidR="00C57A42" w:rsidRPr="00936F4F" w:rsidRDefault="00C57A42" w:rsidP="00C57A42">
      <w:pPr>
        <w:pStyle w:val="Imprint"/>
      </w:pPr>
      <w:r w:rsidRPr="00936F4F">
        <w:lastRenderedPageBreak/>
        <w:t>This document may be cited as:</w:t>
      </w:r>
    </w:p>
    <w:p w14:paraId="597C35E0" w14:textId="025CB6DE" w:rsidR="00C57A42" w:rsidRPr="00936F4F" w:rsidRDefault="00C57A42" w:rsidP="00C57A42">
      <w:pPr>
        <w:pStyle w:val="Imprint"/>
      </w:pPr>
      <w:r w:rsidRPr="00936F4F">
        <w:t>Ministry for the Environment</w:t>
      </w:r>
      <w:r>
        <w:t xml:space="preserve">. </w:t>
      </w:r>
      <w:r w:rsidRPr="00936F4F">
        <w:t>201</w:t>
      </w:r>
      <w:r w:rsidR="000D5170">
        <w:t>9</w:t>
      </w:r>
      <w:r w:rsidRPr="00936F4F">
        <w:t xml:space="preserve">. </w:t>
      </w:r>
      <w:r w:rsidRPr="00936F4F">
        <w:rPr>
          <w:i/>
        </w:rPr>
        <w:t xml:space="preserve">National Monitoring System – information requirements: </w:t>
      </w:r>
      <w:r w:rsidR="000D5170">
        <w:rPr>
          <w:i/>
        </w:rPr>
        <w:t>Revised g</w:t>
      </w:r>
      <w:r w:rsidRPr="00936F4F">
        <w:rPr>
          <w:i/>
        </w:rPr>
        <w:t>uidance for the 201</w:t>
      </w:r>
      <w:r>
        <w:rPr>
          <w:i/>
        </w:rPr>
        <w:t>8</w:t>
      </w:r>
      <w:r w:rsidRPr="00936F4F">
        <w:rPr>
          <w:i/>
        </w:rPr>
        <w:t>/1</w:t>
      </w:r>
      <w:r>
        <w:rPr>
          <w:i/>
        </w:rPr>
        <w:t>9</w:t>
      </w:r>
      <w:r w:rsidRPr="00936F4F">
        <w:rPr>
          <w:i/>
        </w:rPr>
        <w:t xml:space="preserve"> financial year</w:t>
      </w:r>
      <w:r w:rsidRPr="00936F4F">
        <w:t>. Wellington: Ministry for the Environment.</w:t>
      </w:r>
    </w:p>
    <w:p w14:paraId="0D2BB1C3" w14:textId="77777777" w:rsidR="00C57A42" w:rsidRPr="00936F4F" w:rsidRDefault="00C57A42" w:rsidP="00C57A42">
      <w:pPr>
        <w:pStyle w:val="Imprint"/>
      </w:pPr>
    </w:p>
    <w:p w14:paraId="604F4215" w14:textId="77777777" w:rsidR="00C57A42" w:rsidRPr="00936F4F" w:rsidRDefault="00C57A42" w:rsidP="00C57A42">
      <w:pPr>
        <w:pStyle w:val="Imprint"/>
      </w:pPr>
    </w:p>
    <w:p w14:paraId="5BA6FAF7" w14:textId="77777777" w:rsidR="00C57A42" w:rsidRPr="00936F4F" w:rsidRDefault="00C57A42" w:rsidP="00C57A42">
      <w:pPr>
        <w:pStyle w:val="Imprint"/>
      </w:pPr>
    </w:p>
    <w:p w14:paraId="2FF6BFAE" w14:textId="77777777" w:rsidR="00C57A42" w:rsidRPr="00936F4F" w:rsidRDefault="00C57A42" w:rsidP="00C57A42">
      <w:pPr>
        <w:pStyle w:val="Imprint"/>
      </w:pPr>
    </w:p>
    <w:p w14:paraId="282449E8" w14:textId="77777777" w:rsidR="00C57A42" w:rsidRPr="00936F4F" w:rsidRDefault="00C57A42" w:rsidP="00C57A42">
      <w:pPr>
        <w:pStyle w:val="Imprint"/>
      </w:pPr>
    </w:p>
    <w:p w14:paraId="13341F01" w14:textId="77777777" w:rsidR="00C57A42" w:rsidRPr="00936F4F" w:rsidRDefault="00C57A42" w:rsidP="00C57A42">
      <w:pPr>
        <w:pStyle w:val="Imprint"/>
      </w:pPr>
    </w:p>
    <w:p w14:paraId="5196150C" w14:textId="77777777" w:rsidR="00C57A42" w:rsidRPr="00936F4F" w:rsidRDefault="00C57A42" w:rsidP="00C57A42">
      <w:pPr>
        <w:pStyle w:val="Imprint"/>
      </w:pPr>
    </w:p>
    <w:p w14:paraId="05B2433B" w14:textId="77777777" w:rsidR="00C57A42" w:rsidRPr="00936F4F" w:rsidRDefault="00C57A42" w:rsidP="00C57A42">
      <w:pPr>
        <w:pStyle w:val="Imprint"/>
      </w:pPr>
    </w:p>
    <w:p w14:paraId="22C9E80E" w14:textId="77777777" w:rsidR="00C57A42" w:rsidRPr="00936F4F" w:rsidRDefault="00C57A42" w:rsidP="00C57A42">
      <w:pPr>
        <w:pStyle w:val="Imprint"/>
      </w:pPr>
    </w:p>
    <w:p w14:paraId="36D82EB6" w14:textId="77777777" w:rsidR="00C57A42" w:rsidRPr="00936F4F" w:rsidRDefault="00C57A42" w:rsidP="00C57A42">
      <w:pPr>
        <w:pStyle w:val="Imprint"/>
      </w:pPr>
    </w:p>
    <w:p w14:paraId="1E84DCDA" w14:textId="77777777" w:rsidR="00C57A42" w:rsidRPr="00936F4F" w:rsidRDefault="00C57A42" w:rsidP="00C57A42">
      <w:pPr>
        <w:pStyle w:val="Imprint"/>
      </w:pPr>
    </w:p>
    <w:p w14:paraId="6A195DC7" w14:textId="77777777" w:rsidR="00C57A42" w:rsidRPr="00936F4F" w:rsidRDefault="00C57A42" w:rsidP="00C57A42">
      <w:pPr>
        <w:pStyle w:val="Imprint"/>
      </w:pPr>
    </w:p>
    <w:p w14:paraId="6A2F792D" w14:textId="77777777" w:rsidR="00C57A42" w:rsidRPr="00936F4F" w:rsidRDefault="00C57A42" w:rsidP="00C57A42">
      <w:pPr>
        <w:pStyle w:val="Imprint"/>
      </w:pPr>
    </w:p>
    <w:p w14:paraId="3A48A40A" w14:textId="77777777" w:rsidR="00C57A42" w:rsidRPr="00936F4F" w:rsidRDefault="00C57A42" w:rsidP="00C57A42">
      <w:pPr>
        <w:pStyle w:val="Imprint"/>
      </w:pPr>
    </w:p>
    <w:p w14:paraId="0FC9F4AB" w14:textId="77777777" w:rsidR="00C57A42" w:rsidRPr="00936F4F" w:rsidRDefault="00C57A42" w:rsidP="00C57A42">
      <w:pPr>
        <w:pStyle w:val="Imprint"/>
      </w:pPr>
    </w:p>
    <w:p w14:paraId="51BC0036" w14:textId="77777777" w:rsidR="00C57A42" w:rsidRDefault="00C57A42" w:rsidP="00C57A42">
      <w:pPr>
        <w:pStyle w:val="Imprint"/>
        <w:spacing w:after="0"/>
      </w:pPr>
    </w:p>
    <w:p w14:paraId="34610B62" w14:textId="26A8182E" w:rsidR="00C57A42" w:rsidRPr="00936F4F" w:rsidRDefault="00C57A42" w:rsidP="00C57A42">
      <w:pPr>
        <w:pStyle w:val="Imprint"/>
      </w:pPr>
      <w:r w:rsidRPr="00936F4F">
        <w:t xml:space="preserve">Published in </w:t>
      </w:r>
      <w:r w:rsidR="000D5170">
        <w:t>June 2019</w:t>
      </w:r>
      <w:r w:rsidRPr="00936F4F">
        <w:t xml:space="preserve"> by the</w:t>
      </w:r>
      <w:r w:rsidRPr="00936F4F">
        <w:br/>
        <w:t xml:space="preserve">Ministry for the Environment </w:t>
      </w:r>
      <w:r w:rsidRPr="00936F4F">
        <w:br/>
        <w:t>Manatū Mō Te Taiao</w:t>
      </w:r>
      <w:r w:rsidRPr="00936F4F">
        <w:br/>
        <w:t>PO Box 10362, Wellington 6143, New Zealand</w:t>
      </w:r>
    </w:p>
    <w:p w14:paraId="09FE7A6F" w14:textId="34C6CC6D" w:rsidR="000D5170" w:rsidRDefault="00C57A42" w:rsidP="00C57A42">
      <w:pPr>
        <w:pStyle w:val="Imprint"/>
      </w:pPr>
      <w:r w:rsidRPr="008C2D9B">
        <w:t xml:space="preserve">ISBN: </w:t>
      </w:r>
      <w:r w:rsidR="000D5170">
        <w:t>978-1-98-857928-3 (on-line</w:t>
      </w:r>
      <w:r w:rsidR="00A62D95">
        <w:t>)</w:t>
      </w:r>
    </w:p>
    <w:p w14:paraId="02ABA0E9" w14:textId="37B3F93F" w:rsidR="00C57A42" w:rsidRPr="00936F4F" w:rsidRDefault="00C57A42" w:rsidP="00C57A42">
      <w:pPr>
        <w:pStyle w:val="Imprint"/>
      </w:pPr>
      <w:r w:rsidRPr="008C2D9B">
        <w:t xml:space="preserve">Publication number: ME </w:t>
      </w:r>
      <w:r w:rsidR="000D5170">
        <w:t>1423</w:t>
      </w:r>
    </w:p>
    <w:p w14:paraId="0D48C10C" w14:textId="77777777" w:rsidR="00C57A42" w:rsidRPr="00936F4F" w:rsidRDefault="00C57A42" w:rsidP="00C57A42">
      <w:pPr>
        <w:pStyle w:val="Imprint"/>
      </w:pPr>
      <w:r w:rsidRPr="00936F4F">
        <w:t>© Crown copyright New Zealand 201</w:t>
      </w:r>
      <w:r>
        <w:t>8</w:t>
      </w:r>
    </w:p>
    <w:p w14:paraId="3B2297E5" w14:textId="77777777" w:rsidR="00C57A42" w:rsidRPr="00936F4F" w:rsidRDefault="00C57A42" w:rsidP="00C57A42">
      <w:pPr>
        <w:pStyle w:val="Imprint"/>
        <w:spacing w:before="120" w:after="120"/>
      </w:pPr>
      <w:r w:rsidRPr="00936F4F">
        <w:t xml:space="preserve">This document is available on websites of the Ministry for the Environment </w:t>
      </w:r>
      <w:hyperlink r:id="rId9" w:history="1">
        <w:r w:rsidRPr="00936F4F">
          <w:rPr>
            <w:rStyle w:val="Hyperlink"/>
          </w:rPr>
          <w:t>www.mfe.govt.nz</w:t>
        </w:r>
      </w:hyperlink>
      <w:r w:rsidRPr="00936F4F">
        <w:rPr>
          <w:rStyle w:val="Hyperlink"/>
          <w:color w:val="auto"/>
        </w:rPr>
        <w:t>.</w:t>
      </w:r>
      <w:r w:rsidRPr="00936F4F" w:rsidDel="00B87938">
        <w:t xml:space="preserve"> </w:t>
      </w:r>
    </w:p>
    <w:p w14:paraId="3929EEF2" w14:textId="77777777" w:rsidR="00C57A42" w:rsidRPr="00936F4F" w:rsidRDefault="00C57A42" w:rsidP="00C57A42">
      <w:pPr>
        <w:pStyle w:val="Imprint"/>
        <w:spacing w:before="240"/>
      </w:pPr>
      <w:r>
        <w:rPr>
          <w:noProof/>
          <w:lang w:eastAsia="en-NZ"/>
        </w:rPr>
        <w:drawing>
          <wp:inline distT="0" distB="0" distL="0" distR="0" wp14:anchorId="7A4885C0" wp14:editId="4B3FFEAD">
            <wp:extent cx="2712746" cy="11708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2746" cy="1170842"/>
                    </a:xfrm>
                    <a:prstGeom prst="rect">
                      <a:avLst/>
                    </a:prstGeom>
                    <a:noFill/>
                  </pic:spPr>
                </pic:pic>
              </a:graphicData>
            </a:graphic>
          </wp:inline>
        </w:drawing>
      </w:r>
    </w:p>
    <w:p w14:paraId="18C07E67" w14:textId="77777777" w:rsidR="00C57A42" w:rsidRPr="000D590B" w:rsidRDefault="00C57A42" w:rsidP="00C57A42">
      <w:pPr>
        <w:pStyle w:val="Heading1"/>
      </w:pPr>
      <w:bookmarkStart w:id="1" w:name="_Toc10723887"/>
      <w:r w:rsidRPr="000D590B">
        <w:lastRenderedPageBreak/>
        <w:t>Contents</w:t>
      </w:r>
      <w:bookmarkEnd w:id="1"/>
    </w:p>
    <w:p w14:paraId="70FC9A4F" w14:textId="1AF51401" w:rsidR="00BE1647" w:rsidRDefault="00C57A42">
      <w:pPr>
        <w:pStyle w:val="TOC1"/>
        <w:rPr>
          <w:rFonts w:asciiTheme="minorHAnsi" w:hAnsiTheme="minorHAnsi"/>
          <w:noProof/>
        </w:rPr>
      </w:pPr>
      <w:r w:rsidRPr="000D590B">
        <w:fldChar w:fldCharType="begin"/>
      </w:r>
      <w:r w:rsidRPr="000D590B">
        <w:instrText xml:space="preserve"> TOC \o "1-2" \h \z \u </w:instrText>
      </w:r>
      <w:r w:rsidRPr="000D590B">
        <w:fldChar w:fldCharType="separate"/>
      </w:r>
      <w:hyperlink w:anchor="_Toc10723887" w:history="1">
        <w:r w:rsidR="00BE1647" w:rsidRPr="002A01C0">
          <w:rPr>
            <w:rStyle w:val="Hyperlink"/>
            <w:noProof/>
          </w:rPr>
          <w:t>Contents</w:t>
        </w:r>
        <w:r w:rsidR="00BE1647">
          <w:rPr>
            <w:noProof/>
            <w:webHidden/>
          </w:rPr>
          <w:tab/>
        </w:r>
        <w:r w:rsidR="00BE1647">
          <w:rPr>
            <w:noProof/>
            <w:webHidden/>
          </w:rPr>
          <w:fldChar w:fldCharType="begin"/>
        </w:r>
        <w:r w:rsidR="00BE1647">
          <w:rPr>
            <w:noProof/>
            <w:webHidden/>
          </w:rPr>
          <w:instrText xml:space="preserve"> PAGEREF _Toc10723887 \h </w:instrText>
        </w:r>
        <w:r w:rsidR="00BE1647">
          <w:rPr>
            <w:noProof/>
            <w:webHidden/>
          </w:rPr>
        </w:r>
        <w:r w:rsidR="00BE1647">
          <w:rPr>
            <w:noProof/>
            <w:webHidden/>
          </w:rPr>
          <w:fldChar w:fldCharType="separate"/>
        </w:r>
        <w:r w:rsidR="00BF20DD">
          <w:rPr>
            <w:noProof/>
            <w:webHidden/>
          </w:rPr>
          <w:t>3</w:t>
        </w:r>
        <w:r w:rsidR="00BE1647">
          <w:rPr>
            <w:noProof/>
            <w:webHidden/>
          </w:rPr>
          <w:fldChar w:fldCharType="end"/>
        </w:r>
      </w:hyperlink>
    </w:p>
    <w:p w14:paraId="25B8B32D" w14:textId="3228781E" w:rsidR="00BE1647" w:rsidRDefault="00BF20DD">
      <w:pPr>
        <w:pStyle w:val="TOC1"/>
        <w:rPr>
          <w:rFonts w:asciiTheme="minorHAnsi" w:hAnsiTheme="minorHAnsi"/>
          <w:noProof/>
        </w:rPr>
      </w:pPr>
      <w:hyperlink w:anchor="_Toc10723888" w:history="1">
        <w:r w:rsidR="00BE1647" w:rsidRPr="002A01C0">
          <w:rPr>
            <w:rStyle w:val="Hyperlink"/>
            <w:noProof/>
          </w:rPr>
          <w:t>Background</w:t>
        </w:r>
        <w:r w:rsidR="00BE1647">
          <w:rPr>
            <w:noProof/>
            <w:webHidden/>
          </w:rPr>
          <w:tab/>
        </w:r>
        <w:r w:rsidR="00BE1647">
          <w:rPr>
            <w:noProof/>
            <w:webHidden/>
          </w:rPr>
          <w:fldChar w:fldCharType="begin"/>
        </w:r>
        <w:r w:rsidR="00BE1647">
          <w:rPr>
            <w:noProof/>
            <w:webHidden/>
          </w:rPr>
          <w:instrText xml:space="preserve"> PAGEREF _Toc10723888 \h </w:instrText>
        </w:r>
        <w:r w:rsidR="00BE1647">
          <w:rPr>
            <w:noProof/>
            <w:webHidden/>
          </w:rPr>
        </w:r>
        <w:r w:rsidR="00BE1647">
          <w:rPr>
            <w:noProof/>
            <w:webHidden/>
          </w:rPr>
          <w:fldChar w:fldCharType="separate"/>
        </w:r>
        <w:r>
          <w:rPr>
            <w:noProof/>
            <w:webHidden/>
          </w:rPr>
          <w:t>4</w:t>
        </w:r>
        <w:r w:rsidR="00BE1647">
          <w:rPr>
            <w:noProof/>
            <w:webHidden/>
          </w:rPr>
          <w:fldChar w:fldCharType="end"/>
        </w:r>
      </w:hyperlink>
    </w:p>
    <w:p w14:paraId="39BE7D2C" w14:textId="4A46BDFA" w:rsidR="00BE1647" w:rsidRDefault="00BF20DD">
      <w:pPr>
        <w:pStyle w:val="TOC1"/>
        <w:rPr>
          <w:rFonts w:asciiTheme="minorHAnsi" w:hAnsiTheme="minorHAnsi"/>
          <w:noProof/>
        </w:rPr>
      </w:pPr>
      <w:hyperlink w:anchor="_Toc10723889" w:history="1">
        <w:r w:rsidR="00BE1647" w:rsidRPr="002A01C0">
          <w:rPr>
            <w:rStyle w:val="Hyperlink"/>
            <w:noProof/>
          </w:rPr>
          <w:t>How to use this guide</w:t>
        </w:r>
        <w:r w:rsidR="00BE1647">
          <w:rPr>
            <w:noProof/>
            <w:webHidden/>
          </w:rPr>
          <w:tab/>
        </w:r>
        <w:r w:rsidR="00BE1647">
          <w:rPr>
            <w:noProof/>
            <w:webHidden/>
          </w:rPr>
          <w:fldChar w:fldCharType="begin"/>
        </w:r>
        <w:r w:rsidR="00BE1647">
          <w:rPr>
            <w:noProof/>
            <w:webHidden/>
          </w:rPr>
          <w:instrText xml:space="preserve"> PAGEREF _Toc10723889 \h </w:instrText>
        </w:r>
        <w:r w:rsidR="00BE1647">
          <w:rPr>
            <w:noProof/>
            <w:webHidden/>
          </w:rPr>
        </w:r>
        <w:r w:rsidR="00BE1647">
          <w:rPr>
            <w:noProof/>
            <w:webHidden/>
          </w:rPr>
          <w:fldChar w:fldCharType="separate"/>
        </w:r>
        <w:r>
          <w:rPr>
            <w:noProof/>
            <w:webHidden/>
          </w:rPr>
          <w:t>5</w:t>
        </w:r>
        <w:r w:rsidR="00BE1647">
          <w:rPr>
            <w:noProof/>
            <w:webHidden/>
          </w:rPr>
          <w:fldChar w:fldCharType="end"/>
        </w:r>
      </w:hyperlink>
    </w:p>
    <w:p w14:paraId="5BD4C0D2" w14:textId="7FF3B5FF" w:rsidR="00BE1647" w:rsidRDefault="00BF20DD">
      <w:pPr>
        <w:pStyle w:val="TOC1"/>
        <w:rPr>
          <w:rFonts w:asciiTheme="minorHAnsi" w:hAnsiTheme="minorHAnsi"/>
          <w:noProof/>
        </w:rPr>
      </w:pPr>
      <w:hyperlink w:anchor="_Toc10723890" w:history="1">
        <w:r w:rsidR="00BE1647" w:rsidRPr="002A01C0">
          <w:rPr>
            <w:rStyle w:val="Hyperlink"/>
            <w:noProof/>
          </w:rPr>
          <w:t>How do I provide the NMS data?</w:t>
        </w:r>
        <w:r w:rsidR="00BE1647">
          <w:rPr>
            <w:noProof/>
            <w:webHidden/>
          </w:rPr>
          <w:tab/>
        </w:r>
        <w:r w:rsidR="00BE1647">
          <w:rPr>
            <w:noProof/>
            <w:webHidden/>
          </w:rPr>
          <w:fldChar w:fldCharType="begin"/>
        </w:r>
        <w:r w:rsidR="00BE1647">
          <w:rPr>
            <w:noProof/>
            <w:webHidden/>
          </w:rPr>
          <w:instrText xml:space="preserve"> PAGEREF _Toc10723890 \h </w:instrText>
        </w:r>
        <w:r w:rsidR="00BE1647">
          <w:rPr>
            <w:noProof/>
            <w:webHidden/>
          </w:rPr>
        </w:r>
        <w:r w:rsidR="00BE1647">
          <w:rPr>
            <w:noProof/>
            <w:webHidden/>
          </w:rPr>
          <w:fldChar w:fldCharType="separate"/>
        </w:r>
        <w:r>
          <w:rPr>
            <w:noProof/>
            <w:webHidden/>
          </w:rPr>
          <w:t>6</w:t>
        </w:r>
        <w:r w:rsidR="00BE1647">
          <w:rPr>
            <w:noProof/>
            <w:webHidden/>
          </w:rPr>
          <w:fldChar w:fldCharType="end"/>
        </w:r>
      </w:hyperlink>
    </w:p>
    <w:p w14:paraId="0BF62F34" w14:textId="05DF782F" w:rsidR="00BE1647" w:rsidRDefault="00BF20DD">
      <w:pPr>
        <w:pStyle w:val="TOC1"/>
        <w:rPr>
          <w:rFonts w:asciiTheme="minorHAnsi" w:hAnsiTheme="minorHAnsi"/>
          <w:noProof/>
        </w:rPr>
      </w:pPr>
      <w:hyperlink w:anchor="_Toc10723891" w:history="1">
        <w:r w:rsidR="00BE1647" w:rsidRPr="002A01C0">
          <w:rPr>
            <w:rStyle w:val="Hyperlink"/>
            <w:noProof/>
          </w:rPr>
          <w:t>Where and when do I submit the data?</w:t>
        </w:r>
        <w:r w:rsidR="00BE1647">
          <w:rPr>
            <w:noProof/>
            <w:webHidden/>
          </w:rPr>
          <w:tab/>
        </w:r>
        <w:r w:rsidR="00BE1647">
          <w:rPr>
            <w:noProof/>
            <w:webHidden/>
          </w:rPr>
          <w:fldChar w:fldCharType="begin"/>
        </w:r>
        <w:r w:rsidR="00BE1647">
          <w:rPr>
            <w:noProof/>
            <w:webHidden/>
          </w:rPr>
          <w:instrText xml:space="preserve"> PAGEREF _Toc10723891 \h </w:instrText>
        </w:r>
        <w:r w:rsidR="00BE1647">
          <w:rPr>
            <w:noProof/>
            <w:webHidden/>
          </w:rPr>
        </w:r>
        <w:r w:rsidR="00BE1647">
          <w:rPr>
            <w:noProof/>
            <w:webHidden/>
          </w:rPr>
          <w:fldChar w:fldCharType="separate"/>
        </w:r>
        <w:r>
          <w:rPr>
            <w:noProof/>
            <w:webHidden/>
          </w:rPr>
          <w:t>7</w:t>
        </w:r>
        <w:r w:rsidR="00BE1647">
          <w:rPr>
            <w:noProof/>
            <w:webHidden/>
          </w:rPr>
          <w:fldChar w:fldCharType="end"/>
        </w:r>
      </w:hyperlink>
    </w:p>
    <w:p w14:paraId="7E7D9B7A" w14:textId="7D81288F" w:rsidR="00BE1647" w:rsidRDefault="00BF20DD">
      <w:pPr>
        <w:pStyle w:val="TOC1"/>
        <w:rPr>
          <w:rFonts w:asciiTheme="minorHAnsi" w:hAnsiTheme="minorHAnsi"/>
          <w:noProof/>
        </w:rPr>
      </w:pPr>
      <w:hyperlink w:anchor="_Toc10723892" w:history="1">
        <w:r w:rsidR="00BE1647" w:rsidRPr="002A01C0">
          <w:rPr>
            <w:rStyle w:val="Hyperlink"/>
            <w:noProof/>
          </w:rPr>
          <w:t>What’s new with the NMS?</w:t>
        </w:r>
        <w:r w:rsidR="00BE1647">
          <w:rPr>
            <w:noProof/>
            <w:webHidden/>
          </w:rPr>
          <w:tab/>
        </w:r>
        <w:r w:rsidR="00BE1647">
          <w:rPr>
            <w:noProof/>
            <w:webHidden/>
          </w:rPr>
          <w:fldChar w:fldCharType="begin"/>
        </w:r>
        <w:r w:rsidR="00BE1647">
          <w:rPr>
            <w:noProof/>
            <w:webHidden/>
          </w:rPr>
          <w:instrText xml:space="preserve"> PAGEREF _Toc10723892 \h </w:instrText>
        </w:r>
        <w:r w:rsidR="00BE1647">
          <w:rPr>
            <w:noProof/>
            <w:webHidden/>
          </w:rPr>
        </w:r>
        <w:r w:rsidR="00BE1647">
          <w:rPr>
            <w:noProof/>
            <w:webHidden/>
          </w:rPr>
          <w:fldChar w:fldCharType="separate"/>
        </w:r>
        <w:r>
          <w:rPr>
            <w:noProof/>
            <w:webHidden/>
          </w:rPr>
          <w:t>8</w:t>
        </w:r>
        <w:r w:rsidR="00BE1647">
          <w:rPr>
            <w:noProof/>
            <w:webHidden/>
          </w:rPr>
          <w:fldChar w:fldCharType="end"/>
        </w:r>
      </w:hyperlink>
    </w:p>
    <w:p w14:paraId="33C2A35D" w14:textId="4DD0BF66" w:rsidR="00BE1647" w:rsidRDefault="00BF20DD">
      <w:pPr>
        <w:pStyle w:val="TOC1"/>
        <w:rPr>
          <w:rFonts w:asciiTheme="minorHAnsi" w:hAnsiTheme="minorHAnsi"/>
          <w:noProof/>
        </w:rPr>
      </w:pPr>
      <w:hyperlink w:anchor="_Toc10723893" w:history="1">
        <w:r w:rsidR="00BE1647" w:rsidRPr="002A01C0">
          <w:rPr>
            <w:rStyle w:val="Hyperlink"/>
            <w:noProof/>
          </w:rPr>
          <w:t>Section 1.0 – Planning and consenting processes</w:t>
        </w:r>
        <w:r w:rsidR="00BE1647">
          <w:rPr>
            <w:noProof/>
            <w:webHidden/>
          </w:rPr>
          <w:tab/>
        </w:r>
        <w:r w:rsidR="00BE1647">
          <w:rPr>
            <w:noProof/>
            <w:webHidden/>
          </w:rPr>
          <w:fldChar w:fldCharType="begin"/>
        </w:r>
        <w:r w:rsidR="00BE1647">
          <w:rPr>
            <w:noProof/>
            <w:webHidden/>
          </w:rPr>
          <w:instrText xml:space="preserve"> PAGEREF _Toc10723893 \h </w:instrText>
        </w:r>
        <w:r w:rsidR="00BE1647">
          <w:rPr>
            <w:noProof/>
            <w:webHidden/>
          </w:rPr>
        </w:r>
        <w:r w:rsidR="00BE1647">
          <w:rPr>
            <w:noProof/>
            <w:webHidden/>
          </w:rPr>
          <w:fldChar w:fldCharType="separate"/>
        </w:r>
        <w:r>
          <w:rPr>
            <w:noProof/>
            <w:webHidden/>
          </w:rPr>
          <w:t>9</w:t>
        </w:r>
        <w:r w:rsidR="00BE1647">
          <w:rPr>
            <w:noProof/>
            <w:webHidden/>
          </w:rPr>
          <w:fldChar w:fldCharType="end"/>
        </w:r>
      </w:hyperlink>
    </w:p>
    <w:p w14:paraId="4D01ECFE" w14:textId="572EA171" w:rsidR="00BE1647" w:rsidRDefault="00BF20DD">
      <w:pPr>
        <w:pStyle w:val="TOC2"/>
        <w:rPr>
          <w:rFonts w:asciiTheme="minorHAnsi" w:hAnsiTheme="minorHAnsi"/>
        </w:rPr>
      </w:pPr>
      <w:hyperlink w:anchor="_Toc10723894" w:history="1">
        <w:r w:rsidR="00BE1647" w:rsidRPr="002A01C0">
          <w:rPr>
            <w:rStyle w:val="Hyperlink"/>
          </w:rPr>
          <w:t>Section 1.1 – Full reviews of policy statements and plans</w:t>
        </w:r>
        <w:r w:rsidR="00BE1647">
          <w:rPr>
            <w:webHidden/>
          </w:rPr>
          <w:tab/>
        </w:r>
        <w:r w:rsidR="00BE1647">
          <w:rPr>
            <w:webHidden/>
          </w:rPr>
          <w:fldChar w:fldCharType="begin"/>
        </w:r>
        <w:r w:rsidR="00BE1647">
          <w:rPr>
            <w:webHidden/>
          </w:rPr>
          <w:instrText xml:space="preserve"> PAGEREF _Toc10723894 \h </w:instrText>
        </w:r>
        <w:r w:rsidR="00BE1647">
          <w:rPr>
            <w:webHidden/>
          </w:rPr>
        </w:r>
        <w:r w:rsidR="00BE1647">
          <w:rPr>
            <w:webHidden/>
          </w:rPr>
          <w:fldChar w:fldCharType="separate"/>
        </w:r>
        <w:r>
          <w:rPr>
            <w:webHidden/>
          </w:rPr>
          <w:t>9</w:t>
        </w:r>
        <w:r w:rsidR="00BE1647">
          <w:rPr>
            <w:webHidden/>
          </w:rPr>
          <w:fldChar w:fldCharType="end"/>
        </w:r>
      </w:hyperlink>
    </w:p>
    <w:p w14:paraId="5DEDADAE" w14:textId="61B3DBC8" w:rsidR="00BE1647" w:rsidRDefault="00BF20DD">
      <w:pPr>
        <w:pStyle w:val="TOC2"/>
        <w:rPr>
          <w:rFonts w:asciiTheme="minorHAnsi" w:hAnsiTheme="minorHAnsi"/>
        </w:rPr>
      </w:pPr>
      <w:hyperlink w:anchor="_Toc10723895" w:history="1">
        <w:r w:rsidR="00BE1647" w:rsidRPr="002A01C0">
          <w:rPr>
            <w:rStyle w:val="Hyperlink"/>
          </w:rPr>
          <w:t>Section 1.2 – Preparation of policy statements and plans, changes and variations</w:t>
        </w:r>
        <w:r w:rsidR="00BE1647">
          <w:rPr>
            <w:webHidden/>
          </w:rPr>
          <w:tab/>
        </w:r>
        <w:r w:rsidR="00BE1647">
          <w:rPr>
            <w:webHidden/>
          </w:rPr>
          <w:fldChar w:fldCharType="begin"/>
        </w:r>
        <w:r w:rsidR="00BE1647">
          <w:rPr>
            <w:webHidden/>
          </w:rPr>
          <w:instrText xml:space="preserve"> PAGEREF _Toc10723895 \h </w:instrText>
        </w:r>
        <w:r w:rsidR="00BE1647">
          <w:rPr>
            <w:webHidden/>
          </w:rPr>
        </w:r>
        <w:r w:rsidR="00BE1647">
          <w:rPr>
            <w:webHidden/>
          </w:rPr>
          <w:fldChar w:fldCharType="separate"/>
        </w:r>
        <w:r>
          <w:rPr>
            <w:webHidden/>
          </w:rPr>
          <w:t>9</w:t>
        </w:r>
        <w:r w:rsidR="00BE1647">
          <w:rPr>
            <w:webHidden/>
          </w:rPr>
          <w:fldChar w:fldCharType="end"/>
        </w:r>
      </w:hyperlink>
    </w:p>
    <w:p w14:paraId="022CCB26" w14:textId="3A4FA4D5" w:rsidR="00BE1647" w:rsidRDefault="00BF20DD">
      <w:pPr>
        <w:pStyle w:val="TOC2"/>
        <w:rPr>
          <w:rFonts w:asciiTheme="minorHAnsi" w:hAnsiTheme="minorHAnsi"/>
        </w:rPr>
      </w:pPr>
      <w:hyperlink w:anchor="_Toc10723896" w:history="1">
        <w:r w:rsidR="00BE1647" w:rsidRPr="002A01C0">
          <w:rPr>
            <w:rStyle w:val="Hyperlink"/>
          </w:rPr>
          <w:t>Section 1.3 – Efficiency and effectiveness monitoring</w:t>
        </w:r>
        <w:r w:rsidR="00BE1647">
          <w:rPr>
            <w:webHidden/>
          </w:rPr>
          <w:tab/>
        </w:r>
        <w:r w:rsidR="00BE1647">
          <w:rPr>
            <w:webHidden/>
          </w:rPr>
          <w:fldChar w:fldCharType="begin"/>
        </w:r>
        <w:r w:rsidR="00BE1647">
          <w:rPr>
            <w:webHidden/>
          </w:rPr>
          <w:instrText xml:space="preserve"> PAGEREF _Toc10723896 \h </w:instrText>
        </w:r>
        <w:r w:rsidR="00BE1647">
          <w:rPr>
            <w:webHidden/>
          </w:rPr>
        </w:r>
        <w:r w:rsidR="00BE1647">
          <w:rPr>
            <w:webHidden/>
          </w:rPr>
          <w:fldChar w:fldCharType="separate"/>
        </w:r>
        <w:r>
          <w:rPr>
            <w:webHidden/>
          </w:rPr>
          <w:t>9</w:t>
        </w:r>
        <w:r w:rsidR="00BE1647">
          <w:rPr>
            <w:webHidden/>
          </w:rPr>
          <w:fldChar w:fldCharType="end"/>
        </w:r>
      </w:hyperlink>
    </w:p>
    <w:p w14:paraId="0B7A299B" w14:textId="1085E745" w:rsidR="00BE1647" w:rsidRDefault="00BF20DD">
      <w:pPr>
        <w:pStyle w:val="TOC2"/>
        <w:rPr>
          <w:rFonts w:asciiTheme="minorHAnsi" w:hAnsiTheme="minorHAnsi"/>
        </w:rPr>
      </w:pPr>
      <w:hyperlink w:anchor="_Toc10723897" w:history="1">
        <w:r w:rsidR="00BE1647" w:rsidRPr="002A01C0">
          <w:rPr>
            <w:rStyle w:val="Hyperlink"/>
          </w:rPr>
          <w:t>Section 1.4 – Iwi/hapū planning documents</w:t>
        </w:r>
        <w:r w:rsidR="00BE1647">
          <w:rPr>
            <w:webHidden/>
          </w:rPr>
          <w:tab/>
        </w:r>
        <w:r w:rsidR="00BE1647">
          <w:rPr>
            <w:webHidden/>
          </w:rPr>
          <w:fldChar w:fldCharType="begin"/>
        </w:r>
        <w:r w:rsidR="00BE1647">
          <w:rPr>
            <w:webHidden/>
          </w:rPr>
          <w:instrText xml:space="preserve"> PAGEREF _Toc10723897 \h </w:instrText>
        </w:r>
        <w:r w:rsidR="00BE1647">
          <w:rPr>
            <w:webHidden/>
          </w:rPr>
        </w:r>
        <w:r w:rsidR="00BE1647">
          <w:rPr>
            <w:webHidden/>
          </w:rPr>
          <w:fldChar w:fldCharType="separate"/>
        </w:r>
        <w:r>
          <w:rPr>
            <w:webHidden/>
          </w:rPr>
          <w:t>9</w:t>
        </w:r>
        <w:r w:rsidR="00BE1647">
          <w:rPr>
            <w:webHidden/>
          </w:rPr>
          <w:fldChar w:fldCharType="end"/>
        </w:r>
      </w:hyperlink>
    </w:p>
    <w:p w14:paraId="689AC6A5" w14:textId="0AEECF94" w:rsidR="00BE1647" w:rsidRDefault="00BF20DD">
      <w:pPr>
        <w:pStyle w:val="TOC2"/>
        <w:rPr>
          <w:rFonts w:asciiTheme="minorHAnsi" w:hAnsiTheme="minorHAnsi"/>
        </w:rPr>
      </w:pPr>
      <w:hyperlink w:anchor="_Toc10723898" w:history="1">
        <w:r w:rsidR="00BE1647" w:rsidRPr="002A01C0">
          <w:rPr>
            <w:rStyle w:val="Hyperlink"/>
          </w:rPr>
          <w:t>Section 1.5 – Resource consents</w:t>
        </w:r>
        <w:r w:rsidR="00BE1647">
          <w:rPr>
            <w:webHidden/>
          </w:rPr>
          <w:tab/>
        </w:r>
        <w:r w:rsidR="00BE1647">
          <w:rPr>
            <w:webHidden/>
          </w:rPr>
          <w:fldChar w:fldCharType="begin"/>
        </w:r>
        <w:r w:rsidR="00BE1647">
          <w:rPr>
            <w:webHidden/>
          </w:rPr>
          <w:instrText xml:space="preserve"> PAGEREF _Toc10723898 \h </w:instrText>
        </w:r>
        <w:r w:rsidR="00BE1647">
          <w:rPr>
            <w:webHidden/>
          </w:rPr>
        </w:r>
        <w:r w:rsidR="00BE1647">
          <w:rPr>
            <w:webHidden/>
          </w:rPr>
          <w:fldChar w:fldCharType="separate"/>
        </w:r>
        <w:r>
          <w:rPr>
            <w:webHidden/>
          </w:rPr>
          <w:t>10</w:t>
        </w:r>
        <w:r w:rsidR="00BE1647">
          <w:rPr>
            <w:webHidden/>
          </w:rPr>
          <w:fldChar w:fldCharType="end"/>
        </w:r>
      </w:hyperlink>
    </w:p>
    <w:p w14:paraId="14C3A6A4" w14:textId="79532201" w:rsidR="00BE1647" w:rsidRDefault="00BF20DD">
      <w:pPr>
        <w:pStyle w:val="TOC2"/>
        <w:rPr>
          <w:rFonts w:asciiTheme="minorHAnsi" w:hAnsiTheme="minorHAnsi"/>
        </w:rPr>
      </w:pPr>
      <w:hyperlink w:anchor="_Toc10723899" w:history="1">
        <w:r w:rsidR="00BE1647" w:rsidRPr="002A01C0">
          <w:rPr>
            <w:rStyle w:val="Hyperlink"/>
          </w:rPr>
          <w:t>Section 1.6 – Certificates of compliance, existing use certificates and deemed permitted activities</w:t>
        </w:r>
        <w:r w:rsidR="00BE1647">
          <w:rPr>
            <w:webHidden/>
          </w:rPr>
          <w:tab/>
        </w:r>
        <w:r w:rsidR="00BE1647">
          <w:rPr>
            <w:webHidden/>
          </w:rPr>
          <w:fldChar w:fldCharType="begin"/>
        </w:r>
        <w:r w:rsidR="00BE1647">
          <w:rPr>
            <w:webHidden/>
          </w:rPr>
          <w:instrText xml:space="preserve"> PAGEREF _Toc10723899 \h </w:instrText>
        </w:r>
        <w:r w:rsidR="00BE1647">
          <w:rPr>
            <w:webHidden/>
          </w:rPr>
        </w:r>
        <w:r w:rsidR="00BE1647">
          <w:rPr>
            <w:webHidden/>
          </w:rPr>
          <w:fldChar w:fldCharType="separate"/>
        </w:r>
        <w:r>
          <w:rPr>
            <w:webHidden/>
          </w:rPr>
          <w:t>13</w:t>
        </w:r>
        <w:r w:rsidR="00BE1647">
          <w:rPr>
            <w:webHidden/>
          </w:rPr>
          <w:fldChar w:fldCharType="end"/>
        </w:r>
      </w:hyperlink>
    </w:p>
    <w:p w14:paraId="30DC8BB0" w14:textId="6001AE0C" w:rsidR="00BE1647" w:rsidRDefault="00BF20DD">
      <w:pPr>
        <w:pStyle w:val="TOC1"/>
        <w:rPr>
          <w:rFonts w:asciiTheme="minorHAnsi" w:hAnsiTheme="minorHAnsi"/>
          <w:noProof/>
        </w:rPr>
      </w:pPr>
      <w:hyperlink w:anchor="_Toc10723900" w:history="1">
        <w:r w:rsidR="00BE1647" w:rsidRPr="002A01C0">
          <w:rPr>
            <w:rStyle w:val="Hyperlink"/>
            <w:noProof/>
          </w:rPr>
          <w:t>Section 2.0 – Annual summary information</w:t>
        </w:r>
        <w:r w:rsidR="00BE1647">
          <w:rPr>
            <w:noProof/>
            <w:webHidden/>
          </w:rPr>
          <w:tab/>
        </w:r>
        <w:r w:rsidR="00BE1647">
          <w:rPr>
            <w:noProof/>
            <w:webHidden/>
          </w:rPr>
          <w:fldChar w:fldCharType="begin"/>
        </w:r>
        <w:r w:rsidR="00BE1647">
          <w:rPr>
            <w:noProof/>
            <w:webHidden/>
          </w:rPr>
          <w:instrText xml:space="preserve"> PAGEREF _Toc10723900 \h </w:instrText>
        </w:r>
        <w:r w:rsidR="00BE1647">
          <w:rPr>
            <w:noProof/>
            <w:webHidden/>
          </w:rPr>
        </w:r>
        <w:r w:rsidR="00BE1647">
          <w:rPr>
            <w:noProof/>
            <w:webHidden/>
          </w:rPr>
          <w:fldChar w:fldCharType="separate"/>
        </w:r>
        <w:r>
          <w:rPr>
            <w:noProof/>
            <w:webHidden/>
          </w:rPr>
          <w:t>14</w:t>
        </w:r>
        <w:r w:rsidR="00BE1647">
          <w:rPr>
            <w:noProof/>
            <w:webHidden/>
          </w:rPr>
          <w:fldChar w:fldCharType="end"/>
        </w:r>
      </w:hyperlink>
    </w:p>
    <w:p w14:paraId="17E7BBED" w14:textId="0D64FB9B" w:rsidR="00BE1647" w:rsidRDefault="00BF20DD">
      <w:pPr>
        <w:pStyle w:val="TOC2"/>
        <w:rPr>
          <w:rFonts w:asciiTheme="minorHAnsi" w:hAnsiTheme="minorHAnsi"/>
        </w:rPr>
      </w:pPr>
      <w:hyperlink w:anchor="_Toc10723901" w:history="1">
        <w:r w:rsidR="00BE1647" w:rsidRPr="002A01C0">
          <w:rPr>
            <w:rStyle w:val="Hyperlink"/>
          </w:rPr>
          <w:t>Section 2.1 – Iwi/hapū involvement</w:t>
        </w:r>
        <w:r w:rsidR="00BE1647">
          <w:rPr>
            <w:webHidden/>
          </w:rPr>
          <w:tab/>
        </w:r>
        <w:r w:rsidR="00BE1647">
          <w:rPr>
            <w:webHidden/>
          </w:rPr>
          <w:fldChar w:fldCharType="begin"/>
        </w:r>
        <w:r w:rsidR="00BE1647">
          <w:rPr>
            <w:webHidden/>
          </w:rPr>
          <w:instrText xml:space="preserve"> PAGEREF _Toc10723901 \h </w:instrText>
        </w:r>
        <w:r w:rsidR="00BE1647">
          <w:rPr>
            <w:webHidden/>
          </w:rPr>
        </w:r>
        <w:r w:rsidR="00BE1647">
          <w:rPr>
            <w:webHidden/>
          </w:rPr>
          <w:fldChar w:fldCharType="separate"/>
        </w:r>
        <w:r>
          <w:rPr>
            <w:webHidden/>
          </w:rPr>
          <w:t>14</w:t>
        </w:r>
        <w:r w:rsidR="00BE1647">
          <w:rPr>
            <w:webHidden/>
          </w:rPr>
          <w:fldChar w:fldCharType="end"/>
        </w:r>
      </w:hyperlink>
    </w:p>
    <w:p w14:paraId="30213689" w14:textId="25EC5AF0" w:rsidR="00BE1647" w:rsidRDefault="00BF20DD">
      <w:pPr>
        <w:pStyle w:val="TOC2"/>
        <w:rPr>
          <w:rFonts w:asciiTheme="minorHAnsi" w:hAnsiTheme="minorHAnsi"/>
        </w:rPr>
      </w:pPr>
      <w:hyperlink w:anchor="_Toc10723902" w:history="1">
        <w:r w:rsidR="00BE1647" w:rsidRPr="002A01C0">
          <w:rPr>
            <w:rStyle w:val="Hyperlink"/>
          </w:rPr>
          <w:t>Section 2.2 – Staff working on preparation of policy statements and plans, changes and variations</w:t>
        </w:r>
        <w:r w:rsidR="00BE1647">
          <w:rPr>
            <w:webHidden/>
          </w:rPr>
          <w:tab/>
        </w:r>
        <w:r w:rsidR="00BE1647">
          <w:rPr>
            <w:webHidden/>
          </w:rPr>
          <w:fldChar w:fldCharType="begin"/>
        </w:r>
        <w:r w:rsidR="00BE1647">
          <w:rPr>
            <w:webHidden/>
          </w:rPr>
          <w:instrText xml:space="preserve"> PAGEREF _Toc10723902 \h </w:instrText>
        </w:r>
        <w:r w:rsidR="00BE1647">
          <w:rPr>
            <w:webHidden/>
          </w:rPr>
        </w:r>
        <w:r w:rsidR="00BE1647">
          <w:rPr>
            <w:webHidden/>
          </w:rPr>
          <w:fldChar w:fldCharType="separate"/>
        </w:r>
        <w:r>
          <w:rPr>
            <w:webHidden/>
          </w:rPr>
          <w:t>14</w:t>
        </w:r>
        <w:r w:rsidR="00BE1647">
          <w:rPr>
            <w:webHidden/>
          </w:rPr>
          <w:fldChar w:fldCharType="end"/>
        </w:r>
      </w:hyperlink>
    </w:p>
    <w:p w14:paraId="0535EB88" w14:textId="258F7852" w:rsidR="00BE1647" w:rsidRDefault="00BF20DD">
      <w:pPr>
        <w:pStyle w:val="TOC2"/>
        <w:rPr>
          <w:rFonts w:asciiTheme="minorHAnsi" w:hAnsiTheme="minorHAnsi"/>
        </w:rPr>
      </w:pPr>
      <w:hyperlink w:anchor="_Toc10723903" w:history="1">
        <w:r w:rsidR="00BE1647" w:rsidRPr="002A01C0">
          <w:rPr>
            <w:rStyle w:val="Hyperlink"/>
          </w:rPr>
          <w:t>Section 2.3 – Staff processing resource consents</w:t>
        </w:r>
        <w:r w:rsidR="00BE1647">
          <w:rPr>
            <w:webHidden/>
          </w:rPr>
          <w:tab/>
        </w:r>
        <w:r w:rsidR="00BE1647">
          <w:rPr>
            <w:webHidden/>
          </w:rPr>
          <w:fldChar w:fldCharType="begin"/>
        </w:r>
        <w:r w:rsidR="00BE1647">
          <w:rPr>
            <w:webHidden/>
          </w:rPr>
          <w:instrText xml:space="preserve"> PAGEREF _Toc10723903 \h </w:instrText>
        </w:r>
        <w:r w:rsidR="00BE1647">
          <w:rPr>
            <w:webHidden/>
          </w:rPr>
        </w:r>
        <w:r w:rsidR="00BE1647">
          <w:rPr>
            <w:webHidden/>
          </w:rPr>
          <w:fldChar w:fldCharType="separate"/>
        </w:r>
        <w:r>
          <w:rPr>
            <w:webHidden/>
          </w:rPr>
          <w:t>15</w:t>
        </w:r>
        <w:r w:rsidR="00BE1647">
          <w:rPr>
            <w:webHidden/>
          </w:rPr>
          <w:fldChar w:fldCharType="end"/>
        </w:r>
      </w:hyperlink>
    </w:p>
    <w:p w14:paraId="00997802" w14:textId="1D3D7D9D" w:rsidR="00BE1647" w:rsidRDefault="00BF20DD">
      <w:pPr>
        <w:pStyle w:val="TOC2"/>
        <w:rPr>
          <w:rFonts w:asciiTheme="minorHAnsi" w:hAnsiTheme="minorHAnsi"/>
        </w:rPr>
      </w:pPr>
      <w:hyperlink w:anchor="_Toc10723904" w:history="1">
        <w:r w:rsidR="00BE1647" w:rsidRPr="002A01C0">
          <w:rPr>
            <w:rStyle w:val="Hyperlink"/>
          </w:rPr>
          <w:t>Section 2.4 – Customer satisfaction</w:t>
        </w:r>
        <w:r w:rsidR="00BE1647">
          <w:rPr>
            <w:webHidden/>
          </w:rPr>
          <w:tab/>
        </w:r>
        <w:r w:rsidR="00BE1647">
          <w:rPr>
            <w:webHidden/>
          </w:rPr>
          <w:fldChar w:fldCharType="begin"/>
        </w:r>
        <w:r w:rsidR="00BE1647">
          <w:rPr>
            <w:webHidden/>
          </w:rPr>
          <w:instrText xml:space="preserve"> PAGEREF _Toc10723904 \h </w:instrText>
        </w:r>
        <w:r w:rsidR="00BE1647">
          <w:rPr>
            <w:webHidden/>
          </w:rPr>
        </w:r>
        <w:r w:rsidR="00BE1647">
          <w:rPr>
            <w:webHidden/>
          </w:rPr>
          <w:fldChar w:fldCharType="separate"/>
        </w:r>
        <w:r>
          <w:rPr>
            <w:webHidden/>
          </w:rPr>
          <w:t>15</w:t>
        </w:r>
        <w:r w:rsidR="00BE1647">
          <w:rPr>
            <w:webHidden/>
          </w:rPr>
          <w:fldChar w:fldCharType="end"/>
        </w:r>
      </w:hyperlink>
    </w:p>
    <w:p w14:paraId="1A9D8FAA" w14:textId="7907C122" w:rsidR="00BE1647" w:rsidRDefault="00BF20DD">
      <w:pPr>
        <w:pStyle w:val="TOC2"/>
        <w:rPr>
          <w:rFonts w:asciiTheme="minorHAnsi" w:hAnsiTheme="minorHAnsi"/>
        </w:rPr>
      </w:pPr>
      <w:hyperlink w:anchor="_Toc10723905" w:history="1">
        <w:r w:rsidR="00BE1647" w:rsidRPr="002A01C0">
          <w:rPr>
            <w:rStyle w:val="Hyperlink"/>
          </w:rPr>
          <w:t>Section 2.5 – Notices of requirement (territorial authorities only)</w:t>
        </w:r>
        <w:r w:rsidR="00BE1647">
          <w:rPr>
            <w:webHidden/>
          </w:rPr>
          <w:tab/>
        </w:r>
        <w:r w:rsidR="00BE1647">
          <w:rPr>
            <w:webHidden/>
          </w:rPr>
          <w:fldChar w:fldCharType="begin"/>
        </w:r>
        <w:r w:rsidR="00BE1647">
          <w:rPr>
            <w:webHidden/>
          </w:rPr>
          <w:instrText xml:space="preserve"> PAGEREF _Toc10723905 \h </w:instrText>
        </w:r>
        <w:r w:rsidR="00BE1647">
          <w:rPr>
            <w:webHidden/>
          </w:rPr>
        </w:r>
        <w:r w:rsidR="00BE1647">
          <w:rPr>
            <w:webHidden/>
          </w:rPr>
          <w:fldChar w:fldCharType="separate"/>
        </w:r>
        <w:r>
          <w:rPr>
            <w:webHidden/>
          </w:rPr>
          <w:t>15</w:t>
        </w:r>
        <w:r w:rsidR="00BE1647">
          <w:rPr>
            <w:webHidden/>
          </w:rPr>
          <w:fldChar w:fldCharType="end"/>
        </w:r>
      </w:hyperlink>
    </w:p>
    <w:p w14:paraId="299D234F" w14:textId="5EDB65B6" w:rsidR="00BE1647" w:rsidRDefault="00BF20DD">
      <w:pPr>
        <w:pStyle w:val="TOC2"/>
        <w:rPr>
          <w:rFonts w:asciiTheme="minorHAnsi" w:hAnsiTheme="minorHAnsi"/>
        </w:rPr>
      </w:pPr>
      <w:hyperlink w:anchor="_Toc10723906" w:history="1">
        <w:r w:rsidR="00BE1647" w:rsidRPr="002A01C0">
          <w:rPr>
            <w:rStyle w:val="Hyperlink"/>
          </w:rPr>
          <w:t>Section 2.6 – Staff working on RMA compliance and enforcement</w:t>
        </w:r>
        <w:r w:rsidR="00BE1647">
          <w:rPr>
            <w:webHidden/>
          </w:rPr>
          <w:tab/>
        </w:r>
        <w:r w:rsidR="00BE1647">
          <w:rPr>
            <w:webHidden/>
          </w:rPr>
          <w:fldChar w:fldCharType="begin"/>
        </w:r>
        <w:r w:rsidR="00BE1647">
          <w:rPr>
            <w:webHidden/>
          </w:rPr>
          <w:instrText xml:space="preserve"> PAGEREF _Toc10723906 \h </w:instrText>
        </w:r>
        <w:r w:rsidR="00BE1647">
          <w:rPr>
            <w:webHidden/>
          </w:rPr>
        </w:r>
        <w:r w:rsidR="00BE1647">
          <w:rPr>
            <w:webHidden/>
          </w:rPr>
          <w:fldChar w:fldCharType="separate"/>
        </w:r>
        <w:r>
          <w:rPr>
            <w:webHidden/>
          </w:rPr>
          <w:t>15</w:t>
        </w:r>
        <w:r w:rsidR="00BE1647">
          <w:rPr>
            <w:webHidden/>
          </w:rPr>
          <w:fldChar w:fldCharType="end"/>
        </w:r>
      </w:hyperlink>
    </w:p>
    <w:p w14:paraId="0C6055AC" w14:textId="3FC70F6C" w:rsidR="00BE1647" w:rsidRDefault="00BF20DD">
      <w:pPr>
        <w:pStyle w:val="TOC2"/>
        <w:rPr>
          <w:rFonts w:asciiTheme="minorHAnsi" w:hAnsiTheme="minorHAnsi"/>
        </w:rPr>
      </w:pPr>
      <w:hyperlink w:anchor="_Toc10723907" w:history="1">
        <w:r w:rsidR="00BE1647" w:rsidRPr="002A01C0">
          <w:rPr>
            <w:rStyle w:val="Hyperlink"/>
          </w:rPr>
          <w:t>Section 2.7 – Other monitoring</w:t>
        </w:r>
        <w:r w:rsidR="00BE1647">
          <w:rPr>
            <w:webHidden/>
          </w:rPr>
          <w:tab/>
        </w:r>
        <w:r w:rsidR="00BE1647">
          <w:rPr>
            <w:webHidden/>
          </w:rPr>
          <w:fldChar w:fldCharType="begin"/>
        </w:r>
        <w:r w:rsidR="00BE1647">
          <w:rPr>
            <w:webHidden/>
          </w:rPr>
          <w:instrText xml:space="preserve"> PAGEREF _Toc10723907 \h </w:instrText>
        </w:r>
        <w:r w:rsidR="00BE1647">
          <w:rPr>
            <w:webHidden/>
          </w:rPr>
        </w:r>
        <w:r w:rsidR="00BE1647">
          <w:rPr>
            <w:webHidden/>
          </w:rPr>
          <w:fldChar w:fldCharType="separate"/>
        </w:r>
        <w:r>
          <w:rPr>
            <w:webHidden/>
          </w:rPr>
          <w:t>15</w:t>
        </w:r>
        <w:r w:rsidR="00BE1647">
          <w:rPr>
            <w:webHidden/>
          </w:rPr>
          <w:fldChar w:fldCharType="end"/>
        </w:r>
      </w:hyperlink>
    </w:p>
    <w:p w14:paraId="66C359A6" w14:textId="7CB4A910" w:rsidR="00BE1647" w:rsidRDefault="00BF20DD">
      <w:pPr>
        <w:pStyle w:val="TOC2"/>
        <w:rPr>
          <w:rFonts w:asciiTheme="minorHAnsi" w:hAnsiTheme="minorHAnsi"/>
        </w:rPr>
      </w:pPr>
      <w:hyperlink w:anchor="_Toc10723908" w:history="1">
        <w:r w:rsidR="00BE1647" w:rsidRPr="002A01C0">
          <w:rPr>
            <w:rStyle w:val="Hyperlink"/>
          </w:rPr>
          <w:t>Section 2.8 – Transfer of consents</w:t>
        </w:r>
        <w:r w:rsidR="00BE1647">
          <w:rPr>
            <w:webHidden/>
          </w:rPr>
          <w:tab/>
        </w:r>
        <w:r w:rsidR="00BE1647">
          <w:rPr>
            <w:webHidden/>
          </w:rPr>
          <w:fldChar w:fldCharType="begin"/>
        </w:r>
        <w:r w:rsidR="00BE1647">
          <w:rPr>
            <w:webHidden/>
          </w:rPr>
          <w:instrText xml:space="preserve"> PAGEREF _Toc10723908 \h </w:instrText>
        </w:r>
        <w:r w:rsidR="00BE1647">
          <w:rPr>
            <w:webHidden/>
          </w:rPr>
        </w:r>
        <w:r w:rsidR="00BE1647">
          <w:rPr>
            <w:webHidden/>
          </w:rPr>
          <w:fldChar w:fldCharType="separate"/>
        </w:r>
        <w:r>
          <w:rPr>
            <w:webHidden/>
          </w:rPr>
          <w:t>16</w:t>
        </w:r>
        <w:r w:rsidR="00BE1647">
          <w:rPr>
            <w:webHidden/>
          </w:rPr>
          <w:fldChar w:fldCharType="end"/>
        </w:r>
      </w:hyperlink>
    </w:p>
    <w:p w14:paraId="6F53134D" w14:textId="1C69B321" w:rsidR="00BE1647" w:rsidRDefault="00BF20DD">
      <w:pPr>
        <w:pStyle w:val="TOC2"/>
        <w:rPr>
          <w:rFonts w:asciiTheme="minorHAnsi" w:hAnsiTheme="minorHAnsi"/>
        </w:rPr>
      </w:pPr>
      <w:hyperlink w:anchor="_Toc10723909" w:history="1">
        <w:r w:rsidR="00BE1647" w:rsidRPr="002A01C0">
          <w:rPr>
            <w:rStyle w:val="Hyperlink"/>
          </w:rPr>
          <w:t>Section 2.9 – Resource consent monitoring and compliance</w:t>
        </w:r>
        <w:r w:rsidR="00BE1647">
          <w:rPr>
            <w:webHidden/>
          </w:rPr>
          <w:tab/>
        </w:r>
        <w:r w:rsidR="00BE1647">
          <w:rPr>
            <w:webHidden/>
          </w:rPr>
          <w:fldChar w:fldCharType="begin"/>
        </w:r>
        <w:r w:rsidR="00BE1647">
          <w:rPr>
            <w:webHidden/>
          </w:rPr>
          <w:instrText xml:space="preserve"> PAGEREF _Toc10723909 \h </w:instrText>
        </w:r>
        <w:r w:rsidR="00BE1647">
          <w:rPr>
            <w:webHidden/>
          </w:rPr>
        </w:r>
        <w:r w:rsidR="00BE1647">
          <w:rPr>
            <w:webHidden/>
          </w:rPr>
          <w:fldChar w:fldCharType="separate"/>
        </w:r>
        <w:r>
          <w:rPr>
            <w:webHidden/>
          </w:rPr>
          <w:t>16</w:t>
        </w:r>
        <w:r w:rsidR="00BE1647">
          <w:rPr>
            <w:webHidden/>
          </w:rPr>
          <w:fldChar w:fldCharType="end"/>
        </w:r>
      </w:hyperlink>
    </w:p>
    <w:p w14:paraId="611858F9" w14:textId="74DF3AC0" w:rsidR="00BE1647" w:rsidRDefault="00BF20DD">
      <w:pPr>
        <w:pStyle w:val="TOC2"/>
        <w:rPr>
          <w:rFonts w:asciiTheme="minorHAnsi" w:hAnsiTheme="minorHAnsi"/>
        </w:rPr>
      </w:pPr>
      <w:hyperlink w:anchor="_Toc10723910" w:history="1">
        <w:r w:rsidR="00BE1647" w:rsidRPr="002A01C0">
          <w:rPr>
            <w:rStyle w:val="Hyperlink"/>
          </w:rPr>
          <w:t>Section 2.10 – Complaints</w:t>
        </w:r>
        <w:r w:rsidR="00BE1647">
          <w:rPr>
            <w:webHidden/>
          </w:rPr>
          <w:tab/>
        </w:r>
        <w:r w:rsidR="00BE1647">
          <w:rPr>
            <w:webHidden/>
          </w:rPr>
          <w:fldChar w:fldCharType="begin"/>
        </w:r>
        <w:r w:rsidR="00BE1647">
          <w:rPr>
            <w:webHidden/>
          </w:rPr>
          <w:instrText xml:space="preserve"> PAGEREF _Toc10723910 \h </w:instrText>
        </w:r>
        <w:r w:rsidR="00BE1647">
          <w:rPr>
            <w:webHidden/>
          </w:rPr>
        </w:r>
        <w:r w:rsidR="00BE1647">
          <w:rPr>
            <w:webHidden/>
          </w:rPr>
          <w:fldChar w:fldCharType="separate"/>
        </w:r>
        <w:r>
          <w:rPr>
            <w:webHidden/>
          </w:rPr>
          <w:t>17</w:t>
        </w:r>
        <w:r w:rsidR="00BE1647">
          <w:rPr>
            <w:webHidden/>
          </w:rPr>
          <w:fldChar w:fldCharType="end"/>
        </w:r>
      </w:hyperlink>
    </w:p>
    <w:p w14:paraId="7E1A26CA" w14:textId="04F74EB4" w:rsidR="00BE1647" w:rsidRDefault="00BF20DD">
      <w:pPr>
        <w:pStyle w:val="TOC2"/>
        <w:rPr>
          <w:rFonts w:asciiTheme="minorHAnsi" w:hAnsiTheme="minorHAnsi"/>
        </w:rPr>
      </w:pPr>
      <w:hyperlink w:anchor="_Toc10723911" w:history="1">
        <w:r w:rsidR="00BE1647" w:rsidRPr="002A01C0">
          <w:rPr>
            <w:rStyle w:val="Hyperlink"/>
          </w:rPr>
          <w:t>Section 2.11 – Other activities</w:t>
        </w:r>
        <w:r w:rsidR="00BE1647">
          <w:rPr>
            <w:webHidden/>
          </w:rPr>
          <w:tab/>
        </w:r>
        <w:r w:rsidR="00BE1647">
          <w:rPr>
            <w:webHidden/>
          </w:rPr>
          <w:fldChar w:fldCharType="begin"/>
        </w:r>
        <w:r w:rsidR="00BE1647">
          <w:rPr>
            <w:webHidden/>
          </w:rPr>
          <w:instrText xml:space="preserve"> PAGEREF _Toc10723911 \h </w:instrText>
        </w:r>
        <w:r w:rsidR="00BE1647">
          <w:rPr>
            <w:webHidden/>
          </w:rPr>
        </w:r>
        <w:r w:rsidR="00BE1647">
          <w:rPr>
            <w:webHidden/>
          </w:rPr>
          <w:fldChar w:fldCharType="separate"/>
        </w:r>
        <w:r>
          <w:rPr>
            <w:webHidden/>
          </w:rPr>
          <w:t>18</w:t>
        </w:r>
        <w:r w:rsidR="00BE1647">
          <w:rPr>
            <w:webHidden/>
          </w:rPr>
          <w:fldChar w:fldCharType="end"/>
        </w:r>
      </w:hyperlink>
    </w:p>
    <w:p w14:paraId="4C4F0785" w14:textId="08047A48" w:rsidR="00BE1647" w:rsidRDefault="00BF20DD">
      <w:pPr>
        <w:pStyle w:val="TOC2"/>
        <w:rPr>
          <w:rFonts w:asciiTheme="minorHAnsi" w:hAnsiTheme="minorHAnsi"/>
        </w:rPr>
      </w:pPr>
      <w:hyperlink w:anchor="_Toc10723912" w:history="1">
        <w:r w:rsidR="00BE1647" w:rsidRPr="002A01C0">
          <w:rPr>
            <w:rStyle w:val="Hyperlink"/>
          </w:rPr>
          <w:t>Section 2.12 – Procedures</w:t>
        </w:r>
        <w:r w:rsidR="00BE1647">
          <w:rPr>
            <w:webHidden/>
          </w:rPr>
          <w:tab/>
        </w:r>
        <w:r w:rsidR="00BE1647">
          <w:rPr>
            <w:webHidden/>
          </w:rPr>
          <w:fldChar w:fldCharType="begin"/>
        </w:r>
        <w:r w:rsidR="00BE1647">
          <w:rPr>
            <w:webHidden/>
          </w:rPr>
          <w:instrText xml:space="preserve"> PAGEREF _Toc10723912 \h </w:instrText>
        </w:r>
        <w:r w:rsidR="00BE1647">
          <w:rPr>
            <w:webHidden/>
          </w:rPr>
        </w:r>
        <w:r w:rsidR="00BE1647">
          <w:rPr>
            <w:webHidden/>
          </w:rPr>
          <w:fldChar w:fldCharType="separate"/>
        </w:r>
        <w:r>
          <w:rPr>
            <w:webHidden/>
          </w:rPr>
          <w:t>18</w:t>
        </w:r>
        <w:r w:rsidR="00BE1647">
          <w:rPr>
            <w:webHidden/>
          </w:rPr>
          <w:fldChar w:fldCharType="end"/>
        </w:r>
      </w:hyperlink>
    </w:p>
    <w:p w14:paraId="0EE06823" w14:textId="104F9A54" w:rsidR="00BE1647" w:rsidRDefault="00BF20DD">
      <w:pPr>
        <w:pStyle w:val="TOC2"/>
        <w:rPr>
          <w:rFonts w:asciiTheme="minorHAnsi" w:hAnsiTheme="minorHAnsi"/>
        </w:rPr>
      </w:pPr>
      <w:hyperlink w:anchor="_Toc10723913" w:history="1">
        <w:r w:rsidR="00BE1647" w:rsidRPr="002A01C0">
          <w:rPr>
            <w:rStyle w:val="Hyperlink"/>
          </w:rPr>
          <w:t>Section 2.13 – Enforcement</w:t>
        </w:r>
        <w:r w:rsidR="00BE1647">
          <w:rPr>
            <w:webHidden/>
          </w:rPr>
          <w:tab/>
        </w:r>
        <w:r w:rsidR="00BE1647">
          <w:rPr>
            <w:webHidden/>
          </w:rPr>
          <w:fldChar w:fldCharType="begin"/>
        </w:r>
        <w:r w:rsidR="00BE1647">
          <w:rPr>
            <w:webHidden/>
          </w:rPr>
          <w:instrText xml:space="preserve"> PAGEREF _Toc10723913 \h </w:instrText>
        </w:r>
        <w:r w:rsidR="00BE1647">
          <w:rPr>
            <w:webHidden/>
          </w:rPr>
        </w:r>
        <w:r w:rsidR="00BE1647">
          <w:rPr>
            <w:webHidden/>
          </w:rPr>
          <w:fldChar w:fldCharType="separate"/>
        </w:r>
        <w:r>
          <w:rPr>
            <w:webHidden/>
          </w:rPr>
          <w:t>18</w:t>
        </w:r>
        <w:r w:rsidR="00BE1647">
          <w:rPr>
            <w:webHidden/>
          </w:rPr>
          <w:fldChar w:fldCharType="end"/>
        </w:r>
      </w:hyperlink>
    </w:p>
    <w:p w14:paraId="5207D2FE" w14:textId="2BB284BC" w:rsidR="00BE1647" w:rsidRDefault="00BF20DD">
      <w:pPr>
        <w:pStyle w:val="TOC2"/>
        <w:rPr>
          <w:rFonts w:asciiTheme="minorHAnsi" w:hAnsiTheme="minorHAnsi"/>
        </w:rPr>
      </w:pPr>
      <w:hyperlink w:anchor="_Toc10723914" w:history="1">
        <w:r w:rsidR="00BE1647" w:rsidRPr="002A01C0">
          <w:rPr>
            <w:rStyle w:val="Hyperlink"/>
          </w:rPr>
          <w:t>Section 2.14 – National Environmental Standard for Assessing and Managing Contaminants in Soil to Protect Human Health</w:t>
        </w:r>
        <w:r w:rsidR="00BE1647">
          <w:rPr>
            <w:webHidden/>
          </w:rPr>
          <w:tab/>
        </w:r>
        <w:r w:rsidR="00BE1647">
          <w:rPr>
            <w:webHidden/>
          </w:rPr>
          <w:fldChar w:fldCharType="begin"/>
        </w:r>
        <w:r w:rsidR="00BE1647">
          <w:rPr>
            <w:webHidden/>
          </w:rPr>
          <w:instrText xml:space="preserve"> PAGEREF _Toc10723914 \h </w:instrText>
        </w:r>
        <w:r w:rsidR="00BE1647">
          <w:rPr>
            <w:webHidden/>
          </w:rPr>
        </w:r>
        <w:r w:rsidR="00BE1647">
          <w:rPr>
            <w:webHidden/>
          </w:rPr>
          <w:fldChar w:fldCharType="separate"/>
        </w:r>
        <w:r>
          <w:rPr>
            <w:webHidden/>
          </w:rPr>
          <w:t>18</w:t>
        </w:r>
        <w:r w:rsidR="00BE1647">
          <w:rPr>
            <w:webHidden/>
          </w:rPr>
          <w:fldChar w:fldCharType="end"/>
        </w:r>
      </w:hyperlink>
    </w:p>
    <w:p w14:paraId="113630AB" w14:textId="232AE88A" w:rsidR="00BE1647" w:rsidRDefault="00BF20DD">
      <w:pPr>
        <w:pStyle w:val="TOC2"/>
        <w:rPr>
          <w:rFonts w:asciiTheme="minorHAnsi" w:hAnsiTheme="minorHAnsi"/>
        </w:rPr>
      </w:pPr>
      <w:hyperlink w:anchor="_Toc10723915" w:history="1">
        <w:r w:rsidR="00BE1647" w:rsidRPr="002A01C0">
          <w:rPr>
            <w:rStyle w:val="Hyperlink"/>
          </w:rPr>
          <w:t>Section 2.15 – National Environmental Standards for Plantation Forestry</w:t>
        </w:r>
        <w:r w:rsidR="00BE1647">
          <w:rPr>
            <w:webHidden/>
          </w:rPr>
          <w:tab/>
        </w:r>
        <w:r w:rsidR="00BE1647">
          <w:rPr>
            <w:webHidden/>
          </w:rPr>
          <w:fldChar w:fldCharType="begin"/>
        </w:r>
        <w:r w:rsidR="00BE1647">
          <w:rPr>
            <w:webHidden/>
          </w:rPr>
          <w:instrText xml:space="preserve"> PAGEREF _Toc10723915 \h </w:instrText>
        </w:r>
        <w:r w:rsidR="00BE1647">
          <w:rPr>
            <w:webHidden/>
          </w:rPr>
        </w:r>
        <w:r w:rsidR="00BE1647">
          <w:rPr>
            <w:webHidden/>
          </w:rPr>
          <w:fldChar w:fldCharType="separate"/>
        </w:r>
        <w:r>
          <w:rPr>
            <w:webHidden/>
          </w:rPr>
          <w:t>19</w:t>
        </w:r>
        <w:r w:rsidR="00BE1647">
          <w:rPr>
            <w:webHidden/>
          </w:rPr>
          <w:fldChar w:fldCharType="end"/>
        </w:r>
      </w:hyperlink>
    </w:p>
    <w:p w14:paraId="5078FB78" w14:textId="404D4FD6" w:rsidR="00C57A42" w:rsidRPr="00936F4F" w:rsidRDefault="00C57A42" w:rsidP="00C57A42">
      <w:pPr>
        <w:jc w:val="left"/>
        <w:sectPr w:rsidR="00C57A42" w:rsidRPr="00936F4F" w:rsidSect="0028498A">
          <w:endnotePr>
            <w:numFmt w:val="decimal"/>
          </w:endnotePr>
          <w:pgSz w:w="11907" w:h="16840" w:code="9"/>
          <w:pgMar w:top="1134" w:right="1418" w:bottom="1134" w:left="1418" w:header="567" w:footer="567" w:gutter="567"/>
          <w:cols w:space="720"/>
        </w:sectPr>
      </w:pPr>
      <w:r w:rsidRPr="000D590B">
        <w:fldChar w:fldCharType="end"/>
      </w:r>
    </w:p>
    <w:p w14:paraId="49F32448" w14:textId="77777777" w:rsidR="00355710" w:rsidRDefault="00355710" w:rsidP="00557EAC">
      <w:pPr>
        <w:pStyle w:val="Heading1"/>
      </w:pPr>
      <w:bookmarkStart w:id="2" w:name="_Toc10723888"/>
      <w:r>
        <w:br w:type="page"/>
      </w:r>
    </w:p>
    <w:p w14:paraId="4C5409D4" w14:textId="09EC512F" w:rsidR="00C57A42" w:rsidRPr="00936F4F" w:rsidRDefault="00C57A42" w:rsidP="00557EAC">
      <w:pPr>
        <w:pStyle w:val="Heading1"/>
      </w:pPr>
      <w:r w:rsidRPr="00936F4F">
        <w:lastRenderedPageBreak/>
        <w:t>Background</w:t>
      </w:r>
      <w:bookmarkEnd w:id="2"/>
    </w:p>
    <w:p w14:paraId="4F09DEAF" w14:textId="77777777" w:rsidR="00C57A42" w:rsidRPr="009B6794" w:rsidRDefault="00C57A42" w:rsidP="00557EAC">
      <w:pPr>
        <w:pStyle w:val="Default"/>
        <w:spacing w:after="200" w:line="276" w:lineRule="auto"/>
        <w:rPr>
          <w:sz w:val="22"/>
        </w:rPr>
      </w:pPr>
      <w:r w:rsidRPr="009B6794">
        <w:rPr>
          <w:sz w:val="22"/>
        </w:rPr>
        <w:t xml:space="preserve">The Government, regulators, businesses, iwi/Māori and the general public need confidence and assurance that the country’s resources are being effectively and sustainably managed through the Resource Management Act 1991 (RMA). To ensure this, we monitor the implementation, efficiency and effectiveness of the RMA. </w:t>
      </w:r>
    </w:p>
    <w:p w14:paraId="48B0C327" w14:textId="77777777" w:rsidR="00C57A42" w:rsidRPr="00B10289" w:rsidRDefault="00C57A42" w:rsidP="00557EAC">
      <w:pPr>
        <w:pStyle w:val="BodyText"/>
      </w:pPr>
      <w:r w:rsidRPr="00B10289">
        <w:t>The National Monitoring System (NMS) is the method the Ministry for the Environment (the Ministry) uses to capture information on the implementation of the RMA. This information allows us to understand whether the functions, tools and processes included within the RMA are working as intended, and whether changes might be necessary.</w:t>
      </w:r>
    </w:p>
    <w:p w14:paraId="403B985E" w14:textId="77777777" w:rsidR="00C57A42" w:rsidRPr="00B10289" w:rsidRDefault="00C57A42" w:rsidP="00557EAC">
      <w:pPr>
        <w:pStyle w:val="BodyText"/>
      </w:pPr>
      <w:r w:rsidRPr="00B10289">
        <w:t>More specifically, the information gathered by the NMS helps us to:</w:t>
      </w:r>
    </w:p>
    <w:p w14:paraId="495128E3" w14:textId="77777777" w:rsidR="00C57A42" w:rsidRPr="008F7838" w:rsidRDefault="00C57A42" w:rsidP="00557EAC">
      <w:pPr>
        <w:pStyle w:val="Bullet"/>
        <w:jc w:val="left"/>
      </w:pPr>
      <w:r w:rsidRPr="008F7838">
        <w:t>develop policy and practice with improved evidence</w:t>
      </w:r>
    </w:p>
    <w:p w14:paraId="499A6508" w14:textId="77777777" w:rsidR="00C57A42" w:rsidRPr="008F7838" w:rsidRDefault="00C57A42" w:rsidP="00557EAC">
      <w:pPr>
        <w:pStyle w:val="Bullet"/>
        <w:jc w:val="left"/>
      </w:pPr>
      <w:r w:rsidRPr="008F7838">
        <w:t>measure the success of RMA reforms and implementation</w:t>
      </w:r>
    </w:p>
    <w:p w14:paraId="4322B235" w14:textId="77777777" w:rsidR="00C57A42" w:rsidRPr="008F7838" w:rsidRDefault="00C57A42" w:rsidP="00557EAC">
      <w:pPr>
        <w:pStyle w:val="Bullet"/>
        <w:jc w:val="left"/>
      </w:pPr>
      <w:r w:rsidRPr="008F7838">
        <w:t>determine if common concerns and perceptions of the RMA are accurate</w:t>
      </w:r>
    </w:p>
    <w:p w14:paraId="251B6DFA" w14:textId="77777777" w:rsidR="00C57A42" w:rsidRPr="008F7838" w:rsidRDefault="00C57A42" w:rsidP="00557EAC">
      <w:pPr>
        <w:pStyle w:val="Bullet"/>
        <w:jc w:val="left"/>
      </w:pPr>
      <w:r w:rsidRPr="008F7838">
        <w:t>identify examples of good practice that can be shared and promoted.</w:t>
      </w:r>
    </w:p>
    <w:p w14:paraId="2856D7AE" w14:textId="77777777" w:rsidR="00C57A42" w:rsidRPr="00B10289" w:rsidRDefault="00C57A42" w:rsidP="00557EAC">
      <w:pPr>
        <w:pStyle w:val="Bullet"/>
        <w:numPr>
          <w:ilvl w:val="0"/>
          <w:numId w:val="0"/>
        </w:numPr>
        <w:jc w:val="left"/>
      </w:pPr>
      <w:r w:rsidRPr="00B10289">
        <w:t xml:space="preserve">Each year, under </w:t>
      </w:r>
      <w:hyperlink r:id="rId11" w:history="1">
        <w:r w:rsidR="008B7F7A" w:rsidRPr="003B4C97">
          <w:rPr>
            <w:rStyle w:val="Hyperlink"/>
            <w:szCs w:val="22"/>
          </w:rPr>
          <w:t>s</w:t>
        </w:r>
        <w:r w:rsidR="000C5A50" w:rsidRPr="003B4C97">
          <w:rPr>
            <w:rStyle w:val="Hyperlink"/>
            <w:szCs w:val="22"/>
          </w:rPr>
          <w:t xml:space="preserve">ection </w:t>
        </w:r>
        <w:r w:rsidRPr="003B4C97">
          <w:rPr>
            <w:rStyle w:val="Hyperlink"/>
            <w:szCs w:val="22"/>
          </w:rPr>
          <w:t>27 of the RMA</w:t>
        </w:r>
      </w:hyperlink>
      <w:r w:rsidRPr="00B10289">
        <w:t xml:space="preserve">, the Minister for the Environment (and the Ministry by delegation) formally requests that your </w:t>
      </w:r>
      <w:r>
        <w:t>council</w:t>
      </w:r>
      <w:r w:rsidRPr="00B10289">
        <w:t xml:space="preserve"> supply the relevant data. More details about the NMS can be found on the Ministry’s website: </w:t>
      </w:r>
      <w:hyperlink r:id="rId12" w:history="1">
        <w:r w:rsidRPr="003B4C97">
          <w:rPr>
            <w:rStyle w:val="Hyperlink"/>
            <w:szCs w:val="22"/>
          </w:rPr>
          <w:t>www.mfe.govt.nz/rma/rma-monitoring</w:t>
        </w:r>
      </w:hyperlink>
      <w:r w:rsidRPr="000D5170">
        <w:rPr>
          <w:szCs w:val="22"/>
        </w:rPr>
        <w:t>.</w:t>
      </w:r>
    </w:p>
    <w:p w14:paraId="269CE91B" w14:textId="77777777" w:rsidR="00C57A42" w:rsidRPr="00936F4F" w:rsidRDefault="00C57A42" w:rsidP="00557EAC">
      <w:pPr>
        <w:pStyle w:val="BodyText"/>
      </w:pPr>
      <w:r w:rsidRPr="00936F4F">
        <w:br w:type="page"/>
      </w:r>
    </w:p>
    <w:p w14:paraId="6CA781CE" w14:textId="77777777" w:rsidR="00C57A42" w:rsidRPr="00936F4F" w:rsidRDefault="00C57A42" w:rsidP="00557EAC">
      <w:pPr>
        <w:pStyle w:val="Heading1"/>
      </w:pPr>
      <w:bookmarkStart w:id="3" w:name="_Toc10723889"/>
      <w:r>
        <w:lastRenderedPageBreak/>
        <w:t xml:space="preserve">How to use </w:t>
      </w:r>
      <w:r w:rsidRPr="00936F4F">
        <w:t>this guide</w:t>
      </w:r>
      <w:bookmarkEnd w:id="3"/>
    </w:p>
    <w:p w14:paraId="712BA33C" w14:textId="77777777" w:rsidR="00C57A42" w:rsidRPr="00936F4F" w:rsidRDefault="00C57A42" w:rsidP="00557EAC">
      <w:pPr>
        <w:pStyle w:val="BodyText"/>
      </w:pPr>
      <w:r w:rsidRPr="00936F4F">
        <w:t xml:space="preserve">This guide </w:t>
      </w:r>
      <w:r>
        <w:t>explains how to populate</w:t>
      </w:r>
      <w:r w:rsidRPr="00936F4F">
        <w:t xml:space="preserve"> the Microsoft Excel Template (</w:t>
      </w:r>
      <w:r>
        <w:t xml:space="preserve">the </w:t>
      </w:r>
      <w:r w:rsidRPr="00936F4F">
        <w:t>template), which has been provided</w:t>
      </w:r>
      <w:r>
        <w:t xml:space="preserve"> to your council. </w:t>
      </w:r>
      <w:r w:rsidRPr="00936F4F">
        <w:t xml:space="preserve">A copy of the template can also be found on the NMS webpage: </w:t>
      </w:r>
      <w:hyperlink r:id="rId13" w:history="1">
        <w:r w:rsidRPr="00763DF7">
          <w:rPr>
            <w:rStyle w:val="Hyperlink"/>
          </w:rPr>
          <w:t>www.mfe.govt.nz/rma/rma-monitoring-and-reporting/information-requirements</w:t>
        </w:r>
      </w:hyperlink>
      <w:r w:rsidRPr="00936F4F">
        <w:t>.</w:t>
      </w:r>
    </w:p>
    <w:p w14:paraId="3222281D" w14:textId="77777777" w:rsidR="00C57A42" w:rsidRDefault="00C57A42" w:rsidP="00557EAC">
      <w:pPr>
        <w:pStyle w:val="BodyText"/>
      </w:pPr>
      <w:r w:rsidRPr="00936F4F">
        <w:t xml:space="preserve">The template </w:t>
      </w:r>
      <w:r>
        <w:t>sets out</w:t>
      </w:r>
      <w:r w:rsidRPr="00936F4F">
        <w:t xml:space="preserve"> the </w:t>
      </w:r>
      <w:r>
        <w:t xml:space="preserve">information that is being collected </w:t>
      </w:r>
      <w:r w:rsidRPr="00936F4F">
        <w:t xml:space="preserve">for the </w:t>
      </w:r>
      <w:r>
        <w:t>2018/19</w:t>
      </w:r>
      <w:r w:rsidRPr="00936F4F">
        <w:t xml:space="preserve"> financial year, as well as appropriate responses to each data field. </w:t>
      </w:r>
    </w:p>
    <w:p w14:paraId="6369A8FD" w14:textId="77777777" w:rsidR="00C57A42" w:rsidRPr="00936F4F" w:rsidRDefault="00C57A42" w:rsidP="00557EAC">
      <w:pPr>
        <w:pStyle w:val="BodyText"/>
      </w:pPr>
      <w:r>
        <w:t xml:space="preserve">This document </w:t>
      </w:r>
      <w:r w:rsidRPr="00936F4F">
        <w:t>provides</w:t>
      </w:r>
      <w:r>
        <w:t xml:space="preserve"> an overview of the different sections of the NMS, and guidance on some of the more complex information requirements. It is designed to be read in conjunction with the template.</w:t>
      </w:r>
    </w:p>
    <w:p w14:paraId="6784E48C" w14:textId="77777777" w:rsidR="00C57A42" w:rsidRPr="00936F4F" w:rsidRDefault="00C57A42" w:rsidP="00557EAC">
      <w:pPr>
        <w:pStyle w:val="BodyText"/>
      </w:pPr>
      <w:r w:rsidRPr="00936F4F">
        <w:t xml:space="preserve">If you have </w:t>
      </w:r>
      <w:r>
        <w:t xml:space="preserve">any </w:t>
      </w:r>
      <w:r w:rsidRPr="00936F4F">
        <w:t>questions or need assistance</w:t>
      </w:r>
      <w:r>
        <w:t xml:space="preserve"> with filling in the template or submitting your data</w:t>
      </w:r>
      <w:r w:rsidRPr="00936F4F">
        <w:t xml:space="preserve">, </w:t>
      </w:r>
      <w:r>
        <w:t>do not hesitate to either</w:t>
      </w:r>
      <w:r w:rsidRPr="00936F4F">
        <w:t xml:space="preserve"> email </w:t>
      </w:r>
      <w:hyperlink r:id="rId14" w:history="1">
        <w:r w:rsidRPr="00936F4F">
          <w:rPr>
            <w:rStyle w:val="Hyperlink"/>
          </w:rPr>
          <w:t>nms@mfe.govt.nz</w:t>
        </w:r>
      </w:hyperlink>
      <w:r w:rsidRPr="00936F4F">
        <w:t xml:space="preserve"> or phone the National Monitoring System team on </w:t>
      </w:r>
      <w:r>
        <w:t>022 069 0579</w:t>
      </w:r>
      <w:r w:rsidRPr="00936F4F">
        <w:t>.</w:t>
      </w:r>
    </w:p>
    <w:p w14:paraId="7040CB9D" w14:textId="77777777" w:rsidR="00C57A42" w:rsidRPr="00801F13" w:rsidRDefault="00C57A42" w:rsidP="00557EAC">
      <w:pPr>
        <w:jc w:val="left"/>
        <w:rPr>
          <w:rFonts w:eastAsiaTheme="majorEastAsia" w:cstheme="majorBidi"/>
          <w:b/>
          <w:bCs/>
          <w:color w:val="1C556C"/>
          <w:sz w:val="32"/>
          <w:szCs w:val="26"/>
        </w:rPr>
      </w:pPr>
      <w:r w:rsidRPr="00936F4F">
        <w:br w:type="page"/>
      </w:r>
    </w:p>
    <w:p w14:paraId="00D03070" w14:textId="77777777" w:rsidR="00C57A42" w:rsidRPr="00936F4F" w:rsidRDefault="00C57A42" w:rsidP="00557EAC">
      <w:pPr>
        <w:pStyle w:val="Heading1"/>
      </w:pPr>
      <w:bookmarkStart w:id="4" w:name="_Toc10723890"/>
      <w:r>
        <w:lastRenderedPageBreak/>
        <w:t>How do I provide the NMS data?</w:t>
      </w:r>
      <w:bookmarkEnd w:id="4"/>
    </w:p>
    <w:p w14:paraId="4DDEE977" w14:textId="77777777" w:rsidR="00C57A42" w:rsidRPr="00936F4F" w:rsidRDefault="00C57A42" w:rsidP="00557EAC">
      <w:pPr>
        <w:pStyle w:val="BodyText"/>
      </w:pPr>
      <w:r w:rsidRPr="00936F4F">
        <w:t xml:space="preserve">As with previous years, </w:t>
      </w:r>
      <w:r>
        <w:rPr>
          <w:color w:val="000000" w:themeColor="text1"/>
        </w:rPr>
        <w:t xml:space="preserve">we have provided a </w:t>
      </w:r>
      <w:hyperlink r:id="rId15" w:history="1">
        <w:r w:rsidRPr="00285077">
          <w:rPr>
            <w:rStyle w:val="Hyperlink"/>
          </w:rPr>
          <w:t>Microsoft Excel template</w:t>
        </w:r>
      </w:hyperlink>
      <w:r w:rsidRPr="00936F4F">
        <w:t xml:space="preserve"> </w:t>
      </w:r>
      <w:r>
        <w:t xml:space="preserve">(which has </w:t>
      </w:r>
      <w:r w:rsidR="006A3703">
        <w:t xml:space="preserve">also </w:t>
      </w:r>
      <w:r>
        <w:t xml:space="preserve">been sent </w:t>
      </w:r>
      <w:r w:rsidRPr="00936F4F">
        <w:t>to your local authority</w:t>
      </w:r>
      <w:r>
        <w:t>)</w:t>
      </w:r>
      <w:r w:rsidRPr="00936F4F">
        <w:t xml:space="preserve"> </w:t>
      </w:r>
      <w:r>
        <w:t>to use when you submit your d</w:t>
      </w:r>
      <w:r w:rsidRPr="00936F4F">
        <w:t>ata.</w:t>
      </w:r>
    </w:p>
    <w:p w14:paraId="7BAF5D95" w14:textId="77777777" w:rsidR="00C57A42" w:rsidRPr="00936F4F" w:rsidRDefault="00C57A42" w:rsidP="00557EAC">
      <w:pPr>
        <w:pStyle w:val="BodyText"/>
      </w:pPr>
      <w:r w:rsidRPr="00936F4F">
        <w:t>Information can be provided as a data extract from your system provided it is in Microsoft Excel or CSV format. Where only partial information can be extracted from your system, the additional information will need to be entered manually before the data is submitted. Alternatively, all information can be manually entered into the template provided.</w:t>
      </w:r>
    </w:p>
    <w:p w14:paraId="11A62341" w14:textId="77777777" w:rsidR="00C57A42" w:rsidRDefault="00C57A42" w:rsidP="00557EAC">
      <w:pPr>
        <w:pStyle w:val="BodyText"/>
      </w:pPr>
      <w:r>
        <w:t>So that we can provide you with timely feedback, please ensure that</w:t>
      </w:r>
      <w:r w:rsidRPr="00936F4F">
        <w:t xml:space="preserve"> </w:t>
      </w:r>
      <w:r>
        <w:t xml:space="preserve">your entries </w:t>
      </w:r>
      <w:r w:rsidRPr="00936F4F">
        <w:t>match</w:t>
      </w:r>
      <w:r>
        <w:t xml:space="preserve">es one of the list of acceptable responses, supplied </w:t>
      </w:r>
      <w:r w:rsidRPr="00936F4F">
        <w:t>in the template.</w:t>
      </w:r>
      <w:r>
        <w:t xml:space="preserve"> </w:t>
      </w:r>
      <w:r w:rsidRPr="00936F4F">
        <w:t xml:space="preserve">These acceptable responses reflect the wording of the RMA or common </w:t>
      </w:r>
      <w:r>
        <w:t>practice. Giving different responses causes problems</w:t>
      </w:r>
      <w:r w:rsidRPr="00936F4F">
        <w:t xml:space="preserve"> for </w:t>
      </w:r>
      <w:r>
        <w:t>our</w:t>
      </w:r>
      <w:r w:rsidRPr="00936F4F">
        <w:t xml:space="preserve"> data validation process</w:t>
      </w:r>
      <w:r>
        <w:t xml:space="preserve"> and makes data analysis difficult. All dates should be provided in dd/mm/yyyy format. </w:t>
      </w:r>
    </w:p>
    <w:p w14:paraId="2DA32D7C" w14:textId="77777777" w:rsidR="00C57A42" w:rsidRDefault="00C57A42" w:rsidP="00557EAC">
      <w:pPr>
        <w:pStyle w:val="BodyText"/>
      </w:pPr>
      <w:r w:rsidRPr="00936F4F">
        <w:t xml:space="preserve">If you </w:t>
      </w:r>
      <w:r>
        <w:t xml:space="preserve">wish to provide any other </w:t>
      </w:r>
      <w:r w:rsidRPr="00936F4F">
        <w:t>comments about your data</w:t>
      </w:r>
      <w:r>
        <w:t>, please email these comments to us when you send us the Microsoft Excel template</w:t>
      </w:r>
      <w:r w:rsidRPr="00936F4F">
        <w:t>.</w:t>
      </w:r>
      <w:r>
        <w:t xml:space="preserve"> Please do not u</w:t>
      </w:r>
      <w:r w:rsidRPr="00936F4F">
        <w:t xml:space="preserve">se the Microsoft Excel ‘comments’ tool embedded within the relevant cells as these are </w:t>
      </w:r>
      <w:r>
        <w:t xml:space="preserve">not picked up </w:t>
      </w:r>
      <w:r w:rsidRPr="00936F4F">
        <w:t>through our data validation process.</w:t>
      </w:r>
    </w:p>
    <w:p w14:paraId="6814C2B7" w14:textId="77777777" w:rsidR="00C57A42" w:rsidRPr="00936F4F" w:rsidRDefault="00C57A42" w:rsidP="00557EAC">
      <w:pPr>
        <w:pStyle w:val="BodyText"/>
      </w:pPr>
      <w:r w:rsidRPr="00936F4F">
        <w:br w:type="page"/>
      </w:r>
    </w:p>
    <w:p w14:paraId="7F7ECA0E" w14:textId="77777777" w:rsidR="00C57A42" w:rsidRPr="00936F4F" w:rsidRDefault="00C57A42" w:rsidP="00557EAC">
      <w:pPr>
        <w:pStyle w:val="Heading1"/>
      </w:pPr>
      <w:bookmarkStart w:id="5" w:name="_Toc10723891"/>
      <w:r>
        <w:lastRenderedPageBreak/>
        <w:t>Where and when do I submit the data?</w:t>
      </w:r>
      <w:bookmarkEnd w:id="5"/>
    </w:p>
    <w:p w14:paraId="3E1A8AA6" w14:textId="77777777" w:rsidR="00C57A42" w:rsidRDefault="00C57A42" w:rsidP="00557EAC">
      <w:pPr>
        <w:pStyle w:val="BodyText"/>
      </w:pPr>
      <w:r>
        <w:t>This year we’ve extended the deadline. T</w:t>
      </w:r>
      <w:r w:rsidRPr="00936F4F">
        <w:t>he 201</w:t>
      </w:r>
      <w:r>
        <w:t>8</w:t>
      </w:r>
      <w:r w:rsidRPr="00936F4F">
        <w:t>/1</w:t>
      </w:r>
      <w:r>
        <w:t>9</w:t>
      </w:r>
      <w:r w:rsidRPr="00936F4F">
        <w:t xml:space="preserve"> NMS data is </w:t>
      </w:r>
      <w:r>
        <w:t xml:space="preserve">due for submission to the Ministry by </w:t>
      </w:r>
      <w:r w:rsidRPr="000D590B">
        <w:rPr>
          <w:b/>
        </w:rPr>
        <w:t>31 August 2019</w:t>
      </w:r>
      <w:r>
        <w:rPr>
          <w:b/>
        </w:rPr>
        <w:t xml:space="preserve">. </w:t>
      </w:r>
      <w:r w:rsidRPr="00936F4F">
        <w:t xml:space="preserve">The information should be </w:t>
      </w:r>
      <w:r>
        <w:t xml:space="preserve">emailed </w:t>
      </w:r>
      <w:r w:rsidRPr="00936F4F">
        <w:t xml:space="preserve">to </w:t>
      </w:r>
      <w:hyperlink r:id="rId16" w:history="1"/>
      <w:hyperlink r:id="rId17" w:history="1">
        <w:r w:rsidRPr="00936F4F">
          <w:rPr>
            <w:rStyle w:val="Hyperlink"/>
          </w:rPr>
          <w:t>nms@mfe.govt.nz</w:t>
        </w:r>
      </w:hyperlink>
      <w:r>
        <w:t>.</w:t>
      </w:r>
    </w:p>
    <w:p w14:paraId="1B45DD0C" w14:textId="77777777" w:rsidR="00C57A42" w:rsidRDefault="00C57A42" w:rsidP="00557EAC">
      <w:pPr>
        <w:pStyle w:val="BodyText"/>
      </w:pPr>
      <w:r w:rsidRPr="00936F4F">
        <w:t>Once your data has been submitted, you will receive an email acknowledging receipt of the data from the Ministry. We will then begin a process to validate the data.</w:t>
      </w:r>
      <w:r>
        <w:t xml:space="preserve"> </w:t>
      </w:r>
      <w:r w:rsidRPr="00936F4F">
        <w:t xml:space="preserve">Once </w:t>
      </w:r>
      <w:r>
        <w:t xml:space="preserve">we </w:t>
      </w:r>
      <w:r w:rsidRPr="00936F4F">
        <w:t>complete</w:t>
      </w:r>
      <w:r>
        <w:t xml:space="preserve"> this process, you may be asked to clarify or amend </w:t>
      </w:r>
      <w:r w:rsidRPr="00936F4F">
        <w:t xml:space="preserve">your data </w:t>
      </w:r>
      <w:r>
        <w:t xml:space="preserve">based on any issues the validation process has </w:t>
      </w:r>
      <w:r w:rsidRPr="00936F4F">
        <w:t>identified.</w:t>
      </w:r>
      <w:r>
        <w:t xml:space="preserve"> </w:t>
      </w:r>
      <w:r w:rsidRPr="00936F4F">
        <w:t xml:space="preserve">Once </w:t>
      </w:r>
      <w:r>
        <w:t>these issues have been resolved</w:t>
      </w:r>
      <w:r w:rsidRPr="00936F4F">
        <w:t xml:space="preserve"> or clarified, the data </w:t>
      </w:r>
      <w:r>
        <w:t xml:space="preserve">will be added to the national dataset. </w:t>
      </w:r>
    </w:p>
    <w:p w14:paraId="623DC78F" w14:textId="77777777" w:rsidR="00C57A42" w:rsidRDefault="00C57A42" w:rsidP="00557EAC">
      <w:pPr>
        <w:pStyle w:val="BodyText"/>
      </w:pPr>
      <w:r>
        <w:rPr>
          <w:noProof/>
        </w:rPr>
        <mc:AlternateContent>
          <mc:Choice Requires="wps">
            <w:drawing>
              <wp:anchor distT="0" distB="0" distL="114300" distR="114300" simplePos="0" relativeHeight="251659264" behindDoc="0" locked="0" layoutInCell="1" allowOverlap="1" wp14:anchorId="711A0A49" wp14:editId="0F0991C0">
                <wp:simplePos x="0" y="0"/>
                <wp:positionH relativeFrom="margin">
                  <wp:posOffset>-29162</wp:posOffset>
                </wp:positionH>
                <wp:positionV relativeFrom="paragraph">
                  <wp:posOffset>279244</wp:posOffset>
                </wp:positionV>
                <wp:extent cx="5339751" cy="878205"/>
                <wp:effectExtent l="0" t="0" r="13335" b="17145"/>
                <wp:wrapNone/>
                <wp:docPr id="4" name="Text Box 4"/>
                <wp:cNvGraphicFramePr/>
                <a:graphic xmlns:a="http://schemas.openxmlformats.org/drawingml/2006/main">
                  <a:graphicData uri="http://schemas.microsoft.com/office/word/2010/wordprocessingShape">
                    <wps:wsp>
                      <wps:cNvSpPr txBox="1"/>
                      <wps:spPr>
                        <a:xfrm>
                          <a:off x="0" y="0"/>
                          <a:ext cx="5339751" cy="878205"/>
                        </a:xfrm>
                        <a:prstGeom prst="rect">
                          <a:avLst/>
                        </a:prstGeom>
                        <a:ln w="19050">
                          <a:solidFill>
                            <a:srgbClr val="1C556C"/>
                          </a:solidFill>
                        </a:ln>
                      </wps:spPr>
                      <wps:style>
                        <a:lnRef idx="2">
                          <a:schemeClr val="accent1"/>
                        </a:lnRef>
                        <a:fillRef idx="1">
                          <a:schemeClr val="lt1"/>
                        </a:fillRef>
                        <a:effectRef idx="0">
                          <a:schemeClr val="accent1"/>
                        </a:effectRef>
                        <a:fontRef idx="minor">
                          <a:schemeClr val="dk1"/>
                        </a:fontRef>
                      </wps:style>
                      <wps:txbx>
                        <w:txbxContent>
                          <w:p w14:paraId="3BF657FB" w14:textId="77777777" w:rsidR="009B322F" w:rsidRPr="00B815CA" w:rsidRDefault="009B322F" w:rsidP="008F7838">
                            <w:pPr>
                              <w:pStyle w:val="BodyText"/>
                            </w:pPr>
                            <w:r w:rsidRPr="00B815CA">
                              <w:t xml:space="preserve">Please note </w:t>
                            </w:r>
                            <w:r>
                              <w:t xml:space="preserve">that </w:t>
                            </w:r>
                            <w:r w:rsidRPr="00B815CA">
                              <w:t>by reporting the information required, your local authority is declaring the information is true and correct to the best of its knowledge and acknowledg</w:t>
                            </w:r>
                            <w:r>
                              <w:t>es</w:t>
                            </w:r>
                            <w:r w:rsidRPr="00B815CA">
                              <w:t xml:space="preserve"> that the information reported is official information subject to the </w:t>
                            </w:r>
                            <w:r w:rsidRPr="00B815CA">
                              <w:rPr>
                                <w:i/>
                              </w:rPr>
                              <w:t>Official Information Act 1982</w:t>
                            </w:r>
                            <w:r w:rsidRPr="00B815CA">
                              <w:t>.</w:t>
                            </w:r>
                          </w:p>
                          <w:p w14:paraId="749A13AB" w14:textId="77777777" w:rsidR="009B322F" w:rsidRDefault="009B322F" w:rsidP="00C57A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A0A49" id="_x0000_t202" coordsize="21600,21600" o:spt="202" path="m,l,21600r21600,l21600,xe">
                <v:stroke joinstyle="miter"/>
                <v:path gradientshapeok="t" o:connecttype="rect"/>
              </v:shapetype>
              <v:shape id="Text Box 4" o:spid="_x0000_s1026" type="#_x0000_t202" style="position:absolute;margin-left:-2.3pt;margin-top:22pt;width:420.45pt;height:6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2CkAIAAG8FAAAOAAAAZHJzL2Uyb0RvYy54bWysVMlu2zAQvRfoPxC8N5IdK4sROXAdpCgQ&#10;JEGTImeaIm2iFIclaUvu13dILTHSoIeiF2k482Zfrq7bWpO9cF6BKenkJKdEGA6VMpuSfn++/XRB&#10;iQ/MVEyDESU9CE+vFx8/XDV2LqawBV0JR9CI8fPGlnQbgp1nmedbUTN/AlYYFEpwNQv4dJuscqxB&#10;67XOpnl+ljXgKuuAC++Re9MJ6SLZl1Lw8CClF4HokmJsIX1d+q7jN1tcsfnGMbtVvA+D/UMUNVMG&#10;nY6mblhgZOfUH6ZqxR14kOGEQ52BlIqLlANmM8nfZPO0ZVakXLA43o5l8v/PLL/fPzqiqpLOKDGs&#10;xhY9izaQz9CSWaxOY/0cQU8WYaFFNnZ54HtkxqRb6er4x3QIyrHOh7G20RhHZnF6enleTCjhKLs4&#10;v5jmRTSTvWpb58MXATWJREkd9i6VlO3vfOigAyQ604Y0GMtlXuQJ5kGr6lZpHYXebdYr7cieYd8n&#10;q6I4W/XejmDoWxsMIabYpZKocNCic/BNSCwNBj/tPMShFKNZxrkwIRUjWUJ0VJMYwqg4eU9Rj0o9&#10;NqqJNKyjYp/T3zyOGskrmDAq18qAe89z9WMIV3b4Ifsu55h+aNdt3/Y1VAfsuoNua7zltwpbc8d8&#10;eGQO1wQbjasfHvAjNWA3oKco2YL79R4/4nF6UUpJg2tXUv9zx5ygRH81ONeXk9ks7ml6zIrzKT7c&#10;sWR9LDG7egWxw3hkLE9kxAc9kNJB/YIXYhm9oogZjr5LGgZyFbpjgBeGi+UygXAzLQt35snyaDqW&#10;Nw7ec/vCnO2nM+Bc38OwoGz+Zkg7bNQ0sNwFkCpNcCxwV9W+8LjVaQf6CxTPxvE7oV7v5OI3AAAA&#10;//8DAFBLAwQUAAYACAAAACEA/Cil6t8AAAAJAQAADwAAAGRycy9kb3ducmV2LnhtbEyPwWrDMBBE&#10;74X+g9hCb4kc2xjjWg4lEOghFBqHpEfFUi1ja+VYSuL+fben9rjM8PZNuZ7twG568p1DAatlBExj&#10;41SHrYBDvV3kwHyQqOTgUAv41h7W1eNDKQvl7vihb/vQMoKgL6QAE8JYcO4bo630SzdqpOzLTVYG&#10;OqeWq0neCW4HHkdRxq3skD4YOeqN0U2/v1oBaW02p363+4zr48Ws1Fv0nsleiOen+fUFWNBz+CvD&#10;rz6pQ0VOZ3dF5dkgYJFm1CRWSpMoz5MsAXamYh4nwKuS/19Q/QAAAP//AwBQSwECLQAUAAYACAAA&#10;ACEAtoM4kv4AAADhAQAAEwAAAAAAAAAAAAAAAAAAAAAAW0NvbnRlbnRfVHlwZXNdLnhtbFBLAQIt&#10;ABQABgAIAAAAIQA4/SH/1gAAAJQBAAALAAAAAAAAAAAAAAAAAC8BAABfcmVscy8ucmVsc1BLAQIt&#10;ABQABgAIAAAAIQBkzr2CkAIAAG8FAAAOAAAAAAAAAAAAAAAAAC4CAABkcnMvZTJvRG9jLnhtbFBL&#10;AQItABQABgAIAAAAIQD8KKXq3wAAAAkBAAAPAAAAAAAAAAAAAAAAAOoEAABkcnMvZG93bnJldi54&#10;bWxQSwUGAAAAAAQABADzAAAA9gUAAAAA&#10;" fillcolor="white [3201]" strokecolor="#1c556c" strokeweight="1.5pt">
                <v:textbox>
                  <w:txbxContent>
                    <w:p w14:paraId="3BF657FB" w14:textId="77777777" w:rsidR="009B322F" w:rsidRPr="00B815CA" w:rsidRDefault="009B322F" w:rsidP="008F7838">
                      <w:pPr>
                        <w:pStyle w:val="BodyText"/>
                      </w:pPr>
                      <w:r w:rsidRPr="00B815CA">
                        <w:t xml:space="preserve">Please note </w:t>
                      </w:r>
                      <w:r>
                        <w:t xml:space="preserve">that </w:t>
                      </w:r>
                      <w:r w:rsidRPr="00B815CA">
                        <w:t>by reporting the information required, your local authority is declaring the information is true and correct to the best of its knowledge and acknowledg</w:t>
                      </w:r>
                      <w:r>
                        <w:t>es</w:t>
                      </w:r>
                      <w:r w:rsidRPr="00B815CA">
                        <w:t xml:space="preserve"> that the information reported is official information subject to the </w:t>
                      </w:r>
                      <w:r w:rsidRPr="00B815CA">
                        <w:rPr>
                          <w:i/>
                        </w:rPr>
                        <w:t>Official Information Act 1982</w:t>
                      </w:r>
                      <w:r w:rsidRPr="00B815CA">
                        <w:t>.</w:t>
                      </w:r>
                    </w:p>
                    <w:p w14:paraId="749A13AB" w14:textId="77777777" w:rsidR="009B322F" w:rsidRDefault="009B322F" w:rsidP="00C57A42"/>
                  </w:txbxContent>
                </v:textbox>
                <w10:wrap anchorx="margin"/>
              </v:shape>
            </w:pict>
          </mc:Fallback>
        </mc:AlternateContent>
      </w:r>
    </w:p>
    <w:p w14:paraId="771DAD9C" w14:textId="77777777" w:rsidR="00C57A42" w:rsidRDefault="00C57A42" w:rsidP="00557EAC">
      <w:pPr>
        <w:pStyle w:val="BodyText"/>
      </w:pPr>
    </w:p>
    <w:p w14:paraId="489A32C1" w14:textId="77777777" w:rsidR="00C57A42" w:rsidRDefault="00C57A42" w:rsidP="00557EAC">
      <w:pPr>
        <w:jc w:val="left"/>
      </w:pPr>
      <w:r w:rsidRPr="00936F4F">
        <w:br w:type="page"/>
      </w:r>
    </w:p>
    <w:p w14:paraId="5E9A0455" w14:textId="77777777" w:rsidR="00C57A42" w:rsidRPr="001D17D1" w:rsidRDefault="00C57A42" w:rsidP="00557EAC">
      <w:pPr>
        <w:pStyle w:val="Heading1"/>
      </w:pPr>
      <w:bookmarkStart w:id="6" w:name="_Toc10723892"/>
      <w:r w:rsidRPr="001D17D1">
        <w:lastRenderedPageBreak/>
        <w:t>What’s new with the NMS?</w:t>
      </w:r>
      <w:bookmarkEnd w:id="6"/>
    </w:p>
    <w:p w14:paraId="55A51223" w14:textId="460D479F" w:rsidR="00C57A42" w:rsidRDefault="00C57A42" w:rsidP="00557EAC">
      <w:pPr>
        <w:pStyle w:val="BodyText"/>
      </w:pPr>
      <w:r w:rsidRPr="00B815CA">
        <w:t>Each year, the Ministry reassesses the information requirements</w:t>
      </w:r>
      <w:r>
        <w:t xml:space="preserve"> to ensure they are </w:t>
      </w:r>
      <w:r w:rsidR="00557EAC">
        <w:br/>
      </w:r>
      <w:r>
        <w:t>up-to-date with legislative changes and aligned to current priorities.</w:t>
      </w:r>
    </w:p>
    <w:p w14:paraId="38B599B7" w14:textId="77777777" w:rsidR="00C57A42" w:rsidRDefault="00C57A42" w:rsidP="00557EAC">
      <w:pPr>
        <w:pStyle w:val="BodyText"/>
      </w:pPr>
      <w:r>
        <w:t>This year, largely due to the Resource Legislation Amendment Act 2017 coming into force, we’ve made some changes to the information we collect:</w:t>
      </w:r>
    </w:p>
    <w:p w14:paraId="29D6C285" w14:textId="77777777" w:rsidR="00C57A42" w:rsidRDefault="00C57A42" w:rsidP="00557EAC">
      <w:pPr>
        <w:pStyle w:val="Bullet"/>
        <w:jc w:val="left"/>
      </w:pPr>
      <w:r>
        <w:t xml:space="preserve">We’re now asking you to provide information about how your council consults with local iwi when developing, changing, and notifying policy statements and plans. </w:t>
      </w:r>
    </w:p>
    <w:p w14:paraId="2EF13545" w14:textId="77777777" w:rsidR="00C57A42" w:rsidRPr="008F7838" w:rsidRDefault="00C57A42" w:rsidP="00557EAC">
      <w:pPr>
        <w:pStyle w:val="Bullet"/>
        <w:jc w:val="left"/>
      </w:pPr>
      <w:r w:rsidRPr="008F7838">
        <w:t xml:space="preserve">We’re keen to get a better sense of what compliance and enforcement activities are taking place and how your council is resourced to carry out such activities. So, this year, we’re asking you to provide more detailed information about your council’s approach to compliance and enforcement. </w:t>
      </w:r>
    </w:p>
    <w:p w14:paraId="76956072" w14:textId="77777777" w:rsidR="00C57A42" w:rsidRPr="008F7838" w:rsidRDefault="00C57A42" w:rsidP="00557EAC">
      <w:pPr>
        <w:pStyle w:val="Bullet"/>
        <w:jc w:val="left"/>
      </w:pPr>
      <w:r w:rsidRPr="008F7838">
        <w:t xml:space="preserve">We’re also collecting new information about the fast-tracking of resource consent applications. </w:t>
      </w:r>
    </w:p>
    <w:p w14:paraId="5BA1E116" w14:textId="77777777" w:rsidR="00C57A42" w:rsidRPr="008F7838" w:rsidRDefault="00C57A42" w:rsidP="00557EAC">
      <w:pPr>
        <w:pStyle w:val="Bullet"/>
        <w:jc w:val="left"/>
      </w:pPr>
      <w:r w:rsidRPr="008F7838">
        <w:t>With the new National Environmental Standards for Plantation Forestry (NESPF) now in operation, we’re also collecting information on how your council is implementing the NESPF.</w:t>
      </w:r>
    </w:p>
    <w:p w14:paraId="6C44E394" w14:textId="77777777" w:rsidR="00C57A42" w:rsidRPr="008F7838" w:rsidRDefault="00C57A42" w:rsidP="00557EAC">
      <w:pPr>
        <w:pStyle w:val="Bullet"/>
        <w:jc w:val="left"/>
      </w:pPr>
      <w:r w:rsidRPr="008F7838">
        <w:rPr>
          <w:noProof/>
        </w:rPr>
        <mc:AlternateContent>
          <mc:Choice Requires="wps">
            <w:drawing>
              <wp:anchor distT="45720" distB="45720" distL="114300" distR="114300" simplePos="0" relativeHeight="251660288" behindDoc="0" locked="0" layoutInCell="1" allowOverlap="1" wp14:anchorId="7D2936B5" wp14:editId="3124B44B">
                <wp:simplePos x="0" y="0"/>
                <wp:positionH relativeFrom="column">
                  <wp:posOffset>100330</wp:posOffset>
                </wp:positionH>
                <wp:positionV relativeFrom="paragraph">
                  <wp:posOffset>683895</wp:posOffset>
                </wp:positionV>
                <wp:extent cx="5368925" cy="892810"/>
                <wp:effectExtent l="0" t="0" r="2222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925" cy="892810"/>
                        </a:xfrm>
                        <a:prstGeom prst="rect">
                          <a:avLst/>
                        </a:prstGeom>
                        <a:solidFill>
                          <a:srgbClr val="FFFFFF"/>
                        </a:solidFill>
                        <a:ln w="19050">
                          <a:solidFill>
                            <a:srgbClr val="1C556C"/>
                          </a:solidFill>
                          <a:miter lim="800000"/>
                          <a:headEnd/>
                          <a:tailEnd/>
                        </a:ln>
                      </wps:spPr>
                      <wps:txbx>
                        <w:txbxContent>
                          <w:p w14:paraId="2CA23B2E" w14:textId="77777777" w:rsidR="009B322F" w:rsidRPr="008F32BA" w:rsidRDefault="009B322F" w:rsidP="00C57A42">
                            <w:pPr>
                              <w:jc w:val="left"/>
                              <w:rPr>
                                <w:b/>
                              </w:rPr>
                            </w:pPr>
                            <w:r w:rsidRPr="008F32BA">
                              <w:rPr>
                                <w:b/>
                              </w:rPr>
                              <w:t>When using the template…</w:t>
                            </w:r>
                          </w:p>
                          <w:p w14:paraId="66C52A2D" w14:textId="77777777" w:rsidR="009B322F" w:rsidRDefault="009B322F" w:rsidP="00C57A42">
                            <w:pPr>
                              <w:jc w:val="left"/>
                            </w:pPr>
                            <w:r>
                              <w:t xml:space="preserve">Any fields that have been altered since the 2017/18 NMS template are shown in red text. New fields have a grey background. </w:t>
                            </w:r>
                          </w:p>
                          <w:p w14:paraId="34EFF1B7" w14:textId="77777777" w:rsidR="009B322F" w:rsidRDefault="009B322F" w:rsidP="00C5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936B5" id="Text Box 2" o:spid="_x0000_s1027" type="#_x0000_t202" style="position:absolute;left:0;text-align:left;margin-left:7.9pt;margin-top:53.85pt;width:422.75pt;height:7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j8KgIAAE4EAAAOAAAAZHJzL2Uyb0RvYy54bWysVNtu2zAMfR+wfxD0vviyOE2MOEWXLsOA&#10;7gK0+wBZlmNhkuhJSuzu60fJaRp028swPwikSB0dHopeX49akaOwToKpaDZLKRGGQyPNvqLfHnZv&#10;lpQ4z0zDFBhR0Ufh6PXm9av10Jcihw5UIyxBEOPKoa9o531fJonjndDMzaAXBoMtWM08unafNJYN&#10;iK5VkqfpIhnANr0FLpzD3dspSDcRv20F91/a1glPVEWRm4+rjWsd1mSzZuXesr6T/ESD/QMLzaTB&#10;S89Qt8wzcrDyNygtuQUHrZ9x0Am0reQi1oDVZOmLau471otYC4rj+rNM7v/B8s/Hr5bIpqJ5dkWJ&#10;YRqb9CBGT97BSPKgz9C7EtPue0z0I25jn2Otrr8D/t0RA9uOmb24sRaGTrAG+WXhZHJxdMJxAaQe&#10;PkGD17CDhwg0tlYH8VAOgujYp8dzbwIVjpvF28VylReUcIyhtcxi8xJWPp3urfMfBGgSjIpa7H1E&#10;Z8c75wMbVj6lhMscKNnspFLRsft6qyw5Mnwnu/jFAl6kKUMGrG2VFumkwF8xsm1RLLZ/wtDS44tX&#10;UmMZafhCEiuDbu9NE23PpJps5KzMScig3aSiH+sx9iyqHESuoXlEZS1MDxwHEo0O7E9KBnzcFXU/&#10;DswKStRHg91ZZfN5mIbozIurHB17GakvI8xwhKqop2Qytz5OUKBt4Aa72Moo8DOTE2V8tFH304CF&#10;qbj0Y9bzb2DzCwAA//8DAFBLAwQUAAYACAAAACEAIvLPit8AAAAKAQAADwAAAGRycy9kb3ducmV2&#10;LnhtbEyPwU7DMBBE70j8g7VI3KjdFpooxKkCohInJApVr268JBHxOrLdNvw9y4meRqMZzb4t15Mb&#10;xAlD7D1pmM8UCKTG255aDZ8fm7scREyGrBk8oYYfjLCurq9KU1h/pnc8bVMreIRiYTR0KY2FlLHp&#10;0Jk48yMSZ18+OJPYhlbaYM487ga5UGolnemJL3RmxOcOm+/t0Wmos51r66CaN/vyivuwe9rsXaf1&#10;7c1UP4JIOKX/MvzhMzpUzHTwR7JRDOwfmDyxqiwDwYV8NV+COGhY3OdLkFUpL1+ofgEAAP//AwBQ&#10;SwECLQAUAAYACAAAACEAtoM4kv4AAADhAQAAEwAAAAAAAAAAAAAAAAAAAAAAW0NvbnRlbnRfVHlw&#10;ZXNdLnhtbFBLAQItABQABgAIAAAAIQA4/SH/1gAAAJQBAAALAAAAAAAAAAAAAAAAAC8BAABfcmVs&#10;cy8ucmVsc1BLAQItABQABgAIAAAAIQC5Rpj8KgIAAE4EAAAOAAAAAAAAAAAAAAAAAC4CAABkcnMv&#10;ZTJvRG9jLnhtbFBLAQItABQABgAIAAAAIQAi8s+K3wAAAAoBAAAPAAAAAAAAAAAAAAAAAIQEAABk&#10;cnMvZG93bnJldi54bWxQSwUGAAAAAAQABADzAAAAkAUAAAAA&#10;" strokecolor="#1c556c" strokeweight="1.5pt">
                <v:textbox>
                  <w:txbxContent>
                    <w:p w14:paraId="2CA23B2E" w14:textId="77777777" w:rsidR="009B322F" w:rsidRPr="008F32BA" w:rsidRDefault="009B322F" w:rsidP="00C57A42">
                      <w:pPr>
                        <w:jc w:val="left"/>
                        <w:rPr>
                          <w:b/>
                        </w:rPr>
                      </w:pPr>
                      <w:r w:rsidRPr="008F32BA">
                        <w:rPr>
                          <w:b/>
                        </w:rPr>
                        <w:t>When using the template…</w:t>
                      </w:r>
                    </w:p>
                    <w:p w14:paraId="66C52A2D" w14:textId="77777777" w:rsidR="009B322F" w:rsidRDefault="009B322F" w:rsidP="00C57A42">
                      <w:pPr>
                        <w:jc w:val="left"/>
                      </w:pPr>
                      <w:r>
                        <w:t xml:space="preserve">Any fields that have been altered since the 2017/18 NMS template are shown in red text. New fields have a grey background. </w:t>
                      </w:r>
                    </w:p>
                    <w:p w14:paraId="34EFF1B7" w14:textId="77777777" w:rsidR="009B322F" w:rsidRDefault="009B322F" w:rsidP="00C57A42"/>
                  </w:txbxContent>
                </v:textbox>
                <w10:wrap type="square"/>
              </v:shape>
            </w:pict>
          </mc:Fallback>
        </mc:AlternateContent>
      </w:r>
      <w:r w:rsidRPr="008F7838">
        <w:t xml:space="preserve">Finally, we’ve made some minor changes to keep the spreadsheet up-to-date and make it easier to use. </w:t>
      </w:r>
    </w:p>
    <w:p w14:paraId="29DB95C2" w14:textId="77777777" w:rsidR="00C57A42" w:rsidRDefault="00C57A42" w:rsidP="00557EAC">
      <w:pPr>
        <w:jc w:val="left"/>
      </w:pPr>
    </w:p>
    <w:p w14:paraId="680D0A04" w14:textId="77777777" w:rsidR="00C57A42" w:rsidRDefault="00C57A42" w:rsidP="00557EAC">
      <w:pPr>
        <w:jc w:val="left"/>
      </w:pPr>
    </w:p>
    <w:p w14:paraId="574633C9" w14:textId="77777777" w:rsidR="00C57A42" w:rsidRDefault="00C57A42" w:rsidP="00557EAC">
      <w:pPr>
        <w:jc w:val="left"/>
      </w:pPr>
    </w:p>
    <w:p w14:paraId="3B3D9B48" w14:textId="77777777" w:rsidR="00C57A42" w:rsidRDefault="00C57A42" w:rsidP="00557EAC">
      <w:pPr>
        <w:jc w:val="left"/>
      </w:pPr>
    </w:p>
    <w:p w14:paraId="457AFD43" w14:textId="77777777" w:rsidR="00C57A42" w:rsidRDefault="00C57A42" w:rsidP="00557EAC">
      <w:pPr>
        <w:jc w:val="left"/>
      </w:pPr>
    </w:p>
    <w:p w14:paraId="1A52C098" w14:textId="77777777" w:rsidR="00C57A42" w:rsidRPr="00936F4F" w:rsidRDefault="00C57A42" w:rsidP="00557EAC">
      <w:pPr>
        <w:jc w:val="left"/>
      </w:pPr>
      <w:r>
        <w:br w:type="page"/>
      </w:r>
    </w:p>
    <w:p w14:paraId="73B3451B" w14:textId="77777777" w:rsidR="00C57A42" w:rsidRPr="00936F4F" w:rsidRDefault="00C57A42" w:rsidP="00557EAC">
      <w:pPr>
        <w:pStyle w:val="Heading1"/>
      </w:pPr>
      <w:bookmarkStart w:id="7" w:name="_Toc10723893"/>
      <w:r w:rsidRPr="00936F4F">
        <w:lastRenderedPageBreak/>
        <w:t>Section 1.0 – P</w:t>
      </w:r>
      <w:r>
        <w:t>lanning and consenting processes</w:t>
      </w:r>
      <w:bookmarkEnd w:id="7"/>
    </w:p>
    <w:p w14:paraId="3F6F1E5C" w14:textId="77777777" w:rsidR="00C57A42" w:rsidRPr="00936F4F" w:rsidRDefault="00C57A42" w:rsidP="00557EAC">
      <w:pPr>
        <w:pStyle w:val="Heading2"/>
      </w:pPr>
      <w:bookmarkStart w:id="8" w:name="_Toc10723894"/>
      <w:r w:rsidRPr="00936F4F">
        <w:t xml:space="preserve">Section 1.1 – </w:t>
      </w:r>
      <w:r>
        <w:t>Full reviews of p</w:t>
      </w:r>
      <w:r w:rsidRPr="00936F4F">
        <w:t>olicy statement</w:t>
      </w:r>
      <w:r>
        <w:t>s</w:t>
      </w:r>
      <w:r w:rsidRPr="00936F4F">
        <w:t xml:space="preserve"> and plan</w:t>
      </w:r>
      <w:r>
        <w:t>s</w:t>
      </w:r>
      <w:bookmarkEnd w:id="8"/>
      <w:r w:rsidRPr="00936F4F">
        <w:t xml:space="preserve"> </w:t>
      </w:r>
    </w:p>
    <w:p w14:paraId="24EC8B83" w14:textId="77777777" w:rsidR="00C57A42" w:rsidRPr="008F7838" w:rsidRDefault="00C57A42" w:rsidP="00557EAC">
      <w:pPr>
        <w:pStyle w:val="BodyText"/>
      </w:pPr>
      <w:r w:rsidRPr="008F7838">
        <w:t xml:space="preserve">This section collects information on each full review of a policy statement or plan under section 79(4) of the Resource Management Act 1991 (RMA). </w:t>
      </w:r>
    </w:p>
    <w:p w14:paraId="21B0DD22" w14:textId="77777777" w:rsidR="00C57A42" w:rsidRPr="008F7838" w:rsidRDefault="00C57A42" w:rsidP="00557EAC">
      <w:pPr>
        <w:pStyle w:val="BodyText"/>
      </w:pPr>
      <w:r w:rsidRPr="008F7838">
        <w:t xml:space="preserve">Please provide the details of each full review that was underway, started or completed by your council during the 2018/19 financial year (1 July 2018 to 30 June 2019). </w:t>
      </w:r>
    </w:p>
    <w:p w14:paraId="19203234" w14:textId="77777777" w:rsidR="00C57A42" w:rsidRPr="00936F4F" w:rsidRDefault="00C57A42" w:rsidP="00557EAC">
      <w:pPr>
        <w:pStyle w:val="Heading2"/>
      </w:pPr>
      <w:bookmarkStart w:id="9" w:name="_Toc10723895"/>
      <w:r w:rsidRPr="00936F4F">
        <w:t>Section 1.2 – Preparation of policy statements and plans,</w:t>
      </w:r>
      <w:r>
        <w:t> </w:t>
      </w:r>
      <w:r w:rsidRPr="00936F4F">
        <w:t>changes and variations</w:t>
      </w:r>
      <w:bookmarkEnd w:id="9"/>
    </w:p>
    <w:p w14:paraId="0332A7FF" w14:textId="77777777" w:rsidR="00C57A42" w:rsidRDefault="00C57A42" w:rsidP="00557EAC">
      <w:pPr>
        <w:pStyle w:val="BodyText"/>
      </w:pPr>
      <w:r w:rsidRPr="00936F4F">
        <w:t xml:space="preserve">This section </w:t>
      </w:r>
      <w:r>
        <w:t>collects</w:t>
      </w:r>
      <w:r w:rsidRPr="00936F4F">
        <w:t xml:space="preserve"> information on each process to prepare or change a policy statement or plan, or to make a variation to a proposed policy statement or plan. </w:t>
      </w:r>
    </w:p>
    <w:p w14:paraId="49639077" w14:textId="77777777" w:rsidR="00C57A42" w:rsidRDefault="00C57A42" w:rsidP="00557EAC">
      <w:pPr>
        <w:pStyle w:val="BodyText"/>
      </w:pPr>
      <w:r w:rsidRPr="00936F4F">
        <w:t xml:space="preserve">Information is required for each process that was </w:t>
      </w:r>
      <w:r w:rsidRPr="008F32BA">
        <w:rPr>
          <w:b/>
        </w:rPr>
        <w:t>underway, started or completed</w:t>
      </w:r>
      <w:r w:rsidRPr="00936F4F">
        <w:t xml:space="preserve"> during the 201</w:t>
      </w:r>
      <w:r>
        <w:t>8</w:t>
      </w:r>
      <w:r w:rsidRPr="00936F4F">
        <w:t>/1</w:t>
      </w:r>
      <w:r>
        <w:t>9</w:t>
      </w:r>
      <w:r w:rsidRPr="00936F4F">
        <w:t xml:space="preserve"> financial year (1 July 201</w:t>
      </w:r>
      <w:r>
        <w:t>8</w:t>
      </w:r>
      <w:r w:rsidRPr="00936F4F">
        <w:t xml:space="preserve"> </w:t>
      </w:r>
      <w:r>
        <w:t>to</w:t>
      </w:r>
      <w:r w:rsidRPr="00936F4F">
        <w:t xml:space="preserve"> 30 June 201</w:t>
      </w:r>
      <w:r>
        <w:t>9</w:t>
      </w:r>
      <w:r w:rsidRPr="00936F4F">
        <w:t>).</w:t>
      </w:r>
    </w:p>
    <w:p w14:paraId="0BAA133B" w14:textId="77777777" w:rsidR="00C57A42" w:rsidRDefault="00C57A42" w:rsidP="00557EAC">
      <w:pPr>
        <w:pStyle w:val="BodyText"/>
      </w:pPr>
      <w:r w:rsidRPr="00936F4F">
        <w:t>In the template, a</w:t>
      </w:r>
      <w:r>
        <w:t xml:space="preserve"> new</w:t>
      </w:r>
      <w:r w:rsidRPr="00936F4F">
        <w:t xml:space="preserve"> row of data </w:t>
      </w:r>
      <w:r>
        <w:t>should be added</w:t>
      </w:r>
      <w:r w:rsidRPr="00936F4F">
        <w:t xml:space="preserve"> for each separate planning process.</w:t>
      </w:r>
    </w:p>
    <w:p w14:paraId="16B07B6E" w14:textId="77777777" w:rsidR="00C57A42" w:rsidRPr="00936F4F" w:rsidRDefault="00C57A42" w:rsidP="00557EAC">
      <w:pPr>
        <w:pStyle w:val="BodyText"/>
      </w:pPr>
      <w:r w:rsidRPr="00936F4F">
        <w:t>For planni</w:t>
      </w:r>
      <w:r>
        <w:t xml:space="preserve">ng processes that have started are </w:t>
      </w:r>
      <w:r w:rsidRPr="00936F4F">
        <w:t xml:space="preserve">but not yet completed, </w:t>
      </w:r>
      <w:r>
        <w:t>fill in the fields for all events that have happened and leave the rest blank. In this situation</w:t>
      </w:r>
      <w:r w:rsidRPr="00936F4F">
        <w:t xml:space="preserve">, commentary should be added </w:t>
      </w:r>
      <w:r>
        <w:t xml:space="preserve">in </w:t>
      </w:r>
      <w:r w:rsidRPr="00B164FC">
        <w:rPr>
          <w:i/>
        </w:rPr>
        <w:t>Comment/summary of the proces</w:t>
      </w:r>
      <w:r>
        <w:t xml:space="preserve">s (field 1.2.49) </w:t>
      </w:r>
      <w:r w:rsidRPr="00936F4F">
        <w:t>explaining the status of the planning process as at 30 June 201</w:t>
      </w:r>
      <w:r>
        <w:t>9</w:t>
      </w:r>
      <w:r w:rsidRPr="00936F4F">
        <w:t xml:space="preserve">. </w:t>
      </w:r>
    </w:p>
    <w:p w14:paraId="0B7BD8E5" w14:textId="77777777" w:rsidR="00C57A42" w:rsidRDefault="00C57A42" w:rsidP="00557EAC">
      <w:pPr>
        <w:pStyle w:val="BodyText"/>
      </w:pPr>
      <w:r w:rsidRPr="00936F4F">
        <w:t xml:space="preserve">If a planning process is separated part way through, (for example, decisions are released sequentially or sections of a plan become operative at different times), councils are asked to add </w:t>
      </w:r>
      <w:r>
        <w:t xml:space="preserve">additional columns to the template where necessary to accommodate the additional information. </w:t>
      </w:r>
    </w:p>
    <w:p w14:paraId="293C89EE" w14:textId="77777777" w:rsidR="00C57A42" w:rsidRDefault="00C57A42" w:rsidP="00557EAC">
      <w:pPr>
        <w:pStyle w:val="BodyText"/>
      </w:pPr>
      <w:r w:rsidRPr="00936F4F">
        <w:t xml:space="preserve">Please note that </w:t>
      </w:r>
      <w:r>
        <w:t xml:space="preserve">you don’t need to report </w:t>
      </w:r>
      <w:r w:rsidRPr="00936F4F">
        <w:t xml:space="preserve">on amendment processes under clause 16(2) or clause 20A of </w:t>
      </w:r>
      <w:r>
        <w:t xml:space="preserve">Schedule 1 (alteration for minor effects or to correct minor errors). </w:t>
      </w:r>
    </w:p>
    <w:p w14:paraId="128446E8" w14:textId="77777777" w:rsidR="00C57A42" w:rsidRDefault="00C57A42" w:rsidP="00557EAC">
      <w:pPr>
        <w:pStyle w:val="Bullet"/>
        <w:numPr>
          <w:ilvl w:val="0"/>
          <w:numId w:val="0"/>
        </w:numPr>
        <w:jc w:val="left"/>
      </w:pPr>
      <w:r w:rsidRPr="00936F4F">
        <w:rPr>
          <w:b/>
        </w:rPr>
        <w:t>Helpful link</w:t>
      </w:r>
      <w:r>
        <w:rPr>
          <w:b/>
        </w:rPr>
        <w:t>:</w:t>
      </w:r>
      <w:r>
        <w:t xml:space="preserve"> </w:t>
      </w:r>
      <w:hyperlink r:id="rId18" w:history="1">
        <w:r w:rsidRPr="00D73181">
          <w:rPr>
            <w:rStyle w:val="Hyperlink"/>
          </w:rPr>
          <w:t>http://www.mfe.govt.nz/rma/reforms-and-amendments/about-resource-legislation-amendment-act-2017</w:t>
        </w:r>
      </w:hyperlink>
    </w:p>
    <w:p w14:paraId="77A0E4C8" w14:textId="77777777" w:rsidR="00C57A42" w:rsidRPr="00DE6E26" w:rsidRDefault="00C57A42" w:rsidP="00557EAC">
      <w:pPr>
        <w:pStyle w:val="Heading2"/>
      </w:pPr>
      <w:bookmarkStart w:id="10" w:name="_Toc10723896"/>
      <w:r w:rsidRPr="00936F4F">
        <w:t>Section 1.3 – Efficiency and effectiveness monitoring</w:t>
      </w:r>
      <w:bookmarkEnd w:id="10"/>
    </w:p>
    <w:p w14:paraId="7275B6D4" w14:textId="77777777" w:rsidR="00C57A42" w:rsidRDefault="00C57A42" w:rsidP="00557EAC">
      <w:pPr>
        <w:pStyle w:val="BodyText"/>
      </w:pPr>
      <w:r w:rsidRPr="00936F4F">
        <w:t xml:space="preserve">This section </w:t>
      </w:r>
      <w:r>
        <w:t xml:space="preserve">collects </w:t>
      </w:r>
      <w:r w:rsidRPr="00936F4F">
        <w:t>i</w:t>
      </w:r>
      <w:r w:rsidRPr="00936F4F" w:rsidDel="00E5274B">
        <w:t>nformation on any</w:t>
      </w:r>
      <w:r>
        <w:t xml:space="preserve"> monitoring reported under </w:t>
      </w:r>
      <w:r w:rsidRPr="00936F4F" w:rsidDel="00E5274B">
        <w:t xml:space="preserve">section 35(2)(b) </w:t>
      </w:r>
      <w:r>
        <w:t xml:space="preserve">of the Act </w:t>
      </w:r>
      <w:r w:rsidRPr="00936F4F">
        <w:t xml:space="preserve">during the </w:t>
      </w:r>
      <w:r>
        <w:t>2018/19</w:t>
      </w:r>
      <w:r w:rsidRPr="00936F4F" w:rsidDel="00E5274B">
        <w:t xml:space="preserve"> </w:t>
      </w:r>
      <w:r w:rsidRPr="00936F4F">
        <w:t>financial</w:t>
      </w:r>
      <w:r w:rsidRPr="00936F4F" w:rsidDel="00E5274B">
        <w:t xml:space="preserve"> year. </w:t>
      </w:r>
    </w:p>
    <w:p w14:paraId="28F3CBB1" w14:textId="77777777" w:rsidR="00C57A42" w:rsidRDefault="00C57A42" w:rsidP="00557EAC">
      <w:pPr>
        <w:pStyle w:val="BodyText"/>
        <w:rPr>
          <w:b/>
        </w:rPr>
      </w:pPr>
      <w:r w:rsidRPr="00936F4F">
        <w:rPr>
          <w:b/>
        </w:rPr>
        <w:t>Helpful link</w:t>
      </w:r>
      <w:r>
        <w:rPr>
          <w:b/>
        </w:rPr>
        <w:t>:</w:t>
      </w:r>
      <w:r w:rsidRPr="00936F4F">
        <w:rPr>
          <w:b/>
        </w:rPr>
        <w:t xml:space="preserve"> </w:t>
      </w:r>
      <w:hyperlink r:id="rId19" w:history="1">
        <w:r w:rsidRPr="00FA6841">
          <w:rPr>
            <w:rStyle w:val="Hyperlink"/>
          </w:rPr>
          <w:t>http://www.qualityplanning.org.nz/index.php/monitor/policy-and-plan-effectiveness</w:t>
        </w:r>
      </w:hyperlink>
    </w:p>
    <w:p w14:paraId="2BDA15B3" w14:textId="77777777" w:rsidR="00C57A42" w:rsidRPr="00DE6E26" w:rsidRDefault="00C57A42" w:rsidP="00557EAC">
      <w:pPr>
        <w:pStyle w:val="Heading2"/>
      </w:pPr>
      <w:bookmarkStart w:id="11" w:name="_Toc10723897"/>
      <w:r w:rsidRPr="00936F4F">
        <w:t>Section 1.4 – Iwi/hapū planning documents</w:t>
      </w:r>
      <w:bookmarkEnd w:id="11"/>
    </w:p>
    <w:p w14:paraId="687F4A0B" w14:textId="77777777" w:rsidR="00C57A42" w:rsidRPr="00936F4F" w:rsidRDefault="00C57A42" w:rsidP="00557EAC">
      <w:pPr>
        <w:pStyle w:val="BodyText"/>
      </w:pPr>
      <w:r w:rsidRPr="00936F4F">
        <w:t xml:space="preserve">This section </w:t>
      </w:r>
      <w:r>
        <w:t>collects</w:t>
      </w:r>
      <w:r w:rsidRPr="00936F4F">
        <w:t xml:space="preserve"> information on all iwi/hapū planning documents lodged, removed or updated with your local authority within the 201</w:t>
      </w:r>
      <w:r>
        <w:t>8</w:t>
      </w:r>
      <w:r w:rsidRPr="00936F4F">
        <w:t>/1</w:t>
      </w:r>
      <w:r>
        <w:t>9</w:t>
      </w:r>
      <w:r w:rsidRPr="00936F4F">
        <w:t xml:space="preserve"> financial year. </w:t>
      </w:r>
    </w:p>
    <w:p w14:paraId="764875EA" w14:textId="77777777" w:rsidR="00C57A42" w:rsidRDefault="00C57A42" w:rsidP="00557EAC">
      <w:pPr>
        <w:pStyle w:val="BodyText"/>
      </w:pPr>
      <w:r>
        <w:lastRenderedPageBreak/>
        <w:t>You don’t need to include p</w:t>
      </w:r>
      <w:r w:rsidRPr="00936F4F">
        <w:t xml:space="preserve">lanning documents lodged and reported on in previous financial </w:t>
      </w:r>
      <w:r>
        <w:t xml:space="preserve">years </w:t>
      </w:r>
      <w:r w:rsidRPr="00936F4F">
        <w:t>here</w:t>
      </w:r>
      <w:r>
        <w:t>,</w:t>
      </w:r>
      <w:r w:rsidRPr="00936F4F">
        <w:t xml:space="preserve"> unless they have been updated or removed.</w:t>
      </w:r>
    </w:p>
    <w:p w14:paraId="54E07DC1" w14:textId="77777777" w:rsidR="00C57A42" w:rsidRPr="00EC3D0D" w:rsidRDefault="00C57A42" w:rsidP="00557EAC">
      <w:pPr>
        <w:pStyle w:val="Heading2"/>
      </w:pPr>
      <w:bookmarkStart w:id="12" w:name="_Toc10723898"/>
      <w:r w:rsidRPr="00EC3D0D">
        <w:t>Section 1.5 – Resource consents</w:t>
      </w:r>
      <w:bookmarkEnd w:id="12"/>
    </w:p>
    <w:p w14:paraId="434536BF" w14:textId="77777777" w:rsidR="00C57A42" w:rsidRDefault="00C57A42" w:rsidP="00557EAC">
      <w:pPr>
        <w:pStyle w:val="BodyText"/>
      </w:pPr>
      <w:r>
        <w:t>This section collects</w:t>
      </w:r>
      <w:r w:rsidRPr="00936F4F">
        <w:t xml:space="preserve"> information about resource consent </w:t>
      </w:r>
      <w:r>
        <w:t>applications</w:t>
      </w:r>
      <w:r w:rsidRPr="00936F4F">
        <w:t>. Include all applications that were processed through to a decision in the 201</w:t>
      </w:r>
      <w:r>
        <w:t>8</w:t>
      </w:r>
      <w:r w:rsidRPr="00936F4F">
        <w:t>/1</w:t>
      </w:r>
      <w:r>
        <w:t>9</w:t>
      </w:r>
      <w:r w:rsidRPr="00936F4F">
        <w:t xml:space="preserve"> financial year</w:t>
      </w:r>
      <w:r>
        <w:t>.</w:t>
      </w:r>
    </w:p>
    <w:p w14:paraId="51520ADD" w14:textId="77777777" w:rsidR="00C57A42" w:rsidRDefault="00C57A42" w:rsidP="00557EAC">
      <w:pPr>
        <w:pStyle w:val="BodyText"/>
      </w:pPr>
      <w:r w:rsidRPr="00936F4F">
        <w:t>This includes resource consent applications lodged before and during the 201</w:t>
      </w:r>
      <w:r>
        <w:t>8</w:t>
      </w:r>
      <w:r w:rsidRPr="00936F4F">
        <w:t>/1</w:t>
      </w:r>
      <w:r>
        <w:t>9</w:t>
      </w:r>
      <w:r w:rsidRPr="00936F4F">
        <w:t xml:space="preserve"> financial year if the decision to grant, decline, withdraw</w:t>
      </w:r>
      <w:r>
        <w:t xml:space="preserve"> or return (under s 91(C) or s 88(3)) </w:t>
      </w:r>
      <w:r w:rsidRPr="00936F4F">
        <w:t>was made in the 201</w:t>
      </w:r>
      <w:r>
        <w:t>8</w:t>
      </w:r>
      <w:r w:rsidRPr="00936F4F">
        <w:t>/1</w:t>
      </w:r>
      <w:r>
        <w:t>9</w:t>
      </w:r>
      <w:r w:rsidRPr="00936F4F">
        <w:t xml:space="preserve"> financial year. </w:t>
      </w:r>
    </w:p>
    <w:p w14:paraId="53779314" w14:textId="77777777" w:rsidR="00C57A42" w:rsidRPr="00823227" w:rsidRDefault="00C57A42" w:rsidP="00557EAC">
      <w:pPr>
        <w:pStyle w:val="Heading3"/>
      </w:pPr>
      <w:r w:rsidRPr="00823227">
        <w:t xml:space="preserve">Field 1.5.1 – Unit record identifier </w:t>
      </w:r>
    </w:p>
    <w:p w14:paraId="2D525B74" w14:textId="77777777" w:rsidR="00C57A42" w:rsidRDefault="00C57A42" w:rsidP="00557EAC">
      <w:pPr>
        <w:pStyle w:val="BodyText"/>
      </w:pPr>
      <w:r>
        <w:t xml:space="preserve">At 1.5.1, we take a record of all individual resource consent applications. A unique reference, ideally a consent identifier should be used for each consent. In field 1.5.1, each row of data should represent an individual consent. </w:t>
      </w:r>
    </w:p>
    <w:p w14:paraId="4B8B4E47" w14:textId="77777777" w:rsidR="00C57A42" w:rsidRDefault="00C57A42" w:rsidP="00557EAC">
      <w:pPr>
        <w:pStyle w:val="BodyText"/>
      </w:pPr>
      <w:r>
        <w:t xml:space="preserve">For supplying information on ‘bundled’ consents refer to the ‘how to deal with bundled resource consents’ section below. </w:t>
      </w:r>
    </w:p>
    <w:p w14:paraId="3A46CB2A" w14:textId="77777777" w:rsidR="00C57A42" w:rsidRPr="00823227" w:rsidRDefault="00C57A42" w:rsidP="00557EAC">
      <w:pPr>
        <w:pStyle w:val="Heading3"/>
      </w:pPr>
      <w:r w:rsidRPr="00823227">
        <w:t xml:space="preserve">Field 1.5.2 – Type of resource consent </w:t>
      </w:r>
    </w:p>
    <w:p w14:paraId="48ECEE23" w14:textId="77777777" w:rsidR="00C57A42" w:rsidRDefault="00C57A42" w:rsidP="00557EAC">
      <w:pPr>
        <w:pStyle w:val="BodyText"/>
      </w:pPr>
      <w:r>
        <w:t xml:space="preserve">At 1.5.2, we record information about the type of resource consent being applied for. We allow for the consent type to be listed as ‘combined land use and subdivision’ if an application for both follows the </w:t>
      </w:r>
      <w:r w:rsidRPr="00117465">
        <w:rPr>
          <w:b/>
        </w:rPr>
        <w:t>exact same</w:t>
      </w:r>
      <w:r>
        <w:t xml:space="preserve"> application process. In this case, the class of activity in field 1.5.6 should be for the land use component, and an extra field should be added to list the class of activity for the subdivision component. </w:t>
      </w:r>
    </w:p>
    <w:p w14:paraId="4478936D" w14:textId="77777777" w:rsidR="00C57A42" w:rsidRPr="00823227" w:rsidRDefault="00C57A42" w:rsidP="00557EAC">
      <w:pPr>
        <w:pStyle w:val="Heading3"/>
      </w:pPr>
      <w:r w:rsidRPr="00823227">
        <w:t xml:space="preserve">Field 1.5.2(a) – Consent subtype </w:t>
      </w:r>
    </w:p>
    <w:p w14:paraId="60BC86DA" w14:textId="77777777" w:rsidR="00C57A42" w:rsidRDefault="00C57A42" w:rsidP="00557EAC">
      <w:pPr>
        <w:pStyle w:val="BodyText"/>
      </w:pPr>
      <w:r>
        <w:t>At 1.5.2(a), we record information about the subtype of consent. The template supplies a list of possible consent subtypes. When recording the subtype of resource consent please select</w:t>
      </w:r>
      <w:r w:rsidRPr="00B25DBE">
        <w:rPr>
          <w:b/>
        </w:rPr>
        <w:t xml:space="preserve"> only</w:t>
      </w:r>
      <w:r>
        <w:t xml:space="preserve"> </w:t>
      </w:r>
      <w:r w:rsidRPr="003201FB">
        <w:rPr>
          <w:b/>
        </w:rPr>
        <w:t>one</w:t>
      </w:r>
      <w:r>
        <w:t xml:space="preserve"> subtype option. </w:t>
      </w:r>
    </w:p>
    <w:tbl>
      <w:tblPr>
        <w:tblW w:w="8256" w:type="dxa"/>
        <w:tblInd w:w="103" w:type="dxa"/>
        <w:tblBorders>
          <w:top w:val="single" w:sz="4" w:space="0" w:color="677719"/>
          <w:bottom w:val="single" w:sz="4" w:space="0" w:color="677719"/>
          <w:insideH w:val="single" w:sz="4" w:space="0" w:color="677719"/>
          <w:insideV w:val="single" w:sz="4" w:space="0" w:color="677719"/>
        </w:tblBorders>
        <w:tblLayout w:type="fixed"/>
        <w:tblLook w:val="00A0" w:firstRow="1" w:lastRow="0" w:firstColumn="1" w:lastColumn="0" w:noHBand="0" w:noVBand="0"/>
      </w:tblPr>
      <w:tblGrid>
        <w:gridCol w:w="1915"/>
        <w:gridCol w:w="2513"/>
        <w:gridCol w:w="1701"/>
        <w:gridCol w:w="2127"/>
      </w:tblGrid>
      <w:tr w:rsidR="00C57A42" w:rsidRPr="00936F4F" w14:paraId="47771E27" w14:textId="77777777" w:rsidTr="009B322F">
        <w:trPr>
          <w:trHeight w:val="20"/>
        </w:trPr>
        <w:tc>
          <w:tcPr>
            <w:tcW w:w="1160" w:type="pct"/>
            <w:tcBorders>
              <w:top w:val="nil"/>
              <w:left w:val="single" w:sz="4" w:space="0" w:color="1C556C"/>
              <w:bottom w:val="nil"/>
              <w:right w:val="single" w:sz="4" w:space="0" w:color="1C556C"/>
            </w:tcBorders>
            <w:shd w:val="clear" w:color="auto" w:fill="1C556C"/>
            <w:vAlign w:val="bottom"/>
          </w:tcPr>
          <w:p w14:paraId="3B8E3342" w14:textId="77777777" w:rsidR="00C57A42" w:rsidRPr="00936F4F" w:rsidRDefault="00C57A42" w:rsidP="00557EAC">
            <w:pPr>
              <w:pStyle w:val="TableTextbold"/>
              <w:rPr>
                <w:color w:val="FFFFFF" w:themeColor="background1"/>
              </w:rPr>
            </w:pPr>
            <w:r w:rsidRPr="00936F4F">
              <w:rPr>
                <w:color w:val="FFFFFF" w:themeColor="background1"/>
              </w:rPr>
              <w:t>Unit record identifier</w:t>
            </w:r>
          </w:p>
        </w:tc>
        <w:tc>
          <w:tcPr>
            <w:tcW w:w="1522" w:type="pct"/>
            <w:tcBorders>
              <w:top w:val="nil"/>
              <w:left w:val="single" w:sz="4" w:space="0" w:color="1C556C"/>
              <w:bottom w:val="nil"/>
              <w:right w:val="single" w:sz="4" w:space="0" w:color="1C556C"/>
            </w:tcBorders>
            <w:shd w:val="clear" w:color="auto" w:fill="1C556C"/>
            <w:vAlign w:val="bottom"/>
          </w:tcPr>
          <w:p w14:paraId="5951518D" w14:textId="77777777" w:rsidR="00C57A42" w:rsidRPr="00936F4F" w:rsidRDefault="00C57A42" w:rsidP="00557EAC">
            <w:pPr>
              <w:pStyle w:val="TableTextbold"/>
              <w:rPr>
                <w:color w:val="FFFFFF" w:themeColor="background1"/>
              </w:rPr>
            </w:pPr>
            <w:r w:rsidRPr="00936F4F">
              <w:rPr>
                <w:color w:val="FFFFFF" w:themeColor="background1"/>
              </w:rPr>
              <w:t>Type of resource consent</w:t>
            </w:r>
          </w:p>
        </w:tc>
        <w:tc>
          <w:tcPr>
            <w:tcW w:w="1030" w:type="pct"/>
            <w:tcBorders>
              <w:top w:val="nil"/>
              <w:left w:val="single" w:sz="4" w:space="0" w:color="1C556C"/>
              <w:bottom w:val="nil"/>
              <w:right w:val="single" w:sz="4" w:space="0" w:color="1C556C"/>
            </w:tcBorders>
            <w:shd w:val="clear" w:color="auto" w:fill="1C556C"/>
            <w:vAlign w:val="bottom"/>
          </w:tcPr>
          <w:p w14:paraId="1FB2819D" w14:textId="77777777" w:rsidR="00C57A42" w:rsidRPr="00936F4F" w:rsidRDefault="00C57A42" w:rsidP="00557EAC">
            <w:pPr>
              <w:pStyle w:val="TableTextbold"/>
              <w:rPr>
                <w:color w:val="FFFFFF" w:themeColor="background1"/>
              </w:rPr>
            </w:pPr>
            <w:r>
              <w:rPr>
                <w:color w:val="FFFFFF" w:themeColor="background1"/>
              </w:rPr>
              <w:t>Consent</w:t>
            </w:r>
            <w:r w:rsidRPr="00936F4F">
              <w:rPr>
                <w:color w:val="FFFFFF" w:themeColor="background1"/>
              </w:rPr>
              <w:t xml:space="preserve"> subtype</w:t>
            </w:r>
          </w:p>
        </w:tc>
        <w:tc>
          <w:tcPr>
            <w:tcW w:w="1288" w:type="pct"/>
            <w:tcBorders>
              <w:top w:val="nil"/>
              <w:left w:val="single" w:sz="4" w:space="0" w:color="1C556C"/>
              <w:bottom w:val="nil"/>
              <w:right w:val="single" w:sz="4" w:space="0" w:color="1C556C"/>
            </w:tcBorders>
            <w:shd w:val="clear" w:color="auto" w:fill="1C556C"/>
            <w:vAlign w:val="bottom"/>
          </w:tcPr>
          <w:p w14:paraId="1E233363" w14:textId="77777777" w:rsidR="00C57A42" w:rsidRPr="00936F4F" w:rsidRDefault="00C57A42" w:rsidP="00557EAC">
            <w:pPr>
              <w:pStyle w:val="TableTextbold"/>
              <w:rPr>
                <w:color w:val="FFFFFF" w:themeColor="background1"/>
              </w:rPr>
            </w:pPr>
            <w:r w:rsidRPr="00936F4F">
              <w:rPr>
                <w:color w:val="FFFFFF" w:themeColor="background1"/>
              </w:rPr>
              <w:t>Type of application</w:t>
            </w:r>
          </w:p>
        </w:tc>
      </w:tr>
      <w:tr w:rsidR="00C57A42" w:rsidRPr="00936F4F" w14:paraId="1590FDA6" w14:textId="77777777" w:rsidTr="009B322F">
        <w:trPr>
          <w:trHeight w:val="20"/>
        </w:trPr>
        <w:tc>
          <w:tcPr>
            <w:tcW w:w="1160" w:type="pct"/>
            <w:tcBorders>
              <w:top w:val="nil"/>
              <w:left w:val="single" w:sz="4" w:space="0" w:color="1C556C"/>
              <w:bottom w:val="single" w:sz="4" w:space="0" w:color="1C556C"/>
              <w:right w:val="single" w:sz="4" w:space="0" w:color="1C556C"/>
            </w:tcBorders>
          </w:tcPr>
          <w:p w14:paraId="3FCC990E" w14:textId="77777777" w:rsidR="00C57A42" w:rsidRPr="00936F4F" w:rsidRDefault="00C57A42" w:rsidP="00557EAC">
            <w:pPr>
              <w:pStyle w:val="Tabletext"/>
            </w:pPr>
            <w:r w:rsidRPr="00936F4F">
              <w:t>ATH-2014014650.00</w:t>
            </w:r>
          </w:p>
        </w:tc>
        <w:tc>
          <w:tcPr>
            <w:tcW w:w="1522" w:type="pct"/>
            <w:tcBorders>
              <w:top w:val="nil"/>
              <w:left w:val="single" w:sz="4" w:space="0" w:color="1C556C"/>
              <w:bottom w:val="single" w:sz="4" w:space="0" w:color="1C556C"/>
              <w:right w:val="single" w:sz="4" w:space="0" w:color="1C556C"/>
            </w:tcBorders>
          </w:tcPr>
          <w:p w14:paraId="27189497" w14:textId="77777777" w:rsidR="00C57A42" w:rsidRPr="00936F4F" w:rsidRDefault="00C57A42" w:rsidP="00557EAC">
            <w:pPr>
              <w:pStyle w:val="Tabletext"/>
            </w:pPr>
            <w:r w:rsidRPr="00936F4F">
              <w:t xml:space="preserve">Discharge </w:t>
            </w:r>
            <w:r>
              <w:t>p</w:t>
            </w:r>
            <w:r w:rsidRPr="00936F4F">
              <w:t>ermit</w:t>
            </w:r>
          </w:p>
        </w:tc>
        <w:tc>
          <w:tcPr>
            <w:tcW w:w="1030" w:type="pct"/>
            <w:tcBorders>
              <w:top w:val="nil"/>
              <w:left w:val="single" w:sz="4" w:space="0" w:color="1C556C"/>
              <w:bottom w:val="single" w:sz="4" w:space="0" w:color="1C556C"/>
              <w:right w:val="single" w:sz="4" w:space="0" w:color="1C556C"/>
            </w:tcBorders>
          </w:tcPr>
          <w:p w14:paraId="75092AE9" w14:textId="77777777" w:rsidR="00C57A42" w:rsidRPr="00936F4F" w:rsidRDefault="00C57A42" w:rsidP="00557EAC">
            <w:pPr>
              <w:pStyle w:val="Tabletext"/>
            </w:pPr>
            <w:r w:rsidRPr="00936F4F">
              <w:t>Water</w:t>
            </w:r>
          </w:p>
        </w:tc>
        <w:tc>
          <w:tcPr>
            <w:tcW w:w="1288" w:type="pct"/>
            <w:tcBorders>
              <w:top w:val="nil"/>
              <w:left w:val="single" w:sz="4" w:space="0" w:color="1C556C"/>
              <w:bottom w:val="single" w:sz="4" w:space="0" w:color="1C556C"/>
              <w:right w:val="single" w:sz="4" w:space="0" w:color="1C556C"/>
            </w:tcBorders>
          </w:tcPr>
          <w:p w14:paraId="7BC0267A" w14:textId="77777777" w:rsidR="00C57A42" w:rsidRPr="00936F4F" w:rsidRDefault="00C57A42" w:rsidP="00557EAC">
            <w:pPr>
              <w:pStyle w:val="Tabletext"/>
            </w:pPr>
            <w:r w:rsidRPr="00936F4F">
              <w:t>Section 88</w:t>
            </w:r>
          </w:p>
        </w:tc>
      </w:tr>
      <w:tr w:rsidR="00C57A42" w:rsidRPr="00936F4F" w14:paraId="34DB1D46" w14:textId="77777777" w:rsidTr="009B322F">
        <w:trPr>
          <w:trHeight w:val="20"/>
        </w:trPr>
        <w:tc>
          <w:tcPr>
            <w:tcW w:w="1160" w:type="pct"/>
            <w:tcBorders>
              <w:top w:val="single" w:sz="4" w:space="0" w:color="1C556C"/>
              <w:left w:val="single" w:sz="4" w:space="0" w:color="1C556C"/>
              <w:bottom w:val="single" w:sz="4" w:space="0" w:color="1C556C"/>
              <w:right w:val="single" w:sz="4" w:space="0" w:color="1C556C"/>
            </w:tcBorders>
          </w:tcPr>
          <w:p w14:paraId="765F8F5C" w14:textId="77777777" w:rsidR="00C57A42" w:rsidRPr="00936F4F" w:rsidRDefault="00C57A42" w:rsidP="00557EAC">
            <w:pPr>
              <w:pStyle w:val="Tabletext"/>
            </w:pPr>
            <w:r w:rsidRPr="00936F4F">
              <w:t>ATH-2014014651.00</w:t>
            </w:r>
          </w:p>
        </w:tc>
        <w:tc>
          <w:tcPr>
            <w:tcW w:w="1522" w:type="pct"/>
            <w:tcBorders>
              <w:top w:val="single" w:sz="4" w:space="0" w:color="1C556C"/>
              <w:left w:val="single" w:sz="4" w:space="0" w:color="1C556C"/>
              <w:bottom w:val="single" w:sz="4" w:space="0" w:color="1C556C"/>
              <w:right w:val="single" w:sz="4" w:space="0" w:color="1C556C"/>
            </w:tcBorders>
          </w:tcPr>
          <w:p w14:paraId="4B0BB641" w14:textId="77777777" w:rsidR="00C57A42" w:rsidRPr="00936F4F" w:rsidRDefault="00C57A42" w:rsidP="00557EAC">
            <w:pPr>
              <w:pStyle w:val="Tabletext"/>
            </w:pPr>
            <w:r w:rsidRPr="00936F4F">
              <w:t xml:space="preserve">Discharge </w:t>
            </w:r>
            <w:r>
              <w:t>p</w:t>
            </w:r>
            <w:r w:rsidRPr="00936F4F">
              <w:t>ermit</w:t>
            </w:r>
          </w:p>
        </w:tc>
        <w:tc>
          <w:tcPr>
            <w:tcW w:w="1030" w:type="pct"/>
            <w:tcBorders>
              <w:top w:val="single" w:sz="4" w:space="0" w:color="1C556C"/>
              <w:left w:val="single" w:sz="4" w:space="0" w:color="1C556C"/>
              <w:bottom w:val="single" w:sz="4" w:space="0" w:color="1C556C"/>
              <w:right w:val="single" w:sz="4" w:space="0" w:color="1C556C"/>
            </w:tcBorders>
          </w:tcPr>
          <w:p w14:paraId="1B5BC2F1" w14:textId="77777777" w:rsidR="00C57A42" w:rsidRPr="00936F4F" w:rsidRDefault="00C57A42" w:rsidP="00557EAC">
            <w:pPr>
              <w:pStyle w:val="Tabletext"/>
            </w:pPr>
            <w:r w:rsidRPr="00936F4F">
              <w:t>Air</w:t>
            </w:r>
          </w:p>
        </w:tc>
        <w:tc>
          <w:tcPr>
            <w:tcW w:w="1288" w:type="pct"/>
            <w:tcBorders>
              <w:top w:val="single" w:sz="4" w:space="0" w:color="1C556C"/>
              <w:left w:val="single" w:sz="4" w:space="0" w:color="1C556C"/>
              <w:bottom w:val="single" w:sz="4" w:space="0" w:color="1C556C"/>
              <w:right w:val="single" w:sz="4" w:space="0" w:color="1C556C"/>
            </w:tcBorders>
          </w:tcPr>
          <w:p w14:paraId="2A525D89" w14:textId="77777777" w:rsidR="00C57A42" w:rsidRPr="00936F4F" w:rsidRDefault="00C57A42" w:rsidP="00557EAC">
            <w:pPr>
              <w:pStyle w:val="Tabletext"/>
            </w:pPr>
            <w:r w:rsidRPr="00936F4F">
              <w:t>Section 88</w:t>
            </w:r>
          </w:p>
        </w:tc>
      </w:tr>
      <w:tr w:rsidR="00C57A42" w:rsidRPr="00936F4F" w14:paraId="7A7A7214" w14:textId="77777777" w:rsidTr="009B322F">
        <w:trPr>
          <w:trHeight w:val="20"/>
        </w:trPr>
        <w:tc>
          <w:tcPr>
            <w:tcW w:w="1160" w:type="pct"/>
            <w:tcBorders>
              <w:top w:val="single" w:sz="4" w:space="0" w:color="1C556C"/>
              <w:left w:val="single" w:sz="4" w:space="0" w:color="1C556C"/>
              <w:bottom w:val="single" w:sz="4" w:space="0" w:color="1C556C"/>
              <w:right w:val="single" w:sz="4" w:space="0" w:color="1C556C"/>
            </w:tcBorders>
          </w:tcPr>
          <w:p w14:paraId="54FECB5D" w14:textId="77777777" w:rsidR="00C57A42" w:rsidRPr="00936F4F" w:rsidRDefault="00C57A42" w:rsidP="00557EAC">
            <w:pPr>
              <w:pStyle w:val="Tabletext"/>
            </w:pPr>
            <w:r w:rsidRPr="00936F4F">
              <w:t>ATH-2014014654.00</w:t>
            </w:r>
          </w:p>
        </w:tc>
        <w:tc>
          <w:tcPr>
            <w:tcW w:w="1522" w:type="pct"/>
            <w:tcBorders>
              <w:top w:val="single" w:sz="4" w:space="0" w:color="1C556C"/>
              <w:left w:val="single" w:sz="4" w:space="0" w:color="1C556C"/>
              <w:bottom w:val="single" w:sz="4" w:space="0" w:color="1C556C"/>
              <w:right w:val="single" w:sz="4" w:space="0" w:color="1C556C"/>
            </w:tcBorders>
          </w:tcPr>
          <w:p w14:paraId="4DCC8CD2" w14:textId="77777777" w:rsidR="00C57A42" w:rsidRPr="00D02EA4" w:rsidRDefault="00C57A42" w:rsidP="00557EAC">
            <w:pPr>
              <w:pStyle w:val="Tabletext"/>
              <w:rPr>
                <w:szCs w:val="18"/>
              </w:rPr>
            </w:pPr>
            <w:r w:rsidRPr="00D02EA4">
              <w:rPr>
                <w:szCs w:val="18"/>
              </w:rPr>
              <w:t>Discharge permit</w:t>
            </w:r>
          </w:p>
        </w:tc>
        <w:tc>
          <w:tcPr>
            <w:tcW w:w="1030" w:type="pct"/>
            <w:tcBorders>
              <w:top w:val="single" w:sz="4" w:space="0" w:color="1C556C"/>
              <w:left w:val="single" w:sz="4" w:space="0" w:color="1C556C"/>
              <w:bottom w:val="single" w:sz="4" w:space="0" w:color="1C556C"/>
              <w:right w:val="single" w:sz="4" w:space="0" w:color="1C556C"/>
            </w:tcBorders>
          </w:tcPr>
          <w:p w14:paraId="3B432C8E" w14:textId="77777777" w:rsidR="00C57A42" w:rsidRPr="00936F4F" w:rsidRDefault="00C57A42" w:rsidP="00557EAC">
            <w:pPr>
              <w:pStyle w:val="Tabletext"/>
            </w:pPr>
            <w:r w:rsidRPr="00936F4F">
              <w:t>Land</w:t>
            </w:r>
          </w:p>
        </w:tc>
        <w:tc>
          <w:tcPr>
            <w:tcW w:w="1288" w:type="pct"/>
            <w:tcBorders>
              <w:top w:val="single" w:sz="4" w:space="0" w:color="1C556C"/>
              <w:left w:val="single" w:sz="4" w:space="0" w:color="1C556C"/>
              <w:bottom w:val="single" w:sz="4" w:space="0" w:color="1C556C"/>
              <w:right w:val="single" w:sz="4" w:space="0" w:color="1C556C"/>
            </w:tcBorders>
          </w:tcPr>
          <w:p w14:paraId="1B111C61" w14:textId="77777777" w:rsidR="00C57A42" w:rsidRPr="00936F4F" w:rsidRDefault="00C57A42" w:rsidP="00557EAC">
            <w:pPr>
              <w:pStyle w:val="Tabletext"/>
            </w:pPr>
            <w:r w:rsidRPr="00936F4F">
              <w:t>Section 88</w:t>
            </w:r>
          </w:p>
        </w:tc>
      </w:tr>
    </w:tbl>
    <w:p w14:paraId="467755FD" w14:textId="77777777" w:rsidR="00C57A42" w:rsidRPr="00823227" w:rsidRDefault="00C57A42" w:rsidP="00557EAC">
      <w:pPr>
        <w:pStyle w:val="Heading3"/>
      </w:pPr>
      <w:r w:rsidRPr="00823227">
        <w:t xml:space="preserve">Field 1.5.6 – Class of activity </w:t>
      </w:r>
    </w:p>
    <w:p w14:paraId="6B2A93F7" w14:textId="77777777" w:rsidR="00C57A42" w:rsidRDefault="00C57A42" w:rsidP="00557EAC">
      <w:pPr>
        <w:pStyle w:val="BodyText"/>
      </w:pPr>
      <w:r>
        <w:t xml:space="preserve">At 1.5.6, please note the class of activity relevant to the consent. If the consent type noted in 1.5.2 was combined land use and subdivision, please state the class of activity for land use in 1.5.6 and add an extra column for the subdivision class of activity.  </w:t>
      </w:r>
    </w:p>
    <w:p w14:paraId="5B7B4864" w14:textId="77777777" w:rsidR="00C57A42" w:rsidRDefault="00C57A42" w:rsidP="00557EAC">
      <w:pPr>
        <w:pStyle w:val="BodyText"/>
      </w:pPr>
      <w:r>
        <w:t xml:space="preserve">Where an application was returned incomplete or an activity type is yet to be determined, please respond with not applicable. </w:t>
      </w:r>
    </w:p>
    <w:p w14:paraId="23950044" w14:textId="77777777" w:rsidR="00C57A42" w:rsidRPr="00823227" w:rsidRDefault="00C57A42" w:rsidP="00557EAC">
      <w:pPr>
        <w:pStyle w:val="Heading3"/>
      </w:pPr>
      <w:r w:rsidRPr="00823227">
        <w:lastRenderedPageBreak/>
        <w:t>Field 1.5.8 – Date lodged</w:t>
      </w:r>
    </w:p>
    <w:p w14:paraId="263805AC" w14:textId="0763430D" w:rsidR="00C57A42" w:rsidRDefault="00C57A42" w:rsidP="00557EAC">
      <w:pPr>
        <w:pStyle w:val="BodyText"/>
      </w:pPr>
      <w:r>
        <w:t>At 1.5.8, we ask for the lodgement date of the application. Guidelines on providing correct dates for consents can be found in the</w:t>
      </w:r>
      <w:r w:rsidRPr="003201FB">
        <w:t xml:space="preserve"> </w:t>
      </w:r>
      <w:hyperlink r:id="rId20" w:history="1">
        <w:r w:rsidRPr="000A0DA1">
          <w:rPr>
            <w:rStyle w:val="Hyperlink"/>
          </w:rPr>
          <w:t xml:space="preserve">Resource </w:t>
        </w:r>
        <w:r w:rsidR="000D5170">
          <w:rPr>
            <w:rStyle w:val="Hyperlink"/>
          </w:rPr>
          <w:t>M</w:t>
        </w:r>
        <w:r w:rsidRPr="000A0DA1">
          <w:rPr>
            <w:rStyle w:val="Hyperlink"/>
          </w:rPr>
          <w:t xml:space="preserve">anagement (Discount on </w:t>
        </w:r>
        <w:r w:rsidR="000D5170">
          <w:rPr>
            <w:rStyle w:val="Hyperlink"/>
          </w:rPr>
          <w:t>A</w:t>
        </w:r>
        <w:r w:rsidRPr="000A0DA1">
          <w:rPr>
            <w:rStyle w:val="Hyperlink"/>
          </w:rPr>
          <w:t xml:space="preserve">dministrative </w:t>
        </w:r>
        <w:r w:rsidR="000D5170">
          <w:rPr>
            <w:rStyle w:val="Hyperlink"/>
          </w:rPr>
          <w:t>C</w:t>
        </w:r>
        <w:r w:rsidRPr="000A0DA1">
          <w:rPr>
            <w:rStyle w:val="Hyperlink"/>
          </w:rPr>
          <w:t xml:space="preserve">harges) </w:t>
        </w:r>
        <w:r w:rsidR="000D5170">
          <w:rPr>
            <w:rStyle w:val="Hyperlink"/>
          </w:rPr>
          <w:t>R</w:t>
        </w:r>
        <w:r w:rsidRPr="000A0DA1">
          <w:rPr>
            <w:rStyle w:val="Hyperlink"/>
          </w:rPr>
          <w:t>egulation 2010 – Implementation Guidance</w:t>
        </w:r>
      </w:hyperlink>
      <w:r w:rsidRPr="003201FB">
        <w:t xml:space="preserve">. </w:t>
      </w:r>
    </w:p>
    <w:p w14:paraId="4E3E7093" w14:textId="77777777" w:rsidR="00C57A42" w:rsidRDefault="00C57A42" w:rsidP="00557EAC">
      <w:pPr>
        <w:pStyle w:val="BodyText"/>
      </w:pPr>
      <w:r>
        <w:t>If an application for the same activity was previously returned under s</w:t>
      </w:r>
      <w:r w:rsidR="00943F15">
        <w:t>ection</w:t>
      </w:r>
      <w:r>
        <w:t xml:space="preserve"> 88, the lodgement date should be the date that the new application was lodged with your council.</w:t>
      </w:r>
    </w:p>
    <w:p w14:paraId="4C71901E" w14:textId="77777777" w:rsidR="00C57A42" w:rsidRPr="00823227" w:rsidRDefault="00C57A42" w:rsidP="00557EAC">
      <w:pPr>
        <w:pStyle w:val="Heading3"/>
      </w:pPr>
      <w:r w:rsidRPr="00823227">
        <w:t>Field 1.5.9 – Date determined as incomplete under section 88(3)</w:t>
      </w:r>
    </w:p>
    <w:p w14:paraId="3BB2AB23" w14:textId="77777777" w:rsidR="00C57A42" w:rsidRDefault="00C57A42" w:rsidP="00557EAC">
      <w:pPr>
        <w:pStyle w:val="BodyText"/>
      </w:pPr>
      <w:r>
        <w:t xml:space="preserve">At 1.5.9, we collect information on incomplete consent applications. If the resource consent at issue is complete please respond with not applicable. </w:t>
      </w:r>
    </w:p>
    <w:p w14:paraId="505C2831" w14:textId="77777777" w:rsidR="00C57A42" w:rsidRDefault="00C57A42" w:rsidP="00557EAC">
      <w:pPr>
        <w:pStyle w:val="BodyText"/>
      </w:pPr>
      <w:r>
        <w:t>If your council decided a resource consent was incomplete, please provide the date that this decision was made. Please also ensure that all incomplete consents have their own unit record identifier. If your council does not record this information for incomplete applications, please use a ‘dummy’ unit record identifier for incomplete applications, so that we can distinguish between different incomplete applications.</w:t>
      </w:r>
    </w:p>
    <w:p w14:paraId="7A7ECEC4" w14:textId="77777777" w:rsidR="00C57A42" w:rsidRDefault="00C57A42" w:rsidP="00557EAC">
      <w:pPr>
        <w:pStyle w:val="BodyText"/>
      </w:pPr>
      <w:r>
        <w:t xml:space="preserve">If, after an incomplete application was returned, a subsequent application was lodged, this should be treated as a new application with a distinct unit record identifier and lodgement date. You do not need to link this subsequent application to the original incomplete application. </w:t>
      </w:r>
    </w:p>
    <w:p w14:paraId="6DCF35C7" w14:textId="77777777" w:rsidR="00C57A42" w:rsidRPr="00823227" w:rsidRDefault="00C57A42" w:rsidP="00557EAC">
      <w:pPr>
        <w:pStyle w:val="Heading3"/>
      </w:pPr>
      <w:r w:rsidRPr="00823227">
        <w:t>Field 1.5.46 – Processed within statutory timeframe</w:t>
      </w:r>
    </w:p>
    <w:p w14:paraId="414F07CF" w14:textId="77777777" w:rsidR="00C57A42" w:rsidRDefault="00C57A42" w:rsidP="00557EAC">
      <w:pPr>
        <w:pStyle w:val="BodyText"/>
      </w:pPr>
      <w:r>
        <w:t>At 1.5.46, we ask you to record whether or not the consent was processed within the statutory timeframe. Please write ‘not applicable’ only if the consent was withdrawn or if the application was for an extension of the lapse period (s</w:t>
      </w:r>
      <w:r w:rsidR="00943F15">
        <w:t>ection</w:t>
      </w:r>
      <w:r>
        <w:t xml:space="preserve"> 125). </w:t>
      </w:r>
    </w:p>
    <w:p w14:paraId="0FEB5510" w14:textId="77777777" w:rsidR="00C57A42" w:rsidRPr="00823227" w:rsidRDefault="00C57A42" w:rsidP="00557EAC">
      <w:pPr>
        <w:pStyle w:val="Heading3"/>
      </w:pPr>
      <w:r w:rsidRPr="00823227">
        <w:t>Field 1.5.47 – Statutory days lapsed</w:t>
      </w:r>
    </w:p>
    <w:p w14:paraId="522AF784" w14:textId="77777777" w:rsidR="00C57A42" w:rsidRDefault="00C57A42" w:rsidP="00557EAC">
      <w:pPr>
        <w:pStyle w:val="BodyText"/>
      </w:pPr>
      <w:r>
        <w:t xml:space="preserve">At 1.5.47, we collect information on the number of statutory working days it took to process the consent. The number you provide should exclude the number of days extended under s 37. </w:t>
      </w:r>
    </w:p>
    <w:p w14:paraId="55665F57" w14:textId="3DE461B4" w:rsidR="00C57A42" w:rsidRDefault="00C57A42" w:rsidP="00557EAC">
      <w:pPr>
        <w:pStyle w:val="BodyText"/>
      </w:pPr>
      <w:r>
        <w:t xml:space="preserve">If you are unsure about how to correctly calculate the time lapsed please refer to </w:t>
      </w:r>
      <w:hyperlink r:id="rId21" w:history="1">
        <w:r w:rsidRPr="000A0DA1">
          <w:rPr>
            <w:rStyle w:val="Hyperlink"/>
          </w:rPr>
          <w:t xml:space="preserve">Resource </w:t>
        </w:r>
        <w:r w:rsidR="00943F15">
          <w:rPr>
            <w:rStyle w:val="Hyperlink"/>
          </w:rPr>
          <w:t>M</w:t>
        </w:r>
        <w:r w:rsidRPr="000A0DA1">
          <w:rPr>
            <w:rStyle w:val="Hyperlink"/>
          </w:rPr>
          <w:t xml:space="preserve">anagement (Discount on </w:t>
        </w:r>
        <w:r w:rsidR="000D5170">
          <w:rPr>
            <w:rStyle w:val="Hyperlink"/>
          </w:rPr>
          <w:t>A</w:t>
        </w:r>
        <w:r w:rsidRPr="000A0DA1">
          <w:rPr>
            <w:rStyle w:val="Hyperlink"/>
          </w:rPr>
          <w:t xml:space="preserve">dministrative </w:t>
        </w:r>
        <w:r w:rsidR="000D5170">
          <w:rPr>
            <w:rStyle w:val="Hyperlink"/>
          </w:rPr>
          <w:t>C</w:t>
        </w:r>
        <w:r w:rsidRPr="000A0DA1">
          <w:rPr>
            <w:rStyle w:val="Hyperlink"/>
          </w:rPr>
          <w:t xml:space="preserve">harges) </w:t>
        </w:r>
        <w:r w:rsidR="00943F15">
          <w:rPr>
            <w:rStyle w:val="Hyperlink"/>
          </w:rPr>
          <w:t>R</w:t>
        </w:r>
        <w:r w:rsidRPr="000A0DA1">
          <w:rPr>
            <w:rStyle w:val="Hyperlink"/>
          </w:rPr>
          <w:t>egulation</w:t>
        </w:r>
        <w:r w:rsidR="000D5170">
          <w:rPr>
            <w:rStyle w:val="Hyperlink"/>
          </w:rPr>
          <w:t>s</w:t>
        </w:r>
        <w:r w:rsidRPr="000A0DA1">
          <w:rPr>
            <w:rStyle w:val="Hyperlink"/>
          </w:rPr>
          <w:t xml:space="preserve"> 2010 – Implementation Guidance</w:t>
        </w:r>
      </w:hyperlink>
      <w:r w:rsidRPr="000A0DA1">
        <w:t>.</w:t>
      </w:r>
      <w:r>
        <w:t xml:space="preserve"> Alternatively, the NMS team is always happy to help with such matters and can be reached at </w:t>
      </w:r>
      <w:hyperlink r:id="rId22" w:history="1">
        <w:r w:rsidRPr="00AF237A">
          <w:rPr>
            <w:rStyle w:val="Hyperlink"/>
          </w:rPr>
          <w:t>NMS@mfe.govt.nz</w:t>
        </w:r>
      </w:hyperlink>
      <w:r>
        <w:t xml:space="preserve"> or on 022 069 0579.</w:t>
      </w:r>
    </w:p>
    <w:p w14:paraId="53646505" w14:textId="77777777" w:rsidR="00C57A42" w:rsidRPr="00823227" w:rsidRDefault="00C57A42" w:rsidP="00557EAC">
      <w:pPr>
        <w:pStyle w:val="Heading3"/>
      </w:pPr>
      <w:r w:rsidRPr="00823227">
        <w:t>Field 1.5.50</w:t>
      </w:r>
      <w:r w:rsidRPr="00823227">
        <w:softHyphen/>
        <w:t xml:space="preserve"> – Total charge to the applicant </w:t>
      </w:r>
    </w:p>
    <w:p w14:paraId="4D84578B" w14:textId="77777777" w:rsidR="00C57A42" w:rsidRDefault="00C57A42" w:rsidP="00557EAC">
      <w:pPr>
        <w:pStyle w:val="BodyText"/>
      </w:pPr>
      <w:r>
        <w:t xml:space="preserve">At 1.5.50, we record the total charge payable (GST inclusive) by the applicant for processing the application.   </w:t>
      </w:r>
    </w:p>
    <w:p w14:paraId="691F4A75" w14:textId="77777777" w:rsidR="00C57A42" w:rsidRPr="00557EAC" w:rsidRDefault="00C57A42" w:rsidP="00557EAC">
      <w:pPr>
        <w:pStyle w:val="BodyText"/>
        <w:rPr>
          <w:b/>
        </w:rPr>
      </w:pPr>
      <w:r w:rsidRPr="00557EAC">
        <w:rPr>
          <w:b/>
        </w:rPr>
        <w:t>This amount should include:</w:t>
      </w:r>
    </w:p>
    <w:p w14:paraId="707857F9" w14:textId="77777777" w:rsidR="00C57A42" w:rsidRPr="00557EAC" w:rsidRDefault="00C57A42" w:rsidP="00557EAC">
      <w:pPr>
        <w:pStyle w:val="Bullet"/>
        <w:spacing w:before="60" w:after="60" w:line="240" w:lineRule="auto"/>
      </w:pPr>
      <w:r w:rsidRPr="00557EAC">
        <w:t xml:space="preserve">any deposit recorded in the </w:t>
      </w:r>
      <w:r w:rsidR="00943F15" w:rsidRPr="00557EAC">
        <w:t>d</w:t>
      </w:r>
      <w:r w:rsidRPr="00557EAC">
        <w:t>eposit charged data field</w:t>
      </w:r>
    </w:p>
    <w:p w14:paraId="53D3D3C2" w14:textId="77777777" w:rsidR="00C57A42" w:rsidRPr="00557EAC" w:rsidRDefault="00C57A42" w:rsidP="00557EAC">
      <w:pPr>
        <w:pStyle w:val="Bullet"/>
        <w:spacing w:before="60" w:after="60" w:line="240" w:lineRule="auto"/>
      </w:pPr>
      <w:r w:rsidRPr="00557EAC">
        <w:t xml:space="preserve">any supplementary charges as a result of hearings, information gathered etc. </w:t>
      </w:r>
    </w:p>
    <w:p w14:paraId="006F8D53" w14:textId="77777777" w:rsidR="00C57A42" w:rsidRPr="009B322F" w:rsidRDefault="00C57A42" w:rsidP="00557EAC">
      <w:pPr>
        <w:pStyle w:val="BodyText"/>
        <w:keepNext/>
        <w:keepLines/>
        <w:rPr>
          <w:b/>
        </w:rPr>
      </w:pPr>
      <w:r w:rsidRPr="009B322F">
        <w:rPr>
          <w:b/>
        </w:rPr>
        <w:lastRenderedPageBreak/>
        <w:t xml:space="preserve">This amount should </w:t>
      </w:r>
      <w:r w:rsidR="009B322F">
        <w:rPr>
          <w:b/>
        </w:rPr>
        <w:t>NOT</w:t>
      </w:r>
      <w:r w:rsidRPr="009B322F">
        <w:rPr>
          <w:b/>
        </w:rPr>
        <w:t xml:space="preserve"> include: </w:t>
      </w:r>
    </w:p>
    <w:p w14:paraId="528D6671" w14:textId="77777777" w:rsidR="00C57A42" w:rsidRPr="00557EAC" w:rsidRDefault="00C57A42" w:rsidP="00557EAC">
      <w:pPr>
        <w:pStyle w:val="Bullet"/>
        <w:spacing w:before="60" w:after="60" w:line="240" w:lineRule="auto"/>
      </w:pPr>
      <w:r w:rsidRPr="00557EAC">
        <w:t xml:space="preserve">financial or development contributions </w:t>
      </w:r>
    </w:p>
    <w:p w14:paraId="159FED39" w14:textId="77777777" w:rsidR="00C57A42" w:rsidRPr="00557EAC" w:rsidRDefault="00C57A42" w:rsidP="00557EAC">
      <w:pPr>
        <w:pStyle w:val="Bullet"/>
        <w:spacing w:before="60" w:after="60" w:line="240" w:lineRule="auto"/>
      </w:pPr>
      <w:r w:rsidRPr="00557EAC">
        <w:t xml:space="preserve">compliance monitoring charges </w:t>
      </w:r>
    </w:p>
    <w:p w14:paraId="335C5F6D" w14:textId="1D611CAD" w:rsidR="00C57A42" w:rsidRPr="00557EAC" w:rsidRDefault="00C57A42" w:rsidP="00557EAC">
      <w:pPr>
        <w:pStyle w:val="Bullet"/>
        <w:spacing w:before="60" w:after="60" w:line="240" w:lineRule="auto"/>
      </w:pPr>
      <w:r w:rsidRPr="00557EAC">
        <w:t>any discount applied under the Discount Regulations (this information should be provided separately in 1.5.52)</w:t>
      </w:r>
      <w:r w:rsidR="00557EAC" w:rsidRPr="00557EAC">
        <w:t>.</w:t>
      </w:r>
    </w:p>
    <w:p w14:paraId="79C5A984" w14:textId="77777777" w:rsidR="00C57A42" w:rsidRPr="00EC3D0D" w:rsidRDefault="00C57A42" w:rsidP="00557EAC">
      <w:pPr>
        <w:pStyle w:val="Heading3"/>
        <w:spacing w:before="280"/>
      </w:pPr>
      <w:r w:rsidRPr="00823227">
        <w:t>Field 1.5.51</w:t>
      </w:r>
      <w:r w:rsidRPr="00823227">
        <w:softHyphen/>
        <w:t xml:space="preserve"> – Fixed fee application </w:t>
      </w:r>
    </w:p>
    <w:p w14:paraId="2F0533C0" w14:textId="77777777" w:rsidR="00C57A42" w:rsidRPr="00B83FA6" w:rsidRDefault="00C57A42" w:rsidP="00557EAC">
      <w:pPr>
        <w:pStyle w:val="BodyText"/>
      </w:pPr>
      <w:r>
        <w:t>At 1.5.51, we record whether or not the applicant was charged a fixed fee. Here, answering ‘yes’ means that the total amount charged to the applicant was</w:t>
      </w:r>
      <w:r w:rsidRPr="00791320">
        <w:rPr>
          <w:b/>
        </w:rPr>
        <w:t xml:space="preserve"> not</w:t>
      </w:r>
      <w:r>
        <w:t xml:space="preserve"> supplemented by additional charges or reasonable costs once the consent process is complete. Answering ‘no’ to this field means that the total amount charged to the applicant included actual and reasonable costs. </w:t>
      </w:r>
    </w:p>
    <w:p w14:paraId="759F1DE5" w14:textId="77777777" w:rsidR="00C57A42" w:rsidRPr="00823227" w:rsidRDefault="00C57A42" w:rsidP="00557EAC">
      <w:pPr>
        <w:pStyle w:val="Heading3"/>
        <w:spacing w:before="280"/>
      </w:pPr>
      <w:r w:rsidRPr="00823227">
        <w:t>How to deal with ‘bundled’ resource consents</w:t>
      </w:r>
    </w:p>
    <w:p w14:paraId="744ACF87" w14:textId="77777777" w:rsidR="00C57A42" w:rsidRPr="00936F4F" w:rsidRDefault="00C57A42" w:rsidP="00557EAC">
      <w:pPr>
        <w:pStyle w:val="BodyText"/>
      </w:pPr>
      <w:r w:rsidRPr="00936F4F">
        <w:t xml:space="preserve">In the template, a row of data is required for each resource consent that is processed to a decision, withdrawn or determined as incomplete and returned by each council within the financial year. </w:t>
      </w:r>
    </w:p>
    <w:p w14:paraId="75085943" w14:textId="77777777" w:rsidR="00C57A42" w:rsidRDefault="00C57A42" w:rsidP="00557EAC">
      <w:pPr>
        <w:pStyle w:val="BodyText"/>
      </w:pPr>
      <w:r>
        <w:t xml:space="preserve">We know that many </w:t>
      </w:r>
      <w:r w:rsidRPr="00936F4F">
        <w:t>local authorities to process an application for a particular project which pertains to multiple resource consents as one (</w:t>
      </w:r>
      <w:r>
        <w:t>aka</w:t>
      </w:r>
      <w:r w:rsidRPr="00936F4F">
        <w:t xml:space="preserve"> ‘bundled’ resource consent). </w:t>
      </w:r>
    </w:p>
    <w:p w14:paraId="5C555CD8" w14:textId="77777777" w:rsidR="00C57A42" w:rsidRDefault="00C57A42" w:rsidP="00557EAC">
      <w:pPr>
        <w:pStyle w:val="BodyText"/>
      </w:pPr>
      <w:r w:rsidRPr="00936F4F">
        <w:t xml:space="preserve">In such cases, we ask </w:t>
      </w:r>
      <w:r>
        <w:t xml:space="preserve">that </w:t>
      </w:r>
      <w:r w:rsidRPr="00936F4F">
        <w:t>each consent that forms a part of a bundled application be reported individually,</w:t>
      </w:r>
      <w:r w:rsidRPr="00936F4F">
        <w:rPr>
          <w:b/>
        </w:rPr>
        <w:t xml:space="preserve"> but identified in some way as a bundled consent</w:t>
      </w:r>
      <w:r w:rsidRPr="00936F4F">
        <w:t xml:space="preserve">. </w:t>
      </w:r>
    </w:p>
    <w:p w14:paraId="51D7ADE6" w14:textId="77777777" w:rsidR="00C57A42" w:rsidRDefault="00C57A42" w:rsidP="00557EAC">
      <w:pPr>
        <w:pStyle w:val="BodyText"/>
      </w:pPr>
      <w:r w:rsidRPr="00936F4F">
        <w:t xml:space="preserve">To do this, </w:t>
      </w:r>
      <w:r>
        <w:t>one</w:t>
      </w:r>
      <w:r w:rsidRPr="00936F4F">
        <w:t xml:space="preserve"> option is the use of an ‘application identifier’, and related ‘authorisation number’ (alternatively known as a ‘unit record identifier’). </w:t>
      </w:r>
      <w:r>
        <w:t xml:space="preserve">An example is provided in the table below. </w:t>
      </w:r>
    </w:p>
    <w:tbl>
      <w:tblPr>
        <w:tblW w:w="8392" w:type="dxa"/>
        <w:tblInd w:w="108" w:type="dxa"/>
        <w:tblBorders>
          <w:top w:val="single" w:sz="4" w:space="0" w:color="677719"/>
          <w:bottom w:val="single" w:sz="4" w:space="0" w:color="677719"/>
          <w:insideH w:val="single" w:sz="4" w:space="0" w:color="677719"/>
          <w:insideV w:val="single" w:sz="4" w:space="0" w:color="677719"/>
        </w:tblBorders>
        <w:tblLayout w:type="fixed"/>
        <w:tblLook w:val="00A0" w:firstRow="1" w:lastRow="0" w:firstColumn="1" w:lastColumn="0" w:noHBand="0" w:noVBand="0"/>
      </w:tblPr>
      <w:tblGrid>
        <w:gridCol w:w="2580"/>
        <w:gridCol w:w="2268"/>
        <w:gridCol w:w="2127"/>
        <w:gridCol w:w="1417"/>
      </w:tblGrid>
      <w:tr w:rsidR="00C57A42" w:rsidRPr="00936F4F" w14:paraId="3ACD57BB" w14:textId="77777777" w:rsidTr="00557EAC">
        <w:trPr>
          <w:trHeight w:val="20"/>
        </w:trPr>
        <w:tc>
          <w:tcPr>
            <w:tcW w:w="1537" w:type="pct"/>
            <w:tcBorders>
              <w:top w:val="nil"/>
              <w:left w:val="single" w:sz="4" w:space="0" w:color="1C556C"/>
              <w:bottom w:val="nil"/>
              <w:right w:val="single" w:sz="4" w:space="0" w:color="1C556C"/>
            </w:tcBorders>
            <w:shd w:val="clear" w:color="auto" w:fill="1C556C"/>
            <w:vAlign w:val="bottom"/>
          </w:tcPr>
          <w:p w14:paraId="1198D3E9" w14:textId="77777777" w:rsidR="00C57A42" w:rsidRPr="00936F4F" w:rsidRDefault="00C57A42" w:rsidP="00557EAC">
            <w:pPr>
              <w:pStyle w:val="TableTextbold"/>
              <w:rPr>
                <w:color w:val="FFFFFF" w:themeColor="background1"/>
              </w:rPr>
            </w:pPr>
            <w:r w:rsidRPr="00936F4F">
              <w:rPr>
                <w:color w:val="FFFFFF" w:themeColor="background1"/>
              </w:rPr>
              <w:t xml:space="preserve">Council inserted column – application </w:t>
            </w:r>
            <w:r>
              <w:rPr>
                <w:color w:val="FFFFFF" w:themeColor="background1"/>
              </w:rPr>
              <w:t>identifier</w:t>
            </w:r>
          </w:p>
        </w:tc>
        <w:tc>
          <w:tcPr>
            <w:tcW w:w="1351" w:type="pct"/>
            <w:tcBorders>
              <w:top w:val="nil"/>
              <w:left w:val="single" w:sz="4" w:space="0" w:color="1C556C"/>
              <w:bottom w:val="nil"/>
              <w:right w:val="single" w:sz="4" w:space="0" w:color="1C556C"/>
            </w:tcBorders>
            <w:shd w:val="clear" w:color="auto" w:fill="1C556C"/>
            <w:vAlign w:val="bottom"/>
          </w:tcPr>
          <w:p w14:paraId="2F064319" w14:textId="77777777" w:rsidR="00C57A42" w:rsidRPr="00936F4F" w:rsidRDefault="00C57A42" w:rsidP="00557EAC">
            <w:pPr>
              <w:pStyle w:val="TableTextbold"/>
              <w:rPr>
                <w:color w:val="FFFFFF" w:themeColor="background1"/>
              </w:rPr>
            </w:pPr>
            <w:r w:rsidRPr="00936F4F">
              <w:rPr>
                <w:color w:val="FFFFFF" w:themeColor="background1"/>
              </w:rPr>
              <w:t>Unit record identifier</w:t>
            </w:r>
          </w:p>
        </w:tc>
        <w:tc>
          <w:tcPr>
            <w:tcW w:w="1267" w:type="pct"/>
            <w:tcBorders>
              <w:top w:val="nil"/>
              <w:left w:val="single" w:sz="4" w:space="0" w:color="1C556C"/>
              <w:bottom w:val="nil"/>
              <w:right w:val="single" w:sz="4" w:space="0" w:color="1C556C"/>
            </w:tcBorders>
            <w:shd w:val="clear" w:color="auto" w:fill="1C556C"/>
            <w:vAlign w:val="bottom"/>
          </w:tcPr>
          <w:p w14:paraId="1E48EB6E" w14:textId="77777777" w:rsidR="00C57A42" w:rsidRPr="00936F4F" w:rsidRDefault="00C57A42" w:rsidP="00557EAC">
            <w:pPr>
              <w:pStyle w:val="TableTextbold"/>
              <w:rPr>
                <w:color w:val="FFFFFF" w:themeColor="background1"/>
              </w:rPr>
            </w:pPr>
            <w:r w:rsidRPr="00936F4F">
              <w:rPr>
                <w:color w:val="FFFFFF" w:themeColor="background1"/>
              </w:rPr>
              <w:t>Type of resource consent</w:t>
            </w:r>
          </w:p>
        </w:tc>
        <w:tc>
          <w:tcPr>
            <w:tcW w:w="844" w:type="pct"/>
            <w:tcBorders>
              <w:top w:val="nil"/>
              <w:left w:val="single" w:sz="4" w:space="0" w:color="1C556C"/>
              <w:bottom w:val="nil"/>
              <w:right w:val="single" w:sz="4" w:space="0" w:color="1C556C"/>
            </w:tcBorders>
            <w:shd w:val="clear" w:color="auto" w:fill="1C556C"/>
            <w:vAlign w:val="bottom"/>
          </w:tcPr>
          <w:p w14:paraId="6E7C8A2A" w14:textId="77777777" w:rsidR="00C57A42" w:rsidRPr="00936F4F" w:rsidRDefault="00C57A42" w:rsidP="00557EAC">
            <w:pPr>
              <w:pStyle w:val="TableTextbold"/>
              <w:rPr>
                <w:color w:val="FFFFFF" w:themeColor="background1"/>
              </w:rPr>
            </w:pPr>
            <w:r>
              <w:rPr>
                <w:color w:val="FFFFFF" w:themeColor="background1"/>
              </w:rPr>
              <w:t>Total charge</w:t>
            </w:r>
          </w:p>
        </w:tc>
      </w:tr>
      <w:tr w:rsidR="00C57A42" w:rsidRPr="00936F4F" w14:paraId="08E9FFE7" w14:textId="77777777" w:rsidTr="00557EAC">
        <w:trPr>
          <w:trHeight w:val="20"/>
        </w:trPr>
        <w:tc>
          <w:tcPr>
            <w:tcW w:w="1537" w:type="pct"/>
            <w:tcBorders>
              <w:top w:val="nil"/>
              <w:left w:val="single" w:sz="4" w:space="0" w:color="1C556C"/>
              <w:bottom w:val="single" w:sz="4" w:space="0" w:color="1C556C"/>
              <w:right w:val="single" w:sz="4" w:space="0" w:color="1C556C"/>
            </w:tcBorders>
          </w:tcPr>
          <w:p w14:paraId="72AB7F1E" w14:textId="77777777" w:rsidR="00C57A42" w:rsidRPr="00936F4F" w:rsidRDefault="00C57A42" w:rsidP="00557EAC">
            <w:pPr>
              <w:pStyle w:val="Tabletext"/>
            </w:pPr>
            <w:r w:rsidRPr="00936F4F">
              <w:t>APP-2012015716.00</w:t>
            </w:r>
          </w:p>
        </w:tc>
        <w:tc>
          <w:tcPr>
            <w:tcW w:w="1351" w:type="pct"/>
            <w:tcBorders>
              <w:top w:val="nil"/>
              <w:left w:val="single" w:sz="4" w:space="0" w:color="1C556C"/>
              <w:bottom w:val="single" w:sz="4" w:space="0" w:color="1C556C"/>
              <w:right w:val="single" w:sz="4" w:space="0" w:color="1C556C"/>
            </w:tcBorders>
          </w:tcPr>
          <w:p w14:paraId="3838881A" w14:textId="77777777" w:rsidR="00C57A42" w:rsidRPr="00936F4F" w:rsidRDefault="00C57A42" w:rsidP="00557EAC">
            <w:pPr>
              <w:pStyle w:val="Tabletext"/>
            </w:pPr>
            <w:r w:rsidRPr="00936F4F">
              <w:t>ATH-2014014650.00</w:t>
            </w:r>
          </w:p>
        </w:tc>
        <w:tc>
          <w:tcPr>
            <w:tcW w:w="1267" w:type="pct"/>
            <w:tcBorders>
              <w:top w:val="nil"/>
              <w:left w:val="single" w:sz="4" w:space="0" w:color="1C556C"/>
              <w:bottom w:val="single" w:sz="4" w:space="0" w:color="1C556C"/>
              <w:right w:val="single" w:sz="4" w:space="0" w:color="1C556C"/>
            </w:tcBorders>
          </w:tcPr>
          <w:p w14:paraId="6BCA1DFE" w14:textId="77777777" w:rsidR="00C57A42" w:rsidRPr="00936F4F" w:rsidRDefault="00C57A42" w:rsidP="00557EAC">
            <w:pPr>
              <w:pStyle w:val="Tabletext"/>
            </w:pPr>
            <w:r w:rsidRPr="00936F4F">
              <w:t xml:space="preserve">Discharge </w:t>
            </w:r>
            <w:r>
              <w:t>p</w:t>
            </w:r>
            <w:r w:rsidRPr="00936F4F">
              <w:t>ermit</w:t>
            </w:r>
          </w:p>
        </w:tc>
        <w:tc>
          <w:tcPr>
            <w:tcW w:w="844" w:type="pct"/>
            <w:tcBorders>
              <w:top w:val="nil"/>
              <w:left w:val="single" w:sz="4" w:space="0" w:color="1C556C"/>
              <w:bottom w:val="single" w:sz="4" w:space="0" w:color="1C556C"/>
              <w:right w:val="single" w:sz="4" w:space="0" w:color="1C556C"/>
            </w:tcBorders>
          </w:tcPr>
          <w:p w14:paraId="43ED7D3A" w14:textId="77777777" w:rsidR="00C57A42" w:rsidRPr="00936F4F" w:rsidRDefault="00C57A42" w:rsidP="00557EAC">
            <w:pPr>
              <w:pStyle w:val="Tabletext"/>
            </w:pPr>
            <w:r>
              <w:t>$2000</w:t>
            </w:r>
          </w:p>
        </w:tc>
      </w:tr>
      <w:tr w:rsidR="00C57A42" w:rsidRPr="00936F4F" w14:paraId="1E59C7BF" w14:textId="77777777" w:rsidTr="00557EAC">
        <w:trPr>
          <w:trHeight w:val="20"/>
        </w:trPr>
        <w:tc>
          <w:tcPr>
            <w:tcW w:w="1537" w:type="pct"/>
            <w:tcBorders>
              <w:top w:val="single" w:sz="4" w:space="0" w:color="1C556C"/>
              <w:left w:val="single" w:sz="4" w:space="0" w:color="1C556C"/>
              <w:bottom w:val="single" w:sz="4" w:space="0" w:color="1C556C"/>
              <w:right w:val="single" w:sz="4" w:space="0" w:color="1C556C"/>
            </w:tcBorders>
          </w:tcPr>
          <w:p w14:paraId="140AEEA1" w14:textId="77777777" w:rsidR="00C57A42" w:rsidRPr="00936F4F" w:rsidRDefault="00C57A42" w:rsidP="00557EAC">
            <w:pPr>
              <w:pStyle w:val="Tabletext"/>
            </w:pPr>
            <w:r w:rsidRPr="00936F4F">
              <w:t>APP-2012015716.00</w:t>
            </w:r>
          </w:p>
        </w:tc>
        <w:tc>
          <w:tcPr>
            <w:tcW w:w="1351" w:type="pct"/>
            <w:tcBorders>
              <w:top w:val="single" w:sz="4" w:space="0" w:color="1C556C"/>
              <w:left w:val="single" w:sz="4" w:space="0" w:color="1C556C"/>
              <w:bottom w:val="single" w:sz="4" w:space="0" w:color="1C556C"/>
              <w:right w:val="single" w:sz="4" w:space="0" w:color="1C556C"/>
            </w:tcBorders>
          </w:tcPr>
          <w:p w14:paraId="02714253" w14:textId="77777777" w:rsidR="00C57A42" w:rsidRPr="00936F4F" w:rsidRDefault="00C57A42" w:rsidP="00557EAC">
            <w:pPr>
              <w:pStyle w:val="Tabletext"/>
            </w:pPr>
            <w:r w:rsidRPr="00936F4F">
              <w:t>ATH-2014014651.00</w:t>
            </w:r>
          </w:p>
        </w:tc>
        <w:tc>
          <w:tcPr>
            <w:tcW w:w="1267" w:type="pct"/>
            <w:tcBorders>
              <w:top w:val="single" w:sz="4" w:space="0" w:color="1C556C"/>
              <w:left w:val="single" w:sz="4" w:space="0" w:color="1C556C"/>
              <w:bottom w:val="single" w:sz="4" w:space="0" w:color="1C556C"/>
              <w:right w:val="single" w:sz="4" w:space="0" w:color="1C556C"/>
            </w:tcBorders>
          </w:tcPr>
          <w:p w14:paraId="4E0A2798" w14:textId="77777777" w:rsidR="00C57A42" w:rsidRPr="00936F4F" w:rsidRDefault="00C57A42" w:rsidP="00557EAC">
            <w:pPr>
              <w:pStyle w:val="Tabletext"/>
            </w:pPr>
            <w:r>
              <w:t>Land use</w:t>
            </w:r>
          </w:p>
        </w:tc>
        <w:tc>
          <w:tcPr>
            <w:tcW w:w="844" w:type="pct"/>
            <w:tcBorders>
              <w:top w:val="single" w:sz="4" w:space="0" w:color="1C556C"/>
              <w:left w:val="single" w:sz="4" w:space="0" w:color="1C556C"/>
              <w:bottom w:val="single" w:sz="4" w:space="0" w:color="1C556C"/>
              <w:right w:val="single" w:sz="4" w:space="0" w:color="1C556C"/>
            </w:tcBorders>
          </w:tcPr>
          <w:p w14:paraId="769DC9F6" w14:textId="77777777" w:rsidR="00C57A42" w:rsidRPr="00936F4F" w:rsidRDefault="00C57A42" w:rsidP="00557EAC">
            <w:pPr>
              <w:pStyle w:val="Tabletext"/>
            </w:pPr>
            <w:r>
              <w:t>Bundled</w:t>
            </w:r>
          </w:p>
        </w:tc>
      </w:tr>
      <w:tr w:rsidR="00C57A42" w:rsidRPr="00936F4F" w14:paraId="51D13508" w14:textId="77777777" w:rsidTr="00557EAC">
        <w:trPr>
          <w:trHeight w:val="20"/>
        </w:trPr>
        <w:tc>
          <w:tcPr>
            <w:tcW w:w="1537" w:type="pct"/>
            <w:tcBorders>
              <w:top w:val="single" w:sz="4" w:space="0" w:color="1C556C"/>
              <w:left w:val="single" w:sz="4" w:space="0" w:color="1C556C"/>
              <w:bottom w:val="single" w:sz="4" w:space="0" w:color="1C556C"/>
              <w:right w:val="single" w:sz="4" w:space="0" w:color="1C556C"/>
            </w:tcBorders>
          </w:tcPr>
          <w:p w14:paraId="7550BB15" w14:textId="77777777" w:rsidR="00C57A42" w:rsidRPr="00936F4F" w:rsidRDefault="00C57A42" w:rsidP="00557EAC">
            <w:pPr>
              <w:pStyle w:val="Tabletext"/>
            </w:pPr>
            <w:r w:rsidRPr="00936F4F">
              <w:t>APP-2012015716.00</w:t>
            </w:r>
          </w:p>
        </w:tc>
        <w:tc>
          <w:tcPr>
            <w:tcW w:w="1351" w:type="pct"/>
            <w:tcBorders>
              <w:top w:val="single" w:sz="4" w:space="0" w:color="1C556C"/>
              <w:left w:val="single" w:sz="4" w:space="0" w:color="1C556C"/>
              <w:bottom w:val="single" w:sz="4" w:space="0" w:color="1C556C"/>
              <w:right w:val="single" w:sz="4" w:space="0" w:color="1C556C"/>
            </w:tcBorders>
          </w:tcPr>
          <w:p w14:paraId="35260685" w14:textId="77777777" w:rsidR="00C57A42" w:rsidRPr="00936F4F" w:rsidRDefault="00C57A42" w:rsidP="00557EAC">
            <w:pPr>
              <w:pStyle w:val="Tabletext"/>
            </w:pPr>
            <w:r w:rsidRPr="00936F4F">
              <w:t>ATH-2014014654.00</w:t>
            </w:r>
          </w:p>
        </w:tc>
        <w:tc>
          <w:tcPr>
            <w:tcW w:w="1267" w:type="pct"/>
            <w:tcBorders>
              <w:top w:val="single" w:sz="4" w:space="0" w:color="1C556C"/>
              <w:left w:val="single" w:sz="4" w:space="0" w:color="1C556C"/>
              <w:bottom w:val="single" w:sz="4" w:space="0" w:color="1C556C"/>
              <w:right w:val="single" w:sz="4" w:space="0" w:color="1C556C"/>
            </w:tcBorders>
          </w:tcPr>
          <w:p w14:paraId="0ED4F9C1" w14:textId="77777777" w:rsidR="00C57A42" w:rsidRPr="00D02EA4" w:rsidRDefault="00C57A42" w:rsidP="00557EAC">
            <w:pPr>
              <w:pStyle w:val="Tabletext"/>
              <w:rPr>
                <w:szCs w:val="18"/>
              </w:rPr>
            </w:pPr>
            <w:r>
              <w:rPr>
                <w:szCs w:val="18"/>
              </w:rPr>
              <w:t>Subdivision</w:t>
            </w:r>
          </w:p>
        </w:tc>
        <w:tc>
          <w:tcPr>
            <w:tcW w:w="844" w:type="pct"/>
            <w:tcBorders>
              <w:top w:val="single" w:sz="4" w:space="0" w:color="1C556C"/>
              <w:left w:val="single" w:sz="4" w:space="0" w:color="1C556C"/>
              <w:bottom w:val="single" w:sz="4" w:space="0" w:color="1C556C"/>
              <w:right w:val="single" w:sz="4" w:space="0" w:color="1C556C"/>
            </w:tcBorders>
          </w:tcPr>
          <w:p w14:paraId="1B7E27FF" w14:textId="77777777" w:rsidR="00C57A42" w:rsidRPr="00936F4F" w:rsidRDefault="00C57A42" w:rsidP="00557EAC">
            <w:pPr>
              <w:pStyle w:val="Tabletext"/>
            </w:pPr>
            <w:r>
              <w:t>Bundled</w:t>
            </w:r>
          </w:p>
        </w:tc>
      </w:tr>
    </w:tbl>
    <w:p w14:paraId="4263BF11" w14:textId="77777777" w:rsidR="00C57A42" w:rsidRDefault="00C57A42" w:rsidP="00557EAC">
      <w:pPr>
        <w:pStyle w:val="BodyText"/>
        <w:spacing w:before="120"/>
      </w:pPr>
      <w:r w:rsidRPr="00936F4F">
        <w:t>An alte</w:t>
      </w:r>
      <w:r>
        <w:t xml:space="preserve">rnative </w:t>
      </w:r>
      <w:r w:rsidRPr="00936F4F">
        <w:t>is to give each individual resource consent a common identifier plus an additional unique component to distinguish between each of the bundled consents</w:t>
      </w:r>
      <w:r>
        <w:t>;</w:t>
      </w:r>
      <w:r w:rsidRPr="00936F4F">
        <w:t xml:space="preserve"> for example, RM201589.1 (land use); RM201589.2 (subdivision) and RM201589.3 (water permit). </w:t>
      </w:r>
    </w:p>
    <w:p w14:paraId="07A5C38C" w14:textId="77777777" w:rsidR="00C57A42" w:rsidRDefault="00C57A42" w:rsidP="00557EAC">
      <w:pPr>
        <w:pStyle w:val="BodyText"/>
      </w:pPr>
      <w:r w:rsidRPr="00936F4F">
        <w:t xml:space="preserve">In this case, three rows of data would be populated, so we could identify the description and class of each activity; the remaining data can be recorded against just one of the numbers </w:t>
      </w:r>
      <w:r>
        <w:t xml:space="preserve">if they follow the same decision process. </w:t>
      </w:r>
    </w:p>
    <w:p w14:paraId="7D4B9990" w14:textId="77777777" w:rsidR="00C57A42" w:rsidRPr="009B322F" w:rsidRDefault="00C57A42" w:rsidP="00557EAC">
      <w:pPr>
        <w:pStyle w:val="Heading4"/>
        <w:spacing w:before="240" w:after="120"/>
      </w:pPr>
      <w:r w:rsidRPr="009B322F">
        <w:t xml:space="preserve">Avoid duplicating fees when dealing with bundled resource consents </w:t>
      </w:r>
    </w:p>
    <w:p w14:paraId="584F22FF" w14:textId="77777777" w:rsidR="00C57A42" w:rsidRDefault="00C57A42" w:rsidP="00557EAC">
      <w:pPr>
        <w:pStyle w:val="BodyText"/>
      </w:pPr>
      <w:r>
        <w:t xml:space="preserve">If a single fee is charged for a bundle of consents, the relevant fee information (data fields 1.5.49 to 1.5.52) should be listed against </w:t>
      </w:r>
      <w:r w:rsidRPr="00B875A2">
        <w:rPr>
          <w:b/>
        </w:rPr>
        <w:t>one of the consents only</w:t>
      </w:r>
      <w:r>
        <w:t xml:space="preserve">. For the other consents in the bundle, the fee information should be listed as ‘Bundled’. This will prevent us from </w:t>
      </w:r>
      <w:r w:rsidR="000D5170">
        <w:br/>
      </w:r>
      <w:r>
        <w:t xml:space="preserve">double-counting application fees. </w:t>
      </w:r>
      <w:r w:rsidRPr="00936F4F">
        <w:t xml:space="preserve">If you do, however, charge for each consent </w:t>
      </w:r>
      <w:r>
        <w:t xml:space="preserve">in a bundle </w:t>
      </w:r>
      <w:r w:rsidRPr="00936F4F">
        <w:t xml:space="preserve">separately, please </w:t>
      </w:r>
      <w:r>
        <w:t xml:space="preserve">record the </w:t>
      </w:r>
      <w:r w:rsidRPr="00936F4F">
        <w:t xml:space="preserve">relevant amounts </w:t>
      </w:r>
      <w:r>
        <w:t xml:space="preserve">against each consent. </w:t>
      </w:r>
    </w:p>
    <w:p w14:paraId="6EFE69E0" w14:textId="77777777" w:rsidR="00C57A42" w:rsidRPr="00936F4F" w:rsidRDefault="00C57A42" w:rsidP="00557EAC">
      <w:pPr>
        <w:pStyle w:val="BodyText"/>
      </w:pPr>
      <w:r w:rsidRPr="00936F4F">
        <w:lastRenderedPageBreak/>
        <w:t xml:space="preserve">Helpful links: </w:t>
      </w:r>
    </w:p>
    <w:p w14:paraId="31309D07" w14:textId="77777777" w:rsidR="00C57A42" w:rsidRPr="00557EAC" w:rsidRDefault="00BF20DD" w:rsidP="00557EAC">
      <w:pPr>
        <w:pStyle w:val="Bullet"/>
        <w:spacing w:before="60" w:after="60" w:line="240" w:lineRule="auto"/>
      </w:pPr>
      <w:hyperlink r:id="rId23" w:history="1">
        <w:r w:rsidR="00C57A42" w:rsidRPr="00557EAC">
          <w:rPr>
            <w:rStyle w:val="Hyperlink"/>
            <w:color w:val="auto"/>
          </w:rPr>
          <w:t>http://www.mfe.govt.nz/rma/reforms-and-amendments/about-resource-legislation-amendment-act-2017</w:t>
        </w:r>
      </w:hyperlink>
    </w:p>
    <w:p w14:paraId="3104E9B0" w14:textId="77777777" w:rsidR="00C57A42" w:rsidRPr="00557EAC" w:rsidRDefault="00BF20DD" w:rsidP="00557EAC">
      <w:pPr>
        <w:pStyle w:val="Bullet"/>
        <w:spacing w:before="60" w:after="60" w:line="240" w:lineRule="auto"/>
      </w:pPr>
      <w:hyperlink r:id="rId24" w:history="1">
        <w:r w:rsidR="00C57A42" w:rsidRPr="00557EAC">
          <w:rPr>
            <w:rStyle w:val="Hyperlink"/>
            <w:color w:val="auto"/>
          </w:rPr>
          <w:t>www.mfe.govt.nz/publications/rma/discount-on-administrative-charges-regulations</w:t>
        </w:r>
      </w:hyperlink>
    </w:p>
    <w:p w14:paraId="2485DE1B" w14:textId="77777777" w:rsidR="00C57A42" w:rsidRPr="00557EAC" w:rsidRDefault="00BF20DD" w:rsidP="00557EAC">
      <w:pPr>
        <w:pStyle w:val="Bullet"/>
        <w:spacing w:before="60" w:after="60" w:line="240" w:lineRule="auto"/>
      </w:pPr>
      <w:hyperlink r:id="rId25" w:history="1">
        <w:r w:rsidR="00C57A42" w:rsidRPr="00557EAC">
          <w:rPr>
            <w:rStyle w:val="Hyperlink"/>
            <w:color w:val="auto"/>
          </w:rPr>
          <w:t>www.mfe.govt.nz/publications/rma/guide-six-month-process-notified-resource-consent-applications</w:t>
        </w:r>
      </w:hyperlink>
    </w:p>
    <w:p w14:paraId="3EA66B21" w14:textId="77777777" w:rsidR="00C57A42" w:rsidRPr="00557EAC" w:rsidRDefault="00BF20DD" w:rsidP="00557EAC">
      <w:pPr>
        <w:pStyle w:val="Bullet"/>
        <w:spacing w:before="60" w:after="60" w:line="240" w:lineRule="auto"/>
      </w:pPr>
      <w:hyperlink r:id="rId26" w:history="1">
        <w:r w:rsidR="00C57A42" w:rsidRPr="00557EAC">
          <w:rPr>
            <w:rStyle w:val="Hyperlink"/>
            <w:color w:val="auto"/>
          </w:rPr>
          <w:t>www.mfe.govt.nz/publications/rma/guide-section-88-and-schedule-4-resource-management-act-1991</w:t>
        </w:r>
      </w:hyperlink>
    </w:p>
    <w:p w14:paraId="1168A91B" w14:textId="77777777" w:rsidR="00C57A42" w:rsidRPr="00243050" w:rsidRDefault="00C57A42" w:rsidP="00557EAC">
      <w:pPr>
        <w:pStyle w:val="Heading2"/>
        <w:spacing w:before="280"/>
      </w:pPr>
      <w:bookmarkStart w:id="13" w:name="_Toc10723899"/>
      <w:r w:rsidRPr="00243050">
        <w:t>Section 1.6 – Certificates of compliance,</w:t>
      </w:r>
      <w:r>
        <w:t xml:space="preserve"> </w:t>
      </w:r>
      <w:r w:rsidRPr="00243050">
        <w:t xml:space="preserve">existing </w:t>
      </w:r>
      <w:r w:rsidR="00943F15">
        <w:t>u</w:t>
      </w:r>
      <w:r w:rsidRPr="00243050">
        <w:t>se</w:t>
      </w:r>
      <w:r w:rsidR="00943F15">
        <w:t xml:space="preserve"> </w:t>
      </w:r>
      <w:r w:rsidRPr="00243050">
        <w:t>certificates and deemed permitted activities</w:t>
      </w:r>
      <w:bookmarkEnd w:id="13"/>
    </w:p>
    <w:p w14:paraId="772C3BA9" w14:textId="77777777" w:rsidR="00C57A42" w:rsidRPr="00557EAC" w:rsidRDefault="00C57A42" w:rsidP="00557EAC">
      <w:pPr>
        <w:pStyle w:val="BodyText"/>
      </w:pPr>
      <w:r w:rsidRPr="00557EAC">
        <w:t>This section requires the reporting of information about certificate of compliance, existing use certificate and deemed permitted activity applications/requests. Include all applications</w:t>
      </w:r>
      <w:r w:rsidR="00943F15" w:rsidRPr="00557EAC">
        <w:t xml:space="preserve"> or </w:t>
      </w:r>
      <w:r w:rsidRPr="00557EAC">
        <w:t xml:space="preserve">requests that were processed to a decision in the 2018/19 financial year. </w:t>
      </w:r>
    </w:p>
    <w:p w14:paraId="76F9ADD7" w14:textId="3E3FC055" w:rsidR="00C57A42" w:rsidRPr="00557EAC" w:rsidRDefault="00C57A42" w:rsidP="00557EAC">
      <w:pPr>
        <w:pStyle w:val="BodyText"/>
      </w:pPr>
      <w:r w:rsidRPr="00557EAC">
        <w:t xml:space="preserve">This includes applications/requests lodged before and during the 2018/19 financial year if the </w:t>
      </w:r>
      <w:r w:rsidR="00557EAC" w:rsidRPr="00557EAC">
        <w:t>d</w:t>
      </w:r>
      <w:r w:rsidRPr="00557EAC">
        <w:t xml:space="preserve">ecision to issue, decline, withdraw or was made in the 2018/19 financial year. </w:t>
      </w:r>
    </w:p>
    <w:p w14:paraId="638EFD3A" w14:textId="77777777" w:rsidR="00C57A42" w:rsidRPr="00823227" w:rsidRDefault="00C57A42" w:rsidP="00557EAC">
      <w:pPr>
        <w:pStyle w:val="Heading3"/>
        <w:spacing w:before="280"/>
      </w:pPr>
      <w:r w:rsidRPr="00823227">
        <w:t>Field 1.6.6 – Date lodged or initial date council first decides to apply the section 87BB process</w:t>
      </w:r>
    </w:p>
    <w:p w14:paraId="7F95781A" w14:textId="77777777" w:rsidR="00C57A42" w:rsidRDefault="00C57A42" w:rsidP="00557EAC">
      <w:pPr>
        <w:pStyle w:val="BodyText"/>
      </w:pPr>
      <w:r w:rsidRPr="00B83FA6">
        <w:t>At 1.6.6, we collect the date at whic</w:t>
      </w:r>
      <w:r>
        <w:t>h the request was made to your c</w:t>
      </w:r>
      <w:r w:rsidRPr="00B83FA6">
        <w:t>ouncil. This should be recorded as the first statut</w:t>
      </w:r>
      <w:r>
        <w:t xml:space="preserve">ory ‘working day’ after the application was received. </w:t>
      </w:r>
      <w:r w:rsidRPr="00B83FA6">
        <w:t xml:space="preserve"> </w:t>
      </w:r>
    </w:p>
    <w:p w14:paraId="242D7C13" w14:textId="77777777" w:rsidR="00C57A42" w:rsidRDefault="00C57A42" w:rsidP="00557EAC">
      <w:pPr>
        <w:pStyle w:val="BodyText"/>
      </w:pPr>
      <w:r>
        <w:t xml:space="preserve">When this information relates to a s 87BB process, the initial date that the council first decided to apply the s 87BB process should be provided. </w:t>
      </w:r>
    </w:p>
    <w:p w14:paraId="7FFDBDD7" w14:textId="77777777" w:rsidR="00C57A42" w:rsidRPr="009E721D" w:rsidRDefault="00C57A42" w:rsidP="00557EAC">
      <w:pPr>
        <w:pStyle w:val="Heading3"/>
        <w:spacing w:before="280"/>
      </w:pPr>
      <w:r w:rsidRPr="009E721D">
        <w:t xml:space="preserve">Field 1.6.10 – Processed within statutory timeframe </w:t>
      </w:r>
    </w:p>
    <w:p w14:paraId="4468D23F" w14:textId="77777777" w:rsidR="00C57A42" w:rsidRDefault="00C57A42" w:rsidP="00557EAC">
      <w:pPr>
        <w:pStyle w:val="BodyText"/>
      </w:pPr>
      <w:r>
        <w:t xml:space="preserve">At 1.6.10, we collect information about whether the request was processed within the appropriate timeframe. A request made under s 139(6) or s 139A(6)(c) should be processed within 20 working days (or more if further information is received or application fees are paid late). </w:t>
      </w:r>
    </w:p>
    <w:p w14:paraId="04569F85" w14:textId="77777777" w:rsidR="00C57A42" w:rsidRDefault="00C57A42" w:rsidP="00557EAC">
      <w:pPr>
        <w:pStyle w:val="BodyText"/>
      </w:pPr>
      <w:r>
        <w:t>If a request is made under s 87BA(3), the local authority must take action within ten working days, from when they received all required information. When dealing with deemed permitted marginal or temporary activities under s 87BB, there is no specified statutory timeframe.</w:t>
      </w:r>
    </w:p>
    <w:p w14:paraId="0A32629F" w14:textId="77777777" w:rsidR="00C57A42" w:rsidRPr="009E721D" w:rsidRDefault="00C57A42" w:rsidP="00557EAC">
      <w:pPr>
        <w:pStyle w:val="Heading3"/>
        <w:spacing w:before="280"/>
      </w:pPr>
      <w:r w:rsidRPr="009E721D">
        <w:t>Field 1.6.13 – Fixed fee application</w:t>
      </w:r>
    </w:p>
    <w:p w14:paraId="49FE352B" w14:textId="77777777" w:rsidR="00C57A42" w:rsidRPr="00B83FA6" w:rsidRDefault="00C57A42" w:rsidP="00557EAC">
      <w:pPr>
        <w:pStyle w:val="BodyText"/>
      </w:pPr>
      <w:r>
        <w:t>At 1.6</w:t>
      </w:r>
      <w:r w:rsidR="00943F15">
        <w:t>.</w:t>
      </w:r>
      <w:r>
        <w:t>13, we record whether or not the applicant was charged a fixed fee. Here, answering ‘yes’ means that the total amount charged to the applicant was</w:t>
      </w:r>
      <w:r w:rsidRPr="00791320">
        <w:rPr>
          <w:b/>
        </w:rPr>
        <w:t xml:space="preserve"> not</w:t>
      </w:r>
      <w:r>
        <w:t xml:space="preserve"> supplemented by additional charges or reasonable costs once the consent process is complete. Answering ‘no’ to this field means that the total amount charged to the applicant included actual and reasonable costs. </w:t>
      </w:r>
    </w:p>
    <w:p w14:paraId="384A906F" w14:textId="77777777" w:rsidR="00C57A42" w:rsidRDefault="00C57A42" w:rsidP="00557EAC">
      <w:pPr>
        <w:pStyle w:val="BodyText"/>
      </w:pPr>
      <w:r w:rsidRPr="00936F4F">
        <w:rPr>
          <w:b/>
        </w:rPr>
        <w:t>Helpful link</w:t>
      </w:r>
      <w:r>
        <w:rPr>
          <w:b/>
        </w:rPr>
        <w:t>:</w:t>
      </w:r>
      <w:r>
        <w:t xml:space="preserve"> </w:t>
      </w:r>
      <w:hyperlink r:id="rId27" w:history="1">
        <w:r w:rsidRPr="00D73181">
          <w:rPr>
            <w:rStyle w:val="Hyperlink"/>
          </w:rPr>
          <w:t>http://www.mfe.govt.nz/rma/reforms-and-amendments/about-resource-legislation-amendment-act-2017</w:t>
        </w:r>
      </w:hyperlink>
    </w:p>
    <w:p w14:paraId="1F93B5B0" w14:textId="77777777" w:rsidR="00C57A42" w:rsidRPr="00936F4F" w:rsidRDefault="00C57A42" w:rsidP="00557EAC">
      <w:pPr>
        <w:pStyle w:val="Heading1"/>
        <w:spacing w:after="240"/>
      </w:pPr>
      <w:bookmarkStart w:id="14" w:name="_Ref10114280"/>
      <w:bookmarkStart w:id="15" w:name="_Toc10723900"/>
      <w:r w:rsidRPr="00E43BBA">
        <w:rPr>
          <w:sz w:val="48"/>
        </w:rPr>
        <w:lastRenderedPageBreak/>
        <w:t>Section 2.0 – Annual summary information</w:t>
      </w:r>
      <w:bookmarkEnd w:id="14"/>
      <w:bookmarkEnd w:id="15"/>
      <w:r w:rsidRPr="00E43BBA">
        <w:rPr>
          <w:sz w:val="48"/>
        </w:rPr>
        <w:t xml:space="preserve"> </w:t>
      </w:r>
    </w:p>
    <w:p w14:paraId="00ADDFBB" w14:textId="77777777" w:rsidR="00C57A42" w:rsidRPr="00936F4F" w:rsidRDefault="00C57A42" w:rsidP="00557EAC">
      <w:pPr>
        <w:pStyle w:val="Heading2"/>
      </w:pPr>
      <w:bookmarkStart w:id="16" w:name="_Toc10723901"/>
      <w:r w:rsidRPr="00936F4F">
        <w:t>Section 2.1 – Iwi/</w:t>
      </w:r>
      <w:r>
        <w:t>hapū</w:t>
      </w:r>
      <w:r w:rsidRPr="00936F4F">
        <w:t xml:space="preserve"> involvement</w:t>
      </w:r>
      <w:bookmarkEnd w:id="16"/>
      <w:r w:rsidRPr="00936F4F">
        <w:t xml:space="preserve"> </w:t>
      </w:r>
    </w:p>
    <w:p w14:paraId="296CC4A7" w14:textId="77777777" w:rsidR="00C57A42" w:rsidRDefault="00C57A42" w:rsidP="00557EAC">
      <w:pPr>
        <w:pStyle w:val="BodyText"/>
      </w:pPr>
      <w:r w:rsidRPr="00EA3566">
        <w:t>This section collects information on all iwi involvement in the resource management process with your local authority within the 2018/19 financial year.</w:t>
      </w:r>
    </w:p>
    <w:p w14:paraId="4CC10B97" w14:textId="77777777" w:rsidR="00C57A42" w:rsidRPr="009E721D" w:rsidRDefault="00C57A42" w:rsidP="00557EAC">
      <w:pPr>
        <w:pStyle w:val="Heading3"/>
      </w:pPr>
      <w:r w:rsidRPr="009E721D">
        <w:t>Field 2.1.1 – Budget to assist iwi participation in resource consent processing</w:t>
      </w:r>
    </w:p>
    <w:p w14:paraId="24E68BCB" w14:textId="77777777" w:rsidR="00C57A42" w:rsidRDefault="00C57A42" w:rsidP="00557EAC">
      <w:pPr>
        <w:pStyle w:val="BodyText"/>
      </w:pPr>
      <w:r>
        <w:t>At 2.1.1, we collect information on whether your council made any budgetary commitments to assist iwi participation in resource consent processing. This commitment includes internal council budgetary provision for staff costs and consultation and any direct payments to iwi given to help them participate in consultation (that is relevant to resource consent processing).</w:t>
      </w:r>
    </w:p>
    <w:p w14:paraId="3B8DA424" w14:textId="77777777" w:rsidR="00C57A42" w:rsidRPr="009E721D" w:rsidRDefault="00C57A42" w:rsidP="00557EAC">
      <w:pPr>
        <w:pStyle w:val="Heading3"/>
      </w:pPr>
      <w:r w:rsidRPr="009E721D">
        <w:t>Field 2.1.3 – Budget to assist iwi participation in policy statement and plan making</w:t>
      </w:r>
    </w:p>
    <w:p w14:paraId="43DED82A" w14:textId="77777777" w:rsidR="00C57A42" w:rsidRDefault="00C57A42" w:rsidP="00557EAC">
      <w:pPr>
        <w:pStyle w:val="BodyText"/>
      </w:pPr>
      <w:r>
        <w:t xml:space="preserve">At 2.1.3., we collect information on whether your council made any budgetary commitments to assist iwi participation in policy statement or plan development. As above, these commitments include internal budgetary provision for staff costs and consultation with iwi and any direct payments given to iwi to help with this participation. Contributions paid towards helping iwi develop planning documents recognised by the iwi authority (such as iwi management plans) may also be included. </w:t>
      </w:r>
    </w:p>
    <w:p w14:paraId="571789FD" w14:textId="77777777" w:rsidR="00C57A42" w:rsidRPr="00936F4F" w:rsidRDefault="00C57A42" w:rsidP="00557EAC">
      <w:pPr>
        <w:pStyle w:val="Heading2"/>
      </w:pPr>
      <w:bookmarkStart w:id="17" w:name="_Ref10114174"/>
      <w:bookmarkStart w:id="18" w:name="_Ref10114242"/>
      <w:bookmarkStart w:id="19" w:name="_Toc10723902"/>
      <w:r w:rsidRPr="00936F4F">
        <w:t>Section 2.2 – Staff working on preparation of policy statements</w:t>
      </w:r>
      <w:r>
        <w:t> </w:t>
      </w:r>
      <w:r w:rsidRPr="00936F4F">
        <w:t>and plans, changes and variations</w:t>
      </w:r>
      <w:bookmarkEnd w:id="17"/>
      <w:bookmarkEnd w:id="18"/>
      <w:bookmarkEnd w:id="19"/>
      <w:r w:rsidRPr="00936F4F">
        <w:t xml:space="preserve"> </w:t>
      </w:r>
    </w:p>
    <w:p w14:paraId="3D159ABC" w14:textId="77777777" w:rsidR="00C57A42" w:rsidRPr="00936F4F" w:rsidRDefault="00C57A42" w:rsidP="00557EAC">
      <w:pPr>
        <w:pStyle w:val="BodyText"/>
      </w:pPr>
      <w:r w:rsidRPr="00936F4F">
        <w:t>This section</w:t>
      </w:r>
      <w:r>
        <w:t xml:space="preserve"> records </w:t>
      </w:r>
      <w:r w:rsidRPr="00936F4F">
        <w:t>information on</w:t>
      </w:r>
      <w:r>
        <w:t xml:space="preserve"> the number of full time employees (FTE) </w:t>
      </w:r>
      <w:r w:rsidRPr="00936F4F">
        <w:t xml:space="preserve">dedicated to plan preparation processes at your </w:t>
      </w:r>
      <w:r>
        <w:t xml:space="preserve">council </w:t>
      </w:r>
      <w:r w:rsidRPr="00936F4F">
        <w:t xml:space="preserve">for the </w:t>
      </w:r>
      <w:r>
        <w:t>2018/19</w:t>
      </w:r>
      <w:r w:rsidRPr="00936F4F">
        <w:t xml:space="preserve"> financial year. Resourcing figures should be as accurate as possible and capture the annual average full time equivalents for the financial year.</w:t>
      </w:r>
    </w:p>
    <w:p w14:paraId="00DDE063" w14:textId="4F6C54CB" w:rsidR="00C57A42" w:rsidRPr="00936F4F" w:rsidRDefault="00C57A42" w:rsidP="00557EAC">
      <w:pPr>
        <w:pStyle w:val="BodyText"/>
      </w:pPr>
      <w:r>
        <w:t>An FTE is a staff member</w:t>
      </w:r>
      <w:r w:rsidRPr="00936F4F">
        <w:t xml:space="preserve"> who works between 37 </w:t>
      </w:r>
      <w:r w:rsidR="00943F15">
        <w:t>and</w:t>
      </w:r>
      <w:r w:rsidRPr="00936F4F">
        <w:t xml:space="preserve"> 40 hours per week during that financial year. A part time staff member works less than this. They could be a 0.8 FTE – where they work 4 days per week, or a 0.2 FTE</w:t>
      </w:r>
      <w:r w:rsidR="000D5170">
        <w:t xml:space="preserve"> -</w:t>
      </w:r>
      <w:r w:rsidRPr="00936F4F">
        <w:t xml:space="preserve"> where they work 1 day per week.</w:t>
      </w:r>
      <w:r>
        <w:t xml:space="preserve"> For example, if your council had one full time employee and one employee who worked one day per week dedicated to plan preparation, your council would have 1.2 FTE dedicated to plan preparation. </w:t>
      </w:r>
    </w:p>
    <w:p w14:paraId="5AF5F162" w14:textId="77777777" w:rsidR="00C57A42" w:rsidRPr="0099750D" w:rsidRDefault="00C57A42" w:rsidP="00557EAC">
      <w:pPr>
        <w:pStyle w:val="BodyText"/>
      </w:pPr>
      <w:r w:rsidRPr="0099750D">
        <w:t>If you have employed a contractor for a 3 month period (full time), this number should be included in ‘other’ (converted to FTE), where the response would be 0.25 (3 months divided by 12 months = 0.25 annual average FTE).</w:t>
      </w:r>
    </w:p>
    <w:p w14:paraId="283A1804" w14:textId="77777777" w:rsidR="00C57A42" w:rsidRPr="00936F4F" w:rsidRDefault="00C57A42" w:rsidP="00557EAC">
      <w:pPr>
        <w:pStyle w:val="BodyText"/>
      </w:pPr>
      <w:r w:rsidRPr="00936F4F">
        <w:lastRenderedPageBreak/>
        <w:t>The sum of all figures provided will indicate your total staff resource for plan preparation and implementation. It is important that figures are not double counted. If you have staff that do not neatly fit into one of the categories, some practi</w:t>
      </w:r>
      <w:r>
        <w:t xml:space="preserve">cal interpretation may be required. </w:t>
      </w:r>
    </w:p>
    <w:p w14:paraId="57B82778" w14:textId="77777777" w:rsidR="00C57A42" w:rsidRPr="00936F4F" w:rsidRDefault="00C57A42" w:rsidP="00557EAC">
      <w:pPr>
        <w:pStyle w:val="Heading2"/>
      </w:pPr>
      <w:bookmarkStart w:id="20" w:name="_Toc10723903"/>
      <w:r w:rsidRPr="00936F4F">
        <w:t>Section 2.3 – Staff processing resource consents</w:t>
      </w:r>
      <w:bookmarkEnd w:id="20"/>
      <w:r w:rsidRPr="00936F4F">
        <w:t xml:space="preserve"> </w:t>
      </w:r>
    </w:p>
    <w:p w14:paraId="4ECF1483" w14:textId="77777777" w:rsidR="00C57A42" w:rsidRPr="00936F4F" w:rsidRDefault="00C57A42" w:rsidP="00557EAC">
      <w:pPr>
        <w:pStyle w:val="BodyText"/>
      </w:pPr>
      <w:r w:rsidRPr="00936F4F">
        <w:t>This section</w:t>
      </w:r>
      <w:r>
        <w:t xml:space="preserve"> records the number of staff </w:t>
      </w:r>
      <w:r w:rsidRPr="00936F4F">
        <w:t xml:space="preserve">dedicated to processing resource consents at your local authority for the </w:t>
      </w:r>
      <w:r>
        <w:t>2018/19</w:t>
      </w:r>
      <w:r w:rsidRPr="00936F4F">
        <w:t xml:space="preserve"> financial year. </w:t>
      </w:r>
    </w:p>
    <w:p w14:paraId="7952D155" w14:textId="77777777" w:rsidR="00C57A42" w:rsidRPr="00936F4F" w:rsidRDefault="00C57A42" w:rsidP="00557EAC">
      <w:pPr>
        <w:pStyle w:val="BodyText"/>
      </w:pPr>
      <w:r w:rsidRPr="00936F4F">
        <w:t xml:space="preserve">Resourcing figures should include all staff employed to assess, determine, change and review resource consents, including staff such as council engineers, administrators, </w:t>
      </w:r>
      <w:r>
        <w:t xml:space="preserve">and </w:t>
      </w:r>
      <w:r w:rsidRPr="00936F4F">
        <w:t>dedicated duty planners. The sum of all figures provided will indicate your total staff resource for processing resource co</w:t>
      </w:r>
      <w:r>
        <w:t xml:space="preserve">nsents. See the above section (section 2.2) for guidance on how to calculate your staff numbers. </w:t>
      </w:r>
    </w:p>
    <w:p w14:paraId="7935B1B9" w14:textId="77777777" w:rsidR="00C57A42" w:rsidRPr="00936F4F" w:rsidRDefault="00C57A42" w:rsidP="00557EAC">
      <w:pPr>
        <w:pStyle w:val="Heading2"/>
      </w:pPr>
      <w:bookmarkStart w:id="21" w:name="_Toc10723904"/>
      <w:r w:rsidRPr="00936F4F">
        <w:t>Section 2.4 – Customer satisfaction</w:t>
      </w:r>
      <w:bookmarkEnd w:id="21"/>
    </w:p>
    <w:p w14:paraId="1BEFEC30" w14:textId="77777777" w:rsidR="00C57A42" w:rsidRPr="00936F4F" w:rsidRDefault="00C57A42" w:rsidP="00557EAC">
      <w:pPr>
        <w:pStyle w:val="BodyText"/>
      </w:pPr>
      <w:r w:rsidRPr="00936F4F">
        <w:t xml:space="preserve">This section </w:t>
      </w:r>
      <w:r>
        <w:t xml:space="preserve">collects </w:t>
      </w:r>
      <w:r w:rsidRPr="00936F4F">
        <w:t xml:space="preserve">information on </w:t>
      </w:r>
      <w:r>
        <w:t xml:space="preserve">your </w:t>
      </w:r>
      <w:r w:rsidRPr="00936F4F">
        <w:t>customer</w:t>
      </w:r>
      <w:r>
        <w:t>’s</w:t>
      </w:r>
      <w:r w:rsidRPr="00936F4F">
        <w:t xml:space="preserve"> satisfaction with resource consent processing during the </w:t>
      </w:r>
      <w:r>
        <w:t>2018/19</w:t>
      </w:r>
      <w:r w:rsidRPr="00936F4F">
        <w:t xml:space="preserve"> financial year. </w:t>
      </w:r>
      <w:r>
        <w:t xml:space="preserve">If your council ran a formal consent processing customer satisfaction survey, please provide the percentage of survey responses that indicated overall satisfaction. Do not include survey responses that indicated dissatisfaction or were neutral. This field can be left blank if your council did not run a survey in the financial year. </w:t>
      </w:r>
    </w:p>
    <w:p w14:paraId="5E44A927" w14:textId="77777777" w:rsidR="00C57A42" w:rsidRPr="00936F4F" w:rsidRDefault="00C57A42" w:rsidP="00557EAC">
      <w:pPr>
        <w:pStyle w:val="Heading2"/>
      </w:pPr>
      <w:bookmarkStart w:id="22" w:name="_Toc10723905"/>
      <w:r w:rsidRPr="00936F4F">
        <w:t>Section 2.5 – Notices of requirement (territorial authorities only)</w:t>
      </w:r>
      <w:bookmarkEnd w:id="22"/>
    </w:p>
    <w:p w14:paraId="0B1A3475" w14:textId="77777777" w:rsidR="00C57A42" w:rsidRPr="00936F4F" w:rsidRDefault="00C57A42" w:rsidP="00557EAC">
      <w:pPr>
        <w:pStyle w:val="BodyText"/>
      </w:pPr>
      <w:r w:rsidRPr="00936F4F">
        <w:t xml:space="preserve">This section captures summary information on notices of requirement relevant to the </w:t>
      </w:r>
      <w:r>
        <w:t>2018/19</w:t>
      </w:r>
      <w:r w:rsidRPr="00936F4F">
        <w:t xml:space="preserve"> financial year.</w:t>
      </w:r>
    </w:p>
    <w:p w14:paraId="075B2694" w14:textId="77777777" w:rsidR="00C57A42" w:rsidRPr="00936F4F" w:rsidRDefault="00C57A42" w:rsidP="00557EAC">
      <w:pPr>
        <w:pStyle w:val="Heading2"/>
      </w:pPr>
      <w:bookmarkStart w:id="23" w:name="_Toc10723906"/>
      <w:r w:rsidRPr="00936F4F">
        <w:t xml:space="preserve">Section 2.6 – Staff working on </w:t>
      </w:r>
      <w:r w:rsidRPr="00B34A78">
        <w:t>RMA compliance</w:t>
      </w:r>
      <w:r w:rsidRPr="00936F4F">
        <w:t xml:space="preserve"> and</w:t>
      </w:r>
      <w:r>
        <w:t xml:space="preserve"> </w:t>
      </w:r>
      <w:r w:rsidRPr="00936F4F">
        <w:t>enforcement</w:t>
      </w:r>
      <w:bookmarkEnd w:id="23"/>
      <w:r w:rsidRPr="00936F4F">
        <w:t xml:space="preserve"> </w:t>
      </w:r>
    </w:p>
    <w:p w14:paraId="4EE3A679" w14:textId="77777777" w:rsidR="00C57A42" w:rsidRPr="00936F4F" w:rsidRDefault="00C57A42" w:rsidP="00557EAC">
      <w:pPr>
        <w:pStyle w:val="BodyText"/>
      </w:pPr>
      <w:r w:rsidRPr="00936F4F">
        <w:t>This sec</w:t>
      </w:r>
      <w:r>
        <w:t>tion captures information on resourcing for</w:t>
      </w:r>
      <w:r w:rsidRPr="00936F4F">
        <w:t xml:space="preserve"> compliance</w:t>
      </w:r>
      <w:r>
        <w:t xml:space="preserve"> and enforcement</w:t>
      </w:r>
      <w:r w:rsidRPr="00936F4F">
        <w:t xml:space="preserve"> at your </w:t>
      </w:r>
      <w:r>
        <w:t xml:space="preserve">council </w:t>
      </w:r>
      <w:r w:rsidRPr="00936F4F">
        <w:t xml:space="preserve">during the </w:t>
      </w:r>
      <w:r>
        <w:t>2018/19</w:t>
      </w:r>
      <w:r w:rsidRPr="00936F4F">
        <w:t xml:space="preserve"> financial year. Resourcing figures should be as accurate as possible and capture the annual average full time equivalents (FTE) for the financial year. </w:t>
      </w:r>
      <w:r>
        <w:t>Guidance on how to calculate your staff resources is provided in</w:t>
      </w:r>
      <w:r w:rsidR="00581BD7">
        <w:t xml:space="preserve"> Section 2.2.</w:t>
      </w:r>
    </w:p>
    <w:p w14:paraId="0E765E54" w14:textId="77777777" w:rsidR="00C57A42" w:rsidRPr="00936F4F" w:rsidRDefault="00C57A42" w:rsidP="00557EAC">
      <w:pPr>
        <w:pStyle w:val="BodyText"/>
      </w:pPr>
      <w:r w:rsidRPr="00936F4F">
        <w:t>The sum of all figures provided will indicate your total staff resource for RMA</w:t>
      </w:r>
      <w:r>
        <w:t xml:space="preserve"> compliance, enforcement and investigations.</w:t>
      </w:r>
      <w:r w:rsidRPr="00936F4F">
        <w:t xml:space="preserve"> </w:t>
      </w:r>
      <w:r>
        <w:t xml:space="preserve">You don’t need to include </w:t>
      </w:r>
      <w:r w:rsidRPr="00936F4F">
        <w:t>staff at external companies contracted to respond to excessive noise complaints.</w:t>
      </w:r>
    </w:p>
    <w:p w14:paraId="6E0D8558" w14:textId="77777777" w:rsidR="00C57A42" w:rsidRPr="00936F4F" w:rsidRDefault="00C57A42" w:rsidP="00557EAC">
      <w:pPr>
        <w:pStyle w:val="Heading2"/>
      </w:pPr>
      <w:bookmarkStart w:id="24" w:name="_Toc10723907"/>
      <w:r w:rsidRPr="00936F4F">
        <w:t>Section 2.7 – Other monitoring</w:t>
      </w:r>
      <w:bookmarkEnd w:id="24"/>
    </w:p>
    <w:p w14:paraId="17C17017" w14:textId="77777777" w:rsidR="00C57A42" w:rsidRPr="00936F4F" w:rsidRDefault="00C57A42" w:rsidP="00557EAC">
      <w:pPr>
        <w:pStyle w:val="BodyText"/>
      </w:pPr>
      <w:r w:rsidRPr="00936F4F">
        <w:t xml:space="preserve">This section captures information on other monitoring undertaken by your local authority during the </w:t>
      </w:r>
      <w:r>
        <w:t xml:space="preserve">2018/19 </w:t>
      </w:r>
      <w:r w:rsidRPr="00936F4F">
        <w:t xml:space="preserve">financial year. </w:t>
      </w:r>
    </w:p>
    <w:p w14:paraId="72F5E437" w14:textId="77777777" w:rsidR="00C57A42" w:rsidRDefault="00C57A42" w:rsidP="00557EAC">
      <w:pPr>
        <w:pStyle w:val="BodyText"/>
      </w:pPr>
      <w:r>
        <w:t>We know that councils approach monitoring differently from one another. These fields need to be interpreted in a way that makes sense in light of your councils approach to monitoring.</w:t>
      </w:r>
    </w:p>
    <w:p w14:paraId="5E410538" w14:textId="77777777" w:rsidR="00C57A42" w:rsidRPr="00823227" w:rsidRDefault="00C57A42" w:rsidP="00557EAC">
      <w:pPr>
        <w:pStyle w:val="Heading3"/>
      </w:pPr>
      <w:r w:rsidRPr="00823227">
        <w:lastRenderedPageBreak/>
        <w:t xml:space="preserve">Field 2.7.2 – Plan rule monitoring </w:t>
      </w:r>
    </w:p>
    <w:p w14:paraId="7F721D44" w14:textId="77777777" w:rsidR="00C57A42" w:rsidRDefault="00C57A42" w:rsidP="00557EAC">
      <w:pPr>
        <w:pStyle w:val="BodyText"/>
      </w:pPr>
      <w:r>
        <w:t xml:space="preserve">At 2.7.2, we collect information on the total number of individual activities monitored for compliance with your district plan rules. We ask that you include proactive monitoring of permitted activities and unconsented rule breaches (under the district plan). </w:t>
      </w:r>
    </w:p>
    <w:p w14:paraId="57D9B76F" w14:textId="77777777" w:rsidR="00C57A42" w:rsidRDefault="00C57A42" w:rsidP="00557EAC">
      <w:pPr>
        <w:pStyle w:val="BodyText"/>
      </w:pPr>
      <w:r>
        <w:t xml:space="preserve">Please </w:t>
      </w:r>
      <w:r w:rsidRPr="00721783">
        <w:rPr>
          <w:b/>
        </w:rPr>
        <w:t xml:space="preserve">exclude </w:t>
      </w:r>
      <w:r>
        <w:t xml:space="preserve">any proactive assessment of </w:t>
      </w:r>
      <w:r w:rsidRPr="00611EB0">
        <w:rPr>
          <w:b/>
        </w:rPr>
        <w:t>building consent applications</w:t>
      </w:r>
      <w:r>
        <w:t xml:space="preserve"> against RMA plans.</w:t>
      </w:r>
    </w:p>
    <w:p w14:paraId="565EEF5F" w14:textId="77777777" w:rsidR="00C57A42" w:rsidRPr="00936F4F" w:rsidRDefault="00C57A42" w:rsidP="00557EAC">
      <w:pPr>
        <w:pStyle w:val="BodyText"/>
      </w:pPr>
      <w:r>
        <w:t xml:space="preserve">If your council has not undertaken any such monitoring this year, please write ‘not applicable’ when responding to this field. </w:t>
      </w:r>
    </w:p>
    <w:p w14:paraId="1311E562" w14:textId="77777777" w:rsidR="00C57A42" w:rsidRPr="00936F4F" w:rsidRDefault="00C57A42" w:rsidP="00557EAC">
      <w:pPr>
        <w:pStyle w:val="BodyText"/>
      </w:pPr>
      <w:r w:rsidRPr="00936F4F">
        <w:t>Helpful links:</w:t>
      </w:r>
    </w:p>
    <w:p w14:paraId="30999A39" w14:textId="77777777" w:rsidR="00C57A42" w:rsidRPr="00936F4F" w:rsidRDefault="00BF20DD" w:rsidP="00557EAC">
      <w:pPr>
        <w:pStyle w:val="Bullet"/>
        <w:spacing w:after="0"/>
        <w:jc w:val="left"/>
      </w:pPr>
      <w:hyperlink r:id="rId28" w:history="1">
        <w:r w:rsidR="00C57A42" w:rsidRPr="00936F4F">
          <w:rPr>
            <w:rStyle w:val="Hyperlink"/>
          </w:rPr>
          <w:t>www.qualityplanning.org.nz/index.php/monitor/best-practice-monitoring</w:t>
        </w:r>
      </w:hyperlink>
    </w:p>
    <w:p w14:paraId="0FBE4A56" w14:textId="77777777" w:rsidR="00C57A42" w:rsidRPr="00823227" w:rsidRDefault="00BF20DD" w:rsidP="00557EAC">
      <w:pPr>
        <w:pStyle w:val="Bullet"/>
        <w:spacing w:after="0"/>
        <w:jc w:val="left"/>
        <w:rPr>
          <w:rStyle w:val="Hyperlink"/>
          <w:color w:val="auto"/>
        </w:rPr>
      </w:pPr>
      <w:hyperlink r:id="rId29" w:history="1">
        <w:r w:rsidR="00C57A42" w:rsidRPr="00936F4F">
          <w:rPr>
            <w:rStyle w:val="Hyperlink"/>
          </w:rPr>
          <w:t>www.qualityplanning.org.nz/index.php/monitor/delegations-and-transfers</w:t>
        </w:r>
      </w:hyperlink>
    </w:p>
    <w:p w14:paraId="12367F9D" w14:textId="77777777" w:rsidR="00C57A42" w:rsidRPr="00B10289" w:rsidRDefault="00C57A42" w:rsidP="00557EAC">
      <w:pPr>
        <w:pStyle w:val="Heading2"/>
        <w:rPr>
          <w:rStyle w:val="Hyperlink"/>
        </w:rPr>
      </w:pPr>
      <w:bookmarkStart w:id="25" w:name="_Toc10723908"/>
      <w:r>
        <w:t>Section 2.8</w:t>
      </w:r>
      <w:r w:rsidRPr="00936F4F">
        <w:t xml:space="preserve"> – </w:t>
      </w:r>
      <w:r>
        <w:t>Transfer of consents</w:t>
      </w:r>
      <w:bookmarkEnd w:id="25"/>
    </w:p>
    <w:p w14:paraId="4FCA709E" w14:textId="77777777" w:rsidR="00C57A42" w:rsidRDefault="00C57A42" w:rsidP="00557EAC">
      <w:pPr>
        <w:pStyle w:val="Bullet"/>
        <w:numPr>
          <w:ilvl w:val="0"/>
          <w:numId w:val="0"/>
        </w:numPr>
        <w:jc w:val="left"/>
      </w:pPr>
      <w:r>
        <w:rPr>
          <w:rStyle w:val="Hyperlink"/>
          <w:color w:val="auto"/>
        </w:rPr>
        <w:t xml:space="preserve">This section has been discontinued. </w:t>
      </w:r>
    </w:p>
    <w:p w14:paraId="244F3B49" w14:textId="77777777" w:rsidR="00C57A42" w:rsidRPr="00936F4F" w:rsidRDefault="00C57A42" w:rsidP="00557EAC">
      <w:pPr>
        <w:pStyle w:val="Heading2"/>
      </w:pPr>
      <w:bookmarkStart w:id="26" w:name="_Toc10723909"/>
      <w:r w:rsidRPr="00936F4F">
        <w:t>Section 2.9 – Resource consent monitoring and compliance</w:t>
      </w:r>
      <w:bookmarkEnd w:id="26"/>
    </w:p>
    <w:p w14:paraId="0EA229DA" w14:textId="77777777" w:rsidR="00C57A42" w:rsidRDefault="00C57A42" w:rsidP="00557EAC">
      <w:pPr>
        <w:pStyle w:val="BodyText"/>
      </w:pPr>
      <w:r w:rsidRPr="00936F4F">
        <w:t>This section c</w:t>
      </w:r>
      <w:r>
        <w:t>ollects</w:t>
      </w:r>
      <w:r w:rsidRPr="00936F4F">
        <w:t xml:space="preserve"> information on </w:t>
      </w:r>
      <w:r w:rsidRPr="00FC0AA3">
        <w:t>resource consent monitoring</w:t>
      </w:r>
      <w:r w:rsidRPr="00936F4F">
        <w:t xml:space="preserve"> undertaken by your local authority during the </w:t>
      </w:r>
      <w:r>
        <w:t>2018/19 financial year.</w:t>
      </w:r>
    </w:p>
    <w:p w14:paraId="7E2C4ADC" w14:textId="77777777" w:rsidR="00C57A42" w:rsidRPr="00823227" w:rsidRDefault="00C57A42" w:rsidP="00557EAC">
      <w:pPr>
        <w:pStyle w:val="Heading3"/>
      </w:pPr>
      <w:r w:rsidRPr="00823227">
        <w:t>Field 2.9.1 – Resource consents requiring monitoring</w:t>
      </w:r>
    </w:p>
    <w:p w14:paraId="0440E2BF" w14:textId="77777777" w:rsidR="00C57A42" w:rsidRDefault="00C57A42" w:rsidP="00557EAC">
      <w:pPr>
        <w:pStyle w:val="BodyText"/>
      </w:pPr>
      <w:r>
        <w:t xml:space="preserve">At 2.9.1, we ask you to record the number of consents granted in the current or a previous financial year that contained a </w:t>
      </w:r>
      <w:r w:rsidRPr="00943F15">
        <w:rPr>
          <w:b/>
        </w:rPr>
        <w:t xml:space="preserve">condition </w:t>
      </w:r>
      <w:r w:rsidRPr="00D575C3">
        <w:rPr>
          <w:b/>
        </w:rPr>
        <w:t>requiring monitoring</w:t>
      </w:r>
      <w:r>
        <w:t xml:space="preserve"> during the 2018/19 financial year. </w:t>
      </w:r>
    </w:p>
    <w:p w14:paraId="48476093" w14:textId="77777777" w:rsidR="00C57A42" w:rsidRDefault="00C57A42" w:rsidP="00557EAC">
      <w:pPr>
        <w:pStyle w:val="BodyText"/>
      </w:pPr>
      <w:r>
        <w:t xml:space="preserve">This includes both consents with ongoing conditions throughout the life of the consent and consents with conditions that require one-off monitoring. </w:t>
      </w:r>
    </w:p>
    <w:p w14:paraId="7550C12A" w14:textId="77777777" w:rsidR="00C57A42" w:rsidRDefault="00C57A42" w:rsidP="00557EAC">
      <w:pPr>
        <w:pStyle w:val="BodyText"/>
      </w:pPr>
      <w:r>
        <w:t xml:space="preserve">Please exclude lapsed conditions from your response. </w:t>
      </w:r>
    </w:p>
    <w:p w14:paraId="360F5953" w14:textId="77777777" w:rsidR="00C57A42" w:rsidRPr="003F117C" w:rsidRDefault="00C57A42" w:rsidP="00557EAC">
      <w:pPr>
        <w:pStyle w:val="Heading3"/>
      </w:pPr>
      <w:r w:rsidRPr="003F117C">
        <w:t xml:space="preserve">Field 2.9.2 – Resource consents monitored </w:t>
      </w:r>
    </w:p>
    <w:p w14:paraId="05E2A2BE" w14:textId="77777777" w:rsidR="00C57A42" w:rsidRDefault="00C57A42" w:rsidP="00557EAC">
      <w:pPr>
        <w:pStyle w:val="BodyText"/>
      </w:pPr>
      <w:r>
        <w:t xml:space="preserve">At 2.9.2, we collect the total number of individual resource consents that </w:t>
      </w:r>
      <w:r w:rsidRPr="00D575C3">
        <w:rPr>
          <w:b/>
        </w:rPr>
        <w:t>were monitored</w:t>
      </w:r>
      <w:r>
        <w:rPr>
          <w:b/>
        </w:rPr>
        <w:t xml:space="preserve"> </w:t>
      </w:r>
      <w:r w:rsidRPr="00FC0AA3">
        <w:t>by your council during the 2018/19</w:t>
      </w:r>
      <w:r>
        <w:t xml:space="preserve"> financial year</w:t>
      </w:r>
      <w:r w:rsidRPr="00FC0AA3">
        <w:t>.</w:t>
      </w:r>
      <w:r>
        <w:t xml:space="preserve"> </w:t>
      </w:r>
    </w:p>
    <w:p w14:paraId="628A017A" w14:textId="77777777" w:rsidR="00C57A42" w:rsidRDefault="00C57A42" w:rsidP="00557EAC">
      <w:pPr>
        <w:pStyle w:val="BodyText"/>
      </w:pPr>
      <w:r>
        <w:t xml:space="preserve">Monitoring can involve physical site inspections or ‘desk-top’ audits, where monitoring information is externally provided. </w:t>
      </w:r>
    </w:p>
    <w:p w14:paraId="636796D6" w14:textId="77777777" w:rsidR="00C57A42" w:rsidRDefault="00C57A42" w:rsidP="00557EAC">
      <w:pPr>
        <w:pStyle w:val="BodyText"/>
      </w:pPr>
      <w:r>
        <w:t xml:space="preserve">Please exclude any reactive or complaint prompted monitoring activities that your council undertook from this count. </w:t>
      </w:r>
    </w:p>
    <w:p w14:paraId="181270B4" w14:textId="77777777" w:rsidR="00C57A42" w:rsidRPr="00823227" w:rsidRDefault="00C57A42" w:rsidP="00557EAC">
      <w:pPr>
        <w:pStyle w:val="Heading3"/>
      </w:pPr>
      <w:r w:rsidRPr="00823227">
        <w:t xml:space="preserve">Fields 2.9.3 to 2.9.6 - </w:t>
      </w:r>
      <w:r w:rsidRPr="00823227">
        <w:softHyphen/>
        <w:t>Resource consent compliance or non-compliance</w:t>
      </w:r>
    </w:p>
    <w:p w14:paraId="167A5E85" w14:textId="020D6FFE" w:rsidR="00C57A42" w:rsidRPr="00943F15" w:rsidRDefault="00C57A42" w:rsidP="00557EAC">
      <w:pPr>
        <w:pStyle w:val="BodyText"/>
        <w:rPr>
          <w:color w:val="1C556C"/>
        </w:rPr>
      </w:pPr>
      <w:r>
        <w:t xml:space="preserve">At 2.9.3 through to 2.9.6, we ask you to grade the degree to which the resource consents you monitored in 2018/19 complied with all relevant consent conditions, plans rules, regulations and national environmental standards. Guidance on how to grade compliance can be found in the table below, taken from the </w:t>
      </w:r>
      <w:hyperlink r:id="rId30" w:history="1">
        <w:r w:rsidRPr="00286281">
          <w:rPr>
            <w:rStyle w:val="Hyperlink"/>
          </w:rPr>
          <w:t>Ministry for the Environment</w:t>
        </w:r>
        <w:r>
          <w:rPr>
            <w:rStyle w:val="Hyperlink"/>
          </w:rPr>
          <w:t xml:space="preserve"> Best Practice Guidelines </w:t>
        </w:r>
        <w:r w:rsidR="000D5170">
          <w:rPr>
            <w:rStyle w:val="Hyperlink"/>
          </w:rPr>
          <w:t xml:space="preserve">for </w:t>
        </w:r>
        <w:r>
          <w:rPr>
            <w:rStyle w:val="Hyperlink"/>
          </w:rPr>
          <w:t>Compliance, Monitoring and E</w:t>
        </w:r>
        <w:r w:rsidRPr="00286281">
          <w:rPr>
            <w:rStyle w:val="Hyperlink"/>
          </w:rPr>
          <w:t>nforcement under the R</w:t>
        </w:r>
        <w:r w:rsidR="000D5170">
          <w:rPr>
            <w:rStyle w:val="Hyperlink"/>
          </w:rPr>
          <w:t>esource Management Act 1991</w:t>
        </w:r>
        <w:r w:rsidRPr="00286281">
          <w:rPr>
            <w:rStyle w:val="Hyperlink"/>
          </w:rPr>
          <w:t>.</w:t>
        </w:r>
      </w:hyperlink>
    </w:p>
    <w:tbl>
      <w:tblPr>
        <w:tblStyle w:val="TableGrid"/>
        <w:tblW w:w="5000" w:type="pct"/>
        <w:tblBorders>
          <w:top w:val="single" w:sz="4" w:space="0" w:color="1C556C"/>
          <w:left w:val="single" w:sz="4" w:space="0" w:color="1C556C"/>
          <w:bottom w:val="single" w:sz="4" w:space="0" w:color="1C556C"/>
          <w:right w:val="single" w:sz="4" w:space="0" w:color="1C556C"/>
          <w:insideH w:val="single" w:sz="4" w:space="0" w:color="1C556C"/>
          <w:insideV w:val="single" w:sz="4" w:space="0" w:color="1C556C"/>
        </w:tblBorders>
        <w:tblLook w:val="04A0" w:firstRow="1" w:lastRow="0" w:firstColumn="1" w:lastColumn="0" w:noHBand="0" w:noVBand="1"/>
      </w:tblPr>
      <w:tblGrid>
        <w:gridCol w:w="8450"/>
      </w:tblGrid>
      <w:tr w:rsidR="00581BD7" w14:paraId="6C2676C5" w14:textId="77777777" w:rsidTr="0028498A">
        <w:tc>
          <w:tcPr>
            <w:tcW w:w="5000" w:type="pct"/>
            <w:vAlign w:val="center"/>
          </w:tcPr>
          <w:p w14:paraId="6F88BF79" w14:textId="77777777" w:rsidR="00581BD7" w:rsidRPr="00581BD7" w:rsidRDefault="00581BD7" w:rsidP="00557EAC">
            <w:pPr>
              <w:pStyle w:val="BodyText"/>
              <w:keepNext/>
              <w:keepLines/>
              <w:spacing w:before="120"/>
              <w:rPr>
                <w:rFonts w:asciiTheme="minorHAnsi" w:hAnsiTheme="minorHAnsi" w:cstheme="minorHAnsi"/>
                <w:b/>
                <w:color w:val="1C556C"/>
                <w:sz w:val="28"/>
              </w:rPr>
            </w:pPr>
            <w:r w:rsidRPr="00581BD7">
              <w:rPr>
                <w:b/>
                <w:color w:val="1C556C"/>
                <w:sz w:val="28"/>
              </w:rPr>
              <w:lastRenderedPageBreak/>
              <w:t xml:space="preserve">Recommended compliance rating system  </w:t>
            </w:r>
          </w:p>
        </w:tc>
      </w:tr>
      <w:tr w:rsidR="00581BD7" w14:paraId="2CCE003C" w14:textId="77777777" w:rsidTr="0028498A">
        <w:tc>
          <w:tcPr>
            <w:tcW w:w="5000" w:type="pct"/>
          </w:tcPr>
          <w:p w14:paraId="1AA76079" w14:textId="77777777" w:rsidR="00581BD7" w:rsidRDefault="00581BD7" w:rsidP="00557EAC">
            <w:pPr>
              <w:pStyle w:val="BodyText"/>
              <w:keepNext/>
              <w:keepLines/>
            </w:pPr>
            <w:r w:rsidRPr="00F728AF">
              <w:t>FULL COMPLIANCE</w:t>
            </w:r>
            <w:r>
              <w:t xml:space="preserve"> </w:t>
            </w:r>
          </w:p>
          <w:p w14:paraId="222CD401" w14:textId="77777777" w:rsidR="00581BD7" w:rsidRDefault="00581BD7" w:rsidP="00557EAC">
            <w:pPr>
              <w:pStyle w:val="BodyText"/>
              <w:keepNext/>
              <w:keepLines/>
              <w:rPr>
                <w:rFonts w:asciiTheme="minorHAnsi" w:hAnsiTheme="minorHAnsi" w:cstheme="minorHAnsi"/>
              </w:rPr>
            </w:pPr>
            <w:r>
              <w:t>With all relevant consent conditions, plan rules, regulations and national environmental standards.</w:t>
            </w:r>
          </w:p>
        </w:tc>
      </w:tr>
      <w:tr w:rsidR="00581BD7" w14:paraId="618B55DE" w14:textId="77777777" w:rsidTr="0028498A">
        <w:tc>
          <w:tcPr>
            <w:tcW w:w="5000" w:type="pct"/>
          </w:tcPr>
          <w:p w14:paraId="75EBB76A" w14:textId="77777777" w:rsidR="00581BD7" w:rsidRDefault="00581BD7" w:rsidP="00557EAC">
            <w:pPr>
              <w:pStyle w:val="BodyText"/>
              <w:keepNext/>
              <w:keepLines/>
            </w:pPr>
            <w:r>
              <w:t>LOW RISK NON-COMPLIANCE</w:t>
            </w:r>
          </w:p>
          <w:p w14:paraId="6EE8517F" w14:textId="77777777" w:rsidR="00581BD7" w:rsidRDefault="00581BD7" w:rsidP="00557EAC">
            <w:pPr>
              <w:pStyle w:val="BodyText"/>
              <w:keepNext/>
              <w:keepLines/>
              <w:rPr>
                <w:rFonts w:asciiTheme="minorHAnsi" w:hAnsiTheme="minorHAnsi" w:cstheme="minorHAnsi"/>
              </w:rPr>
            </w:pPr>
            <w:r>
              <w:t>Compliance with most of the relevant consent conditions, plan rules, regulations and national environmental standards. Non-compliance carries a low risk of adverse environmental effects or is technical in nature (for example, failure to submit a monitoring report).</w:t>
            </w:r>
          </w:p>
        </w:tc>
      </w:tr>
      <w:tr w:rsidR="00581BD7" w14:paraId="015A5308" w14:textId="77777777" w:rsidTr="0028498A">
        <w:tc>
          <w:tcPr>
            <w:tcW w:w="5000" w:type="pct"/>
          </w:tcPr>
          <w:p w14:paraId="396A12AB" w14:textId="77777777" w:rsidR="00581BD7" w:rsidRDefault="00581BD7" w:rsidP="00557EAC">
            <w:pPr>
              <w:pStyle w:val="BodyText"/>
              <w:keepNext/>
              <w:keepLines/>
            </w:pPr>
            <w:r>
              <w:t xml:space="preserve">MODERATE NON-COMPLIANCE </w:t>
            </w:r>
          </w:p>
          <w:p w14:paraId="355B0EFA" w14:textId="77777777" w:rsidR="00581BD7" w:rsidRDefault="00581BD7" w:rsidP="00557EAC">
            <w:pPr>
              <w:pStyle w:val="BodyText"/>
              <w:keepNext/>
              <w:keepLines/>
              <w:rPr>
                <w:rFonts w:asciiTheme="minorHAnsi" w:hAnsiTheme="minorHAnsi" w:cstheme="minorHAnsi"/>
              </w:rPr>
            </w:pPr>
            <w:r>
              <w:t>Non-compliance with some of the relevant consent conditions, plan rules, regulations and national environmental standards, where there are some environmental consequences and/or there is a moderate risk of adverse environmental effects.</w:t>
            </w:r>
          </w:p>
        </w:tc>
      </w:tr>
      <w:tr w:rsidR="00581BD7" w14:paraId="26563B47" w14:textId="77777777" w:rsidTr="0028498A">
        <w:tc>
          <w:tcPr>
            <w:tcW w:w="5000" w:type="pct"/>
          </w:tcPr>
          <w:p w14:paraId="013014F4" w14:textId="77777777" w:rsidR="00581BD7" w:rsidRPr="00F728AF" w:rsidRDefault="00581BD7" w:rsidP="00557EAC">
            <w:pPr>
              <w:pStyle w:val="BodyText"/>
              <w:keepNext/>
              <w:keepLines/>
            </w:pPr>
            <w:r w:rsidRPr="00F728AF">
              <w:t>SIGNIFICANT NON-COMPLIANCE</w:t>
            </w:r>
          </w:p>
          <w:p w14:paraId="2CA08D37" w14:textId="77777777" w:rsidR="00581BD7" w:rsidRDefault="00581BD7" w:rsidP="00557EAC">
            <w:pPr>
              <w:pStyle w:val="BodyText"/>
              <w:keepNext/>
              <w:keepLines/>
              <w:rPr>
                <w:rFonts w:asciiTheme="minorHAnsi" w:hAnsiTheme="minorHAnsi" w:cstheme="minorHAnsi"/>
              </w:rPr>
            </w:pPr>
            <w:r>
              <w:t>Non-compliance with many of the relevant consent conditions, plan rules, regulations and national environmental standards, where there are significant environmental consequences and/or a high risk of adverse environmental effects.</w:t>
            </w:r>
          </w:p>
        </w:tc>
      </w:tr>
    </w:tbl>
    <w:p w14:paraId="552CD823" w14:textId="77777777" w:rsidR="00C57A42" w:rsidRPr="00936F4F" w:rsidRDefault="00C57A42" w:rsidP="00557EAC">
      <w:pPr>
        <w:pStyle w:val="Heading2"/>
      </w:pPr>
      <w:bookmarkStart w:id="27" w:name="_Toc10723910"/>
      <w:r w:rsidRPr="00936F4F">
        <w:t>Section 2.10 – Complaints</w:t>
      </w:r>
      <w:bookmarkEnd w:id="27"/>
    </w:p>
    <w:p w14:paraId="346CA7E5" w14:textId="77777777" w:rsidR="00C57A42" w:rsidRDefault="00C57A42" w:rsidP="00557EAC">
      <w:pPr>
        <w:pStyle w:val="BodyText"/>
      </w:pPr>
      <w:r>
        <w:t xml:space="preserve">This section collects </w:t>
      </w:r>
      <w:r w:rsidRPr="00936F4F">
        <w:t xml:space="preserve">summary information on complaints received by your </w:t>
      </w:r>
      <w:r>
        <w:t xml:space="preserve">council </w:t>
      </w:r>
      <w:r w:rsidRPr="00936F4F">
        <w:t xml:space="preserve">during the </w:t>
      </w:r>
      <w:r>
        <w:t>2018/19</w:t>
      </w:r>
      <w:r w:rsidRPr="00936F4F">
        <w:t xml:space="preserve"> financial year. </w:t>
      </w:r>
    </w:p>
    <w:p w14:paraId="4771D103" w14:textId="77777777" w:rsidR="00C57A42" w:rsidRPr="00823227" w:rsidRDefault="00C57A42" w:rsidP="00557EAC">
      <w:pPr>
        <w:pStyle w:val="Heading3"/>
      </w:pPr>
      <w:r w:rsidRPr="00823227">
        <w:t xml:space="preserve">Field 2.10.1 – Number of excessive noise complaints </w:t>
      </w:r>
    </w:p>
    <w:p w14:paraId="746C2B3D" w14:textId="77777777" w:rsidR="00C57A42" w:rsidRDefault="00C57A42" w:rsidP="00557EAC">
      <w:pPr>
        <w:pStyle w:val="BodyText"/>
      </w:pPr>
      <w:r>
        <w:t xml:space="preserve">At 2.10.1, we ask you to provide the total number of excessive noise complaints your council received during 2018/19. </w:t>
      </w:r>
    </w:p>
    <w:p w14:paraId="74C3CA7A" w14:textId="77777777" w:rsidR="00C57A42" w:rsidRPr="00823227" w:rsidRDefault="00C57A42" w:rsidP="00557EAC">
      <w:pPr>
        <w:pStyle w:val="Heading3"/>
      </w:pPr>
      <w:r w:rsidRPr="00823227">
        <w:t xml:space="preserve">Field 2.10.6 – Total number of other RMA complaints </w:t>
      </w:r>
    </w:p>
    <w:p w14:paraId="163BAC53" w14:textId="77777777" w:rsidR="00C57A42" w:rsidRDefault="00C57A42" w:rsidP="00557EAC">
      <w:pPr>
        <w:pStyle w:val="BodyText"/>
      </w:pPr>
      <w:r>
        <w:t xml:space="preserve">At 2.10.6, please provide the total number of RMA complaints recorded by your council, excluding noise complaints. </w:t>
      </w:r>
    </w:p>
    <w:p w14:paraId="0A4EA554" w14:textId="77777777" w:rsidR="00C57A42" w:rsidRPr="00823227" w:rsidRDefault="00C57A42" w:rsidP="00557EAC">
      <w:pPr>
        <w:pStyle w:val="Heading3"/>
      </w:pPr>
      <w:r w:rsidRPr="00823227">
        <w:t xml:space="preserve">Field 2.10.7 – Total number of other RMA complaints where non-compliance was confirmed </w:t>
      </w:r>
    </w:p>
    <w:p w14:paraId="06292B56" w14:textId="77777777" w:rsidR="00C57A42" w:rsidRDefault="00C57A42" w:rsidP="00557EAC">
      <w:pPr>
        <w:pStyle w:val="BodyText"/>
      </w:pPr>
      <w:r>
        <w:t xml:space="preserve">At 2.10.7, we collect information on the total number of complaints under s 35(5)(i) where your council confirmed non-compliance with the RMA. </w:t>
      </w:r>
    </w:p>
    <w:p w14:paraId="74702EF9" w14:textId="77777777" w:rsidR="00C57A42" w:rsidRDefault="00C57A42" w:rsidP="00557EAC">
      <w:pPr>
        <w:pStyle w:val="BodyText"/>
      </w:pPr>
      <w:r>
        <w:t xml:space="preserve">The distinction between this field and 2.10.6 is that, here, we are asking you to provide the number of recorded complaints where a breach of the RMA was confirmed by your council.  </w:t>
      </w:r>
    </w:p>
    <w:p w14:paraId="0EC6F129" w14:textId="1F506873" w:rsidR="00C57A42" w:rsidRPr="00936F4F" w:rsidRDefault="00C57A42" w:rsidP="00557EAC">
      <w:pPr>
        <w:pStyle w:val="BodyText"/>
      </w:pPr>
      <w:r>
        <w:t xml:space="preserve">Non-compliance is defined in the </w:t>
      </w:r>
      <w:hyperlink r:id="rId31" w:history="1">
        <w:r w:rsidRPr="00286281">
          <w:rPr>
            <w:rStyle w:val="Hyperlink"/>
          </w:rPr>
          <w:t xml:space="preserve">Ministry for the Environment </w:t>
        </w:r>
        <w:r w:rsidR="000D5170">
          <w:rPr>
            <w:rStyle w:val="Hyperlink"/>
          </w:rPr>
          <w:t>B</w:t>
        </w:r>
        <w:r w:rsidRPr="00286281">
          <w:rPr>
            <w:rStyle w:val="Hyperlink"/>
          </w:rPr>
          <w:t xml:space="preserve">est </w:t>
        </w:r>
        <w:r w:rsidR="000D5170">
          <w:rPr>
            <w:rStyle w:val="Hyperlink"/>
          </w:rPr>
          <w:t>P</w:t>
        </w:r>
        <w:r w:rsidRPr="00286281">
          <w:rPr>
            <w:rStyle w:val="Hyperlink"/>
          </w:rPr>
          <w:t xml:space="preserve">ractice </w:t>
        </w:r>
        <w:r w:rsidR="000D5170">
          <w:rPr>
            <w:rStyle w:val="Hyperlink"/>
          </w:rPr>
          <w:t>G</w:t>
        </w:r>
        <w:r w:rsidRPr="00286281">
          <w:rPr>
            <w:rStyle w:val="Hyperlink"/>
          </w:rPr>
          <w:t xml:space="preserve">uidelines </w:t>
        </w:r>
        <w:r w:rsidR="000D5170">
          <w:rPr>
            <w:rStyle w:val="Hyperlink"/>
          </w:rPr>
          <w:t>for</w:t>
        </w:r>
        <w:r w:rsidRPr="00286281">
          <w:rPr>
            <w:rStyle w:val="Hyperlink"/>
          </w:rPr>
          <w:t xml:space="preserve"> </w:t>
        </w:r>
        <w:r w:rsidR="000D5170">
          <w:rPr>
            <w:rStyle w:val="Hyperlink"/>
          </w:rPr>
          <w:t>C</w:t>
        </w:r>
        <w:r w:rsidRPr="00286281">
          <w:rPr>
            <w:rStyle w:val="Hyperlink"/>
          </w:rPr>
          <w:t xml:space="preserve">ompliance, </w:t>
        </w:r>
        <w:r w:rsidR="000D5170">
          <w:rPr>
            <w:rStyle w:val="Hyperlink"/>
          </w:rPr>
          <w:t>M</w:t>
        </w:r>
        <w:r w:rsidRPr="00286281">
          <w:rPr>
            <w:rStyle w:val="Hyperlink"/>
          </w:rPr>
          <w:t xml:space="preserve">onitoring and </w:t>
        </w:r>
        <w:r w:rsidR="000D5170">
          <w:rPr>
            <w:rStyle w:val="Hyperlink"/>
          </w:rPr>
          <w:t>E</w:t>
        </w:r>
        <w:r w:rsidRPr="00286281">
          <w:rPr>
            <w:rStyle w:val="Hyperlink"/>
          </w:rPr>
          <w:t xml:space="preserve">nforcement under the </w:t>
        </w:r>
        <w:r w:rsidR="000D5170">
          <w:rPr>
            <w:rStyle w:val="Hyperlink"/>
          </w:rPr>
          <w:t>Resource Management Act 1991</w:t>
        </w:r>
        <w:r w:rsidRPr="00286281">
          <w:rPr>
            <w:rStyle w:val="Hyperlink"/>
          </w:rPr>
          <w:t>.</w:t>
        </w:r>
      </w:hyperlink>
    </w:p>
    <w:p w14:paraId="011E5830" w14:textId="77777777" w:rsidR="00C57A42" w:rsidRPr="00936F4F" w:rsidRDefault="00C57A42" w:rsidP="00557EAC">
      <w:pPr>
        <w:pStyle w:val="Heading2"/>
      </w:pPr>
      <w:bookmarkStart w:id="28" w:name="_Toc10723911"/>
      <w:r w:rsidRPr="007256B3">
        <w:lastRenderedPageBreak/>
        <w:t>Secti</w:t>
      </w:r>
      <w:r w:rsidRPr="00B10289">
        <w:t>on 2.11 – Other activities</w:t>
      </w:r>
      <w:bookmarkEnd w:id="28"/>
    </w:p>
    <w:p w14:paraId="0429D5F3" w14:textId="77777777" w:rsidR="00C57A42" w:rsidRPr="00936F4F" w:rsidRDefault="00C57A42" w:rsidP="00557EAC">
      <w:pPr>
        <w:pStyle w:val="BodyText"/>
      </w:pPr>
      <w:r w:rsidRPr="00936F4F">
        <w:t>This section</w:t>
      </w:r>
      <w:r>
        <w:t xml:space="preserve"> collects</w:t>
      </w:r>
      <w:r w:rsidRPr="00936F4F">
        <w:t xml:space="preserve"> information on</w:t>
      </w:r>
      <w:r>
        <w:t xml:space="preserve"> other</w:t>
      </w:r>
      <w:r w:rsidRPr="00936F4F">
        <w:t xml:space="preserve"> activities undertaken by your local authority within the </w:t>
      </w:r>
      <w:r>
        <w:t>2018/19</w:t>
      </w:r>
      <w:r w:rsidRPr="00936F4F">
        <w:t xml:space="preserve"> financial year. These include emergency works resource consents and water </w:t>
      </w:r>
      <w:r>
        <w:t>s</w:t>
      </w:r>
      <w:r w:rsidRPr="00936F4F">
        <w:t>hortage directions.</w:t>
      </w:r>
    </w:p>
    <w:p w14:paraId="54017AB5" w14:textId="77777777" w:rsidR="00C57A42" w:rsidRPr="00936F4F" w:rsidRDefault="00C57A42" w:rsidP="00557EAC">
      <w:pPr>
        <w:pStyle w:val="Heading2"/>
      </w:pPr>
      <w:bookmarkStart w:id="29" w:name="_Toc10723912"/>
      <w:r w:rsidRPr="00936F4F">
        <w:t>Section 2.12 – Procedures</w:t>
      </w:r>
      <w:bookmarkEnd w:id="29"/>
    </w:p>
    <w:p w14:paraId="57CD5644" w14:textId="77777777" w:rsidR="00C57A42" w:rsidRDefault="00C57A42" w:rsidP="00557EAC">
      <w:pPr>
        <w:pStyle w:val="BodyText"/>
      </w:pPr>
      <w:r w:rsidRPr="00936F4F">
        <w:t>This section</w:t>
      </w:r>
      <w:r>
        <w:t xml:space="preserve"> collects</w:t>
      </w:r>
      <w:r w:rsidRPr="00936F4F">
        <w:t xml:space="preserve"> information on </w:t>
      </w:r>
      <w:r>
        <w:t>whether your council has</w:t>
      </w:r>
      <w:r w:rsidRPr="00936F4F">
        <w:t xml:space="preserve"> procedure documents relating to compliance and enforcement (including complaints). </w:t>
      </w:r>
    </w:p>
    <w:p w14:paraId="7B73477D" w14:textId="77777777" w:rsidR="00C57A42" w:rsidRPr="00823227" w:rsidRDefault="00C57A42" w:rsidP="00557EAC">
      <w:pPr>
        <w:pStyle w:val="Heading3"/>
      </w:pPr>
      <w:r w:rsidRPr="00823227">
        <w:t xml:space="preserve">Field 2.12.1 – Compliance monitoring strategy </w:t>
      </w:r>
    </w:p>
    <w:p w14:paraId="108A8FFB" w14:textId="77777777" w:rsidR="00C57A42" w:rsidRDefault="00C57A42" w:rsidP="00557EAC">
      <w:pPr>
        <w:pStyle w:val="BodyText"/>
      </w:pPr>
      <w:r>
        <w:t>At 2.12.1, we ask you to record whether your council has a written and up-to-date strategy for monitoring compliance with plan rules and consent conditions.</w:t>
      </w:r>
    </w:p>
    <w:p w14:paraId="2EC2568B" w14:textId="688ACB46" w:rsidR="00C57A42" w:rsidRDefault="00C57A42" w:rsidP="00557EAC">
      <w:pPr>
        <w:pStyle w:val="BodyText"/>
      </w:pPr>
      <w:r>
        <w:t xml:space="preserve">Guidance on developing a compliance strategy can be found in part 2 of the </w:t>
      </w:r>
      <w:hyperlink r:id="rId32" w:history="1">
        <w:r w:rsidRPr="00286281">
          <w:rPr>
            <w:rStyle w:val="Hyperlink"/>
          </w:rPr>
          <w:t xml:space="preserve">Ministry for the Environment </w:t>
        </w:r>
        <w:r w:rsidR="00DC7E30">
          <w:rPr>
            <w:rStyle w:val="Hyperlink"/>
          </w:rPr>
          <w:t>B</w:t>
        </w:r>
        <w:r w:rsidRPr="00286281">
          <w:rPr>
            <w:rStyle w:val="Hyperlink"/>
          </w:rPr>
          <w:t xml:space="preserve">est </w:t>
        </w:r>
        <w:r w:rsidR="00DC7E30">
          <w:rPr>
            <w:rStyle w:val="Hyperlink"/>
          </w:rPr>
          <w:t>P</w:t>
        </w:r>
        <w:r w:rsidRPr="00286281">
          <w:rPr>
            <w:rStyle w:val="Hyperlink"/>
          </w:rPr>
          <w:t xml:space="preserve">ractice </w:t>
        </w:r>
        <w:r w:rsidR="00DC7E30">
          <w:rPr>
            <w:rStyle w:val="Hyperlink"/>
          </w:rPr>
          <w:t>G</w:t>
        </w:r>
        <w:r w:rsidRPr="00286281">
          <w:rPr>
            <w:rStyle w:val="Hyperlink"/>
          </w:rPr>
          <w:t xml:space="preserve">uidelines </w:t>
        </w:r>
        <w:r w:rsidR="00DC7E30">
          <w:rPr>
            <w:rStyle w:val="Hyperlink"/>
          </w:rPr>
          <w:t>for</w:t>
        </w:r>
        <w:r w:rsidR="00DC7E30" w:rsidRPr="00286281">
          <w:rPr>
            <w:rStyle w:val="Hyperlink"/>
          </w:rPr>
          <w:t xml:space="preserve"> </w:t>
        </w:r>
        <w:r w:rsidR="00DC7E30">
          <w:rPr>
            <w:rStyle w:val="Hyperlink"/>
          </w:rPr>
          <w:t>C</w:t>
        </w:r>
        <w:r w:rsidRPr="00286281">
          <w:rPr>
            <w:rStyle w:val="Hyperlink"/>
          </w:rPr>
          <w:t xml:space="preserve">ompliance, </w:t>
        </w:r>
        <w:r w:rsidR="00DC7E30">
          <w:rPr>
            <w:rStyle w:val="Hyperlink"/>
          </w:rPr>
          <w:t>M</w:t>
        </w:r>
        <w:r w:rsidRPr="00286281">
          <w:rPr>
            <w:rStyle w:val="Hyperlink"/>
          </w:rPr>
          <w:t xml:space="preserve">onitoring and </w:t>
        </w:r>
        <w:r w:rsidR="00DC7E30">
          <w:rPr>
            <w:rStyle w:val="Hyperlink"/>
          </w:rPr>
          <w:t>E</w:t>
        </w:r>
        <w:r w:rsidRPr="00286281">
          <w:rPr>
            <w:rStyle w:val="Hyperlink"/>
          </w:rPr>
          <w:t xml:space="preserve">nforcement under the </w:t>
        </w:r>
        <w:r w:rsidR="00DC7E30">
          <w:rPr>
            <w:rStyle w:val="Hyperlink"/>
          </w:rPr>
          <w:t>Resource Management Act 1991</w:t>
        </w:r>
        <w:r w:rsidRPr="00286281">
          <w:rPr>
            <w:rStyle w:val="Hyperlink"/>
          </w:rPr>
          <w:t>.</w:t>
        </w:r>
      </w:hyperlink>
      <w:r>
        <w:t xml:space="preserve"> </w:t>
      </w:r>
    </w:p>
    <w:p w14:paraId="707EDB79" w14:textId="77777777" w:rsidR="00C57A42" w:rsidRPr="00823227" w:rsidRDefault="00C57A42" w:rsidP="00557EAC">
      <w:pPr>
        <w:pStyle w:val="Heading3"/>
      </w:pPr>
      <w:r w:rsidRPr="00823227">
        <w:t xml:space="preserve">Field 2.12.2 – Approach of local authority to monitor resource consents </w:t>
      </w:r>
    </w:p>
    <w:p w14:paraId="4DB6AE03" w14:textId="77777777" w:rsidR="00C57A42" w:rsidRPr="00801F13" w:rsidRDefault="00C57A42" w:rsidP="00557EAC">
      <w:pPr>
        <w:pStyle w:val="BodyText"/>
      </w:pPr>
      <w:r w:rsidRPr="00DF5D9F">
        <w:t xml:space="preserve">At 2.12.2, </w:t>
      </w:r>
      <w:r>
        <w:t>we ask you provide a brief description of how your council’s general approach to monitoring resource consents. If you answered ‘no’ to 2.12.1 or just wish to add additional context, this is an opportunity to explain how your council has approached monitoring in 2018/19.</w:t>
      </w:r>
    </w:p>
    <w:p w14:paraId="743E8912" w14:textId="77777777" w:rsidR="00C57A42" w:rsidRPr="00936F4F" w:rsidRDefault="00C57A42" w:rsidP="00557EAC">
      <w:pPr>
        <w:pStyle w:val="Heading2"/>
      </w:pPr>
      <w:bookmarkStart w:id="30" w:name="_Toc10723913"/>
      <w:r w:rsidRPr="00936F4F">
        <w:t>Section 2.13 – Enforcement</w:t>
      </w:r>
      <w:bookmarkEnd w:id="30"/>
    </w:p>
    <w:p w14:paraId="1E1D6B88" w14:textId="77777777" w:rsidR="00C57A42" w:rsidRDefault="00C57A42" w:rsidP="00557EAC">
      <w:pPr>
        <w:pStyle w:val="BodyText"/>
      </w:pPr>
      <w:r w:rsidRPr="00936F4F">
        <w:t xml:space="preserve">This section </w:t>
      </w:r>
      <w:r>
        <w:t xml:space="preserve">collects </w:t>
      </w:r>
      <w:r w:rsidRPr="00936F4F">
        <w:t xml:space="preserve">information on the enforcement activities undertaken by your local authority during the </w:t>
      </w:r>
      <w:r>
        <w:t>2018/19</w:t>
      </w:r>
      <w:r w:rsidRPr="00936F4F">
        <w:t xml:space="preserve"> financial year. </w:t>
      </w:r>
    </w:p>
    <w:p w14:paraId="69B2FAC6" w14:textId="77777777" w:rsidR="00C57A42" w:rsidRDefault="00C57A42" w:rsidP="00557EAC">
      <w:pPr>
        <w:pStyle w:val="BodyText"/>
      </w:pPr>
      <w:r>
        <w:t>It is important that we avoid double-counting enforcement activ</w:t>
      </w:r>
      <w:r w:rsidR="0028498A">
        <w:t>iti</w:t>
      </w:r>
      <w:r>
        <w:t xml:space="preserve">es. Where a single enforcement action relates to breaches of multiple sections of the Act, record it against </w:t>
      </w:r>
      <w:r w:rsidRPr="009B052E">
        <w:rPr>
          <w:b/>
        </w:rPr>
        <w:t>only one section</w:t>
      </w:r>
      <w:r>
        <w:t xml:space="preserve">, whichever is deemed the primary issue. Where this occurs, an explanation can be provided in the commentary/context field.  </w:t>
      </w:r>
    </w:p>
    <w:p w14:paraId="124B6AE1" w14:textId="77777777" w:rsidR="00C57A42" w:rsidRDefault="00C57A42" w:rsidP="00557EAC">
      <w:pPr>
        <w:pStyle w:val="BodyText"/>
      </w:pPr>
      <w:r>
        <w:t xml:space="preserve">Please exclude infringement and abatement notices for noise (these are accounted for in </w:t>
      </w:r>
      <w:r w:rsidRPr="00936F4F">
        <w:t xml:space="preserve">section </w:t>
      </w:r>
      <w:r>
        <w:t>2.10) and infringement notices for contravention of a water shortage direction (these are accounted for under 2.13.3)</w:t>
      </w:r>
      <w:r w:rsidRPr="00936F4F">
        <w:t xml:space="preserve">. </w:t>
      </w:r>
    </w:p>
    <w:p w14:paraId="724FF142" w14:textId="77777777" w:rsidR="00C57A42" w:rsidRPr="00936F4F" w:rsidRDefault="00C57A42" w:rsidP="00557EAC">
      <w:pPr>
        <w:pStyle w:val="BodyText"/>
      </w:pPr>
      <w:r>
        <w:t xml:space="preserve">Where a notice or order was sought due to a contravention of an existing abatement notice, enforcement order or due to a breach of s 17 (or some other offence noted in section 338) please account for these activities in the optional ‘other’ column provided in section 2.13. </w:t>
      </w:r>
    </w:p>
    <w:p w14:paraId="7FE761AA" w14:textId="1EB455F0" w:rsidR="00C57A42" w:rsidRPr="00936F4F" w:rsidRDefault="00C57A42" w:rsidP="00557EAC">
      <w:pPr>
        <w:pStyle w:val="Heading2"/>
        <w:spacing w:after="120"/>
      </w:pPr>
      <w:bookmarkStart w:id="31" w:name="_Toc10723914"/>
      <w:r w:rsidRPr="00936F4F">
        <w:t>Section 2.14 – National Environmental Standard for Assessing and Managing Contaminants in Soil to Protect Human Health</w:t>
      </w:r>
      <w:bookmarkEnd w:id="31"/>
      <w:r>
        <w:t xml:space="preserve"> </w:t>
      </w:r>
    </w:p>
    <w:p w14:paraId="6A9ABE27" w14:textId="77777777" w:rsidR="00C57A42" w:rsidRDefault="00C57A42" w:rsidP="00557EAC">
      <w:pPr>
        <w:pStyle w:val="BodyText"/>
      </w:pPr>
      <w:r>
        <w:t>This section reports</w:t>
      </w:r>
      <w:r w:rsidRPr="00936F4F">
        <w:t xml:space="preserve"> on the implementation of the National Environmental Standard for Assessing and Managing Contaminants in Soil to Protect Human </w:t>
      </w:r>
      <w:r>
        <w:t xml:space="preserve">Health (NESCS). We ask you to note </w:t>
      </w:r>
      <w:r w:rsidRPr="00936F4F">
        <w:t xml:space="preserve">any changes made to your council’s HAIL (Hazardous Activities and Industries List) </w:t>
      </w:r>
      <w:r w:rsidRPr="00936F4F">
        <w:lastRenderedPageBreak/>
        <w:t xml:space="preserve">Register, and the regulatory processes undertaken by </w:t>
      </w:r>
      <w:r>
        <w:t xml:space="preserve">your council </w:t>
      </w:r>
      <w:r w:rsidRPr="00936F4F">
        <w:t xml:space="preserve">in relation to the development of contaminated land </w:t>
      </w:r>
      <w:r>
        <w:t xml:space="preserve">during </w:t>
      </w:r>
      <w:r w:rsidRPr="00936F4F">
        <w:t>201</w:t>
      </w:r>
      <w:r>
        <w:t>8</w:t>
      </w:r>
      <w:r w:rsidRPr="00936F4F">
        <w:t>/201</w:t>
      </w:r>
      <w:r>
        <w:t>9.</w:t>
      </w:r>
    </w:p>
    <w:p w14:paraId="4D7DC0B3" w14:textId="77777777" w:rsidR="00C57A42" w:rsidRPr="006F2BFE" w:rsidRDefault="00C57A42" w:rsidP="00557EAC">
      <w:pPr>
        <w:pStyle w:val="BodyText"/>
      </w:pPr>
      <w:r w:rsidRPr="00936F4F">
        <w:rPr>
          <w:b/>
        </w:rPr>
        <w:t xml:space="preserve">Helpful link: </w:t>
      </w:r>
      <w:hyperlink r:id="rId33" w:history="1">
        <w:r w:rsidRPr="006F2BFE">
          <w:rPr>
            <w:rStyle w:val="Hyperlink"/>
          </w:rPr>
          <w:t>http://www.mfe.govt.nz/land/nes-assessing-and-managing-contaminants-soil-protect-human-health/about-nes</w:t>
        </w:r>
      </w:hyperlink>
    </w:p>
    <w:p w14:paraId="6C566765" w14:textId="28A0EBEA" w:rsidR="00C57A42" w:rsidRPr="00936F4F" w:rsidRDefault="00C57A42" w:rsidP="00557EAC">
      <w:pPr>
        <w:pStyle w:val="Heading2"/>
      </w:pPr>
      <w:bookmarkStart w:id="32" w:name="_Toc10723915"/>
      <w:r w:rsidRPr="00936F4F">
        <w:t>Section 2.1</w:t>
      </w:r>
      <w:r>
        <w:t>5</w:t>
      </w:r>
      <w:r w:rsidRPr="00936F4F">
        <w:t xml:space="preserve"> – </w:t>
      </w:r>
      <w:r w:rsidRPr="00A77E2F">
        <w:t xml:space="preserve">National Environmental Standards </w:t>
      </w:r>
      <w:r>
        <w:t>for Plantation Forestry</w:t>
      </w:r>
      <w:bookmarkEnd w:id="32"/>
      <w:r>
        <w:t xml:space="preserve"> </w:t>
      </w:r>
    </w:p>
    <w:p w14:paraId="49C97BC3" w14:textId="77777777" w:rsidR="00C57A42" w:rsidRDefault="00C57A42" w:rsidP="00557EAC">
      <w:pPr>
        <w:pStyle w:val="BodyText"/>
      </w:pPr>
      <w:r w:rsidRPr="00CC3697">
        <w:t xml:space="preserve">This section </w:t>
      </w:r>
      <w:r>
        <w:t xml:space="preserve">collects </w:t>
      </w:r>
      <w:r w:rsidRPr="00CC3697">
        <w:t xml:space="preserve">information </w:t>
      </w:r>
      <w:r>
        <w:t>on the implementation of the Resource Management (</w:t>
      </w:r>
      <w:r w:rsidRPr="002C44F7">
        <w:t>National Environmental Standards for Plantation Forestry</w:t>
      </w:r>
      <w:r>
        <w:t>) Regulations 2017 (</w:t>
      </w:r>
      <w:r w:rsidRPr="00CC3697">
        <w:t>NESPF</w:t>
      </w:r>
      <w:r>
        <w:t>), which came into force on 1 May 2018.</w:t>
      </w:r>
    </w:p>
    <w:p w14:paraId="519DBB3C" w14:textId="77777777" w:rsidR="00C57A42" w:rsidRDefault="00C57A42" w:rsidP="00557EAC">
      <w:pPr>
        <w:pStyle w:val="BodyText"/>
      </w:pPr>
      <w:r>
        <w:t xml:space="preserve">This section must be filled out by regional councils and unitary authorities. This section is optional for territorial authorities. </w:t>
      </w:r>
    </w:p>
    <w:p w14:paraId="2B24CD02" w14:textId="77777777" w:rsidR="00C57A42" w:rsidRDefault="00C57A42" w:rsidP="00557EAC">
      <w:pPr>
        <w:pStyle w:val="BodyText"/>
      </w:pPr>
      <w:r>
        <w:t>The NESPF requires forestry operators to provide written notice to councils of intended activities under Regulation 10 (Afforestation), Regulation 25 (Earthworks), Regulation 38 (River Crossings), Regulation 52 (Forestry Quarrying) and Regulation 64 (Harvesting).</w:t>
      </w:r>
    </w:p>
    <w:p w14:paraId="3DD981E5" w14:textId="77777777" w:rsidR="00C57A42" w:rsidRDefault="00C57A42" w:rsidP="00557EAC">
      <w:pPr>
        <w:pStyle w:val="BodyText"/>
      </w:pPr>
      <w:r>
        <w:t xml:space="preserve">The NESPF requires forestry operators to prepare management plans for Earthworks (Regulation 27), Forestry Quarrying (Regulation 59) and Harvesting (Regulation 66) (note regional councils are able to request these management plans after receiving written notice of the activity). </w:t>
      </w:r>
    </w:p>
    <w:p w14:paraId="5C59028F" w14:textId="77777777" w:rsidR="00C57A42" w:rsidRDefault="00C57A42" w:rsidP="00557EAC">
      <w:pPr>
        <w:pStyle w:val="BodyText"/>
      </w:pPr>
      <w:r>
        <w:t>Each plantation forest activity regulated under the NESPF and ‘plantation forest’ is defined in Regulation 3 of the NESPF. All data recorded in this section should relate to each plantation forestry activity within a single plantation forest.</w:t>
      </w:r>
    </w:p>
    <w:p w14:paraId="5DC41604" w14:textId="77777777" w:rsidR="00C57A42" w:rsidRPr="00520EB4" w:rsidRDefault="00C57A42" w:rsidP="00557EAC">
      <w:pPr>
        <w:pStyle w:val="BodyText"/>
      </w:pPr>
      <w:r>
        <w:t>We ask you to provide the number of notices, management plans you received for activities controlled by the NESPF. We also collect information regarding compliance and enforcement activities your council has undertaken in response to conditions imposed by the NESPF.</w:t>
      </w:r>
    </w:p>
    <w:p w14:paraId="468D9123" w14:textId="77777777" w:rsidR="00C57A42" w:rsidRPr="00936F4F" w:rsidRDefault="00C57A42" w:rsidP="00557EAC">
      <w:pPr>
        <w:pStyle w:val="BodyText"/>
      </w:pPr>
      <w:r w:rsidRPr="00936F4F">
        <w:rPr>
          <w:b/>
        </w:rPr>
        <w:t>Helpful link:</w:t>
      </w:r>
      <w:r>
        <w:rPr>
          <w:b/>
        </w:rPr>
        <w:t xml:space="preserve"> </w:t>
      </w:r>
      <w:hyperlink r:id="rId34" w:history="1">
        <w:r w:rsidRPr="0003574A">
          <w:rPr>
            <w:rStyle w:val="Hyperlink"/>
          </w:rPr>
          <w:t>http://www.mfe.govt.nz/land/national-environmental-standards-plantation-forestry/about-standards</w:t>
        </w:r>
      </w:hyperlink>
    </w:p>
    <w:p w14:paraId="4005C4F4" w14:textId="77777777" w:rsidR="009B322F" w:rsidRDefault="009B322F" w:rsidP="00557EAC">
      <w:pPr>
        <w:jc w:val="left"/>
      </w:pPr>
    </w:p>
    <w:sectPr w:rsidR="009B322F" w:rsidSect="00355710">
      <w:headerReference w:type="even" r:id="rId35"/>
      <w:headerReference w:type="default" r:id="rId36"/>
      <w:footerReference w:type="even" r:id="rId37"/>
      <w:footerReference w:type="default" r:id="rId38"/>
      <w:endnotePr>
        <w:numFmt w:val="decimal"/>
      </w:endnotePr>
      <w:type w:val="continuous"/>
      <w:pgSz w:w="11907" w:h="16840" w:code="9"/>
      <w:pgMar w:top="1440" w:right="1440" w:bottom="1440" w:left="1440" w:header="567" w:footer="567"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5B2E5" w14:textId="77777777" w:rsidR="00CE3D44" w:rsidRDefault="00CE3D44">
      <w:pPr>
        <w:spacing w:after="0" w:line="240" w:lineRule="auto"/>
      </w:pPr>
      <w:r>
        <w:separator/>
      </w:r>
    </w:p>
  </w:endnote>
  <w:endnote w:type="continuationSeparator" w:id="0">
    <w:p w14:paraId="678FC6F1" w14:textId="77777777" w:rsidR="00CE3D44" w:rsidRDefault="00CE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F5014" w14:textId="77777777" w:rsidR="009B322F" w:rsidRPr="00F866C3" w:rsidRDefault="009B322F" w:rsidP="009B322F">
    <w:pPr>
      <w:pStyle w:val="Footereven"/>
      <w:rPr>
        <w:szCs w:val="18"/>
      </w:rPr>
    </w:pP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Pr>
        <w:rStyle w:val="PageNumber"/>
        <w:rFonts w:ascii="Calibri" w:hAnsi="Calibri"/>
        <w:b w:val="0"/>
        <w:bCs w:val="0"/>
        <w:noProof/>
        <w:sz w:val="18"/>
        <w:szCs w:val="16"/>
      </w:rPr>
      <w:t>4</w:t>
    </w:r>
    <w:r w:rsidRPr="00CB44C4">
      <w:rPr>
        <w:rStyle w:val="PageNumber"/>
        <w:rFonts w:ascii="Calibri" w:hAnsi="Calibri"/>
        <w:b w:val="0"/>
        <w:bCs w:val="0"/>
        <w:sz w:val="18"/>
        <w:szCs w:val="16"/>
      </w:rPr>
      <w:fldChar w:fldCharType="end"/>
    </w:r>
    <w:r w:rsidRPr="00CB44C4">
      <w:tab/>
    </w:r>
    <w:r w:rsidRPr="00903587">
      <w:t xml:space="preserve">National Monitoring System – information requirements: Guidance for the </w:t>
    </w:r>
    <w:r>
      <w:t>2018/19</w:t>
    </w:r>
    <w:r w:rsidRPr="00903587">
      <w:t xml:space="preserve"> financial year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FD682" w14:textId="303B8C1C" w:rsidR="009B322F" w:rsidRPr="00CB44C4" w:rsidRDefault="009B322F" w:rsidP="009B322F">
    <w:pPr>
      <w:pStyle w:val="Footerodd"/>
    </w:pPr>
    <w:r w:rsidRPr="00CB44C4">
      <w:tab/>
    </w:r>
    <w:r w:rsidRPr="00903587">
      <w:t xml:space="preserve">National Monitoring System – </w:t>
    </w:r>
    <w:r>
      <w:t>i</w:t>
    </w:r>
    <w:r w:rsidRPr="00903587">
      <w:t xml:space="preserve">nformation </w:t>
    </w:r>
    <w:r>
      <w:t>r</w:t>
    </w:r>
    <w:r w:rsidRPr="00903587">
      <w:t xml:space="preserve">equirements: Guidance for the </w:t>
    </w:r>
    <w:r>
      <w:t>2018/19</w:t>
    </w:r>
    <w:r w:rsidRPr="00903587">
      <w:t xml:space="preserve"> financial year</w:t>
    </w:r>
    <w:r>
      <w:tab/>
    </w: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sidR="00BF20DD">
      <w:rPr>
        <w:rStyle w:val="PageNumber"/>
        <w:rFonts w:ascii="Calibri" w:hAnsi="Calibri"/>
        <w:b w:val="0"/>
        <w:bCs w:val="0"/>
        <w:noProof/>
        <w:sz w:val="18"/>
        <w:szCs w:val="16"/>
      </w:rPr>
      <w:t>4</w:t>
    </w:r>
    <w:r w:rsidRPr="00CB44C4">
      <w:rPr>
        <w:rStyle w:val="PageNumber"/>
        <w:rFonts w:ascii="Calibri" w:hAnsi="Calibri"/>
        <w:b w:val="0"/>
        <w:bCs w:val="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9067F" w14:textId="77777777" w:rsidR="00CE3D44" w:rsidRDefault="00CE3D44">
      <w:pPr>
        <w:spacing w:after="0" w:line="240" w:lineRule="auto"/>
      </w:pPr>
      <w:r>
        <w:separator/>
      </w:r>
    </w:p>
  </w:footnote>
  <w:footnote w:type="continuationSeparator" w:id="0">
    <w:p w14:paraId="17BBA9CB" w14:textId="77777777" w:rsidR="00CE3D44" w:rsidRDefault="00CE3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7DB53" w14:textId="77777777" w:rsidR="009B322F" w:rsidRDefault="009B322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BB33" w14:textId="77777777" w:rsidR="009B322F" w:rsidRDefault="009B322F" w:rsidP="009B32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6F4"/>
    <w:multiLevelType w:val="hybridMultilevel"/>
    <w:tmpl w:val="CB6EF2E6"/>
    <w:lvl w:ilvl="0" w:tplc="E348BCB4">
      <w:numFmt w:val="bullet"/>
      <w:lvlText w:val="-"/>
      <w:lvlJc w:val="left"/>
      <w:pPr>
        <w:ind w:left="408" w:hanging="360"/>
      </w:pPr>
      <w:rPr>
        <w:rFonts w:ascii="Calibri" w:eastAsiaTheme="minorEastAsia" w:hAnsi="Calibri" w:cstheme="minorBidi" w:hint="default"/>
      </w:rPr>
    </w:lvl>
    <w:lvl w:ilvl="1" w:tplc="14090003" w:tentative="1">
      <w:start w:val="1"/>
      <w:numFmt w:val="bullet"/>
      <w:lvlText w:val="o"/>
      <w:lvlJc w:val="left"/>
      <w:pPr>
        <w:ind w:left="1128" w:hanging="360"/>
      </w:pPr>
      <w:rPr>
        <w:rFonts w:ascii="Courier New" w:hAnsi="Courier New" w:cs="Courier New" w:hint="default"/>
      </w:rPr>
    </w:lvl>
    <w:lvl w:ilvl="2" w:tplc="14090005" w:tentative="1">
      <w:start w:val="1"/>
      <w:numFmt w:val="bullet"/>
      <w:lvlText w:val=""/>
      <w:lvlJc w:val="left"/>
      <w:pPr>
        <w:ind w:left="1848" w:hanging="360"/>
      </w:pPr>
      <w:rPr>
        <w:rFonts w:ascii="Wingdings" w:hAnsi="Wingdings" w:hint="default"/>
      </w:rPr>
    </w:lvl>
    <w:lvl w:ilvl="3" w:tplc="14090001" w:tentative="1">
      <w:start w:val="1"/>
      <w:numFmt w:val="bullet"/>
      <w:lvlText w:val=""/>
      <w:lvlJc w:val="left"/>
      <w:pPr>
        <w:ind w:left="2568" w:hanging="360"/>
      </w:pPr>
      <w:rPr>
        <w:rFonts w:ascii="Symbol" w:hAnsi="Symbol" w:hint="default"/>
      </w:rPr>
    </w:lvl>
    <w:lvl w:ilvl="4" w:tplc="14090003" w:tentative="1">
      <w:start w:val="1"/>
      <w:numFmt w:val="bullet"/>
      <w:lvlText w:val="o"/>
      <w:lvlJc w:val="left"/>
      <w:pPr>
        <w:ind w:left="3288" w:hanging="360"/>
      </w:pPr>
      <w:rPr>
        <w:rFonts w:ascii="Courier New" w:hAnsi="Courier New" w:cs="Courier New" w:hint="default"/>
      </w:rPr>
    </w:lvl>
    <w:lvl w:ilvl="5" w:tplc="14090005" w:tentative="1">
      <w:start w:val="1"/>
      <w:numFmt w:val="bullet"/>
      <w:lvlText w:val=""/>
      <w:lvlJc w:val="left"/>
      <w:pPr>
        <w:ind w:left="4008" w:hanging="360"/>
      </w:pPr>
      <w:rPr>
        <w:rFonts w:ascii="Wingdings" w:hAnsi="Wingdings" w:hint="default"/>
      </w:rPr>
    </w:lvl>
    <w:lvl w:ilvl="6" w:tplc="14090001" w:tentative="1">
      <w:start w:val="1"/>
      <w:numFmt w:val="bullet"/>
      <w:lvlText w:val=""/>
      <w:lvlJc w:val="left"/>
      <w:pPr>
        <w:ind w:left="4728" w:hanging="360"/>
      </w:pPr>
      <w:rPr>
        <w:rFonts w:ascii="Symbol" w:hAnsi="Symbol" w:hint="default"/>
      </w:rPr>
    </w:lvl>
    <w:lvl w:ilvl="7" w:tplc="14090003" w:tentative="1">
      <w:start w:val="1"/>
      <w:numFmt w:val="bullet"/>
      <w:lvlText w:val="o"/>
      <w:lvlJc w:val="left"/>
      <w:pPr>
        <w:ind w:left="5448" w:hanging="360"/>
      </w:pPr>
      <w:rPr>
        <w:rFonts w:ascii="Courier New" w:hAnsi="Courier New" w:cs="Courier New" w:hint="default"/>
      </w:rPr>
    </w:lvl>
    <w:lvl w:ilvl="8" w:tplc="14090005" w:tentative="1">
      <w:start w:val="1"/>
      <w:numFmt w:val="bullet"/>
      <w:lvlText w:val=""/>
      <w:lvlJc w:val="left"/>
      <w:pPr>
        <w:ind w:left="6168" w:hanging="360"/>
      </w:pPr>
      <w:rPr>
        <w:rFonts w:ascii="Wingdings" w:hAnsi="Wingdings" w:hint="default"/>
      </w:rPr>
    </w:lvl>
  </w:abstractNum>
  <w:abstractNum w:abstractNumId="1" w15:restartNumberingAfterBreak="0">
    <w:nsid w:val="041F411A"/>
    <w:multiLevelType w:val="hybridMultilevel"/>
    <w:tmpl w:val="A6661C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B67626"/>
    <w:multiLevelType w:val="hybridMultilevel"/>
    <w:tmpl w:val="8D184994"/>
    <w:lvl w:ilvl="0" w:tplc="DB9C7798">
      <w:start w:val="1"/>
      <w:numFmt w:val="decimal"/>
      <w:pStyle w:val="Numberedparagraph"/>
      <w:lvlText w:val="%1."/>
      <w:lvlJc w:val="left"/>
      <w:pPr>
        <w:tabs>
          <w:tab w:val="num" w:pos="397"/>
        </w:tabs>
        <w:ind w:left="397"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 w15:restartNumberingAfterBreak="0">
    <w:nsid w:val="0B0F5F0E"/>
    <w:multiLevelType w:val="hybridMultilevel"/>
    <w:tmpl w:val="8FFC4770"/>
    <w:lvl w:ilvl="0" w:tplc="E264C0DC">
      <w:start w:val="1"/>
      <w:numFmt w:val="bullet"/>
      <w:pStyle w:val="Greenbullet-tables"/>
      <w:lvlText w:val=""/>
      <w:lvlJc w:val="left"/>
      <w:pPr>
        <w:ind w:left="644" w:hanging="360"/>
      </w:pPr>
      <w:rPr>
        <w:rFonts w:ascii="Symbol" w:hAnsi="Symbol" w:hint="default"/>
        <w:color w:val="677719"/>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15:restartNumberingAfterBreak="0">
    <w:nsid w:val="0E16087F"/>
    <w:multiLevelType w:val="multilevel"/>
    <w:tmpl w:val="55DE7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EB0199C"/>
    <w:multiLevelType w:val="hybridMultilevel"/>
    <w:tmpl w:val="3C7E1392"/>
    <w:lvl w:ilvl="0" w:tplc="F822B5CE">
      <w:start w:val="1"/>
      <w:numFmt w:val="lowerLetter"/>
      <w:pStyle w:val="Bodytexta"/>
      <w:lvlText w:val="%1)"/>
      <w:lvlJc w:val="left"/>
      <w:pPr>
        <w:ind w:left="1440" w:hanging="360"/>
      </w:pPr>
      <w:rPr>
        <w:rFonts w:ascii="Calibri" w:hAnsi="Calibri" w:hint="default"/>
        <w:b w:val="0"/>
        <w:i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FBC4416"/>
    <w:multiLevelType w:val="hybridMultilevel"/>
    <w:tmpl w:val="51604534"/>
    <w:lvl w:ilvl="0" w:tplc="749ACB36">
      <w:start w:val="2"/>
      <w:numFmt w:val="bullet"/>
      <w:lvlText w:val="-"/>
      <w:lvlJc w:val="left"/>
      <w:pPr>
        <w:ind w:left="420" w:hanging="360"/>
      </w:pPr>
      <w:rPr>
        <w:rFonts w:ascii="Calibri" w:eastAsiaTheme="minorHAnsi" w:hAnsi="Calibri" w:cstheme="minorBidi"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7" w15:restartNumberingAfterBreak="0">
    <w:nsid w:val="118D07D9"/>
    <w:multiLevelType w:val="hybridMultilevel"/>
    <w:tmpl w:val="89504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CD5E6C"/>
    <w:multiLevelType w:val="hybridMultilevel"/>
    <w:tmpl w:val="36D02C02"/>
    <w:lvl w:ilvl="0" w:tplc="258E2AB8">
      <w:start w:val="1"/>
      <w:numFmt w:val="decimal"/>
      <w:lvlText w:val="%1)"/>
      <w:lvlJc w:val="left"/>
      <w:pPr>
        <w:ind w:left="396" w:hanging="360"/>
      </w:pPr>
      <w:rPr>
        <w:rFonts w:hint="default"/>
      </w:rPr>
    </w:lvl>
    <w:lvl w:ilvl="1" w:tplc="14090019" w:tentative="1">
      <w:start w:val="1"/>
      <w:numFmt w:val="lowerLetter"/>
      <w:lvlText w:val="%2."/>
      <w:lvlJc w:val="left"/>
      <w:pPr>
        <w:ind w:left="1116" w:hanging="360"/>
      </w:pPr>
    </w:lvl>
    <w:lvl w:ilvl="2" w:tplc="1409001B" w:tentative="1">
      <w:start w:val="1"/>
      <w:numFmt w:val="lowerRoman"/>
      <w:lvlText w:val="%3."/>
      <w:lvlJc w:val="right"/>
      <w:pPr>
        <w:ind w:left="1836" w:hanging="180"/>
      </w:pPr>
    </w:lvl>
    <w:lvl w:ilvl="3" w:tplc="1409000F" w:tentative="1">
      <w:start w:val="1"/>
      <w:numFmt w:val="decimal"/>
      <w:lvlText w:val="%4."/>
      <w:lvlJc w:val="left"/>
      <w:pPr>
        <w:ind w:left="2556" w:hanging="360"/>
      </w:pPr>
    </w:lvl>
    <w:lvl w:ilvl="4" w:tplc="14090019" w:tentative="1">
      <w:start w:val="1"/>
      <w:numFmt w:val="lowerLetter"/>
      <w:lvlText w:val="%5."/>
      <w:lvlJc w:val="left"/>
      <w:pPr>
        <w:ind w:left="3276" w:hanging="360"/>
      </w:pPr>
    </w:lvl>
    <w:lvl w:ilvl="5" w:tplc="1409001B" w:tentative="1">
      <w:start w:val="1"/>
      <w:numFmt w:val="lowerRoman"/>
      <w:lvlText w:val="%6."/>
      <w:lvlJc w:val="right"/>
      <w:pPr>
        <w:ind w:left="3996" w:hanging="180"/>
      </w:pPr>
    </w:lvl>
    <w:lvl w:ilvl="6" w:tplc="1409000F" w:tentative="1">
      <w:start w:val="1"/>
      <w:numFmt w:val="decimal"/>
      <w:lvlText w:val="%7."/>
      <w:lvlJc w:val="left"/>
      <w:pPr>
        <w:ind w:left="4716" w:hanging="360"/>
      </w:pPr>
    </w:lvl>
    <w:lvl w:ilvl="7" w:tplc="14090019" w:tentative="1">
      <w:start w:val="1"/>
      <w:numFmt w:val="lowerLetter"/>
      <w:lvlText w:val="%8."/>
      <w:lvlJc w:val="left"/>
      <w:pPr>
        <w:ind w:left="5436" w:hanging="360"/>
      </w:pPr>
    </w:lvl>
    <w:lvl w:ilvl="8" w:tplc="1409001B" w:tentative="1">
      <w:start w:val="1"/>
      <w:numFmt w:val="lowerRoman"/>
      <w:lvlText w:val="%9."/>
      <w:lvlJc w:val="right"/>
      <w:pPr>
        <w:ind w:left="6156" w:hanging="180"/>
      </w:pPr>
    </w:lvl>
  </w:abstractNum>
  <w:abstractNum w:abstractNumId="9" w15:restartNumberingAfterBreak="0">
    <w:nsid w:val="17BC376B"/>
    <w:multiLevelType w:val="hybridMultilevel"/>
    <w:tmpl w:val="7700A584"/>
    <w:lvl w:ilvl="0" w:tplc="1409000F">
      <w:start w:val="1"/>
      <w:numFmt w:val="decimal"/>
      <w:lvlText w:val="%1."/>
      <w:lvlJc w:val="left"/>
      <w:pPr>
        <w:tabs>
          <w:tab w:val="num" w:pos="338"/>
        </w:tabs>
        <w:ind w:left="338" w:hanging="338"/>
      </w:pPr>
      <w:rPr>
        <w:rFonts w:hint="default"/>
        <w:sz w:val="16"/>
      </w:rPr>
    </w:lvl>
    <w:lvl w:ilvl="1" w:tplc="08090003">
      <w:start w:val="1"/>
      <w:numFmt w:val="bullet"/>
      <w:lvlText w:val=""/>
      <w:lvlJc w:val="left"/>
      <w:pPr>
        <w:tabs>
          <w:tab w:val="num" w:pos="567"/>
        </w:tabs>
        <w:ind w:left="567" w:hanging="227"/>
      </w:pPr>
      <w:rPr>
        <w:rFonts w:ascii="Symbol" w:hAnsi="Symbol" w:hint="default"/>
        <w:sz w:val="22"/>
      </w:rPr>
    </w:lvl>
    <w:lvl w:ilvl="2" w:tplc="08090005">
      <w:start w:val="13"/>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824AD"/>
    <w:multiLevelType w:val="hybridMultilevel"/>
    <w:tmpl w:val="F52A16A6"/>
    <w:lvl w:ilvl="0" w:tplc="53DA471C">
      <w:start w:val="1"/>
      <w:numFmt w:val="bullet"/>
      <w:pStyle w:val="Tablebullet"/>
      <w:lvlText w:val=""/>
      <w:lvlJc w:val="left"/>
      <w:pPr>
        <w:tabs>
          <w:tab w:val="num" w:pos="338"/>
        </w:tabs>
        <w:ind w:left="338" w:hanging="338"/>
      </w:pPr>
      <w:rPr>
        <w:rFonts w:ascii="Symbol" w:hAnsi="Symbol" w:hint="default"/>
        <w:sz w:val="16"/>
      </w:rPr>
    </w:lvl>
    <w:lvl w:ilvl="1" w:tplc="08090003">
      <w:start w:val="1"/>
      <w:numFmt w:val="bullet"/>
      <w:pStyle w:val="TableDash"/>
      <w:lvlText w:val=""/>
      <w:lvlJc w:val="left"/>
      <w:pPr>
        <w:tabs>
          <w:tab w:val="num" w:pos="567"/>
        </w:tabs>
        <w:ind w:left="567" w:hanging="227"/>
      </w:pPr>
      <w:rPr>
        <w:rFonts w:ascii="Symbol" w:hAnsi="Symbol" w:hint="default"/>
        <w:sz w:val="22"/>
      </w:rPr>
    </w:lvl>
    <w:lvl w:ilvl="2" w:tplc="08090005">
      <w:start w:val="13"/>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C6FF1"/>
    <w:multiLevelType w:val="hybridMultilevel"/>
    <w:tmpl w:val="7512C5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895523"/>
    <w:multiLevelType w:val="hybridMultilevel"/>
    <w:tmpl w:val="E5D4A5E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41E2EA4"/>
    <w:multiLevelType w:val="hybridMultilevel"/>
    <w:tmpl w:val="AB28B9C8"/>
    <w:lvl w:ilvl="0" w:tplc="A3EABA02">
      <w:start w:val="1"/>
      <w:numFmt w:val="decimal"/>
      <w:pStyle w:val="Bodytextnumbered"/>
      <w:lvlText w:val="%1"/>
      <w:lvlJc w:val="left"/>
      <w:pPr>
        <w:ind w:left="720" w:hanging="360"/>
      </w:pPr>
      <w:rPr>
        <w:rFonts w:ascii="Calibri" w:hAnsi="Calibr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5466C5D"/>
    <w:multiLevelType w:val="hybridMultilevel"/>
    <w:tmpl w:val="D96ED40E"/>
    <w:lvl w:ilvl="0" w:tplc="915022BC">
      <w:start w:val="1"/>
      <w:numFmt w:val="bullet"/>
      <w:lvlText w:val="-"/>
      <w:lvlJc w:val="left"/>
      <w:pPr>
        <w:ind w:left="408" w:hanging="360"/>
      </w:pPr>
      <w:rPr>
        <w:rFonts w:ascii="Calibri" w:eastAsiaTheme="minorEastAsia" w:hAnsi="Calibri" w:cstheme="minorBidi" w:hint="default"/>
      </w:rPr>
    </w:lvl>
    <w:lvl w:ilvl="1" w:tplc="14090003" w:tentative="1">
      <w:start w:val="1"/>
      <w:numFmt w:val="bullet"/>
      <w:lvlText w:val="o"/>
      <w:lvlJc w:val="left"/>
      <w:pPr>
        <w:ind w:left="1128" w:hanging="360"/>
      </w:pPr>
      <w:rPr>
        <w:rFonts w:ascii="Courier New" w:hAnsi="Courier New" w:cs="Courier New" w:hint="default"/>
      </w:rPr>
    </w:lvl>
    <w:lvl w:ilvl="2" w:tplc="14090005" w:tentative="1">
      <w:start w:val="1"/>
      <w:numFmt w:val="bullet"/>
      <w:lvlText w:val=""/>
      <w:lvlJc w:val="left"/>
      <w:pPr>
        <w:ind w:left="1848" w:hanging="360"/>
      </w:pPr>
      <w:rPr>
        <w:rFonts w:ascii="Wingdings" w:hAnsi="Wingdings" w:hint="default"/>
      </w:rPr>
    </w:lvl>
    <w:lvl w:ilvl="3" w:tplc="14090001" w:tentative="1">
      <w:start w:val="1"/>
      <w:numFmt w:val="bullet"/>
      <w:lvlText w:val=""/>
      <w:lvlJc w:val="left"/>
      <w:pPr>
        <w:ind w:left="2568" w:hanging="360"/>
      </w:pPr>
      <w:rPr>
        <w:rFonts w:ascii="Symbol" w:hAnsi="Symbol" w:hint="default"/>
      </w:rPr>
    </w:lvl>
    <w:lvl w:ilvl="4" w:tplc="14090003" w:tentative="1">
      <w:start w:val="1"/>
      <w:numFmt w:val="bullet"/>
      <w:lvlText w:val="o"/>
      <w:lvlJc w:val="left"/>
      <w:pPr>
        <w:ind w:left="3288" w:hanging="360"/>
      </w:pPr>
      <w:rPr>
        <w:rFonts w:ascii="Courier New" w:hAnsi="Courier New" w:cs="Courier New" w:hint="default"/>
      </w:rPr>
    </w:lvl>
    <w:lvl w:ilvl="5" w:tplc="14090005" w:tentative="1">
      <w:start w:val="1"/>
      <w:numFmt w:val="bullet"/>
      <w:lvlText w:val=""/>
      <w:lvlJc w:val="left"/>
      <w:pPr>
        <w:ind w:left="4008" w:hanging="360"/>
      </w:pPr>
      <w:rPr>
        <w:rFonts w:ascii="Wingdings" w:hAnsi="Wingdings" w:hint="default"/>
      </w:rPr>
    </w:lvl>
    <w:lvl w:ilvl="6" w:tplc="14090001" w:tentative="1">
      <w:start w:val="1"/>
      <w:numFmt w:val="bullet"/>
      <w:lvlText w:val=""/>
      <w:lvlJc w:val="left"/>
      <w:pPr>
        <w:ind w:left="4728" w:hanging="360"/>
      </w:pPr>
      <w:rPr>
        <w:rFonts w:ascii="Symbol" w:hAnsi="Symbol" w:hint="default"/>
      </w:rPr>
    </w:lvl>
    <w:lvl w:ilvl="7" w:tplc="14090003" w:tentative="1">
      <w:start w:val="1"/>
      <w:numFmt w:val="bullet"/>
      <w:lvlText w:val="o"/>
      <w:lvlJc w:val="left"/>
      <w:pPr>
        <w:ind w:left="5448" w:hanging="360"/>
      </w:pPr>
      <w:rPr>
        <w:rFonts w:ascii="Courier New" w:hAnsi="Courier New" w:cs="Courier New" w:hint="default"/>
      </w:rPr>
    </w:lvl>
    <w:lvl w:ilvl="8" w:tplc="14090005" w:tentative="1">
      <w:start w:val="1"/>
      <w:numFmt w:val="bullet"/>
      <w:lvlText w:val=""/>
      <w:lvlJc w:val="left"/>
      <w:pPr>
        <w:ind w:left="6168" w:hanging="360"/>
      </w:pPr>
      <w:rPr>
        <w:rFonts w:ascii="Wingdings" w:hAnsi="Wingdings" w:hint="default"/>
      </w:rPr>
    </w:lvl>
  </w:abstractNum>
  <w:abstractNum w:abstractNumId="15" w15:restartNumberingAfterBreak="0">
    <w:nsid w:val="36B56A60"/>
    <w:multiLevelType w:val="hybridMultilevel"/>
    <w:tmpl w:val="6E2E6F18"/>
    <w:lvl w:ilvl="0" w:tplc="AF86292A">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D465A16"/>
    <w:multiLevelType w:val="multilevel"/>
    <w:tmpl w:val="EA8CA7B0"/>
    <w:lvl w:ilvl="0">
      <w:start w:val="1"/>
      <w:numFmt w:val="bullet"/>
      <w:lvlText w:val=""/>
      <w:lvlJc w:val="left"/>
      <w:pPr>
        <w:tabs>
          <w:tab w:val="num" w:pos="681"/>
        </w:tabs>
        <w:ind w:left="681"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701FB"/>
    <w:multiLevelType w:val="hybridMultilevel"/>
    <w:tmpl w:val="87A07910"/>
    <w:lvl w:ilvl="0" w:tplc="C04A679E">
      <w:start w:val="1"/>
      <w:numFmt w:val="bullet"/>
      <w:pStyle w:val="Sub-list"/>
      <w:lvlText w:val=""/>
      <w:lvlJc w:val="left"/>
      <w:pPr>
        <w:tabs>
          <w:tab w:val="num" w:pos="397"/>
        </w:tabs>
        <w:ind w:left="397" w:firstLine="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D6104"/>
    <w:multiLevelType w:val="hybridMultilevel"/>
    <w:tmpl w:val="4ABA2070"/>
    <w:lvl w:ilvl="0" w:tplc="5308CA02">
      <w:start w:val="1"/>
      <w:numFmt w:val="lowerRoman"/>
      <w:pStyle w:val="Sub-listi"/>
      <w:lvlText w:val="%1."/>
      <w:lvlJc w:val="left"/>
      <w:pPr>
        <w:tabs>
          <w:tab w:val="num" w:pos="1191"/>
        </w:tabs>
        <w:ind w:left="1191"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9" w15:restartNumberingAfterBreak="0">
    <w:nsid w:val="4BAD6D06"/>
    <w:multiLevelType w:val="hybridMultilevel"/>
    <w:tmpl w:val="8DEABB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4C093034"/>
    <w:multiLevelType w:val="hybridMultilevel"/>
    <w:tmpl w:val="D8EA176A"/>
    <w:lvl w:ilvl="0" w:tplc="84147204">
      <w:start w:val="1"/>
      <w:numFmt w:val="bullet"/>
      <w:pStyle w:val="Questionbullet"/>
      <w:lvlText w:val=""/>
      <w:lvlJc w:val="left"/>
      <w:pPr>
        <w:ind w:left="1004" w:hanging="360"/>
      </w:pPr>
      <w:rPr>
        <w:rFonts w:ascii="Symbol" w:hAnsi="Symbol" w:hint="default"/>
        <w:color w:val="C66005"/>
        <w:sz w:val="20"/>
        <w:szCs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1" w15:restartNumberingAfterBreak="0">
    <w:nsid w:val="53535234"/>
    <w:multiLevelType w:val="singleLevel"/>
    <w:tmpl w:val="7FC073B8"/>
    <w:lvl w:ilvl="0">
      <w:start w:val="1"/>
      <w:numFmt w:val="bullet"/>
      <w:pStyle w:val="Boxbullet"/>
      <w:lvlText w:val=""/>
      <w:lvlJc w:val="left"/>
      <w:pPr>
        <w:tabs>
          <w:tab w:val="num" w:pos="851"/>
        </w:tabs>
        <w:ind w:left="851" w:hanging="567"/>
      </w:pPr>
      <w:rPr>
        <w:rFonts w:ascii="Symbol" w:hAnsi="Symbol" w:hint="default"/>
        <w:sz w:val="16"/>
      </w:rPr>
    </w:lvl>
  </w:abstractNum>
  <w:abstractNum w:abstractNumId="22" w15:restartNumberingAfterBreak="0">
    <w:nsid w:val="56181A63"/>
    <w:multiLevelType w:val="hybridMultilevel"/>
    <w:tmpl w:val="D9B8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9DA40A9"/>
    <w:multiLevelType w:val="hybridMultilevel"/>
    <w:tmpl w:val="94249B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2FB0C9C"/>
    <w:multiLevelType w:val="hybridMultilevel"/>
    <w:tmpl w:val="E48C6FEC"/>
    <w:lvl w:ilvl="0" w:tplc="2D28E2DC">
      <w:start w:val="1"/>
      <w:numFmt w:val="decimal"/>
      <w:pStyle w:val="Boxnumbered"/>
      <w:lvlText w:val="%1"/>
      <w:lvlJc w:val="left"/>
      <w:pPr>
        <w:ind w:left="1004" w:hanging="360"/>
      </w:pPr>
      <w:rPr>
        <w:rFonts w:ascii="Calibri" w:hAnsi="Calibri" w:hint="default"/>
        <w:b w:val="0"/>
        <w:bCs w:val="0"/>
        <w:i w:val="0"/>
        <w:sz w:val="22"/>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5" w15:restartNumberingAfterBreak="0">
    <w:nsid w:val="653A1DB2"/>
    <w:multiLevelType w:val="multilevel"/>
    <w:tmpl w:val="7C9A8406"/>
    <w:lvl w:ilvl="0">
      <w:start w:val="1"/>
      <w:numFmt w:val="bullet"/>
      <w:lvlText w:val=""/>
      <w:lvlJc w:val="left"/>
      <w:pPr>
        <w:tabs>
          <w:tab w:val="num" w:pos="720"/>
        </w:tabs>
        <w:ind w:left="720" w:hanging="360"/>
      </w:pPr>
      <w:rPr>
        <w:rFonts w:ascii="Symbol" w:hAnsi="Symbol" w:hint="default"/>
        <w:sz w:val="20"/>
      </w:rPr>
    </w:lvl>
    <w:lvl w:ilvl="1">
      <w:start w:val="1"/>
      <w:numFmt w:val="bullet"/>
      <w:pStyle w:val="Sub-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723B1"/>
    <w:multiLevelType w:val="hybridMultilevel"/>
    <w:tmpl w:val="D862A74C"/>
    <w:lvl w:ilvl="0" w:tplc="14090001">
      <w:start w:val="1"/>
      <w:numFmt w:val="bullet"/>
      <w:lvlText w:val=""/>
      <w:lvlJc w:val="left"/>
      <w:pPr>
        <w:ind w:left="764" w:hanging="360"/>
      </w:pPr>
      <w:rPr>
        <w:rFonts w:ascii="Symbol" w:hAnsi="Symbol" w:hint="default"/>
      </w:rPr>
    </w:lvl>
    <w:lvl w:ilvl="1" w:tplc="14090003" w:tentative="1">
      <w:start w:val="1"/>
      <w:numFmt w:val="bullet"/>
      <w:lvlText w:val="o"/>
      <w:lvlJc w:val="left"/>
      <w:pPr>
        <w:ind w:left="1484" w:hanging="360"/>
      </w:pPr>
      <w:rPr>
        <w:rFonts w:ascii="Courier New" w:hAnsi="Courier New" w:cs="Courier New" w:hint="default"/>
      </w:rPr>
    </w:lvl>
    <w:lvl w:ilvl="2" w:tplc="14090005" w:tentative="1">
      <w:start w:val="1"/>
      <w:numFmt w:val="bullet"/>
      <w:lvlText w:val=""/>
      <w:lvlJc w:val="left"/>
      <w:pPr>
        <w:ind w:left="2204" w:hanging="360"/>
      </w:pPr>
      <w:rPr>
        <w:rFonts w:ascii="Wingdings" w:hAnsi="Wingdings" w:hint="default"/>
      </w:rPr>
    </w:lvl>
    <w:lvl w:ilvl="3" w:tplc="14090001" w:tentative="1">
      <w:start w:val="1"/>
      <w:numFmt w:val="bullet"/>
      <w:lvlText w:val=""/>
      <w:lvlJc w:val="left"/>
      <w:pPr>
        <w:ind w:left="2924" w:hanging="360"/>
      </w:pPr>
      <w:rPr>
        <w:rFonts w:ascii="Symbol" w:hAnsi="Symbol" w:hint="default"/>
      </w:rPr>
    </w:lvl>
    <w:lvl w:ilvl="4" w:tplc="14090003" w:tentative="1">
      <w:start w:val="1"/>
      <w:numFmt w:val="bullet"/>
      <w:lvlText w:val="o"/>
      <w:lvlJc w:val="left"/>
      <w:pPr>
        <w:ind w:left="3644" w:hanging="360"/>
      </w:pPr>
      <w:rPr>
        <w:rFonts w:ascii="Courier New" w:hAnsi="Courier New" w:cs="Courier New" w:hint="default"/>
      </w:rPr>
    </w:lvl>
    <w:lvl w:ilvl="5" w:tplc="14090005" w:tentative="1">
      <w:start w:val="1"/>
      <w:numFmt w:val="bullet"/>
      <w:lvlText w:val=""/>
      <w:lvlJc w:val="left"/>
      <w:pPr>
        <w:ind w:left="4364" w:hanging="360"/>
      </w:pPr>
      <w:rPr>
        <w:rFonts w:ascii="Wingdings" w:hAnsi="Wingdings" w:hint="default"/>
      </w:rPr>
    </w:lvl>
    <w:lvl w:ilvl="6" w:tplc="14090001" w:tentative="1">
      <w:start w:val="1"/>
      <w:numFmt w:val="bullet"/>
      <w:lvlText w:val=""/>
      <w:lvlJc w:val="left"/>
      <w:pPr>
        <w:ind w:left="5084" w:hanging="360"/>
      </w:pPr>
      <w:rPr>
        <w:rFonts w:ascii="Symbol" w:hAnsi="Symbol" w:hint="default"/>
      </w:rPr>
    </w:lvl>
    <w:lvl w:ilvl="7" w:tplc="14090003" w:tentative="1">
      <w:start w:val="1"/>
      <w:numFmt w:val="bullet"/>
      <w:lvlText w:val="o"/>
      <w:lvlJc w:val="left"/>
      <w:pPr>
        <w:ind w:left="5804" w:hanging="360"/>
      </w:pPr>
      <w:rPr>
        <w:rFonts w:ascii="Courier New" w:hAnsi="Courier New" w:cs="Courier New" w:hint="default"/>
      </w:rPr>
    </w:lvl>
    <w:lvl w:ilvl="8" w:tplc="14090005" w:tentative="1">
      <w:start w:val="1"/>
      <w:numFmt w:val="bullet"/>
      <w:lvlText w:val=""/>
      <w:lvlJc w:val="left"/>
      <w:pPr>
        <w:ind w:left="6524" w:hanging="360"/>
      </w:pPr>
      <w:rPr>
        <w:rFonts w:ascii="Wingdings" w:hAnsi="Wingdings" w:hint="default"/>
      </w:rPr>
    </w:lvl>
  </w:abstractNum>
  <w:abstractNum w:abstractNumId="27" w15:restartNumberingAfterBreak="0">
    <w:nsid w:val="66633BEB"/>
    <w:multiLevelType w:val="hybridMultilevel"/>
    <w:tmpl w:val="849CF252"/>
    <w:lvl w:ilvl="0" w:tplc="E5E29082">
      <w:start w:val="1"/>
      <w:numFmt w:val="decimal"/>
      <w:pStyle w:val="Browntextnumbered"/>
      <w:lvlText w:val="%1"/>
      <w:lvlJc w:val="left"/>
      <w:pPr>
        <w:ind w:left="720" w:hanging="360"/>
      </w:pPr>
      <w:rPr>
        <w:rFonts w:ascii="Calibri" w:hAnsi="Calibri" w:hint="default"/>
        <w:b w:val="0"/>
        <w:color w:val="B4701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7502557"/>
    <w:multiLevelType w:val="hybridMultilevel"/>
    <w:tmpl w:val="4C1E7A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1410BD7"/>
    <w:multiLevelType w:val="hybridMultilevel"/>
    <w:tmpl w:val="590EC4F8"/>
    <w:lvl w:ilvl="0" w:tplc="89D08360">
      <w:start w:val="2"/>
      <w:numFmt w:val="bullet"/>
      <w:lvlText w:val="-"/>
      <w:lvlJc w:val="left"/>
      <w:pPr>
        <w:ind w:left="405" w:hanging="360"/>
      </w:pPr>
      <w:rPr>
        <w:rFonts w:ascii="Calibri" w:eastAsia="Times New Roman" w:hAnsi="Calibri" w:cs="Times New Roman"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30" w15:restartNumberingAfterBreak="0">
    <w:nsid w:val="7E4D254A"/>
    <w:multiLevelType w:val="singleLevel"/>
    <w:tmpl w:val="E50A663E"/>
    <w:lvl w:ilvl="0">
      <w:start w:val="1"/>
      <w:numFmt w:val="bullet"/>
      <w:pStyle w:val="Bullet"/>
      <w:lvlText w:val=""/>
      <w:lvlJc w:val="left"/>
      <w:pPr>
        <w:tabs>
          <w:tab w:val="num" w:pos="1701"/>
        </w:tabs>
        <w:ind w:left="1701" w:hanging="567"/>
      </w:pPr>
      <w:rPr>
        <w:rFonts w:ascii="Symbol" w:hAnsi="Symbol" w:hint="default"/>
        <w:color w:val="auto"/>
        <w:sz w:val="18"/>
        <w:szCs w:val="20"/>
      </w:rPr>
    </w:lvl>
  </w:abstractNum>
  <w:num w:numId="1">
    <w:abstractNumId w:val="30"/>
  </w:num>
  <w:num w:numId="2">
    <w:abstractNumId w:val="10"/>
  </w:num>
  <w:num w:numId="3">
    <w:abstractNumId w:val="25"/>
  </w:num>
  <w:num w:numId="4">
    <w:abstractNumId w:val="21"/>
  </w:num>
  <w:num w:numId="5">
    <w:abstractNumId w:val="24"/>
  </w:num>
  <w:num w:numId="6">
    <w:abstractNumId w:val="3"/>
  </w:num>
  <w:num w:numId="7">
    <w:abstractNumId w:val="27"/>
  </w:num>
  <w:num w:numId="8">
    <w:abstractNumId w:val="13"/>
  </w:num>
  <w:num w:numId="9">
    <w:abstractNumId w:val="5"/>
  </w:num>
  <w:num w:numId="10">
    <w:abstractNumId w:val="20"/>
  </w:num>
  <w:num w:numId="11">
    <w:abstractNumId w:val="2"/>
  </w:num>
  <w:num w:numId="12">
    <w:abstractNumId w:val="17"/>
  </w:num>
  <w:num w:numId="13">
    <w:abstractNumId w:val="18"/>
  </w:num>
  <w:num w:numId="14">
    <w:abstractNumId w:val="22"/>
  </w:num>
  <w:num w:numId="15">
    <w:abstractNumId w:val="26"/>
  </w:num>
  <w:num w:numId="16">
    <w:abstractNumId w:val="7"/>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3"/>
  </w:num>
  <w:num w:numId="22">
    <w:abstractNumId w:val="6"/>
  </w:num>
  <w:num w:numId="23">
    <w:abstractNumId w:val="16"/>
  </w:num>
  <w:num w:numId="24">
    <w:abstractNumId w:val="8"/>
  </w:num>
  <w:num w:numId="25">
    <w:abstractNumId w:val="14"/>
  </w:num>
  <w:num w:numId="26">
    <w:abstractNumId w:val="19"/>
  </w:num>
  <w:num w:numId="27">
    <w:abstractNumId w:val="12"/>
  </w:num>
  <w:num w:numId="28">
    <w:abstractNumId w:val="0"/>
  </w:num>
  <w:num w:numId="29">
    <w:abstractNumId w:val="15"/>
  </w:num>
  <w:num w:numId="30">
    <w:abstractNumId w:val="9"/>
  </w:num>
  <w:num w:numId="31">
    <w:abstractNumId w:val="28"/>
  </w:num>
  <w:num w:numId="32">
    <w:abstractNumId w:val="1"/>
  </w:num>
  <w:num w:numId="33">
    <w:abstractNumId w:val="11"/>
  </w:num>
  <w:num w:numId="34">
    <w:abstractNumId w:val="3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numFmt w:val="decimal"/>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42"/>
    <w:rsid w:val="000320A4"/>
    <w:rsid w:val="00072849"/>
    <w:rsid w:val="000C5A50"/>
    <w:rsid w:val="000D5170"/>
    <w:rsid w:val="0028498A"/>
    <w:rsid w:val="00340E26"/>
    <w:rsid w:val="00355710"/>
    <w:rsid w:val="003B4C97"/>
    <w:rsid w:val="004E13C6"/>
    <w:rsid w:val="0051134F"/>
    <w:rsid w:val="00557EAC"/>
    <w:rsid w:val="00581BD7"/>
    <w:rsid w:val="006A3703"/>
    <w:rsid w:val="006B49C1"/>
    <w:rsid w:val="006B538B"/>
    <w:rsid w:val="00754768"/>
    <w:rsid w:val="008B7F7A"/>
    <w:rsid w:val="008F7838"/>
    <w:rsid w:val="00943F15"/>
    <w:rsid w:val="00970ED0"/>
    <w:rsid w:val="009B322F"/>
    <w:rsid w:val="009B6794"/>
    <w:rsid w:val="00A62D95"/>
    <w:rsid w:val="00B51989"/>
    <w:rsid w:val="00B708A7"/>
    <w:rsid w:val="00BD2E03"/>
    <w:rsid w:val="00BE1647"/>
    <w:rsid w:val="00BF15D9"/>
    <w:rsid w:val="00BF20DD"/>
    <w:rsid w:val="00C43E61"/>
    <w:rsid w:val="00C57A42"/>
    <w:rsid w:val="00CC404F"/>
    <w:rsid w:val="00CE3D44"/>
    <w:rsid w:val="00D60C06"/>
    <w:rsid w:val="00DC7E30"/>
    <w:rsid w:val="00DD1E29"/>
    <w:rsid w:val="00DE142F"/>
    <w:rsid w:val="00DE5F26"/>
    <w:rsid w:val="00E43BBA"/>
    <w:rsid w:val="00F7444C"/>
    <w:rsid w:val="00FD6C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8DD4"/>
  <w15:chartTrackingRefBased/>
  <w15:docId w15:val="{5FB1127F-EEAA-4153-B01E-568340E0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A42"/>
    <w:pPr>
      <w:spacing w:after="200" w:line="276" w:lineRule="auto"/>
      <w:jc w:val="both"/>
    </w:pPr>
    <w:rPr>
      <w:rFonts w:ascii="Calibri" w:eastAsiaTheme="minorEastAsia" w:hAnsi="Calibri"/>
      <w:lang w:eastAsia="en-NZ"/>
    </w:rPr>
  </w:style>
  <w:style w:type="paragraph" w:styleId="Heading1">
    <w:name w:val="heading 1"/>
    <w:aliases w:val="dark brown"/>
    <w:basedOn w:val="Normal"/>
    <w:next w:val="BodyText"/>
    <w:link w:val="Heading1Char"/>
    <w:qFormat/>
    <w:rsid w:val="008F7838"/>
    <w:pPr>
      <w:keepNext/>
      <w:keepLines/>
      <w:tabs>
        <w:tab w:val="left" w:pos="851"/>
      </w:tabs>
      <w:spacing w:after="360" w:line="240" w:lineRule="auto"/>
      <w:jc w:val="left"/>
      <w:outlineLvl w:val="0"/>
    </w:pPr>
    <w:rPr>
      <w:rFonts w:eastAsiaTheme="majorEastAsia" w:cstheme="majorBidi"/>
      <w:b/>
      <w:bCs/>
      <w:color w:val="1C556C"/>
      <w:sz w:val="52"/>
      <w:szCs w:val="28"/>
    </w:rPr>
  </w:style>
  <w:style w:type="paragraph" w:styleId="Heading2">
    <w:name w:val="heading 2"/>
    <w:basedOn w:val="Normal"/>
    <w:next w:val="Normal"/>
    <w:link w:val="Heading2Char"/>
    <w:qFormat/>
    <w:rsid w:val="0028498A"/>
    <w:pPr>
      <w:keepNext/>
      <w:keepLines/>
      <w:tabs>
        <w:tab w:val="left" w:pos="737"/>
      </w:tabs>
      <w:spacing w:before="360" w:after="0" w:line="240" w:lineRule="auto"/>
      <w:jc w:val="left"/>
      <w:outlineLvl w:val="1"/>
    </w:pPr>
    <w:rPr>
      <w:rFonts w:eastAsiaTheme="majorEastAsia" w:cstheme="majorBidi"/>
      <w:b/>
      <w:bCs/>
      <w:color w:val="1C556C"/>
      <w:sz w:val="32"/>
      <w:szCs w:val="26"/>
    </w:rPr>
  </w:style>
  <w:style w:type="paragraph" w:styleId="Heading3">
    <w:name w:val="heading 3"/>
    <w:basedOn w:val="Normal"/>
    <w:next w:val="Normal"/>
    <w:link w:val="Heading3Char"/>
    <w:qFormat/>
    <w:rsid w:val="009B322F"/>
    <w:pPr>
      <w:keepNext/>
      <w:keepLines/>
      <w:tabs>
        <w:tab w:val="left" w:pos="851"/>
      </w:tabs>
      <w:spacing w:before="360" w:after="0" w:line="240" w:lineRule="auto"/>
      <w:jc w:val="left"/>
      <w:outlineLvl w:val="2"/>
    </w:pPr>
    <w:rPr>
      <w:rFonts w:eastAsiaTheme="majorEastAsia" w:cstheme="majorBidi"/>
      <w:b/>
      <w:bCs/>
      <w:color w:val="1C556C"/>
      <w:sz w:val="28"/>
    </w:rPr>
  </w:style>
  <w:style w:type="paragraph" w:styleId="Heading4">
    <w:name w:val="heading 4"/>
    <w:basedOn w:val="Heading3"/>
    <w:next w:val="Normal"/>
    <w:link w:val="Heading4Char"/>
    <w:qFormat/>
    <w:rsid w:val="00C57A42"/>
    <w:pPr>
      <w:outlineLvl w:val="3"/>
    </w:pPr>
    <w:rPr>
      <w:color w:val="006C67"/>
      <w:sz w:val="24"/>
    </w:rPr>
  </w:style>
  <w:style w:type="paragraph" w:styleId="Heading5">
    <w:name w:val="heading 5"/>
    <w:basedOn w:val="Normal"/>
    <w:next w:val="Normal"/>
    <w:link w:val="Heading5Char"/>
    <w:qFormat/>
    <w:rsid w:val="00C57A42"/>
    <w:pPr>
      <w:keepNext/>
      <w:keepLines/>
      <w:spacing w:after="0" w:line="240" w:lineRule="auto"/>
      <w:jc w:val="left"/>
      <w:outlineLvl w:val="4"/>
    </w:pPr>
    <w:rPr>
      <w:rFonts w:eastAsiaTheme="majorEastAsia"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ark brown Char"/>
    <w:basedOn w:val="DefaultParagraphFont"/>
    <w:link w:val="Heading1"/>
    <w:rsid w:val="008F7838"/>
    <w:rPr>
      <w:rFonts w:ascii="Calibri" w:eastAsiaTheme="majorEastAsia" w:hAnsi="Calibri" w:cstheme="majorBidi"/>
      <w:b/>
      <w:bCs/>
      <w:color w:val="1C556C"/>
      <w:sz w:val="52"/>
      <w:szCs w:val="28"/>
      <w:lang w:eastAsia="en-NZ"/>
    </w:rPr>
  </w:style>
  <w:style w:type="character" w:customStyle="1" w:styleId="Heading2Char">
    <w:name w:val="Heading 2 Char"/>
    <w:basedOn w:val="DefaultParagraphFont"/>
    <w:link w:val="Heading2"/>
    <w:rsid w:val="0028498A"/>
    <w:rPr>
      <w:rFonts w:ascii="Calibri" w:eastAsiaTheme="majorEastAsia" w:hAnsi="Calibri" w:cstheme="majorBidi"/>
      <w:b/>
      <w:bCs/>
      <w:color w:val="1C556C"/>
      <w:sz w:val="32"/>
      <w:szCs w:val="26"/>
      <w:lang w:eastAsia="en-NZ"/>
    </w:rPr>
  </w:style>
  <w:style w:type="character" w:customStyle="1" w:styleId="Heading3Char">
    <w:name w:val="Heading 3 Char"/>
    <w:basedOn w:val="DefaultParagraphFont"/>
    <w:link w:val="Heading3"/>
    <w:rsid w:val="009B322F"/>
    <w:rPr>
      <w:rFonts w:ascii="Calibri" w:eastAsiaTheme="majorEastAsia" w:hAnsi="Calibri" w:cstheme="majorBidi"/>
      <w:b/>
      <w:bCs/>
      <w:color w:val="1C556C"/>
      <w:sz w:val="28"/>
      <w:lang w:eastAsia="en-NZ"/>
    </w:rPr>
  </w:style>
  <w:style w:type="character" w:customStyle="1" w:styleId="Heading4Char">
    <w:name w:val="Heading 4 Char"/>
    <w:basedOn w:val="DefaultParagraphFont"/>
    <w:link w:val="Heading4"/>
    <w:rsid w:val="00C57A42"/>
    <w:rPr>
      <w:rFonts w:ascii="Calibri" w:eastAsiaTheme="majorEastAsia" w:hAnsi="Calibri" w:cstheme="majorBidi"/>
      <w:b/>
      <w:bCs/>
      <w:color w:val="006C67"/>
      <w:sz w:val="24"/>
      <w:lang w:eastAsia="en-NZ"/>
    </w:rPr>
  </w:style>
  <w:style w:type="character" w:customStyle="1" w:styleId="Heading5Char">
    <w:name w:val="Heading 5 Char"/>
    <w:basedOn w:val="DefaultParagraphFont"/>
    <w:link w:val="Heading5"/>
    <w:rsid w:val="00C57A42"/>
    <w:rPr>
      <w:rFonts w:ascii="Calibri" w:eastAsiaTheme="majorEastAsia" w:hAnsi="Calibri" w:cstheme="majorBidi"/>
      <w:sz w:val="20"/>
      <w:lang w:eastAsia="en-NZ"/>
    </w:rPr>
  </w:style>
  <w:style w:type="paragraph" w:styleId="BodyText">
    <w:name w:val="Body Text"/>
    <w:basedOn w:val="Normal"/>
    <w:link w:val="BodyTextChar"/>
    <w:qFormat/>
    <w:rsid w:val="00557EAC"/>
    <w:pPr>
      <w:spacing w:after="120"/>
      <w:jc w:val="left"/>
    </w:pPr>
  </w:style>
  <w:style w:type="character" w:customStyle="1" w:styleId="BodyTextChar">
    <w:name w:val="Body Text Char"/>
    <w:basedOn w:val="DefaultParagraphFont"/>
    <w:link w:val="BodyText"/>
    <w:rsid w:val="00557EAC"/>
    <w:rPr>
      <w:rFonts w:ascii="Calibri" w:eastAsiaTheme="minorEastAsia" w:hAnsi="Calibri"/>
      <w:lang w:eastAsia="en-NZ"/>
    </w:rPr>
  </w:style>
  <w:style w:type="paragraph" w:customStyle="1" w:styleId="Sectiontitle-lightbrown">
    <w:name w:val="Section title - light brown"/>
    <w:basedOn w:val="Sectiontitle-darkbrown"/>
    <w:next w:val="BodyText"/>
    <w:semiHidden/>
    <w:qFormat/>
    <w:rsid w:val="00C57A42"/>
    <w:rPr>
      <w:color w:val="F4D19C"/>
    </w:rPr>
  </w:style>
  <w:style w:type="paragraph" w:customStyle="1" w:styleId="Sectiontitle-darkbrown">
    <w:name w:val="Section title - dark brown"/>
    <w:basedOn w:val="Heading1"/>
    <w:semiHidden/>
    <w:qFormat/>
    <w:rsid w:val="00C57A42"/>
    <w:pPr>
      <w:keepLines w:val="0"/>
      <w:spacing w:after="0"/>
    </w:pPr>
    <w:rPr>
      <w:sz w:val="72"/>
    </w:rPr>
  </w:style>
  <w:style w:type="paragraph" w:styleId="ListParagraph">
    <w:name w:val="List Paragraph"/>
    <w:basedOn w:val="Normal"/>
    <w:link w:val="ListParagraphChar"/>
    <w:uiPriority w:val="34"/>
    <w:qFormat/>
    <w:rsid w:val="00C57A42"/>
    <w:pPr>
      <w:ind w:left="397" w:hanging="397"/>
      <w:jc w:val="left"/>
    </w:pPr>
  </w:style>
  <w:style w:type="character" w:customStyle="1" w:styleId="ListParagraphChar">
    <w:name w:val="List Paragraph Char"/>
    <w:link w:val="ListParagraph"/>
    <w:uiPriority w:val="34"/>
    <w:locked/>
    <w:rsid w:val="00C57A42"/>
    <w:rPr>
      <w:rFonts w:ascii="Calibri" w:eastAsiaTheme="minorEastAsia" w:hAnsi="Calibri"/>
      <w:lang w:eastAsia="en-NZ"/>
    </w:rPr>
  </w:style>
  <w:style w:type="character" w:styleId="Hyperlink">
    <w:name w:val="Hyperlink"/>
    <w:basedOn w:val="DefaultParagraphFont"/>
    <w:uiPriority w:val="99"/>
    <w:rsid w:val="006A3703"/>
    <w:rPr>
      <w:color w:val="1C556C"/>
      <w:u w:val="none"/>
    </w:rPr>
  </w:style>
  <w:style w:type="table" w:styleId="TableGrid">
    <w:name w:val="Table Grid"/>
    <w:basedOn w:val="TableNormal"/>
    <w:uiPriority w:val="59"/>
    <w:rsid w:val="00C57A42"/>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57A42"/>
    <w:pPr>
      <w:spacing w:after="60" w:line="240" w:lineRule="atLeast"/>
      <w:ind w:left="284" w:hanging="284"/>
      <w:jc w:val="left"/>
    </w:pPr>
    <w:rPr>
      <w:rFonts w:eastAsia="Times New Roman" w:cs="Times New Roman"/>
      <w:sz w:val="18"/>
      <w:szCs w:val="20"/>
      <w:lang w:val="x-none" w:eastAsia="en-US"/>
    </w:rPr>
  </w:style>
  <w:style w:type="character" w:customStyle="1" w:styleId="FootnoteTextChar">
    <w:name w:val="Footnote Text Char"/>
    <w:basedOn w:val="DefaultParagraphFont"/>
    <w:link w:val="FootnoteText"/>
    <w:uiPriority w:val="99"/>
    <w:rsid w:val="00C57A42"/>
    <w:rPr>
      <w:rFonts w:ascii="Calibri" w:eastAsia="Times New Roman" w:hAnsi="Calibri" w:cs="Times New Roman"/>
      <w:sz w:val="18"/>
      <w:szCs w:val="20"/>
      <w:lang w:val="x-none"/>
    </w:rPr>
  </w:style>
  <w:style w:type="character" w:styleId="FootnoteReference">
    <w:name w:val="footnote reference"/>
    <w:basedOn w:val="DefaultParagraphFont"/>
    <w:uiPriority w:val="99"/>
    <w:semiHidden/>
    <w:rsid w:val="00C57A42"/>
    <w:rPr>
      <w:rFonts w:ascii="Calibri" w:hAnsi="Calibri"/>
      <w:sz w:val="22"/>
      <w:vertAlign w:val="superscript"/>
    </w:rPr>
  </w:style>
  <w:style w:type="paragraph" w:styleId="BalloonText">
    <w:name w:val="Balloon Text"/>
    <w:basedOn w:val="Normal"/>
    <w:link w:val="BalloonTextChar"/>
    <w:uiPriority w:val="99"/>
    <w:semiHidden/>
    <w:unhideWhenUsed/>
    <w:rsid w:val="00C57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A42"/>
    <w:rPr>
      <w:rFonts w:ascii="Tahoma" w:eastAsiaTheme="minorEastAsia" w:hAnsi="Tahoma" w:cs="Tahoma"/>
      <w:sz w:val="16"/>
      <w:szCs w:val="16"/>
      <w:lang w:eastAsia="en-NZ"/>
    </w:rPr>
  </w:style>
  <w:style w:type="paragraph" w:styleId="Title">
    <w:name w:val="Title"/>
    <w:basedOn w:val="Normal"/>
    <w:next w:val="Normal"/>
    <w:link w:val="TitleChar"/>
    <w:rsid w:val="00C57A42"/>
    <w:pPr>
      <w:spacing w:after="600" w:line="240" w:lineRule="auto"/>
      <w:jc w:val="left"/>
    </w:pPr>
    <w:rPr>
      <w:rFonts w:eastAsiaTheme="majorEastAsia" w:cstheme="majorBidi"/>
      <w:b/>
      <w:color w:val="00264C"/>
      <w:sz w:val="52"/>
      <w:szCs w:val="52"/>
    </w:rPr>
  </w:style>
  <w:style w:type="character" w:customStyle="1" w:styleId="TitleChar">
    <w:name w:val="Title Char"/>
    <w:basedOn w:val="DefaultParagraphFont"/>
    <w:link w:val="Title"/>
    <w:rsid w:val="00C57A42"/>
    <w:rPr>
      <w:rFonts w:ascii="Calibri" w:eastAsiaTheme="majorEastAsia" w:hAnsi="Calibri" w:cstheme="majorBidi"/>
      <w:b/>
      <w:color w:val="00264C"/>
      <w:sz w:val="52"/>
      <w:szCs w:val="52"/>
      <w:lang w:eastAsia="en-NZ"/>
    </w:rPr>
  </w:style>
  <w:style w:type="paragraph" w:customStyle="1" w:styleId="Bullet">
    <w:name w:val="Bullet"/>
    <w:basedOn w:val="Normal"/>
    <w:link w:val="BulletChar"/>
    <w:qFormat/>
    <w:rsid w:val="008F7838"/>
    <w:pPr>
      <w:numPr>
        <w:numId w:val="1"/>
      </w:numPr>
      <w:spacing w:line="280" w:lineRule="exact"/>
      <w:ind w:left="567"/>
    </w:pPr>
    <w:rPr>
      <w:rFonts w:eastAsia="Times New Roman" w:cs="Times New Roman"/>
      <w:szCs w:val="20"/>
    </w:rPr>
  </w:style>
  <w:style w:type="paragraph" w:customStyle="1" w:styleId="Footereven">
    <w:name w:val="Footer even"/>
    <w:basedOn w:val="Normal"/>
    <w:rsid w:val="00C57A42"/>
    <w:pPr>
      <w:tabs>
        <w:tab w:val="left" w:pos="567"/>
      </w:tabs>
      <w:spacing w:after="0" w:line="240" w:lineRule="auto"/>
      <w:jc w:val="left"/>
    </w:pPr>
    <w:rPr>
      <w:rFonts w:eastAsia="Times New Roman" w:cs="Arial"/>
      <w:sz w:val="18"/>
      <w:szCs w:val="16"/>
      <w:lang w:eastAsia="en-US"/>
    </w:rPr>
  </w:style>
  <w:style w:type="paragraph" w:customStyle="1" w:styleId="Footerodd">
    <w:name w:val="Footer odd"/>
    <w:basedOn w:val="Normal"/>
    <w:rsid w:val="00C57A42"/>
    <w:pPr>
      <w:tabs>
        <w:tab w:val="right" w:pos="7938"/>
        <w:tab w:val="right" w:pos="8505"/>
      </w:tabs>
      <w:spacing w:after="0" w:line="240" w:lineRule="auto"/>
    </w:pPr>
    <w:rPr>
      <w:rFonts w:eastAsia="Times New Roman" w:cs="Arial"/>
      <w:sz w:val="18"/>
      <w:szCs w:val="16"/>
      <w:lang w:eastAsia="en-US"/>
    </w:rPr>
  </w:style>
  <w:style w:type="character" w:styleId="PageNumber">
    <w:name w:val="page number"/>
    <w:basedOn w:val="DefaultParagraphFont"/>
    <w:semiHidden/>
    <w:rsid w:val="00C57A42"/>
    <w:rPr>
      <w:rFonts w:ascii="Arial" w:hAnsi="Arial" w:cs="Arial"/>
      <w:b/>
      <w:bCs/>
      <w:sz w:val="20"/>
      <w:szCs w:val="20"/>
    </w:rPr>
  </w:style>
  <w:style w:type="paragraph" w:customStyle="1" w:styleId="Tablebullet">
    <w:name w:val="Tablebullet"/>
    <w:basedOn w:val="Tabletext"/>
    <w:rsid w:val="00C57A42"/>
    <w:pPr>
      <w:numPr>
        <w:numId w:val="2"/>
      </w:numPr>
      <w:spacing w:before="0"/>
      <w:ind w:left="170" w:hanging="170"/>
    </w:pPr>
  </w:style>
  <w:style w:type="paragraph" w:customStyle="1" w:styleId="Tabletext">
    <w:name w:val="Tabletext"/>
    <w:basedOn w:val="Normal"/>
    <w:rsid w:val="00C57A42"/>
    <w:pPr>
      <w:spacing w:before="60" w:after="60" w:line="220" w:lineRule="atLeast"/>
      <w:jc w:val="left"/>
    </w:pPr>
    <w:rPr>
      <w:rFonts w:eastAsia="Times New Roman" w:cs="Times New Roman"/>
      <w:sz w:val="18"/>
      <w:szCs w:val="20"/>
      <w:lang w:eastAsia="en-US"/>
    </w:rPr>
  </w:style>
  <w:style w:type="paragraph" w:customStyle="1" w:styleId="TableDash">
    <w:name w:val="TableDash"/>
    <w:basedOn w:val="Tabletext"/>
    <w:rsid w:val="00C57A42"/>
    <w:pPr>
      <w:numPr>
        <w:ilvl w:val="1"/>
        <w:numId w:val="2"/>
      </w:numPr>
      <w:spacing w:after="40" w:line="240" w:lineRule="auto"/>
    </w:pPr>
  </w:style>
  <w:style w:type="paragraph" w:customStyle="1" w:styleId="Tablehead">
    <w:name w:val="Tablehead"/>
    <w:basedOn w:val="Normal"/>
    <w:semiHidden/>
    <w:rsid w:val="00C57A42"/>
    <w:pPr>
      <w:keepNext/>
      <w:spacing w:before="60" w:after="60" w:line="240" w:lineRule="auto"/>
      <w:jc w:val="left"/>
      <w:outlineLvl w:val="0"/>
    </w:pPr>
    <w:rPr>
      <w:rFonts w:eastAsia="Times New Roman" w:cs="Times New Roman"/>
      <w:b/>
      <w:bCs/>
      <w:sz w:val="18"/>
      <w:szCs w:val="20"/>
      <w:lang w:eastAsia="en-US"/>
    </w:rPr>
  </w:style>
  <w:style w:type="paragraph" w:styleId="Subtitle">
    <w:name w:val="Subtitle"/>
    <w:basedOn w:val="Normal"/>
    <w:next w:val="Normal"/>
    <w:link w:val="SubtitleChar"/>
    <w:rsid w:val="00C57A42"/>
    <w:pPr>
      <w:numPr>
        <w:ilvl w:val="1"/>
      </w:numPr>
      <w:jc w:val="left"/>
    </w:pPr>
    <w:rPr>
      <w:rFonts w:eastAsiaTheme="majorEastAsia" w:cstheme="majorBidi"/>
      <w:b/>
      <w:iCs/>
      <w:color w:val="00264C"/>
      <w:sz w:val="36"/>
      <w:szCs w:val="24"/>
    </w:rPr>
  </w:style>
  <w:style w:type="character" w:customStyle="1" w:styleId="SubtitleChar">
    <w:name w:val="Subtitle Char"/>
    <w:basedOn w:val="DefaultParagraphFont"/>
    <w:link w:val="Subtitle"/>
    <w:rsid w:val="00C57A42"/>
    <w:rPr>
      <w:rFonts w:ascii="Calibri" w:eastAsiaTheme="majorEastAsia" w:hAnsi="Calibri" w:cstheme="majorBidi"/>
      <w:b/>
      <w:iCs/>
      <w:color w:val="00264C"/>
      <w:sz w:val="36"/>
      <w:szCs w:val="24"/>
      <w:lang w:eastAsia="en-NZ"/>
    </w:rPr>
  </w:style>
  <w:style w:type="paragraph" w:customStyle="1" w:styleId="Sub-bullet">
    <w:name w:val="Sub-bullet"/>
    <w:basedOn w:val="ListParagraph"/>
    <w:next w:val="BodyText"/>
    <w:qFormat/>
    <w:rsid w:val="00C57A42"/>
    <w:pPr>
      <w:numPr>
        <w:ilvl w:val="1"/>
        <w:numId w:val="3"/>
      </w:numPr>
      <w:tabs>
        <w:tab w:val="clear" w:pos="1440"/>
      </w:tabs>
      <w:ind w:left="794" w:hanging="397"/>
    </w:pPr>
    <w:rPr>
      <w:rFonts w:eastAsia="Times New Roman" w:cs="Times New Roman"/>
    </w:rPr>
  </w:style>
  <w:style w:type="paragraph" w:styleId="Header">
    <w:name w:val="header"/>
    <w:basedOn w:val="Normal"/>
    <w:link w:val="HeaderChar"/>
    <w:uiPriority w:val="99"/>
    <w:semiHidden/>
    <w:rsid w:val="00C57A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7A42"/>
    <w:rPr>
      <w:rFonts w:ascii="Calibri" w:eastAsiaTheme="minorEastAsia" w:hAnsi="Calibri"/>
      <w:lang w:eastAsia="en-NZ"/>
    </w:rPr>
  </w:style>
  <w:style w:type="paragraph" w:styleId="Footer">
    <w:name w:val="footer"/>
    <w:basedOn w:val="Normal"/>
    <w:link w:val="FooterChar"/>
    <w:uiPriority w:val="99"/>
    <w:semiHidden/>
    <w:rsid w:val="00C57A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7A42"/>
    <w:rPr>
      <w:rFonts w:ascii="Calibri" w:eastAsiaTheme="minorEastAsia" w:hAnsi="Calibri"/>
      <w:lang w:eastAsia="en-NZ"/>
    </w:rPr>
  </w:style>
  <w:style w:type="paragraph" w:customStyle="1" w:styleId="Box">
    <w:name w:val="Box"/>
    <w:basedOn w:val="Normal"/>
    <w:next w:val="Normal"/>
    <w:semiHidden/>
    <w:rsid w:val="00C57A42"/>
    <w:pPr>
      <w:pBdr>
        <w:top w:val="single" w:sz="6" w:space="15" w:color="auto"/>
        <w:left w:val="single" w:sz="6" w:space="15" w:color="auto"/>
        <w:bottom w:val="single" w:sz="6" w:space="15" w:color="auto"/>
        <w:right w:val="single" w:sz="6" w:space="15" w:color="auto"/>
      </w:pBdr>
      <w:spacing w:after="0"/>
      <w:ind w:left="284" w:right="284"/>
    </w:pPr>
    <w:rPr>
      <w:rFonts w:eastAsia="Times New Roman" w:cs="Times New Roman"/>
      <w:szCs w:val="20"/>
      <w:lang w:eastAsia="en-US"/>
    </w:rPr>
  </w:style>
  <w:style w:type="paragraph" w:customStyle="1" w:styleId="Boxbullet">
    <w:name w:val="Box bullet"/>
    <w:basedOn w:val="Box"/>
    <w:semiHidden/>
    <w:rsid w:val="00C57A42"/>
    <w:pPr>
      <w:numPr>
        <w:numId w:val="4"/>
      </w:numPr>
      <w:spacing w:before="120"/>
    </w:pPr>
  </w:style>
  <w:style w:type="paragraph" w:customStyle="1" w:styleId="Boxheading">
    <w:name w:val="Box heading"/>
    <w:basedOn w:val="Box"/>
    <w:next w:val="Box"/>
    <w:semiHidden/>
    <w:rsid w:val="00C57A42"/>
    <w:pPr>
      <w:keepNext/>
      <w:spacing w:after="160" w:line="240" w:lineRule="auto"/>
      <w:jc w:val="left"/>
    </w:pPr>
    <w:rPr>
      <w:b/>
    </w:rPr>
  </w:style>
  <w:style w:type="paragraph" w:customStyle="1" w:styleId="Boxnumbered">
    <w:name w:val="Box numbered"/>
    <w:basedOn w:val="Boxbullet"/>
    <w:next w:val="BodyText"/>
    <w:semiHidden/>
    <w:qFormat/>
    <w:rsid w:val="00C57A42"/>
    <w:pPr>
      <w:numPr>
        <w:numId w:val="5"/>
      </w:numPr>
    </w:pPr>
  </w:style>
  <w:style w:type="paragraph" w:styleId="Quote">
    <w:name w:val="Quote"/>
    <w:basedOn w:val="Normal"/>
    <w:next w:val="Normal"/>
    <w:link w:val="QuoteChar"/>
    <w:qFormat/>
    <w:rsid w:val="00C57A42"/>
    <w:pPr>
      <w:ind w:left="397" w:right="397"/>
      <w:jc w:val="left"/>
    </w:pPr>
    <w:rPr>
      <w:iCs/>
      <w:sz w:val="20"/>
    </w:rPr>
  </w:style>
  <w:style w:type="character" w:customStyle="1" w:styleId="QuoteChar">
    <w:name w:val="Quote Char"/>
    <w:basedOn w:val="DefaultParagraphFont"/>
    <w:link w:val="Quote"/>
    <w:rsid w:val="00C57A42"/>
    <w:rPr>
      <w:rFonts w:ascii="Calibri" w:eastAsiaTheme="minorEastAsia" w:hAnsi="Calibri"/>
      <w:iCs/>
      <w:sz w:val="20"/>
      <w:lang w:eastAsia="en-NZ"/>
    </w:rPr>
  </w:style>
  <w:style w:type="paragraph" w:styleId="EndnoteText">
    <w:name w:val="endnote text"/>
    <w:basedOn w:val="Normal"/>
    <w:link w:val="EndnoteTextChar"/>
    <w:semiHidden/>
    <w:rsid w:val="00C57A42"/>
    <w:pPr>
      <w:spacing w:after="0" w:line="240" w:lineRule="exact"/>
      <w:ind w:left="397" w:hanging="397"/>
      <w:jc w:val="left"/>
    </w:pPr>
    <w:rPr>
      <w:sz w:val="20"/>
      <w:szCs w:val="20"/>
    </w:rPr>
  </w:style>
  <w:style w:type="character" w:customStyle="1" w:styleId="EndnoteTextChar">
    <w:name w:val="Endnote Text Char"/>
    <w:basedOn w:val="DefaultParagraphFont"/>
    <w:link w:val="EndnoteText"/>
    <w:semiHidden/>
    <w:rsid w:val="00C57A42"/>
    <w:rPr>
      <w:rFonts w:ascii="Calibri" w:eastAsiaTheme="minorEastAsia" w:hAnsi="Calibri"/>
      <w:sz w:val="20"/>
      <w:szCs w:val="20"/>
      <w:lang w:eastAsia="en-NZ"/>
    </w:rPr>
  </w:style>
  <w:style w:type="character" w:styleId="EndnoteReference">
    <w:name w:val="endnote reference"/>
    <w:basedOn w:val="DefaultParagraphFont"/>
    <w:uiPriority w:val="99"/>
    <w:semiHidden/>
    <w:unhideWhenUsed/>
    <w:rsid w:val="00C57A42"/>
    <w:rPr>
      <w:vertAlign w:val="superscript"/>
    </w:rPr>
  </w:style>
  <w:style w:type="paragraph" w:customStyle="1" w:styleId="Greenbullet-tables">
    <w:name w:val="Green bullet - tables"/>
    <w:basedOn w:val="Bullet"/>
    <w:rsid w:val="00C57A42"/>
    <w:pPr>
      <w:numPr>
        <w:numId w:val="6"/>
      </w:numPr>
      <w:ind w:left="681" w:right="284" w:hanging="397"/>
    </w:pPr>
    <w:rPr>
      <w:color w:val="677719"/>
    </w:rPr>
  </w:style>
  <w:style w:type="paragraph" w:customStyle="1" w:styleId="Brownboxheading">
    <w:name w:val="Brown box heading"/>
    <w:basedOn w:val="Boxheading"/>
    <w:uiPriority w:val="1"/>
    <w:semiHidden/>
    <w:qFormat/>
    <w:rsid w:val="00C57A42"/>
    <w:pPr>
      <w:keepLines/>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Brownboxtext">
    <w:name w:val="Brown box text"/>
    <w:basedOn w:val="Box"/>
    <w:uiPriority w:val="1"/>
    <w:semiHidden/>
    <w:qFormat/>
    <w:rsid w:val="00C57A42"/>
    <w:pPr>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Casestudyheading">
    <w:name w:val="Case study heading"/>
    <w:basedOn w:val="BodyText"/>
    <w:rsid w:val="00C57A42"/>
    <w:pPr>
      <w:keepNext/>
      <w:spacing w:before="160" w:line="240" w:lineRule="auto"/>
      <w:ind w:left="284"/>
    </w:pPr>
    <w:rPr>
      <w:b/>
      <w:caps/>
    </w:rPr>
  </w:style>
  <w:style w:type="paragraph" w:customStyle="1" w:styleId="Greentext-tables">
    <w:name w:val="Green text - tables"/>
    <w:basedOn w:val="BodyText"/>
    <w:rsid w:val="00C57A42"/>
    <w:pPr>
      <w:ind w:left="284" w:right="284"/>
    </w:pPr>
    <w:rPr>
      <w:color w:val="677719"/>
    </w:rPr>
  </w:style>
  <w:style w:type="paragraph" w:customStyle="1" w:styleId="Questionsub-bullet">
    <w:name w:val="Question sub-bullet"/>
    <w:basedOn w:val="Sub-bullet"/>
    <w:semiHidden/>
    <w:qFormat/>
    <w:rsid w:val="00C57A42"/>
    <w:pPr>
      <w:ind w:left="1077" w:right="284"/>
    </w:pPr>
    <w:rPr>
      <w:color w:val="E36F1E"/>
    </w:rPr>
  </w:style>
  <w:style w:type="paragraph" w:customStyle="1" w:styleId="Heading1-lightbrown">
    <w:name w:val="Heading 1 - light brown"/>
    <w:basedOn w:val="Heading1"/>
    <w:next w:val="BodyText"/>
    <w:semiHidden/>
    <w:qFormat/>
    <w:rsid w:val="00C57A42"/>
    <w:pPr>
      <w:spacing w:after="400"/>
    </w:pPr>
    <w:rPr>
      <w:color w:val="F1B78E"/>
    </w:rPr>
  </w:style>
  <w:style w:type="paragraph" w:customStyle="1" w:styleId="Browntextnumbered">
    <w:name w:val="Brown text numbered"/>
    <w:basedOn w:val="BodyText"/>
    <w:semiHidden/>
    <w:qFormat/>
    <w:rsid w:val="00C57A42"/>
    <w:pPr>
      <w:numPr>
        <w:numId w:val="7"/>
      </w:numPr>
      <w:ind w:left="681" w:right="284" w:hanging="397"/>
    </w:pPr>
    <w:rPr>
      <w:rFonts w:eastAsia="Times New Roman"/>
      <w:color w:val="B47015"/>
    </w:rPr>
  </w:style>
  <w:style w:type="paragraph" w:customStyle="1" w:styleId="Quotebullet">
    <w:name w:val="Quote bullet"/>
    <w:basedOn w:val="Bullet"/>
    <w:qFormat/>
    <w:rsid w:val="00C57A42"/>
    <w:pPr>
      <w:ind w:left="794" w:right="397"/>
    </w:pPr>
    <w:rPr>
      <w:sz w:val="20"/>
    </w:rPr>
  </w:style>
  <w:style w:type="paragraph" w:styleId="TOC1">
    <w:name w:val="toc 1"/>
    <w:basedOn w:val="Normal"/>
    <w:next w:val="Normal"/>
    <w:uiPriority w:val="39"/>
    <w:unhideWhenUsed/>
    <w:rsid w:val="00C57A42"/>
    <w:pPr>
      <w:tabs>
        <w:tab w:val="left" w:pos="567"/>
        <w:tab w:val="right" w:pos="8494"/>
      </w:tabs>
      <w:spacing w:before="200" w:after="0" w:line="240" w:lineRule="auto"/>
      <w:ind w:right="567"/>
      <w:jc w:val="left"/>
    </w:pPr>
  </w:style>
  <w:style w:type="paragraph" w:styleId="TOC2">
    <w:name w:val="toc 2"/>
    <w:basedOn w:val="Normal"/>
    <w:next w:val="Normal"/>
    <w:uiPriority w:val="39"/>
    <w:unhideWhenUsed/>
    <w:rsid w:val="00C57A42"/>
    <w:pPr>
      <w:tabs>
        <w:tab w:val="left" w:pos="567"/>
        <w:tab w:val="right" w:pos="8494"/>
      </w:tabs>
      <w:spacing w:before="60" w:after="60" w:line="240" w:lineRule="auto"/>
      <w:ind w:left="567" w:right="567"/>
      <w:jc w:val="left"/>
    </w:pPr>
    <w:rPr>
      <w:noProof/>
    </w:rPr>
  </w:style>
  <w:style w:type="paragraph" w:styleId="TOC3">
    <w:name w:val="toc 3"/>
    <w:basedOn w:val="Normal"/>
    <w:next w:val="Normal"/>
    <w:autoRedefine/>
    <w:uiPriority w:val="39"/>
    <w:semiHidden/>
    <w:rsid w:val="00C57A42"/>
    <w:pPr>
      <w:tabs>
        <w:tab w:val="left" w:pos="1134"/>
        <w:tab w:val="right" w:pos="9060"/>
      </w:tabs>
      <w:spacing w:before="60" w:after="60" w:line="240" w:lineRule="auto"/>
      <w:ind w:left="567" w:right="567"/>
      <w:jc w:val="left"/>
    </w:pPr>
  </w:style>
  <w:style w:type="paragraph" w:customStyle="1" w:styleId="Greenheading-tables">
    <w:name w:val="Green heading - tables"/>
    <w:basedOn w:val="Greentext-tables"/>
    <w:rsid w:val="00C57A42"/>
    <w:pPr>
      <w:keepNext/>
      <w:spacing w:before="240" w:after="0"/>
    </w:pPr>
    <w:rPr>
      <w:rFonts w:eastAsia="Times New Roman"/>
      <w:b/>
    </w:rPr>
  </w:style>
  <w:style w:type="paragraph" w:customStyle="1" w:styleId="Bodytextnumbered">
    <w:name w:val="Body text numbered"/>
    <w:basedOn w:val="BodyText"/>
    <w:rsid w:val="00C57A42"/>
    <w:pPr>
      <w:numPr>
        <w:numId w:val="8"/>
      </w:numPr>
      <w:ind w:left="397" w:hanging="397"/>
    </w:pPr>
  </w:style>
  <w:style w:type="paragraph" w:customStyle="1" w:styleId="References">
    <w:name w:val="References"/>
    <w:basedOn w:val="Normal"/>
    <w:rsid w:val="00C57A42"/>
    <w:pPr>
      <w:jc w:val="left"/>
    </w:pPr>
    <w:rPr>
      <w:rFonts w:eastAsia="Times New Roman" w:cs="Times New Roman"/>
      <w:szCs w:val="20"/>
      <w:lang w:eastAsia="en-US"/>
    </w:rPr>
  </w:style>
  <w:style w:type="paragraph" w:customStyle="1" w:styleId="Bodytexta">
    <w:name w:val="Body text a"/>
    <w:aliases w:val="b,Sub-list a"/>
    <w:basedOn w:val="BodyText"/>
    <w:rsid w:val="00C57A42"/>
    <w:pPr>
      <w:numPr>
        <w:numId w:val="9"/>
      </w:numPr>
    </w:pPr>
  </w:style>
  <w:style w:type="paragraph" w:customStyle="1" w:styleId="HeadingnotforTOC">
    <w:name w:val="Heading not for TOC"/>
    <w:basedOn w:val="BodyText"/>
    <w:semiHidden/>
    <w:qFormat/>
    <w:rsid w:val="00C57A42"/>
    <w:pPr>
      <w:keepNext/>
      <w:spacing w:after="360" w:line="240" w:lineRule="auto"/>
    </w:pPr>
    <w:rPr>
      <w:b/>
      <w:color w:val="E36F1E"/>
      <w:sz w:val="60"/>
      <w:szCs w:val="64"/>
    </w:rPr>
  </w:style>
  <w:style w:type="paragraph" w:customStyle="1" w:styleId="Questiontext">
    <w:name w:val="Question text"/>
    <w:basedOn w:val="Greentext-tables"/>
    <w:semiHidden/>
    <w:qFormat/>
    <w:rsid w:val="00C57A42"/>
    <w:rPr>
      <w:color w:val="E36F1E"/>
    </w:rPr>
  </w:style>
  <w:style w:type="paragraph" w:customStyle="1" w:styleId="Questionbullet">
    <w:name w:val="Question bullet"/>
    <w:basedOn w:val="Greenbullet-tables"/>
    <w:semiHidden/>
    <w:qFormat/>
    <w:rsid w:val="00C57A42"/>
    <w:pPr>
      <w:numPr>
        <w:numId w:val="10"/>
      </w:numPr>
      <w:ind w:left="681" w:hanging="397"/>
    </w:pPr>
    <w:rPr>
      <w:color w:val="E36F1E"/>
    </w:rPr>
  </w:style>
  <w:style w:type="paragraph" w:customStyle="1" w:styleId="Questionheading">
    <w:name w:val="Question heading"/>
    <w:basedOn w:val="Greenheading-tables"/>
    <w:semiHidden/>
    <w:qFormat/>
    <w:rsid w:val="00C57A42"/>
    <w:rPr>
      <w:color w:val="E36F1E"/>
    </w:rPr>
  </w:style>
  <w:style w:type="paragraph" w:customStyle="1" w:styleId="Imprint">
    <w:name w:val="Imprint"/>
    <w:basedOn w:val="Normal"/>
    <w:rsid w:val="00C57A42"/>
    <w:pPr>
      <w:spacing w:after="240" w:line="240" w:lineRule="auto"/>
      <w:jc w:val="left"/>
    </w:pPr>
    <w:rPr>
      <w:rFonts w:eastAsia="Times New Roman" w:cs="Times New Roman"/>
      <w:szCs w:val="20"/>
      <w:lang w:eastAsia="en-US"/>
    </w:rPr>
  </w:style>
  <w:style w:type="paragraph" w:customStyle="1" w:styleId="Heading">
    <w:name w:val="Heading"/>
    <w:basedOn w:val="Heading1"/>
    <w:next w:val="Normal"/>
    <w:semiHidden/>
    <w:rsid w:val="00C57A42"/>
    <w:pPr>
      <w:keepNext w:val="0"/>
      <w:keepLines w:val="0"/>
      <w:tabs>
        <w:tab w:val="clear" w:pos="851"/>
        <w:tab w:val="left" w:pos="567"/>
      </w:tabs>
      <w:spacing w:after="120"/>
      <w:outlineLvl w:val="9"/>
    </w:pPr>
    <w:rPr>
      <w:rFonts w:eastAsia="Times New Roman" w:cs="Times New Roman"/>
      <w:bCs w:val="0"/>
      <w:sz w:val="44"/>
      <w:szCs w:val="20"/>
      <w:lang w:eastAsia="en-US"/>
    </w:rPr>
  </w:style>
  <w:style w:type="paragraph" w:customStyle="1" w:styleId="Sub-list">
    <w:name w:val="Sub-list"/>
    <w:basedOn w:val="Normal"/>
    <w:rsid w:val="00C57A42"/>
    <w:pPr>
      <w:numPr>
        <w:numId w:val="12"/>
      </w:numPr>
      <w:tabs>
        <w:tab w:val="left" w:pos="794"/>
      </w:tabs>
      <w:spacing w:before="60" w:after="240" w:line="240" w:lineRule="auto"/>
    </w:pPr>
    <w:rPr>
      <w:rFonts w:ascii="Times New Roman" w:eastAsia="Times New Roman" w:hAnsi="Times New Roman" w:cs="Times New Roman"/>
      <w:szCs w:val="20"/>
      <w:lang w:eastAsia="en-US"/>
    </w:rPr>
  </w:style>
  <w:style w:type="paragraph" w:customStyle="1" w:styleId="Figureheading">
    <w:name w:val="Figure heading"/>
    <w:basedOn w:val="Normal"/>
    <w:next w:val="Normal"/>
    <w:rsid w:val="00C57A42"/>
    <w:pPr>
      <w:keepNext/>
      <w:spacing w:line="240" w:lineRule="auto"/>
      <w:ind w:left="1134" w:hanging="1134"/>
      <w:jc w:val="left"/>
    </w:pPr>
    <w:rPr>
      <w:rFonts w:eastAsia="Times New Roman" w:cs="Times New Roman"/>
      <w:b/>
      <w:sz w:val="20"/>
      <w:szCs w:val="20"/>
      <w:lang w:eastAsia="en-US"/>
    </w:rPr>
  </w:style>
  <w:style w:type="paragraph" w:customStyle="1" w:styleId="Note">
    <w:name w:val="Note"/>
    <w:basedOn w:val="Normal"/>
    <w:next w:val="Normal"/>
    <w:semiHidden/>
    <w:rsid w:val="00C57A42"/>
    <w:pPr>
      <w:tabs>
        <w:tab w:val="left" w:pos="680"/>
      </w:tabs>
      <w:spacing w:after="240" w:line="240" w:lineRule="auto"/>
      <w:ind w:left="680" w:hanging="680"/>
    </w:pPr>
    <w:rPr>
      <w:rFonts w:ascii="Arial" w:eastAsia="Times New Roman" w:hAnsi="Arial" w:cs="Times New Roman"/>
      <w:sz w:val="16"/>
      <w:szCs w:val="20"/>
      <w:lang w:eastAsia="en-US"/>
    </w:rPr>
  </w:style>
  <w:style w:type="paragraph" w:customStyle="1" w:styleId="Source">
    <w:name w:val="Source"/>
    <w:basedOn w:val="Normal"/>
    <w:next w:val="Normal"/>
    <w:semiHidden/>
    <w:rsid w:val="00C57A42"/>
    <w:pPr>
      <w:tabs>
        <w:tab w:val="left" w:pos="680"/>
      </w:tabs>
      <w:spacing w:after="240" w:line="240" w:lineRule="auto"/>
      <w:jc w:val="left"/>
    </w:pPr>
    <w:rPr>
      <w:rFonts w:ascii="Arial" w:eastAsia="Times New Roman" w:hAnsi="Arial" w:cs="Times New Roman"/>
      <w:sz w:val="16"/>
      <w:szCs w:val="20"/>
      <w:lang w:eastAsia="en-US"/>
    </w:rPr>
  </w:style>
  <w:style w:type="paragraph" w:customStyle="1" w:styleId="Tableheading">
    <w:name w:val="Table heading"/>
    <w:basedOn w:val="Normal"/>
    <w:next w:val="Normal"/>
    <w:uiPriority w:val="99"/>
    <w:rsid w:val="00C57A42"/>
    <w:pPr>
      <w:keepNext/>
      <w:spacing w:line="240" w:lineRule="auto"/>
      <w:ind w:left="1134" w:hanging="1134"/>
      <w:jc w:val="left"/>
    </w:pPr>
    <w:rPr>
      <w:rFonts w:eastAsia="Times New Roman" w:cs="Times New Roman"/>
      <w:b/>
      <w:sz w:val="20"/>
      <w:szCs w:val="20"/>
      <w:lang w:eastAsia="en-US"/>
    </w:rPr>
  </w:style>
  <w:style w:type="paragraph" w:customStyle="1" w:styleId="TableTextbold">
    <w:name w:val="TableText bold"/>
    <w:basedOn w:val="Normal"/>
    <w:rsid w:val="00C57A42"/>
    <w:pPr>
      <w:spacing w:before="60" w:after="60" w:line="240" w:lineRule="auto"/>
      <w:jc w:val="left"/>
    </w:pPr>
    <w:rPr>
      <w:rFonts w:eastAsia="Times New Roman" w:cs="Times New Roman"/>
      <w:b/>
      <w:sz w:val="18"/>
      <w:szCs w:val="20"/>
      <w:lang w:eastAsia="en-US"/>
    </w:rPr>
  </w:style>
  <w:style w:type="paragraph" w:customStyle="1" w:styleId="Glossary">
    <w:name w:val="Glossary"/>
    <w:basedOn w:val="Normal"/>
    <w:semiHidden/>
    <w:rsid w:val="00C57A42"/>
    <w:pPr>
      <w:tabs>
        <w:tab w:val="left" w:pos="2835"/>
      </w:tabs>
      <w:spacing w:after="240" w:line="240" w:lineRule="auto"/>
      <w:ind w:left="2835" w:hanging="2835"/>
    </w:pPr>
    <w:rPr>
      <w:rFonts w:ascii="Times New Roman" w:eastAsia="Times New Roman" w:hAnsi="Times New Roman" w:cs="Times New Roman"/>
      <w:szCs w:val="20"/>
      <w:lang w:eastAsia="en-US"/>
    </w:rPr>
  </w:style>
  <w:style w:type="paragraph" w:customStyle="1" w:styleId="Numberedparagraph">
    <w:name w:val="Numbered paragraph"/>
    <w:basedOn w:val="Normal"/>
    <w:semiHidden/>
    <w:rsid w:val="00C57A42"/>
    <w:pPr>
      <w:numPr>
        <w:numId w:val="11"/>
      </w:numPr>
      <w:spacing w:line="240" w:lineRule="auto"/>
    </w:pPr>
    <w:rPr>
      <w:rFonts w:ascii="Times New Roman" w:eastAsia="Times New Roman" w:hAnsi="Times New Roman" w:cs="Times New Roman"/>
      <w:szCs w:val="20"/>
      <w:lang w:eastAsia="en-US"/>
    </w:rPr>
  </w:style>
  <w:style w:type="paragraph" w:styleId="TableofFigures">
    <w:name w:val="table of figures"/>
    <w:basedOn w:val="Normal"/>
    <w:next w:val="Normal"/>
    <w:semiHidden/>
    <w:rsid w:val="00C57A42"/>
    <w:pPr>
      <w:spacing w:before="80" w:after="240" w:line="240" w:lineRule="auto"/>
      <w:ind w:left="1134" w:hanging="1134"/>
    </w:pPr>
    <w:rPr>
      <w:rFonts w:ascii="Arial" w:eastAsia="Times New Roman" w:hAnsi="Arial" w:cs="Times New Roman"/>
      <w:sz w:val="20"/>
      <w:szCs w:val="20"/>
      <w:lang w:eastAsia="en-US"/>
    </w:rPr>
  </w:style>
  <w:style w:type="paragraph" w:customStyle="1" w:styleId="Sub-listi">
    <w:name w:val="Sub-list i"/>
    <w:aliases w:val="ii"/>
    <w:basedOn w:val="BodyText"/>
    <w:semiHidden/>
    <w:rsid w:val="00C57A42"/>
    <w:pPr>
      <w:numPr>
        <w:numId w:val="13"/>
      </w:numPr>
      <w:spacing w:before="60" w:after="60" w:line="240" w:lineRule="auto"/>
    </w:pPr>
    <w:rPr>
      <w:rFonts w:ascii="Times New Roman" w:eastAsia="Times New Roman" w:hAnsi="Times New Roman" w:cs="Times New Roman"/>
      <w:szCs w:val="20"/>
      <w:lang w:eastAsia="en-US"/>
    </w:rPr>
  </w:style>
  <w:style w:type="paragraph" w:customStyle="1" w:styleId="Questionforconsultationfeedback">
    <w:name w:val="Question for consultation feedback"/>
    <w:basedOn w:val="BodyText"/>
    <w:semiHidden/>
    <w:qFormat/>
    <w:rsid w:val="00C57A42"/>
    <w:pPr>
      <w:spacing w:after="240" w:line="240" w:lineRule="auto"/>
    </w:pPr>
    <w:rPr>
      <w:rFonts w:ascii="Times New Roman" w:eastAsia="Times New Roman" w:hAnsi="Times New Roman" w:cs="Times New Roman"/>
      <w:i/>
      <w:szCs w:val="20"/>
      <w:lang w:eastAsia="en-US"/>
    </w:rPr>
  </w:style>
  <w:style w:type="character" w:styleId="CommentReference">
    <w:name w:val="annotation reference"/>
    <w:basedOn w:val="DefaultParagraphFont"/>
    <w:uiPriority w:val="99"/>
    <w:semiHidden/>
    <w:unhideWhenUsed/>
    <w:rsid w:val="00C57A42"/>
    <w:rPr>
      <w:sz w:val="16"/>
      <w:szCs w:val="16"/>
    </w:rPr>
  </w:style>
  <w:style w:type="paragraph" w:styleId="CommentText">
    <w:name w:val="annotation text"/>
    <w:basedOn w:val="Normal"/>
    <w:link w:val="CommentTextChar"/>
    <w:uiPriority w:val="99"/>
    <w:semiHidden/>
    <w:unhideWhenUsed/>
    <w:rsid w:val="00C57A42"/>
    <w:pPr>
      <w:spacing w:line="240" w:lineRule="auto"/>
      <w:jc w:val="left"/>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semiHidden/>
    <w:rsid w:val="00C57A42"/>
    <w:rPr>
      <w:sz w:val="20"/>
      <w:szCs w:val="20"/>
    </w:rPr>
  </w:style>
  <w:style w:type="paragraph" w:styleId="CommentSubject">
    <w:name w:val="annotation subject"/>
    <w:basedOn w:val="CommentText"/>
    <w:next w:val="CommentText"/>
    <w:link w:val="CommentSubjectChar"/>
    <w:uiPriority w:val="99"/>
    <w:semiHidden/>
    <w:unhideWhenUsed/>
    <w:rsid w:val="00C57A42"/>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57A4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57A42"/>
    <w:rPr>
      <w:color w:val="954F72" w:themeColor="followedHyperlink"/>
      <w:u w:val="single"/>
    </w:rPr>
  </w:style>
  <w:style w:type="paragraph" w:customStyle="1" w:styleId="Default">
    <w:name w:val="Default"/>
    <w:rsid w:val="00C57A42"/>
    <w:pPr>
      <w:autoSpaceDE w:val="0"/>
      <w:autoSpaceDN w:val="0"/>
      <w:adjustRightInd w:val="0"/>
      <w:spacing w:after="0" w:line="240" w:lineRule="auto"/>
    </w:pPr>
    <w:rPr>
      <w:rFonts w:ascii="Calibri" w:hAnsi="Calibri" w:cs="Calibri"/>
      <w:color w:val="000000"/>
      <w:sz w:val="24"/>
      <w:szCs w:val="24"/>
    </w:rPr>
  </w:style>
  <w:style w:type="paragraph" w:customStyle="1" w:styleId="TableText0">
    <w:name w:val="TableText"/>
    <w:basedOn w:val="Normal"/>
    <w:uiPriority w:val="99"/>
    <w:rsid w:val="00C57A42"/>
    <w:pPr>
      <w:spacing w:before="60" w:after="60" w:line="240" w:lineRule="atLeast"/>
      <w:jc w:val="left"/>
    </w:pPr>
    <w:rPr>
      <w:rFonts w:eastAsiaTheme="minorHAnsi" w:cs="Times New Roman"/>
      <w:sz w:val="18"/>
      <w:szCs w:val="18"/>
    </w:rPr>
  </w:style>
  <w:style w:type="character" w:customStyle="1" w:styleId="BulletChar">
    <w:name w:val="Bullet Char"/>
    <w:basedOn w:val="DefaultParagraphFont"/>
    <w:link w:val="Bullet"/>
    <w:locked/>
    <w:rsid w:val="008F7838"/>
    <w:rPr>
      <w:rFonts w:ascii="Calibri" w:eastAsia="Times New Roman" w:hAnsi="Calibri" w:cs="Times New Roman"/>
      <w:szCs w:val="20"/>
      <w:lang w:eastAsia="en-NZ"/>
    </w:rPr>
  </w:style>
  <w:style w:type="paragraph" w:styleId="Revision">
    <w:name w:val="Revision"/>
    <w:hidden/>
    <w:uiPriority w:val="99"/>
    <w:semiHidden/>
    <w:rsid w:val="00C57A42"/>
    <w:pPr>
      <w:spacing w:after="0" w:line="240" w:lineRule="auto"/>
    </w:pPr>
    <w:rPr>
      <w:rFonts w:ascii="Calibri" w:eastAsiaTheme="minorEastAsia" w:hAnsi="Calibri"/>
      <w:lang w:eastAsia="en-NZ"/>
    </w:rPr>
  </w:style>
  <w:style w:type="paragraph" w:styleId="TOCHeading">
    <w:name w:val="TOC Heading"/>
    <w:basedOn w:val="Heading1"/>
    <w:next w:val="Normal"/>
    <w:uiPriority w:val="39"/>
    <w:unhideWhenUsed/>
    <w:qFormat/>
    <w:rsid w:val="00C57A42"/>
    <w:pPr>
      <w:tabs>
        <w:tab w:val="clear" w:pos="851"/>
      </w:tabs>
      <w:spacing w:before="240" w:after="0" w:line="259" w:lineRule="auto"/>
      <w:outlineLvl w:val="9"/>
    </w:pPr>
    <w:rPr>
      <w:rFonts w:asciiTheme="majorHAnsi" w:hAnsiTheme="majorHAnsi"/>
      <w:b w:val="0"/>
      <w:bCs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fe.govt.nz/rma/rma-monitoring-and-reporting/information-requirements" TargetMode="External"/><Relationship Id="rId18" Type="http://schemas.openxmlformats.org/officeDocument/2006/relationships/hyperlink" Target="http://www.mfe.govt.nz/rma/reforms-and-amendments/about-resource-legislation-amendment-act-2017" TargetMode="External"/><Relationship Id="rId26" Type="http://schemas.openxmlformats.org/officeDocument/2006/relationships/hyperlink" Target="http://www.mfe.govt.nz/publications/rma/guide-section-88-and-schedule-4-resource-management-act-199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fe.govt.nz/publications/rma/discount-on-administrative-charges-regulations" TargetMode="External"/><Relationship Id="rId34" Type="http://schemas.openxmlformats.org/officeDocument/2006/relationships/hyperlink" Target="http://www.mfe.govt.nz/land/national-environmental-standards-plantation-forestry/about-standards" TargetMode="External"/><Relationship Id="rId7" Type="http://schemas.openxmlformats.org/officeDocument/2006/relationships/endnotes" Target="endnotes.xml"/><Relationship Id="rId12" Type="http://schemas.openxmlformats.org/officeDocument/2006/relationships/hyperlink" Target="http://www.mfe.govt.nz/rma/rma-monitoring" TargetMode="External"/><Relationship Id="rId17" Type="http://schemas.openxmlformats.org/officeDocument/2006/relationships/hyperlink" Target="file:///C:\Users\mansonj\AppData\Roaming\OpenText\OTEdit\EC_tepuna\c11258612\mailto_NMS%40mfe.govt.nz" TargetMode="External"/><Relationship Id="rId25" Type="http://schemas.openxmlformats.org/officeDocument/2006/relationships/hyperlink" Target="http://www.mfe.govt.nz/publications/rma/guide-six-month-process-notified-resource-consent-applications" TargetMode="External"/><Relationship Id="rId33" Type="http://schemas.openxmlformats.org/officeDocument/2006/relationships/hyperlink" Target="http://www.mfe.govt.nz/land/nes-assessing-and-managing-contaminants-soil-protect-human-health/about-ne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mansonj\AppData\Roaming\OpenText\OTEdit\EC_tepuna\c11258612\mailto________" TargetMode="External"/><Relationship Id="rId20" Type="http://schemas.openxmlformats.org/officeDocument/2006/relationships/hyperlink" Target="https://www.mfe.govt.nz/publications/rma/discount-on-administrative-charges-regulations" TargetMode="External"/><Relationship Id="rId29" Type="http://schemas.openxmlformats.org/officeDocument/2006/relationships/hyperlink" Target="http://www.qualityplanning.org.nz/index.php/monitor/delegations-and-transf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act/public/1991/0069/latest/DLM232545.html" TargetMode="External"/><Relationship Id="rId24" Type="http://schemas.openxmlformats.org/officeDocument/2006/relationships/hyperlink" Target="http://www.mfe.govt.nz/publications/rma/discount-on-administrative-charges-regulations" TargetMode="External"/><Relationship Id="rId32" Type="http://schemas.openxmlformats.org/officeDocument/2006/relationships/hyperlink" Target="http://www.mfe.govt.nz/sites/default/files/media/RMA/best-practice-guidelines-cme-final.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fe.govt.nz/rma/rma-monitoring-and-reporting/information-requirements" TargetMode="External"/><Relationship Id="rId23" Type="http://schemas.openxmlformats.org/officeDocument/2006/relationships/hyperlink" Target="http://www.mfe.govt.nz/rma/reforms-and-amendments/about-resource-legislation-amendment-act-2017" TargetMode="External"/><Relationship Id="rId28" Type="http://schemas.openxmlformats.org/officeDocument/2006/relationships/hyperlink" Target="http://www.qualityplanning.org.nz/index.php/monitor/best-practice-monitoring"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qualityplanning.org.nz/index.php/monitor/policy-and-plan-effectiveness" TargetMode="External"/><Relationship Id="rId31" Type="http://schemas.openxmlformats.org/officeDocument/2006/relationships/hyperlink" Target="http://www.mfe.govt.nz/sites/default/files/media/RMA/best-practice-guidelines-cme-final.pdf" TargetMode="External"/><Relationship Id="rId4" Type="http://schemas.openxmlformats.org/officeDocument/2006/relationships/settings" Target="settings.xml"/><Relationship Id="rId9" Type="http://schemas.openxmlformats.org/officeDocument/2006/relationships/hyperlink" Target="http://www.mfe.govt.nz" TargetMode="External"/><Relationship Id="rId14" Type="http://schemas.openxmlformats.org/officeDocument/2006/relationships/hyperlink" Target="file:///C:\Users\mansonj\AppData\Roaming\OpenText\OTEdit\EC_tepuna\c11258612\mailto_NMS%40mfe.govt.nz" TargetMode="External"/><Relationship Id="rId22" Type="http://schemas.openxmlformats.org/officeDocument/2006/relationships/hyperlink" Target="file:///C:\Users\mansonj\AppData\Roaming\OpenText\OTEdit\EC_tepuna\c11258612\mailto_NMS%40mfe.govt.nz" TargetMode="External"/><Relationship Id="rId27" Type="http://schemas.openxmlformats.org/officeDocument/2006/relationships/hyperlink" Target="http://www.mfe.govt.nz/rma/reforms-and-amendments/about-resource-legislation-amendment-act-2017" TargetMode="External"/><Relationship Id="rId30" Type="http://schemas.openxmlformats.org/officeDocument/2006/relationships/hyperlink" Target="http://www.mfe.govt.nz/sites/default/files/media/RMA/best-practice-guidelines-cme-final.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6FD01-4AD7-4506-AFB6-80061E46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5567</Words>
  <Characters>31734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37227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Collins</dc:creator>
  <cp:keywords/>
  <dc:description/>
  <cp:lastModifiedBy>Jeanette Manson</cp:lastModifiedBy>
  <cp:revision>9</cp:revision>
  <cp:lastPrinted>2019-06-06T02:50:00Z</cp:lastPrinted>
  <dcterms:created xsi:type="dcterms:W3CDTF">2019-06-06T01:53:00Z</dcterms:created>
  <dcterms:modified xsi:type="dcterms:W3CDTF">2019-06-06T02:51:00Z</dcterms:modified>
</cp:coreProperties>
</file>