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3D7B5" w14:textId="77777777" w:rsidR="00391216" w:rsidRDefault="00391216" w:rsidP="00FC3B57">
      <w:pPr>
        <w:pStyle w:val="Title"/>
        <w:ind w:left="426"/>
      </w:pPr>
    </w:p>
    <w:p w14:paraId="1537D355" w14:textId="58B5C3C2" w:rsidR="00995182" w:rsidRPr="00DD5C6C" w:rsidRDefault="005D6D6C" w:rsidP="00FC3B57">
      <w:pPr>
        <w:pStyle w:val="Title"/>
        <w:ind w:left="426"/>
        <w:rPr>
          <w:sz w:val="32"/>
          <w:szCs w:val="32"/>
        </w:rPr>
      </w:pPr>
      <w:r w:rsidRPr="00DD5C6C">
        <w:rPr>
          <w:sz w:val="32"/>
          <w:szCs w:val="32"/>
        </w:rPr>
        <w:t>Report on</w:t>
      </w:r>
      <w:r w:rsidR="00995182" w:rsidRPr="00DD5C6C">
        <w:rPr>
          <w:sz w:val="32"/>
          <w:szCs w:val="32"/>
        </w:rPr>
        <w:t>:</w:t>
      </w:r>
    </w:p>
    <w:p w14:paraId="1537D356" w14:textId="3965922E" w:rsidR="00995182" w:rsidRPr="006140EE" w:rsidRDefault="006140EE" w:rsidP="00DD5C6C">
      <w:pPr>
        <w:pStyle w:val="Title"/>
        <w:ind w:left="426"/>
        <w:jc w:val="center"/>
      </w:pPr>
      <w:r w:rsidRPr="006140EE">
        <w:t>Solid Fu</w:t>
      </w:r>
      <w:r>
        <w:t>el</w:t>
      </w:r>
      <w:r w:rsidRPr="006140EE">
        <w:t xml:space="preserve"> Burner Testing and Standards </w:t>
      </w:r>
      <w:r w:rsidR="000D341F">
        <w:t>to be Considered Within</w:t>
      </w:r>
      <w:r w:rsidRPr="006140EE">
        <w:t xml:space="preserve"> </w:t>
      </w:r>
      <w:r w:rsidR="008E1EA9">
        <w:t>Proposed Amendments to</w:t>
      </w:r>
      <w:r w:rsidR="006A36CA">
        <w:t xml:space="preserve"> National Environmental Standards for Air Quality</w:t>
      </w:r>
    </w:p>
    <w:p w14:paraId="1537D357" w14:textId="77777777" w:rsidR="00995182" w:rsidRDefault="00995182" w:rsidP="00FC3B57">
      <w:pPr>
        <w:ind w:left="426"/>
      </w:pPr>
    </w:p>
    <w:p w14:paraId="1537D358" w14:textId="77777777" w:rsidR="00995182" w:rsidRDefault="00995182" w:rsidP="00FC3B57">
      <w:pPr>
        <w:ind w:left="426"/>
      </w:pPr>
    </w:p>
    <w:p w14:paraId="1537D359" w14:textId="74C4DA28" w:rsidR="00D841C8" w:rsidRDefault="00D841C8" w:rsidP="00FC3B57">
      <w:pPr>
        <w:pStyle w:val="Subtitle"/>
        <w:ind w:left="426"/>
      </w:pPr>
    </w:p>
    <w:p w14:paraId="3EF236A7" w14:textId="77777777" w:rsidR="009909E9" w:rsidRDefault="009909E9" w:rsidP="00FC3B57">
      <w:pPr>
        <w:pStyle w:val="Subtitle"/>
        <w:ind w:left="426"/>
      </w:pPr>
    </w:p>
    <w:p w14:paraId="1537D35B" w14:textId="77777777" w:rsidR="00D45E15" w:rsidRDefault="00D45E15" w:rsidP="00FC3B57">
      <w:pPr>
        <w:pStyle w:val="Subtitle"/>
        <w:ind w:left="426"/>
      </w:pPr>
    </w:p>
    <w:p w14:paraId="1537D35D" w14:textId="77777777" w:rsidR="00D841C8" w:rsidRDefault="00D841C8" w:rsidP="00FC3B57">
      <w:pPr>
        <w:pStyle w:val="Subtitle"/>
        <w:ind w:left="426"/>
      </w:pPr>
    </w:p>
    <w:p w14:paraId="25DAD844" w14:textId="44643470" w:rsidR="00BA15B4" w:rsidRPr="00DD5C6C" w:rsidRDefault="00995182" w:rsidP="00FC3B57">
      <w:pPr>
        <w:pStyle w:val="Subtitle"/>
        <w:ind w:left="426"/>
        <w:rPr>
          <w:sz w:val="32"/>
          <w:szCs w:val="32"/>
        </w:rPr>
      </w:pPr>
      <w:r w:rsidRPr="00DD5C6C">
        <w:rPr>
          <w:sz w:val="32"/>
          <w:szCs w:val="32"/>
        </w:rPr>
        <w:t>Prepared for</w:t>
      </w:r>
      <w:r w:rsidR="005D6D76" w:rsidRPr="00DD5C6C">
        <w:rPr>
          <w:sz w:val="32"/>
          <w:szCs w:val="32"/>
        </w:rPr>
        <w:t>:</w:t>
      </w:r>
    </w:p>
    <w:p w14:paraId="1537D35F" w14:textId="2DCD3ED8" w:rsidR="00995182" w:rsidRPr="00BA15B4" w:rsidRDefault="006140EE" w:rsidP="00FC3B57">
      <w:pPr>
        <w:pStyle w:val="ClientName"/>
        <w:numPr>
          <w:ilvl w:val="0"/>
          <w:numId w:val="0"/>
        </w:numPr>
        <w:ind w:left="426"/>
        <w:rPr>
          <w:i w:val="0"/>
          <w:iCs/>
          <w:sz w:val="28"/>
        </w:rPr>
      </w:pPr>
      <w:r w:rsidRPr="00BA15B4">
        <w:rPr>
          <w:i w:val="0"/>
          <w:iCs/>
        </w:rPr>
        <w:t xml:space="preserve">Ministry for the </w:t>
      </w:r>
      <w:r w:rsidR="00B35F2F" w:rsidRPr="00BA15B4">
        <w:rPr>
          <w:i w:val="0"/>
          <w:iCs/>
        </w:rPr>
        <w:t>Environment</w:t>
      </w:r>
    </w:p>
    <w:p w14:paraId="12A76ABB" w14:textId="77777777" w:rsidR="00BA15B4" w:rsidRDefault="00BA15B4" w:rsidP="00FC3B57">
      <w:pPr>
        <w:pStyle w:val="FooterDate"/>
        <w:ind w:left="426" w:firstLine="0"/>
      </w:pPr>
    </w:p>
    <w:p w14:paraId="1537D364" w14:textId="77777777" w:rsidR="00586B8E" w:rsidRDefault="00586B8E" w:rsidP="00FC3B57">
      <w:pPr>
        <w:ind w:left="426"/>
      </w:pPr>
    </w:p>
    <w:p w14:paraId="1537D366" w14:textId="77777777" w:rsidR="00D841C8" w:rsidRDefault="00D841C8" w:rsidP="00FC3B57">
      <w:pPr>
        <w:ind w:left="426"/>
        <w:rPr>
          <w:rFonts w:ascii="Tahoma" w:hAnsi="Tahoma" w:cs="Tahoma"/>
          <w:i/>
          <w:iCs/>
          <w:sz w:val="28"/>
        </w:rPr>
      </w:pPr>
      <w:r w:rsidRPr="00D841C8">
        <w:rPr>
          <w:rFonts w:ascii="Tahoma" w:hAnsi="Tahoma" w:cs="Tahoma"/>
          <w:i/>
          <w:iCs/>
          <w:sz w:val="28"/>
        </w:rPr>
        <w:t>Prepared by</w:t>
      </w:r>
      <w:r w:rsidR="00C5067A">
        <w:rPr>
          <w:rFonts w:ascii="Tahoma" w:hAnsi="Tahoma" w:cs="Tahoma"/>
          <w:i/>
          <w:iCs/>
          <w:sz w:val="28"/>
        </w:rPr>
        <w:t>:</w:t>
      </w:r>
    </w:p>
    <w:p w14:paraId="6462C0D2" w14:textId="77777777" w:rsidR="00C5067A" w:rsidRDefault="00C5067A" w:rsidP="00FC3B57">
      <w:pPr>
        <w:ind w:left="426"/>
      </w:pPr>
    </w:p>
    <w:p w14:paraId="7AEC5219" w14:textId="77777777" w:rsidR="00DF5274" w:rsidRPr="001D3136" w:rsidRDefault="00DF5274" w:rsidP="00FC3B57">
      <w:pPr>
        <w:ind w:left="426"/>
      </w:pPr>
      <w:r w:rsidRPr="001D3136">
        <w:t xml:space="preserve">Glenn Seymour </w:t>
      </w:r>
    </w:p>
    <w:p w14:paraId="6AA5E3E7" w14:textId="77777777" w:rsidR="00DF5274" w:rsidRPr="001D3136" w:rsidRDefault="00DF5274" w:rsidP="00FC3B57">
      <w:pPr>
        <w:ind w:left="426"/>
      </w:pPr>
      <w:r w:rsidRPr="001D3136">
        <w:t>Strategic Energy Ltd</w:t>
      </w:r>
    </w:p>
    <w:p w14:paraId="04B82F2C" w14:textId="77777777" w:rsidR="00141B21" w:rsidRDefault="00095307" w:rsidP="00FC3B57">
      <w:pPr>
        <w:ind w:left="426"/>
      </w:pPr>
      <w:hyperlink r:id="rId9" w:history="1">
        <w:r w:rsidR="00141B21" w:rsidRPr="006451BD">
          <w:rPr>
            <w:rStyle w:val="Hyperlink"/>
          </w:rPr>
          <w:t>www.strategicenergy.co.nz</w:t>
        </w:r>
      </w:hyperlink>
      <w:r w:rsidR="00141B21">
        <w:t xml:space="preserve"> </w:t>
      </w:r>
    </w:p>
    <w:p w14:paraId="77FF417C" w14:textId="77777777" w:rsidR="00FC3B57" w:rsidRDefault="00FC3B57" w:rsidP="00FC3B57">
      <w:pPr>
        <w:pStyle w:val="FooterDate"/>
        <w:ind w:left="426" w:firstLine="0"/>
      </w:pPr>
    </w:p>
    <w:p w14:paraId="1537D367" w14:textId="230D0278" w:rsidR="00E364C2" w:rsidRPr="00D841C8" w:rsidRDefault="0044486E" w:rsidP="00064E7B">
      <w:pPr>
        <w:pStyle w:val="FooterDate"/>
        <w:ind w:left="426" w:firstLine="0"/>
        <w:sectPr w:rsidR="00E364C2" w:rsidRPr="00D841C8">
          <w:headerReference w:type="default" r:id="rId10"/>
          <w:pgSz w:w="11907" w:h="16840" w:code="9"/>
          <w:pgMar w:top="1985" w:right="1134" w:bottom="851" w:left="1701" w:header="567" w:footer="0" w:gutter="0"/>
          <w:cols w:space="720"/>
        </w:sectPr>
      </w:pPr>
      <w:r>
        <w:t>March</w:t>
      </w:r>
      <w:r w:rsidR="00FC3B57" w:rsidRPr="000B6C73">
        <w:t xml:space="preserve"> 2020</w:t>
      </w:r>
    </w:p>
    <w:bookmarkStart w:id="0" w:name="_Toc337739539" w:displacedByCustomXml="next"/>
    <w:sdt>
      <w:sdtPr>
        <w:rPr>
          <w:rFonts w:asciiTheme="minorHAnsi" w:eastAsia="Times" w:hAnsiTheme="minorHAnsi" w:cs="Times New Roman"/>
          <w:b w:val="0"/>
          <w:bCs w:val="0"/>
          <w:color w:val="auto"/>
          <w:sz w:val="22"/>
          <w:szCs w:val="20"/>
          <w:lang w:val="en-AU" w:eastAsia="en-US"/>
        </w:rPr>
        <w:id w:val="2064142067"/>
        <w:docPartObj>
          <w:docPartGallery w:val="Table of Contents"/>
          <w:docPartUnique/>
        </w:docPartObj>
      </w:sdtPr>
      <w:sdtEndPr>
        <w:rPr>
          <w:noProof/>
        </w:rPr>
      </w:sdtEndPr>
      <w:sdtContent>
        <w:p w14:paraId="235C8EA7" w14:textId="4C6799D1" w:rsidR="00DA2050" w:rsidRDefault="00DA2050">
          <w:pPr>
            <w:pStyle w:val="TOCHeading"/>
          </w:pPr>
          <w:r>
            <w:t>Contents</w:t>
          </w:r>
        </w:p>
        <w:p w14:paraId="6A6FF847" w14:textId="02566A54" w:rsidR="00252A32" w:rsidRDefault="00DA2050">
          <w:pPr>
            <w:pStyle w:val="TOC1"/>
            <w:rPr>
              <w:rFonts w:eastAsiaTheme="minorEastAsia" w:cstheme="minorBidi"/>
              <w:noProof/>
              <w:szCs w:val="22"/>
              <w:lang w:val="en-NZ" w:eastAsia="en-NZ"/>
            </w:rPr>
          </w:pPr>
          <w:r>
            <w:fldChar w:fldCharType="begin"/>
          </w:r>
          <w:r>
            <w:instrText xml:space="preserve"> TOC \o "1-3" \h \z \u </w:instrText>
          </w:r>
          <w:r>
            <w:fldChar w:fldCharType="separate"/>
          </w:r>
          <w:hyperlink w:anchor="_Toc34586673" w:history="1">
            <w:r w:rsidR="00252A32" w:rsidRPr="00736EAC">
              <w:rPr>
                <w:rStyle w:val="Hyperlink"/>
                <w:noProof/>
              </w:rPr>
              <w:t>Executive Summary</w:t>
            </w:r>
            <w:r w:rsidR="00252A32">
              <w:rPr>
                <w:noProof/>
                <w:webHidden/>
              </w:rPr>
              <w:tab/>
            </w:r>
            <w:r w:rsidR="00252A32">
              <w:rPr>
                <w:noProof/>
                <w:webHidden/>
              </w:rPr>
              <w:fldChar w:fldCharType="begin"/>
            </w:r>
            <w:r w:rsidR="00252A32">
              <w:rPr>
                <w:noProof/>
                <w:webHidden/>
              </w:rPr>
              <w:instrText xml:space="preserve"> PAGEREF _Toc34586673 \h </w:instrText>
            </w:r>
            <w:r w:rsidR="00252A32">
              <w:rPr>
                <w:noProof/>
                <w:webHidden/>
              </w:rPr>
            </w:r>
            <w:r w:rsidR="00252A32">
              <w:rPr>
                <w:noProof/>
                <w:webHidden/>
              </w:rPr>
              <w:fldChar w:fldCharType="separate"/>
            </w:r>
            <w:r w:rsidR="00252A32">
              <w:rPr>
                <w:noProof/>
                <w:webHidden/>
              </w:rPr>
              <w:t>4</w:t>
            </w:r>
            <w:r w:rsidR="00252A32">
              <w:rPr>
                <w:noProof/>
                <w:webHidden/>
              </w:rPr>
              <w:fldChar w:fldCharType="end"/>
            </w:r>
          </w:hyperlink>
        </w:p>
        <w:p w14:paraId="6494B76C" w14:textId="743B034A" w:rsidR="00252A32" w:rsidRDefault="00095307">
          <w:pPr>
            <w:pStyle w:val="TOC1"/>
            <w:rPr>
              <w:rFonts w:eastAsiaTheme="minorEastAsia" w:cstheme="minorBidi"/>
              <w:noProof/>
              <w:szCs w:val="22"/>
              <w:lang w:val="en-NZ" w:eastAsia="en-NZ"/>
            </w:rPr>
          </w:pPr>
          <w:hyperlink w:anchor="_Toc34586674" w:history="1">
            <w:r w:rsidR="00252A32" w:rsidRPr="00736EAC">
              <w:rPr>
                <w:rStyle w:val="Hyperlink"/>
                <w:noProof/>
              </w:rPr>
              <w:t>1.</w:t>
            </w:r>
            <w:r w:rsidR="00252A32">
              <w:rPr>
                <w:rFonts w:eastAsiaTheme="minorEastAsia" w:cstheme="minorBidi"/>
                <w:noProof/>
                <w:szCs w:val="22"/>
                <w:lang w:val="en-NZ" w:eastAsia="en-NZ"/>
              </w:rPr>
              <w:tab/>
            </w:r>
            <w:r w:rsidR="00252A32" w:rsidRPr="00736EAC">
              <w:rPr>
                <w:rStyle w:val="Hyperlink"/>
                <w:noProof/>
              </w:rPr>
              <w:t>Introduction</w:t>
            </w:r>
            <w:r w:rsidR="00252A32">
              <w:rPr>
                <w:noProof/>
                <w:webHidden/>
              </w:rPr>
              <w:tab/>
            </w:r>
            <w:r w:rsidR="00252A32">
              <w:rPr>
                <w:noProof/>
                <w:webHidden/>
              </w:rPr>
              <w:fldChar w:fldCharType="begin"/>
            </w:r>
            <w:r w:rsidR="00252A32">
              <w:rPr>
                <w:noProof/>
                <w:webHidden/>
              </w:rPr>
              <w:instrText xml:space="preserve"> PAGEREF _Toc34586674 \h </w:instrText>
            </w:r>
            <w:r w:rsidR="00252A32">
              <w:rPr>
                <w:noProof/>
                <w:webHidden/>
              </w:rPr>
            </w:r>
            <w:r w:rsidR="00252A32">
              <w:rPr>
                <w:noProof/>
                <w:webHidden/>
              </w:rPr>
              <w:fldChar w:fldCharType="separate"/>
            </w:r>
            <w:r w:rsidR="00252A32">
              <w:rPr>
                <w:noProof/>
                <w:webHidden/>
              </w:rPr>
              <w:t>6</w:t>
            </w:r>
            <w:r w:rsidR="00252A32">
              <w:rPr>
                <w:noProof/>
                <w:webHidden/>
              </w:rPr>
              <w:fldChar w:fldCharType="end"/>
            </w:r>
          </w:hyperlink>
        </w:p>
        <w:p w14:paraId="384D9F33" w14:textId="74DBF437" w:rsidR="00252A32" w:rsidRDefault="00095307">
          <w:pPr>
            <w:pStyle w:val="TOC2"/>
            <w:tabs>
              <w:tab w:val="left" w:pos="880"/>
              <w:tab w:val="right" w:leader="dot" w:pos="9514"/>
            </w:tabs>
            <w:rPr>
              <w:rFonts w:eastAsiaTheme="minorEastAsia" w:cstheme="minorBidi"/>
              <w:noProof/>
              <w:szCs w:val="22"/>
              <w:lang w:val="en-NZ" w:eastAsia="en-NZ"/>
            </w:rPr>
          </w:pPr>
          <w:hyperlink w:anchor="_Toc34586675" w:history="1">
            <w:r w:rsidR="00252A32" w:rsidRPr="00736EAC">
              <w:rPr>
                <w:rStyle w:val="Hyperlink"/>
                <w:noProof/>
              </w:rPr>
              <w:t>1.1</w:t>
            </w:r>
            <w:r w:rsidR="00252A32">
              <w:rPr>
                <w:rFonts w:eastAsiaTheme="minorEastAsia" w:cstheme="minorBidi"/>
                <w:noProof/>
                <w:szCs w:val="22"/>
                <w:lang w:val="en-NZ" w:eastAsia="en-NZ"/>
              </w:rPr>
              <w:tab/>
            </w:r>
            <w:r w:rsidR="00252A32" w:rsidRPr="00736EAC">
              <w:rPr>
                <w:rStyle w:val="Hyperlink"/>
                <w:noProof/>
              </w:rPr>
              <w:t>Objective</w:t>
            </w:r>
            <w:r w:rsidR="00252A32">
              <w:rPr>
                <w:noProof/>
                <w:webHidden/>
              </w:rPr>
              <w:tab/>
            </w:r>
            <w:r w:rsidR="00252A32">
              <w:rPr>
                <w:noProof/>
                <w:webHidden/>
              </w:rPr>
              <w:fldChar w:fldCharType="begin"/>
            </w:r>
            <w:r w:rsidR="00252A32">
              <w:rPr>
                <w:noProof/>
                <w:webHidden/>
              </w:rPr>
              <w:instrText xml:space="preserve"> PAGEREF _Toc34586675 \h </w:instrText>
            </w:r>
            <w:r w:rsidR="00252A32">
              <w:rPr>
                <w:noProof/>
                <w:webHidden/>
              </w:rPr>
            </w:r>
            <w:r w:rsidR="00252A32">
              <w:rPr>
                <w:noProof/>
                <w:webHidden/>
              </w:rPr>
              <w:fldChar w:fldCharType="separate"/>
            </w:r>
            <w:r w:rsidR="00252A32">
              <w:rPr>
                <w:noProof/>
                <w:webHidden/>
              </w:rPr>
              <w:t>6</w:t>
            </w:r>
            <w:r w:rsidR="00252A32">
              <w:rPr>
                <w:noProof/>
                <w:webHidden/>
              </w:rPr>
              <w:fldChar w:fldCharType="end"/>
            </w:r>
          </w:hyperlink>
        </w:p>
        <w:p w14:paraId="14E12FC3" w14:textId="068C699A" w:rsidR="00252A32" w:rsidRDefault="00095307">
          <w:pPr>
            <w:pStyle w:val="TOC2"/>
            <w:tabs>
              <w:tab w:val="left" w:pos="880"/>
              <w:tab w:val="right" w:leader="dot" w:pos="9514"/>
            </w:tabs>
            <w:rPr>
              <w:rFonts w:eastAsiaTheme="minorEastAsia" w:cstheme="minorBidi"/>
              <w:noProof/>
              <w:szCs w:val="22"/>
              <w:lang w:val="en-NZ" w:eastAsia="en-NZ"/>
            </w:rPr>
          </w:pPr>
          <w:hyperlink w:anchor="_Toc34586676" w:history="1">
            <w:r w:rsidR="00252A32" w:rsidRPr="00736EAC">
              <w:rPr>
                <w:rStyle w:val="Hyperlink"/>
                <w:noProof/>
              </w:rPr>
              <w:t>1.2</w:t>
            </w:r>
            <w:r w:rsidR="00252A32">
              <w:rPr>
                <w:rFonts w:eastAsiaTheme="minorEastAsia" w:cstheme="minorBidi"/>
                <w:noProof/>
                <w:szCs w:val="22"/>
                <w:lang w:val="en-NZ" w:eastAsia="en-NZ"/>
              </w:rPr>
              <w:tab/>
            </w:r>
            <w:r w:rsidR="00252A32" w:rsidRPr="00736EAC">
              <w:rPr>
                <w:rStyle w:val="Hyperlink"/>
                <w:noProof/>
              </w:rPr>
              <w:t>Background</w:t>
            </w:r>
            <w:r w:rsidR="00252A32">
              <w:rPr>
                <w:noProof/>
                <w:webHidden/>
              </w:rPr>
              <w:tab/>
            </w:r>
            <w:r w:rsidR="00252A32">
              <w:rPr>
                <w:noProof/>
                <w:webHidden/>
              </w:rPr>
              <w:fldChar w:fldCharType="begin"/>
            </w:r>
            <w:r w:rsidR="00252A32">
              <w:rPr>
                <w:noProof/>
                <w:webHidden/>
              </w:rPr>
              <w:instrText xml:space="preserve"> PAGEREF _Toc34586676 \h </w:instrText>
            </w:r>
            <w:r w:rsidR="00252A32">
              <w:rPr>
                <w:noProof/>
                <w:webHidden/>
              </w:rPr>
            </w:r>
            <w:r w:rsidR="00252A32">
              <w:rPr>
                <w:noProof/>
                <w:webHidden/>
              </w:rPr>
              <w:fldChar w:fldCharType="separate"/>
            </w:r>
            <w:r w:rsidR="00252A32">
              <w:rPr>
                <w:noProof/>
                <w:webHidden/>
              </w:rPr>
              <w:t>6</w:t>
            </w:r>
            <w:r w:rsidR="00252A32">
              <w:rPr>
                <w:noProof/>
                <w:webHidden/>
              </w:rPr>
              <w:fldChar w:fldCharType="end"/>
            </w:r>
          </w:hyperlink>
        </w:p>
        <w:p w14:paraId="1DF20337" w14:textId="2A0AE89E" w:rsidR="00252A32" w:rsidRDefault="00095307">
          <w:pPr>
            <w:pStyle w:val="TOC2"/>
            <w:tabs>
              <w:tab w:val="left" w:pos="880"/>
              <w:tab w:val="right" w:leader="dot" w:pos="9514"/>
            </w:tabs>
            <w:rPr>
              <w:rFonts w:eastAsiaTheme="minorEastAsia" w:cstheme="minorBidi"/>
              <w:noProof/>
              <w:szCs w:val="22"/>
              <w:lang w:val="en-NZ" w:eastAsia="en-NZ"/>
            </w:rPr>
          </w:pPr>
          <w:hyperlink w:anchor="_Toc34586677" w:history="1">
            <w:r w:rsidR="00252A32" w:rsidRPr="00736EAC">
              <w:rPr>
                <w:rStyle w:val="Hyperlink"/>
                <w:noProof/>
              </w:rPr>
              <w:t>1.3</w:t>
            </w:r>
            <w:r w:rsidR="00252A32">
              <w:rPr>
                <w:rFonts w:eastAsiaTheme="minorEastAsia" w:cstheme="minorBidi"/>
                <w:noProof/>
                <w:szCs w:val="22"/>
                <w:lang w:val="en-NZ" w:eastAsia="en-NZ"/>
              </w:rPr>
              <w:tab/>
            </w:r>
            <w:r w:rsidR="00252A32" w:rsidRPr="00736EAC">
              <w:rPr>
                <w:rStyle w:val="Hyperlink"/>
                <w:noProof/>
              </w:rPr>
              <w:t>Approach to this work</w:t>
            </w:r>
            <w:r w:rsidR="00252A32">
              <w:rPr>
                <w:noProof/>
                <w:webHidden/>
              </w:rPr>
              <w:tab/>
            </w:r>
            <w:r w:rsidR="00252A32">
              <w:rPr>
                <w:noProof/>
                <w:webHidden/>
              </w:rPr>
              <w:fldChar w:fldCharType="begin"/>
            </w:r>
            <w:r w:rsidR="00252A32">
              <w:rPr>
                <w:noProof/>
                <w:webHidden/>
              </w:rPr>
              <w:instrText xml:space="preserve"> PAGEREF _Toc34586677 \h </w:instrText>
            </w:r>
            <w:r w:rsidR="00252A32">
              <w:rPr>
                <w:noProof/>
                <w:webHidden/>
              </w:rPr>
            </w:r>
            <w:r w:rsidR="00252A32">
              <w:rPr>
                <w:noProof/>
                <w:webHidden/>
              </w:rPr>
              <w:fldChar w:fldCharType="separate"/>
            </w:r>
            <w:r w:rsidR="00252A32">
              <w:rPr>
                <w:noProof/>
                <w:webHidden/>
              </w:rPr>
              <w:t>6</w:t>
            </w:r>
            <w:r w:rsidR="00252A32">
              <w:rPr>
                <w:noProof/>
                <w:webHidden/>
              </w:rPr>
              <w:fldChar w:fldCharType="end"/>
            </w:r>
          </w:hyperlink>
        </w:p>
        <w:p w14:paraId="6872115F" w14:textId="605E1171" w:rsidR="00252A32" w:rsidRDefault="00095307">
          <w:pPr>
            <w:pStyle w:val="TOC2"/>
            <w:tabs>
              <w:tab w:val="left" w:pos="880"/>
              <w:tab w:val="right" w:leader="dot" w:pos="9514"/>
            </w:tabs>
            <w:rPr>
              <w:rFonts w:eastAsiaTheme="minorEastAsia" w:cstheme="minorBidi"/>
              <w:noProof/>
              <w:szCs w:val="22"/>
              <w:lang w:val="en-NZ" w:eastAsia="en-NZ"/>
            </w:rPr>
          </w:pPr>
          <w:hyperlink w:anchor="_Toc34586678" w:history="1">
            <w:r w:rsidR="00252A32" w:rsidRPr="00736EAC">
              <w:rPr>
                <w:rStyle w:val="Hyperlink"/>
                <w:noProof/>
              </w:rPr>
              <w:t>1.4</w:t>
            </w:r>
            <w:r w:rsidR="00252A32">
              <w:rPr>
                <w:rFonts w:eastAsiaTheme="minorEastAsia" w:cstheme="minorBidi"/>
                <w:noProof/>
                <w:szCs w:val="22"/>
                <w:lang w:val="en-NZ" w:eastAsia="en-NZ"/>
              </w:rPr>
              <w:tab/>
            </w:r>
            <w:r w:rsidR="00252A32" w:rsidRPr="00736EAC">
              <w:rPr>
                <w:rStyle w:val="Hyperlink"/>
                <w:noProof/>
              </w:rPr>
              <w:t>Issues addressed in this document</w:t>
            </w:r>
            <w:r w:rsidR="00252A32">
              <w:rPr>
                <w:noProof/>
                <w:webHidden/>
              </w:rPr>
              <w:tab/>
            </w:r>
            <w:r w:rsidR="00252A32">
              <w:rPr>
                <w:noProof/>
                <w:webHidden/>
              </w:rPr>
              <w:fldChar w:fldCharType="begin"/>
            </w:r>
            <w:r w:rsidR="00252A32">
              <w:rPr>
                <w:noProof/>
                <w:webHidden/>
              </w:rPr>
              <w:instrText xml:space="preserve"> PAGEREF _Toc34586678 \h </w:instrText>
            </w:r>
            <w:r w:rsidR="00252A32">
              <w:rPr>
                <w:noProof/>
                <w:webHidden/>
              </w:rPr>
            </w:r>
            <w:r w:rsidR="00252A32">
              <w:rPr>
                <w:noProof/>
                <w:webHidden/>
              </w:rPr>
              <w:fldChar w:fldCharType="separate"/>
            </w:r>
            <w:r w:rsidR="00252A32">
              <w:rPr>
                <w:noProof/>
                <w:webHidden/>
              </w:rPr>
              <w:t>7</w:t>
            </w:r>
            <w:r w:rsidR="00252A32">
              <w:rPr>
                <w:noProof/>
                <w:webHidden/>
              </w:rPr>
              <w:fldChar w:fldCharType="end"/>
            </w:r>
          </w:hyperlink>
        </w:p>
        <w:p w14:paraId="7B1152C8" w14:textId="3CB579D0" w:rsidR="00252A32" w:rsidRDefault="00095307">
          <w:pPr>
            <w:pStyle w:val="TOC1"/>
            <w:rPr>
              <w:rFonts w:eastAsiaTheme="minorEastAsia" w:cstheme="minorBidi"/>
              <w:noProof/>
              <w:szCs w:val="22"/>
              <w:lang w:val="en-NZ" w:eastAsia="en-NZ"/>
            </w:rPr>
          </w:pPr>
          <w:hyperlink w:anchor="_Toc34586679" w:history="1">
            <w:r w:rsidR="00252A32" w:rsidRPr="00736EAC">
              <w:rPr>
                <w:rStyle w:val="Hyperlink"/>
                <w:noProof/>
              </w:rPr>
              <w:t>2.</w:t>
            </w:r>
            <w:r w:rsidR="00252A32">
              <w:rPr>
                <w:rFonts w:eastAsiaTheme="minorEastAsia" w:cstheme="minorBidi"/>
                <w:noProof/>
                <w:szCs w:val="22"/>
                <w:lang w:val="en-NZ" w:eastAsia="en-NZ"/>
              </w:rPr>
              <w:tab/>
            </w:r>
            <w:r w:rsidR="00252A32" w:rsidRPr="00736EAC">
              <w:rPr>
                <w:rStyle w:val="Hyperlink"/>
                <w:noProof/>
              </w:rPr>
              <w:t>Methodology</w:t>
            </w:r>
            <w:r w:rsidR="00252A32">
              <w:rPr>
                <w:noProof/>
                <w:webHidden/>
              </w:rPr>
              <w:tab/>
            </w:r>
            <w:r w:rsidR="00252A32">
              <w:rPr>
                <w:noProof/>
                <w:webHidden/>
              </w:rPr>
              <w:fldChar w:fldCharType="begin"/>
            </w:r>
            <w:r w:rsidR="00252A32">
              <w:rPr>
                <w:noProof/>
                <w:webHidden/>
              </w:rPr>
              <w:instrText xml:space="preserve"> PAGEREF _Toc34586679 \h </w:instrText>
            </w:r>
            <w:r w:rsidR="00252A32">
              <w:rPr>
                <w:noProof/>
                <w:webHidden/>
              </w:rPr>
            </w:r>
            <w:r w:rsidR="00252A32">
              <w:rPr>
                <w:noProof/>
                <w:webHidden/>
              </w:rPr>
              <w:fldChar w:fldCharType="separate"/>
            </w:r>
            <w:r w:rsidR="00252A32">
              <w:rPr>
                <w:noProof/>
                <w:webHidden/>
              </w:rPr>
              <w:t>8</w:t>
            </w:r>
            <w:r w:rsidR="00252A32">
              <w:rPr>
                <w:noProof/>
                <w:webHidden/>
              </w:rPr>
              <w:fldChar w:fldCharType="end"/>
            </w:r>
          </w:hyperlink>
        </w:p>
        <w:p w14:paraId="62A1CAB9" w14:textId="7BA3D794" w:rsidR="00252A32" w:rsidRDefault="00095307">
          <w:pPr>
            <w:pStyle w:val="TOC1"/>
            <w:rPr>
              <w:rFonts w:eastAsiaTheme="minorEastAsia" w:cstheme="minorBidi"/>
              <w:noProof/>
              <w:szCs w:val="22"/>
              <w:lang w:val="en-NZ" w:eastAsia="en-NZ"/>
            </w:rPr>
          </w:pPr>
          <w:hyperlink w:anchor="_Toc34586680" w:history="1">
            <w:r w:rsidR="00252A32" w:rsidRPr="00736EAC">
              <w:rPr>
                <w:rStyle w:val="Hyperlink"/>
                <w:noProof/>
              </w:rPr>
              <w:t>3.</w:t>
            </w:r>
            <w:r w:rsidR="00252A32">
              <w:rPr>
                <w:rFonts w:eastAsiaTheme="minorEastAsia" w:cstheme="minorBidi"/>
                <w:noProof/>
                <w:szCs w:val="22"/>
                <w:lang w:val="en-NZ" w:eastAsia="en-NZ"/>
              </w:rPr>
              <w:tab/>
            </w:r>
            <w:r w:rsidR="00252A32" w:rsidRPr="00736EAC">
              <w:rPr>
                <w:rStyle w:val="Hyperlink"/>
                <w:noProof/>
              </w:rPr>
              <w:t>Analysis of Issues</w:t>
            </w:r>
            <w:r w:rsidR="00252A32">
              <w:rPr>
                <w:noProof/>
                <w:webHidden/>
              </w:rPr>
              <w:tab/>
            </w:r>
            <w:r w:rsidR="00252A32">
              <w:rPr>
                <w:noProof/>
                <w:webHidden/>
              </w:rPr>
              <w:fldChar w:fldCharType="begin"/>
            </w:r>
            <w:r w:rsidR="00252A32">
              <w:rPr>
                <w:noProof/>
                <w:webHidden/>
              </w:rPr>
              <w:instrText xml:space="preserve"> PAGEREF _Toc34586680 \h </w:instrText>
            </w:r>
            <w:r w:rsidR="00252A32">
              <w:rPr>
                <w:noProof/>
                <w:webHidden/>
              </w:rPr>
            </w:r>
            <w:r w:rsidR="00252A32">
              <w:rPr>
                <w:noProof/>
                <w:webHidden/>
              </w:rPr>
              <w:fldChar w:fldCharType="separate"/>
            </w:r>
            <w:r w:rsidR="00252A32">
              <w:rPr>
                <w:noProof/>
                <w:webHidden/>
              </w:rPr>
              <w:t>9</w:t>
            </w:r>
            <w:r w:rsidR="00252A32">
              <w:rPr>
                <w:noProof/>
                <w:webHidden/>
              </w:rPr>
              <w:fldChar w:fldCharType="end"/>
            </w:r>
          </w:hyperlink>
        </w:p>
        <w:p w14:paraId="73EB1603" w14:textId="796A3944" w:rsidR="00252A32" w:rsidRDefault="00095307">
          <w:pPr>
            <w:pStyle w:val="TOC2"/>
            <w:tabs>
              <w:tab w:val="left" w:pos="880"/>
              <w:tab w:val="right" w:leader="dot" w:pos="9514"/>
            </w:tabs>
            <w:rPr>
              <w:rFonts w:eastAsiaTheme="minorEastAsia" w:cstheme="minorBidi"/>
              <w:noProof/>
              <w:szCs w:val="22"/>
              <w:lang w:val="en-NZ" w:eastAsia="en-NZ"/>
            </w:rPr>
          </w:pPr>
          <w:hyperlink w:anchor="_Toc34586681" w:history="1">
            <w:r w:rsidR="00252A32" w:rsidRPr="00736EAC">
              <w:rPr>
                <w:rStyle w:val="Hyperlink"/>
                <w:noProof/>
              </w:rPr>
              <w:t>3.1</w:t>
            </w:r>
            <w:r w:rsidR="00252A32">
              <w:rPr>
                <w:rFonts w:eastAsiaTheme="minorEastAsia" w:cstheme="minorBidi"/>
                <w:noProof/>
                <w:szCs w:val="22"/>
                <w:lang w:val="en-NZ" w:eastAsia="en-NZ"/>
              </w:rPr>
              <w:tab/>
            </w:r>
            <w:r w:rsidR="00252A32" w:rsidRPr="00736EAC">
              <w:rPr>
                <w:rStyle w:val="Hyperlink"/>
                <w:noProof/>
              </w:rPr>
              <w:t>Current NESAQ Regulations</w:t>
            </w:r>
            <w:r w:rsidR="00252A32">
              <w:rPr>
                <w:noProof/>
                <w:webHidden/>
              </w:rPr>
              <w:tab/>
            </w:r>
            <w:r w:rsidR="00252A32">
              <w:rPr>
                <w:noProof/>
                <w:webHidden/>
              </w:rPr>
              <w:fldChar w:fldCharType="begin"/>
            </w:r>
            <w:r w:rsidR="00252A32">
              <w:rPr>
                <w:noProof/>
                <w:webHidden/>
              </w:rPr>
              <w:instrText xml:space="preserve"> PAGEREF _Toc34586681 \h </w:instrText>
            </w:r>
            <w:r w:rsidR="00252A32">
              <w:rPr>
                <w:noProof/>
                <w:webHidden/>
              </w:rPr>
            </w:r>
            <w:r w:rsidR="00252A32">
              <w:rPr>
                <w:noProof/>
                <w:webHidden/>
              </w:rPr>
              <w:fldChar w:fldCharType="separate"/>
            </w:r>
            <w:r w:rsidR="00252A32">
              <w:rPr>
                <w:noProof/>
                <w:webHidden/>
              </w:rPr>
              <w:t>9</w:t>
            </w:r>
            <w:r w:rsidR="00252A32">
              <w:rPr>
                <w:noProof/>
                <w:webHidden/>
              </w:rPr>
              <w:fldChar w:fldCharType="end"/>
            </w:r>
          </w:hyperlink>
        </w:p>
        <w:p w14:paraId="1CB86621" w14:textId="1A8DF7D8" w:rsidR="00252A32" w:rsidRDefault="00095307">
          <w:pPr>
            <w:pStyle w:val="TOC2"/>
            <w:tabs>
              <w:tab w:val="left" w:pos="880"/>
              <w:tab w:val="right" w:leader="dot" w:pos="9514"/>
            </w:tabs>
            <w:rPr>
              <w:rFonts w:eastAsiaTheme="minorEastAsia" w:cstheme="minorBidi"/>
              <w:noProof/>
              <w:szCs w:val="22"/>
              <w:lang w:val="en-NZ" w:eastAsia="en-NZ"/>
            </w:rPr>
          </w:pPr>
          <w:hyperlink w:anchor="_Toc34586682" w:history="1">
            <w:r w:rsidR="00252A32" w:rsidRPr="00736EAC">
              <w:rPr>
                <w:rStyle w:val="Hyperlink"/>
                <w:noProof/>
              </w:rPr>
              <w:t>3.2</w:t>
            </w:r>
            <w:r w:rsidR="00252A32">
              <w:rPr>
                <w:rFonts w:eastAsiaTheme="minorEastAsia" w:cstheme="minorBidi"/>
                <w:noProof/>
                <w:szCs w:val="22"/>
                <w:lang w:val="en-NZ" w:eastAsia="en-NZ"/>
              </w:rPr>
              <w:tab/>
            </w:r>
            <w:r w:rsidR="00252A32" w:rsidRPr="00736EAC">
              <w:rPr>
                <w:rStyle w:val="Hyperlink"/>
                <w:noProof/>
              </w:rPr>
              <w:t>Current test methods and standards</w:t>
            </w:r>
            <w:r w:rsidR="00252A32">
              <w:rPr>
                <w:noProof/>
                <w:webHidden/>
              </w:rPr>
              <w:tab/>
            </w:r>
            <w:r w:rsidR="00252A32">
              <w:rPr>
                <w:noProof/>
                <w:webHidden/>
              </w:rPr>
              <w:fldChar w:fldCharType="begin"/>
            </w:r>
            <w:r w:rsidR="00252A32">
              <w:rPr>
                <w:noProof/>
                <w:webHidden/>
              </w:rPr>
              <w:instrText xml:space="preserve"> PAGEREF _Toc34586682 \h </w:instrText>
            </w:r>
            <w:r w:rsidR="00252A32">
              <w:rPr>
                <w:noProof/>
                <w:webHidden/>
              </w:rPr>
            </w:r>
            <w:r w:rsidR="00252A32">
              <w:rPr>
                <w:noProof/>
                <w:webHidden/>
              </w:rPr>
              <w:fldChar w:fldCharType="separate"/>
            </w:r>
            <w:r w:rsidR="00252A32">
              <w:rPr>
                <w:noProof/>
                <w:webHidden/>
              </w:rPr>
              <w:t>10</w:t>
            </w:r>
            <w:r w:rsidR="00252A32">
              <w:rPr>
                <w:noProof/>
                <w:webHidden/>
              </w:rPr>
              <w:fldChar w:fldCharType="end"/>
            </w:r>
          </w:hyperlink>
        </w:p>
        <w:p w14:paraId="6932CF56" w14:textId="147A0243" w:rsidR="00252A32" w:rsidRDefault="00095307">
          <w:pPr>
            <w:pStyle w:val="TOC2"/>
            <w:tabs>
              <w:tab w:val="left" w:pos="880"/>
              <w:tab w:val="right" w:leader="dot" w:pos="9514"/>
            </w:tabs>
            <w:rPr>
              <w:rFonts w:eastAsiaTheme="minorEastAsia" w:cstheme="minorBidi"/>
              <w:noProof/>
              <w:szCs w:val="22"/>
              <w:lang w:val="en-NZ" w:eastAsia="en-NZ"/>
            </w:rPr>
          </w:pPr>
          <w:hyperlink w:anchor="_Toc34586683" w:history="1">
            <w:r w:rsidR="00252A32" w:rsidRPr="00736EAC">
              <w:rPr>
                <w:rStyle w:val="Hyperlink"/>
                <w:noProof/>
              </w:rPr>
              <w:t>3.3</w:t>
            </w:r>
            <w:r w:rsidR="00252A32">
              <w:rPr>
                <w:rFonts w:eastAsiaTheme="minorEastAsia" w:cstheme="minorBidi"/>
                <w:noProof/>
                <w:szCs w:val="22"/>
                <w:lang w:val="en-NZ" w:eastAsia="en-NZ"/>
              </w:rPr>
              <w:tab/>
            </w:r>
            <w:r w:rsidR="00252A32" w:rsidRPr="00736EAC">
              <w:rPr>
                <w:rStyle w:val="Hyperlink"/>
                <w:noProof/>
              </w:rPr>
              <w:t>Burner authorisation</w:t>
            </w:r>
            <w:r w:rsidR="00252A32">
              <w:rPr>
                <w:noProof/>
                <w:webHidden/>
              </w:rPr>
              <w:tab/>
            </w:r>
            <w:r w:rsidR="00252A32">
              <w:rPr>
                <w:noProof/>
                <w:webHidden/>
              </w:rPr>
              <w:fldChar w:fldCharType="begin"/>
            </w:r>
            <w:r w:rsidR="00252A32">
              <w:rPr>
                <w:noProof/>
                <w:webHidden/>
              </w:rPr>
              <w:instrText xml:space="preserve"> PAGEREF _Toc34586683 \h </w:instrText>
            </w:r>
            <w:r w:rsidR="00252A32">
              <w:rPr>
                <w:noProof/>
                <w:webHidden/>
              </w:rPr>
            </w:r>
            <w:r w:rsidR="00252A32">
              <w:rPr>
                <w:noProof/>
                <w:webHidden/>
              </w:rPr>
              <w:fldChar w:fldCharType="separate"/>
            </w:r>
            <w:r w:rsidR="00252A32">
              <w:rPr>
                <w:noProof/>
                <w:webHidden/>
              </w:rPr>
              <w:t>12</w:t>
            </w:r>
            <w:r w:rsidR="00252A32">
              <w:rPr>
                <w:noProof/>
                <w:webHidden/>
              </w:rPr>
              <w:fldChar w:fldCharType="end"/>
            </w:r>
          </w:hyperlink>
        </w:p>
        <w:p w14:paraId="5D48FDCB" w14:textId="770FC9AD" w:rsidR="00252A32" w:rsidRDefault="00095307">
          <w:pPr>
            <w:pStyle w:val="TOC2"/>
            <w:tabs>
              <w:tab w:val="left" w:pos="880"/>
              <w:tab w:val="right" w:leader="dot" w:pos="9514"/>
            </w:tabs>
            <w:rPr>
              <w:rFonts w:eastAsiaTheme="minorEastAsia" w:cstheme="minorBidi"/>
              <w:noProof/>
              <w:szCs w:val="22"/>
              <w:lang w:val="en-NZ" w:eastAsia="en-NZ"/>
            </w:rPr>
          </w:pPr>
          <w:hyperlink w:anchor="_Toc34586684" w:history="1">
            <w:r w:rsidR="00252A32" w:rsidRPr="00736EAC">
              <w:rPr>
                <w:rStyle w:val="Hyperlink"/>
                <w:noProof/>
              </w:rPr>
              <w:t>3.4</w:t>
            </w:r>
            <w:r w:rsidR="00252A32">
              <w:rPr>
                <w:rFonts w:eastAsiaTheme="minorEastAsia" w:cstheme="minorBidi"/>
                <w:noProof/>
                <w:szCs w:val="22"/>
                <w:lang w:val="en-NZ" w:eastAsia="en-NZ"/>
              </w:rPr>
              <w:tab/>
            </w:r>
            <w:r w:rsidR="00252A32" w:rsidRPr="00736EAC">
              <w:rPr>
                <w:rStyle w:val="Hyperlink"/>
                <w:noProof/>
              </w:rPr>
              <w:t>Market trends in efficiency and emissions improvements, new technologies</w:t>
            </w:r>
            <w:r w:rsidR="00252A32">
              <w:rPr>
                <w:noProof/>
                <w:webHidden/>
              </w:rPr>
              <w:tab/>
            </w:r>
            <w:r w:rsidR="00252A32">
              <w:rPr>
                <w:noProof/>
                <w:webHidden/>
              </w:rPr>
              <w:fldChar w:fldCharType="begin"/>
            </w:r>
            <w:r w:rsidR="00252A32">
              <w:rPr>
                <w:noProof/>
                <w:webHidden/>
              </w:rPr>
              <w:instrText xml:space="preserve"> PAGEREF _Toc34586684 \h </w:instrText>
            </w:r>
            <w:r w:rsidR="00252A32">
              <w:rPr>
                <w:noProof/>
                <w:webHidden/>
              </w:rPr>
            </w:r>
            <w:r w:rsidR="00252A32">
              <w:rPr>
                <w:noProof/>
                <w:webHidden/>
              </w:rPr>
              <w:fldChar w:fldCharType="separate"/>
            </w:r>
            <w:r w:rsidR="00252A32">
              <w:rPr>
                <w:noProof/>
                <w:webHidden/>
              </w:rPr>
              <w:t>13</w:t>
            </w:r>
            <w:r w:rsidR="00252A32">
              <w:rPr>
                <w:noProof/>
                <w:webHidden/>
              </w:rPr>
              <w:fldChar w:fldCharType="end"/>
            </w:r>
          </w:hyperlink>
        </w:p>
        <w:p w14:paraId="543D2FA2" w14:textId="191E7F62" w:rsidR="00252A32" w:rsidRDefault="00095307">
          <w:pPr>
            <w:pStyle w:val="TOC2"/>
            <w:tabs>
              <w:tab w:val="left" w:pos="880"/>
              <w:tab w:val="right" w:leader="dot" w:pos="9514"/>
            </w:tabs>
            <w:rPr>
              <w:rFonts w:eastAsiaTheme="minorEastAsia" w:cstheme="minorBidi"/>
              <w:noProof/>
              <w:szCs w:val="22"/>
              <w:lang w:val="en-NZ" w:eastAsia="en-NZ"/>
            </w:rPr>
          </w:pPr>
          <w:hyperlink w:anchor="_Toc34586685" w:history="1">
            <w:r w:rsidR="00252A32" w:rsidRPr="00736EAC">
              <w:rPr>
                <w:rStyle w:val="Hyperlink"/>
                <w:noProof/>
              </w:rPr>
              <w:t>3.5</w:t>
            </w:r>
            <w:r w:rsidR="00252A32">
              <w:rPr>
                <w:rFonts w:eastAsiaTheme="minorEastAsia" w:cstheme="minorBidi"/>
                <w:noProof/>
                <w:szCs w:val="22"/>
                <w:lang w:val="en-NZ" w:eastAsia="en-NZ"/>
              </w:rPr>
              <w:tab/>
            </w:r>
            <w:r w:rsidR="00252A32" w:rsidRPr="00736EAC">
              <w:rPr>
                <w:rStyle w:val="Hyperlink"/>
                <w:noProof/>
              </w:rPr>
              <w:t>Design “trade-offs” made by manufacturers between emissions and efficiency when designing new burners.</w:t>
            </w:r>
            <w:r w:rsidR="00252A32">
              <w:rPr>
                <w:noProof/>
                <w:webHidden/>
              </w:rPr>
              <w:tab/>
            </w:r>
            <w:r w:rsidR="00252A32">
              <w:rPr>
                <w:noProof/>
                <w:webHidden/>
              </w:rPr>
              <w:fldChar w:fldCharType="begin"/>
            </w:r>
            <w:r w:rsidR="00252A32">
              <w:rPr>
                <w:noProof/>
                <w:webHidden/>
              </w:rPr>
              <w:instrText xml:space="preserve"> PAGEREF _Toc34586685 \h </w:instrText>
            </w:r>
            <w:r w:rsidR="00252A32">
              <w:rPr>
                <w:noProof/>
                <w:webHidden/>
              </w:rPr>
            </w:r>
            <w:r w:rsidR="00252A32">
              <w:rPr>
                <w:noProof/>
                <w:webHidden/>
              </w:rPr>
              <w:fldChar w:fldCharType="separate"/>
            </w:r>
            <w:r w:rsidR="00252A32">
              <w:rPr>
                <w:noProof/>
                <w:webHidden/>
              </w:rPr>
              <w:t>16</w:t>
            </w:r>
            <w:r w:rsidR="00252A32">
              <w:rPr>
                <w:noProof/>
                <w:webHidden/>
              </w:rPr>
              <w:fldChar w:fldCharType="end"/>
            </w:r>
          </w:hyperlink>
        </w:p>
        <w:p w14:paraId="4A59405A" w14:textId="6F6A51F7" w:rsidR="00252A32" w:rsidRDefault="00095307">
          <w:pPr>
            <w:pStyle w:val="TOC2"/>
            <w:tabs>
              <w:tab w:val="left" w:pos="880"/>
              <w:tab w:val="right" w:leader="dot" w:pos="9514"/>
            </w:tabs>
            <w:rPr>
              <w:rFonts w:eastAsiaTheme="minorEastAsia" w:cstheme="minorBidi"/>
              <w:noProof/>
              <w:szCs w:val="22"/>
              <w:lang w:val="en-NZ" w:eastAsia="en-NZ"/>
            </w:rPr>
          </w:pPr>
          <w:hyperlink w:anchor="_Toc34586686" w:history="1">
            <w:r w:rsidR="00252A32" w:rsidRPr="00736EAC">
              <w:rPr>
                <w:rStyle w:val="Hyperlink"/>
                <w:noProof/>
              </w:rPr>
              <w:t>3.6</w:t>
            </w:r>
            <w:r w:rsidR="00252A32">
              <w:rPr>
                <w:rFonts w:eastAsiaTheme="minorEastAsia" w:cstheme="minorBidi"/>
                <w:noProof/>
                <w:szCs w:val="22"/>
                <w:lang w:val="en-NZ" w:eastAsia="en-NZ"/>
              </w:rPr>
              <w:tab/>
            </w:r>
            <w:r w:rsidR="00252A32" w:rsidRPr="00736EAC">
              <w:rPr>
                <w:rStyle w:val="Hyperlink"/>
                <w:noProof/>
              </w:rPr>
              <w:t>Proposed amendments to the NESAQ and potential impact</w:t>
            </w:r>
            <w:r w:rsidR="00252A32">
              <w:rPr>
                <w:noProof/>
                <w:webHidden/>
              </w:rPr>
              <w:tab/>
            </w:r>
            <w:r w:rsidR="00252A32">
              <w:rPr>
                <w:noProof/>
                <w:webHidden/>
              </w:rPr>
              <w:fldChar w:fldCharType="begin"/>
            </w:r>
            <w:r w:rsidR="00252A32">
              <w:rPr>
                <w:noProof/>
                <w:webHidden/>
              </w:rPr>
              <w:instrText xml:space="preserve"> PAGEREF _Toc34586686 \h </w:instrText>
            </w:r>
            <w:r w:rsidR="00252A32">
              <w:rPr>
                <w:noProof/>
                <w:webHidden/>
              </w:rPr>
            </w:r>
            <w:r w:rsidR="00252A32">
              <w:rPr>
                <w:noProof/>
                <w:webHidden/>
              </w:rPr>
              <w:fldChar w:fldCharType="separate"/>
            </w:r>
            <w:r w:rsidR="00252A32">
              <w:rPr>
                <w:noProof/>
                <w:webHidden/>
              </w:rPr>
              <w:t>16</w:t>
            </w:r>
            <w:r w:rsidR="00252A32">
              <w:rPr>
                <w:noProof/>
                <w:webHidden/>
              </w:rPr>
              <w:fldChar w:fldCharType="end"/>
            </w:r>
          </w:hyperlink>
        </w:p>
        <w:p w14:paraId="5D06A91D" w14:textId="70795EFE" w:rsidR="00252A32" w:rsidRDefault="00095307">
          <w:pPr>
            <w:pStyle w:val="TOC3"/>
            <w:tabs>
              <w:tab w:val="right" w:leader="dot" w:pos="9514"/>
            </w:tabs>
            <w:rPr>
              <w:rFonts w:eastAsiaTheme="minorEastAsia" w:cstheme="minorBidi"/>
              <w:noProof/>
              <w:szCs w:val="22"/>
              <w:lang w:val="en-NZ" w:eastAsia="en-NZ"/>
            </w:rPr>
          </w:pPr>
          <w:hyperlink w:anchor="_Toc34586687" w:history="1">
            <w:r w:rsidR="00252A32" w:rsidRPr="00736EAC">
              <w:rPr>
                <w:rStyle w:val="Hyperlink"/>
                <w:noProof/>
              </w:rPr>
              <w:t>3.6.1  Move to a national emissions standard of 1.0 g/kg as proposed in the NESAQ consultation document</w:t>
            </w:r>
            <w:r w:rsidR="00252A32">
              <w:rPr>
                <w:noProof/>
                <w:webHidden/>
              </w:rPr>
              <w:tab/>
            </w:r>
            <w:r w:rsidR="00252A32">
              <w:rPr>
                <w:noProof/>
                <w:webHidden/>
              </w:rPr>
              <w:fldChar w:fldCharType="begin"/>
            </w:r>
            <w:r w:rsidR="00252A32">
              <w:rPr>
                <w:noProof/>
                <w:webHidden/>
              </w:rPr>
              <w:instrText xml:space="preserve"> PAGEREF _Toc34586687 \h </w:instrText>
            </w:r>
            <w:r w:rsidR="00252A32">
              <w:rPr>
                <w:noProof/>
                <w:webHidden/>
              </w:rPr>
            </w:r>
            <w:r w:rsidR="00252A32">
              <w:rPr>
                <w:noProof/>
                <w:webHidden/>
              </w:rPr>
              <w:fldChar w:fldCharType="separate"/>
            </w:r>
            <w:r w:rsidR="00252A32">
              <w:rPr>
                <w:noProof/>
                <w:webHidden/>
              </w:rPr>
              <w:t>16</w:t>
            </w:r>
            <w:r w:rsidR="00252A32">
              <w:rPr>
                <w:noProof/>
                <w:webHidden/>
              </w:rPr>
              <w:fldChar w:fldCharType="end"/>
            </w:r>
          </w:hyperlink>
        </w:p>
        <w:p w14:paraId="6392B75E" w14:textId="0715ED67" w:rsidR="00252A32" w:rsidRDefault="00095307">
          <w:pPr>
            <w:pStyle w:val="TOC3"/>
            <w:tabs>
              <w:tab w:val="right" w:leader="dot" w:pos="9514"/>
            </w:tabs>
            <w:rPr>
              <w:rFonts w:eastAsiaTheme="minorEastAsia" w:cstheme="minorBidi"/>
              <w:noProof/>
              <w:szCs w:val="22"/>
              <w:lang w:val="en-NZ" w:eastAsia="en-NZ"/>
            </w:rPr>
          </w:pPr>
          <w:hyperlink w:anchor="_Toc34586688" w:history="1">
            <w:r w:rsidR="00252A32" w:rsidRPr="00736EAC">
              <w:rPr>
                <w:rStyle w:val="Hyperlink"/>
                <w:noProof/>
              </w:rPr>
              <w:t>3.6.2  Include a broader range of solid fuel burners under the NESAQ</w:t>
            </w:r>
            <w:r w:rsidR="00252A32">
              <w:rPr>
                <w:noProof/>
                <w:webHidden/>
              </w:rPr>
              <w:tab/>
            </w:r>
            <w:r w:rsidR="00252A32">
              <w:rPr>
                <w:noProof/>
                <w:webHidden/>
              </w:rPr>
              <w:fldChar w:fldCharType="begin"/>
            </w:r>
            <w:r w:rsidR="00252A32">
              <w:rPr>
                <w:noProof/>
                <w:webHidden/>
              </w:rPr>
              <w:instrText xml:space="preserve"> PAGEREF _Toc34586688 \h </w:instrText>
            </w:r>
            <w:r w:rsidR="00252A32">
              <w:rPr>
                <w:noProof/>
                <w:webHidden/>
              </w:rPr>
            </w:r>
            <w:r w:rsidR="00252A32">
              <w:rPr>
                <w:noProof/>
                <w:webHidden/>
              </w:rPr>
              <w:fldChar w:fldCharType="separate"/>
            </w:r>
            <w:r w:rsidR="00252A32">
              <w:rPr>
                <w:noProof/>
                <w:webHidden/>
              </w:rPr>
              <w:t>17</w:t>
            </w:r>
            <w:r w:rsidR="00252A32">
              <w:rPr>
                <w:noProof/>
                <w:webHidden/>
              </w:rPr>
              <w:fldChar w:fldCharType="end"/>
            </w:r>
          </w:hyperlink>
        </w:p>
        <w:p w14:paraId="0E917854" w14:textId="362942ED" w:rsidR="00252A32" w:rsidRDefault="00095307">
          <w:pPr>
            <w:pStyle w:val="TOC2"/>
            <w:tabs>
              <w:tab w:val="left" w:pos="880"/>
              <w:tab w:val="right" w:leader="dot" w:pos="9514"/>
            </w:tabs>
            <w:rPr>
              <w:rFonts w:eastAsiaTheme="minorEastAsia" w:cstheme="minorBidi"/>
              <w:noProof/>
              <w:szCs w:val="22"/>
              <w:lang w:val="en-NZ" w:eastAsia="en-NZ"/>
            </w:rPr>
          </w:pPr>
          <w:hyperlink w:anchor="_Toc34586689" w:history="1">
            <w:r w:rsidR="00252A32" w:rsidRPr="00736EAC">
              <w:rPr>
                <w:rStyle w:val="Hyperlink"/>
                <w:noProof/>
              </w:rPr>
              <w:t>3.7</w:t>
            </w:r>
            <w:r w:rsidR="00252A32">
              <w:rPr>
                <w:rFonts w:eastAsiaTheme="minorEastAsia" w:cstheme="minorBidi"/>
                <w:noProof/>
                <w:szCs w:val="22"/>
                <w:lang w:val="en-NZ" w:eastAsia="en-NZ"/>
              </w:rPr>
              <w:tab/>
            </w:r>
            <w:r w:rsidR="00252A32" w:rsidRPr="00736EAC">
              <w:rPr>
                <w:rStyle w:val="Hyperlink"/>
                <w:noProof/>
              </w:rPr>
              <w:t>Other options potentially to include in an amended NESAQ and the likely impact</w:t>
            </w:r>
            <w:r w:rsidR="00252A32">
              <w:rPr>
                <w:noProof/>
                <w:webHidden/>
              </w:rPr>
              <w:tab/>
            </w:r>
            <w:r w:rsidR="00252A32">
              <w:rPr>
                <w:noProof/>
                <w:webHidden/>
              </w:rPr>
              <w:fldChar w:fldCharType="begin"/>
            </w:r>
            <w:r w:rsidR="00252A32">
              <w:rPr>
                <w:noProof/>
                <w:webHidden/>
              </w:rPr>
              <w:instrText xml:space="preserve"> PAGEREF _Toc34586689 \h </w:instrText>
            </w:r>
            <w:r w:rsidR="00252A32">
              <w:rPr>
                <w:noProof/>
                <w:webHidden/>
              </w:rPr>
            </w:r>
            <w:r w:rsidR="00252A32">
              <w:rPr>
                <w:noProof/>
                <w:webHidden/>
              </w:rPr>
              <w:fldChar w:fldCharType="separate"/>
            </w:r>
            <w:r w:rsidR="00252A32">
              <w:rPr>
                <w:noProof/>
                <w:webHidden/>
              </w:rPr>
              <w:t>20</w:t>
            </w:r>
            <w:r w:rsidR="00252A32">
              <w:rPr>
                <w:noProof/>
                <w:webHidden/>
              </w:rPr>
              <w:fldChar w:fldCharType="end"/>
            </w:r>
          </w:hyperlink>
        </w:p>
        <w:p w14:paraId="7DC1E68F" w14:textId="256DAC8B" w:rsidR="00252A32" w:rsidRDefault="00095307">
          <w:pPr>
            <w:pStyle w:val="TOC3"/>
            <w:tabs>
              <w:tab w:val="right" w:leader="dot" w:pos="9514"/>
            </w:tabs>
            <w:rPr>
              <w:rFonts w:eastAsiaTheme="minorEastAsia" w:cstheme="minorBidi"/>
              <w:noProof/>
              <w:szCs w:val="22"/>
              <w:lang w:val="en-NZ" w:eastAsia="en-NZ"/>
            </w:rPr>
          </w:pPr>
          <w:hyperlink w:anchor="_Toc34586690" w:history="1">
            <w:r w:rsidR="00252A32" w:rsidRPr="00736EAC">
              <w:rPr>
                <w:rStyle w:val="Hyperlink"/>
                <w:noProof/>
              </w:rPr>
              <w:t>3.7.1 Use of a combined emissions and efficiency measure (mg/MJ based)</w:t>
            </w:r>
            <w:r w:rsidR="00252A32">
              <w:rPr>
                <w:noProof/>
                <w:webHidden/>
              </w:rPr>
              <w:tab/>
            </w:r>
            <w:r w:rsidR="00252A32">
              <w:rPr>
                <w:noProof/>
                <w:webHidden/>
              </w:rPr>
              <w:fldChar w:fldCharType="begin"/>
            </w:r>
            <w:r w:rsidR="00252A32">
              <w:rPr>
                <w:noProof/>
                <w:webHidden/>
              </w:rPr>
              <w:instrText xml:space="preserve"> PAGEREF _Toc34586690 \h </w:instrText>
            </w:r>
            <w:r w:rsidR="00252A32">
              <w:rPr>
                <w:noProof/>
                <w:webHidden/>
              </w:rPr>
            </w:r>
            <w:r w:rsidR="00252A32">
              <w:rPr>
                <w:noProof/>
                <w:webHidden/>
              </w:rPr>
              <w:fldChar w:fldCharType="separate"/>
            </w:r>
            <w:r w:rsidR="00252A32">
              <w:rPr>
                <w:noProof/>
                <w:webHidden/>
              </w:rPr>
              <w:t>20</w:t>
            </w:r>
            <w:r w:rsidR="00252A32">
              <w:rPr>
                <w:noProof/>
                <w:webHidden/>
              </w:rPr>
              <w:fldChar w:fldCharType="end"/>
            </w:r>
          </w:hyperlink>
        </w:p>
        <w:p w14:paraId="12B6F70F" w14:textId="60B2EDC7" w:rsidR="00252A32" w:rsidRDefault="00095307">
          <w:pPr>
            <w:pStyle w:val="TOC3"/>
            <w:tabs>
              <w:tab w:val="right" w:leader="dot" w:pos="9514"/>
            </w:tabs>
            <w:rPr>
              <w:rFonts w:eastAsiaTheme="minorEastAsia" w:cstheme="minorBidi"/>
              <w:noProof/>
              <w:szCs w:val="22"/>
              <w:lang w:val="en-NZ" w:eastAsia="en-NZ"/>
            </w:rPr>
          </w:pPr>
          <w:hyperlink w:anchor="_Toc34586691" w:history="1">
            <w:r w:rsidR="00252A32" w:rsidRPr="00736EAC">
              <w:rPr>
                <w:rStyle w:val="Hyperlink"/>
                <w:noProof/>
              </w:rPr>
              <w:t>3.7.2 Regional Councils’ ability to implement more stringent rules than the NESAQ</w:t>
            </w:r>
            <w:r w:rsidR="00252A32">
              <w:rPr>
                <w:noProof/>
                <w:webHidden/>
              </w:rPr>
              <w:tab/>
            </w:r>
            <w:r w:rsidR="00252A32">
              <w:rPr>
                <w:noProof/>
                <w:webHidden/>
              </w:rPr>
              <w:fldChar w:fldCharType="begin"/>
            </w:r>
            <w:r w:rsidR="00252A32">
              <w:rPr>
                <w:noProof/>
                <w:webHidden/>
              </w:rPr>
              <w:instrText xml:space="preserve"> PAGEREF _Toc34586691 \h </w:instrText>
            </w:r>
            <w:r w:rsidR="00252A32">
              <w:rPr>
                <w:noProof/>
                <w:webHidden/>
              </w:rPr>
            </w:r>
            <w:r w:rsidR="00252A32">
              <w:rPr>
                <w:noProof/>
                <w:webHidden/>
              </w:rPr>
              <w:fldChar w:fldCharType="separate"/>
            </w:r>
            <w:r w:rsidR="00252A32">
              <w:rPr>
                <w:noProof/>
                <w:webHidden/>
              </w:rPr>
              <w:t>23</w:t>
            </w:r>
            <w:r w:rsidR="00252A32">
              <w:rPr>
                <w:noProof/>
                <w:webHidden/>
              </w:rPr>
              <w:fldChar w:fldCharType="end"/>
            </w:r>
          </w:hyperlink>
        </w:p>
        <w:p w14:paraId="1030BEB6" w14:textId="6846EEC3" w:rsidR="00252A32" w:rsidRDefault="00095307">
          <w:pPr>
            <w:pStyle w:val="TOC2"/>
            <w:tabs>
              <w:tab w:val="left" w:pos="880"/>
              <w:tab w:val="right" w:leader="dot" w:pos="9514"/>
            </w:tabs>
            <w:rPr>
              <w:rFonts w:eastAsiaTheme="minorEastAsia" w:cstheme="minorBidi"/>
              <w:noProof/>
              <w:szCs w:val="22"/>
              <w:lang w:val="en-NZ" w:eastAsia="en-NZ"/>
            </w:rPr>
          </w:pPr>
          <w:hyperlink w:anchor="_Toc34586692" w:history="1">
            <w:r w:rsidR="00252A32" w:rsidRPr="00736EAC">
              <w:rPr>
                <w:rStyle w:val="Hyperlink"/>
                <w:noProof/>
              </w:rPr>
              <w:t>3.8</w:t>
            </w:r>
            <w:r w:rsidR="00252A32">
              <w:rPr>
                <w:rFonts w:eastAsiaTheme="minorEastAsia" w:cstheme="minorBidi"/>
                <w:noProof/>
                <w:szCs w:val="22"/>
                <w:lang w:val="en-NZ" w:eastAsia="en-NZ"/>
              </w:rPr>
              <w:tab/>
            </w:r>
            <w:r w:rsidR="00252A32" w:rsidRPr="00736EAC">
              <w:rPr>
                <w:rStyle w:val="Hyperlink"/>
                <w:noProof/>
              </w:rPr>
              <w:t>Inclusion of all burner types and conflicts between the NESAQ and test methods/standards</w:t>
            </w:r>
            <w:r w:rsidR="00252A32">
              <w:rPr>
                <w:noProof/>
                <w:webHidden/>
              </w:rPr>
              <w:tab/>
            </w:r>
            <w:r w:rsidR="00252A32">
              <w:rPr>
                <w:noProof/>
                <w:webHidden/>
              </w:rPr>
              <w:fldChar w:fldCharType="begin"/>
            </w:r>
            <w:r w:rsidR="00252A32">
              <w:rPr>
                <w:noProof/>
                <w:webHidden/>
              </w:rPr>
              <w:instrText xml:space="preserve"> PAGEREF _Toc34586692 \h </w:instrText>
            </w:r>
            <w:r w:rsidR="00252A32">
              <w:rPr>
                <w:noProof/>
                <w:webHidden/>
              </w:rPr>
            </w:r>
            <w:r w:rsidR="00252A32">
              <w:rPr>
                <w:noProof/>
                <w:webHidden/>
              </w:rPr>
              <w:fldChar w:fldCharType="separate"/>
            </w:r>
            <w:r w:rsidR="00252A32">
              <w:rPr>
                <w:noProof/>
                <w:webHidden/>
              </w:rPr>
              <w:t>23</w:t>
            </w:r>
            <w:r w:rsidR="00252A32">
              <w:rPr>
                <w:noProof/>
                <w:webHidden/>
              </w:rPr>
              <w:fldChar w:fldCharType="end"/>
            </w:r>
          </w:hyperlink>
        </w:p>
        <w:p w14:paraId="391111CD" w14:textId="7953A2EF" w:rsidR="00252A32" w:rsidRDefault="00095307">
          <w:pPr>
            <w:pStyle w:val="TOC2"/>
            <w:tabs>
              <w:tab w:val="left" w:pos="880"/>
              <w:tab w:val="right" w:leader="dot" w:pos="9514"/>
            </w:tabs>
            <w:rPr>
              <w:rFonts w:eastAsiaTheme="minorEastAsia" w:cstheme="minorBidi"/>
              <w:noProof/>
              <w:szCs w:val="22"/>
              <w:lang w:val="en-NZ" w:eastAsia="en-NZ"/>
            </w:rPr>
          </w:pPr>
          <w:hyperlink w:anchor="_Toc34586693" w:history="1">
            <w:r w:rsidR="00252A32" w:rsidRPr="00736EAC">
              <w:rPr>
                <w:rStyle w:val="Hyperlink"/>
                <w:noProof/>
              </w:rPr>
              <w:t>3.9</w:t>
            </w:r>
            <w:r w:rsidR="00252A32">
              <w:rPr>
                <w:rFonts w:eastAsiaTheme="minorEastAsia" w:cstheme="minorBidi"/>
                <w:noProof/>
                <w:szCs w:val="22"/>
                <w:lang w:val="en-NZ" w:eastAsia="en-NZ"/>
              </w:rPr>
              <w:tab/>
            </w:r>
            <w:r w:rsidR="00252A32" w:rsidRPr="00736EAC">
              <w:rPr>
                <w:rStyle w:val="Hyperlink"/>
                <w:noProof/>
              </w:rPr>
              <w:t>Potential options for test methods and standards</w:t>
            </w:r>
            <w:r w:rsidR="00252A32">
              <w:rPr>
                <w:noProof/>
                <w:webHidden/>
              </w:rPr>
              <w:tab/>
            </w:r>
            <w:r w:rsidR="00252A32">
              <w:rPr>
                <w:noProof/>
                <w:webHidden/>
              </w:rPr>
              <w:fldChar w:fldCharType="begin"/>
            </w:r>
            <w:r w:rsidR="00252A32">
              <w:rPr>
                <w:noProof/>
                <w:webHidden/>
              </w:rPr>
              <w:instrText xml:space="preserve"> PAGEREF _Toc34586693 \h </w:instrText>
            </w:r>
            <w:r w:rsidR="00252A32">
              <w:rPr>
                <w:noProof/>
                <w:webHidden/>
              </w:rPr>
            </w:r>
            <w:r w:rsidR="00252A32">
              <w:rPr>
                <w:noProof/>
                <w:webHidden/>
              </w:rPr>
              <w:fldChar w:fldCharType="separate"/>
            </w:r>
            <w:r w:rsidR="00252A32">
              <w:rPr>
                <w:noProof/>
                <w:webHidden/>
              </w:rPr>
              <w:t>25</w:t>
            </w:r>
            <w:r w:rsidR="00252A32">
              <w:rPr>
                <w:noProof/>
                <w:webHidden/>
              </w:rPr>
              <w:fldChar w:fldCharType="end"/>
            </w:r>
          </w:hyperlink>
        </w:p>
        <w:p w14:paraId="5EE4BC76" w14:textId="255BAF66" w:rsidR="00252A32" w:rsidRDefault="00095307">
          <w:pPr>
            <w:pStyle w:val="TOC3"/>
            <w:tabs>
              <w:tab w:val="right" w:leader="dot" w:pos="9514"/>
            </w:tabs>
            <w:rPr>
              <w:rFonts w:eastAsiaTheme="minorEastAsia" w:cstheme="minorBidi"/>
              <w:noProof/>
              <w:szCs w:val="22"/>
              <w:lang w:val="en-NZ" w:eastAsia="en-NZ"/>
            </w:rPr>
          </w:pPr>
          <w:hyperlink w:anchor="_Toc34586694" w:history="1">
            <w:r w:rsidR="00252A32" w:rsidRPr="00736EAC">
              <w:rPr>
                <w:rStyle w:val="Hyperlink"/>
                <w:noProof/>
              </w:rPr>
              <w:t>3.9.1  Potential changes to AS/NZS 4012 and AS/NZS 4013</w:t>
            </w:r>
            <w:r w:rsidR="00252A32">
              <w:rPr>
                <w:noProof/>
                <w:webHidden/>
              </w:rPr>
              <w:tab/>
            </w:r>
            <w:r w:rsidR="00252A32">
              <w:rPr>
                <w:noProof/>
                <w:webHidden/>
              </w:rPr>
              <w:fldChar w:fldCharType="begin"/>
            </w:r>
            <w:r w:rsidR="00252A32">
              <w:rPr>
                <w:noProof/>
                <w:webHidden/>
              </w:rPr>
              <w:instrText xml:space="preserve"> PAGEREF _Toc34586694 \h </w:instrText>
            </w:r>
            <w:r w:rsidR="00252A32">
              <w:rPr>
                <w:noProof/>
                <w:webHidden/>
              </w:rPr>
            </w:r>
            <w:r w:rsidR="00252A32">
              <w:rPr>
                <w:noProof/>
                <w:webHidden/>
              </w:rPr>
              <w:fldChar w:fldCharType="separate"/>
            </w:r>
            <w:r w:rsidR="00252A32">
              <w:rPr>
                <w:noProof/>
                <w:webHidden/>
              </w:rPr>
              <w:t>25</w:t>
            </w:r>
            <w:r w:rsidR="00252A32">
              <w:rPr>
                <w:noProof/>
                <w:webHidden/>
              </w:rPr>
              <w:fldChar w:fldCharType="end"/>
            </w:r>
          </w:hyperlink>
        </w:p>
        <w:p w14:paraId="081EF6A7" w14:textId="1F251428" w:rsidR="00252A32" w:rsidRDefault="00095307">
          <w:pPr>
            <w:pStyle w:val="TOC3"/>
            <w:tabs>
              <w:tab w:val="right" w:leader="dot" w:pos="9514"/>
            </w:tabs>
            <w:rPr>
              <w:rFonts w:eastAsiaTheme="minorEastAsia" w:cstheme="minorBidi"/>
              <w:noProof/>
              <w:szCs w:val="22"/>
              <w:lang w:val="en-NZ" w:eastAsia="en-NZ"/>
            </w:rPr>
          </w:pPr>
          <w:hyperlink w:anchor="_Toc34586695" w:history="1">
            <w:r w:rsidR="00252A32" w:rsidRPr="00736EAC">
              <w:rPr>
                <w:rStyle w:val="Hyperlink"/>
                <w:noProof/>
              </w:rPr>
              <w:t>3.9.2 The Canterbury Method (CM1)</w:t>
            </w:r>
            <w:r w:rsidR="00252A32">
              <w:rPr>
                <w:noProof/>
                <w:webHidden/>
              </w:rPr>
              <w:tab/>
            </w:r>
            <w:r w:rsidR="00252A32">
              <w:rPr>
                <w:noProof/>
                <w:webHidden/>
              </w:rPr>
              <w:fldChar w:fldCharType="begin"/>
            </w:r>
            <w:r w:rsidR="00252A32">
              <w:rPr>
                <w:noProof/>
                <w:webHidden/>
              </w:rPr>
              <w:instrText xml:space="preserve"> PAGEREF _Toc34586695 \h </w:instrText>
            </w:r>
            <w:r w:rsidR="00252A32">
              <w:rPr>
                <w:noProof/>
                <w:webHidden/>
              </w:rPr>
            </w:r>
            <w:r w:rsidR="00252A32">
              <w:rPr>
                <w:noProof/>
                <w:webHidden/>
              </w:rPr>
              <w:fldChar w:fldCharType="separate"/>
            </w:r>
            <w:r w:rsidR="00252A32">
              <w:rPr>
                <w:noProof/>
                <w:webHidden/>
              </w:rPr>
              <w:t>25</w:t>
            </w:r>
            <w:r w:rsidR="00252A32">
              <w:rPr>
                <w:noProof/>
                <w:webHidden/>
              </w:rPr>
              <w:fldChar w:fldCharType="end"/>
            </w:r>
          </w:hyperlink>
        </w:p>
        <w:p w14:paraId="26E91AD8" w14:textId="2DC99807" w:rsidR="00252A32" w:rsidRDefault="00095307">
          <w:pPr>
            <w:pStyle w:val="TOC3"/>
            <w:tabs>
              <w:tab w:val="right" w:leader="dot" w:pos="9514"/>
            </w:tabs>
            <w:rPr>
              <w:rFonts w:eastAsiaTheme="minorEastAsia" w:cstheme="minorBidi"/>
              <w:noProof/>
              <w:szCs w:val="22"/>
              <w:lang w:val="en-NZ" w:eastAsia="en-NZ"/>
            </w:rPr>
          </w:pPr>
          <w:hyperlink w:anchor="_Toc34586696" w:history="1">
            <w:r w:rsidR="00252A32" w:rsidRPr="00736EAC">
              <w:rPr>
                <w:rStyle w:val="Hyperlink"/>
                <w:noProof/>
              </w:rPr>
              <w:t>3.9.3 International – Laboratory Test Methods</w:t>
            </w:r>
            <w:r w:rsidR="00252A32">
              <w:rPr>
                <w:noProof/>
                <w:webHidden/>
              </w:rPr>
              <w:tab/>
            </w:r>
            <w:r w:rsidR="00252A32">
              <w:rPr>
                <w:noProof/>
                <w:webHidden/>
              </w:rPr>
              <w:fldChar w:fldCharType="begin"/>
            </w:r>
            <w:r w:rsidR="00252A32">
              <w:rPr>
                <w:noProof/>
                <w:webHidden/>
              </w:rPr>
              <w:instrText xml:space="preserve"> PAGEREF _Toc34586696 \h </w:instrText>
            </w:r>
            <w:r w:rsidR="00252A32">
              <w:rPr>
                <w:noProof/>
                <w:webHidden/>
              </w:rPr>
            </w:r>
            <w:r w:rsidR="00252A32">
              <w:rPr>
                <w:noProof/>
                <w:webHidden/>
              </w:rPr>
              <w:fldChar w:fldCharType="separate"/>
            </w:r>
            <w:r w:rsidR="00252A32">
              <w:rPr>
                <w:noProof/>
                <w:webHidden/>
              </w:rPr>
              <w:t>28</w:t>
            </w:r>
            <w:r w:rsidR="00252A32">
              <w:rPr>
                <w:noProof/>
                <w:webHidden/>
              </w:rPr>
              <w:fldChar w:fldCharType="end"/>
            </w:r>
          </w:hyperlink>
        </w:p>
        <w:p w14:paraId="57B79075" w14:textId="282C71C9" w:rsidR="00252A32" w:rsidRDefault="00095307">
          <w:pPr>
            <w:pStyle w:val="TOC3"/>
            <w:tabs>
              <w:tab w:val="right" w:leader="dot" w:pos="9514"/>
            </w:tabs>
            <w:rPr>
              <w:rFonts w:eastAsiaTheme="minorEastAsia" w:cstheme="minorBidi"/>
              <w:noProof/>
              <w:szCs w:val="22"/>
              <w:lang w:val="en-NZ" w:eastAsia="en-NZ"/>
            </w:rPr>
          </w:pPr>
          <w:hyperlink w:anchor="_Toc34586697" w:history="1">
            <w:r w:rsidR="00252A32" w:rsidRPr="00736EAC">
              <w:rPr>
                <w:rStyle w:val="Hyperlink"/>
                <w:noProof/>
              </w:rPr>
              <w:t>3.9.4 International – Real Life Test Methods</w:t>
            </w:r>
            <w:r w:rsidR="00252A32">
              <w:rPr>
                <w:noProof/>
                <w:webHidden/>
              </w:rPr>
              <w:tab/>
            </w:r>
            <w:r w:rsidR="00252A32">
              <w:rPr>
                <w:noProof/>
                <w:webHidden/>
              </w:rPr>
              <w:fldChar w:fldCharType="begin"/>
            </w:r>
            <w:r w:rsidR="00252A32">
              <w:rPr>
                <w:noProof/>
                <w:webHidden/>
              </w:rPr>
              <w:instrText xml:space="preserve"> PAGEREF _Toc34586697 \h </w:instrText>
            </w:r>
            <w:r w:rsidR="00252A32">
              <w:rPr>
                <w:noProof/>
                <w:webHidden/>
              </w:rPr>
            </w:r>
            <w:r w:rsidR="00252A32">
              <w:rPr>
                <w:noProof/>
                <w:webHidden/>
              </w:rPr>
              <w:fldChar w:fldCharType="separate"/>
            </w:r>
            <w:r w:rsidR="00252A32">
              <w:rPr>
                <w:noProof/>
                <w:webHidden/>
              </w:rPr>
              <w:t>28</w:t>
            </w:r>
            <w:r w:rsidR="00252A32">
              <w:rPr>
                <w:noProof/>
                <w:webHidden/>
              </w:rPr>
              <w:fldChar w:fldCharType="end"/>
            </w:r>
          </w:hyperlink>
        </w:p>
        <w:p w14:paraId="382DB6FD" w14:textId="3B840F5E" w:rsidR="00252A32" w:rsidRDefault="00095307">
          <w:pPr>
            <w:pStyle w:val="TOC2"/>
            <w:tabs>
              <w:tab w:val="left" w:pos="880"/>
              <w:tab w:val="right" w:leader="dot" w:pos="9514"/>
            </w:tabs>
            <w:rPr>
              <w:rFonts w:eastAsiaTheme="minorEastAsia" w:cstheme="minorBidi"/>
              <w:noProof/>
              <w:szCs w:val="22"/>
              <w:lang w:val="en-NZ" w:eastAsia="en-NZ"/>
            </w:rPr>
          </w:pPr>
          <w:hyperlink w:anchor="_Toc34586698" w:history="1">
            <w:r w:rsidR="00252A32" w:rsidRPr="00736EAC">
              <w:rPr>
                <w:rStyle w:val="Hyperlink"/>
                <w:noProof/>
              </w:rPr>
              <w:t>3.10</w:t>
            </w:r>
            <w:r w:rsidR="00252A32">
              <w:rPr>
                <w:rFonts w:eastAsiaTheme="minorEastAsia" w:cstheme="minorBidi"/>
                <w:noProof/>
                <w:szCs w:val="22"/>
                <w:lang w:val="en-NZ" w:eastAsia="en-NZ"/>
              </w:rPr>
              <w:tab/>
            </w:r>
            <w:r w:rsidR="00252A32" w:rsidRPr="00736EAC">
              <w:rPr>
                <w:rStyle w:val="Hyperlink"/>
                <w:noProof/>
              </w:rPr>
              <w:t>Commentary on real life emissions from solid fuel burners vs their laboratory test results and trends over time</w:t>
            </w:r>
            <w:r w:rsidR="00252A32">
              <w:rPr>
                <w:noProof/>
                <w:webHidden/>
              </w:rPr>
              <w:tab/>
            </w:r>
            <w:r w:rsidR="00252A32">
              <w:rPr>
                <w:noProof/>
                <w:webHidden/>
              </w:rPr>
              <w:fldChar w:fldCharType="begin"/>
            </w:r>
            <w:r w:rsidR="00252A32">
              <w:rPr>
                <w:noProof/>
                <w:webHidden/>
              </w:rPr>
              <w:instrText xml:space="preserve"> PAGEREF _Toc34586698 \h </w:instrText>
            </w:r>
            <w:r w:rsidR="00252A32">
              <w:rPr>
                <w:noProof/>
                <w:webHidden/>
              </w:rPr>
            </w:r>
            <w:r w:rsidR="00252A32">
              <w:rPr>
                <w:noProof/>
                <w:webHidden/>
              </w:rPr>
              <w:fldChar w:fldCharType="separate"/>
            </w:r>
            <w:r w:rsidR="00252A32">
              <w:rPr>
                <w:noProof/>
                <w:webHidden/>
              </w:rPr>
              <w:t>29</w:t>
            </w:r>
            <w:r w:rsidR="00252A32">
              <w:rPr>
                <w:noProof/>
                <w:webHidden/>
              </w:rPr>
              <w:fldChar w:fldCharType="end"/>
            </w:r>
          </w:hyperlink>
        </w:p>
        <w:p w14:paraId="4CD1E39F" w14:textId="0E16DE49" w:rsidR="00252A32" w:rsidRDefault="00095307">
          <w:pPr>
            <w:pStyle w:val="TOC2"/>
            <w:tabs>
              <w:tab w:val="left" w:pos="880"/>
              <w:tab w:val="right" w:leader="dot" w:pos="9514"/>
            </w:tabs>
            <w:rPr>
              <w:rFonts w:eastAsiaTheme="minorEastAsia" w:cstheme="minorBidi"/>
              <w:noProof/>
              <w:szCs w:val="22"/>
              <w:lang w:val="en-NZ" w:eastAsia="en-NZ"/>
            </w:rPr>
          </w:pPr>
          <w:hyperlink w:anchor="_Toc34586699" w:history="1">
            <w:r w:rsidR="00252A32" w:rsidRPr="00736EAC">
              <w:rPr>
                <w:rStyle w:val="Hyperlink"/>
                <w:noProof/>
              </w:rPr>
              <w:t>3.11</w:t>
            </w:r>
            <w:r w:rsidR="00252A32">
              <w:rPr>
                <w:rFonts w:eastAsiaTheme="minorEastAsia" w:cstheme="minorBidi"/>
                <w:noProof/>
                <w:szCs w:val="22"/>
                <w:lang w:val="en-NZ" w:eastAsia="en-NZ"/>
              </w:rPr>
              <w:tab/>
            </w:r>
            <w:r w:rsidR="00252A32" w:rsidRPr="00736EAC">
              <w:rPr>
                <w:rStyle w:val="Hyperlink"/>
                <w:noProof/>
              </w:rPr>
              <w:t>The appropriateness and workability of allowing secondary emissions reduction devices  through the NES.</w:t>
            </w:r>
            <w:r w:rsidR="00252A32">
              <w:rPr>
                <w:noProof/>
                <w:webHidden/>
              </w:rPr>
              <w:tab/>
            </w:r>
            <w:r w:rsidR="00252A32">
              <w:rPr>
                <w:noProof/>
                <w:webHidden/>
              </w:rPr>
              <w:fldChar w:fldCharType="begin"/>
            </w:r>
            <w:r w:rsidR="00252A32">
              <w:rPr>
                <w:noProof/>
                <w:webHidden/>
              </w:rPr>
              <w:instrText xml:space="preserve"> PAGEREF _Toc34586699 \h </w:instrText>
            </w:r>
            <w:r w:rsidR="00252A32">
              <w:rPr>
                <w:noProof/>
                <w:webHidden/>
              </w:rPr>
            </w:r>
            <w:r w:rsidR="00252A32">
              <w:rPr>
                <w:noProof/>
                <w:webHidden/>
              </w:rPr>
              <w:fldChar w:fldCharType="separate"/>
            </w:r>
            <w:r w:rsidR="00252A32">
              <w:rPr>
                <w:noProof/>
                <w:webHidden/>
              </w:rPr>
              <w:t>30</w:t>
            </w:r>
            <w:r w:rsidR="00252A32">
              <w:rPr>
                <w:noProof/>
                <w:webHidden/>
              </w:rPr>
              <w:fldChar w:fldCharType="end"/>
            </w:r>
          </w:hyperlink>
        </w:p>
        <w:p w14:paraId="2B163131" w14:textId="32BA694F" w:rsidR="00252A32" w:rsidRDefault="00095307">
          <w:pPr>
            <w:pStyle w:val="TOC2"/>
            <w:tabs>
              <w:tab w:val="left" w:pos="880"/>
              <w:tab w:val="right" w:leader="dot" w:pos="9514"/>
            </w:tabs>
            <w:rPr>
              <w:rFonts w:eastAsiaTheme="minorEastAsia" w:cstheme="minorBidi"/>
              <w:noProof/>
              <w:szCs w:val="22"/>
              <w:lang w:val="en-NZ" w:eastAsia="en-NZ"/>
            </w:rPr>
          </w:pPr>
          <w:hyperlink w:anchor="_Toc34586700" w:history="1">
            <w:r w:rsidR="00252A32" w:rsidRPr="00736EAC">
              <w:rPr>
                <w:rStyle w:val="Hyperlink"/>
                <w:noProof/>
              </w:rPr>
              <w:t>3.12</w:t>
            </w:r>
            <w:r w:rsidR="00252A32">
              <w:rPr>
                <w:rFonts w:eastAsiaTheme="minorEastAsia" w:cstheme="minorBidi"/>
                <w:noProof/>
                <w:szCs w:val="22"/>
                <w:lang w:val="en-NZ" w:eastAsia="en-NZ"/>
              </w:rPr>
              <w:tab/>
            </w:r>
            <w:r w:rsidR="00252A32" w:rsidRPr="00736EAC">
              <w:rPr>
                <w:rStyle w:val="Hyperlink"/>
                <w:noProof/>
              </w:rPr>
              <w:t>The use of air circulation fans to lift efficiency to the NESAQ standard and issues associated with these fans.</w:t>
            </w:r>
            <w:r w:rsidR="00252A32">
              <w:rPr>
                <w:noProof/>
                <w:webHidden/>
              </w:rPr>
              <w:tab/>
            </w:r>
            <w:r w:rsidR="00252A32">
              <w:rPr>
                <w:noProof/>
                <w:webHidden/>
              </w:rPr>
              <w:fldChar w:fldCharType="begin"/>
            </w:r>
            <w:r w:rsidR="00252A32">
              <w:rPr>
                <w:noProof/>
                <w:webHidden/>
              </w:rPr>
              <w:instrText xml:space="preserve"> PAGEREF _Toc34586700 \h </w:instrText>
            </w:r>
            <w:r w:rsidR="00252A32">
              <w:rPr>
                <w:noProof/>
                <w:webHidden/>
              </w:rPr>
            </w:r>
            <w:r w:rsidR="00252A32">
              <w:rPr>
                <w:noProof/>
                <w:webHidden/>
              </w:rPr>
              <w:fldChar w:fldCharType="separate"/>
            </w:r>
            <w:r w:rsidR="00252A32">
              <w:rPr>
                <w:noProof/>
                <w:webHidden/>
              </w:rPr>
              <w:t>32</w:t>
            </w:r>
            <w:r w:rsidR="00252A32">
              <w:rPr>
                <w:noProof/>
                <w:webHidden/>
              </w:rPr>
              <w:fldChar w:fldCharType="end"/>
            </w:r>
          </w:hyperlink>
        </w:p>
        <w:p w14:paraId="0D69E3E5" w14:textId="3EA673E5" w:rsidR="00252A32" w:rsidRDefault="00095307">
          <w:pPr>
            <w:pStyle w:val="TOC2"/>
            <w:tabs>
              <w:tab w:val="left" w:pos="880"/>
              <w:tab w:val="right" w:leader="dot" w:pos="9514"/>
            </w:tabs>
            <w:rPr>
              <w:rFonts w:eastAsiaTheme="minorEastAsia" w:cstheme="minorBidi"/>
              <w:noProof/>
              <w:szCs w:val="22"/>
              <w:lang w:val="en-NZ" w:eastAsia="en-NZ"/>
            </w:rPr>
          </w:pPr>
          <w:hyperlink w:anchor="_Toc34586701" w:history="1">
            <w:r w:rsidR="00252A32" w:rsidRPr="00736EAC">
              <w:rPr>
                <w:rStyle w:val="Hyperlink"/>
                <w:noProof/>
              </w:rPr>
              <w:t>3.13</w:t>
            </w:r>
            <w:r w:rsidR="00252A32">
              <w:rPr>
                <w:rFonts w:eastAsiaTheme="minorEastAsia" w:cstheme="minorBidi"/>
                <w:noProof/>
                <w:szCs w:val="22"/>
                <w:lang w:val="en-NZ" w:eastAsia="en-NZ"/>
              </w:rPr>
              <w:tab/>
            </w:r>
            <w:r w:rsidR="00252A32" w:rsidRPr="00736EAC">
              <w:rPr>
                <w:rStyle w:val="Hyperlink"/>
                <w:noProof/>
              </w:rPr>
              <w:t>Solid fuel burner sales and price trends</w:t>
            </w:r>
            <w:r w:rsidR="00252A32">
              <w:rPr>
                <w:noProof/>
                <w:webHidden/>
              </w:rPr>
              <w:tab/>
            </w:r>
            <w:r w:rsidR="00252A32">
              <w:rPr>
                <w:noProof/>
                <w:webHidden/>
              </w:rPr>
              <w:fldChar w:fldCharType="begin"/>
            </w:r>
            <w:r w:rsidR="00252A32">
              <w:rPr>
                <w:noProof/>
                <w:webHidden/>
              </w:rPr>
              <w:instrText xml:space="preserve"> PAGEREF _Toc34586701 \h </w:instrText>
            </w:r>
            <w:r w:rsidR="00252A32">
              <w:rPr>
                <w:noProof/>
                <w:webHidden/>
              </w:rPr>
            </w:r>
            <w:r w:rsidR="00252A32">
              <w:rPr>
                <w:noProof/>
                <w:webHidden/>
              </w:rPr>
              <w:fldChar w:fldCharType="separate"/>
            </w:r>
            <w:r w:rsidR="00252A32">
              <w:rPr>
                <w:noProof/>
                <w:webHidden/>
              </w:rPr>
              <w:t>33</w:t>
            </w:r>
            <w:r w:rsidR="00252A32">
              <w:rPr>
                <w:noProof/>
                <w:webHidden/>
              </w:rPr>
              <w:fldChar w:fldCharType="end"/>
            </w:r>
          </w:hyperlink>
        </w:p>
        <w:p w14:paraId="3258796C" w14:textId="4CCE4ADD" w:rsidR="00252A32" w:rsidRDefault="00095307">
          <w:pPr>
            <w:pStyle w:val="TOC1"/>
            <w:rPr>
              <w:rFonts w:eastAsiaTheme="minorEastAsia" w:cstheme="minorBidi"/>
              <w:noProof/>
              <w:szCs w:val="22"/>
              <w:lang w:val="en-NZ" w:eastAsia="en-NZ"/>
            </w:rPr>
          </w:pPr>
          <w:hyperlink w:anchor="_Toc34586702" w:history="1">
            <w:r w:rsidR="00252A32" w:rsidRPr="00736EAC">
              <w:rPr>
                <w:rStyle w:val="Hyperlink"/>
                <w:noProof/>
              </w:rPr>
              <w:t>4.</w:t>
            </w:r>
            <w:r w:rsidR="00252A32">
              <w:rPr>
                <w:rFonts w:eastAsiaTheme="minorEastAsia" w:cstheme="minorBidi"/>
                <w:noProof/>
                <w:szCs w:val="22"/>
                <w:lang w:val="en-NZ" w:eastAsia="en-NZ"/>
              </w:rPr>
              <w:tab/>
            </w:r>
            <w:r w:rsidR="00252A32" w:rsidRPr="00736EAC">
              <w:rPr>
                <w:rStyle w:val="Hyperlink"/>
                <w:noProof/>
              </w:rPr>
              <w:t>Other Issues Arising</w:t>
            </w:r>
            <w:r w:rsidR="00252A32">
              <w:rPr>
                <w:noProof/>
                <w:webHidden/>
              </w:rPr>
              <w:tab/>
            </w:r>
            <w:r w:rsidR="00252A32">
              <w:rPr>
                <w:noProof/>
                <w:webHidden/>
              </w:rPr>
              <w:fldChar w:fldCharType="begin"/>
            </w:r>
            <w:r w:rsidR="00252A32">
              <w:rPr>
                <w:noProof/>
                <w:webHidden/>
              </w:rPr>
              <w:instrText xml:space="preserve"> PAGEREF _Toc34586702 \h </w:instrText>
            </w:r>
            <w:r w:rsidR="00252A32">
              <w:rPr>
                <w:noProof/>
                <w:webHidden/>
              </w:rPr>
            </w:r>
            <w:r w:rsidR="00252A32">
              <w:rPr>
                <w:noProof/>
                <w:webHidden/>
              </w:rPr>
              <w:fldChar w:fldCharType="separate"/>
            </w:r>
            <w:r w:rsidR="00252A32">
              <w:rPr>
                <w:noProof/>
                <w:webHidden/>
              </w:rPr>
              <w:t>35</w:t>
            </w:r>
            <w:r w:rsidR="00252A32">
              <w:rPr>
                <w:noProof/>
                <w:webHidden/>
              </w:rPr>
              <w:fldChar w:fldCharType="end"/>
            </w:r>
          </w:hyperlink>
        </w:p>
        <w:p w14:paraId="0736E4AD" w14:textId="3CF00146" w:rsidR="00252A32" w:rsidRDefault="00095307">
          <w:pPr>
            <w:pStyle w:val="TOC1"/>
            <w:rPr>
              <w:rFonts w:eastAsiaTheme="minorEastAsia" w:cstheme="minorBidi"/>
              <w:noProof/>
              <w:szCs w:val="22"/>
              <w:lang w:val="en-NZ" w:eastAsia="en-NZ"/>
            </w:rPr>
          </w:pPr>
          <w:hyperlink w:anchor="_Toc34586703" w:history="1">
            <w:r w:rsidR="00252A32" w:rsidRPr="00736EAC">
              <w:rPr>
                <w:rStyle w:val="Hyperlink"/>
                <w:noProof/>
              </w:rPr>
              <w:t>5.</w:t>
            </w:r>
            <w:r w:rsidR="00252A32">
              <w:rPr>
                <w:rFonts w:eastAsiaTheme="minorEastAsia" w:cstheme="minorBidi"/>
                <w:noProof/>
                <w:szCs w:val="22"/>
                <w:lang w:val="en-NZ" w:eastAsia="en-NZ"/>
              </w:rPr>
              <w:tab/>
            </w:r>
            <w:r w:rsidR="00252A32" w:rsidRPr="00736EAC">
              <w:rPr>
                <w:rStyle w:val="Hyperlink"/>
                <w:noProof/>
              </w:rPr>
              <w:t>References</w:t>
            </w:r>
            <w:r w:rsidR="00252A32">
              <w:rPr>
                <w:noProof/>
                <w:webHidden/>
              </w:rPr>
              <w:tab/>
            </w:r>
            <w:r w:rsidR="00252A32">
              <w:rPr>
                <w:noProof/>
                <w:webHidden/>
              </w:rPr>
              <w:fldChar w:fldCharType="begin"/>
            </w:r>
            <w:r w:rsidR="00252A32">
              <w:rPr>
                <w:noProof/>
                <w:webHidden/>
              </w:rPr>
              <w:instrText xml:space="preserve"> PAGEREF _Toc34586703 \h </w:instrText>
            </w:r>
            <w:r w:rsidR="00252A32">
              <w:rPr>
                <w:noProof/>
                <w:webHidden/>
              </w:rPr>
            </w:r>
            <w:r w:rsidR="00252A32">
              <w:rPr>
                <w:noProof/>
                <w:webHidden/>
              </w:rPr>
              <w:fldChar w:fldCharType="separate"/>
            </w:r>
            <w:r w:rsidR="00252A32">
              <w:rPr>
                <w:noProof/>
                <w:webHidden/>
              </w:rPr>
              <w:t>36</w:t>
            </w:r>
            <w:r w:rsidR="00252A32">
              <w:rPr>
                <w:noProof/>
                <w:webHidden/>
              </w:rPr>
              <w:fldChar w:fldCharType="end"/>
            </w:r>
          </w:hyperlink>
        </w:p>
        <w:p w14:paraId="5FEF7C6A" w14:textId="2D3EF7FF" w:rsidR="00252A32" w:rsidRDefault="00095307">
          <w:pPr>
            <w:pStyle w:val="TOC1"/>
            <w:rPr>
              <w:rFonts w:eastAsiaTheme="minorEastAsia" w:cstheme="minorBidi"/>
              <w:noProof/>
              <w:szCs w:val="22"/>
              <w:lang w:val="en-NZ" w:eastAsia="en-NZ"/>
            </w:rPr>
          </w:pPr>
          <w:hyperlink w:anchor="_Toc34586704" w:history="1">
            <w:r w:rsidR="00252A32" w:rsidRPr="00736EAC">
              <w:rPr>
                <w:rStyle w:val="Hyperlink"/>
                <w:noProof/>
              </w:rPr>
              <w:t>6.</w:t>
            </w:r>
            <w:r w:rsidR="00252A32">
              <w:rPr>
                <w:rFonts w:eastAsiaTheme="minorEastAsia" w:cstheme="minorBidi"/>
                <w:noProof/>
                <w:szCs w:val="22"/>
                <w:lang w:val="en-NZ" w:eastAsia="en-NZ"/>
              </w:rPr>
              <w:tab/>
            </w:r>
            <w:r w:rsidR="00252A32" w:rsidRPr="00736EAC">
              <w:rPr>
                <w:rStyle w:val="Hyperlink"/>
                <w:noProof/>
              </w:rPr>
              <w:t>Glossary</w:t>
            </w:r>
            <w:r w:rsidR="00252A32">
              <w:rPr>
                <w:noProof/>
                <w:webHidden/>
              </w:rPr>
              <w:tab/>
            </w:r>
            <w:r w:rsidR="00252A32">
              <w:rPr>
                <w:noProof/>
                <w:webHidden/>
              </w:rPr>
              <w:fldChar w:fldCharType="begin"/>
            </w:r>
            <w:r w:rsidR="00252A32">
              <w:rPr>
                <w:noProof/>
                <w:webHidden/>
              </w:rPr>
              <w:instrText xml:space="preserve"> PAGEREF _Toc34586704 \h </w:instrText>
            </w:r>
            <w:r w:rsidR="00252A32">
              <w:rPr>
                <w:noProof/>
                <w:webHidden/>
              </w:rPr>
            </w:r>
            <w:r w:rsidR="00252A32">
              <w:rPr>
                <w:noProof/>
                <w:webHidden/>
              </w:rPr>
              <w:fldChar w:fldCharType="separate"/>
            </w:r>
            <w:r w:rsidR="00252A32">
              <w:rPr>
                <w:noProof/>
                <w:webHidden/>
              </w:rPr>
              <w:t>37</w:t>
            </w:r>
            <w:r w:rsidR="00252A32">
              <w:rPr>
                <w:noProof/>
                <w:webHidden/>
              </w:rPr>
              <w:fldChar w:fldCharType="end"/>
            </w:r>
          </w:hyperlink>
        </w:p>
        <w:p w14:paraId="0184D7DC" w14:textId="0EF06E5F" w:rsidR="00252A32" w:rsidRDefault="00095307">
          <w:pPr>
            <w:pStyle w:val="TOC1"/>
            <w:rPr>
              <w:rFonts w:eastAsiaTheme="minorEastAsia" w:cstheme="minorBidi"/>
              <w:noProof/>
              <w:szCs w:val="22"/>
              <w:lang w:val="en-NZ" w:eastAsia="en-NZ"/>
            </w:rPr>
          </w:pPr>
          <w:hyperlink w:anchor="_Toc34586705" w:history="1">
            <w:r w:rsidR="00252A32" w:rsidRPr="00736EAC">
              <w:rPr>
                <w:rStyle w:val="Hyperlink"/>
                <w:noProof/>
              </w:rPr>
              <w:t>7.</w:t>
            </w:r>
            <w:r w:rsidR="00252A32">
              <w:rPr>
                <w:rFonts w:eastAsiaTheme="minorEastAsia" w:cstheme="minorBidi"/>
                <w:noProof/>
                <w:szCs w:val="22"/>
                <w:lang w:val="en-NZ" w:eastAsia="en-NZ"/>
              </w:rPr>
              <w:tab/>
            </w:r>
            <w:r w:rsidR="00252A32" w:rsidRPr="00736EAC">
              <w:rPr>
                <w:rStyle w:val="Hyperlink"/>
                <w:noProof/>
              </w:rPr>
              <w:t>List of NZ and International Standards</w:t>
            </w:r>
            <w:r w:rsidR="00252A32">
              <w:rPr>
                <w:noProof/>
                <w:webHidden/>
              </w:rPr>
              <w:tab/>
            </w:r>
            <w:r w:rsidR="00252A32">
              <w:rPr>
                <w:noProof/>
                <w:webHidden/>
              </w:rPr>
              <w:fldChar w:fldCharType="begin"/>
            </w:r>
            <w:r w:rsidR="00252A32">
              <w:rPr>
                <w:noProof/>
                <w:webHidden/>
              </w:rPr>
              <w:instrText xml:space="preserve"> PAGEREF _Toc34586705 \h </w:instrText>
            </w:r>
            <w:r w:rsidR="00252A32">
              <w:rPr>
                <w:noProof/>
                <w:webHidden/>
              </w:rPr>
            </w:r>
            <w:r w:rsidR="00252A32">
              <w:rPr>
                <w:noProof/>
                <w:webHidden/>
              </w:rPr>
              <w:fldChar w:fldCharType="separate"/>
            </w:r>
            <w:r w:rsidR="00252A32">
              <w:rPr>
                <w:noProof/>
                <w:webHidden/>
              </w:rPr>
              <w:t>38</w:t>
            </w:r>
            <w:r w:rsidR="00252A32">
              <w:rPr>
                <w:noProof/>
                <w:webHidden/>
              </w:rPr>
              <w:fldChar w:fldCharType="end"/>
            </w:r>
          </w:hyperlink>
        </w:p>
        <w:p w14:paraId="6059D53B" w14:textId="000FB89C" w:rsidR="00252A32" w:rsidRDefault="00095307">
          <w:pPr>
            <w:pStyle w:val="TOC1"/>
            <w:rPr>
              <w:rFonts w:eastAsiaTheme="minorEastAsia" w:cstheme="minorBidi"/>
              <w:noProof/>
              <w:szCs w:val="22"/>
              <w:lang w:val="en-NZ" w:eastAsia="en-NZ"/>
            </w:rPr>
          </w:pPr>
          <w:hyperlink w:anchor="_Toc34586706" w:history="1">
            <w:r w:rsidR="00252A32" w:rsidRPr="00736EAC">
              <w:rPr>
                <w:rStyle w:val="Hyperlink"/>
                <w:rFonts w:cstheme="minorHAnsi"/>
                <w:b/>
                <w:noProof/>
              </w:rPr>
              <w:t>Appendix 1 – Relationship between emissions g/kg, emissions mg/MJ and efficiency</w:t>
            </w:r>
            <w:r w:rsidR="00252A32">
              <w:rPr>
                <w:noProof/>
                <w:webHidden/>
              </w:rPr>
              <w:tab/>
            </w:r>
            <w:r w:rsidR="00252A32">
              <w:rPr>
                <w:noProof/>
                <w:webHidden/>
              </w:rPr>
              <w:fldChar w:fldCharType="begin"/>
            </w:r>
            <w:r w:rsidR="00252A32">
              <w:rPr>
                <w:noProof/>
                <w:webHidden/>
              </w:rPr>
              <w:instrText xml:space="preserve"> PAGEREF _Toc34586706 \h </w:instrText>
            </w:r>
            <w:r w:rsidR="00252A32">
              <w:rPr>
                <w:noProof/>
                <w:webHidden/>
              </w:rPr>
            </w:r>
            <w:r w:rsidR="00252A32">
              <w:rPr>
                <w:noProof/>
                <w:webHidden/>
              </w:rPr>
              <w:fldChar w:fldCharType="separate"/>
            </w:r>
            <w:r w:rsidR="00252A32">
              <w:rPr>
                <w:noProof/>
                <w:webHidden/>
              </w:rPr>
              <w:t>39</w:t>
            </w:r>
            <w:r w:rsidR="00252A32">
              <w:rPr>
                <w:noProof/>
                <w:webHidden/>
              </w:rPr>
              <w:fldChar w:fldCharType="end"/>
            </w:r>
          </w:hyperlink>
        </w:p>
        <w:p w14:paraId="71562F1E" w14:textId="034B2AA6" w:rsidR="00252A32" w:rsidRDefault="00095307">
          <w:pPr>
            <w:pStyle w:val="TOC1"/>
            <w:rPr>
              <w:rFonts w:eastAsiaTheme="minorEastAsia" w:cstheme="minorBidi"/>
              <w:noProof/>
              <w:szCs w:val="22"/>
              <w:lang w:val="en-NZ" w:eastAsia="en-NZ"/>
            </w:rPr>
          </w:pPr>
          <w:hyperlink w:anchor="_Toc34586707" w:history="1">
            <w:r w:rsidR="00252A32" w:rsidRPr="00736EAC">
              <w:rPr>
                <w:rStyle w:val="Hyperlink"/>
                <w:rFonts w:cstheme="minorHAnsi"/>
                <w:b/>
                <w:noProof/>
              </w:rPr>
              <w:t>Appendix 2 – Emissions and Efficiency of Currently Authorised Woodburners and Pellet Fires</w:t>
            </w:r>
            <w:r w:rsidR="00252A32">
              <w:rPr>
                <w:noProof/>
                <w:webHidden/>
              </w:rPr>
              <w:tab/>
            </w:r>
            <w:r w:rsidR="00252A32">
              <w:rPr>
                <w:noProof/>
                <w:webHidden/>
              </w:rPr>
              <w:fldChar w:fldCharType="begin"/>
            </w:r>
            <w:r w:rsidR="00252A32">
              <w:rPr>
                <w:noProof/>
                <w:webHidden/>
              </w:rPr>
              <w:instrText xml:space="preserve"> PAGEREF _Toc34586707 \h </w:instrText>
            </w:r>
            <w:r w:rsidR="00252A32">
              <w:rPr>
                <w:noProof/>
                <w:webHidden/>
              </w:rPr>
            </w:r>
            <w:r w:rsidR="00252A32">
              <w:rPr>
                <w:noProof/>
                <w:webHidden/>
              </w:rPr>
              <w:fldChar w:fldCharType="separate"/>
            </w:r>
            <w:r w:rsidR="00252A32">
              <w:rPr>
                <w:noProof/>
                <w:webHidden/>
              </w:rPr>
              <w:t>40</w:t>
            </w:r>
            <w:r w:rsidR="00252A32">
              <w:rPr>
                <w:noProof/>
                <w:webHidden/>
              </w:rPr>
              <w:fldChar w:fldCharType="end"/>
            </w:r>
          </w:hyperlink>
        </w:p>
        <w:p w14:paraId="125A92C7" w14:textId="6164132D" w:rsidR="00252A32" w:rsidRDefault="00095307">
          <w:pPr>
            <w:pStyle w:val="TOC1"/>
            <w:rPr>
              <w:rFonts w:eastAsiaTheme="minorEastAsia" w:cstheme="minorBidi"/>
              <w:noProof/>
              <w:szCs w:val="22"/>
              <w:lang w:val="en-NZ" w:eastAsia="en-NZ"/>
            </w:rPr>
          </w:pPr>
          <w:hyperlink w:anchor="_Toc34586708" w:history="1">
            <w:r w:rsidR="00252A32" w:rsidRPr="00736EAC">
              <w:rPr>
                <w:rStyle w:val="Hyperlink"/>
                <w:rFonts w:cstheme="minorHAnsi"/>
                <w:b/>
                <w:noProof/>
              </w:rPr>
              <w:t>Appendix 3 – Illustrations of Various Burner Types</w:t>
            </w:r>
            <w:r w:rsidR="00252A32">
              <w:rPr>
                <w:noProof/>
                <w:webHidden/>
              </w:rPr>
              <w:tab/>
            </w:r>
            <w:r w:rsidR="00252A32">
              <w:rPr>
                <w:noProof/>
                <w:webHidden/>
              </w:rPr>
              <w:fldChar w:fldCharType="begin"/>
            </w:r>
            <w:r w:rsidR="00252A32">
              <w:rPr>
                <w:noProof/>
                <w:webHidden/>
              </w:rPr>
              <w:instrText xml:space="preserve"> PAGEREF _Toc34586708 \h </w:instrText>
            </w:r>
            <w:r w:rsidR="00252A32">
              <w:rPr>
                <w:noProof/>
                <w:webHidden/>
              </w:rPr>
            </w:r>
            <w:r w:rsidR="00252A32">
              <w:rPr>
                <w:noProof/>
                <w:webHidden/>
              </w:rPr>
              <w:fldChar w:fldCharType="separate"/>
            </w:r>
            <w:r w:rsidR="00252A32">
              <w:rPr>
                <w:noProof/>
                <w:webHidden/>
              </w:rPr>
              <w:t>42</w:t>
            </w:r>
            <w:r w:rsidR="00252A32">
              <w:rPr>
                <w:noProof/>
                <w:webHidden/>
              </w:rPr>
              <w:fldChar w:fldCharType="end"/>
            </w:r>
          </w:hyperlink>
        </w:p>
        <w:p w14:paraId="30D96487" w14:textId="37BD9FF4" w:rsidR="00DA2050" w:rsidRDefault="00DA2050">
          <w:r>
            <w:rPr>
              <w:b/>
              <w:bCs/>
              <w:noProof/>
            </w:rPr>
            <w:fldChar w:fldCharType="end"/>
          </w:r>
        </w:p>
      </w:sdtContent>
    </w:sdt>
    <w:p w14:paraId="1537D373" w14:textId="77777777" w:rsidR="00FA625F" w:rsidRDefault="00FA625F" w:rsidP="008A2F3A">
      <w:pPr>
        <w:pStyle w:val="Heading1"/>
        <w:jc w:val="center"/>
        <w:rPr>
          <w:i w:val="0"/>
        </w:rPr>
      </w:pPr>
      <w:r>
        <w:br w:type="page"/>
      </w:r>
    </w:p>
    <w:p w14:paraId="1537D374" w14:textId="77777777" w:rsidR="00A03E49" w:rsidRDefault="00A03E49" w:rsidP="008E3B3A">
      <w:pPr>
        <w:pStyle w:val="Heading1"/>
        <w:numPr>
          <w:ilvl w:val="0"/>
          <w:numId w:val="3"/>
        </w:numPr>
        <w:ind w:hanging="720"/>
        <w:sectPr w:rsidR="00A03E49" w:rsidSect="00C24919">
          <w:headerReference w:type="even" r:id="rId11"/>
          <w:headerReference w:type="default" r:id="rId12"/>
          <w:footerReference w:type="default" r:id="rId13"/>
          <w:headerReference w:type="first" r:id="rId14"/>
          <w:pgSz w:w="11906" w:h="16838"/>
          <w:pgMar w:top="1191" w:right="1191" w:bottom="1191" w:left="1191" w:header="709" w:footer="709" w:gutter="0"/>
          <w:cols w:space="708"/>
          <w:docGrid w:linePitch="360"/>
        </w:sectPr>
      </w:pPr>
    </w:p>
    <w:p w14:paraId="1537D375" w14:textId="1BBEF97C" w:rsidR="00EF3E49" w:rsidRDefault="00EF3E49" w:rsidP="00F45F63">
      <w:pPr>
        <w:pStyle w:val="Heading1"/>
        <w:numPr>
          <w:ilvl w:val="0"/>
          <w:numId w:val="0"/>
        </w:numPr>
        <w:ind w:left="432" w:hanging="432"/>
      </w:pPr>
      <w:bookmarkStart w:id="1" w:name="_Toc34586673"/>
      <w:r>
        <w:lastRenderedPageBreak/>
        <w:t xml:space="preserve">Executive </w:t>
      </w:r>
      <w:r w:rsidRPr="00D47330">
        <w:t>Summary</w:t>
      </w:r>
      <w:bookmarkEnd w:id="1"/>
      <w:bookmarkEnd w:id="0"/>
    </w:p>
    <w:p w14:paraId="1537D376" w14:textId="77777777" w:rsidR="00C74235" w:rsidRDefault="00C74235" w:rsidP="00C74235">
      <w:pPr>
        <w:pStyle w:val="NoSpacing"/>
        <w:ind w:left="360"/>
      </w:pPr>
      <w:bookmarkStart w:id="2" w:name="_Toc337739540"/>
    </w:p>
    <w:p w14:paraId="6E5A5BC1" w14:textId="7154815C" w:rsidR="009E1FA0" w:rsidRDefault="00736377" w:rsidP="003E0E7B">
      <w:pPr>
        <w:pStyle w:val="NoSpacing"/>
        <w:jc w:val="both"/>
      </w:pPr>
      <w:r>
        <w:t xml:space="preserve">The </w:t>
      </w:r>
      <w:r w:rsidR="00F1705E">
        <w:t xml:space="preserve">Ministry for the Environment </w:t>
      </w:r>
      <w:r w:rsidR="00510531">
        <w:t xml:space="preserve">is currently </w:t>
      </w:r>
      <w:r w:rsidR="002038D0">
        <w:t>considering</w:t>
      </w:r>
      <w:r w:rsidR="007F5D5E">
        <w:t xml:space="preserve"> </w:t>
      </w:r>
      <w:r w:rsidR="002038D0">
        <w:t>proposed</w:t>
      </w:r>
      <w:r w:rsidR="007F5D5E">
        <w:t xml:space="preserve"> </w:t>
      </w:r>
      <w:r w:rsidR="002038D0">
        <w:t>amendments</w:t>
      </w:r>
      <w:r w:rsidR="007F5D5E">
        <w:t xml:space="preserve"> to</w:t>
      </w:r>
      <w:r w:rsidR="00510531">
        <w:t xml:space="preserve"> the National Environmental Standards for Air Quality (NESAQ).</w:t>
      </w:r>
      <w:r w:rsidR="007B03B3">
        <w:t xml:space="preserve">  </w:t>
      </w:r>
      <w:r w:rsidR="007F5D5E">
        <w:t xml:space="preserve">These proposed </w:t>
      </w:r>
      <w:r w:rsidR="002038D0">
        <w:t>amendments</w:t>
      </w:r>
      <w:r w:rsidR="001F1634">
        <w:t xml:space="preserve"> include</w:t>
      </w:r>
      <w:r w:rsidR="009E1FA0">
        <w:t>:</w:t>
      </w:r>
    </w:p>
    <w:p w14:paraId="1091DDBE" w14:textId="3C53A71A" w:rsidR="009E1FA0" w:rsidRDefault="009E1FA0" w:rsidP="003E0E7B">
      <w:pPr>
        <w:pStyle w:val="NoSpacing"/>
        <w:numPr>
          <w:ilvl w:val="0"/>
          <w:numId w:val="29"/>
        </w:numPr>
        <w:jc w:val="both"/>
      </w:pPr>
      <w:r>
        <w:t>Reducing</w:t>
      </w:r>
      <w:r w:rsidR="001F1634">
        <w:t xml:space="preserve"> the allowable level of </w:t>
      </w:r>
      <w:r w:rsidR="00B36B0A">
        <w:t>emissions</w:t>
      </w:r>
      <w:r w:rsidR="001F1634">
        <w:t xml:space="preserve"> from solid fuel burners from 1.5 g/kg to 1</w:t>
      </w:r>
      <w:r w:rsidR="001E5915">
        <w:t>.0</w:t>
      </w:r>
      <w:r w:rsidR="001F1634">
        <w:t xml:space="preserve"> g/kg</w:t>
      </w:r>
      <w:r w:rsidR="004A12F1">
        <w:t>.</w:t>
      </w:r>
    </w:p>
    <w:p w14:paraId="2CFAC067" w14:textId="5BCCE1D4" w:rsidR="000F2E52" w:rsidRDefault="00B36B0A" w:rsidP="003E0E7B">
      <w:pPr>
        <w:pStyle w:val="NoSpacing"/>
        <w:numPr>
          <w:ilvl w:val="0"/>
          <w:numId w:val="29"/>
        </w:numPr>
        <w:jc w:val="both"/>
      </w:pPr>
      <w:r>
        <w:t>Broadening</w:t>
      </w:r>
      <w:r w:rsidR="000F2E52">
        <w:t xml:space="preserve"> the range of solid fuel </w:t>
      </w:r>
      <w:r>
        <w:t>burners</w:t>
      </w:r>
      <w:r w:rsidR="000F2E52">
        <w:t xml:space="preserve"> covered by the NESAQ to </w:t>
      </w:r>
      <w:r>
        <w:t>include</w:t>
      </w:r>
      <w:r w:rsidR="000F2E52">
        <w:t xml:space="preserve"> </w:t>
      </w:r>
      <w:r w:rsidR="00864047">
        <w:t>all</w:t>
      </w:r>
      <w:r w:rsidR="000F2E52">
        <w:t xml:space="preserve"> </w:t>
      </w:r>
      <w:r w:rsidR="00864047" w:rsidRPr="003E0E7B">
        <w:t>domestic solid-fuel burners such as coal burners, multi-fuel burners, pellet fires, open fires, cookers, and water boilers.</w:t>
      </w:r>
    </w:p>
    <w:p w14:paraId="533A5F68" w14:textId="77777777" w:rsidR="00DB6FED" w:rsidRDefault="00DB6FED" w:rsidP="00DB6FED">
      <w:pPr>
        <w:pStyle w:val="NoSpacing"/>
        <w:numPr>
          <w:ilvl w:val="0"/>
          <w:numId w:val="29"/>
        </w:numPr>
        <w:jc w:val="both"/>
      </w:pPr>
      <w:r>
        <w:t>Maintaining the minimum thermal efficiency standard at 65%.</w:t>
      </w:r>
    </w:p>
    <w:p w14:paraId="6DEB6768" w14:textId="7AEAEC86" w:rsidR="00516749" w:rsidRPr="003E0E7B" w:rsidRDefault="00516749" w:rsidP="003E0E7B">
      <w:pPr>
        <w:pStyle w:val="NoSpacing"/>
        <w:jc w:val="both"/>
      </w:pPr>
    </w:p>
    <w:p w14:paraId="2180D8AD" w14:textId="0D973CB0" w:rsidR="00516749" w:rsidRDefault="00516749" w:rsidP="003E0E7B">
      <w:pPr>
        <w:pStyle w:val="NoSpacing"/>
        <w:jc w:val="both"/>
      </w:pPr>
      <w:r>
        <w:t xml:space="preserve">This </w:t>
      </w:r>
      <w:r w:rsidR="00224E40">
        <w:t>document</w:t>
      </w:r>
      <w:r>
        <w:t xml:space="preserve"> </w:t>
      </w:r>
      <w:r w:rsidR="004B77AD">
        <w:t>reports on</w:t>
      </w:r>
      <w:r w:rsidR="00111FD7">
        <w:t xml:space="preserve"> </w:t>
      </w:r>
      <w:r w:rsidR="004B77AD">
        <w:t xml:space="preserve">issues </w:t>
      </w:r>
      <w:r w:rsidR="00224E40">
        <w:t>related</w:t>
      </w:r>
      <w:r w:rsidR="004B77AD">
        <w:t xml:space="preserve"> to these proposed </w:t>
      </w:r>
      <w:r w:rsidR="00111FD7">
        <w:t>amendments</w:t>
      </w:r>
      <w:r w:rsidR="00D5361B">
        <w:t xml:space="preserve"> including </w:t>
      </w:r>
      <w:r w:rsidR="00533E3B">
        <w:t xml:space="preserve">test </w:t>
      </w:r>
      <w:r w:rsidR="00224E40">
        <w:t>methods</w:t>
      </w:r>
      <w:r w:rsidR="00533E3B">
        <w:t xml:space="preserve"> and </w:t>
      </w:r>
      <w:r w:rsidR="00224E40">
        <w:t>standards</w:t>
      </w:r>
      <w:r w:rsidR="00533E3B">
        <w:t xml:space="preserve">, </w:t>
      </w:r>
      <w:r w:rsidR="00B90EFA">
        <w:t xml:space="preserve">changes in solid fuel burner </w:t>
      </w:r>
      <w:r w:rsidR="00224E40">
        <w:t>technologies</w:t>
      </w:r>
      <w:r w:rsidR="00A05B46">
        <w:t xml:space="preserve">, secondary emission reduction devices </w:t>
      </w:r>
      <w:r w:rsidR="00224E40">
        <w:t xml:space="preserve">and a number of </w:t>
      </w:r>
      <w:r w:rsidR="0099347B">
        <w:t>other</w:t>
      </w:r>
      <w:r w:rsidR="003B7058">
        <w:t xml:space="preserve"> related</w:t>
      </w:r>
      <w:r w:rsidR="00224E40">
        <w:t xml:space="preserve"> issues.</w:t>
      </w:r>
    </w:p>
    <w:p w14:paraId="2B35C087" w14:textId="7F497A26" w:rsidR="00351E58" w:rsidRDefault="00351E58" w:rsidP="003E0E7B">
      <w:pPr>
        <w:pStyle w:val="NoSpacing"/>
        <w:jc w:val="both"/>
      </w:pPr>
    </w:p>
    <w:p w14:paraId="249753DB" w14:textId="017791E8" w:rsidR="005A69F0" w:rsidRDefault="00AD290F" w:rsidP="003E0E7B">
      <w:pPr>
        <w:pStyle w:val="NoSpacing"/>
        <w:jc w:val="both"/>
      </w:pPr>
      <w:r>
        <w:t>Reducing the national level of allowable emissions to 1</w:t>
      </w:r>
      <w:r w:rsidR="001E5915">
        <w:t>.0</w:t>
      </w:r>
      <w:r>
        <w:t xml:space="preserve"> g/kg </w:t>
      </w:r>
      <w:r w:rsidR="005A69F0">
        <w:t xml:space="preserve">and </w:t>
      </w:r>
      <w:r w:rsidR="00CA00D1">
        <w:t>including</w:t>
      </w:r>
      <w:r w:rsidR="005A69F0">
        <w:t xml:space="preserve"> pellet fires and domestic boiler systems </w:t>
      </w:r>
      <w:r w:rsidR="004A12F1">
        <w:t>within</w:t>
      </w:r>
      <w:r w:rsidR="005A69F0">
        <w:t xml:space="preserve"> the NESAQ will have little or no impact</w:t>
      </w:r>
      <w:r w:rsidR="005922DC">
        <w:t xml:space="preserve"> on the range of burners available.  The vast majority of these burner types already meet a 1</w:t>
      </w:r>
      <w:r w:rsidR="001E5915">
        <w:t>.0</w:t>
      </w:r>
      <w:r w:rsidR="005922DC">
        <w:t xml:space="preserve"> g/kg </w:t>
      </w:r>
      <w:r w:rsidR="004C4B50">
        <w:t xml:space="preserve">standard and 65% </w:t>
      </w:r>
      <w:r w:rsidR="00CA00D1">
        <w:t>efficiency</w:t>
      </w:r>
      <w:r w:rsidR="004C4B50">
        <w:t>.</w:t>
      </w:r>
    </w:p>
    <w:p w14:paraId="4C18F718" w14:textId="77777777" w:rsidR="005922DC" w:rsidRDefault="005922DC" w:rsidP="003E0E7B">
      <w:pPr>
        <w:pStyle w:val="NoSpacing"/>
        <w:jc w:val="both"/>
      </w:pPr>
    </w:p>
    <w:p w14:paraId="200E8D30" w14:textId="7A33AC66" w:rsidR="00AD290F" w:rsidRDefault="00AD290F" w:rsidP="003E0E7B">
      <w:pPr>
        <w:pStyle w:val="NoSpacing"/>
        <w:jc w:val="both"/>
      </w:pPr>
      <w:r>
        <w:t xml:space="preserve">Adding multi-fuel burners, coal burners, </w:t>
      </w:r>
      <w:r w:rsidR="00764DE5">
        <w:t xml:space="preserve">solid fuel </w:t>
      </w:r>
      <w:r>
        <w:t xml:space="preserve">cookers and open fires to the NESAQ will effectively remove all of these burner types from the market as they will not </w:t>
      </w:r>
      <w:r w:rsidR="001A05CA">
        <w:t xml:space="preserve">currently </w:t>
      </w:r>
      <w:r>
        <w:t>be able to meet 1</w:t>
      </w:r>
      <w:r w:rsidR="001E5915">
        <w:t>.0</w:t>
      </w:r>
      <w:r>
        <w:t xml:space="preserve"> g/kg emissions and/or 65% efficiency.</w:t>
      </w:r>
      <w:r w:rsidR="00F70FBD">
        <w:t xml:space="preserve">  </w:t>
      </w:r>
      <w:r w:rsidR="00CA00D1" w:rsidRPr="00930B08">
        <w:t>Consideration</w:t>
      </w:r>
      <w:r w:rsidR="00F70FBD" w:rsidRPr="00930B08">
        <w:t xml:space="preserve"> </w:t>
      </w:r>
      <w:r w:rsidR="006B6E78">
        <w:t>c</w:t>
      </w:r>
      <w:r w:rsidR="00F70FBD" w:rsidRPr="00930B08">
        <w:t xml:space="preserve">ould be given as to whether these </w:t>
      </w:r>
      <w:r w:rsidR="006B6E78">
        <w:t>burner types</w:t>
      </w:r>
      <w:r w:rsidR="00F70FBD" w:rsidRPr="00930B08">
        <w:t xml:space="preserve"> may be </w:t>
      </w:r>
      <w:r w:rsidR="00B043A8" w:rsidRPr="00930B08">
        <w:t>better</w:t>
      </w:r>
      <w:r w:rsidR="00F70FBD" w:rsidRPr="00930B08">
        <w:t xml:space="preserve"> dealt with at a </w:t>
      </w:r>
      <w:r w:rsidR="006A2934">
        <w:t>regional</w:t>
      </w:r>
      <w:r w:rsidR="00F70FBD" w:rsidRPr="00930B08">
        <w:t xml:space="preserve"> level</w:t>
      </w:r>
      <w:r w:rsidR="00FD5CEF" w:rsidRPr="00930B08">
        <w:t xml:space="preserve">.  In some cases, </w:t>
      </w:r>
      <w:r w:rsidR="00CA00D1" w:rsidRPr="00930B08">
        <w:t>e.g.</w:t>
      </w:r>
      <w:r w:rsidR="00FD5CEF" w:rsidRPr="00930B08">
        <w:t xml:space="preserve"> cookers, the </w:t>
      </w:r>
      <w:r w:rsidR="00CA00D1" w:rsidRPr="00930B08">
        <w:t>impact</w:t>
      </w:r>
      <w:r w:rsidR="00FD5CEF" w:rsidRPr="00930B08">
        <w:t xml:space="preserve"> </w:t>
      </w:r>
      <w:r w:rsidR="00154155">
        <w:t>on</w:t>
      </w:r>
      <w:r w:rsidR="006A2934">
        <w:t xml:space="preserve"> air quality </w:t>
      </w:r>
      <w:r w:rsidR="00FD5CEF" w:rsidRPr="00930B08">
        <w:t>will be small as the volumes are</w:t>
      </w:r>
      <w:r w:rsidR="0044515B">
        <w:t xml:space="preserve"> very</w:t>
      </w:r>
      <w:r w:rsidR="00FD5CEF" w:rsidRPr="00930B08">
        <w:t xml:space="preserve"> small</w:t>
      </w:r>
      <w:r w:rsidR="00182736" w:rsidRPr="00930B08">
        <w:t xml:space="preserve">.  </w:t>
      </w:r>
      <w:r w:rsidR="00072D17">
        <w:t xml:space="preserve">With coal burners and </w:t>
      </w:r>
      <w:r w:rsidR="0044515B">
        <w:t>multi-fuel burners</w:t>
      </w:r>
      <w:r w:rsidR="00182736" w:rsidRPr="00930B08">
        <w:t xml:space="preserve">, </w:t>
      </w:r>
      <w:r w:rsidR="00154155">
        <w:t>households</w:t>
      </w:r>
      <w:r w:rsidR="00253D5D">
        <w:t xml:space="preserve"> in some</w:t>
      </w:r>
      <w:r w:rsidR="00182736" w:rsidRPr="00930B08">
        <w:t xml:space="preserve"> communities </w:t>
      </w:r>
      <w:r w:rsidR="00855EFA" w:rsidRPr="00930B08">
        <w:t xml:space="preserve">rely on coal </w:t>
      </w:r>
      <w:r w:rsidR="001B5295" w:rsidRPr="00930B08">
        <w:t xml:space="preserve">for </w:t>
      </w:r>
      <w:r w:rsidR="0037182F">
        <w:t xml:space="preserve">economical </w:t>
      </w:r>
      <w:r w:rsidR="00CA00D1" w:rsidRPr="00930B08">
        <w:t>heating</w:t>
      </w:r>
      <w:r w:rsidR="001B5295" w:rsidRPr="00930B08">
        <w:t xml:space="preserve"> and there will be capital and operating </w:t>
      </w:r>
      <w:r w:rsidR="00CA00D1" w:rsidRPr="00930B08">
        <w:t>cost</w:t>
      </w:r>
      <w:r w:rsidR="001B5295" w:rsidRPr="00930B08">
        <w:t xml:space="preserve"> consequences if a change </w:t>
      </w:r>
      <w:r w:rsidR="001B5285">
        <w:t>is</w:t>
      </w:r>
      <w:r w:rsidR="001B5295" w:rsidRPr="00930B08">
        <w:t xml:space="preserve"> required.</w:t>
      </w:r>
    </w:p>
    <w:p w14:paraId="211E5AE3" w14:textId="77777777" w:rsidR="002D0463" w:rsidRDefault="002D0463" w:rsidP="003E0E7B">
      <w:pPr>
        <w:pStyle w:val="NoSpacing"/>
        <w:jc w:val="both"/>
      </w:pPr>
    </w:p>
    <w:p w14:paraId="24918032" w14:textId="50DB17F0" w:rsidR="002D0463" w:rsidRDefault="002D0463" w:rsidP="003E0E7B">
      <w:pPr>
        <w:pStyle w:val="NoSpacing"/>
        <w:jc w:val="both"/>
      </w:pPr>
      <w:r>
        <w:t>A secondary emission reduction device (the OekoTube) has recently been authorised by Environment Canterbury on the basis that it will reduce emissions by at least 2/3.  Such devices offer potential to be a useful tool in reducing emissions from existing solid fuel burners generally and may be a solution</w:t>
      </w:r>
      <w:r w:rsidR="000D4955">
        <w:t xml:space="preserve"> </w:t>
      </w:r>
      <w:r w:rsidR="00716350">
        <w:t xml:space="preserve">to reducing </w:t>
      </w:r>
      <w:r w:rsidR="00287EF7">
        <w:t>emissions</w:t>
      </w:r>
      <w:r>
        <w:t xml:space="preserve"> in specific situations such as open fires in heritage homes, or in certain communities where coal burning is still a preferred option.</w:t>
      </w:r>
    </w:p>
    <w:p w14:paraId="2B561989" w14:textId="77777777" w:rsidR="002D0463" w:rsidRDefault="002D0463" w:rsidP="003E0E7B">
      <w:pPr>
        <w:pStyle w:val="NoSpacing"/>
        <w:jc w:val="both"/>
      </w:pPr>
    </w:p>
    <w:p w14:paraId="22CB93AD" w14:textId="78BE7C23" w:rsidR="00AD290F" w:rsidRDefault="00AD290F" w:rsidP="003E0E7B">
      <w:pPr>
        <w:pStyle w:val="NoSpacing"/>
        <w:jc w:val="both"/>
      </w:pPr>
      <w:r>
        <w:t>Consideration should be given to a slight relaxation of the minimum efficiency standard</w:t>
      </w:r>
      <w:r w:rsidR="00A77966">
        <w:t xml:space="preserve">, in conjunction with </w:t>
      </w:r>
      <w:r w:rsidR="0087401D">
        <w:t xml:space="preserve">a </w:t>
      </w:r>
      <w:r w:rsidR="006E215D">
        <w:t xml:space="preserve">lower </w:t>
      </w:r>
      <w:r w:rsidR="00CA00D1">
        <w:t>emissions</w:t>
      </w:r>
      <w:r w:rsidR="006E215D">
        <w:t xml:space="preserve"> limit</w:t>
      </w:r>
      <w:r w:rsidR="003307EE">
        <w:t>,</w:t>
      </w:r>
      <w:r>
        <w:t xml:space="preserve"> as this will potentially allow cleaner burners to be </w:t>
      </w:r>
      <w:r w:rsidR="005B4D6D">
        <w:t>available</w:t>
      </w:r>
      <w:r w:rsidR="003307EE">
        <w:t>.  It will also</w:t>
      </w:r>
      <w:r>
        <w:t xml:space="preserve"> help </w:t>
      </w:r>
      <w:r w:rsidR="003307EE">
        <w:t xml:space="preserve">to </w:t>
      </w:r>
      <w:r>
        <w:t xml:space="preserve">provide a solution to the current difficulty in designing an </w:t>
      </w:r>
      <w:r w:rsidR="00A829CE">
        <w:t>ultra-</w:t>
      </w:r>
      <w:r w:rsidR="00253D5D">
        <w:t xml:space="preserve">low </w:t>
      </w:r>
      <w:r w:rsidR="00092121">
        <w:t>emission</w:t>
      </w:r>
      <w:r w:rsidR="00A829CE">
        <w:t xml:space="preserve"> </w:t>
      </w:r>
      <w:r>
        <w:t xml:space="preserve">insert burner that meets </w:t>
      </w:r>
      <w:r w:rsidR="003307EE">
        <w:t>the</w:t>
      </w:r>
      <w:r>
        <w:t xml:space="preserve"> efficiency threshold.  </w:t>
      </w:r>
      <w:r w:rsidR="002D681B">
        <w:t>Th</w:t>
      </w:r>
      <w:r>
        <w:t xml:space="preserve">is </w:t>
      </w:r>
      <w:r w:rsidR="002D681B">
        <w:t xml:space="preserve">could </w:t>
      </w:r>
      <w:r>
        <w:t xml:space="preserve">be achieved by specifying an allowable combined emissions and efficiency threshold of 77 mg/MJ of useful heat output </w:t>
      </w:r>
      <w:r w:rsidRPr="003307EE">
        <w:rPr>
          <w:u w:val="single"/>
        </w:rPr>
        <w:t>and</w:t>
      </w:r>
      <w:r>
        <w:t xml:space="preserve"> a maximum emissions of 1</w:t>
      </w:r>
      <w:r w:rsidR="001E5915">
        <w:t>.0</w:t>
      </w:r>
      <w:r>
        <w:t xml:space="preserve"> g/kg </w:t>
      </w:r>
      <w:r w:rsidRPr="00DC2932">
        <w:rPr>
          <w:u w:val="single"/>
        </w:rPr>
        <w:t>and</w:t>
      </w:r>
      <w:r>
        <w:t xml:space="preserve"> a minimum efficiency of 60%, all based on test results to </w:t>
      </w:r>
      <w:r w:rsidR="006A5A45">
        <w:t>AS/NZS 4012: Domestic solid fuel burning appliances – method for determination of power output and efficiency</w:t>
      </w:r>
      <w:r w:rsidR="009730FD">
        <w:t xml:space="preserve"> </w:t>
      </w:r>
      <w:r>
        <w:t xml:space="preserve">and </w:t>
      </w:r>
      <w:r w:rsidR="009730FD">
        <w:t>AS/NZS 4013: Domestic solid fuel burning appliances – method for determination of flue gas emission</w:t>
      </w:r>
      <w:r>
        <w:t>.  Allowing clean burners in the 60 to 65% efficiency range will have minimal negative impact, yet potentially allow the production and authorisation of some very clean burners that would otherwise not be available.</w:t>
      </w:r>
    </w:p>
    <w:p w14:paraId="21CC5CF9" w14:textId="77777777" w:rsidR="00717C89" w:rsidRDefault="00717C89" w:rsidP="003E0E7B">
      <w:pPr>
        <w:pStyle w:val="NoSpacing"/>
        <w:jc w:val="both"/>
      </w:pPr>
    </w:p>
    <w:p w14:paraId="0166887D" w14:textId="3341CB2F" w:rsidR="00AD290F" w:rsidRDefault="0068769C" w:rsidP="003E0E7B">
      <w:pPr>
        <w:pStyle w:val="NoSpacing"/>
        <w:jc w:val="both"/>
      </w:pPr>
      <w:r>
        <w:t>R</w:t>
      </w:r>
      <w:r w:rsidR="00AD290F">
        <w:t xml:space="preserve">egional councils </w:t>
      </w:r>
      <w:r>
        <w:t>should</w:t>
      </w:r>
      <w:r w:rsidR="00AD290F">
        <w:t xml:space="preserve"> retain th</w:t>
      </w:r>
      <w:r>
        <w:t>eir</w:t>
      </w:r>
      <w:r w:rsidR="00AD290F">
        <w:t xml:space="preserve"> right to develop more stringent rules than </w:t>
      </w:r>
      <w:r w:rsidR="005C4CA1">
        <w:t xml:space="preserve">those </w:t>
      </w:r>
      <w:r w:rsidR="00AD290F">
        <w:t xml:space="preserve">defined in the NESAQ so that they can introduce initiatives designed to address their particular local issues. </w:t>
      </w:r>
      <w:r w:rsidR="00BE6CF5">
        <w:t xml:space="preserve"> R</w:t>
      </w:r>
      <w:r w:rsidR="00AD290F">
        <w:t xml:space="preserve">egional councils </w:t>
      </w:r>
      <w:r w:rsidR="00BE6CF5">
        <w:t xml:space="preserve">should be encouraged </w:t>
      </w:r>
      <w:r w:rsidR="00AD290F">
        <w:t xml:space="preserve">to collaborate on local initiatives so as to reduce the current situation of </w:t>
      </w:r>
      <w:r w:rsidR="00716350">
        <w:t>varying</w:t>
      </w:r>
      <w:r w:rsidR="00AD290F">
        <w:t xml:space="preserve"> standards </w:t>
      </w:r>
      <w:r w:rsidR="00BE6CF5">
        <w:t xml:space="preserve">in </w:t>
      </w:r>
      <w:r w:rsidR="00CA00D1">
        <w:t>different</w:t>
      </w:r>
      <w:r w:rsidR="00BE6CF5">
        <w:t xml:space="preserve"> regions </w:t>
      </w:r>
      <w:r w:rsidR="00AD290F">
        <w:t xml:space="preserve">that can be challenging for industry to deal with.  Environment Canterbury has invested heavily in the </w:t>
      </w:r>
      <w:r w:rsidR="00BE6CF5">
        <w:t>ultra-low emission burner (</w:t>
      </w:r>
      <w:r w:rsidR="00AD290F">
        <w:t>ULEB</w:t>
      </w:r>
      <w:r w:rsidR="00BE6CF5">
        <w:t>)</w:t>
      </w:r>
      <w:r w:rsidR="00AD290F">
        <w:t xml:space="preserve"> concept which is now also recognised in some other regions.  </w:t>
      </w:r>
      <w:r w:rsidR="005C4CA1">
        <w:t>One option would be</w:t>
      </w:r>
      <w:r w:rsidR="00C212A4">
        <w:t xml:space="preserve"> for</w:t>
      </w:r>
      <w:r w:rsidR="00AD290F">
        <w:t xml:space="preserve"> other airshed areas to adopt the ULEB standard.  Alternatively</w:t>
      </w:r>
      <w:r w:rsidR="00BE6CF5">
        <w:t>,</w:t>
      </w:r>
      <w:r w:rsidR="00AD290F">
        <w:t xml:space="preserve"> a tougher (than the NESAQ) emissions standard based on AS/NZS 4013 testing could be proposed as a general standard for airshed regions to adopt.  For example, this could be 0.60 g/kg as used in Rotorua or 0.7 g/kg </w:t>
      </w:r>
      <w:r w:rsidR="00AD290F">
        <w:lastRenderedPageBreak/>
        <w:t>as used in some Otago towns.  The difference in real life performance between choosing either the Rotorua or Otago standards would be minimal.</w:t>
      </w:r>
    </w:p>
    <w:p w14:paraId="0A200668" w14:textId="77777777" w:rsidR="006C5A30" w:rsidRDefault="006C5A30" w:rsidP="003E0E7B">
      <w:pPr>
        <w:pStyle w:val="NoSpacing"/>
        <w:jc w:val="both"/>
      </w:pPr>
    </w:p>
    <w:p w14:paraId="558ECF64" w14:textId="6D8C307D" w:rsidR="00AD290F" w:rsidRDefault="00AD290F" w:rsidP="003E0E7B">
      <w:pPr>
        <w:pStyle w:val="NoSpacing"/>
        <w:jc w:val="both"/>
      </w:pPr>
      <w:r>
        <w:t xml:space="preserve">The </w:t>
      </w:r>
      <w:r w:rsidR="002038D0">
        <w:t>proposed</w:t>
      </w:r>
      <w:r w:rsidR="00AC4737">
        <w:t xml:space="preserve"> amendments to the </w:t>
      </w:r>
      <w:r>
        <w:t xml:space="preserve">NESAQ should be </w:t>
      </w:r>
      <w:r w:rsidRPr="0075513C">
        <w:t xml:space="preserve">worded in such a way that there is a process </w:t>
      </w:r>
      <w:r>
        <w:t>to</w:t>
      </w:r>
      <w:r w:rsidRPr="0075513C">
        <w:t xml:space="preserve"> follow for </w:t>
      </w:r>
      <w:r w:rsidR="004E3FC8">
        <w:t xml:space="preserve">testing </w:t>
      </w:r>
      <w:r w:rsidRPr="003E0E7B">
        <w:t>all</w:t>
      </w:r>
      <w:r w:rsidRPr="0075513C">
        <w:t xml:space="preserve"> </w:t>
      </w:r>
      <w:r>
        <w:t xml:space="preserve">current and </w:t>
      </w:r>
      <w:r w:rsidRPr="0075513C">
        <w:t xml:space="preserve">potential </w:t>
      </w:r>
      <w:r w:rsidR="0068322B">
        <w:t xml:space="preserve">future </w:t>
      </w:r>
      <w:r w:rsidRPr="0075513C">
        <w:t>burner types.  Specifically</w:t>
      </w:r>
      <w:r>
        <w:t>,</w:t>
      </w:r>
      <w:r w:rsidRPr="0075513C">
        <w:t xml:space="preserve"> this should </w:t>
      </w:r>
      <w:r>
        <w:t>state</w:t>
      </w:r>
      <w:r w:rsidRPr="0075513C">
        <w:t xml:space="preserve"> that if a burner </w:t>
      </w:r>
      <w:proofErr w:type="gramStart"/>
      <w:r w:rsidRPr="0075513C">
        <w:t>can’t</w:t>
      </w:r>
      <w:proofErr w:type="gramEnd"/>
      <w:r w:rsidRPr="0075513C">
        <w:t xml:space="preserve"> be tested to </w:t>
      </w:r>
      <w:r>
        <w:t>AS/NZS 4012 and AS/NZS 4013</w:t>
      </w:r>
      <w:r w:rsidRPr="0075513C">
        <w:t xml:space="preserve"> then a recognised, relevant test method can be substituted if agreed by the authorising agency and supported by advice from </w:t>
      </w:r>
      <w:r w:rsidR="0068322B">
        <w:t xml:space="preserve">a </w:t>
      </w:r>
      <w:r>
        <w:t>suitably qualified,</w:t>
      </w:r>
      <w:r w:rsidRPr="0075513C">
        <w:t xml:space="preserve"> independent technical advisor and/or a</w:t>
      </w:r>
      <w:r w:rsidR="0019406A">
        <w:t>n accredited</w:t>
      </w:r>
      <w:r w:rsidRPr="0075513C">
        <w:t xml:space="preserve"> testing laboratory.</w:t>
      </w:r>
    </w:p>
    <w:p w14:paraId="29E3B105" w14:textId="77777777" w:rsidR="00A03F2C" w:rsidRDefault="00A03F2C" w:rsidP="003E0E7B">
      <w:pPr>
        <w:pStyle w:val="NoSpacing"/>
        <w:jc w:val="both"/>
      </w:pPr>
    </w:p>
    <w:p w14:paraId="62B72112" w14:textId="079D406A" w:rsidR="00AD290F" w:rsidRDefault="00AD290F" w:rsidP="003E0E7B">
      <w:pPr>
        <w:pStyle w:val="NoSpacing"/>
        <w:jc w:val="both"/>
      </w:pPr>
      <w:r>
        <w:t xml:space="preserve">While </w:t>
      </w:r>
      <w:r w:rsidR="0019406A">
        <w:t xml:space="preserve">the </w:t>
      </w:r>
      <w:r w:rsidR="00CA00D1">
        <w:t>Canterbury</w:t>
      </w:r>
      <w:r w:rsidR="0019406A">
        <w:t xml:space="preserve"> </w:t>
      </w:r>
      <w:r w:rsidR="00CA00D1">
        <w:t>Method</w:t>
      </w:r>
      <w:r w:rsidR="0019406A">
        <w:t xml:space="preserve"> of testing (</w:t>
      </w:r>
      <w:r>
        <w:t>CM1</w:t>
      </w:r>
      <w:r w:rsidR="0019406A">
        <w:t xml:space="preserve">) in </w:t>
      </w:r>
      <w:r w:rsidR="00CA00D1">
        <w:t>conjunction</w:t>
      </w:r>
      <w:r w:rsidR="0019406A">
        <w:t xml:space="preserve"> with </w:t>
      </w:r>
      <w:r w:rsidR="005B2AED">
        <w:t>the development of ULEBs</w:t>
      </w:r>
      <w:r>
        <w:t xml:space="preserve"> has proven useful in Canterbury and has led to the development of significantly cleaner burners, there will be numerous issues in turning this into a nationally acceptable test method.  It may be better to consider whether capturing start-up emissions </w:t>
      </w:r>
      <w:r w:rsidR="009E79AB">
        <w:t>during</w:t>
      </w:r>
      <w:r>
        <w:t xml:space="preserve"> AS/NZS 4013 testing could be added to that test method for the purposes of calculating an emissions result that </w:t>
      </w:r>
      <w:r w:rsidR="001F4755">
        <w:t>is</w:t>
      </w:r>
      <w:r>
        <w:t xml:space="preserve"> more representative of real life emissions.</w:t>
      </w:r>
    </w:p>
    <w:p w14:paraId="48CA6E99" w14:textId="77777777" w:rsidR="003E0E7B" w:rsidRDefault="003E0E7B" w:rsidP="003E0E7B">
      <w:pPr>
        <w:pStyle w:val="NoSpacing"/>
        <w:jc w:val="both"/>
      </w:pPr>
    </w:p>
    <w:p w14:paraId="267C8A81" w14:textId="61DEDFC3" w:rsidR="00AD290F" w:rsidRDefault="00AD290F" w:rsidP="003E0E7B">
      <w:pPr>
        <w:pStyle w:val="NoSpacing"/>
        <w:jc w:val="both"/>
      </w:pPr>
      <w:r>
        <w:t>AS/NZS 4012 and AS/NZS 4013 should continue to be the preferred test method for solid fuel burners that can be physically tested to that method.  Functionally equivalent methods can be allowed for other burner types e.g. boiler systems.</w:t>
      </w:r>
    </w:p>
    <w:p w14:paraId="3E3B2CC2" w14:textId="77777777" w:rsidR="003E0E7B" w:rsidRDefault="003E0E7B" w:rsidP="003E0E7B">
      <w:pPr>
        <w:pStyle w:val="NoSpacing"/>
        <w:jc w:val="both"/>
      </w:pPr>
    </w:p>
    <w:p w14:paraId="12DA3DF9" w14:textId="65945226" w:rsidR="00AD290F" w:rsidRDefault="00AD290F" w:rsidP="003E0E7B">
      <w:pPr>
        <w:pStyle w:val="NoSpacing"/>
        <w:jc w:val="both"/>
      </w:pPr>
      <w:r>
        <w:t xml:space="preserve">Pellet fires are currently authorised based on </w:t>
      </w:r>
      <w:r w:rsidRPr="00736786">
        <w:t>EN 14785</w:t>
      </w:r>
      <w:r>
        <w:t xml:space="preserve"> test results.  This should be allowed to continue, rather than requiring </w:t>
      </w:r>
      <w:r w:rsidR="004E7963">
        <w:t xml:space="preserve">additional </w:t>
      </w:r>
      <w:r>
        <w:t>testing to the NZ pellet fire standards.</w:t>
      </w:r>
    </w:p>
    <w:p w14:paraId="10C36ED2" w14:textId="77777777" w:rsidR="003E0E7B" w:rsidRDefault="003E0E7B" w:rsidP="003E0E7B">
      <w:pPr>
        <w:pStyle w:val="NoSpacing"/>
        <w:jc w:val="both"/>
      </w:pPr>
    </w:p>
    <w:p w14:paraId="59883B65" w14:textId="704F1B18" w:rsidR="00AD290F" w:rsidRDefault="00AD290F" w:rsidP="003E0E7B">
      <w:pPr>
        <w:pStyle w:val="NoSpacing"/>
        <w:jc w:val="both"/>
      </w:pPr>
      <w:r>
        <w:t>Real life trials of ULEBs have been carried out on two twin chamber downdraught ULEB designs</w:t>
      </w:r>
      <w:r w:rsidR="003F0EAB">
        <w:t xml:space="preserve"> to </w:t>
      </w:r>
      <w:r w:rsidR="00CA00D1">
        <w:t>determine</w:t>
      </w:r>
      <w:r w:rsidR="003F0EAB">
        <w:t xml:space="preserve"> how they </w:t>
      </w:r>
      <w:r w:rsidR="00CA00D1">
        <w:t>perform</w:t>
      </w:r>
      <w:r w:rsidR="003F0EAB">
        <w:t xml:space="preserve"> in </w:t>
      </w:r>
      <w:r w:rsidR="00CA00D1">
        <w:t>real</w:t>
      </w:r>
      <w:r w:rsidR="003F0EAB">
        <w:t xml:space="preserve"> life</w:t>
      </w:r>
      <w:r>
        <w:t xml:space="preserve">.  </w:t>
      </w:r>
      <w:r w:rsidR="00533585">
        <w:t xml:space="preserve">Results </w:t>
      </w:r>
      <w:r w:rsidR="00CA00D1">
        <w:t>show</w:t>
      </w:r>
      <w:r w:rsidR="00533585">
        <w:t xml:space="preserve"> that </w:t>
      </w:r>
      <w:r w:rsidR="00CA00D1">
        <w:t>burners</w:t>
      </w:r>
      <w:r w:rsidR="00533585">
        <w:t xml:space="preserve"> that are cleaner based on laboratory testing are also cleaner in </w:t>
      </w:r>
      <w:r w:rsidR="00CA00D1">
        <w:t>real</w:t>
      </w:r>
      <w:r w:rsidR="00533585">
        <w:t xml:space="preserve"> life </w:t>
      </w:r>
      <w:r w:rsidR="00CA00D1">
        <w:t>operation</w:t>
      </w:r>
      <w:r w:rsidR="00E2512B">
        <w:t xml:space="preserve">.  </w:t>
      </w:r>
      <w:r>
        <w:t>Now that single chamber ULEBs are available and are likely to become the more popular ULEB choice, it may be useful to conduct a real life trial of one or more single chamber ULEBs to see how they perform in real life.</w:t>
      </w:r>
    </w:p>
    <w:p w14:paraId="0A900147" w14:textId="77777777" w:rsidR="003E0E7B" w:rsidRDefault="003E0E7B" w:rsidP="003E0E7B">
      <w:pPr>
        <w:pStyle w:val="NoSpacing"/>
        <w:jc w:val="both"/>
      </w:pPr>
    </w:p>
    <w:p w14:paraId="7F531C6C" w14:textId="0340D70F" w:rsidR="00AD290F" w:rsidRDefault="00AD290F" w:rsidP="003E0E7B">
      <w:pPr>
        <w:pStyle w:val="NoSpacing"/>
        <w:jc w:val="both"/>
      </w:pPr>
      <w:r>
        <w:t xml:space="preserve">Burner authorising agencies should have the capability to impose consent conditions </w:t>
      </w:r>
      <w:r w:rsidR="001F4755">
        <w:t>as</w:t>
      </w:r>
      <w:r>
        <w:t xml:space="preserve"> they see fit when authorising burners.  In particular, this includes specifying that mains powered electric air circulation fans should be hard wired into a home’s electricity supply.  It is noted though, that if the efficiency threshold is lowered for particularly clean burners, then this may reduce the need to incorporate such fans.</w:t>
      </w:r>
    </w:p>
    <w:p w14:paraId="44DF0603" w14:textId="77777777" w:rsidR="003E0E7B" w:rsidRDefault="003E0E7B" w:rsidP="003E0E7B">
      <w:pPr>
        <w:pStyle w:val="NoSpacing"/>
        <w:jc w:val="both"/>
      </w:pPr>
    </w:p>
    <w:p w14:paraId="32764B67" w14:textId="34F77A08" w:rsidR="00AD290F" w:rsidRDefault="002A5969" w:rsidP="003E0E7B">
      <w:pPr>
        <w:pStyle w:val="NoSpacing"/>
        <w:jc w:val="both"/>
      </w:pPr>
      <w:r>
        <w:t>There is no collation of solid fuel burner installation data at a national level and i</w:t>
      </w:r>
      <w:r w:rsidR="00AD290F">
        <w:t xml:space="preserve">t would be useful if </w:t>
      </w:r>
      <w:r>
        <w:t>this could be done.</w:t>
      </w:r>
      <w:r w:rsidR="00AD290F">
        <w:t xml:space="preserve">  This would involve setting up a process whereby </w:t>
      </w:r>
      <w:r w:rsidR="00937378">
        <w:t>Territorial Authorities</w:t>
      </w:r>
      <w:r w:rsidR="00AD290F">
        <w:t xml:space="preserve"> submit data on burner installations to an agreed format, capturing specific information, particularly the burner make, model, resource consent number and date of installation.  This information would be useful for gaining an understanding of the nature of burner installations </w:t>
      </w:r>
      <w:r w:rsidR="001B3467">
        <w:t xml:space="preserve">and trends </w:t>
      </w:r>
      <w:r w:rsidR="00AD290F">
        <w:t>nationally, as well as regionally</w:t>
      </w:r>
      <w:r w:rsidR="00324B83">
        <w:t>,</w:t>
      </w:r>
      <w:r w:rsidR="00AD290F">
        <w:t xml:space="preserve"> which would help with air quality management.</w:t>
      </w:r>
    </w:p>
    <w:p w14:paraId="1F26F37E" w14:textId="77777777" w:rsidR="003E0E7B" w:rsidRDefault="003E0E7B" w:rsidP="003E0E7B"/>
    <w:p w14:paraId="6C4054BF" w14:textId="681B7D67" w:rsidR="007233BE" w:rsidRDefault="007233BE" w:rsidP="0001642D">
      <w:pPr>
        <w:pStyle w:val="NoSpacing"/>
      </w:pPr>
    </w:p>
    <w:p w14:paraId="054944BF" w14:textId="66DF1373" w:rsidR="001A164B" w:rsidRDefault="001A164B" w:rsidP="0001642D">
      <w:pPr>
        <w:pStyle w:val="NoSpacing"/>
      </w:pPr>
    </w:p>
    <w:p w14:paraId="7D48DCE5" w14:textId="7A041FE7" w:rsidR="00590678" w:rsidRDefault="00590678" w:rsidP="00C815E7">
      <w:pPr>
        <w:pStyle w:val="NoSpacing"/>
      </w:pPr>
    </w:p>
    <w:p w14:paraId="0B48E758" w14:textId="6D51ADD0" w:rsidR="00645187" w:rsidRDefault="00645187" w:rsidP="00C815E7">
      <w:pPr>
        <w:pStyle w:val="NoSpacing"/>
      </w:pPr>
    </w:p>
    <w:p w14:paraId="4F1E0FFD" w14:textId="77777777" w:rsidR="00590678" w:rsidRDefault="00590678" w:rsidP="00C815E7">
      <w:pPr>
        <w:pStyle w:val="NoSpacing"/>
      </w:pPr>
    </w:p>
    <w:p w14:paraId="1537D379" w14:textId="294A5253" w:rsidR="00AD36A8" w:rsidRDefault="00AD36A8" w:rsidP="00C815E7">
      <w:pPr>
        <w:pStyle w:val="NoSpacing"/>
      </w:pPr>
      <w:r>
        <w:br w:type="page"/>
      </w:r>
    </w:p>
    <w:p w14:paraId="1537D37A" w14:textId="543F8D96" w:rsidR="00EF3E49" w:rsidRPr="00977BD1" w:rsidRDefault="005B2BDF" w:rsidP="003625E3">
      <w:pPr>
        <w:pStyle w:val="Heading1"/>
        <w:numPr>
          <w:ilvl w:val="0"/>
          <w:numId w:val="6"/>
        </w:numPr>
        <w:ind w:hanging="720"/>
      </w:pPr>
      <w:bookmarkStart w:id="3" w:name="_Ref31872277"/>
      <w:bookmarkStart w:id="4" w:name="_Toc34586674"/>
      <w:bookmarkEnd w:id="2"/>
      <w:r w:rsidRPr="00977BD1">
        <w:lastRenderedPageBreak/>
        <w:t>Introduction</w:t>
      </w:r>
      <w:bookmarkEnd w:id="3"/>
      <w:bookmarkEnd w:id="4"/>
    </w:p>
    <w:p w14:paraId="1537D37B" w14:textId="77777777" w:rsidR="00787EF9" w:rsidRDefault="00787EF9" w:rsidP="00D662ED"/>
    <w:p w14:paraId="1537D37C" w14:textId="7553A29F" w:rsidR="00A61739" w:rsidRPr="003A5344" w:rsidRDefault="00A61739" w:rsidP="003A5344">
      <w:pPr>
        <w:pStyle w:val="Heading2"/>
        <w:numPr>
          <w:ilvl w:val="1"/>
          <w:numId w:val="6"/>
        </w:numPr>
        <w:rPr>
          <w:sz w:val="22"/>
          <w:szCs w:val="22"/>
        </w:rPr>
      </w:pPr>
      <w:bookmarkStart w:id="5" w:name="_Toc34586675"/>
      <w:r w:rsidRPr="003A5344">
        <w:rPr>
          <w:sz w:val="22"/>
          <w:szCs w:val="22"/>
        </w:rPr>
        <w:t>Objective</w:t>
      </w:r>
      <w:bookmarkEnd w:id="5"/>
    </w:p>
    <w:p w14:paraId="1537D37D" w14:textId="77777777" w:rsidR="00A61739" w:rsidRPr="0075247D" w:rsidRDefault="00A61739" w:rsidP="00312EB2">
      <w:pPr>
        <w:pStyle w:val="ListParagraph"/>
        <w:ind w:hanging="360"/>
        <w:rPr>
          <w:u w:val="single"/>
        </w:rPr>
      </w:pPr>
    </w:p>
    <w:p w14:paraId="1537D37E" w14:textId="7ECB650C" w:rsidR="00A61739" w:rsidRDefault="006B351A" w:rsidP="00A61739">
      <w:pPr>
        <w:pStyle w:val="NoSpacing"/>
        <w:jc w:val="both"/>
      </w:pPr>
      <w:r>
        <w:t xml:space="preserve">The purpose </w:t>
      </w:r>
      <w:r w:rsidR="001629C0">
        <w:t>of</w:t>
      </w:r>
      <w:r>
        <w:t xml:space="preserve"> this report is to </w:t>
      </w:r>
      <w:r w:rsidR="00AC4452">
        <w:t xml:space="preserve">address a variety of </w:t>
      </w:r>
      <w:r w:rsidR="001629C0">
        <w:t>issues</w:t>
      </w:r>
      <w:r w:rsidR="00AC4452">
        <w:t xml:space="preserve"> relat</w:t>
      </w:r>
      <w:r w:rsidR="00552A8E">
        <w:t>ed</w:t>
      </w:r>
      <w:r w:rsidR="00AC4452">
        <w:t xml:space="preserve"> to the </w:t>
      </w:r>
      <w:r w:rsidR="00A21E59">
        <w:t xml:space="preserve">test methods and </w:t>
      </w:r>
      <w:r w:rsidR="001629C0">
        <w:t>standards</w:t>
      </w:r>
      <w:r w:rsidR="00A21E59">
        <w:t xml:space="preserve"> that </w:t>
      </w:r>
      <w:r w:rsidR="000D0FFB">
        <w:t xml:space="preserve">will need to be in </w:t>
      </w:r>
      <w:r w:rsidR="001629C0">
        <w:t>place</w:t>
      </w:r>
      <w:r w:rsidR="000D0FFB">
        <w:t xml:space="preserve"> to </w:t>
      </w:r>
      <w:r w:rsidR="00446B02">
        <w:t xml:space="preserve">ensure that </w:t>
      </w:r>
      <w:r w:rsidR="0002151E">
        <w:t xml:space="preserve">solid fuel </w:t>
      </w:r>
      <w:r w:rsidR="001629C0">
        <w:t>burners</w:t>
      </w:r>
      <w:r w:rsidR="0002151E">
        <w:t xml:space="preserve"> can be tested </w:t>
      </w:r>
      <w:r w:rsidR="006E5332">
        <w:t xml:space="preserve">to provide </w:t>
      </w:r>
      <w:r w:rsidR="00C96FC2">
        <w:t xml:space="preserve">reliable </w:t>
      </w:r>
      <w:r w:rsidR="00D50978">
        <w:t>data</w:t>
      </w:r>
      <w:r w:rsidR="00C96FC2">
        <w:t xml:space="preserve"> on emissions and effi</w:t>
      </w:r>
      <w:r w:rsidR="001629C0">
        <w:t>cie</w:t>
      </w:r>
      <w:r w:rsidR="00C96FC2">
        <w:t>ncy</w:t>
      </w:r>
      <w:r w:rsidR="009E5F46">
        <w:t xml:space="preserve"> that are in alignment with the proposed </w:t>
      </w:r>
      <w:r w:rsidR="0013503A">
        <w:t>amendments</w:t>
      </w:r>
      <w:r w:rsidR="009E5F46">
        <w:t xml:space="preserve"> to the </w:t>
      </w:r>
      <w:r w:rsidR="001629C0">
        <w:t>National</w:t>
      </w:r>
      <w:r w:rsidR="009E5F46">
        <w:t xml:space="preserve"> Environmental Standards for Air Q</w:t>
      </w:r>
      <w:r w:rsidR="001629C0">
        <w:t>u</w:t>
      </w:r>
      <w:r w:rsidR="009E5F46">
        <w:t>ality (NESAQ)</w:t>
      </w:r>
      <w:r w:rsidR="00DC5BC1">
        <w:t>.</w:t>
      </w:r>
    </w:p>
    <w:p w14:paraId="1537D37F" w14:textId="77777777" w:rsidR="00A61739" w:rsidRDefault="00A61739" w:rsidP="00A61739">
      <w:pPr>
        <w:pStyle w:val="NoSpacing"/>
        <w:jc w:val="both"/>
      </w:pPr>
    </w:p>
    <w:p w14:paraId="1537D380" w14:textId="717217CC" w:rsidR="00A61739" w:rsidRPr="003A5344" w:rsidRDefault="000204F0" w:rsidP="003A5344">
      <w:pPr>
        <w:pStyle w:val="Heading2"/>
        <w:numPr>
          <w:ilvl w:val="1"/>
          <w:numId w:val="6"/>
        </w:numPr>
        <w:rPr>
          <w:sz w:val="22"/>
          <w:szCs w:val="22"/>
        </w:rPr>
      </w:pPr>
      <w:bookmarkStart w:id="6" w:name="_Toc34586676"/>
      <w:r w:rsidRPr="003A5344">
        <w:rPr>
          <w:sz w:val="22"/>
          <w:szCs w:val="22"/>
        </w:rPr>
        <w:t>B</w:t>
      </w:r>
      <w:r w:rsidR="00A61739" w:rsidRPr="003A5344">
        <w:rPr>
          <w:sz w:val="22"/>
          <w:szCs w:val="22"/>
        </w:rPr>
        <w:t>ackground</w:t>
      </w:r>
      <w:bookmarkEnd w:id="6"/>
    </w:p>
    <w:p w14:paraId="1537D381" w14:textId="77777777" w:rsidR="008B745E" w:rsidRDefault="008B745E" w:rsidP="00D662ED">
      <w:pPr>
        <w:pStyle w:val="NoSpacing"/>
        <w:jc w:val="both"/>
      </w:pPr>
    </w:p>
    <w:p w14:paraId="12BE71C7" w14:textId="3DB99D00" w:rsidR="00B35624" w:rsidRDefault="00DC5BC1" w:rsidP="00B35624">
      <w:pPr>
        <w:pStyle w:val="NoSpacing"/>
        <w:jc w:val="both"/>
      </w:pPr>
      <w:r>
        <w:t xml:space="preserve">The current NESAQ </w:t>
      </w:r>
      <w:r w:rsidR="002D4DB6">
        <w:t xml:space="preserve">was </w:t>
      </w:r>
      <w:r w:rsidR="001629C0">
        <w:t>established</w:t>
      </w:r>
      <w:r w:rsidR="002D4DB6">
        <w:t xml:space="preserve"> in 2004.  </w:t>
      </w:r>
      <w:r w:rsidR="00B35624">
        <w:t xml:space="preserve">It was revised in 2011 </w:t>
      </w:r>
      <w:r w:rsidR="009A6DB5">
        <w:t>addressing</w:t>
      </w:r>
      <w:r w:rsidR="00B35624">
        <w:t xml:space="preserve"> t</w:t>
      </w:r>
      <w:r w:rsidR="00287055">
        <w:t>h</w:t>
      </w:r>
      <w:r w:rsidR="00B35624">
        <w:t xml:space="preserve">ree problems that had been identified with the air quality standards that required review, namely: </w:t>
      </w:r>
    </w:p>
    <w:p w14:paraId="2F1F97CA" w14:textId="4C1BC970" w:rsidR="00B35624" w:rsidRPr="00B35624" w:rsidRDefault="00B35624" w:rsidP="00B35624">
      <w:pPr>
        <w:pStyle w:val="Default"/>
        <w:spacing w:after="54"/>
        <w:ind w:firstLine="567"/>
        <w:rPr>
          <w:rFonts w:asciiTheme="minorHAnsi" w:hAnsiTheme="minorHAnsi" w:cstheme="minorHAnsi"/>
          <w:sz w:val="22"/>
          <w:szCs w:val="22"/>
        </w:rPr>
      </w:pPr>
      <w:r w:rsidRPr="00B35624">
        <w:rPr>
          <w:rFonts w:asciiTheme="minorHAnsi" w:hAnsiTheme="minorHAnsi" w:cstheme="minorHAnsi"/>
          <w:sz w:val="22"/>
          <w:szCs w:val="22"/>
        </w:rPr>
        <w:t xml:space="preserve">• </w:t>
      </w:r>
      <w:r w:rsidR="003D57AC">
        <w:rPr>
          <w:rFonts w:asciiTheme="minorHAnsi" w:hAnsiTheme="minorHAnsi" w:cstheme="minorHAnsi"/>
          <w:sz w:val="22"/>
          <w:szCs w:val="22"/>
        </w:rPr>
        <w:t>E</w:t>
      </w:r>
      <w:r w:rsidRPr="00B35624">
        <w:rPr>
          <w:rFonts w:asciiTheme="minorHAnsi" w:hAnsiTheme="minorHAnsi" w:cstheme="minorHAnsi"/>
          <w:sz w:val="22"/>
          <w:szCs w:val="22"/>
        </w:rPr>
        <w:t xml:space="preserve">quity with respect to compliance costs </w:t>
      </w:r>
    </w:p>
    <w:p w14:paraId="6A0EF892" w14:textId="197F7CB0" w:rsidR="00B35624" w:rsidRPr="00B35624" w:rsidRDefault="00B35624" w:rsidP="00B35624">
      <w:pPr>
        <w:pStyle w:val="Default"/>
        <w:spacing w:after="54"/>
        <w:ind w:firstLine="567"/>
        <w:rPr>
          <w:rFonts w:asciiTheme="minorHAnsi" w:hAnsiTheme="minorHAnsi" w:cstheme="minorHAnsi"/>
          <w:sz w:val="22"/>
          <w:szCs w:val="22"/>
        </w:rPr>
      </w:pPr>
      <w:r w:rsidRPr="00B35624">
        <w:rPr>
          <w:rFonts w:asciiTheme="minorHAnsi" w:hAnsiTheme="minorHAnsi" w:cstheme="minorHAnsi"/>
          <w:sz w:val="22"/>
          <w:szCs w:val="22"/>
        </w:rPr>
        <w:t xml:space="preserve">• </w:t>
      </w:r>
      <w:r w:rsidR="003D57AC">
        <w:rPr>
          <w:rFonts w:asciiTheme="minorHAnsi" w:hAnsiTheme="minorHAnsi" w:cstheme="minorHAnsi"/>
          <w:sz w:val="22"/>
          <w:szCs w:val="22"/>
        </w:rPr>
        <w:t>P</w:t>
      </w:r>
      <w:r w:rsidRPr="00B35624">
        <w:rPr>
          <w:rFonts w:asciiTheme="minorHAnsi" w:hAnsiTheme="minorHAnsi" w:cstheme="minorHAnsi"/>
          <w:sz w:val="22"/>
          <w:szCs w:val="22"/>
        </w:rPr>
        <w:t>erceived stringency of the PM</w:t>
      </w:r>
      <w:r w:rsidRPr="00D765B2">
        <w:rPr>
          <w:rFonts w:asciiTheme="minorHAnsi" w:hAnsiTheme="minorHAnsi" w:cstheme="minorHAnsi"/>
          <w:sz w:val="22"/>
          <w:szCs w:val="22"/>
          <w:vertAlign w:val="subscript"/>
        </w:rPr>
        <w:t>10</w:t>
      </w:r>
      <w:r w:rsidRPr="00B35624">
        <w:rPr>
          <w:rFonts w:asciiTheme="minorHAnsi" w:hAnsiTheme="minorHAnsi" w:cstheme="minorHAnsi"/>
          <w:sz w:val="22"/>
          <w:szCs w:val="22"/>
        </w:rPr>
        <w:t xml:space="preserve"> standard </w:t>
      </w:r>
    </w:p>
    <w:p w14:paraId="5B62F139" w14:textId="6FDB739D" w:rsidR="00B35624" w:rsidRPr="00B35624" w:rsidRDefault="00B35624" w:rsidP="00B35624">
      <w:pPr>
        <w:pStyle w:val="Default"/>
        <w:ind w:firstLine="567"/>
        <w:rPr>
          <w:rFonts w:asciiTheme="minorHAnsi" w:hAnsiTheme="minorHAnsi" w:cstheme="minorHAnsi"/>
          <w:sz w:val="22"/>
          <w:szCs w:val="22"/>
        </w:rPr>
      </w:pPr>
      <w:r w:rsidRPr="00B35624">
        <w:rPr>
          <w:rFonts w:asciiTheme="minorHAnsi" w:hAnsiTheme="minorHAnsi" w:cstheme="minorHAnsi"/>
          <w:sz w:val="22"/>
          <w:szCs w:val="22"/>
        </w:rPr>
        <w:t xml:space="preserve">• </w:t>
      </w:r>
      <w:r w:rsidR="003D57AC">
        <w:rPr>
          <w:rFonts w:asciiTheme="minorHAnsi" w:hAnsiTheme="minorHAnsi" w:cstheme="minorHAnsi"/>
          <w:sz w:val="22"/>
          <w:szCs w:val="22"/>
        </w:rPr>
        <w:t>T</w:t>
      </w:r>
      <w:r w:rsidRPr="00B35624">
        <w:rPr>
          <w:rFonts w:asciiTheme="minorHAnsi" w:hAnsiTheme="minorHAnsi" w:cstheme="minorHAnsi"/>
          <w:sz w:val="22"/>
          <w:szCs w:val="22"/>
        </w:rPr>
        <w:t xml:space="preserve">arget compliance date of 2013. </w:t>
      </w:r>
    </w:p>
    <w:p w14:paraId="0F6F9F05" w14:textId="77777777" w:rsidR="00B35624" w:rsidRDefault="00B35624" w:rsidP="00D662ED">
      <w:pPr>
        <w:pStyle w:val="NoSpacing"/>
        <w:jc w:val="both"/>
      </w:pPr>
    </w:p>
    <w:p w14:paraId="6A02EEAB" w14:textId="0BD053ED" w:rsidR="002D4DB6" w:rsidRDefault="009818EA" w:rsidP="00D662ED">
      <w:pPr>
        <w:pStyle w:val="NoSpacing"/>
        <w:jc w:val="both"/>
      </w:pPr>
      <w:r>
        <w:t xml:space="preserve">Proposed </w:t>
      </w:r>
      <w:r w:rsidR="002038D0">
        <w:t>amendments</w:t>
      </w:r>
      <w:r w:rsidR="008F40DE">
        <w:t xml:space="preserve"> to t</w:t>
      </w:r>
      <w:r w:rsidR="009A1D4A">
        <w:t xml:space="preserve">he NESAQ </w:t>
      </w:r>
      <w:r w:rsidR="008F40DE">
        <w:t>are</w:t>
      </w:r>
      <w:r w:rsidR="009A1D4A">
        <w:t xml:space="preserve"> now being </w:t>
      </w:r>
      <w:r w:rsidR="002038D0">
        <w:t>considered</w:t>
      </w:r>
      <w:r w:rsidR="009A1D4A">
        <w:t xml:space="preserve"> and a </w:t>
      </w:r>
      <w:r w:rsidR="002038D0">
        <w:t>consultation</w:t>
      </w:r>
      <w:r w:rsidR="009A1D4A">
        <w:t xml:space="preserve"> </w:t>
      </w:r>
      <w:r w:rsidR="001629C0">
        <w:t>document</w:t>
      </w:r>
      <w:r w:rsidR="009A1D4A">
        <w:t xml:space="preserve"> </w:t>
      </w:r>
      <w:r w:rsidR="00AC5F16">
        <w:t>is about to be</w:t>
      </w:r>
      <w:r w:rsidR="009A1D4A">
        <w:t xml:space="preserve"> published seeking feedback and answers to </w:t>
      </w:r>
      <w:r w:rsidR="001629C0">
        <w:t>specific</w:t>
      </w:r>
      <w:r w:rsidR="009A1D4A">
        <w:t xml:space="preserve"> questions from stakeholders and inter</w:t>
      </w:r>
      <w:r w:rsidR="001629C0">
        <w:t>e</w:t>
      </w:r>
      <w:r w:rsidR="009A1D4A">
        <w:t>s</w:t>
      </w:r>
      <w:r w:rsidR="001629C0">
        <w:t>t</w:t>
      </w:r>
      <w:r w:rsidR="009A1D4A">
        <w:t>ed parties.</w:t>
      </w:r>
    </w:p>
    <w:p w14:paraId="13781EEF" w14:textId="024781D5" w:rsidR="009A1D4A" w:rsidRDefault="009A1D4A" w:rsidP="00D662ED">
      <w:pPr>
        <w:pStyle w:val="NoSpacing"/>
        <w:jc w:val="both"/>
      </w:pPr>
    </w:p>
    <w:p w14:paraId="0C4C750A" w14:textId="3432E67F" w:rsidR="009A1D4A" w:rsidRDefault="009F5EB0" w:rsidP="00D662ED">
      <w:pPr>
        <w:pStyle w:val="NoSpacing"/>
        <w:jc w:val="both"/>
      </w:pPr>
      <w:r>
        <w:t>There have been many changes in solid fuel burn</w:t>
      </w:r>
      <w:r w:rsidR="00F334F1">
        <w:t xml:space="preserve">ers since the NESAQ was </w:t>
      </w:r>
      <w:r w:rsidR="001629C0">
        <w:t>originally</w:t>
      </w:r>
      <w:r w:rsidR="00F334F1">
        <w:t xml:space="preserve"> published</w:t>
      </w:r>
      <w:r w:rsidR="00303F4F">
        <w:t xml:space="preserve">.  New types of models have been developed and older models </w:t>
      </w:r>
      <w:r w:rsidR="001629C0">
        <w:t>phased</w:t>
      </w:r>
      <w:r w:rsidR="00303F4F">
        <w:t xml:space="preserve"> out.  </w:t>
      </w:r>
      <w:r w:rsidR="001629C0">
        <w:t>Levels</w:t>
      </w:r>
      <w:r w:rsidR="00B32449">
        <w:t xml:space="preserve"> of </w:t>
      </w:r>
      <w:r w:rsidR="0094303E">
        <w:t>particulate</w:t>
      </w:r>
      <w:r w:rsidR="00B32449">
        <w:t xml:space="preserve"> </w:t>
      </w:r>
      <w:r w:rsidR="0094303E">
        <w:t>emissions</w:t>
      </w:r>
      <w:r w:rsidR="00B32449">
        <w:t xml:space="preserve"> </w:t>
      </w:r>
      <w:r w:rsidR="00661409">
        <w:t xml:space="preserve">from </w:t>
      </w:r>
      <w:r w:rsidR="00365241">
        <w:t xml:space="preserve">new </w:t>
      </w:r>
      <w:r w:rsidR="00661409">
        <w:t xml:space="preserve">solid fuel burners </w:t>
      </w:r>
      <w:r w:rsidR="00B32449">
        <w:t xml:space="preserve">have decreased </w:t>
      </w:r>
      <w:r w:rsidR="001629C0">
        <w:t>considerably</w:t>
      </w:r>
      <w:r w:rsidR="00B32449">
        <w:t xml:space="preserve"> over </w:t>
      </w:r>
      <w:r w:rsidR="00661409">
        <w:t>that time</w:t>
      </w:r>
      <w:r w:rsidR="00C85470">
        <w:t xml:space="preserve">.  Regional </w:t>
      </w:r>
      <w:r w:rsidR="001629C0">
        <w:t>councils</w:t>
      </w:r>
      <w:r w:rsidR="00C85470">
        <w:t xml:space="preserve"> with polluted </w:t>
      </w:r>
      <w:r w:rsidR="0094303E">
        <w:t>airsheds</w:t>
      </w:r>
      <w:r w:rsidR="00C85470">
        <w:t xml:space="preserve"> have </w:t>
      </w:r>
      <w:r w:rsidR="00770641">
        <w:t>impl</w:t>
      </w:r>
      <w:r w:rsidR="001629C0">
        <w:t>eme</w:t>
      </w:r>
      <w:r w:rsidR="00770641">
        <w:t xml:space="preserve">nted a range of different </w:t>
      </w:r>
      <w:r w:rsidR="001629C0">
        <w:t>subsidy</w:t>
      </w:r>
      <w:r w:rsidR="00770641">
        <w:t xml:space="preserve"> and </w:t>
      </w:r>
      <w:r w:rsidR="0094303E">
        <w:t>incentive</w:t>
      </w:r>
      <w:r w:rsidR="00770641">
        <w:t xml:space="preserve"> </w:t>
      </w:r>
      <w:r w:rsidR="0094303E">
        <w:t>schemes</w:t>
      </w:r>
      <w:r w:rsidR="00770641">
        <w:t xml:space="preserve"> and </w:t>
      </w:r>
      <w:r w:rsidR="00E13AFE">
        <w:t xml:space="preserve">tightened </w:t>
      </w:r>
      <w:r w:rsidR="001629C0">
        <w:t>regulations</w:t>
      </w:r>
      <w:r w:rsidR="00E13AFE">
        <w:t xml:space="preserve"> as to </w:t>
      </w:r>
      <w:r w:rsidR="006C0F3D">
        <w:t xml:space="preserve">the level of emissions </w:t>
      </w:r>
      <w:r w:rsidR="00641692">
        <w:t>from new burners that</w:t>
      </w:r>
      <w:r w:rsidR="00E13AFE">
        <w:t xml:space="preserve"> can be installed in their </w:t>
      </w:r>
      <w:r w:rsidR="001629C0">
        <w:t>airsheds</w:t>
      </w:r>
      <w:r w:rsidR="00E13AFE">
        <w:t xml:space="preserve">.  Manufacturers have responded to these changes and </w:t>
      </w:r>
      <w:r w:rsidR="00170FFE">
        <w:t xml:space="preserve">market </w:t>
      </w:r>
      <w:r w:rsidR="001629C0">
        <w:t>opportunities</w:t>
      </w:r>
      <w:r w:rsidR="00E13AFE">
        <w:t xml:space="preserve"> by </w:t>
      </w:r>
      <w:r w:rsidR="0094303E">
        <w:t>developing</w:t>
      </w:r>
      <w:r w:rsidR="00E13AFE">
        <w:t xml:space="preserve"> or imp</w:t>
      </w:r>
      <w:r w:rsidR="001629C0">
        <w:t>o</w:t>
      </w:r>
      <w:r w:rsidR="00E13AFE">
        <w:t>rt</w:t>
      </w:r>
      <w:r w:rsidR="001629C0">
        <w:t>i</w:t>
      </w:r>
      <w:r w:rsidR="00E13AFE">
        <w:t xml:space="preserve">ng </w:t>
      </w:r>
      <w:r w:rsidR="004000A3">
        <w:t>burners</w:t>
      </w:r>
      <w:r w:rsidR="00E13AFE">
        <w:t xml:space="preserve"> that are cleaner burning.</w:t>
      </w:r>
    </w:p>
    <w:p w14:paraId="6FE6B004" w14:textId="7FFB745F" w:rsidR="00821590" w:rsidRDefault="00821590" w:rsidP="00D662ED">
      <w:pPr>
        <w:pStyle w:val="NoSpacing"/>
        <w:jc w:val="both"/>
      </w:pPr>
    </w:p>
    <w:p w14:paraId="6CAC6881" w14:textId="2E443D80" w:rsidR="00821590" w:rsidRDefault="00821590" w:rsidP="00D662ED">
      <w:pPr>
        <w:pStyle w:val="NoSpacing"/>
        <w:jc w:val="both"/>
      </w:pPr>
      <w:r>
        <w:t xml:space="preserve">The </w:t>
      </w:r>
      <w:r w:rsidR="004000A3">
        <w:t>Australasian</w:t>
      </w:r>
      <w:r>
        <w:t xml:space="preserve"> standards for measuring effi</w:t>
      </w:r>
      <w:r w:rsidR="004000A3">
        <w:t>cie</w:t>
      </w:r>
      <w:r>
        <w:t xml:space="preserve">ncy and </w:t>
      </w:r>
      <w:r w:rsidR="004000A3">
        <w:t>emissions</w:t>
      </w:r>
      <w:r>
        <w:t xml:space="preserve"> (</w:t>
      </w:r>
      <w:r w:rsidR="002C1700">
        <w:t xml:space="preserve">AS/NZS 4012: Domestic solid fuel burning appliances – method for determination of power output and efficiency </w:t>
      </w:r>
      <w:r>
        <w:t xml:space="preserve">and </w:t>
      </w:r>
      <w:r w:rsidR="00825699">
        <w:t xml:space="preserve">AS/NZS 4013: Domestic solid fuel burning appliances – method for determination of flue gas emission </w:t>
      </w:r>
      <w:r w:rsidR="004000A3">
        <w:t>respectively</w:t>
      </w:r>
      <w:r>
        <w:t>) were updated in 2014</w:t>
      </w:r>
      <w:r w:rsidR="00351E58">
        <w:t xml:space="preserve">.  </w:t>
      </w:r>
      <w:r w:rsidR="004000A3">
        <w:t>Additionally</w:t>
      </w:r>
      <w:r w:rsidR="00351E58">
        <w:t xml:space="preserve"> </w:t>
      </w:r>
      <w:r w:rsidR="004D0062">
        <w:t>Environment Canterbury</w:t>
      </w:r>
      <w:r w:rsidR="00351E58">
        <w:t xml:space="preserve"> has developed its own </w:t>
      </w:r>
      <w:r w:rsidR="004000A3">
        <w:t>real</w:t>
      </w:r>
      <w:r w:rsidR="00351E58">
        <w:t xml:space="preserve"> life testing </w:t>
      </w:r>
      <w:r w:rsidR="0094303E">
        <w:t>methodology</w:t>
      </w:r>
      <w:r w:rsidR="00351E58">
        <w:t xml:space="preserve"> and </w:t>
      </w:r>
      <w:r w:rsidR="00695BA1">
        <w:t xml:space="preserve">conceived </w:t>
      </w:r>
      <w:r w:rsidR="000C76C0">
        <w:t xml:space="preserve">a new </w:t>
      </w:r>
      <w:r w:rsidR="0094303E">
        <w:t>category</w:t>
      </w:r>
      <w:r w:rsidR="000C76C0">
        <w:t xml:space="preserve"> of woodburner</w:t>
      </w:r>
      <w:r w:rsidR="00B57222">
        <w:t xml:space="preserve">, the ultra-low emission woodburner </w:t>
      </w:r>
      <w:r w:rsidR="006864C0">
        <w:t>(</w:t>
      </w:r>
      <w:r w:rsidR="00B57222">
        <w:t>ULEB</w:t>
      </w:r>
      <w:r w:rsidR="006864C0">
        <w:t>)</w:t>
      </w:r>
      <w:r w:rsidR="008C6E20">
        <w:t xml:space="preserve">, as part of </w:t>
      </w:r>
      <w:r w:rsidR="007B5D2F">
        <w:t xml:space="preserve">their </w:t>
      </w:r>
      <w:r w:rsidR="0094303E">
        <w:t>efforts</w:t>
      </w:r>
      <w:r w:rsidR="007B5D2F">
        <w:t xml:space="preserve"> </w:t>
      </w:r>
      <w:r w:rsidR="0094303E">
        <w:t>to</w:t>
      </w:r>
      <w:r w:rsidR="007B5D2F">
        <w:t xml:space="preserve"> improve air quality in </w:t>
      </w:r>
      <w:r w:rsidR="0094303E">
        <w:t>Canterbury</w:t>
      </w:r>
      <w:r w:rsidR="007B5D2F">
        <w:t>.</w:t>
      </w:r>
    </w:p>
    <w:p w14:paraId="0048B411" w14:textId="0030A980" w:rsidR="00732282" w:rsidRDefault="00732282" w:rsidP="00D662ED">
      <w:pPr>
        <w:pStyle w:val="NoSpacing"/>
        <w:jc w:val="both"/>
      </w:pPr>
    </w:p>
    <w:p w14:paraId="65E34540" w14:textId="1B4117E2" w:rsidR="00732282" w:rsidRDefault="00732282" w:rsidP="00D662ED">
      <w:pPr>
        <w:pStyle w:val="NoSpacing"/>
        <w:jc w:val="both"/>
      </w:pPr>
      <w:r>
        <w:t xml:space="preserve">This </w:t>
      </w:r>
      <w:r w:rsidR="0094303E">
        <w:t>document</w:t>
      </w:r>
      <w:r>
        <w:t xml:space="preserve"> compiles </w:t>
      </w:r>
      <w:r w:rsidR="00170FFE">
        <w:t xml:space="preserve">research and </w:t>
      </w:r>
      <w:r w:rsidR="0094303E">
        <w:t>investigations</w:t>
      </w:r>
      <w:r w:rsidR="00DB3716">
        <w:t xml:space="preserve"> on </w:t>
      </w:r>
      <w:r w:rsidR="00170FFE">
        <w:t>n</w:t>
      </w:r>
      <w:r w:rsidR="0094303E">
        <w:t>u</w:t>
      </w:r>
      <w:r w:rsidR="00170FFE">
        <w:t>m</w:t>
      </w:r>
      <w:r w:rsidR="0094303E">
        <w:t>er</w:t>
      </w:r>
      <w:r w:rsidR="00170FFE">
        <w:t xml:space="preserve">ous issues related to the test methods and standards that will need to be </w:t>
      </w:r>
      <w:r w:rsidR="0094303E">
        <w:t>addressed</w:t>
      </w:r>
      <w:r w:rsidR="00170FFE">
        <w:t xml:space="preserve"> as part of the </w:t>
      </w:r>
      <w:r w:rsidR="002038D0">
        <w:t>consideration</w:t>
      </w:r>
      <w:r w:rsidR="00E0707C">
        <w:t xml:space="preserve"> of </w:t>
      </w:r>
      <w:r w:rsidR="002038D0">
        <w:t>proposed</w:t>
      </w:r>
      <w:r w:rsidR="00E0707C">
        <w:t xml:space="preserve"> </w:t>
      </w:r>
      <w:r w:rsidR="002038D0">
        <w:t>amendments</w:t>
      </w:r>
      <w:r w:rsidR="00E0707C">
        <w:t xml:space="preserve"> to the </w:t>
      </w:r>
      <w:r w:rsidR="00170FFE">
        <w:t>NESAQ.</w:t>
      </w:r>
    </w:p>
    <w:p w14:paraId="397F07DB" w14:textId="595D4203" w:rsidR="007167FE" w:rsidRDefault="007167FE" w:rsidP="00D662ED">
      <w:pPr>
        <w:pStyle w:val="NoSpacing"/>
        <w:jc w:val="both"/>
      </w:pPr>
    </w:p>
    <w:p w14:paraId="04C58B06" w14:textId="038585DE" w:rsidR="007167FE" w:rsidRPr="003A5344" w:rsidRDefault="00EE6F8C" w:rsidP="003A5344">
      <w:pPr>
        <w:pStyle w:val="Heading2"/>
        <w:numPr>
          <w:ilvl w:val="1"/>
          <w:numId w:val="6"/>
        </w:numPr>
        <w:rPr>
          <w:sz w:val="22"/>
          <w:szCs w:val="22"/>
        </w:rPr>
      </w:pPr>
      <w:bookmarkStart w:id="7" w:name="_Toc34586677"/>
      <w:r w:rsidRPr="003A5344">
        <w:rPr>
          <w:sz w:val="22"/>
          <w:szCs w:val="22"/>
        </w:rPr>
        <w:t>Approach</w:t>
      </w:r>
      <w:r w:rsidR="007167FE" w:rsidRPr="003A5344">
        <w:rPr>
          <w:sz w:val="22"/>
          <w:szCs w:val="22"/>
        </w:rPr>
        <w:t xml:space="preserve"> to this work</w:t>
      </w:r>
      <w:bookmarkEnd w:id="7"/>
    </w:p>
    <w:p w14:paraId="5DA4AA45" w14:textId="77777777" w:rsidR="007167FE" w:rsidRPr="007167FE" w:rsidRDefault="007167FE" w:rsidP="007167FE">
      <w:pPr>
        <w:rPr>
          <w:b/>
        </w:rPr>
      </w:pPr>
    </w:p>
    <w:p w14:paraId="69BA44AE" w14:textId="7374109C" w:rsidR="007167FE" w:rsidRDefault="00D51F3E" w:rsidP="00D662ED">
      <w:pPr>
        <w:pStyle w:val="NoSpacing"/>
        <w:jc w:val="both"/>
      </w:pPr>
      <w:r>
        <w:t>A pragmatic</w:t>
      </w:r>
      <w:r w:rsidR="000E71E6">
        <w:t xml:space="preserve"> </w:t>
      </w:r>
      <w:r w:rsidR="00EE6F8C">
        <w:t>approach</w:t>
      </w:r>
      <w:r w:rsidR="000E71E6">
        <w:t xml:space="preserve"> </w:t>
      </w:r>
      <w:r>
        <w:t xml:space="preserve">has been </w:t>
      </w:r>
      <w:r w:rsidR="000E71E6">
        <w:t xml:space="preserve">taken </w:t>
      </w:r>
      <w:r w:rsidR="00F25AB1">
        <w:t>to</w:t>
      </w:r>
      <w:r w:rsidR="000E71E6">
        <w:t xml:space="preserve"> this work</w:t>
      </w:r>
      <w:r w:rsidR="001268FA">
        <w:t xml:space="preserve">.  </w:t>
      </w:r>
      <w:r w:rsidR="004F763C">
        <w:t>The analysis and c</w:t>
      </w:r>
      <w:r w:rsidR="00EE6F8C">
        <w:t>ommentary</w:t>
      </w:r>
      <w:r w:rsidR="00E4367D">
        <w:t xml:space="preserve"> has been </w:t>
      </w:r>
      <w:r w:rsidR="00E81840">
        <w:t>prepared</w:t>
      </w:r>
      <w:r w:rsidR="0051135C">
        <w:t xml:space="preserve"> </w:t>
      </w:r>
      <w:r w:rsidR="00E4367D">
        <w:t xml:space="preserve">with a view to </w:t>
      </w:r>
      <w:r w:rsidR="00823248">
        <w:t xml:space="preserve">how national and local </w:t>
      </w:r>
      <w:r w:rsidR="00567C30">
        <w:t xml:space="preserve">air quality </w:t>
      </w:r>
      <w:r w:rsidR="00823248">
        <w:t xml:space="preserve">objectives </w:t>
      </w:r>
      <w:r w:rsidR="004F763C">
        <w:t xml:space="preserve">can </w:t>
      </w:r>
      <w:r w:rsidR="004368C5">
        <w:t xml:space="preserve">be met </w:t>
      </w:r>
      <w:r w:rsidR="00987FE2">
        <w:t xml:space="preserve">in a </w:t>
      </w:r>
      <w:r w:rsidR="00EE6F8C">
        <w:t>practica</w:t>
      </w:r>
      <w:r w:rsidR="007409C0">
        <w:t>l</w:t>
      </w:r>
      <w:r w:rsidR="00987FE2">
        <w:t xml:space="preserve"> </w:t>
      </w:r>
      <w:r w:rsidR="00531878">
        <w:t xml:space="preserve">and effective </w:t>
      </w:r>
      <w:r w:rsidR="00987FE2">
        <w:t xml:space="preserve">way </w:t>
      </w:r>
      <w:r w:rsidR="00796E75">
        <w:t xml:space="preserve">while </w:t>
      </w:r>
      <w:r w:rsidR="00092121">
        <w:t>minimising</w:t>
      </w:r>
      <w:r w:rsidR="00853951">
        <w:t xml:space="preserve"> </w:t>
      </w:r>
      <w:r w:rsidR="00AE61C1">
        <w:t>unnecessary</w:t>
      </w:r>
      <w:r w:rsidR="00853951">
        <w:t xml:space="preserve"> disruption to the activities of those in the industry </w:t>
      </w:r>
      <w:r w:rsidR="004F763C">
        <w:t>or to</w:t>
      </w:r>
      <w:r w:rsidR="00853951">
        <w:t xml:space="preserve"> </w:t>
      </w:r>
      <w:r w:rsidR="00AE61C1">
        <w:t>homeowners</w:t>
      </w:r>
      <w:r w:rsidR="00853951">
        <w:t>.</w:t>
      </w:r>
      <w:r w:rsidR="00415FA6">
        <w:t xml:space="preserve">  </w:t>
      </w:r>
      <w:r w:rsidR="00265843">
        <w:t>R</w:t>
      </w:r>
      <w:r w:rsidR="00CC207D">
        <w:t>ecommendations</w:t>
      </w:r>
      <w:r w:rsidR="00113842">
        <w:t xml:space="preserve"> </w:t>
      </w:r>
      <w:r w:rsidR="001808B2">
        <w:t xml:space="preserve">for changes </w:t>
      </w:r>
      <w:r w:rsidR="002038D0">
        <w:t>to</w:t>
      </w:r>
      <w:r w:rsidR="001808B2">
        <w:t xml:space="preserve"> be considered </w:t>
      </w:r>
      <w:r w:rsidR="00113842">
        <w:t xml:space="preserve">have been made </w:t>
      </w:r>
      <w:r w:rsidR="00321170">
        <w:t xml:space="preserve">with the intention of </w:t>
      </w:r>
      <w:r w:rsidR="00E81840">
        <w:t>avoid</w:t>
      </w:r>
      <w:r w:rsidR="00321170">
        <w:t>ing</w:t>
      </w:r>
      <w:r w:rsidR="001D1311" w:rsidRPr="001D1311">
        <w:t xml:space="preserve"> </w:t>
      </w:r>
      <w:r w:rsidR="00B57233">
        <w:t>situations</w:t>
      </w:r>
      <w:r w:rsidR="00DF7653">
        <w:t xml:space="preserve"> that would </w:t>
      </w:r>
      <w:r w:rsidR="001D1311">
        <w:t xml:space="preserve">deliver very little in the way of </w:t>
      </w:r>
      <w:r w:rsidR="0091549E">
        <w:t xml:space="preserve">air quality </w:t>
      </w:r>
      <w:r w:rsidR="001D1311">
        <w:t>improvement</w:t>
      </w:r>
      <w:r w:rsidR="00113842">
        <w:t xml:space="preserve"> </w:t>
      </w:r>
      <w:r w:rsidR="00DF7653">
        <w:t xml:space="preserve">but </w:t>
      </w:r>
      <w:r w:rsidR="00EF14A4">
        <w:t xml:space="preserve">may </w:t>
      </w:r>
      <w:r w:rsidR="00842977">
        <w:t xml:space="preserve">potentially </w:t>
      </w:r>
      <w:r w:rsidR="00DF7653">
        <w:t>introduc</w:t>
      </w:r>
      <w:r w:rsidR="00EF14A4">
        <w:t>e</w:t>
      </w:r>
      <w:r w:rsidR="00B5681B">
        <w:t xml:space="preserve"> </w:t>
      </w:r>
      <w:r w:rsidR="00CC207D">
        <w:t>unintended</w:t>
      </w:r>
      <w:r w:rsidR="00003F74">
        <w:t xml:space="preserve"> negative </w:t>
      </w:r>
      <w:r w:rsidR="00E250D7">
        <w:t>consequences</w:t>
      </w:r>
      <w:r w:rsidR="00DF7653">
        <w:t>.</w:t>
      </w:r>
    </w:p>
    <w:p w14:paraId="1537D383" w14:textId="4124356A" w:rsidR="008A277E" w:rsidRDefault="008A277E">
      <w:pPr>
        <w:spacing w:before="0" w:after="200" w:line="276" w:lineRule="auto"/>
        <w:jc w:val="left"/>
        <w:rPr>
          <w:rFonts w:eastAsiaTheme="minorHAnsi" w:cstheme="minorBidi"/>
          <w:szCs w:val="22"/>
          <w:lang w:val="en-NZ"/>
        </w:rPr>
      </w:pPr>
      <w:r>
        <w:br w:type="page"/>
      </w:r>
    </w:p>
    <w:p w14:paraId="2522007F" w14:textId="77777777" w:rsidR="008B745E" w:rsidRDefault="008B745E" w:rsidP="00D662ED">
      <w:pPr>
        <w:pStyle w:val="NoSpacing"/>
        <w:ind w:left="360"/>
        <w:jc w:val="both"/>
      </w:pPr>
    </w:p>
    <w:p w14:paraId="6F11DE83" w14:textId="2DEC2245" w:rsidR="00722153" w:rsidRPr="003A5344" w:rsidRDefault="00722153" w:rsidP="003A5344">
      <w:pPr>
        <w:pStyle w:val="Heading2"/>
        <w:numPr>
          <w:ilvl w:val="1"/>
          <w:numId w:val="6"/>
        </w:numPr>
        <w:rPr>
          <w:sz w:val="22"/>
          <w:szCs w:val="22"/>
        </w:rPr>
      </w:pPr>
      <w:bookmarkStart w:id="8" w:name="_Toc34586678"/>
      <w:r w:rsidRPr="003A5344">
        <w:rPr>
          <w:sz w:val="22"/>
          <w:szCs w:val="22"/>
        </w:rPr>
        <w:t xml:space="preserve">Issues addressed in this </w:t>
      </w:r>
      <w:r w:rsidR="00E955EE" w:rsidRPr="003A5344">
        <w:rPr>
          <w:sz w:val="22"/>
          <w:szCs w:val="22"/>
        </w:rPr>
        <w:t>document</w:t>
      </w:r>
      <w:bookmarkEnd w:id="8"/>
      <w:r w:rsidRPr="003A5344">
        <w:rPr>
          <w:sz w:val="22"/>
          <w:szCs w:val="22"/>
        </w:rPr>
        <w:t xml:space="preserve"> </w:t>
      </w:r>
    </w:p>
    <w:p w14:paraId="1B9246E5" w14:textId="77777777" w:rsidR="00722153" w:rsidRDefault="00722153" w:rsidP="00722153">
      <w:pPr>
        <w:pStyle w:val="NoSpacing"/>
        <w:jc w:val="both"/>
      </w:pPr>
    </w:p>
    <w:p w14:paraId="2A18F6EE" w14:textId="66801964" w:rsidR="00AF1DD1" w:rsidRDefault="000A7B82" w:rsidP="00AF1DD1">
      <w:pPr>
        <w:pStyle w:val="NoSpacing"/>
        <w:jc w:val="both"/>
      </w:pPr>
      <w:r>
        <w:t xml:space="preserve">In order </w:t>
      </w:r>
      <w:r w:rsidR="00E955EE">
        <w:t>to</w:t>
      </w:r>
      <w:r>
        <w:t xml:space="preserve"> meet the overall objectives of th</w:t>
      </w:r>
      <w:r w:rsidR="00873C5C">
        <w:t xml:space="preserve">e research </w:t>
      </w:r>
      <w:r w:rsidR="00B12D57">
        <w:t>incorporated</w:t>
      </w:r>
      <w:r w:rsidR="00C67BD5">
        <w:t xml:space="preserve"> with</w:t>
      </w:r>
      <w:r w:rsidR="00873C5C">
        <w:t xml:space="preserve">in this </w:t>
      </w:r>
      <w:r w:rsidR="00E955EE">
        <w:t>document</w:t>
      </w:r>
      <w:r w:rsidR="00873C5C">
        <w:t xml:space="preserve">, </w:t>
      </w:r>
      <w:r w:rsidR="00E12119">
        <w:t xml:space="preserve">a number of questions and issues are to be addressed and </w:t>
      </w:r>
      <w:r w:rsidR="00555BE5">
        <w:t xml:space="preserve">these were agreed in </w:t>
      </w:r>
      <w:r w:rsidR="00E955EE">
        <w:t>consultation</w:t>
      </w:r>
      <w:r w:rsidR="00555BE5">
        <w:t xml:space="preserve"> with </w:t>
      </w:r>
      <w:r w:rsidR="004D0062">
        <w:t>Ministry for the Environment</w:t>
      </w:r>
      <w:r w:rsidR="00555BE5">
        <w:t xml:space="preserve">.  Given that some of these issues </w:t>
      </w:r>
      <w:r w:rsidR="00E955EE">
        <w:t>overlapped</w:t>
      </w:r>
      <w:r w:rsidR="00964B3F">
        <w:t xml:space="preserve">, the structure of this report does not </w:t>
      </w:r>
      <w:r w:rsidR="00531A29">
        <w:t>work through these issues one by one</w:t>
      </w:r>
      <w:r w:rsidR="00AF1DD1">
        <w:t xml:space="preserve">.  Rather, some </w:t>
      </w:r>
      <w:r w:rsidR="00E955EE">
        <w:t>groupings</w:t>
      </w:r>
      <w:r w:rsidR="00AF1DD1">
        <w:t xml:space="preserve"> have been made.  The </w:t>
      </w:r>
      <w:r w:rsidR="00E955EE">
        <w:t>following</w:t>
      </w:r>
      <w:r w:rsidR="00AF1DD1">
        <w:t xml:space="preserve"> table shows the </w:t>
      </w:r>
      <w:r w:rsidR="00E955EE">
        <w:t>original</w:t>
      </w:r>
      <w:r w:rsidR="00AF1DD1">
        <w:t xml:space="preserve"> issues to be </w:t>
      </w:r>
      <w:r w:rsidR="00E955EE">
        <w:t>addressed</w:t>
      </w:r>
      <w:r w:rsidR="00AF1DD1">
        <w:t xml:space="preserve"> and where the discussion </w:t>
      </w:r>
      <w:r w:rsidR="00E955EE">
        <w:t>appears</w:t>
      </w:r>
      <w:r w:rsidR="00AF1DD1">
        <w:t xml:space="preserve"> in this </w:t>
      </w:r>
      <w:r w:rsidR="00E955EE">
        <w:t>document</w:t>
      </w:r>
      <w:r w:rsidR="00AF1DD1">
        <w:t>.</w:t>
      </w:r>
    </w:p>
    <w:p w14:paraId="5B5B00E5" w14:textId="4D3E3CCA" w:rsidR="001C5BBD" w:rsidRDefault="001C5BBD" w:rsidP="00AF1DD1">
      <w:pPr>
        <w:pStyle w:val="NoSpacing"/>
        <w:jc w:val="both"/>
      </w:pPr>
    </w:p>
    <w:p w14:paraId="67AEE4ED" w14:textId="22F85E70" w:rsidR="001C5BBD" w:rsidRPr="00EA2B3D" w:rsidRDefault="00451F83" w:rsidP="00451F83">
      <w:pPr>
        <w:pStyle w:val="Caption"/>
        <w:rPr>
          <w:sz w:val="22"/>
          <w:szCs w:val="22"/>
        </w:rPr>
      </w:pPr>
      <w:r w:rsidRPr="00EA2B3D">
        <w:rPr>
          <w:sz w:val="22"/>
          <w:szCs w:val="22"/>
        </w:rPr>
        <w:t xml:space="preserve">Table </w:t>
      </w:r>
      <w:r w:rsidRPr="00EA2B3D">
        <w:rPr>
          <w:sz w:val="22"/>
          <w:szCs w:val="22"/>
        </w:rPr>
        <w:fldChar w:fldCharType="begin"/>
      </w:r>
      <w:r w:rsidRPr="00EA2B3D">
        <w:rPr>
          <w:sz w:val="22"/>
          <w:szCs w:val="22"/>
        </w:rPr>
        <w:instrText xml:space="preserve"> SEQ Table \* ARABIC </w:instrText>
      </w:r>
      <w:r w:rsidRPr="00EA2B3D">
        <w:rPr>
          <w:sz w:val="22"/>
          <w:szCs w:val="22"/>
        </w:rPr>
        <w:fldChar w:fldCharType="separate"/>
      </w:r>
      <w:r w:rsidR="00CD682F">
        <w:rPr>
          <w:noProof/>
          <w:sz w:val="22"/>
          <w:szCs w:val="22"/>
        </w:rPr>
        <w:t>1</w:t>
      </w:r>
      <w:r w:rsidRPr="00EA2B3D">
        <w:rPr>
          <w:sz w:val="22"/>
          <w:szCs w:val="22"/>
        </w:rPr>
        <w:fldChar w:fldCharType="end"/>
      </w:r>
      <w:r w:rsidR="00314BB0" w:rsidRPr="00EA2B3D">
        <w:rPr>
          <w:sz w:val="22"/>
          <w:szCs w:val="22"/>
        </w:rPr>
        <w:t xml:space="preserve">: </w:t>
      </w:r>
      <w:r w:rsidR="001C5BBD" w:rsidRPr="00EA2B3D">
        <w:rPr>
          <w:sz w:val="22"/>
          <w:szCs w:val="22"/>
        </w:rPr>
        <w:t>Issues to be Addressed</w:t>
      </w:r>
    </w:p>
    <w:p w14:paraId="5B82CB8F" w14:textId="1AC5DC62" w:rsidR="00722153" w:rsidRDefault="00964B3F" w:rsidP="00722153">
      <w:pPr>
        <w:pStyle w:val="NoSpacing"/>
        <w:ind w:left="360"/>
        <w:jc w:val="both"/>
      </w:pPr>
      <w:r>
        <w:t xml:space="preserve"> </w:t>
      </w:r>
    </w:p>
    <w:tbl>
      <w:tblPr>
        <w:tblStyle w:val="TableGrid"/>
        <w:tblW w:w="0" w:type="auto"/>
        <w:tblInd w:w="720" w:type="dxa"/>
        <w:tblLook w:val="04A0" w:firstRow="1" w:lastRow="0" w:firstColumn="1" w:lastColumn="0" w:noHBand="0" w:noVBand="1"/>
      </w:tblPr>
      <w:tblGrid>
        <w:gridCol w:w="7114"/>
        <w:gridCol w:w="1680"/>
      </w:tblGrid>
      <w:tr w:rsidR="00A7133F" w:rsidRPr="005F1303" w14:paraId="6214ABCA" w14:textId="77777777" w:rsidTr="00FA697E">
        <w:tc>
          <w:tcPr>
            <w:tcW w:w="7114" w:type="dxa"/>
          </w:tcPr>
          <w:p w14:paraId="14023FBB" w14:textId="34646705" w:rsidR="00A7133F" w:rsidRPr="005F1303" w:rsidRDefault="00A7133F" w:rsidP="007D6CDC">
            <w:pPr>
              <w:pStyle w:val="NoSpacing"/>
              <w:jc w:val="center"/>
              <w:rPr>
                <w:rFonts w:eastAsia="Times New Roman"/>
                <w:b/>
                <w:bCs/>
              </w:rPr>
            </w:pPr>
            <w:bookmarkStart w:id="9" w:name="_Toc337739542"/>
            <w:r w:rsidRPr="005F1303">
              <w:rPr>
                <w:rFonts w:eastAsia="Times New Roman"/>
                <w:b/>
                <w:bCs/>
              </w:rPr>
              <w:t>Issue</w:t>
            </w:r>
            <w:r w:rsidR="00BD714C">
              <w:rPr>
                <w:rFonts w:eastAsia="Times New Roman"/>
                <w:b/>
                <w:bCs/>
              </w:rPr>
              <w:t>s</w:t>
            </w:r>
            <w:r w:rsidRPr="005F1303">
              <w:rPr>
                <w:rFonts w:eastAsia="Times New Roman"/>
                <w:b/>
                <w:bCs/>
              </w:rPr>
              <w:t xml:space="preserve"> to be addressed</w:t>
            </w:r>
          </w:p>
        </w:tc>
        <w:tc>
          <w:tcPr>
            <w:tcW w:w="1680" w:type="dxa"/>
          </w:tcPr>
          <w:p w14:paraId="355391FF" w14:textId="77777777" w:rsidR="00A7133F" w:rsidRPr="005F1303" w:rsidRDefault="00A7133F" w:rsidP="007D6CDC">
            <w:pPr>
              <w:pStyle w:val="NoSpacing"/>
              <w:jc w:val="center"/>
              <w:rPr>
                <w:rFonts w:eastAsia="Times New Roman"/>
                <w:b/>
                <w:bCs/>
              </w:rPr>
            </w:pPr>
            <w:r w:rsidRPr="005F1303">
              <w:rPr>
                <w:rFonts w:eastAsia="Times New Roman"/>
                <w:b/>
                <w:bCs/>
              </w:rPr>
              <w:t>Report section r</w:t>
            </w:r>
            <w:r>
              <w:rPr>
                <w:rFonts w:eastAsia="Times New Roman"/>
                <w:b/>
                <w:bCs/>
              </w:rPr>
              <w:t>e</w:t>
            </w:r>
            <w:r w:rsidRPr="005F1303">
              <w:rPr>
                <w:rFonts w:eastAsia="Times New Roman"/>
                <w:b/>
                <w:bCs/>
              </w:rPr>
              <w:t>fer</w:t>
            </w:r>
            <w:r>
              <w:rPr>
                <w:rFonts w:eastAsia="Times New Roman"/>
                <w:b/>
                <w:bCs/>
              </w:rPr>
              <w:t>e</w:t>
            </w:r>
            <w:r w:rsidRPr="005F1303">
              <w:rPr>
                <w:rFonts w:eastAsia="Times New Roman"/>
                <w:b/>
                <w:bCs/>
              </w:rPr>
              <w:t>nce(s)</w:t>
            </w:r>
          </w:p>
        </w:tc>
      </w:tr>
      <w:tr w:rsidR="00A7133F" w:rsidRPr="005F1303" w14:paraId="4DD04F21" w14:textId="77777777" w:rsidTr="00FA697E">
        <w:tc>
          <w:tcPr>
            <w:tcW w:w="7114" w:type="dxa"/>
          </w:tcPr>
          <w:p w14:paraId="4E0F6183"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Brief overview of the current requirements and standards</w:t>
            </w:r>
          </w:p>
        </w:tc>
        <w:tc>
          <w:tcPr>
            <w:tcW w:w="1680" w:type="dxa"/>
          </w:tcPr>
          <w:p w14:paraId="3F1CC577" w14:textId="5543CBE6"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_Ref31890449 \r \h </w:instrText>
            </w:r>
            <w:r>
              <w:rPr>
                <w:rFonts w:eastAsia="Times New Roman"/>
              </w:rPr>
            </w:r>
            <w:r>
              <w:rPr>
                <w:rFonts w:eastAsia="Times New Roman"/>
              </w:rPr>
              <w:fldChar w:fldCharType="separate"/>
            </w:r>
            <w:r w:rsidR="00CD682F">
              <w:rPr>
                <w:rFonts w:eastAsia="Times New Roman"/>
              </w:rPr>
              <w:t>3.1</w:t>
            </w:r>
            <w:r>
              <w:rPr>
                <w:rFonts w:eastAsia="Times New Roman"/>
              </w:rPr>
              <w:fldChar w:fldCharType="end"/>
            </w:r>
            <w:r>
              <w:rPr>
                <w:rFonts w:eastAsia="Times New Roman"/>
              </w:rPr>
              <w:t xml:space="preserve">, </w:t>
            </w:r>
            <w:r>
              <w:rPr>
                <w:rFonts w:eastAsia="Times New Roman"/>
              </w:rPr>
              <w:fldChar w:fldCharType="begin"/>
            </w:r>
            <w:r>
              <w:rPr>
                <w:rFonts w:eastAsia="Times New Roman"/>
              </w:rPr>
              <w:instrText xml:space="preserve"> REF _Ref31873751 \r \h </w:instrText>
            </w:r>
            <w:r>
              <w:rPr>
                <w:rFonts w:eastAsia="Times New Roman"/>
              </w:rPr>
            </w:r>
            <w:r>
              <w:rPr>
                <w:rFonts w:eastAsia="Times New Roman"/>
              </w:rPr>
              <w:fldChar w:fldCharType="separate"/>
            </w:r>
            <w:r w:rsidR="00CD682F">
              <w:rPr>
                <w:rFonts w:eastAsia="Times New Roman"/>
              </w:rPr>
              <w:t>3.2</w:t>
            </w:r>
            <w:r>
              <w:rPr>
                <w:rFonts w:eastAsia="Times New Roman"/>
              </w:rPr>
              <w:fldChar w:fldCharType="end"/>
            </w:r>
            <w:r>
              <w:rPr>
                <w:rFonts w:eastAsia="Times New Roman"/>
              </w:rPr>
              <w:t xml:space="preserve">, </w:t>
            </w:r>
            <w:r w:rsidR="008664C1">
              <w:rPr>
                <w:rFonts w:eastAsia="Times New Roman"/>
              </w:rPr>
              <w:fldChar w:fldCharType="begin"/>
            </w:r>
            <w:r w:rsidR="008664C1">
              <w:rPr>
                <w:rFonts w:eastAsia="Times New Roman"/>
              </w:rPr>
              <w:instrText xml:space="preserve"> REF _Ref34584575 \r \h </w:instrText>
            </w:r>
            <w:r w:rsidR="008664C1">
              <w:rPr>
                <w:rFonts w:eastAsia="Times New Roman"/>
              </w:rPr>
            </w:r>
            <w:r w:rsidR="008664C1">
              <w:rPr>
                <w:rFonts w:eastAsia="Times New Roman"/>
              </w:rPr>
              <w:fldChar w:fldCharType="separate"/>
            </w:r>
            <w:r w:rsidR="008664C1">
              <w:rPr>
                <w:rFonts w:eastAsia="Times New Roman"/>
              </w:rPr>
              <w:t>3.3</w:t>
            </w:r>
            <w:r w:rsidR="008664C1">
              <w:rPr>
                <w:rFonts w:eastAsia="Times New Roman"/>
              </w:rPr>
              <w:fldChar w:fldCharType="end"/>
            </w:r>
          </w:p>
        </w:tc>
      </w:tr>
      <w:tr w:rsidR="00A7133F" w:rsidRPr="005F1303" w14:paraId="3DDCC90D" w14:textId="77777777" w:rsidTr="00FA697E">
        <w:tc>
          <w:tcPr>
            <w:tcW w:w="7114" w:type="dxa"/>
          </w:tcPr>
          <w:p w14:paraId="4B788A37" w14:textId="77777777" w:rsidR="00A7133F" w:rsidRDefault="00A7133F" w:rsidP="00440E89">
            <w:pPr>
              <w:pStyle w:val="NoSpacing"/>
              <w:numPr>
                <w:ilvl w:val="0"/>
                <w:numId w:val="14"/>
              </w:numPr>
              <w:ind w:left="590" w:hanging="590"/>
              <w:rPr>
                <w:rFonts w:eastAsia="Times New Roman"/>
              </w:rPr>
            </w:pPr>
            <w:r w:rsidRPr="005F1303">
              <w:rPr>
                <w:rFonts w:eastAsia="Times New Roman"/>
              </w:rPr>
              <w:t>Discuss different options that may be available and their pros and cons etc including:</w:t>
            </w:r>
          </w:p>
          <w:p w14:paraId="6A5B4907" w14:textId="77777777" w:rsidR="00A7133F" w:rsidRDefault="00A7133F" w:rsidP="00440E89">
            <w:pPr>
              <w:pStyle w:val="NoSpacing"/>
              <w:numPr>
                <w:ilvl w:val="0"/>
                <w:numId w:val="15"/>
              </w:numPr>
              <w:ind w:firstLine="12"/>
              <w:rPr>
                <w:rFonts w:eastAsia="Times New Roman"/>
              </w:rPr>
            </w:pPr>
            <w:r w:rsidRPr="005F1303">
              <w:rPr>
                <w:rFonts w:eastAsia="Times New Roman"/>
              </w:rPr>
              <w:t>International standards</w:t>
            </w:r>
          </w:p>
          <w:p w14:paraId="4B0D84B5" w14:textId="5CE3AA15" w:rsidR="00A7133F" w:rsidRDefault="004D0062" w:rsidP="00440E89">
            <w:pPr>
              <w:pStyle w:val="NoSpacing"/>
              <w:numPr>
                <w:ilvl w:val="0"/>
                <w:numId w:val="15"/>
              </w:numPr>
              <w:ind w:firstLine="12"/>
              <w:rPr>
                <w:rFonts w:eastAsia="Times New Roman"/>
              </w:rPr>
            </w:pPr>
            <w:r>
              <w:rPr>
                <w:rFonts w:eastAsia="Times New Roman"/>
              </w:rPr>
              <w:t>Environment Canterbury</w:t>
            </w:r>
            <w:r w:rsidR="00A7133F" w:rsidRPr="005F1303">
              <w:rPr>
                <w:rFonts w:eastAsia="Times New Roman"/>
              </w:rPr>
              <w:t>’s Canterbury method (CM1)</w:t>
            </w:r>
          </w:p>
          <w:p w14:paraId="60A8F48F" w14:textId="77777777" w:rsidR="00A7133F" w:rsidRPr="005F1303" w:rsidRDefault="00A7133F" w:rsidP="00440E89">
            <w:pPr>
              <w:pStyle w:val="NoSpacing"/>
              <w:numPr>
                <w:ilvl w:val="0"/>
                <w:numId w:val="15"/>
              </w:numPr>
              <w:ind w:firstLine="12"/>
              <w:rPr>
                <w:rFonts w:eastAsia="Times New Roman"/>
              </w:rPr>
            </w:pPr>
            <w:r w:rsidRPr="005F1303">
              <w:rPr>
                <w:rFonts w:eastAsia="Times New Roman"/>
              </w:rPr>
              <w:t>Potential changes to AS/NZS 4012 and 4013</w:t>
            </w:r>
          </w:p>
        </w:tc>
        <w:tc>
          <w:tcPr>
            <w:tcW w:w="1680" w:type="dxa"/>
          </w:tcPr>
          <w:p w14:paraId="4CBB05DD" w14:textId="345C937C" w:rsidR="00A7133F" w:rsidRPr="005F1303" w:rsidRDefault="00DE1FAC" w:rsidP="007D6CDC">
            <w:pPr>
              <w:pStyle w:val="NoSpacing"/>
              <w:rPr>
                <w:rFonts w:eastAsia="Times New Roman"/>
              </w:rPr>
            </w:pPr>
            <w:r>
              <w:rPr>
                <w:rFonts w:eastAsia="Times New Roman"/>
              </w:rPr>
              <w:fldChar w:fldCharType="begin"/>
            </w:r>
            <w:r>
              <w:rPr>
                <w:rFonts w:eastAsia="Times New Roman"/>
              </w:rPr>
              <w:instrText xml:space="preserve"> REF _Ref34584598 \r \h </w:instrText>
            </w:r>
            <w:r>
              <w:rPr>
                <w:rFonts w:eastAsia="Times New Roman"/>
              </w:rPr>
            </w:r>
            <w:r>
              <w:rPr>
                <w:rFonts w:eastAsia="Times New Roman"/>
              </w:rPr>
              <w:fldChar w:fldCharType="separate"/>
            </w:r>
            <w:r>
              <w:rPr>
                <w:rFonts w:eastAsia="Times New Roman"/>
              </w:rPr>
              <w:t>3.9</w:t>
            </w:r>
            <w:r>
              <w:rPr>
                <w:rFonts w:eastAsia="Times New Roman"/>
              </w:rPr>
              <w:fldChar w:fldCharType="end"/>
            </w:r>
          </w:p>
        </w:tc>
      </w:tr>
      <w:tr w:rsidR="00A7133F" w:rsidRPr="005F1303" w14:paraId="4AB1D906" w14:textId="77777777" w:rsidTr="00FA697E">
        <w:tc>
          <w:tcPr>
            <w:tcW w:w="7114" w:type="dxa"/>
          </w:tcPr>
          <w:p w14:paraId="5A19C26D" w14:textId="5033AC2A" w:rsidR="00A7133F" w:rsidRPr="005F1303" w:rsidRDefault="00A7133F" w:rsidP="00440E89">
            <w:pPr>
              <w:pStyle w:val="NoSpacing"/>
              <w:numPr>
                <w:ilvl w:val="0"/>
                <w:numId w:val="14"/>
              </w:numPr>
              <w:ind w:left="590" w:hanging="590"/>
              <w:rPr>
                <w:rFonts w:eastAsia="Times New Roman"/>
              </w:rPr>
            </w:pPr>
            <w:r w:rsidRPr="005F1303">
              <w:rPr>
                <w:rFonts w:eastAsia="Times New Roman"/>
              </w:rPr>
              <w:t>Ensure all current and likely future solid fuel burner types will be included within the scope of a</w:t>
            </w:r>
            <w:r w:rsidR="00AC4737">
              <w:rPr>
                <w:rFonts w:eastAsia="Times New Roman"/>
              </w:rPr>
              <w:t xml:space="preserve">n amended </w:t>
            </w:r>
            <w:r w:rsidRPr="005F1303">
              <w:rPr>
                <w:rFonts w:eastAsia="Times New Roman"/>
              </w:rPr>
              <w:t>NESAQ</w:t>
            </w:r>
          </w:p>
        </w:tc>
        <w:tc>
          <w:tcPr>
            <w:tcW w:w="1680" w:type="dxa"/>
          </w:tcPr>
          <w:p w14:paraId="2944AD1C" w14:textId="7AB5E2BD"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_Ref31873991 \r \h </w:instrText>
            </w:r>
            <w:r>
              <w:rPr>
                <w:rFonts w:eastAsia="Times New Roman"/>
              </w:rPr>
            </w:r>
            <w:r>
              <w:rPr>
                <w:rFonts w:eastAsia="Times New Roman"/>
              </w:rPr>
              <w:fldChar w:fldCharType="separate"/>
            </w:r>
            <w:r w:rsidR="00CD682F">
              <w:rPr>
                <w:rFonts w:eastAsia="Times New Roman"/>
              </w:rPr>
              <w:t>3.8</w:t>
            </w:r>
            <w:r>
              <w:rPr>
                <w:rFonts w:eastAsia="Times New Roman"/>
              </w:rPr>
              <w:fldChar w:fldCharType="end"/>
            </w:r>
          </w:p>
        </w:tc>
      </w:tr>
      <w:tr w:rsidR="00A7133F" w:rsidRPr="005F1303" w14:paraId="1C57EC38" w14:textId="77777777" w:rsidTr="00FA697E">
        <w:tc>
          <w:tcPr>
            <w:tcW w:w="7114" w:type="dxa"/>
          </w:tcPr>
          <w:p w14:paraId="23DF8A75"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Ensure all current and likely future solid fuel burner types will be included in a testing regime</w:t>
            </w:r>
          </w:p>
        </w:tc>
        <w:tc>
          <w:tcPr>
            <w:tcW w:w="1680" w:type="dxa"/>
          </w:tcPr>
          <w:p w14:paraId="51CF64B9" w14:textId="58A95BC1"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_Ref31873991 \r \h </w:instrText>
            </w:r>
            <w:r>
              <w:rPr>
                <w:rFonts w:eastAsia="Times New Roman"/>
              </w:rPr>
            </w:r>
            <w:r>
              <w:rPr>
                <w:rFonts w:eastAsia="Times New Roman"/>
              </w:rPr>
              <w:fldChar w:fldCharType="separate"/>
            </w:r>
            <w:r w:rsidR="00CD682F">
              <w:rPr>
                <w:rFonts w:eastAsia="Times New Roman"/>
              </w:rPr>
              <w:t>3.8</w:t>
            </w:r>
            <w:r>
              <w:rPr>
                <w:rFonts w:eastAsia="Times New Roman"/>
              </w:rPr>
              <w:fldChar w:fldCharType="end"/>
            </w:r>
          </w:p>
        </w:tc>
      </w:tr>
      <w:tr w:rsidR="00A7133F" w:rsidRPr="005F1303" w14:paraId="72DBBCF9" w14:textId="77777777" w:rsidTr="00FA697E">
        <w:tc>
          <w:tcPr>
            <w:tcW w:w="7114" w:type="dxa"/>
          </w:tcPr>
          <w:p w14:paraId="740DE01B"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Address any conflicts or circularities between standards, NESAQ etc</w:t>
            </w:r>
          </w:p>
        </w:tc>
        <w:tc>
          <w:tcPr>
            <w:tcW w:w="1680" w:type="dxa"/>
          </w:tcPr>
          <w:p w14:paraId="535B5BC0" w14:textId="38C5EF2A"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_Ref31873991 \r \h </w:instrText>
            </w:r>
            <w:r>
              <w:rPr>
                <w:rFonts w:eastAsia="Times New Roman"/>
              </w:rPr>
            </w:r>
            <w:r>
              <w:rPr>
                <w:rFonts w:eastAsia="Times New Roman"/>
              </w:rPr>
              <w:fldChar w:fldCharType="separate"/>
            </w:r>
            <w:r w:rsidR="00CD682F">
              <w:rPr>
                <w:rFonts w:eastAsia="Times New Roman"/>
              </w:rPr>
              <w:t>3.8</w:t>
            </w:r>
            <w:r>
              <w:rPr>
                <w:rFonts w:eastAsia="Times New Roman"/>
              </w:rPr>
              <w:fldChar w:fldCharType="end"/>
            </w:r>
          </w:p>
        </w:tc>
      </w:tr>
      <w:tr w:rsidR="00A7133F" w:rsidRPr="005F1303" w14:paraId="2894834C" w14:textId="77777777" w:rsidTr="00FA697E">
        <w:tc>
          <w:tcPr>
            <w:tcW w:w="7114" w:type="dxa"/>
          </w:tcPr>
          <w:p w14:paraId="72ED8FB2"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Real life testing (CM1) vs laboratory testing (AS/NZS 4012/4013), noting key differences, pros and cons etc.</w:t>
            </w:r>
          </w:p>
        </w:tc>
        <w:tc>
          <w:tcPr>
            <w:tcW w:w="1680" w:type="dxa"/>
          </w:tcPr>
          <w:p w14:paraId="1EAE8798" w14:textId="4CFFF888"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_Ref31871502 \r \h </w:instrText>
            </w:r>
            <w:r>
              <w:rPr>
                <w:rFonts w:eastAsia="Times New Roman"/>
              </w:rPr>
            </w:r>
            <w:r>
              <w:rPr>
                <w:rFonts w:eastAsia="Times New Roman"/>
              </w:rPr>
              <w:fldChar w:fldCharType="separate"/>
            </w:r>
            <w:r w:rsidR="00CD682F">
              <w:rPr>
                <w:rFonts w:eastAsia="Times New Roman"/>
              </w:rPr>
              <w:t>3.10</w:t>
            </w:r>
            <w:r>
              <w:rPr>
                <w:rFonts w:eastAsia="Times New Roman"/>
              </w:rPr>
              <w:fldChar w:fldCharType="end"/>
            </w:r>
          </w:p>
        </w:tc>
      </w:tr>
      <w:tr w:rsidR="00A7133F" w:rsidRPr="005F1303" w14:paraId="49B2E197" w14:textId="77777777" w:rsidTr="00FA697E">
        <w:tc>
          <w:tcPr>
            <w:tcW w:w="7114" w:type="dxa"/>
          </w:tcPr>
          <w:p w14:paraId="647DD379"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Real life emissions from solid fuel burners vs their laboratory test results and trends over time</w:t>
            </w:r>
          </w:p>
        </w:tc>
        <w:tc>
          <w:tcPr>
            <w:tcW w:w="1680" w:type="dxa"/>
          </w:tcPr>
          <w:p w14:paraId="4A26B321" w14:textId="5C866359"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_Ref31871502 \r \h </w:instrText>
            </w:r>
            <w:r>
              <w:rPr>
                <w:rFonts w:eastAsia="Times New Roman"/>
              </w:rPr>
            </w:r>
            <w:r>
              <w:rPr>
                <w:rFonts w:eastAsia="Times New Roman"/>
              </w:rPr>
              <w:fldChar w:fldCharType="separate"/>
            </w:r>
            <w:r w:rsidR="00CD682F">
              <w:rPr>
                <w:rFonts w:eastAsia="Times New Roman"/>
              </w:rPr>
              <w:t>3.10</w:t>
            </w:r>
            <w:r>
              <w:rPr>
                <w:rFonts w:eastAsia="Times New Roman"/>
              </w:rPr>
              <w:fldChar w:fldCharType="end"/>
            </w:r>
          </w:p>
        </w:tc>
      </w:tr>
      <w:tr w:rsidR="00A7133F" w:rsidRPr="005F1303" w14:paraId="39D6B1D6" w14:textId="77777777" w:rsidTr="00FA697E">
        <w:tc>
          <w:tcPr>
            <w:tcW w:w="7114" w:type="dxa"/>
          </w:tcPr>
          <w:p w14:paraId="6E852735"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Issues that would be associated with any move away from the status quo on a national basis, e.g. moving to real life emissions testing</w:t>
            </w:r>
          </w:p>
        </w:tc>
        <w:tc>
          <w:tcPr>
            <w:tcW w:w="1680" w:type="dxa"/>
          </w:tcPr>
          <w:p w14:paraId="053E15CB" w14:textId="101FD5D7"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_Ref31873568 \r \h </w:instrText>
            </w:r>
            <w:r>
              <w:rPr>
                <w:rFonts w:eastAsia="Times New Roman"/>
              </w:rPr>
            </w:r>
            <w:r>
              <w:rPr>
                <w:rFonts w:eastAsia="Times New Roman"/>
              </w:rPr>
              <w:fldChar w:fldCharType="separate"/>
            </w:r>
            <w:r w:rsidR="00CD682F">
              <w:rPr>
                <w:rFonts w:eastAsia="Times New Roman"/>
              </w:rPr>
              <w:t>3.6</w:t>
            </w:r>
            <w:r>
              <w:rPr>
                <w:rFonts w:eastAsia="Times New Roman"/>
              </w:rPr>
              <w:fldChar w:fldCharType="end"/>
            </w:r>
            <w:r>
              <w:rPr>
                <w:rFonts w:eastAsia="Times New Roman"/>
              </w:rPr>
              <w:t xml:space="preserve">, </w:t>
            </w:r>
            <w:r w:rsidR="00C346AD">
              <w:rPr>
                <w:rFonts w:eastAsia="Times New Roman"/>
              </w:rPr>
              <w:fldChar w:fldCharType="begin"/>
            </w:r>
            <w:r w:rsidR="00C346AD">
              <w:rPr>
                <w:rFonts w:eastAsia="Times New Roman"/>
              </w:rPr>
              <w:instrText xml:space="preserve"> REF _Ref34294191 \r \h </w:instrText>
            </w:r>
            <w:r w:rsidR="00C346AD">
              <w:rPr>
                <w:rFonts w:eastAsia="Times New Roman"/>
              </w:rPr>
            </w:r>
            <w:r w:rsidR="00C346AD">
              <w:rPr>
                <w:rFonts w:eastAsia="Times New Roman"/>
              </w:rPr>
              <w:fldChar w:fldCharType="separate"/>
            </w:r>
            <w:r w:rsidR="00CD682F">
              <w:rPr>
                <w:rFonts w:eastAsia="Times New Roman"/>
              </w:rPr>
              <w:t>3.7</w:t>
            </w:r>
            <w:r w:rsidR="00C346AD">
              <w:rPr>
                <w:rFonts w:eastAsia="Times New Roman"/>
              </w:rPr>
              <w:fldChar w:fldCharType="end"/>
            </w:r>
          </w:p>
        </w:tc>
      </w:tr>
    </w:tbl>
    <w:p w14:paraId="592AA9D6" w14:textId="77777777" w:rsidR="00FA697E" w:rsidRDefault="00FA697E">
      <w:r>
        <w:br w:type="page"/>
      </w:r>
    </w:p>
    <w:tbl>
      <w:tblPr>
        <w:tblStyle w:val="TableGrid"/>
        <w:tblW w:w="0" w:type="auto"/>
        <w:tblInd w:w="720" w:type="dxa"/>
        <w:tblLook w:val="04A0" w:firstRow="1" w:lastRow="0" w:firstColumn="1" w:lastColumn="0" w:noHBand="0" w:noVBand="1"/>
      </w:tblPr>
      <w:tblGrid>
        <w:gridCol w:w="7114"/>
        <w:gridCol w:w="1680"/>
      </w:tblGrid>
      <w:tr w:rsidR="00A7133F" w:rsidRPr="005F1303" w14:paraId="5F4A5DDB" w14:textId="77777777" w:rsidTr="00FA697E">
        <w:tc>
          <w:tcPr>
            <w:tcW w:w="7114" w:type="dxa"/>
          </w:tcPr>
          <w:p w14:paraId="7C713535" w14:textId="2B077BF2" w:rsidR="00A7133F" w:rsidRPr="005F1303" w:rsidRDefault="00A7133F" w:rsidP="00440E89">
            <w:pPr>
              <w:pStyle w:val="NoSpacing"/>
              <w:numPr>
                <w:ilvl w:val="0"/>
                <w:numId w:val="14"/>
              </w:numPr>
              <w:ind w:left="590" w:hanging="590"/>
              <w:rPr>
                <w:rFonts w:eastAsia="Times New Roman"/>
              </w:rPr>
            </w:pPr>
            <w:r w:rsidRPr="005F1303">
              <w:rPr>
                <w:rFonts w:eastAsia="Times New Roman"/>
              </w:rPr>
              <w:lastRenderedPageBreak/>
              <w:t>Measurement of efficiency</w:t>
            </w:r>
          </w:p>
        </w:tc>
        <w:tc>
          <w:tcPr>
            <w:tcW w:w="1680" w:type="dxa"/>
          </w:tcPr>
          <w:p w14:paraId="1E13239F" w14:textId="3115B942"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_Ref31890959 \r \h </w:instrText>
            </w:r>
            <w:r>
              <w:rPr>
                <w:rFonts w:eastAsia="Times New Roman"/>
              </w:rPr>
            </w:r>
            <w:r>
              <w:rPr>
                <w:rFonts w:eastAsia="Times New Roman"/>
              </w:rPr>
              <w:fldChar w:fldCharType="separate"/>
            </w:r>
            <w:r w:rsidR="00CD682F">
              <w:rPr>
                <w:rFonts w:eastAsia="Times New Roman"/>
              </w:rPr>
              <w:t>3.4</w:t>
            </w:r>
            <w:r>
              <w:rPr>
                <w:rFonts w:eastAsia="Times New Roman"/>
              </w:rPr>
              <w:fldChar w:fldCharType="end"/>
            </w:r>
            <w:r>
              <w:rPr>
                <w:rFonts w:eastAsia="Times New Roman"/>
              </w:rPr>
              <w:t xml:space="preserve">, </w:t>
            </w:r>
            <w:r w:rsidR="00C346AD">
              <w:rPr>
                <w:rFonts w:eastAsia="Times New Roman"/>
              </w:rPr>
              <w:fldChar w:fldCharType="begin"/>
            </w:r>
            <w:r w:rsidR="00C346AD">
              <w:rPr>
                <w:rFonts w:eastAsia="Times New Roman"/>
              </w:rPr>
              <w:instrText xml:space="preserve"> REF _Ref34294210 \r \h </w:instrText>
            </w:r>
            <w:r w:rsidR="00C346AD">
              <w:rPr>
                <w:rFonts w:eastAsia="Times New Roman"/>
              </w:rPr>
            </w:r>
            <w:r w:rsidR="00C346AD">
              <w:rPr>
                <w:rFonts w:eastAsia="Times New Roman"/>
              </w:rPr>
              <w:fldChar w:fldCharType="separate"/>
            </w:r>
            <w:r w:rsidR="00CD682F">
              <w:rPr>
                <w:rFonts w:eastAsia="Times New Roman"/>
              </w:rPr>
              <w:t>3.7</w:t>
            </w:r>
            <w:r w:rsidR="00C346AD">
              <w:rPr>
                <w:rFonts w:eastAsia="Times New Roman"/>
              </w:rPr>
              <w:fldChar w:fldCharType="end"/>
            </w:r>
          </w:p>
        </w:tc>
      </w:tr>
      <w:tr w:rsidR="00A7133F" w:rsidRPr="005F1303" w14:paraId="4B53505C" w14:textId="77777777" w:rsidTr="00FA697E">
        <w:tc>
          <w:tcPr>
            <w:tcW w:w="7114" w:type="dxa"/>
          </w:tcPr>
          <w:p w14:paraId="42FF8542"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Use of g/kg and % efficiency vs a combined measure (mg/MJ)</w:t>
            </w:r>
          </w:p>
        </w:tc>
        <w:tc>
          <w:tcPr>
            <w:tcW w:w="1680" w:type="dxa"/>
          </w:tcPr>
          <w:p w14:paraId="5FA801A0" w14:textId="6B90DABF" w:rsidR="00A7133F" w:rsidRPr="005F1303" w:rsidRDefault="00236807" w:rsidP="007D6CDC">
            <w:pPr>
              <w:pStyle w:val="NoSpacing"/>
              <w:rPr>
                <w:rFonts w:eastAsia="Times New Roman"/>
              </w:rPr>
            </w:pPr>
            <w:r>
              <w:rPr>
                <w:rFonts w:eastAsia="Times New Roman"/>
              </w:rPr>
              <w:t>3.7.1</w:t>
            </w:r>
          </w:p>
        </w:tc>
      </w:tr>
      <w:tr w:rsidR="00A7133F" w:rsidRPr="005F1303" w14:paraId="228A6D63" w14:textId="77777777" w:rsidTr="00FA697E">
        <w:tc>
          <w:tcPr>
            <w:tcW w:w="7114" w:type="dxa"/>
          </w:tcPr>
          <w:p w14:paraId="563EAF37"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Advice on the appropriateness and workability of allowing secondary emissions reduction devices  through the NES.</w:t>
            </w:r>
          </w:p>
        </w:tc>
        <w:tc>
          <w:tcPr>
            <w:tcW w:w="1680" w:type="dxa"/>
          </w:tcPr>
          <w:p w14:paraId="3DD4A9FF" w14:textId="6C3FD7AF"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_Ref31890979 \r \h </w:instrText>
            </w:r>
            <w:r>
              <w:rPr>
                <w:rFonts w:eastAsia="Times New Roman"/>
              </w:rPr>
            </w:r>
            <w:r>
              <w:rPr>
                <w:rFonts w:eastAsia="Times New Roman"/>
              </w:rPr>
              <w:fldChar w:fldCharType="separate"/>
            </w:r>
            <w:r w:rsidR="00CD682F">
              <w:rPr>
                <w:rFonts w:eastAsia="Times New Roman"/>
              </w:rPr>
              <w:t>3.11</w:t>
            </w:r>
            <w:r>
              <w:rPr>
                <w:rFonts w:eastAsia="Times New Roman"/>
              </w:rPr>
              <w:fldChar w:fldCharType="end"/>
            </w:r>
          </w:p>
        </w:tc>
      </w:tr>
      <w:tr w:rsidR="00A7133F" w:rsidRPr="005F1303" w14:paraId="56050115" w14:textId="77777777" w:rsidTr="00FA697E">
        <w:tc>
          <w:tcPr>
            <w:tcW w:w="7114" w:type="dxa"/>
          </w:tcPr>
          <w:p w14:paraId="339328F6"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Market trends in terms of efficiency and emissions improvements, new technologies, price trends etc.</w:t>
            </w:r>
          </w:p>
        </w:tc>
        <w:tc>
          <w:tcPr>
            <w:tcW w:w="1680" w:type="dxa"/>
          </w:tcPr>
          <w:p w14:paraId="2F972F79" w14:textId="276A43AF"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_Ref31890986 \r \h </w:instrText>
            </w:r>
            <w:r>
              <w:rPr>
                <w:rFonts w:eastAsia="Times New Roman"/>
              </w:rPr>
            </w:r>
            <w:r>
              <w:rPr>
                <w:rFonts w:eastAsia="Times New Roman"/>
              </w:rPr>
              <w:fldChar w:fldCharType="separate"/>
            </w:r>
            <w:r w:rsidR="00CD682F">
              <w:rPr>
                <w:rFonts w:eastAsia="Times New Roman"/>
              </w:rPr>
              <w:t>3.4</w:t>
            </w:r>
            <w:r>
              <w:rPr>
                <w:rFonts w:eastAsia="Times New Roman"/>
              </w:rPr>
              <w:fldChar w:fldCharType="end"/>
            </w:r>
            <w:r>
              <w:rPr>
                <w:rFonts w:eastAsia="Times New Roman"/>
              </w:rPr>
              <w:t xml:space="preserve">, </w:t>
            </w:r>
            <w:r>
              <w:rPr>
                <w:rFonts w:eastAsia="Times New Roman"/>
              </w:rPr>
              <w:fldChar w:fldCharType="begin"/>
            </w:r>
            <w:r>
              <w:rPr>
                <w:rFonts w:eastAsia="Times New Roman"/>
              </w:rPr>
              <w:instrText xml:space="preserve"> REF _Ref31890998 \r \h </w:instrText>
            </w:r>
            <w:r>
              <w:rPr>
                <w:rFonts w:eastAsia="Times New Roman"/>
              </w:rPr>
            </w:r>
            <w:r>
              <w:rPr>
                <w:rFonts w:eastAsia="Times New Roman"/>
              </w:rPr>
              <w:fldChar w:fldCharType="separate"/>
            </w:r>
            <w:r w:rsidR="00CD682F">
              <w:rPr>
                <w:rFonts w:eastAsia="Times New Roman"/>
              </w:rPr>
              <w:t>3.13</w:t>
            </w:r>
            <w:r>
              <w:rPr>
                <w:rFonts w:eastAsia="Times New Roman"/>
              </w:rPr>
              <w:fldChar w:fldCharType="end"/>
            </w:r>
          </w:p>
        </w:tc>
      </w:tr>
      <w:tr w:rsidR="00A7133F" w:rsidRPr="005F1303" w14:paraId="5E6C907A" w14:textId="77777777" w:rsidTr="00FA697E">
        <w:tc>
          <w:tcPr>
            <w:tcW w:w="7114" w:type="dxa"/>
          </w:tcPr>
          <w:p w14:paraId="19077173"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Design “trade-offs” made by manufacturers between emissions and efficiency when designing new burners.</w:t>
            </w:r>
          </w:p>
        </w:tc>
        <w:tc>
          <w:tcPr>
            <w:tcW w:w="1680" w:type="dxa"/>
          </w:tcPr>
          <w:p w14:paraId="4D98150E" w14:textId="431828AD" w:rsidR="00A7133F" w:rsidRPr="005F1303" w:rsidRDefault="00F642C0" w:rsidP="007D6CDC">
            <w:pPr>
              <w:pStyle w:val="NoSpacing"/>
              <w:rPr>
                <w:rFonts w:eastAsia="Times New Roman"/>
              </w:rPr>
            </w:pPr>
            <w:r>
              <w:rPr>
                <w:rFonts w:eastAsia="Times New Roman"/>
              </w:rPr>
              <w:fldChar w:fldCharType="begin"/>
            </w:r>
            <w:r>
              <w:rPr>
                <w:rFonts w:eastAsia="Times New Roman"/>
              </w:rPr>
              <w:instrText xml:space="preserve"> REF _Ref34584618 \r \h </w:instrText>
            </w:r>
            <w:r>
              <w:rPr>
                <w:rFonts w:eastAsia="Times New Roman"/>
              </w:rPr>
            </w:r>
            <w:r>
              <w:rPr>
                <w:rFonts w:eastAsia="Times New Roman"/>
              </w:rPr>
              <w:fldChar w:fldCharType="separate"/>
            </w:r>
            <w:r>
              <w:rPr>
                <w:rFonts w:eastAsia="Times New Roman"/>
              </w:rPr>
              <w:t>3.5</w:t>
            </w:r>
            <w:r>
              <w:rPr>
                <w:rFonts w:eastAsia="Times New Roman"/>
              </w:rPr>
              <w:fldChar w:fldCharType="end"/>
            </w:r>
          </w:p>
        </w:tc>
      </w:tr>
      <w:tr w:rsidR="00A7133F" w:rsidRPr="005F1303" w14:paraId="727DDDE6" w14:textId="77777777" w:rsidTr="00FA697E">
        <w:tc>
          <w:tcPr>
            <w:tcW w:w="7114" w:type="dxa"/>
          </w:tcPr>
          <w:p w14:paraId="05EF82B9"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The use of air circulation fans to lift efficiency to the NESAQ standard and issues associated with these fans.</w:t>
            </w:r>
          </w:p>
        </w:tc>
        <w:tc>
          <w:tcPr>
            <w:tcW w:w="1680" w:type="dxa"/>
          </w:tcPr>
          <w:p w14:paraId="5076A3FC" w14:textId="1D486FCD"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_Ref31891012 \r \h </w:instrText>
            </w:r>
            <w:r>
              <w:rPr>
                <w:rFonts w:eastAsia="Times New Roman"/>
              </w:rPr>
            </w:r>
            <w:r>
              <w:rPr>
                <w:rFonts w:eastAsia="Times New Roman"/>
              </w:rPr>
              <w:fldChar w:fldCharType="separate"/>
            </w:r>
            <w:r w:rsidR="00CD682F">
              <w:rPr>
                <w:rFonts w:eastAsia="Times New Roman"/>
              </w:rPr>
              <w:t>3.12</w:t>
            </w:r>
            <w:r>
              <w:rPr>
                <w:rFonts w:eastAsia="Times New Roman"/>
              </w:rPr>
              <w:fldChar w:fldCharType="end"/>
            </w:r>
          </w:p>
        </w:tc>
      </w:tr>
      <w:tr w:rsidR="00A7133F" w:rsidRPr="005F1303" w14:paraId="35076328" w14:textId="77777777" w:rsidTr="00FA697E">
        <w:tc>
          <w:tcPr>
            <w:tcW w:w="7114" w:type="dxa"/>
          </w:tcPr>
          <w:p w14:paraId="61B6BB36" w14:textId="6DC8E7C8" w:rsidR="00A7133F" w:rsidRPr="005F1303" w:rsidRDefault="00A7133F" w:rsidP="00440E89">
            <w:pPr>
              <w:pStyle w:val="NoSpacing"/>
              <w:numPr>
                <w:ilvl w:val="0"/>
                <w:numId w:val="14"/>
              </w:numPr>
              <w:ind w:left="590" w:hanging="590"/>
              <w:rPr>
                <w:rFonts w:eastAsia="Times New Roman"/>
              </w:rPr>
            </w:pPr>
            <w:r w:rsidRPr="005F1303">
              <w:rPr>
                <w:rFonts w:eastAsia="Times New Roman"/>
              </w:rPr>
              <w:t xml:space="preserve">The potential impact of decisions on emissions and efficiency on various technology types e.g. </w:t>
            </w:r>
            <w:r w:rsidR="004D0062">
              <w:rPr>
                <w:rFonts w:eastAsia="Times New Roman"/>
              </w:rPr>
              <w:t>insert</w:t>
            </w:r>
            <w:r w:rsidRPr="005F1303">
              <w:rPr>
                <w:rFonts w:eastAsia="Times New Roman"/>
              </w:rPr>
              <w:t xml:space="preserve"> burners, or the impact on households and regions.</w:t>
            </w:r>
          </w:p>
        </w:tc>
        <w:tc>
          <w:tcPr>
            <w:tcW w:w="1680" w:type="dxa"/>
          </w:tcPr>
          <w:p w14:paraId="3A38EDCB" w14:textId="37D2FD9C"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_Ref31873568 \r \h </w:instrText>
            </w:r>
            <w:r>
              <w:rPr>
                <w:rFonts w:eastAsia="Times New Roman"/>
              </w:rPr>
            </w:r>
            <w:r>
              <w:rPr>
                <w:rFonts w:eastAsia="Times New Roman"/>
              </w:rPr>
              <w:fldChar w:fldCharType="separate"/>
            </w:r>
            <w:r w:rsidR="00CD682F">
              <w:rPr>
                <w:rFonts w:eastAsia="Times New Roman"/>
              </w:rPr>
              <w:t>3.6</w:t>
            </w:r>
            <w:r>
              <w:rPr>
                <w:rFonts w:eastAsia="Times New Roman"/>
              </w:rPr>
              <w:fldChar w:fldCharType="end"/>
            </w:r>
            <w:r>
              <w:rPr>
                <w:rFonts w:eastAsia="Times New Roman"/>
              </w:rPr>
              <w:t xml:space="preserve">, </w:t>
            </w:r>
            <w:r w:rsidR="00B424A1">
              <w:rPr>
                <w:rFonts w:eastAsia="Times New Roman"/>
              </w:rPr>
              <w:t>3.7.1</w:t>
            </w:r>
          </w:p>
        </w:tc>
      </w:tr>
      <w:tr w:rsidR="00A7133F" w:rsidRPr="005F1303" w14:paraId="6808610C" w14:textId="77777777" w:rsidTr="00FA697E">
        <w:tc>
          <w:tcPr>
            <w:tcW w:w="7114" w:type="dxa"/>
          </w:tcPr>
          <w:p w14:paraId="7773CA46" w14:textId="77777777" w:rsidR="00A7133F" w:rsidRPr="005F1303" w:rsidRDefault="00A7133F" w:rsidP="00440E89">
            <w:pPr>
              <w:pStyle w:val="NoSpacing"/>
              <w:numPr>
                <w:ilvl w:val="0"/>
                <w:numId w:val="14"/>
              </w:numPr>
              <w:ind w:left="590" w:hanging="590"/>
              <w:rPr>
                <w:rFonts w:eastAsia="Times New Roman"/>
              </w:rPr>
            </w:pPr>
            <w:r w:rsidRPr="005F1303">
              <w:rPr>
                <w:rFonts w:eastAsia="Times New Roman"/>
              </w:rPr>
              <w:t>Collating any readily available sales data and trends on solid fuel burners, excluding direct liaison with territorial authorities.</w:t>
            </w:r>
          </w:p>
        </w:tc>
        <w:tc>
          <w:tcPr>
            <w:tcW w:w="1680" w:type="dxa"/>
          </w:tcPr>
          <w:p w14:paraId="3023C9FB" w14:textId="3337B732" w:rsidR="00A7133F" w:rsidRPr="005F1303" w:rsidRDefault="00F03A84" w:rsidP="007D6CDC">
            <w:pPr>
              <w:pStyle w:val="NoSpacing"/>
              <w:rPr>
                <w:rFonts w:eastAsia="Times New Roman"/>
              </w:rPr>
            </w:pPr>
            <w:r>
              <w:rPr>
                <w:rFonts w:eastAsia="Times New Roman"/>
              </w:rPr>
              <w:fldChar w:fldCharType="begin"/>
            </w:r>
            <w:r>
              <w:rPr>
                <w:rFonts w:eastAsia="Times New Roman"/>
              </w:rPr>
              <w:instrText xml:space="preserve"> REF _Ref31891031 \r \h </w:instrText>
            </w:r>
            <w:r>
              <w:rPr>
                <w:rFonts w:eastAsia="Times New Roman"/>
              </w:rPr>
            </w:r>
            <w:r>
              <w:rPr>
                <w:rFonts w:eastAsia="Times New Roman"/>
              </w:rPr>
              <w:fldChar w:fldCharType="separate"/>
            </w:r>
            <w:r w:rsidR="00CD682F">
              <w:rPr>
                <w:rFonts w:eastAsia="Times New Roman"/>
              </w:rPr>
              <w:t>3.13</w:t>
            </w:r>
            <w:r>
              <w:rPr>
                <w:rFonts w:eastAsia="Times New Roman"/>
              </w:rPr>
              <w:fldChar w:fldCharType="end"/>
            </w:r>
          </w:p>
        </w:tc>
      </w:tr>
    </w:tbl>
    <w:p w14:paraId="70731AF8" w14:textId="77777777" w:rsidR="005C0832" w:rsidRDefault="005C0832">
      <w:pPr>
        <w:spacing w:before="0" w:after="200" w:line="276" w:lineRule="auto"/>
        <w:jc w:val="left"/>
        <w:rPr>
          <w:rFonts w:ascii="Tahoma" w:hAnsi="Tahoma"/>
          <w:i/>
          <w:sz w:val="32"/>
        </w:rPr>
      </w:pPr>
      <w:r>
        <w:br w:type="page"/>
      </w:r>
    </w:p>
    <w:p w14:paraId="1537D387" w14:textId="0EEB3594" w:rsidR="003A36EE" w:rsidRDefault="005B2BDF" w:rsidP="00C80F4F">
      <w:pPr>
        <w:pStyle w:val="Heading1"/>
        <w:numPr>
          <w:ilvl w:val="0"/>
          <w:numId w:val="6"/>
        </w:numPr>
        <w:ind w:hanging="720"/>
      </w:pPr>
      <w:bookmarkStart w:id="10" w:name="_Toc34586679"/>
      <w:r>
        <w:lastRenderedPageBreak/>
        <w:t>Methodology</w:t>
      </w:r>
      <w:bookmarkEnd w:id="10"/>
    </w:p>
    <w:p w14:paraId="1537D388" w14:textId="77777777" w:rsidR="00972E87" w:rsidRDefault="00972E87" w:rsidP="00972E87">
      <w:pPr>
        <w:pStyle w:val="NoSpacing"/>
        <w:rPr>
          <w:highlight w:val="red"/>
        </w:rPr>
      </w:pPr>
    </w:p>
    <w:p w14:paraId="2719553E" w14:textId="77777777" w:rsidR="00C6149B" w:rsidRPr="00F81234" w:rsidRDefault="00C6149B" w:rsidP="0075513C">
      <w:pPr>
        <w:pStyle w:val="NoSpacing"/>
        <w:jc w:val="both"/>
      </w:pPr>
      <w:r w:rsidRPr="00F81234">
        <w:t xml:space="preserve">The </w:t>
      </w:r>
      <w:r>
        <w:t>methodology for this work comprised the following tasks</w:t>
      </w:r>
      <w:r w:rsidRPr="00F81234">
        <w:t>:</w:t>
      </w:r>
    </w:p>
    <w:p w14:paraId="11E7FA93" w14:textId="0AD0F72C" w:rsidR="00C6149B" w:rsidRDefault="00C6149B" w:rsidP="003625E3">
      <w:pPr>
        <w:pStyle w:val="ListParagraph"/>
        <w:numPr>
          <w:ilvl w:val="0"/>
          <w:numId w:val="5"/>
        </w:numPr>
        <w:spacing w:before="0" w:after="0"/>
        <w:jc w:val="left"/>
        <w:rPr>
          <w:rFonts w:ascii="Calibri" w:hAnsi="Calibri" w:cs="Calibri"/>
          <w:szCs w:val="22"/>
        </w:rPr>
      </w:pPr>
      <w:r>
        <w:rPr>
          <w:rFonts w:ascii="Calibri" w:hAnsi="Calibri" w:cs="Calibri"/>
          <w:szCs w:val="22"/>
        </w:rPr>
        <w:t xml:space="preserve">Preliminary meetings and discussions with </w:t>
      </w:r>
      <w:r w:rsidR="004D0062">
        <w:rPr>
          <w:rFonts w:ascii="Calibri" w:hAnsi="Calibri" w:cs="Calibri"/>
          <w:szCs w:val="22"/>
        </w:rPr>
        <w:t>Ministry for the Environment</w:t>
      </w:r>
      <w:r>
        <w:rPr>
          <w:rFonts w:ascii="Calibri" w:hAnsi="Calibri" w:cs="Calibri"/>
          <w:szCs w:val="22"/>
        </w:rPr>
        <w:t xml:space="preserve"> staff.</w:t>
      </w:r>
    </w:p>
    <w:p w14:paraId="0B84A515" w14:textId="65C82599" w:rsidR="00C6149B" w:rsidRDefault="00C6149B" w:rsidP="003625E3">
      <w:pPr>
        <w:pStyle w:val="ListParagraph"/>
        <w:numPr>
          <w:ilvl w:val="0"/>
          <w:numId w:val="5"/>
        </w:numPr>
        <w:spacing w:before="0" w:after="0"/>
        <w:jc w:val="left"/>
        <w:rPr>
          <w:rFonts w:ascii="Calibri" w:hAnsi="Calibri" w:cs="Calibri"/>
          <w:szCs w:val="22"/>
        </w:rPr>
      </w:pPr>
      <w:r w:rsidRPr="002A22B9">
        <w:rPr>
          <w:rFonts w:ascii="Calibri" w:hAnsi="Calibri" w:cs="Calibri"/>
          <w:szCs w:val="22"/>
        </w:rPr>
        <w:t xml:space="preserve">Reviewing </w:t>
      </w:r>
      <w:r>
        <w:rPr>
          <w:rFonts w:ascii="Calibri" w:hAnsi="Calibri" w:cs="Calibri"/>
          <w:szCs w:val="22"/>
        </w:rPr>
        <w:t>various</w:t>
      </w:r>
      <w:r w:rsidRPr="002A22B9">
        <w:rPr>
          <w:rFonts w:ascii="Calibri" w:hAnsi="Calibri" w:cs="Calibri"/>
          <w:szCs w:val="22"/>
        </w:rPr>
        <w:t xml:space="preserve"> documentation </w:t>
      </w:r>
      <w:r>
        <w:rPr>
          <w:rFonts w:ascii="Calibri" w:hAnsi="Calibri" w:cs="Calibri"/>
          <w:szCs w:val="22"/>
        </w:rPr>
        <w:t xml:space="preserve">and data </w:t>
      </w:r>
      <w:r w:rsidR="00054E86">
        <w:rPr>
          <w:rFonts w:ascii="Calibri" w:hAnsi="Calibri" w:cs="Calibri"/>
          <w:szCs w:val="22"/>
        </w:rPr>
        <w:t xml:space="preserve">related to the design, testing, </w:t>
      </w:r>
      <w:r w:rsidR="00A668D5">
        <w:rPr>
          <w:rFonts w:ascii="Calibri" w:hAnsi="Calibri" w:cs="Calibri"/>
          <w:szCs w:val="22"/>
        </w:rPr>
        <w:t>authorisation</w:t>
      </w:r>
      <w:r w:rsidR="00054E86">
        <w:rPr>
          <w:rFonts w:ascii="Calibri" w:hAnsi="Calibri" w:cs="Calibri"/>
          <w:szCs w:val="22"/>
        </w:rPr>
        <w:t xml:space="preserve"> and operation of solid fuel </w:t>
      </w:r>
      <w:r w:rsidR="00A668D5">
        <w:rPr>
          <w:rFonts w:ascii="Calibri" w:hAnsi="Calibri" w:cs="Calibri"/>
          <w:szCs w:val="22"/>
        </w:rPr>
        <w:t>burners</w:t>
      </w:r>
      <w:r w:rsidR="00DA568F">
        <w:rPr>
          <w:rFonts w:ascii="Calibri" w:hAnsi="Calibri" w:cs="Calibri"/>
          <w:szCs w:val="22"/>
        </w:rPr>
        <w:t>.</w:t>
      </w:r>
    </w:p>
    <w:p w14:paraId="7ABDDBA2" w14:textId="7101FB0C" w:rsidR="00C6149B" w:rsidRDefault="00C6149B" w:rsidP="003625E3">
      <w:pPr>
        <w:pStyle w:val="ListParagraph"/>
        <w:numPr>
          <w:ilvl w:val="0"/>
          <w:numId w:val="5"/>
        </w:numPr>
        <w:spacing w:before="0" w:after="0"/>
        <w:jc w:val="left"/>
        <w:rPr>
          <w:rFonts w:ascii="Calibri" w:hAnsi="Calibri" w:cs="Calibri"/>
          <w:szCs w:val="22"/>
        </w:rPr>
      </w:pPr>
      <w:r>
        <w:rPr>
          <w:rFonts w:ascii="Calibri" w:hAnsi="Calibri" w:cs="Calibri"/>
          <w:szCs w:val="22"/>
        </w:rPr>
        <w:t>Holding m</w:t>
      </w:r>
      <w:r w:rsidRPr="002A22B9">
        <w:rPr>
          <w:rFonts w:ascii="Calibri" w:hAnsi="Calibri" w:cs="Calibri"/>
          <w:szCs w:val="22"/>
        </w:rPr>
        <w:t>eeting</w:t>
      </w:r>
      <w:r>
        <w:rPr>
          <w:rFonts w:ascii="Calibri" w:hAnsi="Calibri" w:cs="Calibri"/>
          <w:szCs w:val="22"/>
        </w:rPr>
        <w:t>s and telephone conversations</w:t>
      </w:r>
      <w:r w:rsidRPr="002A22B9">
        <w:rPr>
          <w:rFonts w:ascii="Calibri" w:hAnsi="Calibri" w:cs="Calibri"/>
          <w:szCs w:val="22"/>
        </w:rPr>
        <w:t xml:space="preserve"> with </w:t>
      </w:r>
      <w:r w:rsidR="00CF2792">
        <w:rPr>
          <w:rFonts w:ascii="Calibri" w:hAnsi="Calibri" w:cs="Calibri"/>
          <w:szCs w:val="22"/>
        </w:rPr>
        <w:t>people</w:t>
      </w:r>
      <w:r w:rsidRPr="002A22B9">
        <w:rPr>
          <w:rFonts w:ascii="Calibri" w:hAnsi="Calibri" w:cs="Calibri"/>
          <w:szCs w:val="22"/>
        </w:rPr>
        <w:t xml:space="preserve"> </w:t>
      </w:r>
      <w:r w:rsidR="00057F53">
        <w:rPr>
          <w:rFonts w:ascii="Calibri" w:hAnsi="Calibri" w:cs="Calibri"/>
          <w:szCs w:val="22"/>
        </w:rPr>
        <w:t xml:space="preserve">experienced in </w:t>
      </w:r>
      <w:r w:rsidR="00481034">
        <w:rPr>
          <w:rFonts w:ascii="Calibri" w:hAnsi="Calibri" w:cs="Calibri"/>
          <w:szCs w:val="22"/>
        </w:rPr>
        <w:t xml:space="preserve">various </w:t>
      </w:r>
      <w:r w:rsidR="00A2649C">
        <w:rPr>
          <w:rFonts w:ascii="Calibri" w:hAnsi="Calibri" w:cs="Calibri"/>
          <w:szCs w:val="22"/>
        </w:rPr>
        <w:t>aspects</w:t>
      </w:r>
      <w:r w:rsidR="00481034">
        <w:rPr>
          <w:rFonts w:ascii="Calibri" w:hAnsi="Calibri" w:cs="Calibri"/>
          <w:szCs w:val="22"/>
        </w:rPr>
        <w:t xml:space="preserve"> related to the NESAQ </w:t>
      </w:r>
      <w:r w:rsidRPr="002A22B9">
        <w:rPr>
          <w:rFonts w:ascii="Calibri" w:hAnsi="Calibri" w:cs="Calibri"/>
          <w:szCs w:val="22"/>
        </w:rPr>
        <w:t>in</w:t>
      </w:r>
      <w:r>
        <w:rPr>
          <w:rFonts w:ascii="Calibri" w:hAnsi="Calibri" w:cs="Calibri"/>
          <w:szCs w:val="22"/>
        </w:rPr>
        <w:t xml:space="preserve">cluding a selection of </w:t>
      </w:r>
      <w:r w:rsidR="00B35F2F">
        <w:rPr>
          <w:rFonts w:ascii="Calibri" w:hAnsi="Calibri" w:cs="Calibri"/>
          <w:szCs w:val="22"/>
        </w:rPr>
        <w:t>Regional</w:t>
      </w:r>
      <w:r>
        <w:rPr>
          <w:rFonts w:ascii="Calibri" w:hAnsi="Calibri" w:cs="Calibri"/>
          <w:szCs w:val="22"/>
        </w:rPr>
        <w:t xml:space="preserve"> Council staff, </w:t>
      </w:r>
      <w:r w:rsidR="00B35F2F">
        <w:rPr>
          <w:rFonts w:ascii="Calibri" w:hAnsi="Calibri" w:cs="Calibri"/>
          <w:szCs w:val="22"/>
        </w:rPr>
        <w:t>manufacturers</w:t>
      </w:r>
      <w:r>
        <w:rPr>
          <w:rFonts w:ascii="Calibri" w:hAnsi="Calibri" w:cs="Calibri"/>
          <w:szCs w:val="22"/>
        </w:rPr>
        <w:t xml:space="preserve">, test </w:t>
      </w:r>
      <w:r w:rsidR="00B35F2F">
        <w:rPr>
          <w:rFonts w:ascii="Calibri" w:hAnsi="Calibri" w:cs="Calibri"/>
          <w:szCs w:val="22"/>
        </w:rPr>
        <w:t>laboratories</w:t>
      </w:r>
      <w:r>
        <w:rPr>
          <w:rFonts w:ascii="Calibri" w:hAnsi="Calibri" w:cs="Calibri"/>
          <w:szCs w:val="22"/>
        </w:rPr>
        <w:t xml:space="preserve"> and </w:t>
      </w:r>
      <w:r w:rsidR="00C3455D">
        <w:rPr>
          <w:rFonts w:ascii="Calibri" w:hAnsi="Calibri" w:cs="Calibri"/>
          <w:szCs w:val="22"/>
        </w:rPr>
        <w:t>technical experts</w:t>
      </w:r>
      <w:r>
        <w:rPr>
          <w:rFonts w:ascii="Calibri" w:hAnsi="Calibri" w:cs="Calibri"/>
          <w:szCs w:val="22"/>
        </w:rPr>
        <w:t xml:space="preserve"> that </w:t>
      </w:r>
      <w:r w:rsidR="00DA568F">
        <w:rPr>
          <w:rFonts w:ascii="Calibri" w:hAnsi="Calibri" w:cs="Calibri"/>
          <w:szCs w:val="22"/>
        </w:rPr>
        <w:t>are</w:t>
      </w:r>
      <w:r>
        <w:rPr>
          <w:rFonts w:ascii="Calibri" w:hAnsi="Calibri" w:cs="Calibri"/>
          <w:szCs w:val="22"/>
        </w:rPr>
        <w:t xml:space="preserve"> </w:t>
      </w:r>
      <w:r w:rsidR="00B35F2F">
        <w:rPr>
          <w:rFonts w:ascii="Calibri" w:hAnsi="Calibri" w:cs="Calibri"/>
          <w:szCs w:val="22"/>
        </w:rPr>
        <w:t>knowledgeable</w:t>
      </w:r>
      <w:r>
        <w:rPr>
          <w:rFonts w:ascii="Calibri" w:hAnsi="Calibri" w:cs="Calibri"/>
          <w:szCs w:val="22"/>
        </w:rPr>
        <w:t xml:space="preserve"> about the relevant issues.</w:t>
      </w:r>
    </w:p>
    <w:p w14:paraId="609FE137" w14:textId="77777777" w:rsidR="00C6149B" w:rsidRDefault="00C6149B" w:rsidP="003625E3">
      <w:pPr>
        <w:pStyle w:val="ListParagraph"/>
        <w:numPr>
          <w:ilvl w:val="0"/>
          <w:numId w:val="5"/>
        </w:numPr>
        <w:spacing w:before="0" w:after="0"/>
        <w:jc w:val="left"/>
        <w:rPr>
          <w:rFonts w:ascii="Calibri" w:hAnsi="Calibri" w:cs="Calibri"/>
          <w:szCs w:val="22"/>
        </w:rPr>
      </w:pPr>
      <w:r>
        <w:rPr>
          <w:rFonts w:ascii="Calibri" w:hAnsi="Calibri" w:cs="Calibri"/>
          <w:szCs w:val="22"/>
        </w:rPr>
        <w:t>Analysing the information gained from the interviews.</w:t>
      </w:r>
    </w:p>
    <w:p w14:paraId="708FF57C" w14:textId="2DECDD88" w:rsidR="00C6149B" w:rsidRPr="002A22B9" w:rsidRDefault="00C6149B" w:rsidP="003625E3">
      <w:pPr>
        <w:pStyle w:val="ListParagraph"/>
        <w:numPr>
          <w:ilvl w:val="0"/>
          <w:numId w:val="5"/>
        </w:numPr>
        <w:spacing w:before="0" w:after="0"/>
        <w:jc w:val="left"/>
        <w:rPr>
          <w:rFonts w:ascii="Calibri" w:hAnsi="Calibri" w:cs="Calibri"/>
          <w:szCs w:val="22"/>
        </w:rPr>
      </w:pPr>
      <w:r w:rsidRPr="002A22B9">
        <w:rPr>
          <w:rFonts w:ascii="Calibri" w:hAnsi="Calibri" w:cs="Calibri"/>
          <w:szCs w:val="22"/>
        </w:rPr>
        <w:t>C</w:t>
      </w:r>
      <w:r>
        <w:rPr>
          <w:rFonts w:ascii="Calibri" w:hAnsi="Calibri" w:cs="Calibri"/>
          <w:szCs w:val="22"/>
        </w:rPr>
        <w:t>on</w:t>
      </w:r>
      <w:r w:rsidRPr="002A22B9">
        <w:rPr>
          <w:rFonts w:ascii="Calibri" w:hAnsi="Calibri" w:cs="Calibri"/>
          <w:szCs w:val="22"/>
        </w:rPr>
        <w:t>s</w:t>
      </w:r>
      <w:r>
        <w:rPr>
          <w:rFonts w:ascii="Calibri" w:hAnsi="Calibri" w:cs="Calibri"/>
          <w:szCs w:val="22"/>
        </w:rPr>
        <w:t>i</w:t>
      </w:r>
      <w:r w:rsidRPr="002A22B9">
        <w:rPr>
          <w:rFonts w:ascii="Calibri" w:hAnsi="Calibri" w:cs="Calibri"/>
          <w:szCs w:val="22"/>
        </w:rPr>
        <w:t>deri</w:t>
      </w:r>
      <w:r>
        <w:rPr>
          <w:rFonts w:ascii="Calibri" w:hAnsi="Calibri" w:cs="Calibri"/>
          <w:szCs w:val="22"/>
        </w:rPr>
        <w:t>ng</w:t>
      </w:r>
      <w:r w:rsidRPr="002A22B9">
        <w:rPr>
          <w:rFonts w:ascii="Calibri" w:hAnsi="Calibri" w:cs="Calibri"/>
          <w:szCs w:val="22"/>
        </w:rPr>
        <w:t xml:space="preserve"> options for </w:t>
      </w:r>
      <w:r>
        <w:rPr>
          <w:rFonts w:ascii="Calibri" w:hAnsi="Calibri" w:cs="Calibri"/>
          <w:szCs w:val="22"/>
        </w:rPr>
        <w:t xml:space="preserve">test methods, standards and related issues </w:t>
      </w:r>
      <w:r w:rsidRPr="002A22B9">
        <w:rPr>
          <w:rFonts w:ascii="Calibri" w:hAnsi="Calibri" w:cs="Calibri"/>
          <w:szCs w:val="22"/>
        </w:rPr>
        <w:t>that will most effectivel</w:t>
      </w:r>
      <w:r>
        <w:rPr>
          <w:rFonts w:ascii="Calibri" w:hAnsi="Calibri" w:cs="Calibri"/>
          <w:szCs w:val="22"/>
        </w:rPr>
        <w:t xml:space="preserve">y align with the proposed </w:t>
      </w:r>
      <w:r w:rsidR="004D0062">
        <w:rPr>
          <w:rFonts w:ascii="Calibri" w:hAnsi="Calibri" w:cs="Calibri"/>
          <w:szCs w:val="22"/>
        </w:rPr>
        <w:t>NESAQ</w:t>
      </w:r>
      <w:r>
        <w:rPr>
          <w:rFonts w:ascii="Calibri" w:hAnsi="Calibri" w:cs="Calibri"/>
          <w:szCs w:val="22"/>
        </w:rPr>
        <w:t xml:space="preserve"> </w:t>
      </w:r>
      <w:r w:rsidR="00C3455D">
        <w:rPr>
          <w:rFonts w:ascii="Calibri" w:hAnsi="Calibri" w:cs="Calibri"/>
          <w:szCs w:val="22"/>
        </w:rPr>
        <w:t>objectives</w:t>
      </w:r>
      <w:r>
        <w:rPr>
          <w:rFonts w:ascii="Calibri" w:hAnsi="Calibri" w:cs="Calibri"/>
          <w:szCs w:val="22"/>
        </w:rPr>
        <w:t xml:space="preserve">. </w:t>
      </w:r>
    </w:p>
    <w:p w14:paraId="5DC99593" w14:textId="6DB75BFE" w:rsidR="00C6149B" w:rsidRPr="00C3455D" w:rsidRDefault="00C6149B" w:rsidP="003625E3">
      <w:pPr>
        <w:pStyle w:val="ListParagraph"/>
        <w:numPr>
          <w:ilvl w:val="0"/>
          <w:numId w:val="5"/>
        </w:numPr>
        <w:spacing w:before="0" w:after="0"/>
        <w:jc w:val="left"/>
        <w:rPr>
          <w:rFonts w:ascii="Calibri" w:hAnsi="Calibri" w:cs="Calibri"/>
          <w:szCs w:val="22"/>
        </w:rPr>
      </w:pPr>
      <w:r w:rsidRPr="00C3455D">
        <w:rPr>
          <w:rFonts w:ascii="Calibri" w:hAnsi="Calibri" w:cs="Calibri"/>
          <w:szCs w:val="22"/>
        </w:rPr>
        <w:t xml:space="preserve">Producing a written report on the observations, issues and analysis and </w:t>
      </w:r>
      <w:r w:rsidR="003206D6">
        <w:rPr>
          <w:rFonts w:ascii="Calibri" w:hAnsi="Calibri" w:cs="Calibri"/>
          <w:szCs w:val="22"/>
        </w:rPr>
        <w:t>identifying</w:t>
      </w:r>
      <w:r w:rsidR="00DA2C1A">
        <w:rPr>
          <w:rFonts w:ascii="Calibri" w:hAnsi="Calibri" w:cs="Calibri"/>
          <w:szCs w:val="22"/>
        </w:rPr>
        <w:t xml:space="preserve"> </w:t>
      </w:r>
      <w:r w:rsidR="00EB6AFE">
        <w:rPr>
          <w:rFonts w:ascii="Calibri" w:hAnsi="Calibri" w:cs="Calibri"/>
          <w:szCs w:val="22"/>
        </w:rPr>
        <w:t xml:space="preserve">changes for </w:t>
      </w:r>
      <w:r w:rsidR="003206D6">
        <w:rPr>
          <w:rFonts w:ascii="Calibri" w:hAnsi="Calibri" w:cs="Calibri"/>
          <w:szCs w:val="22"/>
        </w:rPr>
        <w:t>consideration</w:t>
      </w:r>
      <w:r w:rsidRPr="00C3455D">
        <w:rPr>
          <w:rFonts w:ascii="Calibri" w:hAnsi="Calibri" w:cs="Calibri"/>
          <w:szCs w:val="22"/>
        </w:rPr>
        <w:t xml:space="preserve"> that address the objective of this work.</w:t>
      </w:r>
    </w:p>
    <w:p w14:paraId="197C083D" w14:textId="77777777" w:rsidR="00C6149B" w:rsidRDefault="00C6149B" w:rsidP="00C6149B">
      <w:pPr>
        <w:pStyle w:val="NoSpacing"/>
      </w:pPr>
    </w:p>
    <w:p w14:paraId="4654CBD9" w14:textId="77777777" w:rsidR="00C6149B" w:rsidRDefault="00C6149B" w:rsidP="00C6149B">
      <w:pPr>
        <w:pStyle w:val="NoSpacing"/>
        <w:jc w:val="both"/>
      </w:pPr>
    </w:p>
    <w:p w14:paraId="3E1D2CCF" w14:textId="275A32F1" w:rsidR="00C6149B" w:rsidRDefault="00C6149B" w:rsidP="00C6149B">
      <w:pPr>
        <w:pStyle w:val="NoSpacing"/>
        <w:jc w:val="both"/>
      </w:pPr>
      <w:r>
        <w:t xml:space="preserve">Those that were </w:t>
      </w:r>
      <w:r w:rsidR="001F331C">
        <w:t>spoken to in the course of this work</w:t>
      </w:r>
      <w:r>
        <w:t xml:space="preserve"> are list</w:t>
      </w:r>
      <w:r w:rsidR="004B7DE0">
        <w:t>ed</w:t>
      </w:r>
      <w:r>
        <w:t xml:space="preserve"> in the following table:</w:t>
      </w:r>
    </w:p>
    <w:p w14:paraId="004CC709" w14:textId="77777777" w:rsidR="00C6149B" w:rsidRDefault="00C6149B" w:rsidP="00C6149B">
      <w:pPr>
        <w:pStyle w:val="NoSpacing"/>
        <w:jc w:val="both"/>
      </w:pPr>
    </w:p>
    <w:p w14:paraId="1C7C62D6" w14:textId="2B20E6A4" w:rsidR="00C6149B" w:rsidRPr="002367D9" w:rsidRDefault="00314BB0" w:rsidP="00314BB0">
      <w:pPr>
        <w:pStyle w:val="Caption"/>
        <w:rPr>
          <w:sz w:val="22"/>
          <w:szCs w:val="22"/>
        </w:rPr>
      </w:pPr>
      <w:r w:rsidRPr="00EA2B3D">
        <w:rPr>
          <w:sz w:val="22"/>
          <w:szCs w:val="22"/>
        </w:rPr>
        <w:t xml:space="preserve">Table </w:t>
      </w:r>
      <w:r w:rsidRPr="00EA2B3D">
        <w:rPr>
          <w:sz w:val="22"/>
          <w:szCs w:val="22"/>
        </w:rPr>
        <w:fldChar w:fldCharType="begin"/>
      </w:r>
      <w:r w:rsidRPr="00EA2B3D">
        <w:rPr>
          <w:sz w:val="22"/>
          <w:szCs w:val="22"/>
        </w:rPr>
        <w:instrText xml:space="preserve"> SEQ Table \* ARABIC </w:instrText>
      </w:r>
      <w:r w:rsidRPr="00EA2B3D">
        <w:rPr>
          <w:sz w:val="22"/>
          <w:szCs w:val="22"/>
        </w:rPr>
        <w:fldChar w:fldCharType="separate"/>
      </w:r>
      <w:r w:rsidR="00CD682F">
        <w:rPr>
          <w:noProof/>
          <w:sz w:val="22"/>
          <w:szCs w:val="22"/>
        </w:rPr>
        <w:t>2</w:t>
      </w:r>
      <w:r w:rsidRPr="00EA2B3D">
        <w:rPr>
          <w:sz w:val="22"/>
          <w:szCs w:val="22"/>
        </w:rPr>
        <w:fldChar w:fldCharType="end"/>
      </w:r>
      <w:r w:rsidRPr="00EA2B3D">
        <w:rPr>
          <w:sz w:val="22"/>
          <w:szCs w:val="22"/>
        </w:rPr>
        <w:t xml:space="preserve">: </w:t>
      </w:r>
      <w:r w:rsidR="002367D9" w:rsidRPr="002367D9">
        <w:rPr>
          <w:sz w:val="22"/>
          <w:szCs w:val="22"/>
        </w:rPr>
        <w:t>List of People Contacted</w:t>
      </w:r>
    </w:p>
    <w:tbl>
      <w:tblPr>
        <w:tblStyle w:val="TableGrid"/>
        <w:tblW w:w="0" w:type="auto"/>
        <w:tblLook w:val="04A0" w:firstRow="1" w:lastRow="0" w:firstColumn="1" w:lastColumn="0" w:noHBand="0" w:noVBand="1"/>
      </w:tblPr>
      <w:tblGrid>
        <w:gridCol w:w="3193"/>
        <w:gridCol w:w="3173"/>
        <w:gridCol w:w="3148"/>
      </w:tblGrid>
      <w:tr w:rsidR="003959BF" w:rsidRPr="0076557E" w14:paraId="6B843D84" w14:textId="77777777" w:rsidTr="008D7D12">
        <w:tc>
          <w:tcPr>
            <w:tcW w:w="3193" w:type="dxa"/>
          </w:tcPr>
          <w:p w14:paraId="1494856E" w14:textId="77777777" w:rsidR="003959BF" w:rsidRPr="0076557E" w:rsidRDefault="003959BF" w:rsidP="001B6657">
            <w:pPr>
              <w:pStyle w:val="NoSpacing"/>
              <w:jc w:val="center"/>
              <w:rPr>
                <w:b/>
              </w:rPr>
            </w:pPr>
            <w:r>
              <w:rPr>
                <w:b/>
              </w:rPr>
              <w:t>Organisation</w:t>
            </w:r>
          </w:p>
        </w:tc>
        <w:tc>
          <w:tcPr>
            <w:tcW w:w="3173" w:type="dxa"/>
          </w:tcPr>
          <w:p w14:paraId="20CF86CF" w14:textId="77777777" w:rsidR="003959BF" w:rsidRPr="0076557E" w:rsidRDefault="003959BF" w:rsidP="001B6657">
            <w:pPr>
              <w:pStyle w:val="NoSpacing"/>
              <w:jc w:val="center"/>
              <w:rPr>
                <w:b/>
              </w:rPr>
            </w:pPr>
            <w:r>
              <w:rPr>
                <w:b/>
              </w:rPr>
              <w:t>Individuals</w:t>
            </w:r>
          </w:p>
        </w:tc>
        <w:tc>
          <w:tcPr>
            <w:tcW w:w="3148" w:type="dxa"/>
          </w:tcPr>
          <w:p w14:paraId="54736F5E" w14:textId="3D254AE1" w:rsidR="003959BF" w:rsidRPr="0076557E" w:rsidRDefault="003959BF" w:rsidP="001B6657">
            <w:pPr>
              <w:pStyle w:val="NoSpacing"/>
              <w:jc w:val="center"/>
              <w:rPr>
                <w:b/>
              </w:rPr>
            </w:pPr>
            <w:r w:rsidRPr="0076557E">
              <w:rPr>
                <w:b/>
              </w:rPr>
              <w:t xml:space="preserve">Nature of </w:t>
            </w:r>
            <w:r w:rsidR="00D12FA4">
              <w:rPr>
                <w:b/>
              </w:rPr>
              <w:t>Person/Organisation</w:t>
            </w:r>
          </w:p>
        </w:tc>
      </w:tr>
      <w:tr w:rsidR="003959BF" w:rsidRPr="0076557E" w14:paraId="3ECBCA34" w14:textId="77777777" w:rsidTr="008D7D12">
        <w:tc>
          <w:tcPr>
            <w:tcW w:w="3193" w:type="dxa"/>
          </w:tcPr>
          <w:p w14:paraId="4B38DF06" w14:textId="77777777" w:rsidR="003959BF" w:rsidRPr="0076557E" w:rsidRDefault="003959BF" w:rsidP="001B6657">
            <w:pPr>
              <w:pStyle w:val="NoSpacing"/>
              <w:jc w:val="both"/>
            </w:pPr>
            <w:r>
              <w:t>Applied Research Services</w:t>
            </w:r>
          </w:p>
        </w:tc>
        <w:tc>
          <w:tcPr>
            <w:tcW w:w="3173" w:type="dxa"/>
          </w:tcPr>
          <w:p w14:paraId="5FD0BC93" w14:textId="77777777" w:rsidR="003959BF" w:rsidRPr="0076557E" w:rsidRDefault="003959BF" w:rsidP="001B6657">
            <w:pPr>
              <w:pStyle w:val="NoSpacing"/>
              <w:jc w:val="both"/>
            </w:pPr>
            <w:r>
              <w:t>Wayne Webley</w:t>
            </w:r>
          </w:p>
        </w:tc>
        <w:tc>
          <w:tcPr>
            <w:tcW w:w="3148" w:type="dxa"/>
          </w:tcPr>
          <w:p w14:paraId="65DF339C" w14:textId="77777777" w:rsidR="003959BF" w:rsidRPr="0076557E" w:rsidRDefault="003959BF" w:rsidP="001B6657">
            <w:pPr>
              <w:pStyle w:val="NoSpacing"/>
              <w:jc w:val="both"/>
            </w:pPr>
            <w:r>
              <w:t>Testing laboratory</w:t>
            </w:r>
          </w:p>
        </w:tc>
      </w:tr>
      <w:tr w:rsidR="003959BF" w:rsidRPr="0076557E" w14:paraId="1A4A9674" w14:textId="77777777" w:rsidTr="008D7D12">
        <w:tc>
          <w:tcPr>
            <w:tcW w:w="3193" w:type="dxa"/>
          </w:tcPr>
          <w:p w14:paraId="2B190143" w14:textId="77777777" w:rsidR="003959BF" w:rsidRPr="0076557E" w:rsidRDefault="003959BF" w:rsidP="001B6657">
            <w:pPr>
              <w:pStyle w:val="NoSpacing"/>
              <w:jc w:val="both"/>
            </w:pPr>
            <w:r>
              <w:t>Bay of Plenty Regional Council</w:t>
            </w:r>
          </w:p>
        </w:tc>
        <w:tc>
          <w:tcPr>
            <w:tcW w:w="3173" w:type="dxa"/>
          </w:tcPr>
          <w:p w14:paraId="79522F0B" w14:textId="77777777" w:rsidR="003959BF" w:rsidRPr="0076557E" w:rsidRDefault="003959BF" w:rsidP="001B6657">
            <w:pPr>
              <w:pStyle w:val="NoSpacing"/>
              <w:jc w:val="both"/>
            </w:pPr>
            <w:r>
              <w:t>Marion Henton</w:t>
            </w:r>
          </w:p>
        </w:tc>
        <w:tc>
          <w:tcPr>
            <w:tcW w:w="3148" w:type="dxa"/>
          </w:tcPr>
          <w:p w14:paraId="60E3B2AE" w14:textId="77777777" w:rsidR="003959BF" w:rsidRPr="0076557E" w:rsidRDefault="003959BF" w:rsidP="001B6657">
            <w:pPr>
              <w:pStyle w:val="NoSpacing"/>
              <w:jc w:val="both"/>
            </w:pPr>
            <w:r>
              <w:t>Regional council</w:t>
            </w:r>
          </w:p>
        </w:tc>
      </w:tr>
      <w:tr w:rsidR="003959BF" w:rsidRPr="0076557E" w14:paraId="0519205D" w14:textId="77777777" w:rsidTr="008D7D12">
        <w:tc>
          <w:tcPr>
            <w:tcW w:w="3193" w:type="dxa"/>
          </w:tcPr>
          <w:p w14:paraId="3A7AA06E" w14:textId="77777777" w:rsidR="003959BF" w:rsidRPr="0076557E" w:rsidRDefault="003959BF" w:rsidP="001B6657">
            <w:pPr>
              <w:pStyle w:val="NoSpacing"/>
              <w:jc w:val="both"/>
            </w:pPr>
            <w:r>
              <w:t>E Energy</w:t>
            </w:r>
          </w:p>
        </w:tc>
        <w:tc>
          <w:tcPr>
            <w:tcW w:w="3173" w:type="dxa"/>
          </w:tcPr>
          <w:p w14:paraId="0D696FF5" w14:textId="77777777" w:rsidR="003959BF" w:rsidRDefault="003959BF" w:rsidP="001B6657">
            <w:pPr>
              <w:pStyle w:val="NoSpacing"/>
              <w:jc w:val="both"/>
            </w:pPr>
            <w:r>
              <w:t>Andrew Wilson</w:t>
            </w:r>
          </w:p>
        </w:tc>
        <w:tc>
          <w:tcPr>
            <w:tcW w:w="3148" w:type="dxa"/>
          </w:tcPr>
          <w:p w14:paraId="20F8D53C" w14:textId="77777777" w:rsidR="003959BF" w:rsidRDefault="003959BF" w:rsidP="001B6657">
            <w:pPr>
              <w:pStyle w:val="NoSpacing"/>
              <w:jc w:val="both"/>
            </w:pPr>
            <w:r>
              <w:t>Heating retailer</w:t>
            </w:r>
          </w:p>
        </w:tc>
      </w:tr>
      <w:tr w:rsidR="003959BF" w:rsidRPr="0076557E" w14:paraId="3A048D38" w14:textId="77777777" w:rsidTr="008D7D12">
        <w:tc>
          <w:tcPr>
            <w:tcW w:w="3193" w:type="dxa"/>
          </w:tcPr>
          <w:p w14:paraId="2FFB40CA" w14:textId="77777777" w:rsidR="003959BF" w:rsidRPr="0076557E" w:rsidRDefault="003959BF" w:rsidP="001B6657">
            <w:pPr>
              <w:pStyle w:val="NoSpacing"/>
              <w:jc w:val="both"/>
            </w:pPr>
            <w:r>
              <w:t>Environment Canterbury</w:t>
            </w:r>
          </w:p>
        </w:tc>
        <w:tc>
          <w:tcPr>
            <w:tcW w:w="3173" w:type="dxa"/>
          </w:tcPr>
          <w:p w14:paraId="54F15747" w14:textId="6817C348" w:rsidR="003959BF" w:rsidRPr="0076557E" w:rsidRDefault="003959BF" w:rsidP="001B6657">
            <w:pPr>
              <w:pStyle w:val="NoSpacing"/>
              <w:jc w:val="both"/>
            </w:pPr>
            <w:r>
              <w:t>Clare Pattison, Tim Mallett</w:t>
            </w:r>
            <w:r w:rsidR="001247BB">
              <w:t xml:space="preserve">, Mark Bourassa </w:t>
            </w:r>
            <w:r>
              <w:t>and Paul Hopwood</w:t>
            </w:r>
          </w:p>
        </w:tc>
        <w:tc>
          <w:tcPr>
            <w:tcW w:w="3148" w:type="dxa"/>
          </w:tcPr>
          <w:p w14:paraId="49AE2D16" w14:textId="77777777" w:rsidR="003959BF" w:rsidRPr="0076557E" w:rsidRDefault="003959BF" w:rsidP="001B6657">
            <w:pPr>
              <w:pStyle w:val="NoSpacing"/>
              <w:jc w:val="both"/>
            </w:pPr>
            <w:r>
              <w:t>Regional council</w:t>
            </w:r>
          </w:p>
        </w:tc>
      </w:tr>
      <w:tr w:rsidR="003959BF" w:rsidRPr="0076557E" w14:paraId="02C91472" w14:textId="77777777" w:rsidTr="008D7D12">
        <w:tc>
          <w:tcPr>
            <w:tcW w:w="3193" w:type="dxa"/>
          </w:tcPr>
          <w:p w14:paraId="5BAA6A38" w14:textId="77777777" w:rsidR="003959BF" w:rsidRDefault="003959BF" w:rsidP="0048452C">
            <w:pPr>
              <w:pStyle w:val="NoSpacing"/>
              <w:jc w:val="both"/>
            </w:pPr>
            <w:r>
              <w:t>Glen Dimplex</w:t>
            </w:r>
          </w:p>
        </w:tc>
        <w:tc>
          <w:tcPr>
            <w:tcW w:w="3173" w:type="dxa"/>
          </w:tcPr>
          <w:p w14:paraId="33B9CE1F" w14:textId="77777777" w:rsidR="003959BF" w:rsidRDefault="003959BF" w:rsidP="0048452C">
            <w:pPr>
              <w:pStyle w:val="NoSpacing"/>
              <w:jc w:val="both"/>
            </w:pPr>
            <w:r>
              <w:t>Prakash Sonar</w:t>
            </w:r>
          </w:p>
        </w:tc>
        <w:tc>
          <w:tcPr>
            <w:tcW w:w="3148" w:type="dxa"/>
          </w:tcPr>
          <w:p w14:paraId="7A2544B0" w14:textId="77777777" w:rsidR="003959BF" w:rsidRDefault="003959BF" w:rsidP="0048452C">
            <w:pPr>
              <w:pStyle w:val="NoSpacing"/>
              <w:jc w:val="both"/>
            </w:pPr>
            <w:r>
              <w:t>Burner manufacturer</w:t>
            </w:r>
          </w:p>
        </w:tc>
      </w:tr>
      <w:tr w:rsidR="003959BF" w:rsidRPr="0076557E" w14:paraId="655D4202" w14:textId="77777777" w:rsidTr="008D7D12">
        <w:tc>
          <w:tcPr>
            <w:tcW w:w="3193" w:type="dxa"/>
          </w:tcPr>
          <w:p w14:paraId="7721FA4E" w14:textId="77777777" w:rsidR="003959BF" w:rsidRDefault="003959BF" w:rsidP="001B6657">
            <w:pPr>
              <w:pStyle w:val="NoSpacing"/>
              <w:jc w:val="both"/>
            </w:pPr>
            <w:r>
              <w:t>Harris Home Fires</w:t>
            </w:r>
          </w:p>
        </w:tc>
        <w:tc>
          <w:tcPr>
            <w:tcW w:w="3173" w:type="dxa"/>
          </w:tcPr>
          <w:p w14:paraId="6D8C7893" w14:textId="77777777" w:rsidR="003959BF" w:rsidRDefault="003959BF" w:rsidP="001B6657">
            <w:pPr>
              <w:pStyle w:val="NoSpacing"/>
              <w:jc w:val="both"/>
            </w:pPr>
            <w:r>
              <w:t>Richard Harris</w:t>
            </w:r>
          </w:p>
        </w:tc>
        <w:tc>
          <w:tcPr>
            <w:tcW w:w="3148" w:type="dxa"/>
          </w:tcPr>
          <w:p w14:paraId="40FA8215" w14:textId="77777777" w:rsidR="003959BF" w:rsidRPr="0076557E" w:rsidRDefault="003959BF" w:rsidP="001B6657">
            <w:pPr>
              <w:pStyle w:val="NoSpacing"/>
              <w:jc w:val="both"/>
            </w:pPr>
            <w:r>
              <w:t>Burner manufacturer</w:t>
            </w:r>
          </w:p>
        </w:tc>
      </w:tr>
      <w:tr w:rsidR="00966D39" w:rsidRPr="0076557E" w14:paraId="24C1525A" w14:textId="77777777" w:rsidTr="008D7D12">
        <w:tc>
          <w:tcPr>
            <w:tcW w:w="3193" w:type="dxa"/>
          </w:tcPr>
          <w:p w14:paraId="3F76CABD" w14:textId="73BCF0B5" w:rsidR="00966D39" w:rsidRDefault="00966D39" w:rsidP="001B6657">
            <w:pPr>
              <w:pStyle w:val="NoSpacing"/>
              <w:jc w:val="both"/>
            </w:pPr>
            <w:r>
              <w:t>NZ Home Heating Association</w:t>
            </w:r>
          </w:p>
        </w:tc>
        <w:tc>
          <w:tcPr>
            <w:tcW w:w="3173" w:type="dxa"/>
          </w:tcPr>
          <w:p w14:paraId="4B4C7AA5" w14:textId="3B13C913" w:rsidR="00966D39" w:rsidRDefault="00966D39" w:rsidP="001B6657">
            <w:pPr>
              <w:pStyle w:val="NoSpacing"/>
              <w:jc w:val="both"/>
            </w:pPr>
            <w:r>
              <w:t>Mike Chilton</w:t>
            </w:r>
          </w:p>
        </w:tc>
        <w:tc>
          <w:tcPr>
            <w:tcW w:w="3148" w:type="dxa"/>
          </w:tcPr>
          <w:p w14:paraId="5009D871" w14:textId="6CC4D47C" w:rsidR="00966D39" w:rsidRDefault="00B33F8D" w:rsidP="001B6657">
            <w:pPr>
              <w:pStyle w:val="NoSpacing"/>
              <w:jc w:val="both"/>
            </w:pPr>
            <w:r>
              <w:t xml:space="preserve">Solid </w:t>
            </w:r>
            <w:r w:rsidR="00024176">
              <w:t>fuel</w:t>
            </w:r>
            <w:r>
              <w:t xml:space="preserve"> burner industry organisation </w:t>
            </w:r>
          </w:p>
        </w:tc>
      </w:tr>
      <w:tr w:rsidR="003959BF" w:rsidRPr="0076557E" w14:paraId="022F69BC" w14:textId="77777777" w:rsidTr="008D7D12">
        <w:tc>
          <w:tcPr>
            <w:tcW w:w="3193" w:type="dxa"/>
          </w:tcPr>
          <w:p w14:paraId="45BA3386" w14:textId="77777777" w:rsidR="003959BF" w:rsidRPr="0076557E" w:rsidRDefault="003959BF" w:rsidP="001B6657">
            <w:pPr>
              <w:pStyle w:val="NoSpacing"/>
              <w:jc w:val="both"/>
            </w:pPr>
            <w:r>
              <w:t>Pattle Delamore Partners</w:t>
            </w:r>
          </w:p>
        </w:tc>
        <w:tc>
          <w:tcPr>
            <w:tcW w:w="3173" w:type="dxa"/>
          </w:tcPr>
          <w:p w14:paraId="13576BA2" w14:textId="77777777" w:rsidR="003959BF" w:rsidRPr="0076557E" w:rsidRDefault="003959BF" w:rsidP="001B6657">
            <w:pPr>
              <w:pStyle w:val="NoSpacing"/>
              <w:jc w:val="both"/>
            </w:pPr>
            <w:r>
              <w:t>Steve Pearce</w:t>
            </w:r>
          </w:p>
        </w:tc>
        <w:tc>
          <w:tcPr>
            <w:tcW w:w="3148" w:type="dxa"/>
          </w:tcPr>
          <w:p w14:paraId="1BC8D210" w14:textId="77777777" w:rsidR="003959BF" w:rsidRPr="0076557E" w:rsidRDefault="003959BF" w:rsidP="001B6657">
            <w:pPr>
              <w:pStyle w:val="NoSpacing"/>
              <w:jc w:val="both"/>
            </w:pPr>
            <w:r>
              <w:t>Combustion technical expert</w:t>
            </w:r>
          </w:p>
        </w:tc>
      </w:tr>
      <w:tr w:rsidR="003959BF" w:rsidRPr="0076557E" w14:paraId="35B1F625" w14:textId="77777777" w:rsidTr="008D7D12">
        <w:tc>
          <w:tcPr>
            <w:tcW w:w="3193" w:type="dxa"/>
          </w:tcPr>
          <w:p w14:paraId="6FF8146E" w14:textId="77777777" w:rsidR="003959BF" w:rsidRDefault="003959BF" w:rsidP="0048452C">
            <w:pPr>
              <w:pStyle w:val="NoSpacing"/>
              <w:jc w:val="both"/>
            </w:pPr>
            <w:r>
              <w:t>Pioneer Manufacturing</w:t>
            </w:r>
          </w:p>
        </w:tc>
        <w:tc>
          <w:tcPr>
            <w:tcW w:w="3173" w:type="dxa"/>
          </w:tcPr>
          <w:p w14:paraId="1B34B694" w14:textId="77777777" w:rsidR="003959BF" w:rsidRDefault="003959BF" w:rsidP="0048452C">
            <w:pPr>
              <w:pStyle w:val="NoSpacing"/>
              <w:jc w:val="both"/>
            </w:pPr>
            <w:r>
              <w:t>Neil Tapsell</w:t>
            </w:r>
          </w:p>
        </w:tc>
        <w:tc>
          <w:tcPr>
            <w:tcW w:w="3148" w:type="dxa"/>
          </w:tcPr>
          <w:p w14:paraId="504D047C" w14:textId="77777777" w:rsidR="003959BF" w:rsidRPr="0076557E" w:rsidRDefault="003959BF" w:rsidP="0048452C">
            <w:pPr>
              <w:pStyle w:val="NoSpacing"/>
              <w:jc w:val="both"/>
            </w:pPr>
            <w:r>
              <w:t>Burner manufacturer</w:t>
            </w:r>
          </w:p>
        </w:tc>
      </w:tr>
      <w:tr w:rsidR="003959BF" w:rsidRPr="0076557E" w14:paraId="463014DB" w14:textId="77777777" w:rsidTr="008D7D12">
        <w:tc>
          <w:tcPr>
            <w:tcW w:w="3193" w:type="dxa"/>
          </w:tcPr>
          <w:p w14:paraId="073CAEE7" w14:textId="77777777" w:rsidR="003959BF" w:rsidRPr="0076557E" w:rsidRDefault="003959BF" w:rsidP="001B6657">
            <w:pPr>
              <w:pStyle w:val="NoSpacing"/>
              <w:jc w:val="both"/>
            </w:pPr>
            <w:r>
              <w:t>Spectrum Laboratories</w:t>
            </w:r>
          </w:p>
        </w:tc>
        <w:tc>
          <w:tcPr>
            <w:tcW w:w="3173" w:type="dxa"/>
          </w:tcPr>
          <w:p w14:paraId="3E0E9601" w14:textId="77777777" w:rsidR="003959BF" w:rsidRPr="0076557E" w:rsidRDefault="003959BF" w:rsidP="001B6657">
            <w:pPr>
              <w:pStyle w:val="NoSpacing"/>
              <w:jc w:val="both"/>
            </w:pPr>
            <w:r>
              <w:t>Philip Sparrow</w:t>
            </w:r>
          </w:p>
        </w:tc>
        <w:tc>
          <w:tcPr>
            <w:tcW w:w="3148" w:type="dxa"/>
          </w:tcPr>
          <w:p w14:paraId="509D8625" w14:textId="77777777" w:rsidR="003959BF" w:rsidRPr="0076557E" w:rsidRDefault="003959BF" w:rsidP="001B6657">
            <w:pPr>
              <w:pStyle w:val="NoSpacing"/>
              <w:jc w:val="both"/>
            </w:pPr>
            <w:r>
              <w:t>Testing laboratory</w:t>
            </w:r>
          </w:p>
        </w:tc>
      </w:tr>
    </w:tbl>
    <w:p w14:paraId="051E6F24" w14:textId="77777777" w:rsidR="00C6149B" w:rsidRDefault="00C6149B" w:rsidP="00C6149B">
      <w:pPr>
        <w:pStyle w:val="NoSpacing"/>
        <w:jc w:val="both"/>
      </w:pPr>
    </w:p>
    <w:p w14:paraId="7B9A6974" w14:textId="77777777" w:rsidR="00C6149B" w:rsidRDefault="00C6149B" w:rsidP="00C6149B">
      <w:pPr>
        <w:pStyle w:val="NoSpacing"/>
        <w:jc w:val="both"/>
      </w:pPr>
      <w:r>
        <w:t>The assistance and contribution of all people interviewed is acknowledged and appreciated.</w:t>
      </w:r>
    </w:p>
    <w:p w14:paraId="6DCC7BE0" w14:textId="77777777" w:rsidR="00C6149B" w:rsidRDefault="00C6149B" w:rsidP="00C6149B">
      <w:pPr>
        <w:pStyle w:val="NoSpacing"/>
        <w:jc w:val="both"/>
      </w:pPr>
    </w:p>
    <w:p w14:paraId="1537D38A" w14:textId="77777777" w:rsidR="00471B82" w:rsidRDefault="00471B82" w:rsidP="00CC717C"/>
    <w:p w14:paraId="1537D38B" w14:textId="77777777" w:rsidR="002575DE" w:rsidRDefault="002575DE">
      <w:pPr>
        <w:spacing w:before="0" w:after="200" w:line="276" w:lineRule="auto"/>
        <w:jc w:val="left"/>
        <w:rPr>
          <w:rFonts w:ascii="Tahoma" w:hAnsi="Tahoma"/>
          <w:i/>
          <w:sz w:val="32"/>
        </w:rPr>
      </w:pPr>
      <w:r>
        <w:br w:type="page"/>
      </w:r>
    </w:p>
    <w:p w14:paraId="1537D38C" w14:textId="06F725D1" w:rsidR="00090866" w:rsidRDefault="00DF1618" w:rsidP="00C80F4F">
      <w:pPr>
        <w:pStyle w:val="Heading1"/>
        <w:numPr>
          <w:ilvl w:val="0"/>
          <w:numId w:val="6"/>
        </w:numPr>
        <w:ind w:hanging="720"/>
      </w:pPr>
      <w:bookmarkStart w:id="11" w:name="_Toc34586680"/>
      <w:r>
        <w:lastRenderedPageBreak/>
        <w:t xml:space="preserve">Analysis of </w:t>
      </w:r>
      <w:r w:rsidR="000139DB">
        <w:t>Issues</w:t>
      </w:r>
      <w:bookmarkEnd w:id="11"/>
    </w:p>
    <w:p w14:paraId="1537D38D" w14:textId="1152A52E" w:rsidR="00090866" w:rsidRDefault="00090866" w:rsidP="00090866"/>
    <w:p w14:paraId="13BB9980" w14:textId="441CFCA0" w:rsidR="00F22FC2" w:rsidRPr="00227625" w:rsidRDefault="00F00805" w:rsidP="00227625">
      <w:pPr>
        <w:pStyle w:val="Heading2"/>
        <w:numPr>
          <w:ilvl w:val="1"/>
          <w:numId w:val="6"/>
        </w:numPr>
        <w:rPr>
          <w:sz w:val="22"/>
          <w:szCs w:val="22"/>
        </w:rPr>
      </w:pPr>
      <w:bookmarkStart w:id="12" w:name="_Ref31890449"/>
      <w:bookmarkStart w:id="13" w:name="_Toc34586681"/>
      <w:r w:rsidRPr="00227625">
        <w:rPr>
          <w:sz w:val="22"/>
          <w:szCs w:val="22"/>
        </w:rPr>
        <w:t>Current</w:t>
      </w:r>
      <w:r w:rsidR="00E6638A" w:rsidRPr="00227625">
        <w:rPr>
          <w:sz w:val="22"/>
          <w:szCs w:val="22"/>
        </w:rPr>
        <w:t xml:space="preserve"> </w:t>
      </w:r>
      <w:r w:rsidR="00AC26DA" w:rsidRPr="00227625">
        <w:rPr>
          <w:sz w:val="22"/>
          <w:szCs w:val="22"/>
        </w:rPr>
        <w:t xml:space="preserve">NESAQ </w:t>
      </w:r>
      <w:r w:rsidR="00433215" w:rsidRPr="00227625">
        <w:rPr>
          <w:sz w:val="22"/>
          <w:szCs w:val="22"/>
        </w:rPr>
        <w:t>Regulations</w:t>
      </w:r>
      <w:bookmarkEnd w:id="12"/>
      <w:bookmarkEnd w:id="13"/>
      <w:r w:rsidR="00AC26DA" w:rsidRPr="00227625">
        <w:rPr>
          <w:sz w:val="22"/>
          <w:szCs w:val="22"/>
        </w:rPr>
        <w:t xml:space="preserve"> </w:t>
      </w:r>
    </w:p>
    <w:p w14:paraId="16B84D6C" w14:textId="77777777" w:rsidR="000B1079" w:rsidRPr="000B1079" w:rsidRDefault="000B1079" w:rsidP="000B1079"/>
    <w:p w14:paraId="7A6E646D" w14:textId="6F810D3E" w:rsidR="00626EBB" w:rsidRDefault="00626EBB" w:rsidP="00626EBB">
      <w:pPr>
        <w:pStyle w:val="NoSpacing"/>
        <w:jc w:val="both"/>
      </w:pPr>
      <w:r>
        <w:t xml:space="preserve">The current National Environmental Standards for Air Quality (NESAQ) </w:t>
      </w:r>
      <w:r w:rsidR="000F2396">
        <w:t xml:space="preserve">were </w:t>
      </w:r>
      <w:r w:rsidR="007832B2">
        <w:t>introduced</w:t>
      </w:r>
      <w:r w:rsidR="000F2396">
        <w:t xml:space="preserve"> in</w:t>
      </w:r>
      <w:r w:rsidR="00B4549D">
        <w:t xml:space="preserve"> 2004</w:t>
      </w:r>
      <w:r w:rsidR="00C30384">
        <w:t xml:space="preserve"> and were last amended in 2011</w:t>
      </w:r>
      <w:r w:rsidR="00B4549D">
        <w:t xml:space="preserve">.  </w:t>
      </w:r>
      <w:r w:rsidR="000F2396">
        <w:t xml:space="preserve">They </w:t>
      </w:r>
      <w:r>
        <w:t>specif</w:t>
      </w:r>
      <w:r w:rsidR="000F2396">
        <w:t>y</w:t>
      </w:r>
      <w:r>
        <w:t xml:space="preserve"> the following requirements that must be met for </w:t>
      </w:r>
      <w:r w:rsidR="007F2055">
        <w:t>woo</w:t>
      </w:r>
      <w:r w:rsidR="004D53E2">
        <w:t>d</w:t>
      </w:r>
      <w:r>
        <w:t xml:space="preserve">burners to be installed in </w:t>
      </w:r>
      <w:r w:rsidR="004876EA">
        <w:t xml:space="preserve">homes on </w:t>
      </w:r>
      <w:r w:rsidR="005B42ED">
        <w:t>sites</w:t>
      </w:r>
      <w:r>
        <w:t xml:space="preserve"> of less than 2 hectare</w:t>
      </w:r>
      <w:r w:rsidR="004876EA">
        <w:t>s:</w:t>
      </w:r>
    </w:p>
    <w:p w14:paraId="780F9425" w14:textId="77777777" w:rsidR="00626EBB" w:rsidRDefault="00626EBB" w:rsidP="00626EBB">
      <w:pPr>
        <w:pStyle w:val="NoSpacing"/>
        <w:jc w:val="both"/>
      </w:pPr>
    </w:p>
    <w:p w14:paraId="08B334AC" w14:textId="77777777" w:rsidR="00626EBB" w:rsidRDefault="00626EBB" w:rsidP="00440E89">
      <w:pPr>
        <w:pStyle w:val="NoSpacing"/>
        <w:numPr>
          <w:ilvl w:val="0"/>
          <w:numId w:val="12"/>
        </w:numPr>
        <w:jc w:val="both"/>
      </w:pPr>
      <w:r>
        <w:t>An emissions factor not exceeding 1.5g/kg of fuel burnt, based on testing to Australian New Zealand Standard AS/NZS 4013: Domestic solid fuel burning appliances – method for determination of flue gas emission.</w:t>
      </w:r>
    </w:p>
    <w:p w14:paraId="5DF86D3E" w14:textId="77777777" w:rsidR="00626EBB" w:rsidRDefault="00626EBB" w:rsidP="00440E89">
      <w:pPr>
        <w:pStyle w:val="NoSpacing"/>
        <w:numPr>
          <w:ilvl w:val="0"/>
          <w:numId w:val="12"/>
        </w:numPr>
        <w:jc w:val="both"/>
      </w:pPr>
      <w:r>
        <w:t>A thermal efficiency of not less than 65% based on the ratio of usable heat energy output to energy input from testing to Australian New Zealand Standard AS/NZS 4012: Domestic solid fuel burning appliances – method for determination of power output and efficiency.</w:t>
      </w:r>
    </w:p>
    <w:p w14:paraId="1E83DDA9" w14:textId="1668DA19" w:rsidR="00626EBB" w:rsidRDefault="00626EBB" w:rsidP="00626EBB">
      <w:pPr>
        <w:ind w:left="360"/>
      </w:pPr>
    </w:p>
    <w:p w14:paraId="4F83B9D6" w14:textId="5B950026" w:rsidR="00E87C73" w:rsidRDefault="00C97B34" w:rsidP="00796A9E">
      <w:pPr>
        <w:pStyle w:val="NoSpacing"/>
        <w:jc w:val="both"/>
      </w:pPr>
      <w:r>
        <w:t xml:space="preserve">The </w:t>
      </w:r>
      <w:r w:rsidR="004D0062">
        <w:t>NESAQ</w:t>
      </w:r>
      <w:r>
        <w:t xml:space="preserve"> allows the use of </w:t>
      </w:r>
      <w:r w:rsidR="00B37B18">
        <w:t xml:space="preserve">a functionally equivalent test </w:t>
      </w:r>
      <w:r w:rsidR="009833DE">
        <w:t>method</w:t>
      </w:r>
      <w:r w:rsidR="0076357E">
        <w:t xml:space="preserve"> for burner types that are </w:t>
      </w:r>
      <w:r w:rsidR="009833DE">
        <w:t>excluded</w:t>
      </w:r>
      <w:r w:rsidR="0076357E">
        <w:t xml:space="preserve"> from </w:t>
      </w:r>
      <w:r w:rsidR="004D0062">
        <w:t>AS/NZS 4012 and AS/NZS 4013</w:t>
      </w:r>
      <w:r w:rsidR="006450BC">
        <w:t xml:space="preserve">, such as </w:t>
      </w:r>
      <w:r w:rsidR="00D00D7F">
        <w:t>central heating appliances.</w:t>
      </w:r>
    </w:p>
    <w:p w14:paraId="34B7AD6F" w14:textId="77777777" w:rsidR="00796A9E" w:rsidRDefault="00796A9E" w:rsidP="00411C52">
      <w:pPr>
        <w:pStyle w:val="NoSpacing"/>
        <w:jc w:val="both"/>
      </w:pPr>
    </w:p>
    <w:p w14:paraId="12FFD755" w14:textId="1476D23C" w:rsidR="003C70B9" w:rsidRPr="003C70B9" w:rsidRDefault="003C70B9" w:rsidP="003C70B9">
      <w:pPr>
        <w:pStyle w:val="NoSpacing"/>
        <w:jc w:val="both"/>
      </w:pPr>
      <w:r w:rsidRPr="003C70B9">
        <w:t xml:space="preserve">A woodburner is defined in the </w:t>
      </w:r>
      <w:r w:rsidR="004D0062">
        <w:t>NESAQ</w:t>
      </w:r>
      <w:r w:rsidRPr="003C70B9">
        <w:t xml:space="preserve"> as a domestic heating appliance that burns wood; but</w:t>
      </w:r>
      <w:r>
        <w:t xml:space="preserve"> </w:t>
      </w:r>
      <w:r w:rsidRPr="003C70B9">
        <w:t>does not include:</w:t>
      </w:r>
    </w:p>
    <w:p w14:paraId="7BF498EA" w14:textId="77777777" w:rsidR="003C70B9" w:rsidRPr="003C70B9" w:rsidRDefault="003C70B9" w:rsidP="00440E89">
      <w:pPr>
        <w:pStyle w:val="NoSpacing"/>
        <w:numPr>
          <w:ilvl w:val="0"/>
          <w:numId w:val="16"/>
        </w:numPr>
        <w:jc w:val="both"/>
      </w:pPr>
      <w:r w:rsidRPr="003C70B9">
        <w:t>an open fire; or</w:t>
      </w:r>
    </w:p>
    <w:p w14:paraId="719B3C52" w14:textId="77777777" w:rsidR="003C70B9" w:rsidRPr="003C70B9" w:rsidRDefault="003C70B9" w:rsidP="00440E89">
      <w:pPr>
        <w:pStyle w:val="NoSpacing"/>
        <w:numPr>
          <w:ilvl w:val="0"/>
          <w:numId w:val="16"/>
        </w:numPr>
        <w:jc w:val="both"/>
      </w:pPr>
      <w:r w:rsidRPr="003C70B9">
        <w:t>a multifuel heater, a pellet heater, or a coal burning heater; or</w:t>
      </w:r>
    </w:p>
    <w:p w14:paraId="6B66049B" w14:textId="77777777" w:rsidR="003C70B9" w:rsidRDefault="003C70B9" w:rsidP="00440E89">
      <w:pPr>
        <w:pStyle w:val="NoSpacing"/>
        <w:numPr>
          <w:ilvl w:val="0"/>
          <w:numId w:val="16"/>
        </w:numPr>
        <w:jc w:val="both"/>
      </w:pPr>
      <w:r w:rsidRPr="003C70B9">
        <w:t>a stove that is designed and used for cooking; and heated by burning wood.</w:t>
      </w:r>
    </w:p>
    <w:p w14:paraId="45362A13" w14:textId="2D2D3044" w:rsidR="008D0B16" w:rsidRDefault="008D0B16" w:rsidP="000B1079">
      <w:pPr>
        <w:rPr>
          <w:b/>
          <w:bCs/>
        </w:rPr>
      </w:pPr>
    </w:p>
    <w:p w14:paraId="1F3DB72C" w14:textId="1DCB4CDA" w:rsidR="00163C5D" w:rsidRDefault="00163C5D" w:rsidP="00163C5D">
      <w:pPr>
        <w:pStyle w:val="NoSpacing"/>
        <w:jc w:val="both"/>
      </w:pPr>
      <w:r>
        <w:t xml:space="preserve">Allowable emission levels </w:t>
      </w:r>
      <w:r w:rsidR="0054070E">
        <w:t>defined in the NESAQ and its predecessor</w:t>
      </w:r>
      <w:r w:rsidR="00871946">
        <w:t>s</w:t>
      </w:r>
      <w:r w:rsidR="0054070E">
        <w:t xml:space="preserve"> </w:t>
      </w:r>
      <w:r>
        <w:t>have been steadily reduced over time</w:t>
      </w:r>
      <w:r w:rsidR="00D013DC">
        <w:t xml:space="preserve"> as part of </w:t>
      </w:r>
      <w:r w:rsidR="009833DE">
        <w:t>initiatives</w:t>
      </w:r>
      <w:r w:rsidR="00D013DC">
        <w:t xml:space="preserve"> to improve air </w:t>
      </w:r>
      <w:r w:rsidR="009833DE">
        <w:t>quality</w:t>
      </w:r>
      <w:r>
        <w:t xml:space="preserve">.  National particulates emission limits </w:t>
      </w:r>
      <w:r w:rsidR="00E62FBA">
        <w:t xml:space="preserve">as determined by testing to </w:t>
      </w:r>
      <w:r w:rsidR="004D0062">
        <w:t>AS/NZS 4013</w:t>
      </w:r>
      <w:r w:rsidR="00E62FBA">
        <w:t xml:space="preserve"> and </w:t>
      </w:r>
      <w:r w:rsidR="00FA0C01">
        <w:t xml:space="preserve">prior </w:t>
      </w:r>
      <w:r w:rsidR="008D487E">
        <w:t xml:space="preserve">test </w:t>
      </w:r>
      <w:r w:rsidR="006867AF">
        <w:t>standards</w:t>
      </w:r>
      <w:r w:rsidR="00E62FBA">
        <w:t xml:space="preserve"> </w:t>
      </w:r>
      <w:r>
        <w:t>have been as follows:</w:t>
      </w:r>
      <w:r w:rsidR="00DA0A9F">
        <w:t xml:space="preserve">  </w:t>
      </w:r>
    </w:p>
    <w:p w14:paraId="1DA8E09D" w14:textId="77777777" w:rsidR="00163C5D" w:rsidRDefault="00163C5D" w:rsidP="00163C5D">
      <w:pPr>
        <w:pStyle w:val="NoSpacing"/>
        <w:jc w:val="both"/>
      </w:pPr>
    </w:p>
    <w:p w14:paraId="72BDA167" w14:textId="64429419" w:rsidR="00163C5D" w:rsidRPr="001E08B0" w:rsidRDefault="00314BB0" w:rsidP="00314BB0">
      <w:pPr>
        <w:pStyle w:val="Caption"/>
        <w:rPr>
          <w:sz w:val="22"/>
          <w:szCs w:val="22"/>
        </w:rPr>
      </w:pPr>
      <w:bookmarkStart w:id="14" w:name="_Ref31874390"/>
      <w:r w:rsidRPr="00EA2B3D">
        <w:rPr>
          <w:sz w:val="22"/>
          <w:szCs w:val="22"/>
        </w:rPr>
        <w:t xml:space="preserve">Table </w:t>
      </w:r>
      <w:r w:rsidRPr="00EA2B3D">
        <w:rPr>
          <w:sz w:val="22"/>
          <w:szCs w:val="22"/>
        </w:rPr>
        <w:fldChar w:fldCharType="begin"/>
      </w:r>
      <w:r w:rsidRPr="00EA2B3D">
        <w:rPr>
          <w:sz w:val="22"/>
          <w:szCs w:val="22"/>
        </w:rPr>
        <w:instrText xml:space="preserve"> SEQ Table \* ARABIC </w:instrText>
      </w:r>
      <w:r w:rsidRPr="00EA2B3D">
        <w:rPr>
          <w:sz w:val="22"/>
          <w:szCs w:val="22"/>
        </w:rPr>
        <w:fldChar w:fldCharType="separate"/>
      </w:r>
      <w:r w:rsidR="00CD682F">
        <w:rPr>
          <w:noProof/>
          <w:sz w:val="22"/>
          <w:szCs w:val="22"/>
        </w:rPr>
        <w:t>3</w:t>
      </w:r>
      <w:r w:rsidRPr="00EA2B3D">
        <w:rPr>
          <w:sz w:val="22"/>
          <w:szCs w:val="22"/>
        </w:rPr>
        <w:fldChar w:fldCharType="end"/>
      </w:r>
      <w:bookmarkEnd w:id="14"/>
      <w:r w:rsidRPr="00EA2B3D">
        <w:rPr>
          <w:sz w:val="22"/>
          <w:szCs w:val="22"/>
        </w:rPr>
        <w:t xml:space="preserve">: </w:t>
      </w:r>
      <w:r w:rsidR="00163C5D" w:rsidRPr="001E08B0">
        <w:rPr>
          <w:sz w:val="22"/>
          <w:szCs w:val="22"/>
        </w:rPr>
        <w:t>Allowable Emissions</w:t>
      </w:r>
      <w:r w:rsidR="00387A35">
        <w:rPr>
          <w:sz w:val="22"/>
          <w:szCs w:val="22"/>
        </w:rPr>
        <w:t xml:space="preserve"> Levels</w:t>
      </w:r>
    </w:p>
    <w:tbl>
      <w:tblPr>
        <w:tblStyle w:val="TableGrid"/>
        <w:tblW w:w="0" w:type="auto"/>
        <w:tblInd w:w="360" w:type="dxa"/>
        <w:tblLook w:val="04A0" w:firstRow="1" w:lastRow="0" w:firstColumn="1" w:lastColumn="0" w:noHBand="0" w:noVBand="1"/>
      </w:tblPr>
      <w:tblGrid>
        <w:gridCol w:w="1806"/>
        <w:gridCol w:w="1798"/>
      </w:tblGrid>
      <w:tr w:rsidR="00163C5D" w:rsidRPr="00C623C8" w14:paraId="62032AA1" w14:textId="77777777" w:rsidTr="0019380A">
        <w:tc>
          <w:tcPr>
            <w:tcW w:w="1806" w:type="dxa"/>
          </w:tcPr>
          <w:p w14:paraId="6FE5D95C" w14:textId="77777777" w:rsidR="00163C5D" w:rsidRPr="00C623C8" w:rsidRDefault="00163C5D" w:rsidP="0019380A">
            <w:pPr>
              <w:jc w:val="center"/>
              <w:rPr>
                <w:b/>
                <w:bCs/>
              </w:rPr>
            </w:pPr>
            <w:r w:rsidRPr="00662DF5">
              <w:rPr>
                <w:szCs w:val="22"/>
              </w:rPr>
              <w:t xml:space="preserve"> </w:t>
            </w:r>
            <w:r w:rsidRPr="00C623C8">
              <w:rPr>
                <w:b/>
                <w:bCs/>
              </w:rPr>
              <w:t>Year</w:t>
            </w:r>
          </w:p>
        </w:tc>
        <w:tc>
          <w:tcPr>
            <w:tcW w:w="1798" w:type="dxa"/>
          </w:tcPr>
          <w:p w14:paraId="5FD0A2D2" w14:textId="22921F59" w:rsidR="00163C5D" w:rsidRPr="00C623C8" w:rsidRDefault="0054070E" w:rsidP="0019380A">
            <w:pPr>
              <w:jc w:val="center"/>
              <w:rPr>
                <w:b/>
                <w:bCs/>
              </w:rPr>
            </w:pPr>
            <w:r>
              <w:rPr>
                <w:b/>
                <w:bCs/>
              </w:rPr>
              <w:t>A</w:t>
            </w:r>
            <w:r w:rsidR="00163C5D" w:rsidRPr="00C623C8">
              <w:rPr>
                <w:b/>
                <w:bCs/>
              </w:rPr>
              <w:t>llowable emissions</w:t>
            </w:r>
          </w:p>
        </w:tc>
      </w:tr>
      <w:tr w:rsidR="00163C5D" w:rsidRPr="005A51E9" w14:paraId="63F39C30" w14:textId="77777777" w:rsidTr="0019380A">
        <w:tc>
          <w:tcPr>
            <w:tcW w:w="1806" w:type="dxa"/>
          </w:tcPr>
          <w:p w14:paraId="2E87423F" w14:textId="77777777" w:rsidR="00163C5D" w:rsidRPr="005A51E9" w:rsidRDefault="00163C5D" w:rsidP="0019380A">
            <w:r w:rsidRPr="005A51E9">
              <w:t>1992</w:t>
            </w:r>
          </w:p>
        </w:tc>
        <w:tc>
          <w:tcPr>
            <w:tcW w:w="1798" w:type="dxa"/>
          </w:tcPr>
          <w:p w14:paraId="160549F9" w14:textId="77777777" w:rsidR="00163C5D" w:rsidRPr="005A51E9" w:rsidRDefault="00163C5D" w:rsidP="0019380A">
            <w:r w:rsidRPr="005A51E9">
              <w:t>5.5 g/kg</w:t>
            </w:r>
          </w:p>
        </w:tc>
      </w:tr>
      <w:tr w:rsidR="00163C5D" w:rsidRPr="005A51E9" w14:paraId="6D832460" w14:textId="77777777" w:rsidTr="0019380A">
        <w:tc>
          <w:tcPr>
            <w:tcW w:w="1806" w:type="dxa"/>
          </w:tcPr>
          <w:p w14:paraId="13BBC943" w14:textId="77777777" w:rsidR="00163C5D" w:rsidRPr="005A51E9" w:rsidRDefault="00163C5D" w:rsidP="0019380A">
            <w:r w:rsidRPr="005A51E9">
              <w:t>1999</w:t>
            </w:r>
          </w:p>
        </w:tc>
        <w:tc>
          <w:tcPr>
            <w:tcW w:w="1798" w:type="dxa"/>
          </w:tcPr>
          <w:p w14:paraId="2624D16E" w14:textId="77777777" w:rsidR="00163C5D" w:rsidRPr="005A51E9" w:rsidRDefault="00163C5D" w:rsidP="0019380A">
            <w:r w:rsidRPr="005A51E9">
              <w:t>4 g/kg</w:t>
            </w:r>
          </w:p>
        </w:tc>
      </w:tr>
      <w:tr w:rsidR="00163C5D" w:rsidRPr="005A51E9" w14:paraId="75DD7F47" w14:textId="77777777" w:rsidTr="0019380A">
        <w:tc>
          <w:tcPr>
            <w:tcW w:w="1806" w:type="dxa"/>
          </w:tcPr>
          <w:p w14:paraId="5B1778A6" w14:textId="77777777" w:rsidR="00163C5D" w:rsidRPr="005A51E9" w:rsidRDefault="00163C5D" w:rsidP="0019380A">
            <w:r w:rsidRPr="005A51E9">
              <w:t>2004</w:t>
            </w:r>
          </w:p>
        </w:tc>
        <w:tc>
          <w:tcPr>
            <w:tcW w:w="1798" w:type="dxa"/>
          </w:tcPr>
          <w:p w14:paraId="2E7C6939" w14:textId="77777777" w:rsidR="00163C5D" w:rsidRPr="005A51E9" w:rsidRDefault="00163C5D" w:rsidP="0019380A">
            <w:r w:rsidRPr="005A51E9">
              <w:t>1.5 g/kg</w:t>
            </w:r>
          </w:p>
        </w:tc>
      </w:tr>
      <w:tr w:rsidR="00163C5D" w:rsidRPr="005A51E9" w14:paraId="61863F6D" w14:textId="77777777" w:rsidTr="0019380A">
        <w:tc>
          <w:tcPr>
            <w:tcW w:w="1806" w:type="dxa"/>
          </w:tcPr>
          <w:p w14:paraId="4D68C340" w14:textId="77777777" w:rsidR="00163C5D" w:rsidRPr="005A51E9" w:rsidRDefault="00163C5D" w:rsidP="0019380A">
            <w:r w:rsidRPr="005A51E9">
              <w:t>2020 (proposed)</w:t>
            </w:r>
          </w:p>
        </w:tc>
        <w:tc>
          <w:tcPr>
            <w:tcW w:w="1798" w:type="dxa"/>
          </w:tcPr>
          <w:p w14:paraId="47173CDA" w14:textId="77777777" w:rsidR="00163C5D" w:rsidRPr="005A51E9" w:rsidRDefault="00163C5D" w:rsidP="0019380A">
            <w:r w:rsidRPr="005A51E9">
              <w:t>1.0 g/kg</w:t>
            </w:r>
          </w:p>
        </w:tc>
      </w:tr>
    </w:tbl>
    <w:p w14:paraId="39A16BB5" w14:textId="736AAF26" w:rsidR="00163C5D" w:rsidRDefault="00163C5D" w:rsidP="000B1079">
      <w:pPr>
        <w:rPr>
          <w:b/>
          <w:bCs/>
        </w:rPr>
      </w:pPr>
    </w:p>
    <w:p w14:paraId="5F715909" w14:textId="60EDC4B7" w:rsidR="00646134" w:rsidRDefault="004B2EA2" w:rsidP="004B2EA2">
      <w:pPr>
        <w:pStyle w:val="NoSpacing"/>
        <w:jc w:val="both"/>
      </w:pPr>
      <w:r>
        <w:t xml:space="preserve">In addition to the standards specified in the </w:t>
      </w:r>
      <w:r w:rsidR="004D0062">
        <w:t>NESAQ</w:t>
      </w:r>
      <w:r>
        <w:t xml:space="preserve">, various Regional Councils around NZ have established </w:t>
      </w:r>
      <w:r w:rsidR="00286B63">
        <w:t xml:space="preserve">a variety of </w:t>
      </w:r>
      <w:r>
        <w:t xml:space="preserve">their own more stringent rules in order to help address their respective air quality obligations and concerns.  </w:t>
      </w:r>
      <w:r w:rsidR="00257CA7">
        <w:t xml:space="preserve">These are </w:t>
      </w:r>
      <w:r w:rsidR="007961BB">
        <w:t>shown in the following table:</w:t>
      </w:r>
    </w:p>
    <w:p w14:paraId="1CA09320" w14:textId="77777777" w:rsidR="00646134" w:rsidRDefault="00646134">
      <w:pPr>
        <w:spacing w:before="0" w:after="200" w:line="276" w:lineRule="auto"/>
        <w:jc w:val="left"/>
        <w:rPr>
          <w:rFonts w:eastAsiaTheme="minorHAnsi" w:cstheme="minorBidi"/>
          <w:szCs w:val="22"/>
          <w:lang w:val="en-NZ"/>
        </w:rPr>
      </w:pPr>
      <w:r>
        <w:br w:type="page"/>
      </w:r>
    </w:p>
    <w:p w14:paraId="09FA431F" w14:textId="77777777" w:rsidR="004B2EA2" w:rsidRDefault="004B2EA2" w:rsidP="004B2EA2">
      <w:pPr>
        <w:pStyle w:val="NoSpacing"/>
        <w:jc w:val="both"/>
      </w:pPr>
    </w:p>
    <w:p w14:paraId="2D46F95C" w14:textId="16D906A8" w:rsidR="00ED1FBC" w:rsidRDefault="00ED1FBC" w:rsidP="004B2EA2">
      <w:pPr>
        <w:pStyle w:val="NoSpacing"/>
        <w:jc w:val="both"/>
      </w:pPr>
    </w:p>
    <w:p w14:paraId="1EE11268" w14:textId="591AFFB6" w:rsidR="00ED1FBC" w:rsidRPr="00646134" w:rsidRDefault="00646134" w:rsidP="00646134">
      <w:pPr>
        <w:pStyle w:val="Caption"/>
        <w:rPr>
          <w:sz w:val="22"/>
          <w:szCs w:val="22"/>
        </w:rPr>
      </w:pPr>
      <w:r w:rsidRPr="00646134">
        <w:rPr>
          <w:sz w:val="22"/>
          <w:szCs w:val="22"/>
        </w:rPr>
        <w:t xml:space="preserve">Table </w:t>
      </w:r>
      <w:r w:rsidRPr="00646134">
        <w:rPr>
          <w:sz w:val="22"/>
          <w:szCs w:val="22"/>
        </w:rPr>
        <w:fldChar w:fldCharType="begin"/>
      </w:r>
      <w:r w:rsidRPr="00646134">
        <w:rPr>
          <w:sz w:val="22"/>
          <w:szCs w:val="22"/>
        </w:rPr>
        <w:instrText xml:space="preserve"> SEQ Table \* ARABIC </w:instrText>
      </w:r>
      <w:r w:rsidRPr="00646134">
        <w:rPr>
          <w:sz w:val="22"/>
          <w:szCs w:val="22"/>
        </w:rPr>
        <w:fldChar w:fldCharType="separate"/>
      </w:r>
      <w:r w:rsidR="00CD682F">
        <w:rPr>
          <w:noProof/>
          <w:sz w:val="22"/>
          <w:szCs w:val="22"/>
        </w:rPr>
        <w:t>4</w:t>
      </w:r>
      <w:r w:rsidRPr="00646134">
        <w:rPr>
          <w:sz w:val="22"/>
          <w:szCs w:val="22"/>
        </w:rPr>
        <w:fldChar w:fldCharType="end"/>
      </w:r>
      <w:r w:rsidRPr="00646134">
        <w:rPr>
          <w:sz w:val="22"/>
          <w:szCs w:val="22"/>
        </w:rPr>
        <w:t>: Regional Emissions Limits</w:t>
      </w:r>
    </w:p>
    <w:p w14:paraId="03377C20" w14:textId="77777777" w:rsidR="007961BB" w:rsidRDefault="007961BB" w:rsidP="004B2EA2">
      <w:pPr>
        <w:pStyle w:val="NoSpacing"/>
        <w:jc w:val="both"/>
      </w:pPr>
    </w:p>
    <w:tbl>
      <w:tblPr>
        <w:tblStyle w:val="TableGrid"/>
        <w:tblW w:w="0" w:type="auto"/>
        <w:tblInd w:w="360" w:type="dxa"/>
        <w:tblLook w:val="04A0" w:firstRow="1" w:lastRow="0" w:firstColumn="1" w:lastColumn="0" w:noHBand="0" w:noVBand="1"/>
      </w:tblPr>
      <w:tblGrid>
        <w:gridCol w:w="3037"/>
        <w:gridCol w:w="1843"/>
        <w:gridCol w:w="3402"/>
      </w:tblGrid>
      <w:tr w:rsidR="00B22297" w:rsidRPr="00C623C8" w14:paraId="0D43DA55" w14:textId="77777777" w:rsidTr="003A4296">
        <w:tc>
          <w:tcPr>
            <w:tcW w:w="3037" w:type="dxa"/>
          </w:tcPr>
          <w:p w14:paraId="16B11C81" w14:textId="77777777" w:rsidR="00B22297" w:rsidRPr="00C623C8" w:rsidRDefault="00B22297" w:rsidP="005D50FD">
            <w:pPr>
              <w:jc w:val="center"/>
              <w:rPr>
                <w:b/>
                <w:bCs/>
              </w:rPr>
            </w:pPr>
            <w:r>
              <w:rPr>
                <w:b/>
                <w:bCs/>
              </w:rPr>
              <w:t>Region</w:t>
            </w:r>
          </w:p>
        </w:tc>
        <w:tc>
          <w:tcPr>
            <w:tcW w:w="1843" w:type="dxa"/>
          </w:tcPr>
          <w:p w14:paraId="239F3F35" w14:textId="71DDCE13" w:rsidR="00B22297" w:rsidRPr="00C623C8" w:rsidRDefault="00CF0E75" w:rsidP="005D50FD">
            <w:pPr>
              <w:jc w:val="center"/>
              <w:rPr>
                <w:b/>
                <w:bCs/>
              </w:rPr>
            </w:pPr>
            <w:r>
              <w:rPr>
                <w:b/>
                <w:bCs/>
              </w:rPr>
              <w:t xml:space="preserve">Maximum </w:t>
            </w:r>
            <w:r w:rsidR="00781CC3">
              <w:rPr>
                <w:b/>
                <w:bCs/>
              </w:rPr>
              <w:t>a</w:t>
            </w:r>
            <w:r w:rsidR="00B22297" w:rsidRPr="00C623C8">
              <w:rPr>
                <w:b/>
                <w:bCs/>
              </w:rPr>
              <w:t>llowable emissions</w:t>
            </w:r>
          </w:p>
        </w:tc>
        <w:tc>
          <w:tcPr>
            <w:tcW w:w="3402" w:type="dxa"/>
          </w:tcPr>
          <w:p w14:paraId="2F488C87" w14:textId="77777777" w:rsidR="00B22297" w:rsidRDefault="00B22297" w:rsidP="005D50FD">
            <w:pPr>
              <w:jc w:val="center"/>
              <w:rPr>
                <w:b/>
                <w:bCs/>
              </w:rPr>
            </w:pPr>
            <w:r>
              <w:rPr>
                <w:b/>
                <w:bCs/>
              </w:rPr>
              <w:t>Comments</w:t>
            </w:r>
          </w:p>
        </w:tc>
      </w:tr>
      <w:tr w:rsidR="00B66415" w:rsidRPr="005A51E9" w14:paraId="3CD9AB23" w14:textId="77777777" w:rsidTr="003A4296">
        <w:tc>
          <w:tcPr>
            <w:tcW w:w="3037" w:type="dxa"/>
          </w:tcPr>
          <w:p w14:paraId="7F1BA6B2" w14:textId="77777777" w:rsidR="00B66415" w:rsidRDefault="00B66415" w:rsidP="00B66415">
            <w:r>
              <w:t>Alexandra, Arrowtown, Clyde and Cromwell</w:t>
            </w:r>
          </w:p>
        </w:tc>
        <w:tc>
          <w:tcPr>
            <w:tcW w:w="1843" w:type="dxa"/>
          </w:tcPr>
          <w:p w14:paraId="62D7073A" w14:textId="77777777" w:rsidR="00B66415" w:rsidRDefault="00B66415" w:rsidP="00B66415">
            <w:r>
              <w:t>0.7 g/kg</w:t>
            </w:r>
          </w:p>
        </w:tc>
        <w:tc>
          <w:tcPr>
            <w:tcW w:w="3402" w:type="dxa"/>
          </w:tcPr>
          <w:p w14:paraId="6E3D32FB" w14:textId="16E29AA4" w:rsidR="00B66415" w:rsidRDefault="00B66415" w:rsidP="00B66415">
            <w:r>
              <w:t>Based on testing to AS/NZS 4013</w:t>
            </w:r>
          </w:p>
        </w:tc>
      </w:tr>
      <w:tr w:rsidR="008D49FE" w:rsidRPr="005A51E9" w14:paraId="51F6536D" w14:textId="77777777" w:rsidTr="00B67C0E">
        <w:tc>
          <w:tcPr>
            <w:tcW w:w="3037" w:type="dxa"/>
          </w:tcPr>
          <w:p w14:paraId="237F591C" w14:textId="420E5BD7" w:rsidR="008D49FE" w:rsidRPr="005A51E9" w:rsidRDefault="008D49FE" w:rsidP="00B67C0E">
            <w:r>
              <w:t>Canterbury airshed towns and cities except Geraldine and Waimate</w:t>
            </w:r>
          </w:p>
        </w:tc>
        <w:tc>
          <w:tcPr>
            <w:tcW w:w="1843" w:type="dxa"/>
          </w:tcPr>
          <w:p w14:paraId="678A3A7F" w14:textId="77777777" w:rsidR="008D49FE" w:rsidRPr="005A51E9" w:rsidRDefault="008D49FE" w:rsidP="00B67C0E">
            <w:r>
              <w:t>0</w:t>
            </w:r>
            <w:r w:rsidRPr="005A51E9">
              <w:t>.5 g/kg</w:t>
            </w:r>
          </w:p>
        </w:tc>
        <w:tc>
          <w:tcPr>
            <w:tcW w:w="3402" w:type="dxa"/>
          </w:tcPr>
          <w:p w14:paraId="3CF3043C" w14:textId="77777777" w:rsidR="008D49FE" w:rsidRPr="005A51E9" w:rsidRDefault="008D49FE" w:rsidP="00B67C0E">
            <w:r>
              <w:t>Based on real life (CM1) testing</w:t>
            </w:r>
          </w:p>
        </w:tc>
      </w:tr>
      <w:tr w:rsidR="00B66415" w:rsidRPr="005A51E9" w14:paraId="16F461D2" w14:textId="77777777" w:rsidTr="003A4296">
        <w:tc>
          <w:tcPr>
            <w:tcW w:w="3037" w:type="dxa"/>
          </w:tcPr>
          <w:p w14:paraId="0587438C" w14:textId="77777777" w:rsidR="00B66415" w:rsidRDefault="00B66415" w:rsidP="00B66415">
            <w:r>
              <w:t>Canterbury – other locations on site &lt;2ha</w:t>
            </w:r>
          </w:p>
        </w:tc>
        <w:tc>
          <w:tcPr>
            <w:tcW w:w="1843" w:type="dxa"/>
          </w:tcPr>
          <w:p w14:paraId="3136FF91" w14:textId="77777777" w:rsidR="00B66415" w:rsidRDefault="00B66415" w:rsidP="00B66415">
            <w:r>
              <w:t>1.0</w:t>
            </w:r>
            <w:r w:rsidRPr="005A51E9">
              <w:t xml:space="preserve"> g/kg</w:t>
            </w:r>
          </w:p>
        </w:tc>
        <w:tc>
          <w:tcPr>
            <w:tcW w:w="3402" w:type="dxa"/>
          </w:tcPr>
          <w:p w14:paraId="25F72FE0" w14:textId="2B4569F1" w:rsidR="00B66415" w:rsidRDefault="00B66415" w:rsidP="00B66415">
            <w:r>
              <w:t>Based on testing to AS/NZS 4013</w:t>
            </w:r>
          </w:p>
        </w:tc>
      </w:tr>
      <w:tr w:rsidR="00B66415" w:rsidRPr="005A51E9" w14:paraId="0F29C188" w14:textId="77777777" w:rsidTr="003A4296">
        <w:tc>
          <w:tcPr>
            <w:tcW w:w="3037" w:type="dxa"/>
          </w:tcPr>
          <w:p w14:paraId="3B622462" w14:textId="77777777" w:rsidR="00B66415" w:rsidRPr="005A51E9" w:rsidRDefault="00B66415" w:rsidP="00B66415">
            <w:r>
              <w:t>Hastings airshed</w:t>
            </w:r>
          </w:p>
        </w:tc>
        <w:tc>
          <w:tcPr>
            <w:tcW w:w="1843" w:type="dxa"/>
          </w:tcPr>
          <w:p w14:paraId="3F1A9127" w14:textId="77777777" w:rsidR="00B66415" w:rsidRPr="005A51E9" w:rsidRDefault="00B66415" w:rsidP="00B66415">
            <w:r>
              <w:t>1.0</w:t>
            </w:r>
            <w:r w:rsidRPr="005A51E9">
              <w:t xml:space="preserve"> g/kg</w:t>
            </w:r>
          </w:p>
        </w:tc>
        <w:tc>
          <w:tcPr>
            <w:tcW w:w="3402" w:type="dxa"/>
          </w:tcPr>
          <w:p w14:paraId="5BAD7D3A" w14:textId="77777777" w:rsidR="00B66415" w:rsidRDefault="00B66415" w:rsidP="00B66415">
            <w:r>
              <w:t>For models without wetback</w:t>
            </w:r>
            <w:r w:rsidR="00B65537">
              <w:t>;</w:t>
            </w:r>
          </w:p>
          <w:p w14:paraId="793F5EEE" w14:textId="29A9F316" w:rsidR="00B65537" w:rsidRPr="005A51E9" w:rsidRDefault="00B65537" w:rsidP="00B66415">
            <w:r>
              <w:t>Based on testing to AS/NZS 4013</w:t>
            </w:r>
          </w:p>
        </w:tc>
      </w:tr>
      <w:tr w:rsidR="00B66415" w:rsidRPr="005A51E9" w14:paraId="770E6F26" w14:textId="77777777" w:rsidTr="003A4296">
        <w:tc>
          <w:tcPr>
            <w:tcW w:w="3037" w:type="dxa"/>
          </w:tcPr>
          <w:p w14:paraId="4FF235A1" w14:textId="77777777" w:rsidR="00B66415" w:rsidRPr="005A51E9" w:rsidRDefault="00B66415" w:rsidP="00B66415">
            <w:r>
              <w:t>Nelson urban area</w:t>
            </w:r>
          </w:p>
        </w:tc>
        <w:tc>
          <w:tcPr>
            <w:tcW w:w="1843" w:type="dxa"/>
          </w:tcPr>
          <w:p w14:paraId="1A00364F" w14:textId="77777777" w:rsidR="00B66415" w:rsidRPr="005A51E9" w:rsidRDefault="00B66415" w:rsidP="00B66415">
            <w:r>
              <w:t>0</w:t>
            </w:r>
            <w:r w:rsidRPr="005A51E9">
              <w:t>.5 g/kg</w:t>
            </w:r>
          </w:p>
        </w:tc>
        <w:tc>
          <w:tcPr>
            <w:tcW w:w="3402" w:type="dxa"/>
          </w:tcPr>
          <w:p w14:paraId="15303FDB" w14:textId="77777777" w:rsidR="00B66415" w:rsidRPr="005A51E9" w:rsidRDefault="00B66415" w:rsidP="00B66415">
            <w:r>
              <w:t>Based on real life (CM1) testing</w:t>
            </w:r>
          </w:p>
        </w:tc>
      </w:tr>
      <w:tr w:rsidR="00B66415" w:rsidRPr="005A51E9" w14:paraId="608C12DC" w14:textId="77777777" w:rsidTr="003A4296">
        <w:tc>
          <w:tcPr>
            <w:tcW w:w="3037" w:type="dxa"/>
          </w:tcPr>
          <w:p w14:paraId="7FCB06A7" w14:textId="77777777" w:rsidR="00B66415" w:rsidRPr="005A51E9" w:rsidRDefault="00B66415" w:rsidP="00B66415">
            <w:r>
              <w:t>Rotorua airshed</w:t>
            </w:r>
          </w:p>
        </w:tc>
        <w:tc>
          <w:tcPr>
            <w:tcW w:w="1843" w:type="dxa"/>
          </w:tcPr>
          <w:p w14:paraId="2ACB2CA1" w14:textId="77777777" w:rsidR="00B66415" w:rsidRPr="005A51E9" w:rsidRDefault="00B66415" w:rsidP="00B66415">
            <w:r>
              <w:t>0.60</w:t>
            </w:r>
            <w:r w:rsidRPr="005A51E9">
              <w:t xml:space="preserve"> g/kg</w:t>
            </w:r>
          </w:p>
        </w:tc>
        <w:tc>
          <w:tcPr>
            <w:tcW w:w="3402" w:type="dxa"/>
          </w:tcPr>
          <w:p w14:paraId="4F7BEEFC" w14:textId="717A6AD4" w:rsidR="00B66415" w:rsidRDefault="00B66415" w:rsidP="00B66415">
            <w:r>
              <w:t>Based on testing to AS/NZS 4013</w:t>
            </w:r>
          </w:p>
        </w:tc>
      </w:tr>
    </w:tbl>
    <w:p w14:paraId="0EE93868" w14:textId="77777777" w:rsidR="004B2EA2" w:rsidRDefault="004B2EA2" w:rsidP="004B2EA2">
      <w:pPr>
        <w:ind w:left="360"/>
      </w:pPr>
    </w:p>
    <w:p w14:paraId="2425B4F7" w14:textId="1A6D99E0" w:rsidR="004B2EA2" w:rsidRDefault="004B2EA2" w:rsidP="004B2EA2">
      <w:pPr>
        <w:pStyle w:val="NoSpacing"/>
        <w:jc w:val="both"/>
      </w:pPr>
      <w:r>
        <w:t xml:space="preserve">Any rules established by regional councils cannot be less stringent than the </w:t>
      </w:r>
      <w:r w:rsidR="004D0062">
        <w:t>NESAQ</w:t>
      </w:r>
      <w:r w:rsidR="001509E2">
        <w:t>,</w:t>
      </w:r>
      <w:r>
        <w:t xml:space="preserve"> and all conditions of the </w:t>
      </w:r>
      <w:r w:rsidR="004D0062">
        <w:t>NESAQ</w:t>
      </w:r>
      <w:r>
        <w:t xml:space="preserve"> must be met throughout NZ.</w:t>
      </w:r>
    </w:p>
    <w:p w14:paraId="6C143CE7" w14:textId="3CEE3297" w:rsidR="004B2EA2" w:rsidRDefault="004B2EA2" w:rsidP="000B1079">
      <w:pPr>
        <w:rPr>
          <w:b/>
          <w:bCs/>
        </w:rPr>
      </w:pPr>
    </w:p>
    <w:p w14:paraId="2A52F7B9" w14:textId="29344FCE" w:rsidR="0083622A" w:rsidRPr="00227625" w:rsidRDefault="0083622A" w:rsidP="00227625">
      <w:pPr>
        <w:pStyle w:val="Heading2"/>
        <w:numPr>
          <w:ilvl w:val="1"/>
          <w:numId w:val="6"/>
        </w:numPr>
        <w:rPr>
          <w:sz w:val="22"/>
          <w:szCs w:val="22"/>
        </w:rPr>
      </w:pPr>
      <w:r w:rsidRPr="00227625">
        <w:rPr>
          <w:sz w:val="22"/>
          <w:szCs w:val="22"/>
        </w:rPr>
        <w:t xml:space="preserve">   </w:t>
      </w:r>
      <w:bookmarkStart w:id="15" w:name="_Ref31873751"/>
      <w:bookmarkStart w:id="16" w:name="_Ref31873814"/>
      <w:bookmarkStart w:id="17" w:name="_Ref31874223"/>
      <w:bookmarkStart w:id="18" w:name="_Toc34586682"/>
      <w:r w:rsidRPr="00227625">
        <w:rPr>
          <w:sz w:val="22"/>
          <w:szCs w:val="22"/>
        </w:rPr>
        <w:t>Current test methods and standards</w:t>
      </w:r>
      <w:bookmarkEnd w:id="15"/>
      <w:bookmarkEnd w:id="16"/>
      <w:bookmarkEnd w:id="17"/>
      <w:bookmarkEnd w:id="18"/>
      <w:r w:rsidRPr="00227625">
        <w:rPr>
          <w:sz w:val="22"/>
          <w:szCs w:val="22"/>
        </w:rPr>
        <w:t xml:space="preserve"> </w:t>
      </w:r>
    </w:p>
    <w:p w14:paraId="41CF8309" w14:textId="77777777" w:rsidR="0083622A" w:rsidRDefault="0083622A" w:rsidP="0083622A">
      <w:pPr>
        <w:pStyle w:val="NoSpacing"/>
        <w:jc w:val="both"/>
      </w:pPr>
    </w:p>
    <w:p w14:paraId="50E2B4FA" w14:textId="1CC2D09F" w:rsidR="0083622A" w:rsidRDefault="0083622A" w:rsidP="0083622A">
      <w:pPr>
        <w:pStyle w:val="NoSpacing"/>
        <w:jc w:val="both"/>
      </w:pPr>
      <w:r>
        <w:t xml:space="preserve">Standards </w:t>
      </w:r>
      <w:r w:rsidR="004D0062">
        <w:t>AS/NZS 4012 and AS/NZS 4013</w:t>
      </w:r>
      <w:r>
        <w:t xml:space="preserve"> apply to domestic solid fuel burning appliances</w:t>
      </w:r>
      <w:r w:rsidR="002965B2">
        <w:t xml:space="preserve"> such as </w:t>
      </w:r>
      <w:r w:rsidR="006867AF">
        <w:t>woodburners</w:t>
      </w:r>
      <w:r>
        <w:t>, but specifically exclude:</w:t>
      </w:r>
    </w:p>
    <w:p w14:paraId="2445CA51" w14:textId="77777777" w:rsidR="0083622A" w:rsidRPr="00CB2925" w:rsidRDefault="0083622A" w:rsidP="00440E89">
      <w:pPr>
        <w:pStyle w:val="ListParagraph"/>
        <w:numPr>
          <w:ilvl w:val="0"/>
          <w:numId w:val="9"/>
        </w:numPr>
      </w:pPr>
      <w:r w:rsidRPr="00CB2925">
        <w:t>Site-built masonry appliances</w:t>
      </w:r>
    </w:p>
    <w:p w14:paraId="246F43B1" w14:textId="77777777" w:rsidR="0083622A" w:rsidRPr="00CB2925" w:rsidRDefault="0083622A" w:rsidP="00440E89">
      <w:pPr>
        <w:pStyle w:val="ListParagraph"/>
        <w:numPr>
          <w:ilvl w:val="0"/>
          <w:numId w:val="9"/>
        </w:numPr>
      </w:pPr>
      <w:r w:rsidRPr="00CB2925">
        <w:t>Central heating appliances</w:t>
      </w:r>
    </w:p>
    <w:p w14:paraId="5B84B4F7" w14:textId="77777777" w:rsidR="0083622A" w:rsidRPr="00CB2925" w:rsidRDefault="0083622A" w:rsidP="00440E89">
      <w:pPr>
        <w:pStyle w:val="ListParagraph"/>
        <w:numPr>
          <w:ilvl w:val="0"/>
          <w:numId w:val="9"/>
        </w:numPr>
      </w:pPr>
      <w:r w:rsidRPr="00CB2925">
        <w:t>Cooking appliances</w:t>
      </w:r>
    </w:p>
    <w:p w14:paraId="0D1F5581" w14:textId="77777777" w:rsidR="0083622A" w:rsidRPr="00CB2925" w:rsidRDefault="0083622A" w:rsidP="00440E89">
      <w:pPr>
        <w:pStyle w:val="ListParagraph"/>
        <w:numPr>
          <w:ilvl w:val="0"/>
          <w:numId w:val="9"/>
        </w:numPr>
      </w:pPr>
      <w:r w:rsidRPr="00CB2925">
        <w:t>Appliances intended solely for water heating</w:t>
      </w:r>
    </w:p>
    <w:p w14:paraId="061FED50" w14:textId="77777777" w:rsidR="0083622A" w:rsidRPr="00CB2925" w:rsidRDefault="0083622A" w:rsidP="00440E89">
      <w:pPr>
        <w:pStyle w:val="ListParagraph"/>
        <w:numPr>
          <w:ilvl w:val="0"/>
          <w:numId w:val="9"/>
        </w:numPr>
      </w:pPr>
      <w:r w:rsidRPr="00CB2925">
        <w:t>Appliances intended solely to distribute convective heat via ducting to locations remote from the appliance</w:t>
      </w:r>
    </w:p>
    <w:p w14:paraId="11DFD96D" w14:textId="77777777" w:rsidR="0083622A" w:rsidRPr="00CB2925" w:rsidRDefault="0083622A" w:rsidP="00440E89">
      <w:pPr>
        <w:pStyle w:val="ListParagraph"/>
        <w:numPr>
          <w:ilvl w:val="0"/>
          <w:numId w:val="9"/>
        </w:numPr>
      </w:pPr>
      <w:r w:rsidRPr="00CB2925">
        <w:t>Appliances that when fired at the high burn rate prescribed in the Stand</w:t>
      </w:r>
      <w:r>
        <w:t>ard</w:t>
      </w:r>
      <w:r w:rsidRPr="00CB2925">
        <w:t>s have a maximum carbon dioxide output from the combustion chamber of less than 5% by volume with any optional doors fitted and closed</w:t>
      </w:r>
    </w:p>
    <w:p w14:paraId="53A4E963" w14:textId="7057D385" w:rsidR="0083622A" w:rsidRPr="00CB2925" w:rsidRDefault="0083622A" w:rsidP="00440E89">
      <w:pPr>
        <w:pStyle w:val="ListParagraph"/>
        <w:numPr>
          <w:ilvl w:val="0"/>
          <w:numId w:val="9"/>
        </w:numPr>
      </w:pPr>
      <w:r w:rsidRPr="00CB2925">
        <w:t>A</w:t>
      </w:r>
      <w:r>
        <w:t>pp</w:t>
      </w:r>
      <w:r w:rsidRPr="00CB2925">
        <w:t>liances with volumetric flow rates through the combustion chamber which are too high to allow for total smoke capture by the method described in the Standard</w:t>
      </w:r>
      <w:r w:rsidR="00D005F3">
        <w:t>s</w:t>
      </w:r>
      <w:r w:rsidRPr="00CB2925">
        <w:t>. (exclude</w:t>
      </w:r>
      <w:r>
        <w:t>d</w:t>
      </w:r>
      <w:r w:rsidRPr="00CB2925">
        <w:t xml:space="preserve"> from </w:t>
      </w:r>
      <w:r w:rsidR="004D0062">
        <w:t>AS/NZS 4013</w:t>
      </w:r>
      <w:r w:rsidRPr="00CB2925">
        <w:t xml:space="preserve"> only)</w:t>
      </w:r>
    </w:p>
    <w:p w14:paraId="789A5D0B" w14:textId="77777777" w:rsidR="0083622A" w:rsidRDefault="0083622A" w:rsidP="0083622A">
      <w:pPr>
        <w:pStyle w:val="NoSpacing"/>
        <w:jc w:val="both"/>
      </w:pPr>
    </w:p>
    <w:p w14:paraId="3C0649EE" w14:textId="77777777" w:rsidR="0083622A" w:rsidRDefault="0083622A" w:rsidP="0083622A">
      <w:pPr>
        <w:pStyle w:val="NoSpacing"/>
        <w:jc w:val="both"/>
      </w:pPr>
      <w:r>
        <w:t>AS/NZS 4012 and AS/NZS 4013 were last updated in 2014.  Prior to that, these standards were updated in 1999.  Changes made in 2014 include:</w:t>
      </w:r>
    </w:p>
    <w:p w14:paraId="584EF777" w14:textId="6B035F7D" w:rsidR="0083622A" w:rsidRDefault="0083622A" w:rsidP="00440E89">
      <w:pPr>
        <w:pStyle w:val="ListParagraph"/>
        <w:numPr>
          <w:ilvl w:val="0"/>
          <w:numId w:val="10"/>
        </w:numPr>
      </w:pPr>
      <w:r>
        <w:lastRenderedPageBreak/>
        <w:t>Changes to the use of fans during testing</w:t>
      </w:r>
      <w:r w:rsidR="00A178ED">
        <w:t xml:space="preserve"> (noting that </w:t>
      </w:r>
      <w:r w:rsidR="00D97FD7">
        <w:t>for appliances with fans</w:t>
      </w:r>
      <w:r w:rsidR="00AC444D">
        <w:t xml:space="preserve">, </w:t>
      </w:r>
      <w:r w:rsidR="00400E97">
        <w:t xml:space="preserve">the fan should be in position and operating </w:t>
      </w:r>
      <w:r w:rsidR="00137D45">
        <w:t>with controls set to the maximum rate</w:t>
      </w:r>
      <w:r w:rsidR="000503DC">
        <w:t xml:space="preserve">; and automatic fan control shall </w:t>
      </w:r>
      <w:r w:rsidR="003206D6">
        <w:t>operate</w:t>
      </w:r>
      <w:r w:rsidR="000503DC">
        <w:t xml:space="preserve"> during tests).</w:t>
      </w:r>
    </w:p>
    <w:p w14:paraId="68787F6C" w14:textId="77777777" w:rsidR="0083622A" w:rsidRDefault="0083622A" w:rsidP="00440E89">
      <w:pPr>
        <w:pStyle w:val="ListParagraph"/>
        <w:numPr>
          <w:ilvl w:val="0"/>
          <w:numId w:val="10"/>
        </w:numPr>
      </w:pPr>
      <w:r>
        <w:t>Measurement of heat collected for hot water has been included in efficiency measurement</w:t>
      </w:r>
    </w:p>
    <w:p w14:paraId="71BD415A" w14:textId="1FC76AA0" w:rsidR="0083622A" w:rsidRDefault="0083622A" w:rsidP="00440E89">
      <w:pPr>
        <w:pStyle w:val="ListParagraph"/>
        <w:numPr>
          <w:ilvl w:val="0"/>
          <w:numId w:val="10"/>
        </w:numPr>
      </w:pPr>
      <w:r>
        <w:t>A method for measuring heat collected by water heating facilities has been included (as an appendix)</w:t>
      </w:r>
      <w:r w:rsidR="00B80446">
        <w:t>.</w:t>
      </w:r>
    </w:p>
    <w:p w14:paraId="048101D9" w14:textId="2DF32561" w:rsidR="0083622A" w:rsidRDefault="0083622A" w:rsidP="00440E89">
      <w:pPr>
        <w:pStyle w:val="ListParagraph"/>
        <w:numPr>
          <w:ilvl w:val="0"/>
          <w:numId w:val="10"/>
        </w:numPr>
      </w:pPr>
      <w:r>
        <w:t xml:space="preserve">Minimum efficiency requirements have been included.  This references Regulation 24 of the </w:t>
      </w:r>
      <w:r w:rsidR="004D0062">
        <w:t>NESAQ</w:t>
      </w:r>
      <w:r>
        <w:t xml:space="preserve"> which states that all woodburner appliances installed on properties less than 2 hectares in size </w:t>
      </w:r>
      <w:r w:rsidR="00891082">
        <w:t xml:space="preserve">must </w:t>
      </w:r>
      <w:r>
        <w:t>have a thermal efficiency of not less than 65%.</w:t>
      </w:r>
    </w:p>
    <w:p w14:paraId="47D91C69" w14:textId="77777777" w:rsidR="00935038" w:rsidRDefault="00935038" w:rsidP="0083622A">
      <w:pPr>
        <w:pStyle w:val="NoSpacing"/>
        <w:jc w:val="both"/>
      </w:pPr>
    </w:p>
    <w:p w14:paraId="713ECCA6" w14:textId="62CE052B" w:rsidR="00CD3F9C" w:rsidRDefault="00FE679A" w:rsidP="0083622A">
      <w:pPr>
        <w:pStyle w:val="NoSpacing"/>
        <w:jc w:val="both"/>
      </w:pPr>
      <w:r>
        <w:t xml:space="preserve">It is understood that the reference in the standard to minimum </w:t>
      </w:r>
      <w:r w:rsidR="00752652">
        <w:t>efficiency</w:t>
      </w:r>
      <w:r>
        <w:t xml:space="preserve"> was done primarily for the </w:t>
      </w:r>
      <w:r w:rsidR="00752652">
        <w:t>benefit</w:t>
      </w:r>
      <w:r>
        <w:t xml:space="preserve"> of Australia where the </w:t>
      </w:r>
      <w:r w:rsidR="001C424F">
        <w:t xml:space="preserve">regulations </w:t>
      </w:r>
      <w:proofErr w:type="gramStart"/>
      <w:r w:rsidR="001C424F">
        <w:t>don’t</w:t>
      </w:r>
      <w:proofErr w:type="gramEnd"/>
      <w:r w:rsidR="001C424F">
        <w:t xml:space="preserve"> </w:t>
      </w:r>
      <w:r w:rsidR="00752652">
        <w:t>refer</w:t>
      </w:r>
      <w:r w:rsidR="001C424F">
        <w:t xml:space="preserve"> to an </w:t>
      </w:r>
      <w:r w:rsidR="00752652">
        <w:t>efficiency</w:t>
      </w:r>
      <w:r w:rsidR="001C424F">
        <w:t xml:space="preserve"> standard.</w:t>
      </w:r>
    </w:p>
    <w:p w14:paraId="7AD55564" w14:textId="77777777" w:rsidR="001C424F" w:rsidRDefault="001C424F" w:rsidP="0083622A">
      <w:pPr>
        <w:pStyle w:val="NoSpacing"/>
        <w:jc w:val="both"/>
      </w:pPr>
    </w:p>
    <w:p w14:paraId="39A5A94D" w14:textId="723EE0B1" w:rsidR="0083622A" w:rsidRDefault="0083622A" w:rsidP="0083622A">
      <w:pPr>
        <w:pStyle w:val="NoSpacing"/>
        <w:jc w:val="both"/>
      </w:pPr>
      <w:r>
        <w:t xml:space="preserve">While the standards are Australasian, there are some differences in the way they are applied in NZ and Australia.  </w:t>
      </w:r>
      <w:r w:rsidR="00DE55DD">
        <w:t>For example, h</w:t>
      </w:r>
      <w:r>
        <w:t>ardwood is used in woodburners in Australia and the standard calls for hardwood for testing burners in Australia.  The standard references a minimum efficiency requirement of 65% for NZ and 60% for Australia.</w:t>
      </w:r>
    </w:p>
    <w:p w14:paraId="235CAFCA" w14:textId="77777777" w:rsidR="0083622A" w:rsidRDefault="0083622A" w:rsidP="0083622A">
      <w:pPr>
        <w:pStyle w:val="NoSpacing"/>
        <w:jc w:val="both"/>
      </w:pPr>
    </w:p>
    <w:p w14:paraId="35D0906E" w14:textId="5A0CB015" w:rsidR="0083622A" w:rsidRDefault="0083622A" w:rsidP="0083622A">
      <w:pPr>
        <w:pStyle w:val="NoSpacing"/>
        <w:jc w:val="both"/>
      </w:pPr>
      <w:r>
        <w:t xml:space="preserve">It is important to note that </w:t>
      </w:r>
      <w:r w:rsidR="004D0062">
        <w:t>AS/NZS 4012 and AS/NZS 4013</w:t>
      </w:r>
      <w:r>
        <w:t xml:space="preserve"> are not designed for the purpose of making a</w:t>
      </w:r>
      <w:r w:rsidR="00784FC6">
        <w:t xml:space="preserve">n accurate </w:t>
      </w:r>
      <w:r>
        <w:t xml:space="preserve">assessment of what the actual emissions of a particular burner </w:t>
      </w:r>
      <w:r w:rsidR="007F1598">
        <w:t>will be</w:t>
      </w:r>
      <w:r>
        <w:t xml:space="preserve"> when used in the home.  </w:t>
      </w:r>
      <w:r w:rsidR="00811379">
        <w:t xml:space="preserve">Laboratory testing to </w:t>
      </w:r>
      <w:r w:rsidR="004D0062">
        <w:t>AS/NZS 4012 and AS/NZS 4013</w:t>
      </w:r>
      <w:r w:rsidR="00811379">
        <w:t xml:space="preserve"> uses kiln </w:t>
      </w:r>
      <w:r w:rsidR="00CD4AB7">
        <w:t>dried</w:t>
      </w:r>
      <w:r w:rsidR="00811379">
        <w:t xml:space="preserve"> </w:t>
      </w:r>
      <w:r w:rsidR="00645C66">
        <w:t xml:space="preserve">test </w:t>
      </w:r>
      <w:r w:rsidR="00CD4AB7">
        <w:t>firewood</w:t>
      </w:r>
      <w:r w:rsidR="00951C20">
        <w:t xml:space="preserve"> and excludes the </w:t>
      </w:r>
      <w:r w:rsidR="00CD4AB7">
        <w:t>relatively</w:t>
      </w:r>
      <w:r w:rsidR="00951C20">
        <w:t xml:space="preserve"> dirty period of star</w:t>
      </w:r>
      <w:r w:rsidR="0064352D">
        <w:t>t</w:t>
      </w:r>
      <w:r w:rsidR="00951C20">
        <w:t xml:space="preserve">-up </w:t>
      </w:r>
      <w:r w:rsidR="00CD4AB7">
        <w:t>emissions</w:t>
      </w:r>
      <w:r w:rsidR="00951C20">
        <w:t xml:space="preserve">.  </w:t>
      </w:r>
      <w:r>
        <w:t xml:space="preserve">Real life emissions will be several times higher than emissions recorded from laboratory testing to </w:t>
      </w:r>
      <w:r w:rsidR="004D0062">
        <w:t>AS/NZS 4013</w:t>
      </w:r>
      <w:r>
        <w:t>, and this is discussed in more detail in section</w:t>
      </w:r>
      <w:r w:rsidR="00563024">
        <w:t xml:space="preserve"> </w:t>
      </w:r>
      <w:r w:rsidR="00242CEC">
        <w:fldChar w:fldCharType="begin"/>
      </w:r>
      <w:r w:rsidR="00242CEC">
        <w:instrText xml:space="preserve"> REF _Ref31871502 \r \h </w:instrText>
      </w:r>
      <w:r w:rsidR="00411C52">
        <w:instrText xml:space="preserve"> \* MERGEFORMAT </w:instrText>
      </w:r>
      <w:r w:rsidR="00242CEC">
        <w:fldChar w:fldCharType="separate"/>
      </w:r>
      <w:r w:rsidR="00CD682F">
        <w:t>3.10</w:t>
      </w:r>
      <w:r w:rsidR="00242CEC">
        <w:fldChar w:fldCharType="end"/>
      </w:r>
      <w:r w:rsidR="00563024">
        <w:t>.</w:t>
      </w:r>
    </w:p>
    <w:p w14:paraId="1D41A0B5" w14:textId="77777777" w:rsidR="0083622A" w:rsidRDefault="0083622A" w:rsidP="002635F2">
      <w:pPr>
        <w:pStyle w:val="NoSpacing"/>
        <w:jc w:val="both"/>
      </w:pPr>
    </w:p>
    <w:p w14:paraId="79BF03EF" w14:textId="08569FB1" w:rsidR="0083622A" w:rsidRDefault="0083622A" w:rsidP="0083622A">
      <w:pPr>
        <w:pStyle w:val="NoSpacing"/>
        <w:jc w:val="both"/>
      </w:pPr>
      <w:r>
        <w:t xml:space="preserve">The main purpose of </w:t>
      </w:r>
      <w:r w:rsidR="004D0062">
        <w:t>AS/NZS 4012 and AS/NZS 4013</w:t>
      </w:r>
      <w:r>
        <w:t xml:space="preserve"> is to </w:t>
      </w:r>
      <w:r w:rsidR="00592CDD">
        <w:t xml:space="preserve">define a rigorous </w:t>
      </w:r>
      <w:r w:rsidR="006867AF">
        <w:t>procedure</w:t>
      </w:r>
      <w:r w:rsidR="00592CDD">
        <w:t xml:space="preserve"> for producing reliable, </w:t>
      </w:r>
      <w:r w:rsidR="006867AF">
        <w:t>repeatable</w:t>
      </w:r>
      <w:r w:rsidR="00592CDD">
        <w:t xml:space="preserve"> re</w:t>
      </w:r>
      <w:r w:rsidR="007F3CD9">
        <w:t xml:space="preserve">sults from </w:t>
      </w:r>
      <w:r w:rsidR="006867AF">
        <w:t>testing</w:t>
      </w:r>
      <w:r w:rsidR="00546EF4">
        <w:t xml:space="preserve"> so as</w:t>
      </w:r>
      <w:r w:rsidR="00300F86">
        <w:t xml:space="preserve"> allow the comparison of the</w:t>
      </w:r>
      <w:r>
        <w:t xml:space="preserve"> emissions and efficiency performance </w:t>
      </w:r>
      <w:r w:rsidR="00D73FFD">
        <w:t>across</w:t>
      </w:r>
      <w:r>
        <w:t xml:space="preserve"> all burners and against an allowable limit defined in the </w:t>
      </w:r>
      <w:r w:rsidR="004D0062">
        <w:t>NESAQ</w:t>
      </w:r>
      <w:r>
        <w:t xml:space="preserve"> and by some Regional Councils</w:t>
      </w:r>
      <w:r w:rsidR="008A3754">
        <w:t>’ Air Plans</w:t>
      </w:r>
      <w:r>
        <w:t>.</w:t>
      </w:r>
    </w:p>
    <w:p w14:paraId="3006F344" w14:textId="77777777" w:rsidR="0083622A" w:rsidRDefault="0083622A" w:rsidP="0083622A">
      <w:pPr>
        <w:pStyle w:val="NoSpacing"/>
        <w:jc w:val="both"/>
      </w:pPr>
    </w:p>
    <w:p w14:paraId="15AF52E5" w14:textId="1A430121" w:rsidR="0083622A" w:rsidRDefault="00FA51CC" w:rsidP="0083622A">
      <w:pPr>
        <w:pStyle w:val="NoSpacing"/>
        <w:jc w:val="both"/>
      </w:pPr>
      <w:r>
        <w:t>T</w:t>
      </w:r>
      <w:r w:rsidR="0083622A">
        <w:t xml:space="preserve">he majority of woodburners sold in NZ are tested in NZ to </w:t>
      </w:r>
      <w:r w:rsidR="004D0062">
        <w:t>AS/NZS 4012 and AS/NZS 4013</w:t>
      </w:r>
      <w:r w:rsidR="0083622A">
        <w:t>.</w:t>
      </w:r>
    </w:p>
    <w:p w14:paraId="3603525D" w14:textId="387B9A85" w:rsidR="0083123A" w:rsidRDefault="0083123A" w:rsidP="0083622A">
      <w:pPr>
        <w:pStyle w:val="NoSpacing"/>
        <w:jc w:val="both"/>
      </w:pPr>
    </w:p>
    <w:p w14:paraId="78E3A6E5" w14:textId="509E40B9" w:rsidR="0083123A" w:rsidRDefault="0083123A" w:rsidP="0083622A">
      <w:pPr>
        <w:pStyle w:val="NoSpacing"/>
        <w:jc w:val="both"/>
      </w:pPr>
      <w:r>
        <w:t xml:space="preserve">Specific </w:t>
      </w:r>
      <w:r w:rsidR="006867AF">
        <w:t>categories</w:t>
      </w:r>
      <w:r>
        <w:t xml:space="preserve"> of solid fuel burners</w:t>
      </w:r>
      <w:r w:rsidR="004849A8">
        <w:t xml:space="preserve"> that a</w:t>
      </w:r>
      <w:r w:rsidR="001678C2">
        <w:t xml:space="preserve">re included in the </w:t>
      </w:r>
      <w:r w:rsidR="004D0062">
        <w:t>NESAQ</w:t>
      </w:r>
      <w:r w:rsidR="001678C2">
        <w:t xml:space="preserve"> but </w:t>
      </w:r>
      <w:r w:rsidR="00CD4AB7">
        <w:t>excluded</w:t>
      </w:r>
      <w:r w:rsidR="001678C2">
        <w:t xml:space="preserve"> from </w:t>
      </w:r>
      <w:r w:rsidR="004D0062">
        <w:t>AS/NZS 4012 and AS/NZS 4013</w:t>
      </w:r>
      <w:r w:rsidR="00E43756">
        <w:t xml:space="preserve">, such as </w:t>
      </w:r>
      <w:r w:rsidR="00BD6765">
        <w:t xml:space="preserve">small scale </w:t>
      </w:r>
      <w:r w:rsidR="00E43756">
        <w:t xml:space="preserve">boiler systems, are </w:t>
      </w:r>
      <w:r w:rsidR="006867AF">
        <w:t>typically</w:t>
      </w:r>
      <w:r w:rsidR="00E43756">
        <w:t xml:space="preserve"> tested overseas </w:t>
      </w:r>
      <w:r w:rsidR="00546727">
        <w:t>to international standard test met</w:t>
      </w:r>
      <w:r w:rsidR="006867AF">
        <w:t>hod</w:t>
      </w:r>
      <w:r w:rsidR="00696749">
        <w:t xml:space="preserve">s as allowed </w:t>
      </w:r>
      <w:r w:rsidR="000C7681">
        <w:t xml:space="preserve">under the </w:t>
      </w:r>
      <w:r w:rsidR="006867AF">
        <w:t>functional</w:t>
      </w:r>
      <w:r w:rsidR="000C7681">
        <w:t xml:space="preserve"> </w:t>
      </w:r>
      <w:r w:rsidR="006867AF">
        <w:t>equivalent</w:t>
      </w:r>
      <w:r w:rsidR="000C7681">
        <w:t xml:space="preserve"> clause in the </w:t>
      </w:r>
      <w:r w:rsidR="004D0062">
        <w:t>NESAQ</w:t>
      </w:r>
      <w:r w:rsidR="000C7681">
        <w:t>.</w:t>
      </w:r>
      <w:r w:rsidR="00FA7D7A">
        <w:t xml:space="preserve">  For example, the </w:t>
      </w:r>
      <w:r w:rsidR="009A75E8">
        <w:t>Froling</w:t>
      </w:r>
      <w:r w:rsidR="00FA7D7A">
        <w:t xml:space="preserve"> and ETA ranges of wood </w:t>
      </w:r>
      <w:r w:rsidR="009A75E8">
        <w:t>fired</w:t>
      </w:r>
      <w:r w:rsidR="00FA7D7A">
        <w:t xml:space="preserve"> </w:t>
      </w:r>
      <w:r w:rsidR="009A75E8">
        <w:t>gasification</w:t>
      </w:r>
      <w:r w:rsidR="00FA7D7A">
        <w:t xml:space="preserve"> boilers were tested to </w:t>
      </w:r>
      <w:r w:rsidR="00C677FB">
        <w:t>EN 303-5:2012 “</w:t>
      </w:r>
      <w:r w:rsidR="00C677FB" w:rsidRPr="00BA0A07">
        <w:t>Heating boilers. Heating boilers for solid fuels, manually and automatically stoked, nominal heat output of up to 500 kW. Terminology, requirements, testing and marking</w:t>
      </w:r>
      <w:r w:rsidR="00C677FB">
        <w:t xml:space="preserve">”.  </w:t>
      </w:r>
    </w:p>
    <w:p w14:paraId="63AAAF1D" w14:textId="6CF7E52A" w:rsidR="00C17B73" w:rsidRDefault="00C17B73" w:rsidP="0083622A">
      <w:pPr>
        <w:pStyle w:val="NoSpacing"/>
        <w:jc w:val="both"/>
      </w:pPr>
    </w:p>
    <w:p w14:paraId="6A6A47FB" w14:textId="4727B388" w:rsidR="009E75AA" w:rsidRDefault="00C17B73" w:rsidP="009E75AA">
      <w:pPr>
        <w:pStyle w:val="NoSpacing"/>
        <w:jc w:val="both"/>
      </w:pPr>
      <w:r>
        <w:t xml:space="preserve">Pellet fires </w:t>
      </w:r>
      <w:r w:rsidR="00302960">
        <w:t xml:space="preserve">are </w:t>
      </w:r>
      <w:r w:rsidR="00876C45">
        <w:t>not</w:t>
      </w:r>
      <w:r w:rsidR="00302960">
        <w:t xml:space="preserve"> currently included under the </w:t>
      </w:r>
      <w:r w:rsidR="004D0062">
        <w:t>NESAQ</w:t>
      </w:r>
      <w:r w:rsidR="00CC63A2">
        <w:t xml:space="preserve">, but </w:t>
      </w:r>
      <w:r w:rsidR="002E3E77">
        <w:t>are to be</w:t>
      </w:r>
      <w:r w:rsidR="00CC63A2">
        <w:t xml:space="preserve"> include</w:t>
      </w:r>
      <w:r w:rsidR="001033F1">
        <w:t xml:space="preserve">d </w:t>
      </w:r>
      <w:r w:rsidR="00CC63A2">
        <w:t xml:space="preserve">in the </w:t>
      </w:r>
      <w:r w:rsidR="00AC4737">
        <w:t xml:space="preserve">proposed </w:t>
      </w:r>
      <w:r w:rsidR="003206D6">
        <w:t>amendments</w:t>
      </w:r>
      <w:r w:rsidR="00AC4737">
        <w:t xml:space="preserve"> to the </w:t>
      </w:r>
      <w:r w:rsidR="004D0062">
        <w:t>NESAQ</w:t>
      </w:r>
      <w:r w:rsidR="00CC63A2">
        <w:t>.</w:t>
      </w:r>
      <w:r w:rsidR="00E25534">
        <w:t xml:space="preserve">  </w:t>
      </w:r>
      <w:r w:rsidR="002F370F">
        <w:t>There are Australian and NZ standards for the measurement of emissions and efficiency from pellet fires, AS/NZS 4886:2007 and AS/NZS 5078:</w:t>
      </w:r>
      <w:proofErr w:type="gramStart"/>
      <w:r w:rsidR="002F370F">
        <w:t>2007</w:t>
      </w:r>
      <w:proofErr w:type="gramEnd"/>
      <w:r w:rsidR="002F370F">
        <w:t xml:space="preserve"> respectively.  </w:t>
      </w:r>
      <w:r w:rsidR="009E75AA">
        <w:t xml:space="preserve">However, as all pellet fires are currently sourced from overseas, they are tested overseas to the functionally equivalent European </w:t>
      </w:r>
      <w:r w:rsidR="009E75AA" w:rsidRPr="00C66DFB">
        <w:t xml:space="preserve">standard </w:t>
      </w:r>
      <w:r w:rsidR="009E75AA" w:rsidRPr="00736786">
        <w:t>EN 14785: 2006 Residential Space Heating Appliances Fired By Wood Pellets - Requirements And Test Methods</w:t>
      </w:r>
      <w:r w:rsidR="009E75AA">
        <w:t>.  This test data is then used to support applications for authorisation.</w:t>
      </w:r>
    </w:p>
    <w:p w14:paraId="2B79C203" w14:textId="77777777" w:rsidR="00E754A5" w:rsidRDefault="00E754A5" w:rsidP="002635F2">
      <w:pPr>
        <w:pStyle w:val="NoSpacing"/>
        <w:jc w:val="both"/>
      </w:pPr>
    </w:p>
    <w:p w14:paraId="408AC63D" w14:textId="4E898BA2" w:rsidR="00A06FE5" w:rsidRPr="00D95CFE" w:rsidRDefault="00A06FE5" w:rsidP="002635F2">
      <w:pPr>
        <w:pStyle w:val="NoSpacing"/>
        <w:jc w:val="both"/>
      </w:pPr>
      <w:r>
        <w:t>The</w:t>
      </w:r>
      <w:r w:rsidR="009E75AA">
        <w:t xml:space="preserve"> NZ</w:t>
      </w:r>
      <w:r>
        <w:t xml:space="preserve"> standards are now 12 years old and a </w:t>
      </w:r>
      <w:r w:rsidRPr="005D3D19">
        <w:t xml:space="preserve">committee has been formed to review them.  However, </w:t>
      </w:r>
      <w:r w:rsidR="00216AB7">
        <w:t xml:space="preserve">as </w:t>
      </w:r>
      <w:r w:rsidRPr="005D3D19">
        <w:t xml:space="preserve">no testing </w:t>
      </w:r>
      <w:r>
        <w:t xml:space="preserve">has been done in NZ </w:t>
      </w:r>
      <w:r w:rsidRPr="005D3D19">
        <w:t xml:space="preserve">to these </w:t>
      </w:r>
      <w:r>
        <w:t>standards for several years now</w:t>
      </w:r>
      <w:r w:rsidR="009F71E9">
        <w:t>, nor is it likely in the foreseeable future</w:t>
      </w:r>
      <w:r w:rsidR="001F4B94">
        <w:t>, there is little appetite to</w:t>
      </w:r>
      <w:r>
        <w:t xml:space="preserve"> review the</w:t>
      </w:r>
      <w:r w:rsidR="009F71E9">
        <w:t xml:space="preserve">se </w:t>
      </w:r>
      <w:r w:rsidR="00A72979">
        <w:t xml:space="preserve">NZ </w:t>
      </w:r>
      <w:r w:rsidR="00C22616">
        <w:t>standards</w:t>
      </w:r>
      <w:r w:rsidR="002D7912">
        <w:t>.</w:t>
      </w:r>
    </w:p>
    <w:p w14:paraId="1AC03B7F" w14:textId="77777777" w:rsidR="00A06FE5" w:rsidRDefault="00A06FE5" w:rsidP="0083622A">
      <w:pPr>
        <w:pStyle w:val="NoSpacing"/>
        <w:jc w:val="both"/>
      </w:pPr>
    </w:p>
    <w:p w14:paraId="020BD0D8" w14:textId="77777777" w:rsidR="0083622A" w:rsidRDefault="0083622A" w:rsidP="0083622A">
      <w:pPr>
        <w:pStyle w:val="NoSpacing"/>
        <w:jc w:val="both"/>
      </w:pPr>
    </w:p>
    <w:p w14:paraId="72834126" w14:textId="0545DF2E" w:rsidR="00C36B5A" w:rsidRDefault="00662F81" w:rsidP="00035B43">
      <w:pPr>
        <w:pStyle w:val="Heading2"/>
        <w:numPr>
          <w:ilvl w:val="0"/>
          <w:numId w:val="0"/>
        </w:numPr>
        <w:ind w:left="360"/>
        <w:rPr>
          <w:szCs w:val="22"/>
        </w:rPr>
      </w:pPr>
      <w:r w:rsidRPr="00227625">
        <w:rPr>
          <w:sz w:val="22"/>
          <w:szCs w:val="22"/>
        </w:rPr>
        <w:t xml:space="preserve"> </w:t>
      </w:r>
      <w:bookmarkStart w:id="19" w:name="_Ref31871595"/>
      <w:r w:rsidR="00C36B5A">
        <w:rPr>
          <w:szCs w:val="22"/>
        </w:rPr>
        <w:br w:type="page"/>
      </w:r>
    </w:p>
    <w:p w14:paraId="18818CEF" w14:textId="5CB3A30E" w:rsidR="00662F81" w:rsidRPr="00227625" w:rsidRDefault="00662F81" w:rsidP="00227625">
      <w:pPr>
        <w:pStyle w:val="Heading2"/>
        <w:numPr>
          <w:ilvl w:val="1"/>
          <w:numId w:val="6"/>
        </w:numPr>
        <w:rPr>
          <w:sz w:val="22"/>
          <w:szCs w:val="22"/>
        </w:rPr>
      </w:pPr>
      <w:bookmarkStart w:id="20" w:name="_Ref34584575"/>
      <w:bookmarkStart w:id="21" w:name="_Toc34586683"/>
      <w:r w:rsidRPr="00227625">
        <w:rPr>
          <w:sz w:val="22"/>
          <w:szCs w:val="22"/>
        </w:rPr>
        <w:lastRenderedPageBreak/>
        <w:t xml:space="preserve">Burner </w:t>
      </w:r>
      <w:r w:rsidR="00F00805" w:rsidRPr="00227625">
        <w:rPr>
          <w:sz w:val="22"/>
          <w:szCs w:val="22"/>
        </w:rPr>
        <w:t>authorisation</w:t>
      </w:r>
      <w:bookmarkEnd w:id="19"/>
      <w:bookmarkEnd w:id="20"/>
      <w:bookmarkEnd w:id="21"/>
      <w:r w:rsidRPr="00227625">
        <w:rPr>
          <w:sz w:val="22"/>
          <w:szCs w:val="22"/>
        </w:rPr>
        <w:t xml:space="preserve"> </w:t>
      </w:r>
    </w:p>
    <w:p w14:paraId="2F3D0EF8" w14:textId="77777777" w:rsidR="0083622A" w:rsidRDefault="0083622A" w:rsidP="0083622A">
      <w:pPr>
        <w:pStyle w:val="NoSpacing"/>
        <w:jc w:val="both"/>
      </w:pPr>
    </w:p>
    <w:p w14:paraId="247DF5E8" w14:textId="78195D50" w:rsidR="00FC40E4" w:rsidRDefault="0063356C" w:rsidP="00FC40E4">
      <w:pPr>
        <w:pStyle w:val="NoSpacing"/>
        <w:jc w:val="both"/>
      </w:pPr>
      <w:r>
        <w:t>Requirements</w:t>
      </w:r>
      <w:r w:rsidR="00FC40E4">
        <w:t xml:space="preserve"> and guidelines for the </w:t>
      </w:r>
      <w:r>
        <w:t>authorisation</w:t>
      </w:r>
      <w:r w:rsidR="00FC40E4">
        <w:t xml:space="preserve"> of solid </w:t>
      </w:r>
      <w:r>
        <w:t>fuel</w:t>
      </w:r>
      <w:r w:rsidR="00FC40E4">
        <w:t xml:space="preserve"> </w:t>
      </w:r>
      <w:r>
        <w:t>burners</w:t>
      </w:r>
      <w:r w:rsidR="00FC40E4">
        <w:t xml:space="preserve"> are provided in the Ministry for the Environment </w:t>
      </w:r>
      <w:r>
        <w:t>publication</w:t>
      </w:r>
      <w:r w:rsidR="00FC40E4">
        <w:t xml:space="preserve"> NZ Domestic Solid Fuel Burner Authorisation Manual</w:t>
      </w:r>
      <w:r w:rsidR="00891DF3">
        <w:t xml:space="preserve"> (2011)</w:t>
      </w:r>
      <w:r w:rsidR="00FC40E4">
        <w:t>.</w:t>
      </w:r>
    </w:p>
    <w:p w14:paraId="60F736E6" w14:textId="0701ECED" w:rsidR="009909C2" w:rsidRDefault="009909C2" w:rsidP="00FC40E4">
      <w:pPr>
        <w:pStyle w:val="NoSpacing"/>
        <w:jc w:val="both"/>
      </w:pPr>
    </w:p>
    <w:p w14:paraId="225E6DC9" w14:textId="0184924F" w:rsidR="009909C2" w:rsidRDefault="009909C2" w:rsidP="009909C2">
      <w:pPr>
        <w:pStyle w:val="NoSpacing"/>
        <w:jc w:val="both"/>
      </w:pPr>
      <w:r>
        <w:t xml:space="preserve">This manual is a reference for regional councils and unitary authorities that act as authorising agents. </w:t>
      </w:r>
      <w:r w:rsidR="00380BCB">
        <w:t xml:space="preserve"> </w:t>
      </w:r>
      <w:r>
        <w:t xml:space="preserve">It </w:t>
      </w:r>
      <w:r w:rsidR="00380BCB">
        <w:t>is also intended to</w:t>
      </w:r>
      <w:r>
        <w:t xml:space="preserve"> be a useful reference for manufacturers and retailers selling and installing solid fuel burners in New Zealand.</w:t>
      </w:r>
    </w:p>
    <w:p w14:paraId="1BA679E2" w14:textId="77777777" w:rsidR="009909C2" w:rsidRDefault="009909C2" w:rsidP="009909C2">
      <w:pPr>
        <w:pStyle w:val="NoSpacing"/>
        <w:jc w:val="both"/>
      </w:pPr>
    </w:p>
    <w:p w14:paraId="5C9E9FFA" w14:textId="3B6323DA" w:rsidR="009909C2" w:rsidRPr="00BA2520" w:rsidRDefault="009909C2" w:rsidP="009909C2">
      <w:pPr>
        <w:pStyle w:val="NoSpacing"/>
        <w:jc w:val="both"/>
      </w:pPr>
      <w:r>
        <w:t xml:space="preserve">Burners may be authorised in accordance with the regulatory requirements of the </w:t>
      </w:r>
      <w:r w:rsidR="00380BCB">
        <w:t>NESAQ</w:t>
      </w:r>
      <w:r>
        <w:t>, and/or the relevant regional plan.</w:t>
      </w:r>
    </w:p>
    <w:p w14:paraId="6FEAEBA1" w14:textId="02B3CC8B" w:rsidR="009909C2" w:rsidRDefault="009909C2" w:rsidP="00FC40E4">
      <w:pPr>
        <w:pStyle w:val="NoSpacing"/>
        <w:jc w:val="both"/>
      </w:pPr>
    </w:p>
    <w:p w14:paraId="7E2C1BEB" w14:textId="1BE3825D" w:rsidR="00254172" w:rsidRDefault="00380BCB" w:rsidP="00254172">
      <w:pPr>
        <w:pStyle w:val="NoSpacing"/>
        <w:jc w:val="both"/>
      </w:pPr>
      <w:r>
        <w:t xml:space="preserve">In practice, </w:t>
      </w:r>
      <w:r w:rsidR="00254172">
        <w:t>Environment Canterbury effectively operates as the national authorising agency for several categories of solid fuel burners including woodburners, pellet fires and domestic small scale boiler systems.</w:t>
      </w:r>
    </w:p>
    <w:p w14:paraId="4552EE47" w14:textId="0C4291E6" w:rsidR="00F2445F" w:rsidRDefault="00F2445F" w:rsidP="0083622A">
      <w:pPr>
        <w:pStyle w:val="NoSpacing"/>
        <w:jc w:val="both"/>
      </w:pPr>
    </w:p>
    <w:p w14:paraId="70E3D328" w14:textId="70DC20FC" w:rsidR="002211D0" w:rsidRDefault="006B3C04" w:rsidP="0083622A">
      <w:pPr>
        <w:pStyle w:val="NoSpacing"/>
        <w:jc w:val="both"/>
      </w:pPr>
      <w:r>
        <w:t xml:space="preserve">Environment </w:t>
      </w:r>
      <w:r w:rsidR="0063356C">
        <w:t>Canterbury</w:t>
      </w:r>
      <w:r>
        <w:t xml:space="preserve"> </w:t>
      </w:r>
      <w:r w:rsidR="00D61EA4">
        <w:t xml:space="preserve">makes an assessment as to whether a burner </w:t>
      </w:r>
      <w:r w:rsidR="0063356C">
        <w:t>meets</w:t>
      </w:r>
      <w:r w:rsidR="00D61EA4">
        <w:t xml:space="preserve"> the requirements of the NESAQ and </w:t>
      </w:r>
      <w:r w:rsidR="000F0095">
        <w:t xml:space="preserve">publishes </w:t>
      </w:r>
      <w:r w:rsidR="0063356C">
        <w:t>emissions</w:t>
      </w:r>
      <w:r w:rsidR="000F0095">
        <w:t xml:space="preserve"> and </w:t>
      </w:r>
      <w:r w:rsidR="0063356C">
        <w:t>efficiency</w:t>
      </w:r>
      <w:r w:rsidR="000F0095">
        <w:t xml:space="preserve"> data on their website as well as providing this </w:t>
      </w:r>
      <w:r w:rsidR="0063356C">
        <w:t>information</w:t>
      </w:r>
      <w:r w:rsidR="000F0095">
        <w:t xml:space="preserve"> to Ministry for the </w:t>
      </w:r>
      <w:r w:rsidR="0063356C">
        <w:t>Environment</w:t>
      </w:r>
      <w:r w:rsidR="000F0095">
        <w:t xml:space="preserve"> for </w:t>
      </w:r>
      <w:r w:rsidR="0063356C">
        <w:t>publishing</w:t>
      </w:r>
      <w:r w:rsidR="000F0095">
        <w:t xml:space="preserve"> on their website.  </w:t>
      </w:r>
      <w:r w:rsidR="006524FA">
        <w:t xml:space="preserve">Burners need to meet the requirements of the local area so, for instance, while the Ministry for the </w:t>
      </w:r>
      <w:r w:rsidR="0063356C">
        <w:t>Environment</w:t>
      </w:r>
      <w:r w:rsidR="006524FA">
        <w:t xml:space="preserve"> website </w:t>
      </w:r>
      <w:r w:rsidR="0063356C">
        <w:t>lists</w:t>
      </w:r>
      <w:r w:rsidR="006524FA">
        <w:t xml:space="preserve"> all </w:t>
      </w:r>
      <w:r w:rsidR="0063356C">
        <w:t>burners</w:t>
      </w:r>
      <w:r w:rsidR="006524FA">
        <w:t xml:space="preserve"> with emissions less than 1.5 g/kg</w:t>
      </w:r>
      <w:r w:rsidR="00061C1D">
        <w:t xml:space="preserve">, </w:t>
      </w:r>
      <w:r w:rsidR="00BB1DB6">
        <w:t xml:space="preserve">a </w:t>
      </w:r>
      <w:r w:rsidR="0063356C">
        <w:t>homeowner</w:t>
      </w:r>
      <w:r w:rsidR="00E8776F">
        <w:t xml:space="preserve"> looking to </w:t>
      </w:r>
      <w:r w:rsidR="0063356C">
        <w:t>install</w:t>
      </w:r>
      <w:r w:rsidR="00E8776F">
        <w:t xml:space="preserve"> a burner into Rotorua would only be able to </w:t>
      </w:r>
      <w:r w:rsidR="0063356C">
        <w:t>consider</w:t>
      </w:r>
      <w:r w:rsidR="00E8776F">
        <w:t xml:space="preserve"> those that meet the </w:t>
      </w:r>
      <w:r w:rsidR="0063356C">
        <w:t>local</w:t>
      </w:r>
      <w:r w:rsidR="00E8776F">
        <w:t xml:space="preserve"> rules, </w:t>
      </w:r>
      <w:r w:rsidR="0063356C">
        <w:t>i.e.</w:t>
      </w:r>
      <w:r w:rsidR="00E8776F">
        <w:t xml:space="preserve"> 0.6</w:t>
      </w:r>
      <w:r w:rsidR="0063356C">
        <w:t>0 g/kg or less.</w:t>
      </w:r>
    </w:p>
    <w:p w14:paraId="0D277A6C" w14:textId="77777777" w:rsidR="006B3C04" w:rsidRDefault="006B3C04" w:rsidP="0083622A">
      <w:pPr>
        <w:pStyle w:val="NoSpacing"/>
        <w:jc w:val="both"/>
      </w:pPr>
    </w:p>
    <w:p w14:paraId="2A2812DA" w14:textId="5E55B1D2" w:rsidR="00F2445F" w:rsidRDefault="00051689" w:rsidP="0083622A">
      <w:pPr>
        <w:pStyle w:val="NoSpacing"/>
        <w:jc w:val="both"/>
      </w:pPr>
      <w:r>
        <w:t xml:space="preserve">The process for </w:t>
      </w:r>
      <w:r w:rsidR="006867AF">
        <w:t>authorisation</w:t>
      </w:r>
      <w:r>
        <w:t xml:space="preserve"> of </w:t>
      </w:r>
      <w:r w:rsidR="002B0575">
        <w:t xml:space="preserve">different </w:t>
      </w:r>
      <w:r w:rsidR="006867AF">
        <w:t>categories</w:t>
      </w:r>
      <w:r w:rsidR="002B0575">
        <w:t xml:space="preserve"> of </w:t>
      </w:r>
      <w:r w:rsidR="006867AF">
        <w:t>solid</w:t>
      </w:r>
      <w:r w:rsidR="002B0575">
        <w:t xml:space="preserve"> fuel burners is as </w:t>
      </w:r>
      <w:r w:rsidR="006867AF">
        <w:t>follows</w:t>
      </w:r>
      <w:r w:rsidR="002B0575">
        <w:t xml:space="preserve">: </w:t>
      </w:r>
    </w:p>
    <w:p w14:paraId="02A9B34E" w14:textId="77777777" w:rsidR="0083622A" w:rsidRDefault="0083622A" w:rsidP="0083622A">
      <w:pPr>
        <w:pStyle w:val="NoSpacing"/>
        <w:jc w:val="both"/>
      </w:pPr>
    </w:p>
    <w:p w14:paraId="43506E09" w14:textId="106C9E27" w:rsidR="0083622A" w:rsidRPr="00DD2432" w:rsidRDefault="0083622A" w:rsidP="0083622A">
      <w:pPr>
        <w:pStyle w:val="NoSpacing"/>
        <w:jc w:val="both"/>
        <w:rPr>
          <w:b/>
          <w:bCs/>
        </w:rPr>
      </w:pPr>
      <w:r w:rsidRPr="00DD2432">
        <w:rPr>
          <w:b/>
          <w:bCs/>
        </w:rPr>
        <w:t>Woodburners</w:t>
      </w:r>
    </w:p>
    <w:p w14:paraId="7F9A19AC" w14:textId="77777777" w:rsidR="0083622A" w:rsidRDefault="0083622A" w:rsidP="0083622A">
      <w:pPr>
        <w:pStyle w:val="NoSpacing"/>
        <w:jc w:val="both"/>
      </w:pPr>
    </w:p>
    <w:p w14:paraId="6B7E533B" w14:textId="4FD3E25D" w:rsidR="00F33F3A" w:rsidRDefault="004D0062" w:rsidP="0083622A">
      <w:pPr>
        <w:pStyle w:val="NoSpacing"/>
        <w:jc w:val="both"/>
      </w:pPr>
      <w:r>
        <w:t>Environment Canterbury</w:t>
      </w:r>
      <w:r w:rsidR="0083622A">
        <w:t xml:space="preserve"> requires</w:t>
      </w:r>
      <w:r w:rsidR="0083622A" w:rsidRPr="009A6D7D">
        <w:t xml:space="preserve"> testing </w:t>
      </w:r>
      <w:r w:rsidR="0083622A">
        <w:t xml:space="preserve">to </w:t>
      </w:r>
      <w:r>
        <w:t>AS/NZS 4012 and AS/NZS 4013</w:t>
      </w:r>
      <w:r w:rsidR="0083622A">
        <w:t xml:space="preserve"> </w:t>
      </w:r>
      <w:r w:rsidR="00162A8F">
        <w:t xml:space="preserve">for low emission </w:t>
      </w:r>
      <w:r w:rsidR="009A75E8">
        <w:t>burners</w:t>
      </w:r>
      <w:r w:rsidR="00C768F0">
        <w:t xml:space="preserve">, </w:t>
      </w:r>
      <w:r w:rsidR="00162A8F">
        <w:t xml:space="preserve">and to CM1 for </w:t>
      </w:r>
      <w:r w:rsidR="00F03A84">
        <w:t>ULEB</w:t>
      </w:r>
      <w:r w:rsidR="00162A8F">
        <w:t xml:space="preserve">s </w:t>
      </w:r>
      <w:r w:rsidR="0083622A">
        <w:t xml:space="preserve">to </w:t>
      </w:r>
      <w:r w:rsidR="0083622A" w:rsidRPr="009A6D7D">
        <w:t>be undertaken by an independent laboratory or practitioner accredited by an accreditation</w:t>
      </w:r>
      <w:r w:rsidR="0083622A">
        <w:t xml:space="preserve"> </w:t>
      </w:r>
      <w:r w:rsidR="0083622A" w:rsidRPr="009A6D7D">
        <w:t>authority</w:t>
      </w:r>
      <w:r w:rsidR="00757EAA">
        <w:t xml:space="preserve">, </w:t>
      </w:r>
      <w:r w:rsidR="00E32E64">
        <w:t xml:space="preserve">such as </w:t>
      </w:r>
      <w:r w:rsidR="006867AF">
        <w:t>International</w:t>
      </w:r>
      <w:r w:rsidR="00757EAA">
        <w:t xml:space="preserve"> </w:t>
      </w:r>
      <w:r w:rsidR="006867AF">
        <w:t>Accreditation</w:t>
      </w:r>
      <w:r w:rsidR="00757EAA">
        <w:t xml:space="preserve"> NZ (</w:t>
      </w:r>
      <w:r w:rsidR="00E32E64">
        <w:t>IANZ)</w:t>
      </w:r>
      <w:r w:rsidR="0083622A" w:rsidRPr="009A6D7D">
        <w:t xml:space="preserve">.  </w:t>
      </w:r>
    </w:p>
    <w:p w14:paraId="4557F1B1" w14:textId="77777777" w:rsidR="00F33F3A" w:rsidRDefault="00F33F3A" w:rsidP="0083622A">
      <w:pPr>
        <w:pStyle w:val="NoSpacing"/>
        <w:jc w:val="both"/>
      </w:pPr>
    </w:p>
    <w:p w14:paraId="55D7DA7D" w14:textId="684BF737" w:rsidR="0083622A" w:rsidRDefault="0083622A" w:rsidP="0083622A">
      <w:pPr>
        <w:pStyle w:val="NoSpacing"/>
        <w:jc w:val="both"/>
      </w:pPr>
      <w:r>
        <w:t xml:space="preserve">There are two accredited test laboratories in NZ, namely Spectrum Laboratories in Auckland and Applied Research Services in Nelson.  There are also test laboratories in Australia that are capable of testing solid fuel burners to the relevant standards but in practice </w:t>
      </w:r>
      <w:r w:rsidR="00C20334">
        <w:t>wood</w:t>
      </w:r>
      <w:r>
        <w:t xml:space="preserve">burners sold in NZ are </w:t>
      </w:r>
      <w:r w:rsidRPr="0075513C">
        <w:t>generally</w:t>
      </w:r>
      <w:r>
        <w:t xml:space="preserve"> tested in NZ.</w:t>
      </w:r>
    </w:p>
    <w:p w14:paraId="1B530031" w14:textId="77777777" w:rsidR="00960B2C" w:rsidRDefault="00960B2C" w:rsidP="0083622A">
      <w:pPr>
        <w:pStyle w:val="NoSpacing"/>
        <w:jc w:val="both"/>
      </w:pPr>
    </w:p>
    <w:p w14:paraId="08815E90" w14:textId="7514000E" w:rsidR="00FB3EEC" w:rsidRDefault="0083622A" w:rsidP="0083622A">
      <w:pPr>
        <w:pStyle w:val="NoSpacing"/>
        <w:jc w:val="both"/>
      </w:pPr>
      <w:r>
        <w:t xml:space="preserve">Once a burner has been tested, an application for authorisation </w:t>
      </w:r>
      <w:r w:rsidR="00E67A10">
        <w:t xml:space="preserve">is made </w:t>
      </w:r>
      <w:r>
        <w:t xml:space="preserve">to Environment Canterbury.  Test reports and </w:t>
      </w:r>
      <w:r w:rsidR="006867AF">
        <w:t>other</w:t>
      </w:r>
      <w:r>
        <w:t xml:space="preserve"> relevant information </w:t>
      </w:r>
      <w:r w:rsidR="002E66A2">
        <w:t xml:space="preserve">supplied by the applicant </w:t>
      </w:r>
      <w:r>
        <w:t>are audited by an independent technical expert</w:t>
      </w:r>
      <w:r w:rsidR="00661804">
        <w:t>.  A</w:t>
      </w:r>
      <w:r>
        <w:t xml:space="preserve"> recommendation </w:t>
      </w:r>
      <w:r w:rsidR="006E324A">
        <w:t xml:space="preserve">is then </w:t>
      </w:r>
      <w:r>
        <w:t>made as to whether the burner should be authorised</w:t>
      </w:r>
      <w:r w:rsidR="00E926BB">
        <w:t xml:space="preserve"> and what</w:t>
      </w:r>
      <w:r w:rsidR="00D851F0">
        <w:t>,</w:t>
      </w:r>
      <w:r w:rsidR="00E926BB">
        <w:t xml:space="preserve"> if any</w:t>
      </w:r>
      <w:r w:rsidR="00D851F0">
        <w:t>,</w:t>
      </w:r>
      <w:r w:rsidR="00E926BB">
        <w:t xml:space="preserve"> changes</w:t>
      </w:r>
      <w:r w:rsidR="00B07E84">
        <w:t xml:space="preserve"> to the </w:t>
      </w:r>
      <w:r w:rsidR="009A75E8">
        <w:t>burner</w:t>
      </w:r>
      <w:r w:rsidR="00B07E84">
        <w:t>, its labelling</w:t>
      </w:r>
      <w:r w:rsidR="00E926BB">
        <w:t xml:space="preserve">, </w:t>
      </w:r>
      <w:r w:rsidR="006867AF">
        <w:t>consent</w:t>
      </w:r>
      <w:r w:rsidR="00E926BB">
        <w:t xml:space="preserve"> conditions etc are required</w:t>
      </w:r>
      <w:r>
        <w:t xml:space="preserve">.  </w:t>
      </w:r>
    </w:p>
    <w:p w14:paraId="5D922208" w14:textId="77777777" w:rsidR="00FB3EEC" w:rsidRDefault="00FB3EEC" w:rsidP="0083622A">
      <w:pPr>
        <w:pStyle w:val="NoSpacing"/>
        <w:jc w:val="both"/>
      </w:pPr>
    </w:p>
    <w:p w14:paraId="763FCD9C" w14:textId="4C03E12B" w:rsidR="003C11A0" w:rsidRDefault="003C11A0" w:rsidP="0083622A">
      <w:pPr>
        <w:pStyle w:val="NoSpacing"/>
        <w:jc w:val="both"/>
      </w:pPr>
      <w:r>
        <w:t xml:space="preserve">This </w:t>
      </w:r>
      <w:r w:rsidR="00CC207D">
        <w:t>independent</w:t>
      </w:r>
      <w:r>
        <w:t xml:space="preserve"> audit is a crucial step in the </w:t>
      </w:r>
      <w:r w:rsidR="00CC207D">
        <w:t>authorisation</w:t>
      </w:r>
      <w:r>
        <w:t xml:space="preserve"> process </w:t>
      </w:r>
      <w:r w:rsidR="00A76122">
        <w:t xml:space="preserve">not only to </w:t>
      </w:r>
      <w:r w:rsidR="006E324A">
        <w:t>c</w:t>
      </w:r>
      <w:r w:rsidR="00A76122">
        <w:t xml:space="preserve">heck for errors and </w:t>
      </w:r>
      <w:r w:rsidR="00E250D7">
        <w:t>inconsistencies</w:t>
      </w:r>
      <w:r w:rsidR="00A76122">
        <w:t xml:space="preserve"> in the test report, but also </w:t>
      </w:r>
      <w:r w:rsidR="00302911">
        <w:t xml:space="preserve">to </w:t>
      </w:r>
      <w:r w:rsidR="00E250D7">
        <w:t>consider</w:t>
      </w:r>
      <w:r w:rsidR="00302911">
        <w:t xml:space="preserve"> what </w:t>
      </w:r>
      <w:r w:rsidR="007030B3">
        <w:t>issues</w:t>
      </w:r>
      <w:r w:rsidR="00302911">
        <w:t xml:space="preserve">, if any, have the </w:t>
      </w:r>
      <w:r w:rsidR="0036189E">
        <w:t xml:space="preserve">ability to </w:t>
      </w:r>
      <w:r w:rsidR="008A4016">
        <w:t xml:space="preserve">negatively impact on airshed management, </w:t>
      </w:r>
      <w:r w:rsidR="005D4066">
        <w:t xml:space="preserve">meeting the </w:t>
      </w:r>
      <w:r w:rsidR="004D0062">
        <w:t>NESAQ</w:t>
      </w:r>
      <w:r w:rsidR="00C53E5C">
        <w:t xml:space="preserve"> </w:t>
      </w:r>
      <w:r w:rsidR="00E250D7">
        <w:t>requirements</w:t>
      </w:r>
      <w:r w:rsidR="00C53E5C">
        <w:t xml:space="preserve"> </w:t>
      </w:r>
      <w:r w:rsidR="005D4066">
        <w:t>or other relevant issues</w:t>
      </w:r>
      <w:r w:rsidR="00C53E5C">
        <w:t xml:space="preserve">.  </w:t>
      </w:r>
      <w:r w:rsidR="00C32676">
        <w:t>T</w:t>
      </w:r>
      <w:r w:rsidR="006E3332">
        <w:t xml:space="preserve">his could include </w:t>
      </w:r>
      <w:r w:rsidR="00E250D7">
        <w:t>identifying</w:t>
      </w:r>
      <w:r w:rsidR="006E3332">
        <w:t xml:space="preserve"> any issues in relation to the </w:t>
      </w:r>
      <w:r w:rsidR="00E250D7">
        <w:t>tamperability</w:t>
      </w:r>
      <w:r w:rsidR="006E3332">
        <w:t xml:space="preserve"> of the burner, </w:t>
      </w:r>
      <w:r w:rsidR="009E377B">
        <w:t xml:space="preserve">or considering </w:t>
      </w:r>
      <w:r w:rsidR="00E250D7">
        <w:t>whether</w:t>
      </w:r>
      <w:r w:rsidR="009E377B">
        <w:t xml:space="preserve"> any special </w:t>
      </w:r>
      <w:r w:rsidR="007030B3">
        <w:t>requirements</w:t>
      </w:r>
      <w:r w:rsidR="009E377B">
        <w:t xml:space="preserve"> should be specified</w:t>
      </w:r>
      <w:r w:rsidR="00F34F63">
        <w:t>,</w:t>
      </w:r>
      <w:r w:rsidR="009E377B">
        <w:t xml:space="preserve"> such as in relation to air </w:t>
      </w:r>
      <w:r w:rsidR="00E250D7">
        <w:t>circulation</w:t>
      </w:r>
      <w:r w:rsidR="009E377B">
        <w:t xml:space="preserve"> </w:t>
      </w:r>
      <w:r w:rsidR="007030B3">
        <w:t>fans</w:t>
      </w:r>
      <w:r w:rsidR="009E377B">
        <w:t>.</w:t>
      </w:r>
      <w:r w:rsidR="008F40A9">
        <w:t xml:space="preserve">  </w:t>
      </w:r>
      <w:r w:rsidR="001228EC">
        <w:t>T</w:t>
      </w:r>
      <w:r w:rsidR="008F40A9">
        <w:t xml:space="preserve">he </w:t>
      </w:r>
      <w:r w:rsidR="00E250D7">
        <w:t>independent</w:t>
      </w:r>
      <w:r w:rsidR="008F40A9">
        <w:t xml:space="preserve"> audit will also </w:t>
      </w:r>
      <w:r w:rsidR="00E250D7">
        <w:t>include</w:t>
      </w:r>
      <w:r w:rsidR="008F40A9">
        <w:t xml:space="preserve"> </w:t>
      </w:r>
      <w:r w:rsidR="00731D7C">
        <w:t>reviewing</w:t>
      </w:r>
      <w:r w:rsidR="008F40A9">
        <w:t xml:space="preserve"> </w:t>
      </w:r>
      <w:r w:rsidR="00917AC3">
        <w:t xml:space="preserve">any functionally </w:t>
      </w:r>
      <w:r w:rsidR="00E250D7">
        <w:t>equivalent</w:t>
      </w:r>
      <w:r w:rsidR="00917AC3">
        <w:t xml:space="preserve"> test reports from overseas </w:t>
      </w:r>
      <w:r w:rsidR="001228EC">
        <w:t>and deciding whether they are acceptable</w:t>
      </w:r>
      <w:r w:rsidR="007F7831">
        <w:t>,</w:t>
      </w:r>
      <w:r w:rsidR="001228EC">
        <w:t xml:space="preserve"> </w:t>
      </w:r>
      <w:r w:rsidR="00917AC3">
        <w:t xml:space="preserve">and </w:t>
      </w:r>
      <w:r w:rsidR="007445B7">
        <w:t xml:space="preserve">making </w:t>
      </w:r>
      <w:r w:rsidR="00E250D7">
        <w:t>adjustments</w:t>
      </w:r>
      <w:r w:rsidR="007445B7">
        <w:t xml:space="preserve"> </w:t>
      </w:r>
      <w:r w:rsidR="00117F2F">
        <w:t xml:space="preserve">to the results </w:t>
      </w:r>
      <w:r w:rsidR="007445B7">
        <w:t>as necessary</w:t>
      </w:r>
      <w:r w:rsidR="001E073C">
        <w:t>,</w:t>
      </w:r>
      <w:r w:rsidR="007445B7">
        <w:t xml:space="preserve"> to make a fair </w:t>
      </w:r>
      <w:r w:rsidR="00E250D7">
        <w:t>comparison</w:t>
      </w:r>
      <w:r w:rsidR="007445B7">
        <w:t xml:space="preserve"> with the requirements of </w:t>
      </w:r>
      <w:r w:rsidR="004D0062">
        <w:t>AS/NZS 4012 and AS/NZS 4013</w:t>
      </w:r>
      <w:r w:rsidR="00E25C39">
        <w:t>.</w:t>
      </w:r>
    </w:p>
    <w:p w14:paraId="40AF13CC" w14:textId="77777777" w:rsidR="003C11A0" w:rsidRDefault="003C11A0" w:rsidP="0083622A">
      <w:pPr>
        <w:pStyle w:val="NoSpacing"/>
        <w:jc w:val="both"/>
      </w:pPr>
    </w:p>
    <w:p w14:paraId="0D6D3BAF" w14:textId="11A4190F" w:rsidR="0083622A" w:rsidRDefault="0083622A" w:rsidP="0083622A">
      <w:pPr>
        <w:pStyle w:val="NoSpacing"/>
        <w:jc w:val="both"/>
      </w:pPr>
      <w:r>
        <w:t xml:space="preserve">Once authorised, </w:t>
      </w:r>
      <w:r w:rsidR="00FB3EEC">
        <w:t xml:space="preserve">a resource consent is </w:t>
      </w:r>
      <w:r w:rsidR="00024176">
        <w:t>issued</w:t>
      </w:r>
      <w:r w:rsidR="00FB3EEC">
        <w:t xml:space="preserve"> and </w:t>
      </w:r>
      <w:r>
        <w:t xml:space="preserve">the burner is added to public listings on </w:t>
      </w:r>
      <w:r w:rsidR="004D0062">
        <w:t>Environment Canterbury</w:t>
      </w:r>
      <w:r>
        <w:t xml:space="preserve"> and </w:t>
      </w:r>
      <w:r w:rsidR="004D0062">
        <w:t>Ministry for the Environment</w:t>
      </w:r>
      <w:r>
        <w:t xml:space="preserve"> websites showing details of the burner such as </w:t>
      </w:r>
      <w:r w:rsidR="00FB0A24">
        <w:t xml:space="preserve">manufacturer, </w:t>
      </w:r>
      <w:r>
        <w:t>make, model, emissions and efficiency data and other relevant information such as whether it is a freestanding  or insert model</w:t>
      </w:r>
      <w:r w:rsidR="00A46D64">
        <w:t xml:space="preserve"> and </w:t>
      </w:r>
      <w:r>
        <w:t>whether it has a wetback</w:t>
      </w:r>
      <w:r w:rsidR="00A46D64">
        <w:t>.</w:t>
      </w:r>
    </w:p>
    <w:p w14:paraId="32976CAF" w14:textId="77777777" w:rsidR="0083622A" w:rsidRDefault="0083622A" w:rsidP="0083622A">
      <w:pPr>
        <w:pStyle w:val="NoSpacing"/>
        <w:jc w:val="both"/>
        <w:rPr>
          <w:b/>
          <w:bCs/>
        </w:rPr>
      </w:pPr>
    </w:p>
    <w:p w14:paraId="763153AE" w14:textId="734DF2E8" w:rsidR="0083622A" w:rsidRDefault="0083622A" w:rsidP="0083622A">
      <w:pPr>
        <w:rPr>
          <w:b/>
          <w:bCs/>
        </w:rPr>
      </w:pPr>
      <w:r w:rsidRPr="00EC12DD">
        <w:rPr>
          <w:b/>
          <w:bCs/>
        </w:rPr>
        <w:t>Pellet fires</w:t>
      </w:r>
    </w:p>
    <w:p w14:paraId="4B11E3FE" w14:textId="77777777" w:rsidR="00935038" w:rsidRPr="00935038" w:rsidRDefault="00935038" w:rsidP="00935038">
      <w:pPr>
        <w:pStyle w:val="NoSpacing"/>
        <w:jc w:val="both"/>
      </w:pPr>
    </w:p>
    <w:p w14:paraId="49021BA3" w14:textId="5F6F7651" w:rsidR="000A1DFF" w:rsidRDefault="00F27749" w:rsidP="0075513C">
      <w:pPr>
        <w:pStyle w:val="NoSpacing"/>
        <w:jc w:val="both"/>
      </w:pPr>
      <w:r>
        <w:t xml:space="preserve">Most, </w:t>
      </w:r>
      <w:r w:rsidR="00613B54">
        <w:t>if</w:t>
      </w:r>
      <w:r>
        <w:t xml:space="preserve"> not all, </w:t>
      </w:r>
      <w:r w:rsidR="002956DB">
        <w:t>currently</w:t>
      </w:r>
      <w:r>
        <w:t xml:space="preserve"> </w:t>
      </w:r>
      <w:r w:rsidR="00613B54">
        <w:t>authorised</w:t>
      </w:r>
      <w:r>
        <w:t xml:space="preserve"> </w:t>
      </w:r>
      <w:r w:rsidR="002956DB">
        <w:t>pellet</w:t>
      </w:r>
      <w:r w:rsidR="0083622A">
        <w:t xml:space="preserve"> fires are manufactured overseas</w:t>
      </w:r>
      <w:r>
        <w:t xml:space="preserve"> and</w:t>
      </w:r>
      <w:r w:rsidR="0083622A">
        <w:t xml:space="preserve"> are typically tested to </w:t>
      </w:r>
      <w:r w:rsidR="00FE7517">
        <w:t>the</w:t>
      </w:r>
      <w:r w:rsidR="0083622A">
        <w:t xml:space="preserve"> European </w:t>
      </w:r>
      <w:r w:rsidR="0083622A" w:rsidRPr="00C66DFB">
        <w:t xml:space="preserve">standard </w:t>
      </w:r>
      <w:r w:rsidR="00C66DFB" w:rsidRPr="00736786">
        <w:t>EN 14785</w:t>
      </w:r>
      <w:r w:rsidR="00493C61">
        <w:t xml:space="preserve">.  </w:t>
      </w:r>
      <w:r w:rsidR="00695E8D">
        <w:t>Th</w:t>
      </w:r>
      <w:r w:rsidR="0083622A">
        <w:t>is test data is submitted as part of the authorisation process.</w:t>
      </w:r>
    </w:p>
    <w:p w14:paraId="04F0B1D1" w14:textId="77777777" w:rsidR="000A1DFF" w:rsidRDefault="000A1DFF" w:rsidP="0075513C">
      <w:pPr>
        <w:pStyle w:val="NoSpacing"/>
        <w:jc w:val="both"/>
      </w:pPr>
    </w:p>
    <w:p w14:paraId="538D5419" w14:textId="2BB5EACA" w:rsidR="0083622A" w:rsidRPr="00D95CFE" w:rsidRDefault="000A1DFF" w:rsidP="0075513C">
      <w:pPr>
        <w:pStyle w:val="NoSpacing"/>
        <w:jc w:val="both"/>
      </w:pPr>
      <w:r>
        <w:t xml:space="preserve">The </w:t>
      </w:r>
      <w:r w:rsidR="004A01F8">
        <w:t>authorisation</w:t>
      </w:r>
      <w:r>
        <w:t xml:space="preserve"> process for a new </w:t>
      </w:r>
      <w:r w:rsidR="00DA04E8">
        <w:t>pellet</w:t>
      </w:r>
      <w:r>
        <w:t xml:space="preserve"> fire is </w:t>
      </w:r>
      <w:r w:rsidR="006F55AD">
        <w:t>similar</w:t>
      </w:r>
      <w:r>
        <w:t xml:space="preserve"> to that for</w:t>
      </w:r>
      <w:r w:rsidR="00131BB6">
        <w:t xml:space="preserve"> a woodburner, </w:t>
      </w:r>
      <w:r w:rsidR="00DA04E8">
        <w:t>i.e.</w:t>
      </w:r>
      <w:r w:rsidR="00A871C2">
        <w:t xml:space="preserve"> t</w:t>
      </w:r>
      <w:r w:rsidR="0083622A">
        <w:t>he test results are audited and any adjustments made to the results as necessary</w:t>
      </w:r>
      <w:r w:rsidR="00A039E3">
        <w:t xml:space="preserve"> such as adjusting for </w:t>
      </w:r>
      <w:r w:rsidR="00613B54">
        <w:t>differences</w:t>
      </w:r>
      <w:r w:rsidR="00E411BB">
        <w:t xml:space="preserve"> in how </w:t>
      </w:r>
      <w:r w:rsidR="002956DB">
        <w:t>quantities</w:t>
      </w:r>
      <w:r w:rsidR="00E411BB">
        <w:t xml:space="preserve"> are defined between Europe and NZ</w:t>
      </w:r>
      <w:r w:rsidR="0083622A">
        <w:t xml:space="preserve">, before </w:t>
      </w:r>
      <w:r w:rsidR="004D0062">
        <w:t>Environment Canterbury</w:t>
      </w:r>
      <w:r w:rsidR="0083622A">
        <w:t xml:space="preserve">’s </w:t>
      </w:r>
      <w:r w:rsidR="009E69CB">
        <w:t xml:space="preserve">technical </w:t>
      </w:r>
      <w:r w:rsidR="0083622A">
        <w:t xml:space="preserve">auditor makes a recommendation on their authorisation.  </w:t>
      </w:r>
    </w:p>
    <w:p w14:paraId="6FE02828" w14:textId="77777777" w:rsidR="0083622A" w:rsidRDefault="0083622A" w:rsidP="0083622A">
      <w:pPr>
        <w:pStyle w:val="NoSpacing"/>
        <w:jc w:val="both"/>
        <w:rPr>
          <w:b/>
          <w:bCs/>
        </w:rPr>
      </w:pPr>
    </w:p>
    <w:p w14:paraId="05718803" w14:textId="6BBE018A" w:rsidR="0083622A" w:rsidRDefault="00CD4AB7" w:rsidP="0083622A">
      <w:pPr>
        <w:pStyle w:val="NoSpacing"/>
        <w:jc w:val="both"/>
        <w:rPr>
          <w:b/>
          <w:bCs/>
        </w:rPr>
      </w:pPr>
      <w:r>
        <w:rPr>
          <w:b/>
          <w:bCs/>
        </w:rPr>
        <w:t>Domestic</w:t>
      </w:r>
      <w:r w:rsidR="001F6394">
        <w:rPr>
          <w:b/>
          <w:bCs/>
        </w:rPr>
        <w:t xml:space="preserve"> b</w:t>
      </w:r>
      <w:r w:rsidR="0083622A" w:rsidRPr="005B06BB">
        <w:rPr>
          <w:b/>
          <w:bCs/>
        </w:rPr>
        <w:t>oiler systems</w:t>
      </w:r>
    </w:p>
    <w:p w14:paraId="0EEB5BD4" w14:textId="77777777" w:rsidR="00935038" w:rsidRPr="005B06BB" w:rsidRDefault="00935038" w:rsidP="0083622A">
      <w:pPr>
        <w:pStyle w:val="NoSpacing"/>
        <w:jc w:val="both"/>
        <w:rPr>
          <w:b/>
          <w:bCs/>
        </w:rPr>
      </w:pPr>
    </w:p>
    <w:p w14:paraId="6F7B89C5" w14:textId="4EDD3EC4" w:rsidR="0083622A" w:rsidRDefault="000D664A" w:rsidP="00411C52">
      <w:pPr>
        <w:pStyle w:val="NoSpacing"/>
        <w:jc w:val="both"/>
      </w:pPr>
      <w:r>
        <w:t>D</w:t>
      </w:r>
      <w:r w:rsidR="001A1EC4">
        <w:t>omestic</w:t>
      </w:r>
      <w:r w:rsidR="001F6394">
        <w:t xml:space="preserve"> </w:t>
      </w:r>
      <w:r w:rsidR="0083622A">
        <w:t xml:space="preserve">boiler systems are </w:t>
      </w:r>
      <w:r w:rsidR="0083622A" w:rsidRPr="000D664A">
        <w:t>generally</w:t>
      </w:r>
      <w:r w:rsidR="0083622A">
        <w:t xml:space="preserve"> manufactured overseas.  They are typically electronically controlled </w:t>
      </w:r>
      <w:r w:rsidR="0069344A">
        <w:t>and</w:t>
      </w:r>
      <w:r w:rsidR="0083622A">
        <w:t xml:space="preserve"> designed for the specific purpose of heating hot water which can then be circulated throughout a home by way of a radiator system for home heating.</w:t>
      </w:r>
    </w:p>
    <w:p w14:paraId="18BDD766" w14:textId="77777777" w:rsidR="00411C52" w:rsidRDefault="00411C52" w:rsidP="00411C52">
      <w:pPr>
        <w:pStyle w:val="NoSpacing"/>
        <w:jc w:val="both"/>
      </w:pPr>
    </w:p>
    <w:p w14:paraId="71612A9F" w14:textId="45FD10A3" w:rsidR="0083622A" w:rsidRDefault="0083622A" w:rsidP="00411C52">
      <w:pPr>
        <w:pStyle w:val="NoSpacing"/>
        <w:jc w:val="both"/>
      </w:pPr>
      <w:r>
        <w:t xml:space="preserve">Boiler systems are excluded from testing to </w:t>
      </w:r>
      <w:r w:rsidR="004D0062">
        <w:t>AS/NZS 4012 and AS/NZS 4013</w:t>
      </w:r>
      <w:r>
        <w:t>.  Typically such systems will have been tested to a relevant international standard such as EN 303-5</w:t>
      </w:r>
      <w:r w:rsidR="00C677FB">
        <w:t xml:space="preserve">.  </w:t>
      </w:r>
      <w:r>
        <w:t xml:space="preserve">This method is recognised as a functionally equivalent method, as referred to </w:t>
      </w:r>
      <w:r w:rsidR="007D5542">
        <w:t xml:space="preserve">in the </w:t>
      </w:r>
      <w:r w:rsidR="004D0062">
        <w:t>NESAQ</w:t>
      </w:r>
      <w:r w:rsidR="007D5542">
        <w:t>.</w:t>
      </w:r>
    </w:p>
    <w:p w14:paraId="187419FB" w14:textId="77777777" w:rsidR="00411C52" w:rsidRDefault="00411C52" w:rsidP="00411C52">
      <w:pPr>
        <w:pStyle w:val="NoSpacing"/>
        <w:jc w:val="both"/>
      </w:pPr>
    </w:p>
    <w:p w14:paraId="2DBBEC04" w14:textId="266EC101" w:rsidR="00BA2E2A" w:rsidRDefault="0083622A" w:rsidP="00411C52">
      <w:pPr>
        <w:pStyle w:val="NoSpacing"/>
        <w:jc w:val="both"/>
      </w:pPr>
      <w:r>
        <w:t xml:space="preserve">When a boiler system is submitted for authorisation the test results are audited and any adjustments made to the </w:t>
      </w:r>
      <w:proofErr w:type="gramStart"/>
      <w:r>
        <w:t>results</w:t>
      </w:r>
      <w:proofErr w:type="gramEnd"/>
      <w:r>
        <w:t xml:space="preserve"> as necessary.  In particular, EN 303-5 calculates emissions </w:t>
      </w:r>
      <w:r w:rsidRPr="00670682">
        <w:t>and</w:t>
      </w:r>
      <w:r>
        <w:t xml:space="preserve"> efficiency on the basis of </w:t>
      </w:r>
      <w:r w:rsidR="00B312EE">
        <w:t>wet</w:t>
      </w:r>
      <w:r>
        <w:t xml:space="preserve"> wood (</w:t>
      </w:r>
      <w:r w:rsidR="00C52CDD">
        <w:t>which is different to</w:t>
      </w:r>
      <w:r>
        <w:t xml:space="preserve"> </w:t>
      </w:r>
      <w:r w:rsidR="004D0062">
        <w:t>AS/NZS 4012 and AS/NZS 4013</w:t>
      </w:r>
      <w:r>
        <w:t xml:space="preserve"> which uses a </w:t>
      </w:r>
      <w:r w:rsidR="00B312EE">
        <w:t>dry</w:t>
      </w:r>
      <w:r>
        <w:t xml:space="preserve"> wood basis).  </w:t>
      </w:r>
      <w:r w:rsidR="00613B54">
        <w:t>Efficiency</w:t>
      </w:r>
      <w:r w:rsidR="00AF155A">
        <w:t xml:space="preserve"> in Europe is based on energy in</w:t>
      </w:r>
      <w:r w:rsidR="00825077">
        <w:t xml:space="preserve">, not useful energy out as in NZ.  </w:t>
      </w:r>
      <w:r>
        <w:t xml:space="preserve">This means that the emissions figures from EN testing will be lower, and efficiency figures will be higher in comparison with </w:t>
      </w:r>
      <w:r w:rsidR="004D0062">
        <w:t>AS/NZS 4012 and AS/NZS 4013</w:t>
      </w:r>
      <w:r>
        <w:t xml:space="preserve"> and will need to be adjusted to consider the change of basis in order to provide an “apples with apples” comparison with test results from other burners.  </w:t>
      </w:r>
    </w:p>
    <w:p w14:paraId="25A49B23" w14:textId="77777777" w:rsidR="00BA2E2A" w:rsidRDefault="00BA2E2A" w:rsidP="00411C52">
      <w:pPr>
        <w:pStyle w:val="NoSpacing"/>
        <w:jc w:val="both"/>
      </w:pPr>
    </w:p>
    <w:p w14:paraId="056CFF46" w14:textId="4B30FE1E" w:rsidR="0083622A" w:rsidRDefault="0083622A" w:rsidP="00411C52">
      <w:pPr>
        <w:pStyle w:val="NoSpacing"/>
        <w:jc w:val="both"/>
      </w:pPr>
      <w:r>
        <w:t xml:space="preserve">EN303-5 also specifies hardwood as a test fuel compared with the softwood that is specified for testing in NZ.  </w:t>
      </w:r>
      <w:r w:rsidR="004602AE">
        <w:t xml:space="preserve">An analysis of the </w:t>
      </w:r>
      <w:r w:rsidR="002E7179">
        <w:t>emissions</w:t>
      </w:r>
      <w:r w:rsidR="004602AE">
        <w:t xml:space="preserve"> from the </w:t>
      </w:r>
      <w:r w:rsidR="0063678C">
        <w:t>hardwood</w:t>
      </w:r>
      <w:r w:rsidR="004602AE">
        <w:t xml:space="preserve"> </w:t>
      </w:r>
      <w:r w:rsidR="00FD170F">
        <w:t xml:space="preserve">burn cycles </w:t>
      </w:r>
      <w:r w:rsidR="002E7179">
        <w:t>compared</w:t>
      </w:r>
      <w:r w:rsidR="00FD170F">
        <w:t xml:space="preserve"> with softwood burn </w:t>
      </w:r>
      <w:r w:rsidR="002E7179">
        <w:t>cycles</w:t>
      </w:r>
      <w:r w:rsidR="00FD170F">
        <w:t xml:space="preserve"> from </w:t>
      </w:r>
      <w:r w:rsidR="00D55B05">
        <w:t>ULEB</w:t>
      </w:r>
      <w:r w:rsidR="004F5CF4">
        <w:t xml:space="preserve">s </w:t>
      </w:r>
      <w:r w:rsidR="007E58AA">
        <w:t>tested between 2015 and 2017 showed that</w:t>
      </w:r>
      <w:r w:rsidR="008C11F1">
        <w:t xml:space="preserve">, on average, </w:t>
      </w:r>
      <w:r w:rsidR="002E7179">
        <w:t>emissions</w:t>
      </w:r>
      <w:r w:rsidR="008C11F1">
        <w:t xml:space="preserve"> from the hardwood </w:t>
      </w:r>
      <w:r w:rsidR="002E7179">
        <w:t>cycle</w:t>
      </w:r>
      <w:r w:rsidR="008C11F1">
        <w:t xml:space="preserve"> were 20% </w:t>
      </w:r>
      <w:r w:rsidR="00E2769D">
        <w:t xml:space="preserve">higher </w:t>
      </w:r>
      <w:r w:rsidR="002E7179">
        <w:t>than</w:t>
      </w:r>
      <w:r w:rsidR="00E2769D">
        <w:t xml:space="preserve"> for </w:t>
      </w:r>
      <w:r w:rsidR="00AC59AD">
        <w:t xml:space="preserve">the softwood </w:t>
      </w:r>
      <w:r w:rsidR="002E7179">
        <w:t>high</w:t>
      </w:r>
      <w:r w:rsidR="00AC59AD">
        <w:t xml:space="preserve"> burn cycle.</w:t>
      </w:r>
      <w:r w:rsidR="005D5108">
        <w:t xml:space="preserve">  </w:t>
      </w:r>
      <w:r w:rsidR="00AD0482">
        <w:t>T</w:t>
      </w:r>
      <w:r w:rsidR="005D5108">
        <w:t xml:space="preserve">he EN303-5 </w:t>
      </w:r>
      <w:r w:rsidR="002E7179">
        <w:t>emissions</w:t>
      </w:r>
      <w:r w:rsidR="005D5108">
        <w:t xml:space="preserve"> data would therefore be a </w:t>
      </w:r>
      <w:r w:rsidR="0063678C">
        <w:t>conservative</w:t>
      </w:r>
      <w:r w:rsidR="005D5108">
        <w:t xml:space="preserve"> </w:t>
      </w:r>
      <w:r w:rsidR="0063678C">
        <w:t>assumption</w:t>
      </w:r>
      <w:r w:rsidR="005D5108">
        <w:t xml:space="preserve"> </w:t>
      </w:r>
      <w:r w:rsidR="004A24D5">
        <w:t xml:space="preserve">for NZ conditions </w:t>
      </w:r>
      <w:r w:rsidR="005D5108">
        <w:t xml:space="preserve">and would </w:t>
      </w:r>
      <w:r w:rsidR="0063678C">
        <w:t>overstate</w:t>
      </w:r>
      <w:r w:rsidR="005D5108">
        <w:t xml:space="preserve"> the likely </w:t>
      </w:r>
      <w:r w:rsidR="0063678C">
        <w:t>emissions</w:t>
      </w:r>
      <w:r w:rsidR="005D5108">
        <w:t xml:space="preserve"> from using </w:t>
      </w:r>
      <w:r w:rsidR="0063678C">
        <w:t>softwood</w:t>
      </w:r>
      <w:r w:rsidR="005D5108">
        <w:t>.</w:t>
      </w:r>
    </w:p>
    <w:p w14:paraId="3191B2F8" w14:textId="77777777" w:rsidR="00BD7738" w:rsidRDefault="00BD7738" w:rsidP="00411C52">
      <w:pPr>
        <w:pStyle w:val="NoSpacing"/>
        <w:jc w:val="both"/>
      </w:pPr>
    </w:p>
    <w:p w14:paraId="17AAAEB2" w14:textId="3A5949DB" w:rsidR="000F2E41" w:rsidRPr="00227625" w:rsidRDefault="000F2E41" w:rsidP="00227625">
      <w:pPr>
        <w:pStyle w:val="Heading2"/>
        <w:numPr>
          <w:ilvl w:val="1"/>
          <w:numId w:val="6"/>
        </w:numPr>
        <w:rPr>
          <w:sz w:val="22"/>
          <w:szCs w:val="22"/>
        </w:rPr>
      </w:pPr>
      <w:bookmarkStart w:id="22" w:name="_Ref31890959"/>
      <w:bookmarkStart w:id="23" w:name="_Ref31890986"/>
      <w:bookmarkStart w:id="24" w:name="_Toc34586684"/>
      <w:r w:rsidRPr="00227625">
        <w:rPr>
          <w:sz w:val="22"/>
          <w:szCs w:val="22"/>
        </w:rPr>
        <w:t>Market trends in efficiency and emissions improvements, new technologies</w:t>
      </w:r>
      <w:bookmarkEnd w:id="22"/>
      <w:bookmarkEnd w:id="23"/>
      <w:bookmarkEnd w:id="24"/>
    </w:p>
    <w:p w14:paraId="09FCA222" w14:textId="77777777" w:rsidR="000F2E41" w:rsidRDefault="000F2E41" w:rsidP="000F2E41">
      <w:pPr>
        <w:pStyle w:val="NoSpacing"/>
        <w:ind w:left="360"/>
        <w:rPr>
          <w:rFonts w:eastAsia="Times New Roman"/>
        </w:rPr>
      </w:pPr>
    </w:p>
    <w:p w14:paraId="3BE4A00F" w14:textId="77777777" w:rsidR="000F2E41" w:rsidRPr="00616CF0" w:rsidRDefault="000F2E41" w:rsidP="000F2E41">
      <w:pPr>
        <w:pStyle w:val="NoSpacing"/>
        <w:ind w:left="360"/>
        <w:rPr>
          <w:b/>
          <w:bCs/>
        </w:rPr>
      </w:pPr>
      <w:r w:rsidRPr="00616CF0">
        <w:rPr>
          <w:b/>
          <w:bCs/>
        </w:rPr>
        <w:t>Efficiency and Emissions Trends</w:t>
      </w:r>
    </w:p>
    <w:p w14:paraId="4CDD31A5" w14:textId="77777777" w:rsidR="000F2E41" w:rsidRDefault="000F2E41" w:rsidP="0075513C">
      <w:pPr>
        <w:pStyle w:val="NoSpacing"/>
        <w:jc w:val="both"/>
      </w:pPr>
    </w:p>
    <w:p w14:paraId="5CC66ABF" w14:textId="57833597" w:rsidR="000F2E41" w:rsidRDefault="000F2E41" w:rsidP="000F2E41">
      <w:pPr>
        <w:pStyle w:val="NoSpacing"/>
        <w:jc w:val="both"/>
      </w:pPr>
      <w:r>
        <w:t>There is a clear trend in reducing levels of emissions from woodburners over time.  This has been driven by ongoing reductions in the allowable level of emissions at a national level (</w:t>
      </w:r>
      <w:r w:rsidR="004D0062">
        <w:t>NESAQ</w:t>
      </w:r>
      <w:r>
        <w:t>) and in those set by various regional councils.</w:t>
      </w:r>
      <w:r w:rsidR="00275BEB">
        <w:t xml:space="preserve">  The </w:t>
      </w:r>
      <w:r w:rsidR="00024176">
        <w:t>graph</w:t>
      </w:r>
      <w:r w:rsidR="00275BEB">
        <w:t xml:space="preserve"> in Appendix </w:t>
      </w:r>
      <w:r w:rsidR="00C47257">
        <w:t>2</w:t>
      </w:r>
      <w:r w:rsidR="00275BEB">
        <w:t xml:space="preserve"> shows </w:t>
      </w:r>
      <w:r w:rsidR="00C10DEC">
        <w:t xml:space="preserve">the </w:t>
      </w:r>
      <w:r w:rsidR="00275BEB">
        <w:t>emissions levels</w:t>
      </w:r>
      <w:r w:rsidR="00C10DEC">
        <w:t xml:space="preserve"> </w:t>
      </w:r>
      <w:r w:rsidR="0027511E">
        <w:t>of currently authorised woodburn</w:t>
      </w:r>
      <w:r w:rsidR="00330663">
        <w:t>er</w:t>
      </w:r>
      <w:r w:rsidR="0027511E">
        <w:t xml:space="preserve">s and the </w:t>
      </w:r>
      <w:r w:rsidR="00330663">
        <w:t>majority</w:t>
      </w:r>
      <w:r w:rsidR="0027511E">
        <w:t xml:space="preserve"> of </w:t>
      </w:r>
      <w:r w:rsidR="00633796">
        <w:t>emissions</w:t>
      </w:r>
      <w:r w:rsidR="0027511E">
        <w:t xml:space="preserve"> are under 1</w:t>
      </w:r>
      <w:r w:rsidR="001E5915">
        <w:t>.0</w:t>
      </w:r>
      <w:r w:rsidR="0027511E">
        <w:t xml:space="preserve"> g/kg.</w:t>
      </w:r>
    </w:p>
    <w:p w14:paraId="42F9F921" w14:textId="77777777" w:rsidR="000F2E41" w:rsidRDefault="000F2E41" w:rsidP="000F2E41">
      <w:pPr>
        <w:pStyle w:val="NoSpacing"/>
        <w:jc w:val="both"/>
      </w:pPr>
    </w:p>
    <w:p w14:paraId="0AD7355E" w14:textId="4A07BB31" w:rsidR="000F2E41" w:rsidRDefault="000F2E41" w:rsidP="000F2E41">
      <w:pPr>
        <w:pStyle w:val="NoSpacing"/>
        <w:jc w:val="both"/>
      </w:pPr>
      <w:r>
        <w:t xml:space="preserve">As shown in </w:t>
      </w:r>
      <w:r w:rsidR="001A360F">
        <w:fldChar w:fldCharType="begin"/>
      </w:r>
      <w:r w:rsidR="001A360F">
        <w:instrText xml:space="preserve"> REF _Ref31874390 \h </w:instrText>
      </w:r>
      <w:r w:rsidR="002635F2">
        <w:instrText xml:space="preserve"> \* MERGEFORMAT </w:instrText>
      </w:r>
      <w:r w:rsidR="001A360F">
        <w:fldChar w:fldCharType="separate"/>
      </w:r>
      <w:r w:rsidR="00CD682F" w:rsidRPr="00EA2B3D">
        <w:t xml:space="preserve">Table </w:t>
      </w:r>
      <w:r w:rsidR="00CD682F">
        <w:t>3</w:t>
      </w:r>
      <w:r w:rsidR="001A360F">
        <w:fldChar w:fldCharType="end"/>
      </w:r>
      <w:r w:rsidR="009E69CB">
        <w:t>,</w:t>
      </w:r>
      <w:r w:rsidR="001A360F">
        <w:t xml:space="preserve"> </w:t>
      </w:r>
      <w:r>
        <w:t>the allowable level of emissions at a national level has steadily reduced over time.  This has encouraged manufacturers and suppliers to continue to design clean</w:t>
      </w:r>
      <w:r w:rsidR="00111F26">
        <w:t>er</w:t>
      </w:r>
      <w:r>
        <w:t xml:space="preserve"> burners or to source them from overseas, particularly Europe.</w:t>
      </w:r>
    </w:p>
    <w:p w14:paraId="7D270A79" w14:textId="77777777" w:rsidR="000F2E41" w:rsidRDefault="000F2E41" w:rsidP="000F2E41">
      <w:pPr>
        <w:pStyle w:val="NoSpacing"/>
        <w:jc w:val="both"/>
      </w:pPr>
    </w:p>
    <w:p w14:paraId="5DC9AE0E" w14:textId="3D55F8CB" w:rsidR="000F2E41" w:rsidRDefault="000F2E41" w:rsidP="000F2E41">
      <w:pPr>
        <w:pStyle w:val="NoSpacing"/>
        <w:jc w:val="both"/>
      </w:pPr>
      <w:r>
        <w:t xml:space="preserve">Some regional councils e.g., </w:t>
      </w:r>
      <w:r w:rsidR="004D0062">
        <w:t>Environment Canterbury</w:t>
      </w:r>
      <w:r>
        <w:t xml:space="preserve">, </w:t>
      </w:r>
      <w:r w:rsidR="004D0062">
        <w:t>Otago Regional Council</w:t>
      </w:r>
      <w:r>
        <w:t xml:space="preserve">, </w:t>
      </w:r>
      <w:r w:rsidR="004D0062">
        <w:t>Bay of Plenty Regional Council</w:t>
      </w:r>
      <w:r>
        <w:t xml:space="preserve"> and </w:t>
      </w:r>
      <w:r w:rsidR="004D0062">
        <w:t>Nelson City Council</w:t>
      </w:r>
      <w:r>
        <w:t xml:space="preserve"> have set </w:t>
      </w:r>
      <w:r w:rsidR="006430AD">
        <w:t>more stringent</w:t>
      </w:r>
      <w:r>
        <w:t xml:space="preserve"> standards than those specified in the </w:t>
      </w:r>
      <w:r w:rsidR="004D0062">
        <w:t>NESAQ</w:t>
      </w:r>
      <w:r>
        <w:t xml:space="preserve"> as </w:t>
      </w:r>
      <w:r>
        <w:lastRenderedPageBreak/>
        <w:t xml:space="preserve">part of their strategies to meet their respective air quality goals.  This has also spurred manufacturers and suppliers to </w:t>
      </w:r>
      <w:r w:rsidR="00D14147">
        <w:t xml:space="preserve">supply </w:t>
      </w:r>
      <w:r w:rsidR="00876C45">
        <w:t>burners</w:t>
      </w:r>
      <w:r w:rsidR="00D14147">
        <w:t xml:space="preserve"> to </w:t>
      </w:r>
      <w:r>
        <w:t xml:space="preserve">meet these tougher </w:t>
      </w:r>
      <w:r w:rsidR="00E81840">
        <w:t>standards</w:t>
      </w:r>
      <w:r>
        <w:t>.</w:t>
      </w:r>
    </w:p>
    <w:p w14:paraId="1D2730B8" w14:textId="77777777" w:rsidR="000F2E41" w:rsidRDefault="000F2E41" w:rsidP="000F2E41">
      <w:pPr>
        <w:pStyle w:val="NoSpacing"/>
        <w:jc w:val="both"/>
      </w:pPr>
    </w:p>
    <w:p w14:paraId="0384D053" w14:textId="031C1927" w:rsidR="000F2E41" w:rsidRDefault="007671EC" w:rsidP="000F2E41">
      <w:pPr>
        <w:pStyle w:val="NoSpacing"/>
        <w:jc w:val="both"/>
      </w:pPr>
      <w:r>
        <w:t xml:space="preserve">In </w:t>
      </w:r>
      <w:r w:rsidR="009A75E8">
        <w:t>particular</w:t>
      </w:r>
      <w:r>
        <w:t xml:space="preserve">, </w:t>
      </w:r>
      <w:r w:rsidR="004D0062">
        <w:t>Environment Canterbury</w:t>
      </w:r>
      <w:r w:rsidR="000F2E41">
        <w:t xml:space="preserve"> has played a market leading role with their development and implementation of the </w:t>
      </w:r>
      <w:r w:rsidR="00F03A84">
        <w:t>ULEB</w:t>
      </w:r>
      <w:r w:rsidR="000F2E41">
        <w:t xml:space="preserve"> concept, which </w:t>
      </w:r>
      <w:r w:rsidR="00E16310">
        <w:t>is</w:t>
      </w:r>
      <w:r w:rsidR="000F2E41">
        <w:t xml:space="preserve"> discussed in detail in </w:t>
      </w:r>
      <w:r w:rsidR="00B95F33">
        <w:t>section 3.7.1</w:t>
      </w:r>
      <w:r w:rsidR="000F2E41">
        <w:t>.</w:t>
      </w:r>
    </w:p>
    <w:p w14:paraId="1938AC96" w14:textId="77777777" w:rsidR="000F2E41" w:rsidRDefault="000F2E41" w:rsidP="000F2E41">
      <w:pPr>
        <w:pStyle w:val="NoSpacing"/>
        <w:jc w:val="both"/>
      </w:pPr>
    </w:p>
    <w:p w14:paraId="2E41C551" w14:textId="01AB232E" w:rsidR="000F2E41" w:rsidRDefault="000F2E41" w:rsidP="000F2E41">
      <w:pPr>
        <w:pStyle w:val="NoSpacing"/>
        <w:jc w:val="both"/>
      </w:pPr>
      <w:r w:rsidRPr="00232B02">
        <w:t xml:space="preserve">Feedback from </w:t>
      </w:r>
      <w:r w:rsidR="004D0062">
        <w:t>woodburner</w:t>
      </w:r>
      <w:r w:rsidRPr="00232B02">
        <w:t xml:space="preserve"> manufacturers </w:t>
      </w:r>
      <w:r>
        <w:t>at th</w:t>
      </w:r>
      <w:r w:rsidR="00736E50">
        <w:t>e</w:t>
      </w:r>
      <w:r>
        <w:t xml:space="preserve"> time of </w:t>
      </w:r>
      <w:r w:rsidR="00F03A84">
        <w:t>Environment Canterbury</w:t>
      </w:r>
      <w:r w:rsidR="00553BA6">
        <w:t xml:space="preserve"> proposing</w:t>
      </w:r>
      <w:r>
        <w:t xml:space="preserve"> the </w:t>
      </w:r>
      <w:r w:rsidR="00F03A84">
        <w:t>ULEB</w:t>
      </w:r>
      <w:r>
        <w:t xml:space="preserve"> concept </w:t>
      </w:r>
      <w:r w:rsidR="001559AF">
        <w:t xml:space="preserve">around 2013 </w:t>
      </w:r>
      <w:r w:rsidRPr="00232B02">
        <w:t>was that</w:t>
      </w:r>
      <w:r>
        <w:t xml:space="preserve"> it would be “very difficult, if not impossible” to design a </w:t>
      </w:r>
      <w:r w:rsidR="004D0062">
        <w:t>woodburner</w:t>
      </w:r>
      <w:r>
        <w:t xml:space="preserve"> to meet</w:t>
      </w:r>
      <w:r w:rsidRPr="00232B02">
        <w:t xml:space="preserve"> this level of</w:t>
      </w:r>
      <w:r>
        <w:t xml:space="preserve"> emission.  However, </w:t>
      </w:r>
      <w:r w:rsidR="004D0062">
        <w:t>Environment Canterbury</w:t>
      </w:r>
      <w:r>
        <w:t xml:space="preserve"> has now authorised 35 </w:t>
      </w:r>
      <w:r w:rsidR="00F03A84">
        <w:t>ULEB</w:t>
      </w:r>
      <w:r w:rsidR="007B1A45">
        <w:t>s</w:t>
      </w:r>
      <w:r>
        <w:t xml:space="preserve"> from 11 different suppliers.  While </w:t>
      </w:r>
      <w:r w:rsidR="00F03A84">
        <w:t>ULEB</w:t>
      </w:r>
      <w:r w:rsidR="007B1A45">
        <w:t>s</w:t>
      </w:r>
      <w:r>
        <w:t xml:space="preserve"> are designed to meet the specific emission</w:t>
      </w:r>
      <w:r w:rsidR="006A2475">
        <w:t>s</w:t>
      </w:r>
      <w:r>
        <w:t xml:space="preserve"> criteri</w:t>
      </w:r>
      <w:r w:rsidR="00F2030E">
        <w:t>on</w:t>
      </w:r>
      <w:r>
        <w:t xml:space="preserve"> set by </w:t>
      </w:r>
      <w:r w:rsidR="004D0062">
        <w:t>Environment Canterbury</w:t>
      </w:r>
      <w:r>
        <w:t xml:space="preserve"> based on real life emissions, these burners must also all be tested to </w:t>
      </w:r>
      <w:r w:rsidR="004D0062">
        <w:t>AS/NZS 4012 and AS/NZS 4013</w:t>
      </w:r>
      <w:r>
        <w:t xml:space="preserve"> in order to verify that they meet the </w:t>
      </w:r>
      <w:r w:rsidR="004D0062">
        <w:t>NESAQ</w:t>
      </w:r>
      <w:r>
        <w:t xml:space="preserve"> requirement of 65%</w:t>
      </w:r>
      <w:r w:rsidR="00DD2259">
        <w:t xml:space="preserve"> </w:t>
      </w:r>
      <w:r w:rsidR="009A75E8">
        <w:t>efficiency</w:t>
      </w:r>
      <w:r>
        <w:t xml:space="preserve"> as measured by </w:t>
      </w:r>
      <w:r w:rsidR="004D0062">
        <w:t>AS/NZS 4012</w:t>
      </w:r>
      <w:r>
        <w:t xml:space="preserve">.  The average emissions </w:t>
      </w:r>
      <w:r w:rsidR="001F666C">
        <w:t xml:space="preserve">results </w:t>
      </w:r>
      <w:r>
        <w:t xml:space="preserve">of </w:t>
      </w:r>
      <w:r w:rsidR="00A53D42">
        <w:t>all</w:t>
      </w:r>
      <w:r>
        <w:t xml:space="preserve"> </w:t>
      </w:r>
      <w:r w:rsidR="00F03A84">
        <w:t>ULEB</w:t>
      </w:r>
      <w:r w:rsidR="007B1A45">
        <w:t>s</w:t>
      </w:r>
      <w:r>
        <w:t xml:space="preserve"> </w:t>
      </w:r>
      <w:r w:rsidR="003C6107">
        <w:t>is</w:t>
      </w:r>
      <w:r>
        <w:t xml:space="preserve"> just 0.4g/kg</w:t>
      </w:r>
      <w:r w:rsidR="004C6BD0">
        <w:t xml:space="preserve">, based on testing to </w:t>
      </w:r>
      <w:r w:rsidR="004D0062">
        <w:t>AS/NZS 4013</w:t>
      </w:r>
      <w:r>
        <w:t xml:space="preserve">.  </w:t>
      </w:r>
      <w:r w:rsidR="00330142">
        <w:t>T</w:t>
      </w:r>
      <w:r>
        <w:t xml:space="preserve">his shows that the development of </w:t>
      </w:r>
      <w:r w:rsidR="00F03A84">
        <w:t>ULEB</w:t>
      </w:r>
      <w:r w:rsidR="007B1A45">
        <w:t>s</w:t>
      </w:r>
      <w:r>
        <w:t xml:space="preserve"> primarily for the Canterbury market has played a leading role in reducing emissions in burners that are available nationwide.</w:t>
      </w:r>
    </w:p>
    <w:p w14:paraId="2C3B9190" w14:textId="77777777" w:rsidR="000F2E41" w:rsidRDefault="000F2E41" w:rsidP="0075513C">
      <w:pPr>
        <w:pStyle w:val="NoSpacing"/>
        <w:jc w:val="both"/>
      </w:pPr>
    </w:p>
    <w:p w14:paraId="3DA5EBDA" w14:textId="6E4DFB26" w:rsidR="000F2E41" w:rsidRDefault="000F2E41" w:rsidP="000F2E41">
      <w:pPr>
        <w:pStyle w:val="NoSpacing"/>
        <w:jc w:val="both"/>
      </w:pPr>
      <w:r>
        <w:t xml:space="preserve">There are no obvious trends with </w:t>
      </w:r>
      <w:r w:rsidR="004D0062">
        <w:t>woodburner</w:t>
      </w:r>
      <w:r w:rsidR="008E073E">
        <w:t xml:space="preserve"> </w:t>
      </w:r>
      <w:r>
        <w:t>efficiency levels.  The burner design process is effectively an optimisation to achieve the required standards of emissions and efficiency.  As the allowable emission</w:t>
      </w:r>
      <w:r w:rsidR="008C0573">
        <w:t>s</w:t>
      </w:r>
      <w:r>
        <w:t xml:space="preserve"> level has been reduced over the years, there has been an ongoing trade-off between the two factors</w:t>
      </w:r>
      <w:r w:rsidR="008C0573">
        <w:t xml:space="preserve">. </w:t>
      </w:r>
      <w:r>
        <w:t xml:space="preserve"> </w:t>
      </w:r>
      <w:r w:rsidR="00627A8F">
        <w:t xml:space="preserve">More air improves </w:t>
      </w:r>
      <w:r w:rsidR="00561A78">
        <w:t>combustion</w:t>
      </w:r>
      <w:r w:rsidR="008C0573">
        <w:t xml:space="preserve">, reducing emissions </w:t>
      </w:r>
      <w:r w:rsidR="008C0573" w:rsidRPr="002635F2">
        <w:t>but</w:t>
      </w:r>
      <w:r w:rsidR="008C0573">
        <w:t xml:space="preserve"> results in greater heat loss up the flue and </w:t>
      </w:r>
      <w:r w:rsidR="005B2209">
        <w:t>therefore</w:t>
      </w:r>
      <w:r w:rsidR="00AE5098">
        <w:t xml:space="preserve"> </w:t>
      </w:r>
      <w:r w:rsidR="008C0573">
        <w:t xml:space="preserve">lower </w:t>
      </w:r>
      <w:r w:rsidR="00613B54">
        <w:t>efficiency</w:t>
      </w:r>
      <w:r w:rsidR="008C0573">
        <w:t>.  M</w:t>
      </w:r>
      <w:r>
        <w:t xml:space="preserve">anufacturers </w:t>
      </w:r>
      <w:r w:rsidR="00B36ACF">
        <w:t>design</w:t>
      </w:r>
      <w:r>
        <w:t xml:space="preserve"> their burner</w:t>
      </w:r>
      <w:r w:rsidR="00040231">
        <w:t xml:space="preserve">s </w:t>
      </w:r>
      <w:r>
        <w:t xml:space="preserve">to achieve the required level of emissions and may then find that they fall short on the efficiency criterion and need to make changes to </w:t>
      </w:r>
      <w:r w:rsidR="002C7AAA">
        <w:t>recover</w:t>
      </w:r>
      <w:r>
        <w:t xml:space="preserve"> some of the efficiency lost.</w:t>
      </w:r>
      <w:r w:rsidR="008C0573">
        <w:t xml:space="preserve">  This is discussed in more detail in </w:t>
      </w:r>
      <w:r w:rsidR="007A313F">
        <w:t>section</w:t>
      </w:r>
      <w:r w:rsidR="00052B1D">
        <w:t xml:space="preserve"> </w:t>
      </w:r>
      <w:r w:rsidR="00052B1D">
        <w:fldChar w:fldCharType="begin"/>
      </w:r>
      <w:r w:rsidR="00052B1D">
        <w:instrText xml:space="preserve"> REF _Ref34585068 \r \h </w:instrText>
      </w:r>
      <w:r w:rsidR="00052B1D">
        <w:fldChar w:fldCharType="separate"/>
      </w:r>
      <w:r w:rsidR="00052B1D">
        <w:t>3.5</w:t>
      </w:r>
      <w:r w:rsidR="00052B1D">
        <w:fldChar w:fldCharType="end"/>
      </w:r>
      <w:r w:rsidR="00052B1D">
        <w:t>.</w:t>
      </w:r>
      <w:r w:rsidR="008C0573">
        <w:t xml:space="preserve">  </w:t>
      </w:r>
    </w:p>
    <w:p w14:paraId="2155D474" w14:textId="77777777" w:rsidR="000F2E41" w:rsidRDefault="000F2E41" w:rsidP="000F2E41">
      <w:pPr>
        <w:pStyle w:val="NoSpacing"/>
        <w:ind w:left="360"/>
      </w:pPr>
    </w:p>
    <w:p w14:paraId="74C419D7" w14:textId="77777777" w:rsidR="000F2E41" w:rsidRPr="00616CF0" w:rsidRDefault="000F2E41" w:rsidP="000F2E41">
      <w:pPr>
        <w:pStyle w:val="NoSpacing"/>
        <w:ind w:left="360"/>
        <w:rPr>
          <w:b/>
          <w:bCs/>
        </w:rPr>
      </w:pPr>
      <w:r w:rsidRPr="00616CF0">
        <w:rPr>
          <w:b/>
          <w:bCs/>
        </w:rPr>
        <w:t>New Technologies</w:t>
      </w:r>
    </w:p>
    <w:p w14:paraId="222033AF" w14:textId="77777777" w:rsidR="000F2E41" w:rsidRDefault="000F2E41" w:rsidP="000F2E41">
      <w:pPr>
        <w:pStyle w:val="NoSpacing"/>
        <w:ind w:left="360"/>
      </w:pPr>
    </w:p>
    <w:p w14:paraId="078650AA" w14:textId="0225F176" w:rsidR="00CF2B4F" w:rsidRDefault="00CF2B4F" w:rsidP="000F2E41">
      <w:pPr>
        <w:pStyle w:val="NoSpacing"/>
        <w:jc w:val="both"/>
      </w:pPr>
      <w:r w:rsidRPr="00B36ACF">
        <w:t xml:space="preserve">A new breed of </w:t>
      </w:r>
      <w:r w:rsidR="00A221FA" w:rsidRPr="00B36ACF">
        <w:t xml:space="preserve">woodburner appeared on the NZ market in </w:t>
      </w:r>
      <w:r w:rsidR="00B36ACF" w:rsidRPr="00B36ACF">
        <w:t xml:space="preserve">early </w:t>
      </w:r>
      <w:r w:rsidR="00A221FA" w:rsidRPr="00B36ACF">
        <w:t xml:space="preserve">2015 – the </w:t>
      </w:r>
      <w:r w:rsidR="00F03A84">
        <w:t>ULEB</w:t>
      </w:r>
      <w:r w:rsidR="007816C6">
        <w:t>,</w:t>
      </w:r>
      <w:r w:rsidR="009B4BEF" w:rsidRPr="00B36ACF">
        <w:t xml:space="preserve"> </w:t>
      </w:r>
      <w:r w:rsidR="009A75E8" w:rsidRPr="00B36ACF">
        <w:t>which</w:t>
      </w:r>
      <w:r w:rsidR="009B4BEF" w:rsidRPr="00B36ACF">
        <w:t xml:space="preserve"> is designed to meet </w:t>
      </w:r>
      <w:r w:rsidR="004D0062">
        <w:t>Environment Canterbury</w:t>
      </w:r>
      <w:r w:rsidR="009A75E8" w:rsidRPr="00B36ACF">
        <w:t>’s</w:t>
      </w:r>
      <w:r w:rsidR="009B4BEF" w:rsidRPr="00B36ACF">
        <w:t xml:space="preserve"> </w:t>
      </w:r>
      <w:r w:rsidR="00F03A84">
        <w:t>ULEB</w:t>
      </w:r>
      <w:r w:rsidR="00947070" w:rsidRPr="00B36ACF">
        <w:t xml:space="preserve"> </w:t>
      </w:r>
      <w:r w:rsidR="009A75E8" w:rsidRPr="00B36ACF">
        <w:t>emissions</w:t>
      </w:r>
      <w:r w:rsidR="00947070" w:rsidRPr="00B36ACF">
        <w:t xml:space="preserve"> criteria.</w:t>
      </w:r>
    </w:p>
    <w:p w14:paraId="1BF7FA01" w14:textId="31472686" w:rsidR="00947070" w:rsidRDefault="00947070" w:rsidP="000F2E41">
      <w:pPr>
        <w:pStyle w:val="NoSpacing"/>
        <w:jc w:val="both"/>
      </w:pPr>
    </w:p>
    <w:p w14:paraId="486B8DAD" w14:textId="5E6C73BD" w:rsidR="000F2E41" w:rsidRDefault="002C7AAA" w:rsidP="000F2E41">
      <w:pPr>
        <w:pStyle w:val="NoSpacing"/>
        <w:jc w:val="both"/>
      </w:pPr>
      <w:r>
        <w:t>T</w:t>
      </w:r>
      <w:r w:rsidR="000F2E41">
        <w:t xml:space="preserve">he first ULEBs to be authorised were of a downdraught design effectively using two chambers for combustion.  </w:t>
      </w:r>
      <w:r w:rsidR="00B63CB1">
        <w:t xml:space="preserve">Initially these </w:t>
      </w:r>
      <w:r w:rsidR="009A75E8">
        <w:t>burners</w:t>
      </w:r>
      <w:r w:rsidR="00B63CB1">
        <w:t xml:space="preserve"> were sourced fro</w:t>
      </w:r>
      <w:r w:rsidR="00017016">
        <w:t>m</w:t>
      </w:r>
      <w:r w:rsidR="00B63CB1">
        <w:t xml:space="preserve"> Europe and then NZ manufacture</w:t>
      </w:r>
      <w:r w:rsidR="00177CFE">
        <w:t>r</w:t>
      </w:r>
      <w:r w:rsidR="00B63CB1">
        <w:t xml:space="preserve">s designed their own.  </w:t>
      </w:r>
    </w:p>
    <w:p w14:paraId="01A11286" w14:textId="1B5051A2" w:rsidR="00AF64E1" w:rsidRDefault="00AF64E1" w:rsidP="000F2E41">
      <w:pPr>
        <w:pStyle w:val="NoSpacing"/>
        <w:jc w:val="both"/>
      </w:pPr>
    </w:p>
    <w:p w14:paraId="2477BC8D" w14:textId="77777777" w:rsidR="00AF64E1" w:rsidRDefault="00AF64E1" w:rsidP="00AF64E1">
      <w:pPr>
        <w:pStyle w:val="NoSpacing"/>
        <w:jc w:val="both"/>
      </w:pPr>
      <w:r>
        <w:t>Wood is placed into the top chamber where it is partially burnt and gasified.  When the fire has reached a sufficient operating temperature the operator pulls a handle (or this is done automatically in the case of the RAIS Bionic Fire) to divert the gases into the bottom chamber where they are burnt cleanly.</w:t>
      </w:r>
    </w:p>
    <w:p w14:paraId="73587B1B" w14:textId="77777777" w:rsidR="00AF64E1" w:rsidRDefault="00AF64E1" w:rsidP="000F2E41">
      <w:pPr>
        <w:pStyle w:val="NoSpacing"/>
        <w:jc w:val="both"/>
      </w:pPr>
    </w:p>
    <w:p w14:paraId="2FA4BAB0" w14:textId="19B98003" w:rsidR="000F2E41" w:rsidRDefault="004A1B35" w:rsidP="000F2E41">
      <w:pPr>
        <w:pStyle w:val="NoSpacing"/>
        <w:jc w:val="both"/>
      </w:pPr>
      <w:r>
        <w:t>More recently</w:t>
      </w:r>
      <w:r w:rsidR="000F2E41">
        <w:t xml:space="preserve">, various NZ manufacturers have developed single chamber designs that, in some cases, are simply variations to an existing low emission burner design made in order to meet the ULEB criteria.  This has generally involved </w:t>
      </w:r>
      <w:r w:rsidR="00330663">
        <w:t>modifications</w:t>
      </w:r>
      <w:r w:rsidR="000F2E41">
        <w:t xml:space="preserve"> to the design to increase </w:t>
      </w:r>
      <w:r w:rsidR="00F43A87">
        <w:t>the primary and secondary air supply</w:t>
      </w:r>
      <w:r w:rsidR="000F2E41">
        <w:t xml:space="preserve"> </w:t>
      </w:r>
      <w:r w:rsidR="008F4B16">
        <w:t xml:space="preserve">and improve the distribution within the combustion chamber </w:t>
      </w:r>
      <w:r w:rsidR="000F2E41">
        <w:t xml:space="preserve">so as to </w:t>
      </w:r>
      <w:r w:rsidR="00190961">
        <w:t>reduce the emissions from</w:t>
      </w:r>
      <w:r w:rsidR="000F2E41" w:rsidRPr="00D019CC">
        <w:t xml:space="preserve"> combustion</w:t>
      </w:r>
      <w:r w:rsidR="00A822D5">
        <w:t xml:space="preserve">.  </w:t>
      </w:r>
      <w:r w:rsidR="003C0F82">
        <w:t xml:space="preserve">However, this has the effect of reducing </w:t>
      </w:r>
      <w:r w:rsidR="00330663">
        <w:t>efficiency</w:t>
      </w:r>
      <w:r w:rsidR="00323A7F">
        <w:t>.  D</w:t>
      </w:r>
      <w:r w:rsidR="005F3305">
        <w:t>esign c</w:t>
      </w:r>
      <w:r w:rsidR="00A822D5">
        <w:t xml:space="preserve">hanges are </w:t>
      </w:r>
      <w:r w:rsidR="00D649D5">
        <w:t>required</w:t>
      </w:r>
      <w:r w:rsidR="000F2E41">
        <w:t xml:space="preserve"> to mitigate </w:t>
      </w:r>
      <w:r w:rsidR="003C0F82">
        <w:t>this</w:t>
      </w:r>
      <w:r w:rsidR="00323A7F">
        <w:t xml:space="preserve">, such </w:t>
      </w:r>
      <w:r w:rsidR="00515958">
        <w:t>as</w:t>
      </w:r>
      <w:r w:rsidR="00203858">
        <w:t xml:space="preserve"> </w:t>
      </w:r>
      <w:r w:rsidR="00583AFD">
        <w:t xml:space="preserve">increasing the heat transfer surface </w:t>
      </w:r>
      <w:r w:rsidR="009A75E8">
        <w:t>area</w:t>
      </w:r>
      <w:r w:rsidR="00AA4917">
        <w:t xml:space="preserve"> or</w:t>
      </w:r>
      <w:r w:rsidR="00203858">
        <w:t xml:space="preserve"> </w:t>
      </w:r>
      <w:r w:rsidR="000F2E41">
        <w:t xml:space="preserve">incorporating an air circulation fan into the design. </w:t>
      </w:r>
    </w:p>
    <w:p w14:paraId="5D9ACD33" w14:textId="77777777" w:rsidR="000F2E41" w:rsidRDefault="000F2E41" w:rsidP="000F2E41">
      <w:pPr>
        <w:pStyle w:val="NoSpacing"/>
        <w:jc w:val="both"/>
      </w:pPr>
    </w:p>
    <w:p w14:paraId="4CC3D3BF" w14:textId="62BA4CB5" w:rsidR="00F34628" w:rsidRDefault="000F2E41" w:rsidP="00541FBC">
      <w:pPr>
        <w:pStyle w:val="NoSpacing"/>
        <w:jc w:val="both"/>
      </w:pPr>
      <w:r>
        <w:t>Another design concept that has appeared</w:t>
      </w:r>
      <w:r w:rsidR="002D0028">
        <w:t xml:space="preserve"> in NZ</w:t>
      </w:r>
      <w:r>
        <w:t xml:space="preserve"> in the last two years is </w:t>
      </w:r>
      <w:r w:rsidR="006B300C">
        <w:t xml:space="preserve">the </w:t>
      </w:r>
      <w:r w:rsidR="00613B54">
        <w:t>catalytic</w:t>
      </w:r>
      <w:r w:rsidR="00100537">
        <w:t xml:space="preserve"> combustor</w:t>
      </w:r>
      <w:r w:rsidR="006B300C">
        <w:t xml:space="preserve"> range which is</w:t>
      </w:r>
      <w:r w:rsidR="00541FBC">
        <w:t xml:space="preserve"> </w:t>
      </w:r>
      <w:r>
        <w:t xml:space="preserve">a single chamber design </w:t>
      </w:r>
      <w:r w:rsidR="00F34628">
        <w:t xml:space="preserve">with </w:t>
      </w:r>
      <w:r w:rsidR="00F34628" w:rsidRPr="00541FBC">
        <w:t>only primary air supply (no secondary air supply)</w:t>
      </w:r>
      <w:r w:rsidR="00922099">
        <w:t xml:space="preserve">.  This </w:t>
      </w:r>
      <w:r w:rsidR="00500D6D">
        <w:t>model a</w:t>
      </w:r>
      <w:r w:rsidR="00F34628" w:rsidRPr="00541FBC">
        <w:t xml:space="preserve">chieves its low emissions by channelling the combustion gases through a catalytic combustor while in normal operating mode.  </w:t>
      </w:r>
      <w:r w:rsidR="00860387" w:rsidRPr="00541FBC">
        <w:t>This</w:t>
      </w:r>
      <w:r w:rsidR="00F34628" w:rsidRPr="00541FBC">
        <w:t xml:space="preserve"> combusts unburnt components reducing emissions entering the flue.  The catalytic combustor will not operate unless it is at an elevated temperature.</w:t>
      </w:r>
      <w:r w:rsidR="007574B4">
        <w:t xml:space="preserve">  AS/NZS 4012 and AS/NZS 4013 </w:t>
      </w:r>
      <w:r w:rsidR="00613B54">
        <w:t>standards</w:t>
      </w:r>
      <w:r w:rsidR="00E73F84">
        <w:t xml:space="preserve"> have provision for catalytic </w:t>
      </w:r>
      <w:r w:rsidR="00613B54">
        <w:t>combustors</w:t>
      </w:r>
      <w:r w:rsidR="00E73F84">
        <w:t xml:space="preserve">. </w:t>
      </w:r>
    </w:p>
    <w:p w14:paraId="201DAE65" w14:textId="77777777" w:rsidR="0010345C" w:rsidRPr="00541FBC" w:rsidRDefault="0010345C" w:rsidP="00541FBC">
      <w:pPr>
        <w:pStyle w:val="NoSpacing"/>
        <w:jc w:val="both"/>
      </w:pPr>
    </w:p>
    <w:p w14:paraId="16BF0083" w14:textId="5ACC9105" w:rsidR="000F2E41" w:rsidRDefault="000F2E41" w:rsidP="000F2E41">
      <w:pPr>
        <w:pStyle w:val="NoSpacing"/>
        <w:jc w:val="both"/>
      </w:pPr>
      <w:r>
        <w:lastRenderedPageBreak/>
        <w:t xml:space="preserve">Pellet Fire Solutions began importing the Blaze King range of burners of this design from North America in 2016 and there are now six variations of this range authorised as ULEBs.  Since then, Glen Dimplex (Masport brand) has designed and manufactured a woodburner </w:t>
      </w:r>
      <w:r w:rsidR="00955577">
        <w:t xml:space="preserve">in NZ </w:t>
      </w:r>
      <w:r>
        <w:t xml:space="preserve">using the same concept, which was authorised by </w:t>
      </w:r>
      <w:r w:rsidR="004D0062">
        <w:t>Environment Canterbury</w:t>
      </w:r>
      <w:r>
        <w:t xml:space="preserve"> as a </w:t>
      </w:r>
      <w:r w:rsidR="00F03A84">
        <w:t>ULEB</w:t>
      </w:r>
      <w:r>
        <w:t xml:space="preserve"> and </w:t>
      </w:r>
      <w:r w:rsidR="00F03A84">
        <w:t>LEB</w:t>
      </w:r>
      <w:r>
        <w:t xml:space="preserve"> in 2019.</w:t>
      </w:r>
    </w:p>
    <w:p w14:paraId="3883530B" w14:textId="77777777" w:rsidR="000F2E41" w:rsidRDefault="000F2E41" w:rsidP="000F2E41">
      <w:pPr>
        <w:pStyle w:val="NoSpacing"/>
        <w:jc w:val="both"/>
      </w:pPr>
    </w:p>
    <w:p w14:paraId="2115A257" w14:textId="262A13DF" w:rsidR="000F2E41" w:rsidRDefault="000F2E41" w:rsidP="000F2E41">
      <w:pPr>
        <w:pStyle w:val="NoSpacing"/>
        <w:jc w:val="both"/>
      </w:pPr>
      <w:r>
        <w:t>There are</w:t>
      </w:r>
      <w:r w:rsidR="00D42F33">
        <w:t xml:space="preserve"> also</w:t>
      </w:r>
      <w:r>
        <w:t xml:space="preserve"> two ranges of </w:t>
      </w:r>
      <w:r w:rsidR="00442E37">
        <w:t xml:space="preserve">European sourced </w:t>
      </w:r>
      <w:r>
        <w:t xml:space="preserve">gasification boilers that have been authorised as ULEBs and LEBs.  These are designed to heat hot water to be used in radiators for home heating.  They are automatically controlled and designed to be a clean and efficient method of burning wood to provide hot water. </w:t>
      </w:r>
      <w:r w:rsidR="00442E37">
        <w:t xml:space="preserve"> They have been tested to EN </w:t>
      </w:r>
      <w:r w:rsidR="00531AFA">
        <w:t>303-5</w:t>
      </w:r>
      <w:r w:rsidR="00577B05">
        <w:t xml:space="preserve"> and test results have </w:t>
      </w:r>
      <w:r w:rsidR="001B49B5">
        <w:t xml:space="preserve">been </w:t>
      </w:r>
      <w:r w:rsidR="00984C74">
        <w:t>audited</w:t>
      </w:r>
      <w:r w:rsidR="001B49B5">
        <w:t xml:space="preserve">, and adjusted as </w:t>
      </w:r>
      <w:r w:rsidR="00984C74">
        <w:t>necessary</w:t>
      </w:r>
      <w:r w:rsidR="0025188A">
        <w:t xml:space="preserve"> to ensure a fair comparison with existing authorised burners</w:t>
      </w:r>
      <w:r w:rsidR="001B49B5">
        <w:t xml:space="preserve">, by </w:t>
      </w:r>
      <w:r w:rsidR="004D0062">
        <w:t>Environment Canterbury</w:t>
      </w:r>
      <w:r w:rsidR="00984C74">
        <w:t>’s</w:t>
      </w:r>
      <w:r w:rsidR="001B49B5">
        <w:t xml:space="preserve"> </w:t>
      </w:r>
      <w:r w:rsidR="00984C74">
        <w:t>independent</w:t>
      </w:r>
      <w:r w:rsidR="001B49B5">
        <w:t xml:space="preserve"> technical expert as part of the </w:t>
      </w:r>
      <w:r w:rsidR="00984C74">
        <w:t>authorisation</w:t>
      </w:r>
      <w:r w:rsidR="001B49B5">
        <w:t xml:space="preserve"> process</w:t>
      </w:r>
      <w:r w:rsidR="009574C3">
        <w:t>.</w:t>
      </w:r>
    </w:p>
    <w:p w14:paraId="5601B92C" w14:textId="77777777" w:rsidR="000F2E41" w:rsidRDefault="000F2E41" w:rsidP="002635F2">
      <w:pPr>
        <w:pStyle w:val="NoSpacing"/>
        <w:jc w:val="both"/>
      </w:pPr>
    </w:p>
    <w:p w14:paraId="4FB15AC9" w14:textId="3C72BA53" w:rsidR="000A3103" w:rsidRDefault="000F2E41" w:rsidP="00190F4C">
      <w:pPr>
        <w:pStyle w:val="NoSpacing"/>
        <w:jc w:val="both"/>
      </w:pPr>
      <w:r w:rsidRPr="002C5184">
        <w:t>Another type of technology recently authorised</w:t>
      </w:r>
      <w:r w:rsidR="00F57F40">
        <w:t xml:space="preserve"> that is new to NZ</w:t>
      </w:r>
      <w:r w:rsidRPr="002C5184">
        <w:t xml:space="preserve"> is the Tonwerk </w:t>
      </w:r>
      <w:r w:rsidR="002546E8" w:rsidRPr="002C5184">
        <w:t xml:space="preserve">T-SKY </w:t>
      </w:r>
      <w:r w:rsidR="004A5787">
        <w:t>and T-</w:t>
      </w:r>
      <w:r w:rsidR="009847CA">
        <w:t>A</w:t>
      </w:r>
      <w:r w:rsidR="004A5787">
        <w:t xml:space="preserve">RT </w:t>
      </w:r>
      <w:r w:rsidR="009847CA">
        <w:t>models, sourced from Europe</w:t>
      </w:r>
      <w:r w:rsidRPr="002C5184">
        <w:t>.  Th</w:t>
      </w:r>
      <w:r w:rsidR="009847CA">
        <w:t>ese are</w:t>
      </w:r>
      <w:r w:rsidRPr="002C5184">
        <w:t xml:space="preserve"> single charge burner</w:t>
      </w:r>
      <w:r w:rsidR="009847CA">
        <w:t>s</w:t>
      </w:r>
      <w:r w:rsidR="002546E8" w:rsidRPr="002C5184">
        <w:t xml:space="preserve"> </w:t>
      </w:r>
      <w:r w:rsidR="003D58D8" w:rsidRPr="002C5184">
        <w:t xml:space="preserve">which </w:t>
      </w:r>
      <w:r w:rsidR="009847CA">
        <w:t>are</w:t>
      </w:r>
      <w:r w:rsidR="003D58D8" w:rsidRPr="002C5184">
        <w:t xml:space="preserve"> filled with firewood, ignited and then the door is shut</w:t>
      </w:r>
      <w:r w:rsidR="00286465" w:rsidRPr="002C5184">
        <w:t xml:space="preserve">.  </w:t>
      </w:r>
      <w:r w:rsidR="00190F4C" w:rsidRPr="00190F4C">
        <w:t>The appliances are fitted with a self-closing combustion chamber door that locks</w:t>
      </w:r>
      <w:r w:rsidR="00190F4C">
        <w:t xml:space="preserve"> </w:t>
      </w:r>
      <w:r w:rsidR="00190F4C" w:rsidRPr="00190F4C">
        <w:t xml:space="preserve">automatically.  </w:t>
      </w:r>
      <w:r w:rsidR="0079620C" w:rsidRPr="0079620C">
        <w:t xml:space="preserve">They contain steel plate structures clad with heat-resistant tiles for heat storage and slow release.  </w:t>
      </w:r>
      <w:r w:rsidR="00286465" w:rsidRPr="002C5184">
        <w:t xml:space="preserve">No </w:t>
      </w:r>
      <w:r w:rsidR="00984C74" w:rsidRPr="002C5184">
        <w:t>refuelling</w:t>
      </w:r>
      <w:r w:rsidR="00286465" w:rsidRPr="002C5184">
        <w:t xml:space="preserve"> is required.  </w:t>
      </w:r>
      <w:r w:rsidR="00171BD0" w:rsidRPr="002C5184">
        <w:t xml:space="preserve">This is </w:t>
      </w:r>
      <w:r w:rsidR="00984C74" w:rsidRPr="002C5184">
        <w:t>incompatible</w:t>
      </w:r>
      <w:r w:rsidR="00171BD0" w:rsidRPr="002C5184">
        <w:t xml:space="preserve"> with the </w:t>
      </w:r>
      <w:r w:rsidR="002C5184" w:rsidRPr="002C5184">
        <w:t xml:space="preserve">processes defined in </w:t>
      </w:r>
      <w:r w:rsidR="004D0062">
        <w:t>AS/NZS 4012 and AS/NZS 4013</w:t>
      </w:r>
      <w:r w:rsidR="00171BD0" w:rsidRPr="002C5184">
        <w:t xml:space="preserve"> which require</w:t>
      </w:r>
      <w:r w:rsidR="002C5184" w:rsidRPr="002C5184">
        <w:t xml:space="preserve"> refuelling at various times over the burn cycle.</w:t>
      </w:r>
      <w:r w:rsidR="004C0445">
        <w:t xml:space="preserve">  </w:t>
      </w:r>
    </w:p>
    <w:p w14:paraId="02348CA2" w14:textId="77777777" w:rsidR="000A3103" w:rsidRDefault="000A3103" w:rsidP="00190F4C">
      <w:pPr>
        <w:pStyle w:val="NoSpacing"/>
        <w:jc w:val="both"/>
      </w:pPr>
    </w:p>
    <w:p w14:paraId="4B0F3A13" w14:textId="01482353" w:rsidR="002C5184" w:rsidRDefault="00984C74" w:rsidP="00190F4C">
      <w:pPr>
        <w:pStyle w:val="NoSpacing"/>
        <w:jc w:val="both"/>
      </w:pPr>
      <w:r>
        <w:t>Further</w:t>
      </w:r>
      <w:r w:rsidR="004C0445">
        <w:t xml:space="preserve"> details of the test</w:t>
      </w:r>
      <w:r w:rsidR="00011C81">
        <w:t xml:space="preserve"> methods and aut</w:t>
      </w:r>
      <w:r>
        <w:t>ho</w:t>
      </w:r>
      <w:r w:rsidR="00011C81">
        <w:t>r</w:t>
      </w:r>
      <w:r>
        <w:t>i</w:t>
      </w:r>
      <w:r w:rsidR="00011C81">
        <w:t xml:space="preserve">sation process </w:t>
      </w:r>
      <w:r w:rsidR="00235614">
        <w:t xml:space="preserve">used </w:t>
      </w:r>
      <w:r w:rsidR="000A3103">
        <w:t xml:space="preserve">for the Tonwerk </w:t>
      </w:r>
      <w:r w:rsidR="0063678C">
        <w:t>models</w:t>
      </w:r>
      <w:r w:rsidR="000A3103">
        <w:t xml:space="preserve"> </w:t>
      </w:r>
      <w:r w:rsidR="00011C81">
        <w:t xml:space="preserve">are provided in section </w:t>
      </w:r>
      <w:r w:rsidR="0062207F">
        <w:fldChar w:fldCharType="begin"/>
      </w:r>
      <w:r w:rsidR="0062207F">
        <w:instrText xml:space="preserve"> REF _Ref31873991 \r \h </w:instrText>
      </w:r>
      <w:r w:rsidR="002635F2">
        <w:instrText xml:space="preserve"> \* MERGEFORMAT </w:instrText>
      </w:r>
      <w:r w:rsidR="0062207F">
        <w:fldChar w:fldCharType="separate"/>
      </w:r>
      <w:r w:rsidR="00CD682F">
        <w:t>3.8</w:t>
      </w:r>
      <w:r w:rsidR="0062207F">
        <w:fldChar w:fldCharType="end"/>
      </w:r>
      <w:r w:rsidR="00011C81">
        <w:t>.</w:t>
      </w:r>
    </w:p>
    <w:p w14:paraId="23FA2AE0" w14:textId="4F4B966F" w:rsidR="004F46B6" w:rsidRDefault="004F46B6" w:rsidP="00190F4C">
      <w:pPr>
        <w:pStyle w:val="NoSpacing"/>
        <w:jc w:val="both"/>
      </w:pPr>
    </w:p>
    <w:p w14:paraId="21D70FF8" w14:textId="169EAB3E" w:rsidR="004F46B6" w:rsidRDefault="00E81840" w:rsidP="00190F4C">
      <w:pPr>
        <w:pStyle w:val="NoSpacing"/>
        <w:jc w:val="both"/>
      </w:pPr>
      <w:r>
        <w:t>Illustrations</w:t>
      </w:r>
      <w:r w:rsidR="004F46B6">
        <w:t xml:space="preserve"> of various burner types are provided in Appendix 3.</w:t>
      </w:r>
    </w:p>
    <w:p w14:paraId="601C1A9A" w14:textId="31355ED0" w:rsidR="00CC5495" w:rsidRDefault="00CC5495" w:rsidP="00190F4C">
      <w:pPr>
        <w:pStyle w:val="NoSpacing"/>
        <w:jc w:val="both"/>
      </w:pPr>
    </w:p>
    <w:p w14:paraId="6783155F" w14:textId="0E2D0591" w:rsidR="00CC5495" w:rsidRDefault="00CC5495" w:rsidP="00190F4C">
      <w:pPr>
        <w:pStyle w:val="NoSpacing"/>
        <w:jc w:val="both"/>
      </w:pPr>
      <w:r>
        <w:t xml:space="preserve">A summary of </w:t>
      </w:r>
      <w:r w:rsidR="0093178E">
        <w:t xml:space="preserve">the burner types to be included in the </w:t>
      </w:r>
      <w:r w:rsidR="007224E1">
        <w:t>amended NESAQ</w:t>
      </w:r>
      <w:r w:rsidR="0073282E">
        <w:t xml:space="preserve"> and </w:t>
      </w:r>
      <w:r w:rsidR="00A65927">
        <w:t>relevant</w:t>
      </w:r>
      <w:r w:rsidR="002973B9">
        <w:t xml:space="preserve"> test </w:t>
      </w:r>
      <w:r w:rsidR="00356915">
        <w:t>methods</w:t>
      </w:r>
      <w:r w:rsidR="002973B9">
        <w:t xml:space="preserve"> </w:t>
      </w:r>
      <w:r w:rsidR="00A65927">
        <w:t>effi</w:t>
      </w:r>
      <w:r w:rsidR="0063356C">
        <w:t>cie</w:t>
      </w:r>
      <w:r w:rsidR="00A65927">
        <w:t xml:space="preserve">ncy and </w:t>
      </w:r>
      <w:r w:rsidR="0063356C">
        <w:t>emissions</w:t>
      </w:r>
      <w:r w:rsidR="00A65927">
        <w:t xml:space="preserve"> is shown in the following table:</w:t>
      </w:r>
    </w:p>
    <w:p w14:paraId="2595992D" w14:textId="77221369" w:rsidR="00A65927" w:rsidRDefault="00A65927" w:rsidP="00190F4C">
      <w:pPr>
        <w:pStyle w:val="NoSpacing"/>
        <w:jc w:val="both"/>
      </w:pPr>
    </w:p>
    <w:p w14:paraId="714F8898" w14:textId="716E865B" w:rsidR="00A65927" w:rsidRPr="00A65927" w:rsidRDefault="00A65927" w:rsidP="00A65927">
      <w:pPr>
        <w:pStyle w:val="Caption"/>
        <w:rPr>
          <w:sz w:val="22"/>
          <w:szCs w:val="22"/>
        </w:rPr>
      </w:pPr>
      <w:r w:rsidRPr="00A65927">
        <w:rPr>
          <w:sz w:val="22"/>
          <w:szCs w:val="22"/>
        </w:rPr>
        <w:t xml:space="preserve">Table </w:t>
      </w:r>
      <w:r w:rsidRPr="00A65927">
        <w:rPr>
          <w:sz w:val="22"/>
          <w:szCs w:val="22"/>
        </w:rPr>
        <w:fldChar w:fldCharType="begin"/>
      </w:r>
      <w:r w:rsidRPr="00A65927">
        <w:rPr>
          <w:sz w:val="22"/>
          <w:szCs w:val="22"/>
        </w:rPr>
        <w:instrText xml:space="preserve"> SEQ Table \* ARABIC </w:instrText>
      </w:r>
      <w:r w:rsidRPr="00A65927">
        <w:rPr>
          <w:sz w:val="22"/>
          <w:szCs w:val="22"/>
        </w:rPr>
        <w:fldChar w:fldCharType="separate"/>
      </w:r>
      <w:r w:rsidR="00CD682F">
        <w:rPr>
          <w:noProof/>
          <w:sz w:val="22"/>
          <w:szCs w:val="22"/>
        </w:rPr>
        <w:t>5</w:t>
      </w:r>
      <w:r w:rsidRPr="00A65927">
        <w:rPr>
          <w:sz w:val="22"/>
          <w:szCs w:val="22"/>
        </w:rPr>
        <w:fldChar w:fldCharType="end"/>
      </w:r>
      <w:r w:rsidRPr="00A65927">
        <w:rPr>
          <w:sz w:val="22"/>
          <w:szCs w:val="22"/>
        </w:rPr>
        <w:t>: Summary of Burner Test Methods and Results</w:t>
      </w:r>
    </w:p>
    <w:p w14:paraId="3A2882E9" w14:textId="3F32E8FB" w:rsidR="00C83B14" w:rsidRDefault="00C83B14" w:rsidP="00190F4C">
      <w:pPr>
        <w:pStyle w:val="NoSpacing"/>
        <w:jc w:val="both"/>
      </w:pPr>
    </w:p>
    <w:tbl>
      <w:tblPr>
        <w:tblStyle w:val="TableGrid"/>
        <w:tblW w:w="0" w:type="auto"/>
        <w:tblLook w:val="04A0" w:firstRow="1" w:lastRow="0" w:firstColumn="1" w:lastColumn="0" w:noHBand="0" w:noVBand="1"/>
      </w:tblPr>
      <w:tblGrid>
        <w:gridCol w:w="1902"/>
        <w:gridCol w:w="1903"/>
        <w:gridCol w:w="1903"/>
        <w:gridCol w:w="1903"/>
        <w:gridCol w:w="1903"/>
      </w:tblGrid>
      <w:tr w:rsidR="004F2E3C" w:rsidRPr="004F2E3C" w14:paraId="29103224" w14:textId="77777777" w:rsidTr="00591786">
        <w:tc>
          <w:tcPr>
            <w:tcW w:w="1902" w:type="dxa"/>
          </w:tcPr>
          <w:p w14:paraId="37B8E7C5" w14:textId="77777777" w:rsidR="004F2E3C" w:rsidRPr="004F2E3C" w:rsidRDefault="004F2E3C" w:rsidP="004F2E3C">
            <w:pPr>
              <w:pStyle w:val="NoSpacing"/>
              <w:jc w:val="center"/>
              <w:rPr>
                <w:b/>
                <w:bCs/>
              </w:rPr>
            </w:pPr>
            <w:r w:rsidRPr="004F2E3C">
              <w:rPr>
                <w:b/>
                <w:bCs/>
              </w:rPr>
              <w:t>Burner Type</w:t>
            </w:r>
          </w:p>
        </w:tc>
        <w:tc>
          <w:tcPr>
            <w:tcW w:w="1903" w:type="dxa"/>
          </w:tcPr>
          <w:p w14:paraId="4BA03D84" w14:textId="77777777" w:rsidR="004F2E3C" w:rsidRPr="004F2E3C" w:rsidRDefault="004F2E3C" w:rsidP="004F2E3C">
            <w:pPr>
              <w:pStyle w:val="NoSpacing"/>
              <w:jc w:val="center"/>
              <w:rPr>
                <w:b/>
                <w:bCs/>
              </w:rPr>
            </w:pPr>
            <w:r w:rsidRPr="004F2E3C">
              <w:rPr>
                <w:b/>
                <w:bCs/>
              </w:rPr>
              <w:t>Test Method</w:t>
            </w:r>
          </w:p>
        </w:tc>
        <w:tc>
          <w:tcPr>
            <w:tcW w:w="1903" w:type="dxa"/>
          </w:tcPr>
          <w:p w14:paraId="5D64DFB2" w14:textId="77777777" w:rsidR="004F2E3C" w:rsidRPr="004F2E3C" w:rsidRDefault="004F2E3C" w:rsidP="004F2E3C">
            <w:pPr>
              <w:pStyle w:val="NoSpacing"/>
              <w:jc w:val="center"/>
              <w:rPr>
                <w:b/>
                <w:bCs/>
              </w:rPr>
            </w:pPr>
            <w:r w:rsidRPr="004F2E3C">
              <w:rPr>
                <w:b/>
                <w:bCs/>
              </w:rPr>
              <w:t>Typical emissions</w:t>
            </w:r>
          </w:p>
        </w:tc>
        <w:tc>
          <w:tcPr>
            <w:tcW w:w="1903" w:type="dxa"/>
          </w:tcPr>
          <w:p w14:paraId="01E69B57" w14:textId="77777777" w:rsidR="004F2E3C" w:rsidRPr="004F2E3C" w:rsidRDefault="004F2E3C" w:rsidP="004F2E3C">
            <w:pPr>
              <w:pStyle w:val="NoSpacing"/>
              <w:jc w:val="center"/>
              <w:rPr>
                <w:b/>
                <w:bCs/>
              </w:rPr>
            </w:pPr>
            <w:r w:rsidRPr="004F2E3C">
              <w:rPr>
                <w:b/>
                <w:bCs/>
              </w:rPr>
              <w:t>Typical efficiency</w:t>
            </w:r>
          </w:p>
        </w:tc>
        <w:tc>
          <w:tcPr>
            <w:tcW w:w="1903" w:type="dxa"/>
          </w:tcPr>
          <w:p w14:paraId="06E20CC2" w14:textId="7126EB67" w:rsidR="004F2E3C" w:rsidRPr="004F2E3C" w:rsidRDefault="004F2E3C" w:rsidP="004F2E3C">
            <w:pPr>
              <w:pStyle w:val="NoSpacing"/>
              <w:jc w:val="center"/>
              <w:rPr>
                <w:b/>
                <w:bCs/>
              </w:rPr>
            </w:pPr>
            <w:r w:rsidRPr="004F2E3C">
              <w:rPr>
                <w:b/>
                <w:bCs/>
              </w:rPr>
              <w:t>Likely to meet amend</w:t>
            </w:r>
            <w:r>
              <w:rPr>
                <w:b/>
                <w:bCs/>
              </w:rPr>
              <w:t>ed</w:t>
            </w:r>
            <w:r w:rsidRPr="004F2E3C">
              <w:rPr>
                <w:b/>
                <w:bCs/>
              </w:rPr>
              <w:t xml:space="preserve"> NESAQ</w:t>
            </w:r>
          </w:p>
        </w:tc>
      </w:tr>
      <w:tr w:rsidR="002E1E5A" w:rsidRPr="00591786" w14:paraId="22FB32CC" w14:textId="77777777" w:rsidTr="00B67C0E">
        <w:tc>
          <w:tcPr>
            <w:tcW w:w="1902" w:type="dxa"/>
          </w:tcPr>
          <w:p w14:paraId="749DC857" w14:textId="77777777" w:rsidR="002E1E5A" w:rsidRPr="00591786" w:rsidRDefault="002E1E5A" w:rsidP="00B67C0E">
            <w:pPr>
              <w:pStyle w:val="NoSpacing"/>
              <w:jc w:val="both"/>
            </w:pPr>
            <w:r w:rsidRPr="00591786">
              <w:t>Boiler system</w:t>
            </w:r>
            <w:r>
              <w:t xml:space="preserve"> - pellet</w:t>
            </w:r>
          </w:p>
        </w:tc>
        <w:tc>
          <w:tcPr>
            <w:tcW w:w="1903" w:type="dxa"/>
          </w:tcPr>
          <w:p w14:paraId="641BB94C" w14:textId="77777777" w:rsidR="002E1E5A" w:rsidRPr="00591786" w:rsidRDefault="002E1E5A" w:rsidP="00B67C0E">
            <w:pPr>
              <w:pStyle w:val="NoSpacing"/>
              <w:jc w:val="both"/>
            </w:pPr>
            <w:r>
              <w:t>EN 303-5</w:t>
            </w:r>
          </w:p>
        </w:tc>
        <w:tc>
          <w:tcPr>
            <w:tcW w:w="1903" w:type="dxa"/>
          </w:tcPr>
          <w:p w14:paraId="16A09704" w14:textId="5C2BCFDF" w:rsidR="002E1E5A" w:rsidRPr="00591786" w:rsidRDefault="009007C9" w:rsidP="00B67C0E">
            <w:pPr>
              <w:pStyle w:val="NoSpacing"/>
              <w:jc w:val="both"/>
            </w:pPr>
            <w:r>
              <w:t xml:space="preserve">0.1 </w:t>
            </w:r>
            <w:r w:rsidR="00D018FE">
              <w:t>to</w:t>
            </w:r>
            <w:r>
              <w:t xml:space="preserve"> 0.2 g/kg</w:t>
            </w:r>
          </w:p>
        </w:tc>
        <w:tc>
          <w:tcPr>
            <w:tcW w:w="1903" w:type="dxa"/>
          </w:tcPr>
          <w:p w14:paraId="29CE3857" w14:textId="79FF6593" w:rsidR="002E1E5A" w:rsidRPr="00591786" w:rsidRDefault="00D018FE" w:rsidP="00B67C0E">
            <w:pPr>
              <w:pStyle w:val="NoSpacing"/>
              <w:jc w:val="both"/>
            </w:pPr>
            <w:r>
              <w:t>80%</w:t>
            </w:r>
          </w:p>
        </w:tc>
        <w:tc>
          <w:tcPr>
            <w:tcW w:w="1903" w:type="dxa"/>
          </w:tcPr>
          <w:p w14:paraId="67542ACF" w14:textId="77777777" w:rsidR="002E1E5A" w:rsidRPr="00591786" w:rsidRDefault="002E1E5A" w:rsidP="00B67C0E">
            <w:pPr>
              <w:pStyle w:val="NoSpacing"/>
              <w:jc w:val="both"/>
            </w:pPr>
            <w:r>
              <w:t>Yes</w:t>
            </w:r>
          </w:p>
        </w:tc>
      </w:tr>
      <w:tr w:rsidR="009007C9" w:rsidRPr="00591786" w14:paraId="07959632" w14:textId="77777777" w:rsidTr="00B67C0E">
        <w:tc>
          <w:tcPr>
            <w:tcW w:w="1902" w:type="dxa"/>
          </w:tcPr>
          <w:p w14:paraId="45530D01" w14:textId="425ED9BE" w:rsidR="009007C9" w:rsidRPr="00591786" w:rsidRDefault="009007C9" w:rsidP="009007C9">
            <w:pPr>
              <w:pStyle w:val="NoSpacing"/>
              <w:jc w:val="both"/>
            </w:pPr>
            <w:r w:rsidRPr="00591786">
              <w:t>Boiler system</w:t>
            </w:r>
            <w:r>
              <w:t xml:space="preserve"> - wood</w:t>
            </w:r>
          </w:p>
        </w:tc>
        <w:tc>
          <w:tcPr>
            <w:tcW w:w="1903" w:type="dxa"/>
          </w:tcPr>
          <w:p w14:paraId="1E26AAF8" w14:textId="77777777" w:rsidR="009007C9" w:rsidRPr="00591786" w:rsidRDefault="009007C9" w:rsidP="009007C9">
            <w:pPr>
              <w:pStyle w:val="NoSpacing"/>
              <w:jc w:val="both"/>
            </w:pPr>
            <w:r>
              <w:t>EN 303-5</w:t>
            </w:r>
          </w:p>
        </w:tc>
        <w:tc>
          <w:tcPr>
            <w:tcW w:w="1903" w:type="dxa"/>
          </w:tcPr>
          <w:p w14:paraId="4C79AA22" w14:textId="1E237E46" w:rsidR="009007C9" w:rsidRPr="00591786" w:rsidRDefault="009007C9" w:rsidP="009007C9">
            <w:pPr>
              <w:pStyle w:val="NoSpacing"/>
              <w:jc w:val="both"/>
            </w:pPr>
            <w:r>
              <w:t xml:space="preserve">0.26 </w:t>
            </w:r>
            <w:r w:rsidR="00D018FE">
              <w:t>to</w:t>
            </w:r>
            <w:r>
              <w:t xml:space="preserve"> 0.4 g/kg</w:t>
            </w:r>
          </w:p>
        </w:tc>
        <w:tc>
          <w:tcPr>
            <w:tcW w:w="1903" w:type="dxa"/>
          </w:tcPr>
          <w:p w14:paraId="7280C379" w14:textId="1EDA29AF" w:rsidR="009007C9" w:rsidRPr="00591786" w:rsidRDefault="00D018FE" w:rsidP="009007C9">
            <w:pPr>
              <w:pStyle w:val="NoSpacing"/>
              <w:jc w:val="both"/>
            </w:pPr>
            <w:r>
              <w:t>83 to 85%</w:t>
            </w:r>
          </w:p>
        </w:tc>
        <w:tc>
          <w:tcPr>
            <w:tcW w:w="1903" w:type="dxa"/>
          </w:tcPr>
          <w:p w14:paraId="50D7F317" w14:textId="77777777" w:rsidR="009007C9" w:rsidRPr="00591786" w:rsidRDefault="009007C9" w:rsidP="009007C9">
            <w:pPr>
              <w:pStyle w:val="NoSpacing"/>
              <w:jc w:val="both"/>
            </w:pPr>
            <w:r>
              <w:t>Yes</w:t>
            </w:r>
          </w:p>
        </w:tc>
      </w:tr>
      <w:tr w:rsidR="009007C9" w:rsidRPr="00591786" w14:paraId="069EC194" w14:textId="77777777" w:rsidTr="00591786">
        <w:tc>
          <w:tcPr>
            <w:tcW w:w="1902" w:type="dxa"/>
          </w:tcPr>
          <w:p w14:paraId="6D605A5F" w14:textId="77777777" w:rsidR="009007C9" w:rsidRPr="00591786" w:rsidRDefault="009007C9" w:rsidP="009007C9">
            <w:pPr>
              <w:pStyle w:val="NoSpacing"/>
              <w:jc w:val="both"/>
            </w:pPr>
            <w:r>
              <w:t>Cookers</w:t>
            </w:r>
          </w:p>
        </w:tc>
        <w:tc>
          <w:tcPr>
            <w:tcW w:w="1903" w:type="dxa"/>
          </w:tcPr>
          <w:p w14:paraId="2477CE29" w14:textId="5786F25F" w:rsidR="009007C9" w:rsidRDefault="009007C9" w:rsidP="009007C9">
            <w:pPr>
              <w:pStyle w:val="NoSpacing"/>
              <w:jc w:val="both"/>
            </w:pPr>
            <w:r>
              <w:t xml:space="preserve">EN 16510 </w:t>
            </w:r>
            <w:r w:rsidRPr="00B65FB8">
              <w:t>Part 2-3</w:t>
            </w:r>
          </w:p>
        </w:tc>
        <w:tc>
          <w:tcPr>
            <w:tcW w:w="1903" w:type="dxa"/>
          </w:tcPr>
          <w:p w14:paraId="232CBC75" w14:textId="77777777" w:rsidR="009007C9" w:rsidRPr="00591786" w:rsidRDefault="009007C9" w:rsidP="009007C9">
            <w:pPr>
              <w:pStyle w:val="NoSpacing"/>
              <w:jc w:val="both"/>
            </w:pPr>
            <w:r>
              <w:t>&gt;1g/kg</w:t>
            </w:r>
          </w:p>
        </w:tc>
        <w:tc>
          <w:tcPr>
            <w:tcW w:w="1903" w:type="dxa"/>
          </w:tcPr>
          <w:p w14:paraId="0646ABE0" w14:textId="77777777" w:rsidR="009007C9" w:rsidRPr="00591786" w:rsidRDefault="009007C9" w:rsidP="009007C9">
            <w:pPr>
              <w:pStyle w:val="NoSpacing"/>
              <w:jc w:val="both"/>
            </w:pPr>
            <w:r>
              <w:t>&lt;65%</w:t>
            </w:r>
          </w:p>
        </w:tc>
        <w:tc>
          <w:tcPr>
            <w:tcW w:w="1903" w:type="dxa"/>
          </w:tcPr>
          <w:p w14:paraId="603C5BE8" w14:textId="77777777" w:rsidR="009007C9" w:rsidRDefault="009007C9" w:rsidP="009007C9">
            <w:pPr>
              <w:pStyle w:val="NoSpacing"/>
              <w:jc w:val="both"/>
            </w:pPr>
            <w:r>
              <w:t>No</w:t>
            </w:r>
          </w:p>
        </w:tc>
      </w:tr>
      <w:tr w:rsidR="009007C9" w:rsidRPr="00591786" w14:paraId="24370A71" w14:textId="77777777" w:rsidTr="00591786">
        <w:tc>
          <w:tcPr>
            <w:tcW w:w="1902" w:type="dxa"/>
          </w:tcPr>
          <w:p w14:paraId="13750CA1" w14:textId="77777777" w:rsidR="009007C9" w:rsidRPr="00591786" w:rsidRDefault="009007C9" w:rsidP="009007C9">
            <w:pPr>
              <w:pStyle w:val="NoSpacing"/>
              <w:jc w:val="both"/>
            </w:pPr>
            <w:r w:rsidRPr="00591786">
              <w:t>Multi-fuel burner</w:t>
            </w:r>
          </w:p>
        </w:tc>
        <w:tc>
          <w:tcPr>
            <w:tcW w:w="1903" w:type="dxa"/>
          </w:tcPr>
          <w:p w14:paraId="0C72495E" w14:textId="77777777" w:rsidR="009007C9" w:rsidRPr="00591786" w:rsidRDefault="009007C9" w:rsidP="009007C9">
            <w:pPr>
              <w:pStyle w:val="NoSpacing"/>
              <w:jc w:val="both"/>
            </w:pPr>
            <w:r>
              <w:t>AS/NZS 4012 and AS/NZS 4013</w:t>
            </w:r>
          </w:p>
        </w:tc>
        <w:tc>
          <w:tcPr>
            <w:tcW w:w="1903" w:type="dxa"/>
          </w:tcPr>
          <w:p w14:paraId="17755C90" w14:textId="77777777" w:rsidR="009007C9" w:rsidRPr="00591786" w:rsidRDefault="009007C9" w:rsidP="009007C9">
            <w:pPr>
              <w:pStyle w:val="NoSpacing"/>
              <w:jc w:val="both"/>
            </w:pPr>
            <w:r>
              <w:t>&gt;1g/kg</w:t>
            </w:r>
          </w:p>
        </w:tc>
        <w:tc>
          <w:tcPr>
            <w:tcW w:w="1903" w:type="dxa"/>
          </w:tcPr>
          <w:p w14:paraId="0C6CC9BF" w14:textId="21498F4F" w:rsidR="009007C9" w:rsidRPr="00591786" w:rsidRDefault="007A2761" w:rsidP="009007C9">
            <w:pPr>
              <w:pStyle w:val="NoSpacing"/>
              <w:jc w:val="both"/>
            </w:pPr>
            <w:r>
              <w:t>&gt;</w:t>
            </w:r>
            <w:r w:rsidR="009007C9">
              <w:t>65%</w:t>
            </w:r>
          </w:p>
        </w:tc>
        <w:tc>
          <w:tcPr>
            <w:tcW w:w="1903" w:type="dxa"/>
          </w:tcPr>
          <w:p w14:paraId="4484582A" w14:textId="77777777" w:rsidR="009007C9" w:rsidRPr="00591786" w:rsidRDefault="009007C9" w:rsidP="009007C9">
            <w:pPr>
              <w:pStyle w:val="NoSpacing"/>
              <w:jc w:val="both"/>
            </w:pPr>
            <w:r>
              <w:t>No</w:t>
            </w:r>
          </w:p>
        </w:tc>
      </w:tr>
      <w:tr w:rsidR="009007C9" w:rsidRPr="00591786" w14:paraId="4FA7494D" w14:textId="77777777" w:rsidTr="00591786">
        <w:tc>
          <w:tcPr>
            <w:tcW w:w="1902" w:type="dxa"/>
          </w:tcPr>
          <w:p w14:paraId="6E9859F4" w14:textId="77777777" w:rsidR="009007C9" w:rsidRPr="00591786" w:rsidRDefault="009007C9" w:rsidP="009007C9">
            <w:pPr>
              <w:pStyle w:val="NoSpacing"/>
              <w:jc w:val="both"/>
            </w:pPr>
            <w:r w:rsidRPr="00591786">
              <w:t>Open fire</w:t>
            </w:r>
          </w:p>
        </w:tc>
        <w:tc>
          <w:tcPr>
            <w:tcW w:w="1903" w:type="dxa"/>
          </w:tcPr>
          <w:p w14:paraId="65BFDBBA" w14:textId="77777777" w:rsidR="009007C9" w:rsidRPr="00591786" w:rsidRDefault="009007C9" w:rsidP="009007C9">
            <w:pPr>
              <w:pStyle w:val="NoSpacing"/>
              <w:jc w:val="both"/>
            </w:pPr>
            <w:r>
              <w:t>Not tested</w:t>
            </w:r>
          </w:p>
        </w:tc>
        <w:tc>
          <w:tcPr>
            <w:tcW w:w="1903" w:type="dxa"/>
          </w:tcPr>
          <w:p w14:paraId="0C5D529A" w14:textId="77777777" w:rsidR="009007C9" w:rsidRPr="00591786" w:rsidRDefault="009007C9" w:rsidP="009007C9">
            <w:pPr>
              <w:pStyle w:val="NoSpacing"/>
              <w:jc w:val="both"/>
            </w:pPr>
            <w:r>
              <w:t>&gt;1g/kg</w:t>
            </w:r>
          </w:p>
        </w:tc>
        <w:tc>
          <w:tcPr>
            <w:tcW w:w="1903" w:type="dxa"/>
          </w:tcPr>
          <w:p w14:paraId="7336A43A" w14:textId="77777777" w:rsidR="009007C9" w:rsidRPr="00591786" w:rsidRDefault="009007C9" w:rsidP="009007C9">
            <w:pPr>
              <w:pStyle w:val="NoSpacing"/>
              <w:jc w:val="both"/>
            </w:pPr>
            <w:r>
              <w:t>&lt;65%</w:t>
            </w:r>
          </w:p>
        </w:tc>
        <w:tc>
          <w:tcPr>
            <w:tcW w:w="1903" w:type="dxa"/>
          </w:tcPr>
          <w:p w14:paraId="12472D73" w14:textId="77777777" w:rsidR="009007C9" w:rsidRPr="00591786" w:rsidRDefault="009007C9" w:rsidP="009007C9">
            <w:pPr>
              <w:pStyle w:val="NoSpacing"/>
              <w:jc w:val="both"/>
            </w:pPr>
            <w:r>
              <w:t>No</w:t>
            </w:r>
          </w:p>
        </w:tc>
      </w:tr>
      <w:tr w:rsidR="00322FC2" w:rsidRPr="00591786" w14:paraId="26509EAA" w14:textId="77777777" w:rsidTr="00591786">
        <w:tc>
          <w:tcPr>
            <w:tcW w:w="1902" w:type="dxa"/>
          </w:tcPr>
          <w:p w14:paraId="5FB3F579" w14:textId="77777777" w:rsidR="00322FC2" w:rsidRPr="00591786" w:rsidRDefault="00322FC2" w:rsidP="00322FC2">
            <w:pPr>
              <w:pStyle w:val="NoSpacing"/>
              <w:jc w:val="both"/>
            </w:pPr>
            <w:r w:rsidRPr="00591786">
              <w:t>Pellet fire</w:t>
            </w:r>
          </w:p>
        </w:tc>
        <w:tc>
          <w:tcPr>
            <w:tcW w:w="1903" w:type="dxa"/>
          </w:tcPr>
          <w:p w14:paraId="15DD0F62" w14:textId="1F507F57" w:rsidR="00322FC2" w:rsidRDefault="00322FC2" w:rsidP="00322FC2">
            <w:pPr>
              <w:pStyle w:val="NoSpacing"/>
              <w:jc w:val="both"/>
            </w:pPr>
            <w:r>
              <w:t>AS/NZS 4886 and AS/NZS 5078; or</w:t>
            </w:r>
          </w:p>
          <w:p w14:paraId="5CA3CFB5" w14:textId="77777777" w:rsidR="00322FC2" w:rsidRPr="00591786" w:rsidRDefault="00322FC2" w:rsidP="00322FC2">
            <w:pPr>
              <w:pStyle w:val="NoSpacing"/>
              <w:jc w:val="both"/>
            </w:pPr>
            <w:r>
              <w:t>EN 14785</w:t>
            </w:r>
          </w:p>
        </w:tc>
        <w:tc>
          <w:tcPr>
            <w:tcW w:w="1903" w:type="dxa"/>
          </w:tcPr>
          <w:p w14:paraId="136439EF" w14:textId="09525288" w:rsidR="00322FC2" w:rsidRPr="00591786" w:rsidRDefault="00322FC2" w:rsidP="00322FC2">
            <w:pPr>
              <w:pStyle w:val="NoSpacing"/>
              <w:jc w:val="both"/>
            </w:pPr>
            <w:r>
              <w:t>0.1 to 0.8 g/kg</w:t>
            </w:r>
          </w:p>
        </w:tc>
        <w:tc>
          <w:tcPr>
            <w:tcW w:w="1903" w:type="dxa"/>
          </w:tcPr>
          <w:p w14:paraId="070F3DE0" w14:textId="2C5A4862" w:rsidR="00322FC2" w:rsidRPr="00591786" w:rsidRDefault="00C25420" w:rsidP="00322FC2">
            <w:pPr>
              <w:pStyle w:val="NoSpacing"/>
              <w:jc w:val="both"/>
            </w:pPr>
            <w:r>
              <w:t>70</w:t>
            </w:r>
            <w:r w:rsidR="00322FC2">
              <w:t xml:space="preserve"> to </w:t>
            </w:r>
            <w:r w:rsidR="005375BF">
              <w:t>88</w:t>
            </w:r>
            <w:r w:rsidR="00322FC2">
              <w:t>%</w:t>
            </w:r>
          </w:p>
        </w:tc>
        <w:tc>
          <w:tcPr>
            <w:tcW w:w="1903" w:type="dxa"/>
          </w:tcPr>
          <w:p w14:paraId="6EC568C1" w14:textId="77777777" w:rsidR="00322FC2" w:rsidRPr="00591786" w:rsidRDefault="00322FC2" w:rsidP="00322FC2">
            <w:pPr>
              <w:pStyle w:val="NoSpacing"/>
              <w:jc w:val="both"/>
            </w:pPr>
            <w:r>
              <w:t>Yes</w:t>
            </w:r>
          </w:p>
        </w:tc>
      </w:tr>
      <w:tr w:rsidR="002B7688" w:rsidRPr="00591786" w14:paraId="5B43ADBC" w14:textId="77777777" w:rsidTr="00591786">
        <w:tc>
          <w:tcPr>
            <w:tcW w:w="1902" w:type="dxa"/>
          </w:tcPr>
          <w:p w14:paraId="7DE39E9F" w14:textId="77777777" w:rsidR="002B7688" w:rsidRPr="00591786" w:rsidRDefault="002B7688" w:rsidP="002B7688">
            <w:pPr>
              <w:pStyle w:val="NoSpacing"/>
              <w:jc w:val="both"/>
            </w:pPr>
            <w:r>
              <w:t>Slow release burners</w:t>
            </w:r>
          </w:p>
        </w:tc>
        <w:tc>
          <w:tcPr>
            <w:tcW w:w="1903" w:type="dxa"/>
          </w:tcPr>
          <w:p w14:paraId="204922D0" w14:textId="77777777" w:rsidR="002B7688" w:rsidRPr="00591786" w:rsidRDefault="002B7688" w:rsidP="002B7688">
            <w:pPr>
              <w:pStyle w:val="NoSpacing"/>
              <w:jc w:val="both"/>
            </w:pPr>
            <w:r w:rsidRPr="00532B12">
              <w:t>EN 15250</w:t>
            </w:r>
          </w:p>
        </w:tc>
        <w:tc>
          <w:tcPr>
            <w:tcW w:w="1903" w:type="dxa"/>
          </w:tcPr>
          <w:p w14:paraId="30C95284" w14:textId="1A34D6AB" w:rsidR="002B7688" w:rsidRPr="00591786" w:rsidRDefault="002B7688" w:rsidP="002B7688">
            <w:pPr>
              <w:pStyle w:val="NoSpacing"/>
              <w:jc w:val="both"/>
            </w:pPr>
            <w:r>
              <w:t>0.8 g/kg</w:t>
            </w:r>
          </w:p>
        </w:tc>
        <w:tc>
          <w:tcPr>
            <w:tcW w:w="1903" w:type="dxa"/>
          </w:tcPr>
          <w:p w14:paraId="366F5A56" w14:textId="287567F8" w:rsidR="002B7688" w:rsidRPr="00591786" w:rsidRDefault="002B7688" w:rsidP="002B7688">
            <w:pPr>
              <w:pStyle w:val="NoSpacing"/>
              <w:jc w:val="both"/>
            </w:pPr>
            <w:r>
              <w:t>77%</w:t>
            </w:r>
          </w:p>
        </w:tc>
        <w:tc>
          <w:tcPr>
            <w:tcW w:w="1903" w:type="dxa"/>
          </w:tcPr>
          <w:p w14:paraId="68E95A8C" w14:textId="77777777" w:rsidR="002B7688" w:rsidRPr="00591786" w:rsidRDefault="002B7688" w:rsidP="002B7688">
            <w:pPr>
              <w:pStyle w:val="NoSpacing"/>
              <w:jc w:val="both"/>
            </w:pPr>
            <w:r>
              <w:t>Yes</w:t>
            </w:r>
          </w:p>
        </w:tc>
      </w:tr>
      <w:tr w:rsidR="002B7688" w:rsidRPr="00591786" w14:paraId="0F16B034" w14:textId="77777777" w:rsidTr="00591786">
        <w:tc>
          <w:tcPr>
            <w:tcW w:w="1902" w:type="dxa"/>
          </w:tcPr>
          <w:p w14:paraId="4E6CEF52" w14:textId="77777777" w:rsidR="002B7688" w:rsidRPr="00591786" w:rsidRDefault="002B7688" w:rsidP="002B7688">
            <w:pPr>
              <w:pStyle w:val="NoSpacing"/>
              <w:jc w:val="both"/>
            </w:pPr>
            <w:r w:rsidRPr="00591786">
              <w:t>Woodburner</w:t>
            </w:r>
          </w:p>
        </w:tc>
        <w:tc>
          <w:tcPr>
            <w:tcW w:w="1903" w:type="dxa"/>
          </w:tcPr>
          <w:p w14:paraId="4425F774" w14:textId="77777777" w:rsidR="002B7688" w:rsidRPr="00591786" w:rsidRDefault="002B7688" w:rsidP="002B7688">
            <w:pPr>
              <w:pStyle w:val="NoSpacing"/>
              <w:jc w:val="both"/>
            </w:pPr>
            <w:r>
              <w:t>AS/NZS 4012 and AS/NZS 4013</w:t>
            </w:r>
          </w:p>
        </w:tc>
        <w:tc>
          <w:tcPr>
            <w:tcW w:w="1903" w:type="dxa"/>
          </w:tcPr>
          <w:p w14:paraId="7F92EEBC" w14:textId="77777777" w:rsidR="002B7688" w:rsidRPr="00591786" w:rsidRDefault="002B7688" w:rsidP="002B7688">
            <w:pPr>
              <w:pStyle w:val="NoSpacing"/>
              <w:jc w:val="both"/>
            </w:pPr>
            <w:r>
              <w:t>0.2 to 1.5 g/kg</w:t>
            </w:r>
          </w:p>
        </w:tc>
        <w:tc>
          <w:tcPr>
            <w:tcW w:w="1903" w:type="dxa"/>
          </w:tcPr>
          <w:p w14:paraId="42DD9B15" w14:textId="5417B79A" w:rsidR="002B7688" w:rsidRPr="00591786" w:rsidRDefault="006D3C11" w:rsidP="002B7688">
            <w:pPr>
              <w:pStyle w:val="NoSpacing"/>
              <w:jc w:val="both"/>
            </w:pPr>
            <w:r>
              <w:t>65 to 80%</w:t>
            </w:r>
          </w:p>
        </w:tc>
        <w:tc>
          <w:tcPr>
            <w:tcW w:w="1903" w:type="dxa"/>
          </w:tcPr>
          <w:p w14:paraId="4A9346FA" w14:textId="77777777" w:rsidR="002B7688" w:rsidRPr="00591786" w:rsidRDefault="002B7688" w:rsidP="002B7688">
            <w:pPr>
              <w:pStyle w:val="NoSpacing"/>
              <w:jc w:val="both"/>
            </w:pPr>
            <w:r>
              <w:t>Yes</w:t>
            </w:r>
          </w:p>
        </w:tc>
      </w:tr>
    </w:tbl>
    <w:p w14:paraId="72252FE1" w14:textId="3CAB0D10" w:rsidR="000F2E41" w:rsidRDefault="000F2E41" w:rsidP="000B1079">
      <w:pPr>
        <w:rPr>
          <w:b/>
          <w:bCs/>
        </w:rPr>
      </w:pPr>
    </w:p>
    <w:p w14:paraId="36231530" w14:textId="77777777" w:rsidR="00C36B5A" w:rsidRDefault="00C36B5A">
      <w:pPr>
        <w:spacing w:before="0" w:after="200" w:line="276" w:lineRule="auto"/>
        <w:jc w:val="left"/>
        <w:rPr>
          <w:rFonts w:asciiTheme="majorHAnsi" w:eastAsiaTheme="majorEastAsia" w:hAnsiTheme="majorHAnsi" w:cstheme="majorBidi"/>
          <w:color w:val="365F91" w:themeColor="accent1" w:themeShade="BF"/>
          <w:szCs w:val="22"/>
        </w:rPr>
      </w:pPr>
      <w:bookmarkStart w:id="25" w:name="_Ref31871657"/>
      <w:r>
        <w:rPr>
          <w:szCs w:val="22"/>
        </w:rPr>
        <w:br w:type="page"/>
      </w:r>
    </w:p>
    <w:p w14:paraId="51ADA7CE" w14:textId="1F05A1F6" w:rsidR="00A44FFB" w:rsidRPr="00227625" w:rsidRDefault="00A44FFB" w:rsidP="00227625">
      <w:pPr>
        <w:pStyle w:val="Heading2"/>
        <w:numPr>
          <w:ilvl w:val="1"/>
          <w:numId w:val="6"/>
        </w:numPr>
        <w:rPr>
          <w:sz w:val="22"/>
          <w:szCs w:val="22"/>
        </w:rPr>
      </w:pPr>
      <w:bookmarkStart w:id="26" w:name="_Ref34584618"/>
      <w:bookmarkStart w:id="27" w:name="_Ref34585068"/>
      <w:bookmarkStart w:id="28" w:name="_Ref34585457"/>
      <w:bookmarkStart w:id="29" w:name="_Toc34586685"/>
      <w:r w:rsidRPr="00227625">
        <w:rPr>
          <w:sz w:val="22"/>
          <w:szCs w:val="22"/>
        </w:rPr>
        <w:lastRenderedPageBreak/>
        <w:t>Design “trade-offs” made by manufacturers between emissions and efficiency when designing new burners.</w:t>
      </w:r>
      <w:bookmarkEnd w:id="25"/>
      <w:bookmarkEnd w:id="26"/>
      <w:bookmarkEnd w:id="27"/>
      <w:bookmarkEnd w:id="28"/>
      <w:bookmarkEnd w:id="29"/>
    </w:p>
    <w:p w14:paraId="0E0B5FC8" w14:textId="77777777" w:rsidR="00A44FFB" w:rsidRDefault="00A44FFB" w:rsidP="00A44FFB">
      <w:pPr>
        <w:pStyle w:val="NoSpacing"/>
        <w:ind w:left="360"/>
        <w:rPr>
          <w:rFonts w:eastAsia="Times New Roman"/>
        </w:rPr>
      </w:pPr>
    </w:p>
    <w:p w14:paraId="65663C3E" w14:textId="77777777" w:rsidR="00A44FFB" w:rsidRPr="00D019CC" w:rsidRDefault="00A44FFB" w:rsidP="00A44FFB">
      <w:pPr>
        <w:pStyle w:val="NoSpacing"/>
        <w:jc w:val="both"/>
      </w:pPr>
      <w:r w:rsidRPr="00D019CC">
        <w:t>In any appliance, the most complete combustion and the lowest particulate emissions occur when a fuel load is burning with a plentiful combustion air supply.  This is also the operating condition that results in the lowest thermal efficiency, as increased air supply rates also result in increased flue gas heat losses.  In contrast, reducing the combustion air supply increases particulate emissions and thermal efficiency, due to reduced flue gas heat losses.  Particulate emissions and thermal efficiency are therefore always being traded off against each other in burner design.</w:t>
      </w:r>
    </w:p>
    <w:p w14:paraId="1E220665" w14:textId="77777777" w:rsidR="00A44FFB" w:rsidRPr="00D019CC" w:rsidRDefault="00A44FFB" w:rsidP="00A44FFB">
      <w:pPr>
        <w:pStyle w:val="NoSpacing"/>
        <w:jc w:val="both"/>
      </w:pPr>
    </w:p>
    <w:p w14:paraId="1A5C0B70" w14:textId="48EF5D84" w:rsidR="00A44FFB" w:rsidRPr="00D019CC" w:rsidRDefault="00A44FFB" w:rsidP="00A44FFB">
      <w:pPr>
        <w:pStyle w:val="NoSpacing"/>
        <w:jc w:val="both"/>
      </w:pPr>
      <w:r w:rsidRPr="00D019CC">
        <w:t>When attempting to design a ULEB, various manufacturers have reported being able to achieve ultra-low levels of particulate emissions (of the order of 0.1 to 0.3 g/kg), yet struggl</w:t>
      </w:r>
      <w:r w:rsidR="0005242F">
        <w:t>e</w:t>
      </w:r>
      <w:r w:rsidRPr="00D019CC">
        <w:t xml:space="preserve"> to achieve the last few percentage points of thermal efficiency in order to meet the </w:t>
      </w:r>
      <w:r w:rsidR="004D0062">
        <w:t>NESAQ</w:t>
      </w:r>
      <w:r w:rsidRPr="00D019CC">
        <w:t xml:space="preserve"> criterion of 65%.  As a result, the options available to the manufacturers include:</w:t>
      </w:r>
    </w:p>
    <w:p w14:paraId="582F8ABF" w14:textId="77777777" w:rsidR="00A44FFB" w:rsidRDefault="00A44FFB" w:rsidP="00440E89">
      <w:pPr>
        <w:pStyle w:val="NoSpacing"/>
        <w:numPr>
          <w:ilvl w:val="0"/>
          <w:numId w:val="8"/>
        </w:numPr>
        <w:rPr>
          <w:rFonts w:eastAsia="Times New Roman"/>
        </w:rPr>
      </w:pPr>
      <w:r>
        <w:rPr>
          <w:rFonts w:eastAsia="Times New Roman"/>
        </w:rPr>
        <w:t>Changing the burner design to achieve 65% efficiency while significantly increasing the level of particulate emissions.</w:t>
      </w:r>
    </w:p>
    <w:p w14:paraId="32EAB108" w14:textId="23354FDC" w:rsidR="00A44FFB" w:rsidRDefault="00A44FFB" w:rsidP="00440E89">
      <w:pPr>
        <w:pStyle w:val="NoSpacing"/>
        <w:numPr>
          <w:ilvl w:val="0"/>
          <w:numId w:val="8"/>
        </w:numPr>
        <w:rPr>
          <w:rFonts w:eastAsia="Times New Roman"/>
        </w:rPr>
      </w:pPr>
      <w:r>
        <w:rPr>
          <w:rFonts w:eastAsia="Times New Roman"/>
        </w:rPr>
        <w:t xml:space="preserve">Using devices such as electric air circulation fans to </w:t>
      </w:r>
      <w:r w:rsidR="00B47F1C">
        <w:rPr>
          <w:rFonts w:eastAsia="Times New Roman"/>
        </w:rPr>
        <w:t xml:space="preserve">improve heat transfer and </w:t>
      </w:r>
      <w:r>
        <w:rPr>
          <w:rFonts w:eastAsia="Times New Roman"/>
        </w:rPr>
        <w:t>boost the efficiency to the required 65%.</w:t>
      </w:r>
    </w:p>
    <w:p w14:paraId="70964C1B" w14:textId="77777777" w:rsidR="00A44FFB" w:rsidRDefault="00A44FFB" w:rsidP="00440E89">
      <w:pPr>
        <w:pStyle w:val="NoSpacing"/>
        <w:numPr>
          <w:ilvl w:val="0"/>
          <w:numId w:val="8"/>
        </w:numPr>
        <w:rPr>
          <w:rFonts w:eastAsia="Times New Roman"/>
        </w:rPr>
      </w:pPr>
      <w:r>
        <w:rPr>
          <w:rFonts w:eastAsia="Times New Roman"/>
        </w:rPr>
        <w:t xml:space="preserve">Abandoning that design. </w:t>
      </w:r>
    </w:p>
    <w:p w14:paraId="50F29D98" w14:textId="77777777" w:rsidR="00A44FFB" w:rsidRDefault="00A44FFB" w:rsidP="00A44FFB">
      <w:pPr>
        <w:pStyle w:val="NoSpacing"/>
        <w:ind w:left="360"/>
        <w:rPr>
          <w:rFonts w:eastAsia="Times New Roman"/>
        </w:rPr>
      </w:pPr>
    </w:p>
    <w:p w14:paraId="0694BEBE" w14:textId="2AEC91C9" w:rsidR="00A44FFB" w:rsidRDefault="0005242F" w:rsidP="00A44FFB">
      <w:pPr>
        <w:pStyle w:val="NoSpacing"/>
        <w:jc w:val="both"/>
      </w:pPr>
      <w:r>
        <w:t>One</w:t>
      </w:r>
      <w:r w:rsidR="00A44FFB" w:rsidRPr="00D019CC">
        <w:t xml:space="preserve"> manufacturer </w:t>
      </w:r>
      <w:r>
        <w:t>reported</w:t>
      </w:r>
      <w:r w:rsidR="00A44FFB" w:rsidRPr="00D019CC">
        <w:t xml:space="preserve"> design</w:t>
      </w:r>
      <w:r>
        <w:t>ing</w:t>
      </w:r>
      <w:r w:rsidR="00A44FFB" w:rsidRPr="00D019CC">
        <w:t xml:space="preserve"> a burner producing emissions of 0.2 g/kg and 63% efficiency and then </w:t>
      </w:r>
      <w:r w:rsidR="00BF73F3">
        <w:t>having to make</w:t>
      </w:r>
      <w:r w:rsidR="00A44FFB" w:rsidRPr="00D019CC">
        <w:t xml:space="preserve"> changes to the design to achieve 65% efficiency that had the effect of </w:t>
      </w:r>
      <w:r w:rsidR="00061E28">
        <w:t>doubling</w:t>
      </w:r>
      <w:r w:rsidR="00A44FFB" w:rsidRPr="00D019CC">
        <w:t xml:space="preserve"> particulate emissions</w:t>
      </w:r>
      <w:r w:rsidR="008E0CCD">
        <w:t xml:space="preserve"> to 0.4 g/kg</w:t>
      </w:r>
      <w:r w:rsidR="00061E28">
        <w:t xml:space="preserve">.  </w:t>
      </w:r>
      <w:r w:rsidR="009A75E8">
        <w:t>Another</w:t>
      </w:r>
      <w:r w:rsidR="008D0924">
        <w:t xml:space="preserve"> manufacturer reported designing an ultra-clean burner, but </w:t>
      </w:r>
      <w:r w:rsidR="0070480B">
        <w:t xml:space="preserve">the </w:t>
      </w:r>
      <w:r w:rsidR="009A75E8">
        <w:t>efficiency</w:t>
      </w:r>
      <w:r w:rsidR="008D0924">
        <w:t xml:space="preserve"> was 64.5% and </w:t>
      </w:r>
      <w:r w:rsidR="0070480B">
        <w:t xml:space="preserve">was </w:t>
      </w:r>
      <w:r w:rsidR="009A75E8">
        <w:t>thus</w:t>
      </w:r>
      <w:r w:rsidR="008D0924">
        <w:t xml:space="preserve"> not </w:t>
      </w:r>
      <w:r w:rsidR="004D0062">
        <w:t>NESAQ</w:t>
      </w:r>
      <w:r w:rsidR="008D0924">
        <w:t xml:space="preserve"> compliant</w:t>
      </w:r>
      <w:r w:rsidR="0070480B">
        <w:t xml:space="preserve">.  </w:t>
      </w:r>
      <w:r w:rsidR="00A44FFB" w:rsidRPr="00D019CC">
        <w:t>Th</w:t>
      </w:r>
      <w:r w:rsidR="0070480B">
        <w:t>ese</w:t>
      </w:r>
      <w:r w:rsidR="00A44FFB" w:rsidRPr="00D019CC">
        <w:t xml:space="preserve"> </w:t>
      </w:r>
      <w:r w:rsidR="0070480B">
        <w:t>are</w:t>
      </w:r>
      <w:r w:rsidR="00A44FFB" w:rsidRPr="00D019CC">
        <w:t xml:space="preserve"> typical scenario</w:t>
      </w:r>
      <w:r w:rsidR="0070480B">
        <w:t>s</w:t>
      </w:r>
      <w:r w:rsidR="00A44FFB" w:rsidRPr="00D019CC">
        <w:t xml:space="preserve"> reported by burner designers and </w:t>
      </w:r>
      <w:r w:rsidR="009A75E8">
        <w:t>illustrate</w:t>
      </w:r>
      <w:r w:rsidR="0070480B">
        <w:t xml:space="preserve"> what </w:t>
      </w:r>
      <w:r w:rsidR="00A44FFB" w:rsidRPr="00D019CC">
        <w:t>seem</w:t>
      </w:r>
      <w:r w:rsidR="0070480B">
        <w:t>s</w:t>
      </w:r>
      <w:r w:rsidR="00A44FFB" w:rsidRPr="00D019CC">
        <w:t xml:space="preserve"> to be a high price to pay in terms of emissions production in order to achieve the last </w:t>
      </w:r>
      <w:r w:rsidR="0070480B">
        <w:t>few</w:t>
      </w:r>
      <w:r w:rsidR="00A44FFB" w:rsidRPr="00D019CC">
        <w:t xml:space="preserve"> percentage points of efficiency. </w:t>
      </w:r>
    </w:p>
    <w:p w14:paraId="53074B06" w14:textId="59D60DC7" w:rsidR="00F85704" w:rsidRDefault="00F85704" w:rsidP="00A44FFB">
      <w:pPr>
        <w:pStyle w:val="NoSpacing"/>
        <w:jc w:val="both"/>
      </w:pPr>
    </w:p>
    <w:p w14:paraId="03DB7B04" w14:textId="19793022" w:rsidR="00F85704" w:rsidRDefault="0070480B" w:rsidP="00A44FFB">
      <w:pPr>
        <w:pStyle w:val="NoSpacing"/>
        <w:jc w:val="both"/>
      </w:pPr>
      <w:r>
        <w:t xml:space="preserve">These </w:t>
      </w:r>
      <w:r w:rsidR="00330663">
        <w:t>examples</w:t>
      </w:r>
      <w:r>
        <w:t xml:space="preserve"> </w:t>
      </w:r>
      <w:r w:rsidR="00DE0AD7">
        <w:t xml:space="preserve">of </w:t>
      </w:r>
      <w:r w:rsidR="00633796">
        <w:t>emissions</w:t>
      </w:r>
      <w:r w:rsidR="00DE0AD7">
        <w:t xml:space="preserve"> vs </w:t>
      </w:r>
      <w:r w:rsidR="00330663">
        <w:t>efficiency</w:t>
      </w:r>
      <w:r w:rsidR="00DE0AD7">
        <w:t xml:space="preserve"> trade-offs </w:t>
      </w:r>
      <w:r>
        <w:t>have</w:t>
      </w:r>
      <w:r w:rsidR="00D02C61">
        <w:t xml:space="preserve"> been </w:t>
      </w:r>
      <w:r w:rsidR="007832B2">
        <w:t>verified</w:t>
      </w:r>
      <w:r w:rsidR="00D02C61">
        <w:t xml:space="preserve"> by </w:t>
      </w:r>
      <w:r w:rsidR="007832B2">
        <w:t>independent</w:t>
      </w:r>
      <w:r w:rsidR="00DE0AD7">
        <w:t xml:space="preserve"> </w:t>
      </w:r>
      <w:r w:rsidR="00D02C61">
        <w:t>test laboratories</w:t>
      </w:r>
      <w:r w:rsidR="005D63AA">
        <w:t>.</w:t>
      </w:r>
    </w:p>
    <w:p w14:paraId="5CADD625" w14:textId="13FD2D53" w:rsidR="001E28A3" w:rsidRDefault="001E28A3" w:rsidP="00A44FFB">
      <w:pPr>
        <w:pStyle w:val="NoSpacing"/>
        <w:jc w:val="both"/>
      </w:pPr>
    </w:p>
    <w:p w14:paraId="72C0817F" w14:textId="0DFBFCB6" w:rsidR="001E28A3" w:rsidRPr="00D019CC" w:rsidRDefault="001E28A3" w:rsidP="00A44FFB">
      <w:pPr>
        <w:pStyle w:val="NoSpacing"/>
        <w:jc w:val="both"/>
      </w:pPr>
      <w:r>
        <w:t xml:space="preserve">A solution to this </w:t>
      </w:r>
      <w:r w:rsidR="00361BC3">
        <w:t xml:space="preserve">situation would be to allow some </w:t>
      </w:r>
      <w:r w:rsidR="00330663">
        <w:t>flexibility</w:t>
      </w:r>
      <w:r w:rsidR="00361BC3">
        <w:t xml:space="preserve"> with the </w:t>
      </w:r>
      <w:r w:rsidR="00633796">
        <w:t>efficiency</w:t>
      </w:r>
      <w:r w:rsidR="00361BC3">
        <w:t xml:space="preserve"> </w:t>
      </w:r>
      <w:r w:rsidR="00330663">
        <w:t>criterion</w:t>
      </w:r>
      <w:r w:rsidR="00361BC3">
        <w:t xml:space="preserve"> for very low </w:t>
      </w:r>
      <w:r w:rsidR="00330663">
        <w:t>emission</w:t>
      </w:r>
      <w:r w:rsidR="00361BC3">
        <w:t xml:space="preserve"> burners</w:t>
      </w:r>
      <w:r w:rsidR="00235614">
        <w:t>,</w:t>
      </w:r>
      <w:r w:rsidR="00361BC3">
        <w:t xml:space="preserve"> and insert models in </w:t>
      </w:r>
      <w:r w:rsidR="00330663">
        <w:t>particular</w:t>
      </w:r>
      <w:r w:rsidR="00F82C1A">
        <w:t xml:space="preserve">, as </w:t>
      </w:r>
      <w:r w:rsidR="00633796">
        <w:t>discussed</w:t>
      </w:r>
      <w:r w:rsidR="00F82C1A">
        <w:t xml:space="preserve"> in section </w:t>
      </w:r>
      <w:r w:rsidR="00451F6A">
        <w:t>3.7.1</w:t>
      </w:r>
      <w:r w:rsidR="00F82C1A">
        <w:t>.</w:t>
      </w:r>
    </w:p>
    <w:p w14:paraId="0920FD9A" w14:textId="77777777" w:rsidR="00A44FFB" w:rsidRPr="00FD5F6A" w:rsidRDefault="00A44FFB" w:rsidP="000B1079">
      <w:pPr>
        <w:rPr>
          <w:b/>
          <w:bCs/>
        </w:rPr>
      </w:pPr>
    </w:p>
    <w:p w14:paraId="1767DA62" w14:textId="0F10808B" w:rsidR="000B1079" w:rsidRPr="00227625" w:rsidRDefault="008C2346" w:rsidP="00227625">
      <w:pPr>
        <w:pStyle w:val="Heading2"/>
        <w:numPr>
          <w:ilvl w:val="1"/>
          <w:numId w:val="6"/>
        </w:numPr>
        <w:rPr>
          <w:sz w:val="22"/>
          <w:szCs w:val="22"/>
        </w:rPr>
      </w:pPr>
      <w:bookmarkStart w:id="30" w:name="_Ref31873568"/>
      <w:bookmarkStart w:id="31" w:name="_Toc34586686"/>
      <w:r w:rsidRPr="00227625">
        <w:rPr>
          <w:sz w:val="22"/>
          <w:szCs w:val="22"/>
        </w:rPr>
        <w:t>P</w:t>
      </w:r>
      <w:r w:rsidR="004F1C69" w:rsidRPr="00227625">
        <w:rPr>
          <w:sz w:val="22"/>
          <w:szCs w:val="22"/>
        </w:rPr>
        <w:t xml:space="preserve">roposed </w:t>
      </w:r>
      <w:r w:rsidR="003206D6">
        <w:rPr>
          <w:sz w:val="22"/>
          <w:szCs w:val="22"/>
        </w:rPr>
        <w:t>amendments</w:t>
      </w:r>
      <w:r w:rsidR="004F1C69" w:rsidRPr="00227625">
        <w:rPr>
          <w:sz w:val="22"/>
          <w:szCs w:val="22"/>
        </w:rPr>
        <w:t xml:space="preserve"> to</w:t>
      </w:r>
      <w:r w:rsidR="000B1079" w:rsidRPr="00227625">
        <w:rPr>
          <w:sz w:val="22"/>
          <w:szCs w:val="22"/>
        </w:rPr>
        <w:t xml:space="preserve"> the </w:t>
      </w:r>
      <w:r w:rsidR="004D0062" w:rsidRPr="00227625">
        <w:rPr>
          <w:sz w:val="22"/>
          <w:szCs w:val="22"/>
        </w:rPr>
        <w:t>NESAQ</w:t>
      </w:r>
      <w:r w:rsidR="00BF5C91" w:rsidRPr="00227625">
        <w:rPr>
          <w:sz w:val="22"/>
          <w:szCs w:val="22"/>
        </w:rPr>
        <w:t xml:space="preserve"> and potential impact</w:t>
      </w:r>
      <w:bookmarkEnd w:id="30"/>
      <w:bookmarkEnd w:id="31"/>
    </w:p>
    <w:p w14:paraId="0E5C4B40" w14:textId="77777777" w:rsidR="008C2346" w:rsidRPr="008C2346" w:rsidRDefault="008C2346" w:rsidP="008C2346"/>
    <w:p w14:paraId="006783BC" w14:textId="7575A473" w:rsidR="007043DA" w:rsidRDefault="00EF03BA" w:rsidP="0075513C">
      <w:pPr>
        <w:pStyle w:val="NoSpacing"/>
        <w:jc w:val="both"/>
      </w:pPr>
      <w:r>
        <w:t>There are two</w:t>
      </w:r>
      <w:r w:rsidR="0071268A">
        <w:t xml:space="preserve"> key proposed </w:t>
      </w:r>
      <w:r w:rsidR="006A5D71">
        <w:t>amendments</w:t>
      </w:r>
      <w:r w:rsidR="0071268A">
        <w:t xml:space="preserve"> to the </w:t>
      </w:r>
      <w:r w:rsidR="004D0062">
        <w:t>NESAQ</w:t>
      </w:r>
      <w:r w:rsidR="007043DA">
        <w:t xml:space="preserve"> that will </w:t>
      </w:r>
      <w:r w:rsidR="00F82C1A">
        <w:t xml:space="preserve">potentially </w:t>
      </w:r>
      <w:r w:rsidR="007043DA">
        <w:t>impact on the solid fuel burner market:</w:t>
      </w:r>
    </w:p>
    <w:p w14:paraId="37FFAC64" w14:textId="5EB05AC5" w:rsidR="00415D9E" w:rsidRDefault="007043DA" w:rsidP="00440E89">
      <w:pPr>
        <w:pStyle w:val="ListParagraph"/>
        <w:numPr>
          <w:ilvl w:val="0"/>
          <w:numId w:val="17"/>
        </w:numPr>
      </w:pPr>
      <w:r>
        <w:t>T</w:t>
      </w:r>
      <w:r w:rsidR="0071268A">
        <w:t xml:space="preserve">o reduce the maximum </w:t>
      </w:r>
      <w:r w:rsidR="007D4011">
        <w:t>allowable</w:t>
      </w:r>
      <w:r w:rsidR="0071268A">
        <w:t xml:space="preserve"> level of </w:t>
      </w:r>
      <w:r w:rsidR="007D4011">
        <w:t>emissions</w:t>
      </w:r>
      <w:r w:rsidR="0071268A">
        <w:t xml:space="preserve"> from new woodburners to </w:t>
      </w:r>
      <w:r w:rsidR="006C7679">
        <w:t>1</w:t>
      </w:r>
      <w:r w:rsidR="001E5915">
        <w:t>.0</w:t>
      </w:r>
      <w:r w:rsidR="006C7679">
        <w:t xml:space="preserve"> g/kg.</w:t>
      </w:r>
    </w:p>
    <w:p w14:paraId="7920A09F" w14:textId="0F1C7286" w:rsidR="00002F93" w:rsidRPr="007043DA" w:rsidRDefault="007043DA" w:rsidP="00440E89">
      <w:pPr>
        <w:pStyle w:val="ListParagraph"/>
        <w:numPr>
          <w:ilvl w:val="0"/>
          <w:numId w:val="17"/>
        </w:numPr>
        <w:autoSpaceDE w:val="0"/>
        <w:autoSpaceDN w:val="0"/>
        <w:adjustRightInd w:val="0"/>
        <w:spacing w:before="0" w:after="0"/>
        <w:jc w:val="left"/>
        <w:rPr>
          <w:rFonts w:ascii="Calibri" w:eastAsiaTheme="minorHAnsi" w:hAnsi="Calibri" w:cs="Calibri"/>
          <w:color w:val="000000"/>
          <w:szCs w:val="22"/>
          <w:lang w:val="en-NZ"/>
        </w:rPr>
      </w:pPr>
      <w:r w:rsidRPr="007043DA">
        <w:rPr>
          <w:rFonts w:ascii="Calibri" w:eastAsiaTheme="minorHAnsi" w:hAnsi="Calibri" w:cs="Calibri"/>
          <w:color w:val="000000"/>
          <w:szCs w:val="22"/>
          <w:lang w:val="en-NZ"/>
        </w:rPr>
        <w:t>T</w:t>
      </w:r>
      <w:r w:rsidR="007A03A0" w:rsidRPr="007043DA">
        <w:rPr>
          <w:rFonts w:ascii="Calibri" w:eastAsiaTheme="minorHAnsi" w:hAnsi="Calibri" w:cs="Calibri"/>
          <w:color w:val="000000"/>
          <w:szCs w:val="22"/>
          <w:lang w:val="en-NZ"/>
        </w:rPr>
        <w:t xml:space="preserve">o </w:t>
      </w:r>
      <w:r w:rsidR="00002F93" w:rsidRPr="007043DA">
        <w:rPr>
          <w:rFonts w:ascii="Calibri" w:eastAsiaTheme="minorHAnsi" w:hAnsi="Calibri" w:cs="Calibri"/>
          <w:color w:val="000000"/>
          <w:szCs w:val="22"/>
          <w:lang w:val="en-NZ"/>
        </w:rPr>
        <w:t xml:space="preserve">Include all types of new domestic solid-fuel burners under the existing </w:t>
      </w:r>
      <w:r w:rsidR="004D0062">
        <w:rPr>
          <w:rFonts w:ascii="Calibri" w:eastAsiaTheme="minorHAnsi" w:hAnsi="Calibri" w:cs="Calibri"/>
          <w:color w:val="000000"/>
          <w:szCs w:val="22"/>
          <w:lang w:val="en-NZ"/>
        </w:rPr>
        <w:t>woodburner</w:t>
      </w:r>
      <w:r w:rsidR="00002F93" w:rsidRPr="007043DA">
        <w:rPr>
          <w:rFonts w:ascii="Calibri" w:eastAsiaTheme="minorHAnsi" w:hAnsi="Calibri" w:cs="Calibri"/>
          <w:color w:val="000000"/>
          <w:szCs w:val="22"/>
          <w:lang w:val="en-NZ"/>
        </w:rPr>
        <w:t xml:space="preserve"> regulations for emissions limits and thermal efficiency. This would include </w:t>
      </w:r>
      <w:r w:rsidR="00002F93" w:rsidRPr="007043DA">
        <w:rPr>
          <w:rFonts w:ascii="Calibri" w:eastAsiaTheme="minorHAnsi" w:hAnsi="Calibri" w:cs="Calibri"/>
          <w:b/>
          <w:bCs/>
          <w:color w:val="000000"/>
          <w:szCs w:val="22"/>
          <w:lang w:val="en-NZ"/>
        </w:rPr>
        <w:t xml:space="preserve">all </w:t>
      </w:r>
      <w:r w:rsidR="00002F93" w:rsidRPr="007043DA">
        <w:rPr>
          <w:rFonts w:ascii="Calibri" w:eastAsiaTheme="minorHAnsi" w:hAnsi="Calibri" w:cs="Calibri"/>
          <w:color w:val="000000"/>
          <w:szCs w:val="22"/>
          <w:lang w:val="en-NZ"/>
        </w:rPr>
        <w:t xml:space="preserve">types of domestic solid-fuel burners such as coal burners, multi-fuel burners, </w:t>
      </w:r>
      <w:r w:rsidR="004D0062">
        <w:rPr>
          <w:rFonts w:ascii="Calibri" w:eastAsiaTheme="minorHAnsi" w:hAnsi="Calibri" w:cs="Calibri"/>
          <w:color w:val="000000"/>
          <w:szCs w:val="22"/>
          <w:lang w:val="en-NZ"/>
        </w:rPr>
        <w:t>pellet fire</w:t>
      </w:r>
      <w:r w:rsidR="00002F93" w:rsidRPr="007043DA">
        <w:rPr>
          <w:rFonts w:ascii="Calibri" w:eastAsiaTheme="minorHAnsi" w:hAnsi="Calibri" w:cs="Calibri"/>
          <w:color w:val="000000"/>
          <w:szCs w:val="22"/>
          <w:lang w:val="en-NZ"/>
        </w:rPr>
        <w:t xml:space="preserve">s, open fires, cookers, and water boilers. </w:t>
      </w:r>
    </w:p>
    <w:p w14:paraId="69EE67D0" w14:textId="259E28E0" w:rsidR="007043DA" w:rsidRDefault="007043DA" w:rsidP="00002F93">
      <w:pPr>
        <w:autoSpaceDE w:val="0"/>
        <w:autoSpaceDN w:val="0"/>
        <w:adjustRightInd w:val="0"/>
        <w:spacing w:before="0" w:after="0"/>
        <w:jc w:val="left"/>
        <w:rPr>
          <w:rFonts w:ascii="Calibri" w:eastAsiaTheme="minorHAnsi" w:hAnsi="Calibri" w:cs="Calibri"/>
          <w:color w:val="000000"/>
          <w:szCs w:val="22"/>
          <w:lang w:val="en-NZ"/>
        </w:rPr>
      </w:pPr>
    </w:p>
    <w:p w14:paraId="3F92E6A0" w14:textId="3C990DFD" w:rsidR="000C5589" w:rsidRPr="0075513C" w:rsidRDefault="00B57100" w:rsidP="0075513C">
      <w:pPr>
        <w:pStyle w:val="NoSpacing"/>
        <w:jc w:val="both"/>
      </w:pPr>
      <w:r w:rsidRPr="0075513C">
        <w:t xml:space="preserve">The </w:t>
      </w:r>
      <w:r w:rsidR="007832B2" w:rsidRPr="0075513C">
        <w:t>potential</w:t>
      </w:r>
      <w:r w:rsidRPr="0075513C">
        <w:t xml:space="preserve"> </w:t>
      </w:r>
      <w:r w:rsidR="007832B2" w:rsidRPr="0075513C">
        <w:t>impacts</w:t>
      </w:r>
      <w:r w:rsidRPr="0075513C">
        <w:t xml:space="preserve"> of these </w:t>
      </w:r>
      <w:r w:rsidR="00431A2E">
        <w:t>amendments</w:t>
      </w:r>
      <w:r w:rsidRPr="0075513C">
        <w:t xml:space="preserve"> </w:t>
      </w:r>
      <w:r w:rsidR="00900100">
        <w:t>are</w:t>
      </w:r>
      <w:r w:rsidRPr="0075513C">
        <w:t xml:space="preserve"> discussed below:</w:t>
      </w:r>
    </w:p>
    <w:p w14:paraId="0B56C27B" w14:textId="77777777" w:rsidR="007043DA" w:rsidRPr="0075513C" w:rsidRDefault="007043DA" w:rsidP="0075513C">
      <w:pPr>
        <w:pStyle w:val="NoSpacing"/>
        <w:jc w:val="both"/>
      </w:pPr>
    </w:p>
    <w:p w14:paraId="29C8FD8C" w14:textId="716EBDAE" w:rsidR="00134192" w:rsidRPr="008100B6" w:rsidRDefault="008029EC" w:rsidP="008029EC">
      <w:pPr>
        <w:pStyle w:val="Heading3"/>
        <w:numPr>
          <w:ilvl w:val="0"/>
          <w:numId w:val="0"/>
        </w:numPr>
        <w:rPr>
          <w:b w:val="0"/>
          <w:bCs w:val="0"/>
          <w:sz w:val="20"/>
        </w:rPr>
      </w:pPr>
      <w:bookmarkStart w:id="32" w:name="_Toc34586687"/>
      <w:r w:rsidRPr="008100B6">
        <w:rPr>
          <w:b w:val="0"/>
          <w:bCs w:val="0"/>
          <w:sz w:val="20"/>
        </w:rPr>
        <w:t>3.6.1</w:t>
      </w:r>
      <w:r w:rsidR="00134192" w:rsidRPr="008100B6">
        <w:rPr>
          <w:b w:val="0"/>
          <w:bCs w:val="0"/>
          <w:sz w:val="20"/>
        </w:rPr>
        <w:t xml:space="preserve">  Move to a national emissions standard of 1</w:t>
      </w:r>
      <w:r w:rsidR="00A974F0" w:rsidRPr="008100B6">
        <w:rPr>
          <w:b w:val="0"/>
          <w:bCs w:val="0"/>
          <w:sz w:val="20"/>
        </w:rPr>
        <w:t xml:space="preserve">.0 </w:t>
      </w:r>
      <w:r w:rsidR="00134192" w:rsidRPr="008100B6">
        <w:rPr>
          <w:b w:val="0"/>
          <w:bCs w:val="0"/>
          <w:sz w:val="20"/>
        </w:rPr>
        <w:t xml:space="preserve">g/kg as proposed in the </w:t>
      </w:r>
      <w:r w:rsidR="004D0062" w:rsidRPr="008100B6">
        <w:rPr>
          <w:b w:val="0"/>
          <w:bCs w:val="0"/>
          <w:sz w:val="20"/>
        </w:rPr>
        <w:t>NESAQ</w:t>
      </w:r>
      <w:r w:rsidR="00134192" w:rsidRPr="008100B6">
        <w:rPr>
          <w:b w:val="0"/>
          <w:bCs w:val="0"/>
          <w:sz w:val="20"/>
        </w:rPr>
        <w:t xml:space="preserve"> </w:t>
      </w:r>
      <w:r w:rsidR="003206D6" w:rsidRPr="008100B6">
        <w:rPr>
          <w:b w:val="0"/>
          <w:bCs w:val="0"/>
          <w:sz w:val="20"/>
        </w:rPr>
        <w:t>consultation</w:t>
      </w:r>
      <w:r w:rsidR="00134192" w:rsidRPr="008100B6">
        <w:rPr>
          <w:b w:val="0"/>
          <w:bCs w:val="0"/>
          <w:sz w:val="20"/>
        </w:rPr>
        <w:t xml:space="preserve"> document</w:t>
      </w:r>
      <w:bookmarkEnd w:id="32"/>
    </w:p>
    <w:p w14:paraId="1EB3A546" w14:textId="77777777" w:rsidR="00134192" w:rsidRDefault="00134192" w:rsidP="00134192">
      <w:pPr>
        <w:pStyle w:val="NoSpacing"/>
        <w:jc w:val="both"/>
      </w:pPr>
    </w:p>
    <w:p w14:paraId="79E90EAF" w14:textId="3DD4AE85" w:rsidR="00DC5AB6" w:rsidRDefault="00946A89" w:rsidP="00134192">
      <w:pPr>
        <w:pStyle w:val="NoSpacing"/>
        <w:jc w:val="both"/>
      </w:pPr>
      <w:r>
        <w:t xml:space="preserve">There </w:t>
      </w:r>
      <w:r w:rsidR="00C34013">
        <w:t>are various</w:t>
      </w:r>
      <w:r w:rsidR="0075291A">
        <w:t xml:space="preserve"> opinion</w:t>
      </w:r>
      <w:r w:rsidR="00235614">
        <w:t>s</w:t>
      </w:r>
      <w:r w:rsidR="0075291A">
        <w:t xml:space="preserve"> within the </w:t>
      </w:r>
      <w:r w:rsidR="00330663">
        <w:t>industry</w:t>
      </w:r>
      <w:r w:rsidR="0075291A">
        <w:t xml:space="preserve"> as to whether this </w:t>
      </w:r>
      <w:r w:rsidR="00D16D31">
        <w:t xml:space="preserve">move is </w:t>
      </w:r>
      <w:r w:rsidR="00330663">
        <w:t>worthwhile</w:t>
      </w:r>
      <w:r w:rsidR="00D16D31">
        <w:t xml:space="preserve"> or not.  Some </w:t>
      </w:r>
      <w:r w:rsidR="00330663">
        <w:t>consider</w:t>
      </w:r>
      <w:r w:rsidR="00611549">
        <w:t xml:space="preserve"> that this will unnecessarily </w:t>
      </w:r>
      <w:r w:rsidR="00330663">
        <w:t>restrict</w:t>
      </w:r>
      <w:r w:rsidR="00611549">
        <w:t xml:space="preserve"> choice in areas where there is no air quality issue, while others see it as </w:t>
      </w:r>
      <w:r w:rsidR="00DC5AB6">
        <w:t>an ongoing progression towards cleaner burners.</w:t>
      </w:r>
    </w:p>
    <w:p w14:paraId="01AE7403" w14:textId="77777777" w:rsidR="00DC5AB6" w:rsidRDefault="00DC5AB6" w:rsidP="00134192">
      <w:pPr>
        <w:pStyle w:val="NoSpacing"/>
        <w:jc w:val="both"/>
      </w:pPr>
    </w:p>
    <w:p w14:paraId="6CD837DB" w14:textId="790E049D" w:rsidR="00134192" w:rsidRDefault="004309EA" w:rsidP="00134192">
      <w:pPr>
        <w:pStyle w:val="NoSpacing"/>
        <w:jc w:val="both"/>
      </w:pPr>
      <w:r>
        <w:t>T</w:t>
      </w:r>
      <w:r w:rsidR="000F6725">
        <w:t xml:space="preserve">he data </w:t>
      </w:r>
      <w:r w:rsidR="000D5F13">
        <w:t>shows that t</w:t>
      </w:r>
      <w:r w:rsidR="00134192">
        <w:t xml:space="preserve">here </w:t>
      </w:r>
      <w:r w:rsidR="00DB0FD7">
        <w:t>is likely to</w:t>
      </w:r>
      <w:r w:rsidR="005E4E60">
        <w:t xml:space="preserve"> </w:t>
      </w:r>
      <w:r w:rsidR="00134192">
        <w:t>be minimal impact on the woodburner market from a move to lower the maximum allowable emissions from 1.5g/kg to 1</w:t>
      </w:r>
      <w:r w:rsidR="001E5915">
        <w:t>.0</w:t>
      </w:r>
      <w:r w:rsidR="00134192">
        <w:t xml:space="preserve"> g/kg.</w:t>
      </w:r>
    </w:p>
    <w:p w14:paraId="3DE3CD10" w14:textId="77777777" w:rsidR="00134192" w:rsidRDefault="00134192" w:rsidP="00134192">
      <w:pPr>
        <w:pStyle w:val="NoSpacing"/>
        <w:jc w:val="both"/>
      </w:pPr>
    </w:p>
    <w:p w14:paraId="673EA611" w14:textId="635D4006" w:rsidR="00134192" w:rsidRDefault="00134192" w:rsidP="00134192">
      <w:pPr>
        <w:pStyle w:val="NoSpacing"/>
        <w:jc w:val="both"/>
      </w:pPr>
      <w:r>
        <w:t xml:space="preserve">There are currently 298 authorised woodburners (excluding wood fired boiler systems and those without test results) listed on the </w:t>
      </w:r>
      <w:r w:rsidR="004D0062">
        <w:t>Ministry for the Environment</w:t>
      </w:r>
      <w:r>
        <w:t xml:space="preserve"> website.  Of these burners, 275 (92%) have emissions of no more than 1</w:t>
      </w:r>
      <w:r w:rsidR="00A974F0">
        <w:t xml:space="preserve">.0 </w:t>
      </w:r>
      <w:r>
        <w:t>g/kg.  A move to a maximum allowable emissions level of 1</w:t>
      </w:r>
      <w:r w:rsidR="00A974F0">
        <w:t xml:space="preserve">.0 </w:t>
      </w:r>
      <w:r>
        <w:t>g/kg would therefore exclude only 8% of these currently listed burners.  The impact will be less than that as in numerous locations such as Canterbury, Nelson</w:t>
      </w:r>
      <w:r w:rsidR="00F33CCD">
        <w:t xml:space="preserve"> and</w:t>
      </w:r>
      <w:r>
        <w:t xml:space="preserve"> Rotorua local rules have </w:t>
      </w:r>
      <w:r w:rsidR="00815678">
        <w:t xml:space="preserve">already </w:t>
      </w:r>
      <w:r>
        <w:t xml:space="preserve">prohibited the installation of all these burners that would be excluded if the limit </w:t>
      </w:r>
      <w:proofErr w:type="gramStart"/>
      <w:r>
        <w:t>was</w:t>
      </w:r>
      <w:proofErr w:type="gramEnd"/>
      <w:r>
        <w:t xml:space="preserve"> reduced from 1.5 to 1</w:t>
      </w:r>
      <w:r w:rsidR="001E5915">
        <w:t>.0</w:t>
      </w:r>
      <w:r>
        <w:t xml:space="preserve"> g/kg.</w:t>
      </w:r>
    </w:p>
    <w:p w14:paraId="6975D069" w14:textId="77777777" w:rsidR="00134192" w:rsidRDefault="00134192" w:rsidP="00134192">
      <w:pPr>
        <w:pStyle w:val="NoSpacing"/>
        <w:jc w:val="both"/>
      </w:pPr>
    </w:p>
    <w:p w14:paraId="67C93E1C" w14:textId="6C0882AD" w:rsidR="00134192" w:rsidRDefault="00134192" w:rsidP="0075513C">
      <w:pPr>
        <w:pStyle w:val="NoSpacing"/>
        <w:jc w:val="both"/>
      </w:pPr>
      <w:r>
        <w:t xml:space="preserve">There have been 32 woodburners added to </w:t>
      </w:r>
      <w:r w:rsidR="004D0062">
        <w:t>Ministry for the Environment</w:t>
      </w:r>
      <w:r>
        <w:t>’s list of authorised burners in the last two years.  Some of these burners have at least 2 variants, e.g. a log stacker base and a pedestal base, so they are counted as individual burners within this figure of 32, so the number of individual firebox designs will less than the 32 total.  Of these burners</w:t>
      </w:r>
      <w:r w:rsidR="00D92DB7">
        <w:t>,</w:t>
      </w:r>
      <w:r>
        <w:t xml:space="preserve"> all but one have emissions under 1</w:t>
      </w:r>
      <w:r w:rsidR="00A974F0">
        <w:t xml:space="preserve">.0 </w:t>
      </w:r>
      <w:r>
        <w:t>g/kg.  The range of emissions is from 0.2</w:t>
      </w:r>
      <w:r w:rsidR="005B5357">
        <w:t xml:space="preserve"> </w:t>
      </w:r>
      <w:r>
        <w:t xml:space="preserve">g/kg to 1.1 g/kg with the average emissions from the 32 </w:t>
      </w:r>
      <w:r w:rsidR="008337D3">
        <w:t xml:space="preserve">recent </w:t>
      </w:r>
      <w:r>
        <w:t>burners being 0.59</w:t>
      </w:r>
      <w:r w:rsidR="0077184C">
        <w:t xml:space="preserve"> </w:t>
      </w:r>
      <w:r>
        <w:t>g/kg.</w:t>
      </w:r>
    </w:p>
    <w:p w14:paraId="2E609C94" w14:textId="77777777" w:rsidR="00134192" w:rsidRDefault="00134192" w:rsidP="0075513C">
      <w:pPr>
        <w:pStyle w:val="NoSpacing"/>
        <w:jc w:val="both"/>
      </w:pPr>
    </w:p>
    <w:p w14:paraId="7DA39A3F" w14:textId="6A5BFE6F" w:rsidR="00134192" w:rsidRDefault="00134192" w:rsidP="0075513C">
      <w:pPr>
        <w:pStyle w:val="NoSpacing"/>
        <w:jc w:val="both"/>
      </w:pPr>
      <w:r>
        <w:t xml:space="preserve">Nearly half of these new burners </w:t>
      </w:r>
      <w:r w:rsidR="00CC1443">
        <w:t xml:space="preserve">were </w:t>
      </w:r>
      <w:r w:rsidR="00876C45">
        <w:t>designed</w:t>
      </w:r>
      <w:r w:rsidR="00CC1443">
        <w:t xml:space="preserve"> to meet the requirements in </w:t>
      </w:r>
      <w:r w:rsidR="00876C45">
        <w:t>Canterbury</w:t>
      </w:r>
      <w:r w:rsidR="00CC1443">
        <w:t xml:space="preserve"> and </w:t>
      </w:r>
      <w:r>
        <w:t>have been authorised as ULEBs</w:t>
      </w:r>
      <w:r w:rsidR="00CC1443">
        <w:t>.</w:t>
      </w:r>
      <w:r w:rsidR="0088665F">
        <w:t xml:space="preserve">  </w:t>
      </w:r>
      <w:r>
        <w:t xml:space="preserve">The </w:t>
      </w:r>
      <w:r w:rsidR="008337D3">
        <w:t>data</w:t>
      </w:r>
      <w:r>
        <w:t xml:space="preserve"> shows that industry is unlikely to have any </w:t>
      </w:r>
      <w:r w:rsidR="004B7B87">
        <w:t xml:space="preserve">real </w:t>
      </w:r>
      <w:r>
        <w:t>problem in designing or sourcing burners with emissions of 1</w:t>
      </w:r>
      <w:r w:rsidR="0077184C">
        <w:t xml:space="preserve">.0 </w:t>
      </w:r>
      <w:r>
        <w:t>g/kg or less.</w:t>
      </w:r>
    </w:p>
    <w:p w14:paraId="4A13A837" w14:textId="6F292A88" w:rsidR="006E6ABF" w:rsidRDefault="006E6ABF" w:rsidP="0075513C">
      <w:pPr>
        <w:pStyle w:val="NoSpacing"/>
        <w:jc w:val="both"/>
      </w:pPr>
    </w:p>
    <w:p w14:paraId="5B99924C" w14:textId="670D9DDA" w:rsidR="0089202D" w:rsidRDefault="006E6ABF" w:rsidP="006E6ABF">
      <w:pPr>
        <w:pStyle w:val="NoSpacing"/>
        <w:jc w:val="both"/>
      </w:pPr>
      <w:r>
        <w:t>Of the 48 insert model</w:t>
      </w:r>
      <w:r w:rsidR="00B75861">
        <w:t xml:space="preserve"> </w:t>
      </w:r>
      <w:r w:rsidR="00E81840">
        <w:t>woodburners</w:t>
      </w:r>
      <w:r>
        <w:t xml:space="preserve"> authorised under the </w:t>
      </w:r>
      <w:r w:rsidR="004D0062">
        <w:t>NESAQ</w:t>
      </w:r>
      <w:r>
        <w:t>, the average emissions is 0.79</w:t>
      </w:r>
      <w:r w:rsidR="003D2F81">
        <w:t xml:space="preserve"> </w:t>
      </w:r>
      <w:r>
        <w:t>g/kg and the average efficiency is 67.2%.  These figures are slightly dirtier and slightly less efficient when compared with the data for the 250 authorised freestanding woodburners of 0.73</w:t>
      </w:r>
      <w:r w:rsidR="003D2F81">
        <w:t xml:space="preserve"> </w:t>
      </w:r>
      <w:r>
        <w:t xml:space="preserve">g/kg and 68.8% </w:t>
      </w:r>
      <w:proofErr w:type="gramStart"/>
      <w:r>
        <w:t>efficiency</w:t>
      </w:r>
      <w:proofErr w:type="gramEnd"/>
      <w:r>
        <w:t xml:space="preserve"> respectively.</w:t>
      </w:r>
      <w:r w:rsidR="00342CCB">
        <w:t xml:space="preserve">  </w:t>
      </w:r>
      <w:r w:rsidR="0089202D">
        <w:t>O</w:t>
      </w:r>
      <w:r w:rsidR="00176349">
        <w:t>f the 48 insert models</w:t>
      </w:r>
      <w:r w:rsidR="0089202D">
        <w:t>, 43</w:t>
      </w:r>
      <w:r w:rsidR="00176349">
        <w:t xml:space="preserve"> are sub 1</w:t>
      </w:r>
      <w:r w:rsidR="001E5915">
        <w:t>.0</w:t>
      </w:r>
      <w:r w:rsidR="00176349">
        <w:t xml:space="preserve"> g/kg</w:t>
      </w:r>
      <w:r w:rsidR="001C3ECA">
        <w:t xml:space="preserve"> and would therefore comply with the </w:t>
      </w:r>
      <w:r w:rsidR="00876C45">
        <w:t>proposed</w:t>
      </w:r>
      <w:r w:rsidR="001C3ECA">
        <w:t xml:space="preserve"> </w:t>
      </w:r>
      <w:r w:rsidR="003A05C5">
        <w:t xml:space="preserve">new </w:t>
      </w:r>
      <w:r w:rsidR="004D0062">
        <w:t>NESAQ</w:t>
      </w:r>
      <w:r w:rsidR="00F743A6">
        <w:t xml:space="preserve"> </w:t>
      </w:r>
      <w:r w:rsidR="00C22616">
        <w:t>emissions</w:t>
      </w:r>
      <w:r w:rsidR="00F743A6">
        <w:t xml:space="preserve"> limit</w:t>
      </w:r>
      <w:r w:rsidR="003A05C5">
        <w:t xml:space="preserve">.  </w:t>
      </w:r>
    </w:p>
    <w:p w14:paraId="466917AC" w14:textId="77777777" w:rsidR="0089202D" w:rsidRDefault="0089202D" w:rsidP="006E6ABF">
      <w:pPr>
        <w:pStyle w:val="NoSpacing"/>
        <w:jc w:val="both"/>
      </w:pPr>
    </w:p>
    <w:p w14:paraId="6C57857B" w14:textId="19E3F7B0" w:rsidR="006E6ABF" w:rsidRDefault="00CA574D" w:rsidP="006E6ABF">
      <w:pPr>
        <w:pStyle w:val="NoSpacing"/>
        <w:jc w:val="both"/>
      </w:pPr>
      <w:r>
        <w:t xml:space="preserve">There are specific challenges with </w:t>
      </w:r>
      <w:r w:rsidR="00876C45">
        <w:t>insert</w:t>
      </w:r>
      <w:r>
        <w:t xml:space="preserve"> </w:t>
      </w:r>
      <w:r w:rsidR="00876C45">
        <w:t>models</w:t>
      </w:r>
      <w:r>
        <w:t xml:space="preserve"> </w:t>
      </w:r>
      <w:r w:rsidR="001139A7">
        <w:t xml:space="preserve">in meeting </w:t>
      </w:r>
      <w:r w:rsidR="004D0062">
        <w:t>Environment Canterbury</w:t>
      </w:r>
      <w:r w:rsidR="00876C45">
        <w:t>’s</w:t>
      </w:r>
      <w:r w:rsidR="001139A7">
        <w:t xml:space="preserve"> </w:t>
      </w:r>
      <w:r w:rsidR="00F03A84">
        <w:t>ULEB</w:t>
      </w:r>
      <w:r w:rsidR="001139A7">
        <w:t xml:space="preserve"> </w:t>
      </w:r>
      <w:r w:rsidR="00876C45">
        <w:t>criteria</w:t>
      </w:r>
      <w:r w:rsidR="001139A7">
        <w:t xml:space="preserve"> </w:t>
      </w:r>
      <w:r w:rsidR="001139A7" w:rsidRPr="002635F2">
        <w:t>and</w:t>
      </w:r>
      <w:r w:rsidR="001139A7">
        <w:t xml:space="preserve"> the required 65% </w:t>
      </w:r>
      <w:r w:rsidR="00876C45">
        <w:t>efficiency</w:t>
      </w:r>
      <w:r w:rsidR="001139A7">
        <w:t xml:space="preserve"> and </w:t>
      </w:r>
      <w:r w:rsidR="00404B81">
        <w:t xml:space="preserve">these are </w:t>
      </w:r>
      <w:r w:rsidR="00876C45">
        <w:t>discussed</w:t>
      </w:r>
      <w:r w:rsidR="00404B81">
        <w:t xml:space="preserve"> further in section </w:t>
      </w:r>
      <w:r w:rsidR="006642E0">
        <w:t>3.7.1</w:t>
      </w:r>
      <w:r w:rsidR="00404B81">
        <w:t>.</w:t>
      </w:r>
    </w:p>
    <w:p w14:paraId="1951A5EF" w14:textId="77777777" w:rsidR="006E6ABF" w:rsidRDefault="006E6ABF" w:rsidP="0075513C">
      <w:pPr>
        <w:pStyle w:val="NoSpacing"/>
        <w:jc w:val="both"/>
      </w:pPr>
    </w:p>
    <w:p w14:paraId="5D68072C" w14:textId="46F1210C" w:rsidR="00134192" w:rsidRPr="008100B6" w:rsidRDefault="00134192" w:rsidP="00080D5E">
      <w:pPr>
        <w:pStyle w:val="Heading3"/>
        <w:numPr>
          <w:ilvl w:val="0"/>
          <w:numId w:val="0"/>
        </w:numPr>
        <w:rPr>
          <w:b w:val="0"/>
          <w:bCs w:val="0"/>
          <w:sz w:val="20"/>
        </w:rPr>
      </w:pPr>
      <w:bookmarkStart w:id="33" w:name="_Toc34586688"/>
      <w:r w:rsidRPr="008100B6">
        <w:rPr>
          <w:b w:val="0"/>
          <w:bCs w:val="0"/>
          <w:sz w:val="20"/>
        </w:rPr>
        <w:t xml:space="preserve">3.6.2  Include a broader range of solid fuel </w:t>
      </w:r>
      <w:r w:rsidR="007832B2" w:rsidRPr="008100B6">
        <w:rPr>
          <w:b w:val="0"/>
          <w:bCs w:val="0"/>
          <w:sz w:val="20"/>
        </w:rPr>
        <w:t>burners</w:t>
      </w:r>
      <w:r w:rsidRPr="008100B6">
        <w:rPr>
          <w:b w:val="0"/>
          <w:bCs w:val="0"/>
          <w:sz w:val="20"/>
        </w:rPr>
        <w:t xml:space="preserve"> under the </w:t>
      </w:r>
      <w:r w:rsidR="004D0062" w:rsidRPr="008100B6">
        <w:rPr>
          <w:b w:val="0"/>
          <w:bCs w:val="0"/>
          <w:sz w:val="20"/>
        </w:rPr>
        <w:t>NESAQ</w:t>
      </w:r>
      <w:bookmarkEnd w:id="33"/>
    </w:p>
    <w:p w14:paraId="1F2EB1CF" w14:textId="6630F70E" w:rsidR="00134192" w:rsidRDefault="00134192" w:rsidP="00115225"/>
    <w:p w14:paraId="5698C944" w14:textId="6874063A" w:rsidR="00134192" w:rsidRPr="005B06BB" w:rsidRDefault="00134192" w:rsidP="00134192">
      <w:pPr>
        <w:pStyle w:val="NoSpacing"/>
        <w:jc w:val="both"/>
        <w:rPr>
          <w:b/>
          <w:bCs/>
        </w:rPr>
      </w:pPr>
      <w:r w:rsidRPr="005B06BB">
        <w:rPr>
          <w:b/>
          <w:bCs/>
        </w:rPr>
        <w:t xml:space="preserve">Pellet </w:t>
      </w:r>
      <w:r>
        <w:rPr>
          <w:b/>
          <w:bCs/>
        </w:rPr>
        <w:t>burners</w:t>
      </w:r>
    </w:p>
    <w:p w14:paraId="2422B1AB" w14:textId="24C8AE0A" w:rsidR="00504DF7" w:rsidRDefault="00134192" w:rsidP="00B75861">
      <w:pPr>
        <w:pStyle w:val="NoSpacing"/>
        <w:jc w:val="both"/>
      </w:pPr>
      <w:r>
        <w:t xml:space="preserve">Pellet fires are designed to burn a standardised fuel, </w:t>
      </w:r>
      <w:r w:rsidR="003835A9">
        <w:t>being</w:t>
      </w:r>
      <w:r>
        <w:t xml:space="preserve"> a pellet made of compressed sawdust</w:t>
      </w:r>
      <w:r w:rsidR="00F743A6">
        <w:t xml:space="preserve"> or wood waste</w:t>
      </w:r>
      <w:r>
        <w:t xml:space="preserve">, in a controlled combustion device.  Pellet fires are manufactured overseas and </w:t>
      </w:r>
      <w:r w:rsidR="00875D03">
        <w:t>gen</w:t>
      </w:r>
      <w:r w:rsidR="006976FD">
        <w:t>er</w:t>
      </w:r>
      <w:r w:rsidR="00875D03">
        <w:t xml:space="preserve">ally </w:t>
      </w:r>
      <w:r>
        <w:t xml:space="preserve">tested to European standard EN </w:t>
      </w:r>
      <w:r w:rsidR="00875D03">
        <w:t>14785</w:t>
      </w:r>
      <w:r>
        <w:t xml:space="preserve">.  Because of the standardised nature of the fuel and the controlled combustion </w:t>
      </w:r>
      <w:r w:rsidRPr="00B66AFA">
        <w:t xml:space="preserve">occurring in a </w:t>
      </w:r>
      <w:r w:rsidR="004D0062" w:rsidRPr="00B66AFA">
        <w:t>pellet fire</w:t>
      </w:r>
      <w:r w:rsidRPr="00B66AFA">
        <w:t>, there is likely to be little difference between test results and real life operation of</w:t>
      </w:r>
      <w:r>
        <w:t xml:space="preserve"> the burner</w:t>
      </w:r>
      <w:r w:rsidR="00D12F63">
        <w:t xml:space="preserve"> and </w:t>
      </w:r>
      <w:r w:rsidR="00DA04E8">
        <w:t>certainly</w:t>
      </w:r>
      <w:r w:rsidR="00D12F63">
        <w:t xml:space="preserve"> much less than would be the </w:t>
      </w:r>
      <w:r w:rsidR="00DA04E8">
        <w:t>case</w:t>
      </w:r>
      <w:r w:rsidR="00D12F63">
        <w:t xml:space="preserve"> for a conventional woodburner</w:t>
      </w:r>
      <w:r>
        <w:t xml:space="preserve">.  </w:t>
      </w:r>
    </w:p>
    <w:p w14:paraId="56D93C02" w14:textId="77777777" w:rsidR="00247FD8" w:rsidRDefault="00247FD8" w:rsidP="00B75861">
      <w:pPr>
        <w:pStyle w:val="NoSpacing"/>
        <w:jc w:val="both"/>
      </w:pPr>
    </w:p>
    <w:p w14:paraId="79E339C4" w14:textId="5084BB1E" w:rsidR="00247FD8" w:rsidRDefault="00134192" w:rsidP="00247FD8">
      <w:pPr>
        <w:pStyle w:val="NoSpacing"/>
        <w:jc w:val="both"/>
      </w:pPr>
      <w:r>
        <w:t xml:space="preserve">Test results from the European standard have been </w:t>
      </w:r>
      <w:r w:rsidR="00D72F5B">
        <w:t xml:space="preserve">considered as </w:t>
      </w:r>
      <w:r>
        <w:t>acceptable for the purposes of authorisation in NZ</w:t>
      </w:r>
      <w:r w:rsidR="00D72F5B">
        <w:t>, after ma</w:t>
      </w:r>
      <w:r w:rsidR="00ED1DD1">
        <w:t xml:space="preserve">king any adjustments as </w:t>
      </w:r>
      <w:r w:rsidR="006F55AD">
        <w:t>necessary</w:t>
      </w:r>
      <w:r w:rsidR="00ED1DD1">
        <w:t xml:space="preserve"> </w:t>
      </w:r>
      <w:r w:rsidR="00DC129B">
        <w:t xml:space="preserve">based on the test </w:t>
      </w:r>
      <w:r w:rsidR="006F55AD">
        <w:t>method</w:t>
      </w:r>
      <w:r w:rsidR="00DC129B">
        <w:t xml:space="preserve"> used.</w:t>
      </w:r>
      <w:r w:rsidR="00247FD8">
        <w:t xml:space="preserve">  This </w:t>
      </w:r>
      <w:r w:rsidR="00330663">
        <w:t>includes</w:t>
      </w:r>
      <w:r w:rsidR="00247FD8">
        <w:t xml:space="preserve"> compensating for the European test data being supplied on the basis of net calorific value (NCV) of the fuel </w:t>
      </w:r>
      <w:r w:rsidR="00346937">
        <w:t xml:space="preserve">in order </w:t>
      </w:r>
      <w:r w:rsidR="00247FD8">
        <w:t>to make it consistent with the gross calorific value (GCV) of the fuel specified in AS/NZS 5078:2007.</w:t>
      </w:r>
    </w:p>
    <w:p w14:paraId="0D60532F" w14:textId="77777777" w:rsidR="006C54F7" w:rsidRDefault="006C54F7" w:rsidP="006C54F7">
      <w:pPr>
        <w:pStyle w:val="NoSpacing"/>
        <w:jc w:val="both"/>
      </w:pPr>
    </w:p>
    <w:p w14:paraId="4F1FCC4F" w14:textId="6750DFFD" w:rsidR="006C54F7" w:rsidRDefault="006C54F7" w:rsidP="006C54F7">
      <w:pPr>
        <w:pStyle w:val="NoSpacing"/>
        <w:jc w:val="both"/>
      </w:pPr>
      <w:r w:rsidRPr="00EE0F32">
        <w:t>All pellet fires</w:t>
      </w:r>
      <w:r>
        <w:t xml:space="preserve"> currently listed on the </w:t>
      </w:r>
      <w:r w:rsidR="004D0062">
        <w:t>Ministry for the Environment</w:t>
      </w:r>
      <w:r>
        <w:t xml:space="preserve"> website meet a maximum allowable emissions level of 1</w:t>
      </w:r>
      <w:r w:rsidR="001E5915">
        <w:t>.0</w:t>
      </w:r>
      <w:r>
        <w:t xml:space="preserve"> g/kg and would therefore not be impacted at all by a reduction in the maximum allowable emissions to 1</w:t>
      </w:r>
      <w:r w:rsidR="001E5915">
        <w:t xml:space="preserve">.0 </w:t>
      </w:r>
      <w:r>
        <w:t>g/kg.</w:t>
      </w:r>
    </w:p>
    <w:p w14:paraId="26C616E6" w14:textId="18694A00" w:rsidR="0055044A" w:rsidRDefault="0055044A" w:rsidP="006C54F7">
      <w:pPr>
        <w:pStyle w:val="NoSpacing"/>
        <w:jc w:val="both"/>
      </w:pPr>
    </w:p>
    <w:p w14:paraId="1A48B0AD" w14:textId="6466F624" w:rsidR="0055044A" w:rsidRDefault="0055044A" w:rsidP="006C54F7">
      <w:pPr>
        <w:pStyle w:val="NoSpacing"/>
        <w:jc w:val="both"/>
      </w:pPr>
      <w:r>
        <w:lastRenderedPageBreak/>
        <w:t xml:space="preserve">Testing of </w:t>
      </w:r>
      <w:r w:rsidR="00C22616">
        <w:t>pellet</w:t>
      </w:r>
      <w:r>
        <w:t xml:space="preserve"> fires should be allowed to be carried out to a </w:t>
      </w:r>
      <w:r w:rsidR="00C22616">
        <w:t>recognised</w:t>
      </w:r>
      <w:r>
        <w:t xml:space="preserve"> standard such as </w:t>
      </w:r>
      <w:r w:rsidR="009B28B0">
        <w:t xml:space="preserve">EN 14785 or </w:t>
      </w:r>
      <w:r w:rsidR="00C6124C">
        <w:t xml:space="preserve">the new </w:t>
      </w:r>
      <w:r w:rsidR="009B28B0">
        <w:t>EN</w:t>
      </w:r>
      <w:r w:rsidR="00493CF2">
        <w:t xml:space="preserve"> 16150 </w:t>
      </w:r>
      <w:r w:rsidR="00B57233">
        <w:t>standard</w:t>
      </w:r>
      <w:r w:rsidR="00E74CE3">
        <w:t xml:space="preserve"> </w:t>
      </w:r>
      <w:r w:rsidR="00493CF2">
        <w:t xml:space="preserve">when it </w:t>
      </w:r>
      <w:r w:rsidR="00C22616">
        <w:t>becomes</w:t>
      </w:r>
      <w:r w:rsidR="00493CF2">
        <w:t xml:space="preserve"> operative.</w:t>
      </w:r>
    </w:p>
    <w:p w14:paraId="11EDC400" w14:textId="77777777" w:rsidR="006C54F7" w:rsidRDefault="006C54F7" w:rsidP="006C54F7">
      <w:pPr>
        <w:pStyle w:val="NoSpacing"/>
        <w:jc w:val="both"/>
      </w:pPr>
    </w:p>
    <w:p w14:paraId="1BF856A6" w14:textId="461FD84E" w:rsidR="00564507" w:rsidRPr="006A7EB2" w:rsidRDefault="00564507" w:rsidP="00564507">
      <w:pPr>
        <w:rPr>
          <w:b/>
          <w:bCs/>
        </w:rPr>
      </w:pPr>
      <w:r w:rsidRPr="006A7EB2">
        <w:rPr>
          <w:b/>
          <w:bCs/>
        </w:rPr>
        <w:t>Water boilers</w:t>
      </w:r>
    </w:p>
    <w:p w14:paraId="2120DD06" w14:textId="3C1A9635" w:rsidR="00564507" w:rsidRPr="0017261B" w:rsidRDefault="00FE65EC" w:rsidP="0075513C">
      <w:pPr>
        <w:pStyle w:val="NoSpacing"/>
        <w:jc w:val="both"/>
      </w:pPr>
      <w:r w:rsidRPr="0017261B">
        <w:t xml:space="preserve">There are already </w:t>
      </w:r>
      <w:r w:rsidR="00CD6B12">
        <w:t>several</w:t>
      </w:r>
      <w:r w:rsidRPr="0017261B">
        <w:t xml:space="preserve"> wood fired and pellet fuelled boiler systems </w:t>
      </w:r>
      <w:r w:rsidR="006F55AD" w:rsidRPr="0017261B">
        <w:t>authorised</w:t>
      </w:r>
      <w:r w:rsidRPr="0017261B">
        <w:t xml:space="preserve"> </w:t>
      </w:r>
      <w:r w:rsidR="006A7EB2">
        <w:t xml:space="preserve">as low emission burners </w:t>
      </w:r>
      <w:r w:rsidRPr="0017261B">
        <w:t xml:space="preserve">and most also </w:t>
      </w:r>
      <w:r w:rsidR="006F55AD" w:rsidRPr="0017261B">
        <w:t>qualif</w:t>
      </w:r>
      <w:r w:rsidR="006A7EB2">
        <w:t>y</w:t>
      </w:r>
      <w:r w:rsidR="00D64BD2" w:rsidRPr="0017261B">
        <w:t xml:space="preserve"> as ULEBs.  These systems are generally </w:t>
      </w:r>
      <w:r w:rsidR="006F55AD" w:rsidRPr="0017261B">
        <w:t>imported</w:t>
      </w:r>
      <w:r w:rsidR="00D64BD2" w:rsidRPr="0017261B">
        <w:t xml:space="preserve"> and tend to be </w:t>
      </w:r>
      <w:r w:rsidR="006F55AD" w:rsidRPr="0017261B">
        <w:t>electronically</w:t>
      </w:r>
      <w:r w:rsidR="002E7A35" w:rsidRPr="0017261B">
        <w:t xml:space="preserve"> controlled to </w:t>
      </w:r>
      <w:r w:rsidR="006F55AD" w:rsidRPr="0017261B">
        <w:t>efficiently</w:t>
      </w:r>
      <w:r w:rsidR="002E7A35" w:rsidRPr="0017261B">
        <w:t xml:space="preserve"> burn </w:t>
      </w:r>
      <w:r w:rsidR="006C2DAA">
        <w:t>wood or pellet</w:t>
      </w:r>
      <w:r w:rsidR="002E7A35" w:rsidRPr="0017261B">
        <w:t xml:space="preserve"> fuel to create hot water to be used for home heating.</w:t>
      </w:r>
    </w:p>
    <w:p w14:paraId="21313A00" w14:textId="788AD236" w:rsidR="004D7760" w:rsidRPr="0017261B" w:rsidRDefault="004D7760" w:rsidP="0075513C">
      <w:pPr>
        <w:pStyle w:val="NoSpacing"/>
        <w:jc w:val="both"/>
      </w:pPr>
    </w:p>
    <w:p w14:paraId="00AF5503" w14:textId="4E98D7E0" w:rsidR="004D7760" w:rsidRPr="0017261B" w:rsidRDefault="004D7760" w:rsidP="0075513C">
      <w:pPr>
        <w:pStyle w:val="NoSpacing"/>
        <w:jc w:val="both"/>
      </w:pPr>
      <w:r w:rsidRPr="0017261B">
        <w:t xml:space="preserve">Recent </w:t>
      </w:r>
      <w:r w:rsidR="006F55AD" w:rsidRPr="0017261B">
        <w:t>examples</w:t>
      </w:r>
      <w:r w:rsidRPr="0017261B">
        <w:t xml:space="preserve"> authorised have been </w:t>
      </w:r>
      <w:r w:rsidR="006F55AD" w:rsidRPr="0017261B">
        <w:t>tested</w:t>
      </w:r>
      <w:r w:rsidRPr="0017261B">
        <w:t xml:space="preserve"> to the </w:t>
      </w:r>
      <w:r w:rsidR="006F55AD" w:rsidRPr="0017261B">
        <w:t>functionally</w:t>
      </w:r>
      <w:r w:rsidRPr="0017261B">
        <w:t xml:space="preserve"> </w:t>
      </w:r>
      <w:r w:rsidR="006F55AD" w:rsidRPr="0017261B">
        <w:t>equivalent</w:t>
      </w:r>
      <w:r w:rsidRPr="0017261B">
        <w:t xml:space="preserve"> EN </w:t>
      </w:r>
      <w:r w:rsidR="00531AFA">
        <w:t>303-5</w:t>
      </w:r>
      <w:r w:rsidRPr="0017261B">
        <w:t xml:space="preserve"> method</w:t>
      </w:r>
      <w:r w:rsidR="00F140C1" w:rsidRPr="0017261B">
        <w:t>.</w:t>
      </w:r>
    </w:p>
    <w:p w14:paraId="0DAEE0AB" w14:textId="08EDAC42" w:rsidR="00F140C1" w:rsidRPr="0017261B" w:rsidRDefault="00F140C1" w:rsidP="00C8628C">
      <w:pPr>
        <w:pStyle w:val="NoSpacing"/>
        <w:jc w:val="both"/>
      </w:pPr>
    </w:p>
    <w:p w14:paraId="20F6214C" w14:textId="2B577B62" w:rsidR="00F140C1" w:rsidRPr="0017261B" w:rsidRDefault="006F55AD" w:rsidP="0075513C">
      <w:pPr>
        <w:pStyle w:val="NoSpacing"/>
        <w:jc w:val="both"/>
      </w:pPr>
      <w:r w:rsidRPr="0017261B">
        <w:t>Because</w:t>
      </w:r>
      <w:r w:rsidR="00FA4DB7" w:rsidRPr="0017261B">
        <w:t xml:space="preserve"> of the automated control systems included in the </w:t>
      </w:r>
      <w:r w:rsidR="005176A8" w:rsidRPr="0017261B">
        <w:t xml:space="preserve">design, and the use of </w:t>
      </w:r>
      <w:r w:rsidRPr="0017261B">
        <w:t>standard</w:t>
      </w:r>
      <w:r w:rsidR="005176A8" w:rsidRPr="0017261B">
        <w:t xml:space="preserve"> fuel in the case of pellet fired boilers, </w:t>
      </w:r>
      <w:r w:rsidR="00E74CE3">
        <w:t>water boilers</w:t>
      </w:r>
      <w:r w:rsidR="005176A8" w:rsidRPr="0017261B">
        <w:t xml:space="preserve"> tend to operate cleanly and </w:t>
      </w:r>
      <w:r w:rsidRPr="0017261B">
        <w:t>efficiently</w:t>
      </w:r>
      <w:r w:rsidR="005176A8" w:rsidRPr="0017261B">
        <w:t xml:space="preserve">.  For </w:t>
      </w:r>
      <w:r w:rsidRPr="0017261B">
        <w:t>example</w:t>
      </w:r>
      <w:r w:rsidR="005176A8" w:rsidRPr="0017261B">
        <w:t xml:space="preserve">, the Froling and Spark </w:t>
      </w:r>
      <w:r w:rsidR="0017261B" w:rsidRPr="0017261B">
        <w:t xml:space="preserve">ranges of boiler </w:t>
      </w:r>
      <w:r w:rsidRPr="0017261B">
        <w:t>systems</w:t>
      </w:r>
      <w:r w:rsidR="0017261B" w:rsidRPr="0017261B">
        <w:t xml:space="preserve"> range from </w:t>
      </w:r>
      <w:r w:rsidR="0005161A">
        <w:t>0.26</w:t>
      </w:r>
      <w:r w:rsidR="0017261B" w:rsidRPr="0017261B">
        <w:t xml:space="preserve"> to </w:t>
      </w:r>
      <w:r w:rsidR="0005161A">
        <w:t>0.4 g/kg</w:t>
      </w:r>
      <w:r w:rsidR="0017261B" w:rsidRPr="0017261B">
        <w:t xml:space="preserve"> </w:t>
      </w:r>
      <w:r w:rsidRPr="0017261B">
        <w:t>emissions</w:t>
      </w:r>
      <w:r w:rsidR="0017261B" w:rsidRPr="0017261B">
        <w:t xml:space="preserve"> and </w:t>
      </w:r>
      <w:r w:rsidR="0005161A">
        <w:t>83</w:t>
      </w:r>
      <w:r w:rsidR="0017261B" w:rsidRPr="0017261B">
        <w:t xml:space="preserve"> to </w:t>
      </w:r>
      <w:r w:rsidR="0005161A">
        <w:t>85</w:t>
      </w:r>
      <w:r w:rsidR="0017261B" w:rsidRPr="0017261B">
        <w:t xml:space="preserve"> % </w:t>
      </w:r>
      <w:r w:rsidRPr="0017261B">
        <w:t>efficiency</w:t>
      </w:r>
      <w:r w:rsidR="0017261B" w:rsidRPr="0017261B">
        <w:t xml:space="preserve"> for wood </w:t>
      </w:r>
      <w:r w:rsidR="007B3E7A">
        <w:t>fuelled</w:t>
      </w:r>
      <w:r w:rsidR="0017261B" w:rsidRPr="0017261B">
        <w:t xml:space="preserve"> and from </w:t>
      </w:r>
      <w:r w:rsidR="00532F72">
        <w:t>0.1</w:t>
      </w:r>
      <w:r w:rsidR="0017261B" w:rsidRPr="0017261B">
        <w:t xml:space="preserve"> to </w:t>
      </w:r>
      <w:r w:rsidR="00532F72">
        <w:t>0.2 g/kg</w:t>
      </w:r>
      <w:r w:rsidR="0017261B" w:rsidRPr="0017261B">
        <w:t xml:space="preserve"> </w:t>
      </w:r>
      <w:r w:rsidRPr="0017261B">
        <w:t>emissions</w:t>
      </w:r>
      <w:r w:rsidR="0017261B" w:rsidRPr="0017261B">
        <w:t xml:space="preserve"> and </w:t>
      </w:r>
      <w:r w:rsidR="00532F72">
        <w:t>around 80%</w:t>
      </w:r>
      <w:r w:rsidR="0017261B" w:rsidRPr="0017261B">
        <w:t xml:space="preserve"> </w:t>
      </w:r>
      <w:r w:rsidRPr="0017261B">
        <w:t>efficiency</w:t>
      </w:r>
      <w:r w:rsidR="0017261B" w:rsidRPr="0017261B">
        <w:t xml:space="preserve"> for pellet fuelled</w:t>
      </w:r>
      <w:r w:rsidR="00532F72">
        <w:t xml:space="preserve"> models</w:t>
      </w:r>
      <w:r w:rsidR="0017261B" w:rsidRPr="0017261B">
        <w:t>.</w:t>
      </w:r>
    </w:p>
    <w:p w14:paraId="22452124" w14:textId="77777777" w:rsidR="00EF0569" w:rsidRDefault="00EF0569" w:rsidP="0075513C">
      <w:pPr>
        <w:pStyle w:val="NoSpacing"/>
        <w:jc w:val="both"/>
      </w:pPr>
    </w:p>
    <w:p w14:paraId="2196A335" w14:textId="3AAE59EA" w:rsidR="0017261B" w:rsidRDefault="0017261B" w:rsidP="0075513C">
      <w:pPr>
        <w:pStyle w:val="NoSpacing"/>
        <w:jc w:val="both"/>
      </w:pPr>
      <w:r w:rsidRPr="0017261B">
        <w:t xml:space="preserve">Such burners would not be impacted by a move to </w:t>
      </w:r>
      <w:r w:rsidR="006C2DAA">
        <w:t xml:space="preserve">a </w:t>
      </w:r>
      <w:r w:rsidRPr="0017261B">
        <w:t>1</w:t>
      </w:r>
      <w:r w:rsidR="001E5915">
        <w:t>.0</w:t>
      </w:r>
      <w:r w:rsidRPr="0017261B">
        <w:t xml:space="preserve"> g/kg </w:t>
      </w:r>
      <w:r w:rsidR="006F55AD" w:rsidRPr="0017261B">
        <w:t>emissions</w:t>
      </w:r>
      <w:r w:rsidR="006C2DAA">
        <w:t xml:space="preserve"> limit</w:t>
      </w:r>
      <w:r w:rsidRPr="0017261B">
        <w:t>.</w:t>
      </w:r>
    </w:p>
    <w:p w14:paraId="47156F63" w14:textId="1C5F1098" w:rsidR="00A021FE" w:rsidRDefault="00A021FE" w:rsidP="0075513C">
      <w:pPr>
        <w:pStyle w:val="NoSpacing"/>
        <w:jc w:val="both"/>
      </w:pPr>
    </w:p>
    <w:p w14:paraId="21CDF280" w14:textId="08F26F9D" w:rsidR="00A021FE" w:rsidRDefault="00A021FE" w:rsidP="00A021FE">
      <w:pPr>
        <w:pStyle w:val="NoSpacing"/>
        <w:jc w:val="both"/>
      </w:pPr>
      <w:r>
        <w:t xml:space="preserve">Testing of boilers should be allowed to </w:t>
      </w:r>
      <w:r w:rsidR="00B57233">
        <w:t>continue</w:t>
      </w:r>
      <w:r w:rsidR="00EC2A67">
        <w:t xml:space="preserve"> to </w:t>
      </w:r>
      <w:r>
        <w:t xml:space="preserve">be carried out to a </w:t>
      </w:r>
      <w:r w:rsidR="00C22616">
        <w:t>recognised</w:t>
      </w:r>
      <w:r>
        <w:t xml:space="preserve"> standard such as EN </w:t>
      </w:r>
      <w:r w:rsidR="008943E0">
        <w:t>303-5</w:t>
      </w:r>
      <w:r>
        <w:t xml:space="preserve"> or EN 16150 when it </w:t>
      </w:r>
      <w:r w:rsidR="00C22616">
        <w:t>becomes</w:t>
      </w:r>
      <w:r>
        <w:t xml:space="preserve"> operative.</w:t>
      </w:r>
    </w:p>
    <w:p w14:paraId="060C52B7" w14:textId="77777777" w:rsidR="00A021FE" w:rsidRPr="0017261B" w:rsidRDefault="00A021FE" w:rsidP="0075513C">
      <w:pPr>
        <w:pStyle w:val="NoSpacing"/>
        <w:jc w:val="both"/>
      </w:pPr>
    </w:p>
    <w:p w14:paraId="70DD1B14" w14:textId="6767E30F" w:rsidR="00564507" w:rsidRPr="007E2593" w:rsidRDefault="00564507" w:rsidP="007E2593">
      <w:pPr>
        <w:rPr>
          <w:b/>
          <w:bCs/>
        </w:rPr>
      </w:pPr>
      <w:r w:rsidRPr="007E2593">
        <w:rPr>
          <w:b/>
          <w:bCs/>
        </w:rPr>
        <w:t>Multi-fuel burners (MFBs)</w:t>
      </w:r>
    </w:p>
    <w:p w14:paraId="6D64D210" w14:textId="50462963" w:rsidR="00564507" w:rsidRDefault="00564507" w:rsidP="00564507">
      <w:pPr>
        <w:pStyle w:val="NoSpacing"/>
        <w:rPr>
          <w:rFonts w:eastAsia="Times New Roman"/>
        </w:rPr>
      </w:pPr>
      <w:r w:rsidRPr="00D019CC">
        <w:t>There are a small number of MFBs burning wood and coal available in the NZ market from suppliers such as Yunca, Harris</w:t>
      </w:r>
      <w:r w:rsidR="00646957">
        <w:t xml:space="preserve"> Home Fires</w:t>
      </w:r>
      <w:r w:rsidRPr="00D019CC">
        <w:t xml:space="preserve"> and Jayline.  As they are currently excluded from the NESAQ </w:t>
      </w:r>
      <w:r w:rsidR="0002077C">
        <w:t xml:space="preserve">there is only limited </w:t>
      </w:r>
      <w:r w:rsidRPr="00D019CC">
        <w:t xml:space="preserve">emissions data </w:t>
      </w:r>
      <w:r w:rsidR="002A44BF">
        <w:t>available for</w:t>
      </w:r>
      <w:r w:rsidRPr="00D019CC">
        <w:t xml:space="preserve"> these burners</w:t>
      </w:r>
      <w:r w:rsidR="007301BD">
        <w:t xml:space="preserve">. </w:t>
      </w:r>
      <w:r w:rsidRPr="00D019CC">
        <w:t xml:space="preserve"> </w:t>
      </w:r>
      <w:r w:rsidR="00E551FA">
        <w:t>Harris</w:t>
      </w:r>
      <w:r w:rsidRPr="00D019CC">
        <w:t xml:space="preserve"> </w:t>
      </w:r>
      <w:r w:rsidR="007A5E6B">
        <w:t xml:space="preserve">Home Fires </w:t>
      </w:r>
      <w:r w:rsidRPr="00D019CC">
        <w:t>offers the RMF multi-fuel fire</w:t>
      </w:r>
      <w:r>
        <w:rPr>
          <w:rFonts w:eastAsia="Times New Roman"/>
        </w:rPr>
        <w:t xml:space="preserve"> which they describe as “the clean choice” on their website </w:t>
      </w:r>
      <w:hyperlink r:id="rId15" w:history="1">
        <w:r>
          <w:rPr>
            <w:rStyle w:val="Hyperlink"/>
            <w:rFonts w:eastAsia="Times New Roman"/>
          </w:rPr>
          <w:t>https://www.woodsman.co.nz/rmf</w:t>
        </w:r>
      </w:hyperlink>
      <w:r>
        <w:rPr>
          <w:rFonts w:eastAsia="Times New Roman"/>
        </w:rPr>
        <w:t xml:space="preserve"> and show an emissions level of 3.9 g/kg for this model.  </w:t>
      </w:r>
      <w:r w:rsidR="00C920B6">
        <w:rPr>
          <w:rFonts w:eastAsia="Times New Roman"/>
        </w:rPr>
        <w:t xml:space="preserve">Glen Dimplex’s </w:t>
      </w:r>
      <w:r w:rsidR="00557E9F">
        <w:rPr>
          <w:rFonts w:eastAsia="Times New Roman"/>
        </w:rPr>
        <w:t xml:space="preserve">now obsolete </w:t>
      </w:r>
      <w:r w:rsidR="005A2696">
        <w:rPr>
          <w:rFonts w:eastAsia="Times New Roman"/>
        </w:rPr>
        <w:t>Hestia</w:t>
      </w:r>
      <w:r w:rsidR="00512D9B">
        <w:rPr>
          <w:rFonts w:eastAsia="Times New Roman"/>
        </w:rPr>
        <w:t xml:space="preserve"> and Kro</w:t>
      </w:r>
      <w:r w:rsidR="005A2696">
        <w:rPr>
          <w:rFonts w:eastAsia="Times New Roman"/>
        </w:rPr>
        <w:t>nos</w:t>
      </w:r>
      <w:r w:rsidR="00512D9B">
        <w:rPr>
          <w:rFonts w:eastAsia="Times New Roman"/>
        </w:rPr>
        <w:t xml:space="preserve"> MFBs</w:t>
      </w:r>
      <w:r w:rsidR="00661323">
        <w:rPr>
          <w:rFonts w:eastAsia="Times New Roman"/>
        </w:rPr>
        <w:t xml:space="preserve"> </w:t>
      </w:r>
      <w:r w:rsidR="00557E9F">
        <w:rPr>
          <w:rFonts w:eastAsia="Times New Roman"/>
        </w:rPr>
        <w:t>had</w:t>
      </w:r>
      <w:r w:rsidR="00661323">
        <w:rPr>
          <w:rFonts w:eastAsia="Times New Roman"/>
        </w:rPr>
        <w:t xml:space="preserve"> </w:t>
      </w:r>
      <w:r w:rsidR="005A2696">
        <w:rPr>
          <w:rFonts w:eastAsia="Times New Roman"/>
        </w:rPr>
        <w:t>emissions</w:t>
      </w:r>
      <w:r w:rsidR="00661323">
        <w:rPr>
          <w:rFonts w:eastAsia="Times New Roman"/>
        </w:rPr>
        <w:t xml:space="preserve"> of </w:t>
      </w:r>
      <w:r w:rsidR="00353448">
        <w:rPr>
          <w:rFonts w:eastAsia="Times New Roman"/>
        </w:rPr>
        <w:t>2.56 g/kg and 3.6 g/</w:t>
      </w:r>
      <w:proofErr w:type="gramStart"/>
      <w:r w:rsidR="00353448">
        <w:rPr>
          <w:rFonts w:eastAsia="Times New Roman"/>
        </w:rPr>
        <w:t>kg</w:t>
      </w:r>
      <w:proofErr w:type="gramEnd"/>
      <w:r w:rsidR="00353448">
        <w:rPr>
          <w:rFonts w:eastAsia="Times New Roman"/>
        </w:rPr>
        <w:t xml:space="preserve"> respectively.  </w:t>
      </w:r>
      <w:r w:rsidR="00B152B4">
        <w:rPr>
          <w:rFonts w:eastAsia="Times New Roman"/>
        </w:rPr>
        <w:t xml:space="preserve">Environment </w:t>
      </w:r>
      <w:r w:rsidR="00B907F5">
        <w:rPr>
          <w:rFonts w:eastAsia="Times New Roman"/>
        </w:rPr>
        <w:t>Canterbury’s</w:t>
      </w:r>
      <w:r w:rsidR="00B152B4">
        <w:rPr>
          <w:rFonts w:eastAsia="Times New Roman"/>
        </w:rPr>
        <w:t xml:space="preserve"> 2009 </w:t>
      </w:r>
      <w:r w:rsidR="00300CA2">
        <w:rPr>
          <w:rFonts w:eastAsia="Times New Roman"/>
        </w:rPr>
        <w:t>emissions</w:t>
      </w:r>
      <w:r w:rsidR="00B152B4">
        <w:rPr>
          <w:rFonts w:eastAsia="Times New Roman"/>
        </w:rPr>
        <w:t xml:space="preserve"> </w:t>
      </w:r>
      <w:r w:rsidR="00300CA2">
        <w:rPr>
          <w:rFonts w:eastAsia="Times New Roman"/>
        </w:rPr>
        <w:t>inventory</w:t>
      </w:r>
      <w:r w:rsidR="00984F6F">
        <w:rPr>
          <w:rFonts w:eastAsia="Times New Roman"/>
        </w:rPr>
        <w:t xml:space="preserve"> </w:t>
      </w:r>
      <w:r w:rsidR="00457A00">
        <w:rPr>
          <w:rFonts w:eastAsia="Times New Roman"/>
        </w:rPr>
        <w:t>shows</w:t>
      </w:r>
      <w:r>
        <w:rPr>
          <w:rFonts w:eastAsia="Times New Roman"/>
        </w:rPr>
        <w:t xml:space="preserve"> emissions rates for MFBs </w:t>
      </w:r>
      <w:r w:rsidR="00B32468">
        <w:rPr>
          <w:rFonts w:eastAsia="Times New Roman"/>
        </w:rPr>
        <w:t xml:space="preserve">when </w:t>
      </w:r>
      <w:r w:rsidR="00B907F5">
        <w:rPr>
          <w:rFonts w:eastAsia="Times New Roman"/>
        </w:rPr>
        <w:t>burning</w:t>
      </w:r>
      <w:r w:rsidR="00B32468">
        <w:rPr>
          <w:rFonts w:eastAsia="Times New Roman"/>
        </w:rPr>
        <w:t xml:space="preserve"> wood </w:t>
      </w:r>
      <w:r>
        <w:rPr>
          <w:rFonts w:eastAsia="Times New Roman"/>
        </w:rPr>
        <w:t xml:space="preserve">are </w:t>
      </w:r>
      <w:r w:rsidR="00B32468">
        <w:rPr>
          <w:rFonts w:eastAsia="Times New Roman"/>
        </w:rPr>
        <w:t xml:space="preserve">three </w:t>
      </w:r>
      <w:r>
        <w:rPr>
          <w:rFonts w:eastAsia="Times New Roman"/>
        </w:rPr>
        <w:t xml:space="preserve">times that of pure </w:t>
      </w:r>
      <w:r w:rsidR="004D0062">
        <w:rPr>
          <w:rFonts w:eastAsia="Times New Roman"/>
        </w:rPr>
        <w:t>woodburner</w:t>
      </w:r>
      <w:r>
        <w:rPr>
          <w:rFonts w:eastAsia="Times New Roman"/>
        </w:rPr>
        <w:t>s</w:t>
      </w:r>
      <w:r w:rsidR="00B32468">
        <w:rPr>
          <w:rFonts w:eastAsia="Times New Roman"/>
        </w:rPr>
        <w:t xml:space="preserve">, and six </w:t>
      </w:r>
      <w:r w:rsidR="00B907F5">
        <w:rPr>
          <w:rFonts w:eastAsia="Times New Roman"/>
        </w:rPr>
        <w:t>times</w:t>
      </w:r>
      <w:r w:rsidR="00B32468">
        <w:rPr>
          <w:rFonts w:eastAsia="Times New Roman"/>
        </w:rPr>
        <w:t xml:space="preserve"> </w:t>
      </w:r>
      <w:r w:rsidR="000B49C6">
        <w:rPr>
          <w:rFonts w:eastAsia="Times New Roman"/>
        </w:rPr>
        <w:t>higher when burning coal</w:t>
      </w:r>
      <w:r>
        <w:rPr>
          <w:rFonts w:eastAsia="Times New Roman"/>
        </w:rPr>
        <w:t>.</w:t>
      </w:r>
    </w:p>
    <w:p w14:paraId="4FDB9D22" w14:textId="77777777" w:rsidR="00564507" w:rsidRDefault="00564507" w:rsidP="00564507">
      <w:pPr>
        <w:pStyle w:val="NoSpacing"/>
        <w:ind w:left="360"/>
        <w:rPr>
          <w:rFonts w:eastAsia="Times New Roman"/>
        </w:rPr>
      </w:pPr>
    </w:p>
    <w:p w14:paraId="3727FBCA" w14:textId="562DA117" w:rsidR="00564507" w:rsidRDefault="00564507" w:rsidP="00564507">
      <w:pPr>
        <w:pStyle w:val="NoSpacing"/>
        <w:jc w:val="both"/>
      </w:pPr>
      <w:r w:rsidRPr="00D019CC">
        <w:t>MFBs are a compromise design and have to deal with the quite different combustion characteristics of wood and coal.  Coal has a high level of fixed carbon and a low level of volatiles whereas wood is the opposite with low fixed carbon and high volatiles.  This affects the requirements for primary and secondary combustion air and can result in poor emissions performance if wood and coal are burnt simultaneously or interchangeably in quick succession.</w:t>
      </w:r>
    </w:p>
    <w:p w14:paraId="2F89C1DA" w14:textId="52DEA182" w:rsidR="006F4DF8" w:rsidRDefault="006F4DF8" w:rsidP="00564507">
      <w:pPr>
        <w:pStyle w:val="NoSpacing"/>
        <w:jc w:val="both"/>
      </w:pPr>
    </w:p>
    <w:p w14:paraId="41E6E5D9" w14:textId="520C85B4" w:rsidR="006F4DF8" w:rsidRPr="00D019CC" w:rsidRDefault="006F4DF8" w:rsidP="00564507">
      <w:pPr>
        <w:pStyle w:val="NoSpacing"/>
        <w:jc w:val="both"/>
      </w:pPr>
      <w:r>
        <w:t>The fundamental difference between a MFB and a conventional woodburner is that a MFB incorporates a grate for fuel to burn on whereas a dedicated woodburner is designed for the fuel to burn on a bed of ash.</w:t>
      </w:r>
    </w:p>
    <w:p w14:paraId="13F35771" w14:textId="77777777" w:rsidR="00564507" w:rsidRPr="00D019CC" w:rsidRDefault="00564507" w:rsidP="00564507">
      <w:pPr>
        <w:pStyle w:val="NoSpacing"/>
        <w:jc w:val="both"/>
      </w:pPr>
    </w:p>
    <w:p w14:paraId="796E4278" w14:textId="6201F7E7" w:rsidR="00564507" w:rsidRPr="00D019CC" w:rsidRDefault="00564507" w:rsidP="00564507">
      <w:pPr>
        <w:pStyle w:val="NoSpacing"/>
        <w:jc w:val="both"/>
      </w:pPr>
      <w:r w:rsidRPr="00D019CC">
        <w:t xml:space="preserve">Many MFBs </w:t>
      </w:r>
      <w:r w:rsidR="004F0024">
        <w:t xml:space="preserve">are </w:t>
      </w:r>
      <w:r w:rsidR="006F55AD">
        <w:t>operated</w:t>
      </w:r>
      <w:r w:rsidR="004F0024">
        <w:t xml:space="preserve"> using</w:t>
      </w:r>
      <w:r w:rsidRPr="00D019CC">
        <w:t xml:space="preserve"> solely wood </w:t>
      </w:r>
      <w:r>
        <w:t xml:space="preserve">as a fuel </w:t>
      </w:r>
      <w:r w:rsidRPr="00D019CC">
        <w:t>and thus represent a less clean way of burning wood compared with a modern woodburner.</w:t>
      </w:r>
    </w:p>
    <w:p w14:paraId="15F8ED2F" w14:textId="2C6CA3B0" w:rsidR="00564507" w:rsidRDefault="00564507" w:rsidP="00564507">
      <w:pPr>
        <w:pStyle w:val="NoSpacing"/>
        <w:jc w:val="both"/>
      </w:pPr>
    </w:p>
    <w:p w14:paraId="7DD3D057" w14:textId="77777777" w:rsidR="0068466E" w:rsidRDefault="0068466E" w:rsidP="0068466E">
      <w:pPr>
        <w:pStyle w:val="NoSpacing"/>
        <w:jc w:val="both"/>
      </w:pPr>
      <w:r w:rsidRPr="00D019CC">
        <w:t xml:space="preserve">There </w:t>
      </w:r>
      <w:proofErr w:type="gramStart"/>
      <w:r w:rsidRPr="00D019CC">
        <w:t>doesn’t</w:t>
      </w:r>
      <w:proofErr w:type="gramEnd"/>
      <w:r w:rsidRPr="00D019CC">
        <w:t xml:space="preserve"> appear to be any issue with MFBs </w:t>
      </w:r>
      <w:r>
        <w:t xml:space="preserve">being able to </w:t>
      </w:r>
      <w:r w:rsidRPr="00D019CC">
        <w:t>achiev</w:t>
      </w:r>
      <w:r>
        <w:t>e</w:t>
      </w:r>
      <w:r w:rsidRPr="00D019CC">
        <w:t xml:space="preserve"> a 65% efficiency standard.</w:t>
      </w:r>
    </w:p>
    <w:p w14:paraId="5ED072DF" w14:textId="77777777" w:rsidR="0068466E" w:rsidRPr="00D019CC" w:rsidRDefault="0068466E" w:rsidP="00564507">
      <w:pPr>
        <w:pStyle w:val="NoSpacing"/>
        <w:jc w:val="both"/>
      </w:pPr>
    </w:p>
    <w:p w14:paraId="09839262" w14:textId="2F785CD7" w:rsidR="00AB7D5F" w:rsidRDefault="00564507" w:rsidP="00AB7D5F">
      <w:pPr>
        <w:pStyle w:val="NoSpacing"/>
        <w:jc w:val="both"/>
      </w:pPr>
      <w:r w:rsidRPr="00D019CC">
        <w:t xml:space="preserve">MFBs are a niche product with low sales volumes.  As a result, there is little appetite for manufacturers to develop cleaner models.  </w:t>
      </w:r>
      <w:r w:rsidR="006151CA">
        <w:t xml:space="preserve">They </w:t>
      </w:r>
      <w:proofErr w:type="gramStart"/>
      <w:r w:rsidR="00A726D0">
        <w:t>don’t</w:t>
      </w:r>
      <w:proofErr w:type="gramEnd"/>
      <w:r w:rsidR="006151CA">
        <w:t xml:space="preserve"> meet the current 1.5</w:t>
      </w:r>
      <w:r w:rsidR="00E42F27">
        <w:t xml:space="preserve"> </w:t>
      </w:r>
      <w:r w:rsidR="006151CA">
        <w:t xml:space="preserve">g/kg standard </w:t>
      </w:r>
      <w:r w:rsidR="00F565CE">
        <w:t>but</w:t>
      </w:r>
      <w:r w:rsidR="003A0523">
        <w:t xml:space="preserve"> can be used now </w:t>
      </w:r>
      <w:r w:rsidR="00F565CE">
        <w:t>as they are not covered by the NESAQ</w:t>
      </w:r>
      <w:r w:rsidR="00481593">
        <w:t>,</w:t>
      </w:r>
      <w:r w:rsidR="00F565CE">
        <w:t xml:space="preserve"> except in</w:t>
      </w:r>
      <w:r w:rsidR="003A0523">
        <w:t xml:space="preserve"> regions where </w:t>
      </w:r>
      <w:r w:rsidR="00F565CE">
        <w:t>prohibited</w:t>
      </w:r>
      <w:r w:rsidR="003A0523">
        <w:t xml:space="preserve"> by local planning rules</w:t>
      </w:r>
      <w:r w:rsidR="00F565CE">
        <w:t xml:space="preserve">.  </w:t>
      </w:r>
      <w:r w:rsidRPr="00D019CC">
        <w:t>On the basis of the information available it appears unlikely that MFB</w:t>
      </w:r>
      <w:r w:rsidR="00AB7D5F">
        <w:t>s</w:t>
      </w:r>
      <w:r w:rsidRPr="00D019CC">
        <w:t xml:space="preserve"> could achieve the proposed 1</w:t>
      </w:r>
      <w:r w:rsidR="0077184C">
        <w:t xml:space="preserve">.0 </w:t>
      </w:r>
      <w:r w:rsidRPr="00D019CC">
        <w:t>g/kg overall emissions</w:t>
      </w:r>
      <w:r w:rsidR="00AB7D5F">
        <w:t xml:space="preserve"> standard and </w:t>
      </w:r>
      <w:r w:rsidR="00502D18">
        <w:t xml:space="preserve">would </w:t>
      </w:r>
      <w:r w:rsidR="00AB7D5F">
        <w:t>therefore be unable to be installed in NZ</w:t>
      </w:r>
      <w:r w:rsidR="004F4A98">
        <w:t xml:space="preserve"> if included within the NESAQ</w:t>
      </w:r>
      <w:r w:rsidR="00AB7D5F">
        <w:t>.</w:t>
      </w:r>
    </w:p>
    <w:p w14:paraId="09AFD3A8" w14:textId="52DD42AF" w:rsidR="00564507" w:rsidRPr="00D019CC" w:rsidRDefault="00564507" w:rsidP="00564507">
      <w:pPr>
        <w:pStyle w:val="NoSpacing"/>
        <w:jc w:val="both"/>
      </w:pPr>
    </w:p>
    <w:p w14:paraId="576A8C74" w14:textId="677959E9" w:rsidR="0079738E" w:rsidRPr="00FA489D" w:rsidRDefault="00131C23" w:rsidP="0079738E">
      <w:pPr>
        <w:pStyle w:val="NoSpacing"/>
        <w:rPr>
          <w:rFonts w:cstheme="minorHAnsi"/>
          <w:b/>
          <w:bCs/>
        </w:rPr>
      </w:pPr>
      <w:r>
        <w:rPr>
          <w:rFonts w:cstheme="minorHAnsi"/>
          <w:b/>
          <w:bCs/>
        </w:rPr>
        <w:lastRenderedPageBreak/>
        <w:t>C</w:t>
      </w:r>
      <w:r w:rsidR="0079738E" w:rsidRPr="00FA489D">
        <w:rPr>
          <w:rFonts w:cstheme="minorHAnsi"/>
          <w:b/>
          <w:bCs/>
        </w:rPr>
        <w:t>ookers</w:t>
      </w:r>
    </w:p>
    <w:p w14:paraId="7F52FF2A" w14:textId="56ACDA69" w:rsidR="00B66BA2" w:rsidRDefault="00325BA3" w:rsidP="005C2F92">
      <w:pPr>
        <w:pStyle w:val="NoSpacing"/>
        <w:jc w:val="both"/>
        <w:rPr>
          <w:rFonts w:cstheme="minorHAnsi"/>
        </w:rPr>
      </w:pPr>
      <w:r w:rsidRPr="0075513C">
        <w:t xml:space="preserve">Solid fuel fired cookers are not </w:t>
      </w:r>
      <w:r w:rsidR="009D3CDE" w:rsidRPr="0075513C">
        <w:t>currently</w:t>
      </w:r>
      <w:r w:rsidRPr="0075513C">
        <w:t xml:space="preserve"> included within the </w:t>
      </w:r>
      <w:r w:rsidR="004D0062">
        <w:t>NESAQ</w:t>
      </w:r>
      <w:r w:rsidR="00CF74E0" w:rsidRPr="0075513C">
        <w:t xml:space="preserve">, </w:t>
      </w:r>
      <w:r w:rsidR="009D3CDE" w:rsidRPr="0075513C">
        <w:t>although</w:t>
      </w:r>
      <w:r w:rsidR="00CF74E0" w:rsidRPr="0075513C">
        <w:t xml:space="preserve"> </w:t>
      </w:r>
      <w:r w:rsidR="00D502AA">
        <w:t xml:space="preserve">the </w:t>
      </w:r>
      <w:r w:rsidR="00FD479B">
        <w:t xml:space="preserve">proposed </w:t>
      </w:r>
      <w:r w:rsidR="003206D6">
        <w:t>amendments</w:t>
      </w:r>
      <w:r w:rsidR="00D502AA">
        <w:t xml:space="preserve"> </w:t>
      </w:r>
      <w:r w:rsidR="00785292">
        <w:t xml:space="preserve">proposes </w:t>
      </w:r>
      <w:r w:rsidR="002038D0">
        <w:t>including</w:t>
      </w:r>
      <w:r w:rsidR="003768EC">
        <w:t xml:space="preserve"> cookers</w:t>
      </w:r>
      <w:r w:rsidR="0061080B" w:rsidRPr="0075513C">
        <w:t>.</w:t>
      </w:r>
      <w:r w:rsidR="005C2F92">
        <w:t xml:space="preserve">  </w:t>
      </w:r>
      <w:r w:rsidR="00785292">
        <w:t>Cookers</w:t>
      </w:r>
      <w:r w:rsidR="00E768C0">
        <w:t xml:space="preserve"> </w:t>
      </w:r>
      <w:r w:rsidR="009D5E4E" w:rsidRPr="0075513C">
        <w:t xml:space="preserve">are restricted </w:t>
      </w:r>
      <w:r w:rsidR="00E41129">
        <w:t xml:space="preserve">or banned </w:t>
      </w:r>
      <w:r w:rsidR="009D5E4E" w:rsidRPr="0075513C">
        <w:t>in some areas of NZ</w:t>
      </w:r>
      <w:r w:rsidR="002911B9" w:rsidRPr="0075513C">
        <w:t xml:space="preserve"> by </w:t>
      </w:r>
      <w:r w:rsidR="009D5E4E" w:rsidRPr="0075513C">
        <w:t xml:space="preserve">regional council </w:t>
      </w:r>
      <w:r w:rsidR="00F4080D" w:rsidRPr="0075513C">
        <w:t xml:space="preserve">planning laws.  </w:t>
      </w:r>
    </w:p>
    <w:p w14:paraId="4FFA5C3B" w14:textId="77777777" w:rsidR="00B66BA2" w:rsidRDefault="00B66BA2" w:rsidP="006A2E8F">
      <w:pPr>
        <w:pStyle w:val="NoSpacing"/>
        <w:rPr>
          <w:rFonts w:cstheme="minorHAnsi"/>
        </w:rPr>
      </w:pPr>
    </w:p>
    <w:p w14:paraId="77916061" w14:textId="418F0135" w:rsidR="00E92749" w:rsidRPr="00640791" w:rsidRDefault="004D0062" w:rsidP="00177BF2">
      <w:pPr>
        <w:pStyle w:val="NoSpacing"/>
        <w:jc w:val="both"/>
        <w:rPr>
          <w:rFonts w:cstheme="minorHAnsi"/>
        </w:rPr>
      </w:pPr>
      <w:r w:rsidRPr="00177BF2">
        <w:t>AS/NZS 4012 and AS/NZS 4013</w:t>
      </w:r>
      <w:r w:rsidR="00C317BB" w:rsidRPr="00177BF2">
        <w:t xml:space="preserve"> </w:t>
      </w:r>
      <w:r w:rsidR="002D2A1F" w:rsidRPr="00177BF2">
        <w:t>exclude</w:t>
      </w:r>
      <w:r w:rsidR="00B873C0" w:rsidRPr="00177BF2">
        <w:t xml:space="preserve"> cookers, so </w:t>
      </w:r>
      <w:r w:rsidR="00E92749" w:rsidRPr="00177BF2">
        <w:t xml:space="preserve">a </w:t>
      </w:r>
      <w:r w:rsidR="00330663" w:rsidRPr="00177BF2">
        <w:t>functionally</w:t>
      </w:r>
      <w:r w:rsidR="003A0C43" w:rsidRPr="00177BF2">
        <w:t xml:space="preserve"> equivalent </w:t>
      </w:r>
      <w:r w:rsidR="00E92749" w:rsidRPr="00177BF2">
        <w:t xml:space="preserve">standard would have to be obtained or developed, or an existing standard </w:t>
      </w:r>
      <w:r w:rsidR="00D32B36" w:rsidRPr="00177BF2">
        <w:t>such</w:t>
      </w:r>
      <w:r w:rsidR="00E92749" w:rsidRPr="00177BF2">
        <w:t xml:space="preserve"> as </w:t>
      </w:r>
      <w:r w:rsidRPr="00177BF2">
        <w:t>AS/NZS 4012 and AS/NZS 4013</w:t>
      </w:r>
      <w:r w:rsidR="00E92749" w:rsidRPr="00177BF2">
        <w:t xml:space="preserve"> would nee</w:t>
      </w:r>
      <w:r w:rsidR="002C65A7" w:rsidRPr="00177BF2">
        <w:t>d</w:t>
      </w:r>
      <w:r w:rsidR="00E92749" w:rsidRPr="00177BF2">
        <w:t xml:space="preserve"> to be </w:t>
      </w:r>
      <w:r w:rsidR="00D32B36" w:rsidRPr="00177BF2">
        <w:t>modified</w:t>
      </w:r>
      <w:r w:rsidR="00E236E3">
        <w:t>.  T</w:t>
      </w:r>
      <w:r w:rsidR="00177BF2">
        <w:t xml:space="preserve">he new European standard could be used: </w:t>
      </w:r>
      <w:r w:rsidR="00177BF2" w:rsidRPr="00B80944">
        <w:t>EN 16510-2-3</w:t>
      </w:r>
      <w:r w:rsidR="00177BF2">
        <w:t xml:space="preserve"> </w:t>
      </w:r>
      <w:r w:rsidR="00177BF2" w:rsidRPr="00B80944">
        <w:t>Residential solid fuel burning appliances - Part 2-3: Cookers</w:t>
      </w:r>
      <w:r w:rsidR="00177BF2">
        <w:t>.</w:t>
      </w:r>
    </w:p>
    <w:p w14:paraId="5BD2AFE7" w14:textId="77777777" w:rsidR="00E92749" w:rsidRPr="00640791" w:rsidRDefault="00E92749" w:rsidP="0079738E">
      <w:pPr>
        <w:pStyle w:val="NoSpacing"/>
        <w:rPr>
          <w:rFonts w:cstheme="minorHAnsi"/>
        </w:rPr>
      </w:pPr>
    </w:p>
    <w:p w14:paraId="7CE96AF6" w14:textId="7695243F" w:rsidR="002112DD" w:rsidRPr="0075513C" w:rsidRDefault="00E83775" w:rsidP="002112DD">
      <w:pPr>
        <w:pStyle w:val="NoSpacing"/>
      </w:pPr>
      <w:r w:rsidRPr="00640791">
        <w:rPr>
          <w:rFonts w:cstheme="minorHAnsi"/>
        </w:rPr>
        <w:t xml:space="preserve">Solid </w:t>
      </w:r>
      <w:r w:rsidR="00D32B36" w:rsidRPr="00640791">
        <w:rPr>
          <w:rFonts w:cstheme="minorHAnsi"/>
        </w:rPr>
        <w:t>fuel</w:t>
      </w:r>
      <w:r w:rsidRPr="00640791">
        <w:rPr>
          <w:rFonts w:cstheme="minorHAnsi"/>
        </w:rPr>
        <w:t xml:space="preserve"> cookers are designed </w:t>
      </w:r>
      <w:r w:rsidR="00BE30D6" w:rsidRPr="00640791">
        <w:rPr>
          <w:rFonts w:cstheme="minorHAnsi"/>
        </w:rPr>
        <w:t xml:space="preserve">to be well </w:t>
      </w:r>
      <w:r w:rsidR="00D32B36" w:rsidRPr="00640791">
        <w:rPr>
          <w:rFonts w:cstheme="minorHAnsi"/>
        </w:rPr>
        <w:t>insulated</w:t>
      </w:r>
      <w:r w:rsidR="00BE30D6" w:rsidRPr="00640791">
        <w:rPr>
          <w:rFonts w:cstheme="minorHAnsi"/>
        </w:rPr>
        <w:t xml:space="preserve"> and to keep heat inside the oven</w:t>
      </w:r>
      <w:r w:rsidR="00FB7F82" w:rsidRPr="00640791">
        <w:rPr>
          <w:rFonts w:cstheme="minorHAnsi"/>
        </w:rPr>
        <w:t xml:space="preserve">.  They are not designed to heat a room and </w:t>
      </w:r>
      <w:r w:rsidR="001240B4">
        <w:rPr>
          <w:rFonts w:cstheme="minorHAnsi"/>
        </w:rPr>
        <w:t>may</w:t>
      </w:r>
      <w:r w:rsidR="00F81859" w:rsidRPr="00640791">
        <w:rPr>
          <w:rFonts w:cstheme="minorHAnsi"/>
        </w:rPr>
        <w:t xml:space="preserve"> struggle to meet </w:t>
      </w:r>
      <w:r w:rsidR="0079738E" w:rsidRPr="00640791">
        <w:rPr>
          <w:rFonts w:cstheme="minorHAnsi"/>
        </w:rPr>
        <w:t>65% efficiency</w:t>
      </w:r>
      <w:r w:rsidR="00F81859" w:rsidRPr="00640791">
        <w:rPr>
          <w:rFonts w:cstheme="minorHAnsi"/>
        </w:rPr>
        <w:t>.</w:t>
      </w:r>
      <w:r w:rsidR="002112DD">
        <w:rPr>
          <w:rFonts w:cstheme="minorHAnsi"/>
        </w:rPr>
        <w:t xml:space="preserve">  They </w:t>
      </w:r>
      <w:r w:rsidR="002112DD" w:rsidRPr="0075513C">
        <w:t>are generally designed as multi-fuel burners but in practice most are fuelled by wood.</w:t>
      </w:r>
    </w:p>
    <w:p w14:paraId="245F73C7" w14:textId="77777777" w:rsidR="002112DD" w:rsidRDefault="002112DD" w:rsidP="0079738E">
      <w:pPr>
        <w:pStyle w:val="NoSpacing"/>
        <w:rPr>
          <w:rFonts w:cstheme="minorHAnsi"/>
          <w:highlight w:val="yellow"/>
        </w:rPr>
      </w:pPr>
    </w:p>
    <w:p w14:paraId="3823A8C5" w14:textId="4028035D" w:rsidR="000F3D87" w:rsidRDefault="00F81859" w:rsidP="0075513C">
      <w:pPr>
        <w:pStyle w:val="NoSpacing"/>
        <w:jc w:val="both"/>
      </w:pPr>
      <w:r w:rsidRPr="0075513C">
        <w:t xml:space="preserve">Solid </w:t>
      </w:r>
      <w:r w:rsidR="00D32B36" w:rsidRPr="0075513C">
        <w:t>fuel</w:t>
      </w:r>
      <w:r w:rsidRPr="0075513C">
        <w:t xml:space="preserve"> </w:t>
      </w:r>
      <w:r w:rsidR="00D32B36" w:rsidRPr="0075513C">
        <w:t>cookers</w:t>
      </w:r>
      <w:r w:rsidRPr="0075513C">
        <w:t xml:space="preserve"> are a niche </w:t>
      </w:r>
      <w:r w:rsidR="00D32B36" w:rsidRPr="0075513C">
        <w:t>product</w:t>
      </w:r>
      <w:r w:rsidR="001C5CE2" w:rsidRPr="0075513C">
        <w:t xml:space="preserve"> and </w:t>
      </w:r>
      <w:r w:rsidR="00DA4641">
        <w:t>have been</w:t>
      </w:r>
      <w:r w:rsidR="001C5CE2" w:rsidRPr="0075513C">
        <w:t xml:space="preserve"> described by </w:t>
      </w:r>
      <w:r w:rsidR="00F51E97" w:rsidRPr="0075513C">
        <w:t>staff of Br</w:t>
      </w:r>
      <w:r w:rsidR="005A2696" w:rsidRPr="0075513C">
        <w:t>oa</w:t>
      </w:r>
      <w:r w:rsidR="00F51E97" w:rsidRPr="0075513C">
        <w:t>dy’s, a</w:t>
      </w:r>
      <w:r w:rsidR="001C5CE2" w:rsidRPr="0075513C">
        <w:t xml:space="preserve"> ret</w:t>
      </w:r>
      <w:r w:rsidR="003F0363" w:rsidRPr="0075513C">
        <w:t>a</w:t>
      </w:r>
      <w:r w:rsidR="001C5CE2" w:rsidRPr="0075513C">
        <w:t xml:space="preserve">iler of </w:t>
      </w:r>
      <w:r w:rsidR="00CE3633" w:rsidRPr="0075513C">
        <w:t xml:space="preserve">solid fuel </w:t>
      </w:r>
      <w:r w:rsidR="001C5CE2" w:rsidRPr="0075513C">
        <w:t>cookers</w:t>
      </w:r>
      <w:r w:rsidR="00DA4641">
        <w:t>,</w:t>
      </w:r>
      <w:r w:rsidR="001C5CE2" w:rsidRPr="0075513C">
        <w:t xml:space="preserve"> as </w:t>
      </w:r>
      <w:r w:rsidR="006E3CC6">
        <w:t>“</w:t>
      </w:r>
      <w:r w:rsidR="001C5CE2" w:rsidRPr="0075513C">
        <w:t xml:space="preserve">a </w:t>
      </w:r>
      <w:r w:rsidR="00D32B36" w:rsidRPr="0075513C">
        <w:t>declining</w:t>
      </w:r>
      <w:r w:rsidR="001C5CE2" w:rsidRPr="0075513C">
        <w:t xml:space="preserve"> market</w:t>
      </w:r>
      <w:r w:rsidR="006E3CC6">
        <w:t>”</w:t>
      </w:r>
      <w:r w:rsidR="001C5CE2" w:rsidRPr="0075513C">
        <w:t xml:space="preserve">.  </w:t>
      </w:r>
      <w:r w:rsidR="003F0363" w:rsidRPr="0075513C">
        <w:t>While e</w:t>
      </w:r>
      <w:r w:rsidR="0082350A" w:rsidRPr="0075513C">
        <w:t>xact sales volumes are unknown, market feedback suggest</w:t>
      </w:r>
      <w:r w:rsidR="003F0363" w:rsidRPr="0075513C">
        <w:t>s</w:t>
      </w:r>
      <w:r w:rsidR="0082350A" w:rsidRPr="0075513C">
        <w:t xml:space="preserve"> that they would be of the order of no more than a few </w:t>
      </w:r>
      <w:r w:rsidR="00D32B36" w:rsidRPr="0075513C">
        <w:t>hundred</w:t>
      </w:r>
      <w:r w:rsidR="0082350A" w:rsidRPr="0075513C">
        <w:t xml:space="preserve"> per year.</w:t>
      </w:r>
      <w:r w:rsidR="003F0363" w:rsidRPr="0075513C">
        <w:t xml:space="preserve">  This volume, coupled with the fact that </w:t>
      </w:r>
      <w:r w:rsidR="00D32B36" w:rsidRPr="0075513C">
        <w:t>purchasers</w:t>
      </w:r>
      <w:r w:rsidR="003F0363" w:rsidRPr="0075513C">
        <w:t xml:space="preserve"> </w:t>
      </w:r>
      <w:r w:rsidR="00CE3633" w:rsidRPr="0075513C">
        <w:t>are often</w:t>
      </w:r>
      <w:r w:rsidR="003F0363" w:rsidRPr="0075513C">
        <w:t xml:space="preserve"> from rural areas</w:t>
      </w:r>
      <w:r w:rsidR="00833119" w:rsidRPr="0075513C">
        <w:t xml:space="preserve"> would suggest that there is </w:t>
      </w:r>
      <w:r w:rsidR="00D32B36" w:rsidRPr="0075513C">
        <w:t>little</w:t>
      </w:r>
      <w:r w:rsidR="00833119" w:rsidRPr="0075513C">
        <w:t xml:space="preserve"> reason to be concerned about the </w:t>
      </w:r>
      <w:r w:rsidR="00D32B36" w:rsidRPr="0075513C">
        <w:t>emissions</w:t>
      </w:r>
      <w:r w:rsidR="00833119" w:rsidRPr="0075513C">
        <w:t xml:space="preserve"> from </w:t>
      </w:r>
      <w:r w:rsidR="00C3797A" w:rsidRPr="0075513C">
        <w:t>solid fuel cooking</w:t>
      </w:r>
      <w:r w:rsidR="00024932" w:rsidRPr="0075513C">
        <w:t xml:space="preserve"> </w:t>
      </w:r>
      <w:r w:rsidR="00760ABC">
        <w:t xml:space="preserve">outside of </w:t>
      </w:r>
      <w:r w:rsidR="0051295E">
        <w:t>areas of dense population</w:t>
      </w:r>
      <w:r w:rsidR="00C3797A" w:rsidRPr="0075513C">
        <w:t>.</w:t>
      </w:r>
      <w:r w:rsidR="00024932" w:rsidRPr="0075513C">
        <w:t xml:space="preserve">  </w:t>
      </w:r>
    </w:p>
    <w:p w14:paraId="58563392" w14:textId="7E0558E1" w:rsidR="001104B1" w:rsidRDefault="001104B1" w:rsidP="0075513C">
      <w:pPr>
        <w:pStyle w:val="NoSpacing"/>
        <w:jc w:val="both"/>
      </w:pPr>
    </w:p>
    <w:p w14:paraId="2E2F9EB5" w14:textId="0C7892AB" w:rsidR="001104B1" w:rsidRDefault="001104B1" w:rsidP="0075513C">
      <w:pPr>
        <w:pStyle w:val="NoSpacing"/>
        <w:jc w:val="both"/>
      </w:pPr>
      <w:r>
        <w:t xml:space="preserve">Data </w:t>
      </w:r>
      <w:r w:rsidR="00B907F5">
        <w:t>from</w:t>
      </w:r>
      <w:r>
        <w:t xml:space="preserve"> </w:t>
      </w:r>
      <w:r w:rsidR="0059461C">
        <w:t>“</w:t>
      </w:r>
      <w:r w:rsidR="00C97E2E">
        <w:t>Napier, Hastings and Havelock North Air Emission Inventory</w:t>
      </w:r>
      <w:r w:rsidR="0059461C">
        <w:t>”</w:t>
      </w:r>
      <w:r w:rsidR="00C97E2E">
        <w:t xml:space="preserve"> </w:t>
      </w:r>
      <w:r w:rsidR="00566B5A">
        <w:t xml:space="preserve">shows that </w:t>
      </w:r>
      <w:r w:rsidR="00300367">
        <w:t xml:space="preserve">1% of </w:t>
      </w:r>
      <w:r w:rsidR="00300CA2">
        <w:t>households</w:t>
      </w:r>
      <w:r w:rsidR="00300367">
        <w:t xml:space="preserve"> </w:t>
      </w:r>
      <w:r w:rsidR="00566B5A">
        <w:t xml:space="preserve">in </w:t>
      </w:r>
      <w:r w:rsidR="00316421">
        <w:t xml:space="preserve">Napier, </w:t>
      </w:r>
      <w:r w:rsidR="00300CA2">
        <w:t>Havelock</w:t>
      </w:r>
      <w:r w:rsidR="00316421">
        <w:t xml:space="preserve"> North and Hastings </w:t>
      </w:r>
      <w:r w:rsidR="00300367">
        <w:t>have solid fuel cookers.</w:t>
      </w:r>
      <w:r w:rsidR="00EB773D">
        <w:t xml:space="preserve">  It is not clear </w:t>
      </w:r>
      <w:r w:rsidR="007C0970">
        <w:t>from this report</w:t>
      </w:r>
      <w:r w:rsidR="00EB773D">
        <w:t xml:space="preserve"> whether this includes rural areas around those locations, or urban areas.</w:t>
      </w:r>
    </w:p>
    <w:p w14:paraId="0120A3C9" w14:textId="77777777" w:rsidR="000F3D87" w:rsidRDefault="000F3D87" w:rsidP="0075513C">
      <w:pPr>
        <w:pStyle w:val="NoSpacing"/>
        <w:jc w:val="both"/>
      </w:pPr>
    </w:p>
    <w:p w14:paraId="136B4AA3" w14:textId="469FFF65" w:rsidR="0079738E" w:rsidRDefault="005F2279" w:rsidP="0075513C">
      <w:pPr>
        <w:pStyle w:val="NoSpacing"/>
        <w:jc w:val="both"/>
      </w:pPr>
      <w:r>
        <w:t xml:space="preserve">As various </w:t>
      </w:r>
      <w:r w:rsidR="000F677C">
        <w:t>regions</w:t>
      </w:r>
      <w:r>
        <w:t xml:space="preserve"> have developed rules  for solid fuel cookers, and other</w:t>
      </w:r>
      <w:r w:rsidR="00F2279F">
        <w:t>s</w:t>
      </w:r>
      <w:r>
        <w:t xml:space="preserve"> could do </w:t>
      </w:r>
      <w:r w:rsidR="000F677C">
        <w:t>so</w:t>
      </w:r>
      <w:r>
        <w:t xml:space="preserve"> if desired, </w:t>
      </w:r>
      <w:r w:rsidR="000F677C">
        <w:t>there</w:t>
      </w:r>
      <w:r>
        <w:t xml:space="preserve"> seems to be little to be gained </w:t>
      </w:r>
      <w:r w:rsidR="00BF004B">
        <w:t xml:space="preserve">by including them </w:t>
      </w:r>
      <w:r w:rsidR="000F677C">
        <w:t>within</w:t>
      </w:r>
      <w:r w:rsidR="00BF004B">
        <w:t xml:space="preserve"> the </w:t>
      </w:r>
      <w:r w:rsidR="004D0062">
        <w:t>NESAQ</w:t>
      </w:r>
      <w:r w:rsidR="00BF004B">
        <w:t xml:space="preserve">.  </w:t>
      </w:r>
      <w:r w:rsidR="002B120F">
        <w:t xml:space="preserve">Such a </w:t>
      </w:r>
      <w:r w:rsidR="00633796">
        <w:t>move</w:t>
      </w:r>
      <w:r w:rsidR="00B96FE6">
        <w:t xml:space="preserve"> </w:t>
      </w:r>
      <w:r w:rsidR="002B120F">
        <w:t xml:space="preserve">would </w:t>
      </w:r>
      <w:r w:rsidR="00B96FE6">
        <w:t xml:space="preserve">require </w:t>
      </w:r>
      <w:r w:rsidR="002B120F">
        <w:t xml:space="preserve">cookers to achieve </w:t>
      </w:r>
      <w:r w:rsidR="00B96FE6">
        <w:t xml:space="preserve">a minimum 65% </w:t>
      </w:r>
      <w:r w:rsidR="00633796">
        <w:t>efficiency</w:t>
      </w:r>
      <w:r w:rsidR="00B96FE6">
        <w:t xml:space="preserve"> </w:t>
      </w:r>
      <w:r w:rsidR="002B120F">
        <w:t xml:space="preserve">and </w:t>
      </w:r>
      <w:r w:rsidR="003E5303">
        <w:t xml:space="preserve">a </w:t>
      </w:r>
      <w:r w:rsidR="00B57233">
        <w:t>maximum</w:t>
      </w:r>
      <w:r w:rsidR="003E5303">
        <w:t xml:space="preserve"> emissions of 1</w:t>
      </w:r>
      <w:r w:rsidR="001E5915">
        <w:t>.0</w:t>
      </w:r>
      <w:r w:rsidR="003E5303">
        <w:t xml:space="preserve"> g/kg and </w:t>
      </w:r>
      <w:r w:rsidR="00B96FE6">
        <w:t xml:space="preserve">would </w:t>
      </w:r>
      <w:r w:rsidR="003A28C5">
        <w:t>effectively</w:t>
      </w:r>
      <w:r w:rsidR="00B96FE6">
        <w:t xml:space="preserve"> </w:t>
      </w:r>
      <w:r w:rsidR="0000302D">
        <w:t xml:space="preserve">remove them from the </w:t>
      </w:r>
      <w:r w:rsidR="00633796">
        <w:t>market</w:t>
      </w:r>
      <w:r w:rsidR="00CE5889">
        <w:t xml:space="preserve"> </w:t>
      </w:r>
      <w:r w:rsidR="000F677C">
        <w:t>nationally</w:t>
      </w:r>
      <w:r w:rsidR="0000302D">
        <w:t>.</w:t>
      </w:r>
    </w:p>
    <w:p w14:paraId="5EFBFB2E" w14:textId="77777777" w:rsidR="000D06CD" w:rsidRPr="0075513C" w:rsidRDefault="000D06CD" w:rsidP="0075513C">
      <w:pPr>
        <w:pStyle w:val="NoSpacing"/>
        <w:jc w:val="both"/>
      </w:pPr>
    </w:p>
    <w:p w14:paraId="4D84F710" w14:textId="4EB9FE21" w:rsidR="00564507" w:rsidRPr="002C2230" w:rsidRDefault="00564507" w:rsidP="00564507">
      <w:pPr>
        <w:rPr>
          <w:b/>
          <w:bCs/>
        </w:rPr>
      </w:pPr>
      <w:r w:rsidRPr="002C2230">
        <w:rPr>
          <w:b/>
          <w:bCs/>
        </w:rPr>
        <w:t>Coal burners</w:t>
      </w:r>
      <w:r w:rsidR="00DB6242">
        <w:rPr>
          <w:b/>
          <w:bCs/>
        </w:rPr>
        <w:t xml:space="preserve"> and open fires</w:t>
      </w:r>
    </w:p>
    <w:p w14:paraId="01071182" w14:textId="19098585" w:rsidR="00564507" w:rsidRDefault="00540B86" w:rsidP="00A00076">
      <w:pPr>
        <w:pStyle w:val="NoSpacing"/>
        <w:jc w:val="both"/>
      </w:pPr>
      <w:r>
        <w:t xml:space="preserve">For domestic </w:t>
      </w:r>
      <w:r w:rsidR="00860387">
        <w:t>heating</w:t>
      </w:r>
      <w:r>
        <w:t xml:space="preserve"> purposes, coal is </w:t>
      </w:r>
      <w:r w:rsidR="00860387">
        <w:t>generally</w:t>
      </w:r>
      <w:r>
        <w:t xml:space="preserve"> burnt in either an open fire or in a multi-fuel </w:t>
      </w:r>
      <w:r w:rsidR="00860387">
        <w:t>burner</w:t>
      </w:r>
      <w:r>
        <w:t xml:space="preserve"> </w:t>
      </w:r>
      <w:r w:rsidR="00BC4187">
        <w:t xml:space="preserve">(MFB) </w:t>
      </w:r>
      <w:r>
        <w:t xml:space="preserve">where </w:t>
      </w:r>
      <w:r w:rsidR="001C6B32">
        <w:t xml:space="preserve">either of these </w:t>
      </w:r>
      <w:r w:rsidR="000F677C">
        <w:t>burner</w:t>
      </w:r>
      <w:r w:rsidR="00CA7D74">
        <w:t xml:space="preserve"> types</w:t>
      </w:r>
      <w:r w:rsidR="001C6B32">
        <w:t xml:space="preserve"> are </w:t>
      </w:r>
      <w:r w:rsidR="00860387">
        <w:t>allowed</w:t>
      </w:r>
      <w:r w:rsidR="001C6B32">
        <w:t xml:space="preserve"> within local </w:t>
      </w:r>
      <w:r w:rsidR="00533C11">
        <w:t>Council planning rules.</w:t>
      </w:r>
    </w:p>
    <w:p w14:paraId="5D04595F" w14:textId="3BBEB7A0" w:rsidR="00533C11" w:rsidRDefault="00533C11" w:rsidP="00A00076">
      <w:pPr>
        <w:pStyle w:val="NoSpacing"/>
        <w:jc w:val="both"/>
      </w:pPr>
    </w:p>
    <w:p w14:paraId="76C9D138" w14:textId="72C471FD" w:rsidR="000D3A7C" w:rsidRDefault="000D3A7C" w:rsidP="002635F2">
      <w:pPr>
        <w:pStyle w:val="NoSpacing"/>
        <w:jc w:val="both"/>
      </w:pPr>
      <w:r>
        <w:t xml:space="preserve">While once a popular fuel, the use of coal for home heating in NZ has declined rapidly.  As at the 2013 </w:t>
      </w:r>
      <w:r w:rsidRPr="009434E4">
        <w:t>Census 61,000 homes, or about 4% of NZ homes</w:t>
      </w:r>
      <w:r w:rsidR="009C26C7">
        <w:t>,</w:t>
      </w:r>
      <w:r w:rsidRPr="009434E4">
        <w:t xml:space="preserve"> used coal for heating, down from 160,000 homes in 1996.</w:t>
      </w:r>
      <w:r>
        <w:t xml:space="preserve">  Many of these homes are close to traditional sources of readily available coal</w:t>
      </w:r>
      <w:r w:rsidR="00571122">
        <w:t>.</w:t>
      </w:r>
      <w:r>
        <w:t xml:space="preserve"> </w:t>
      </w:r>
      <w:r w:rsidR="00571122">
        <w:t xml:space="preserve"> </w:t>
      </w:r>
      <w:r w:rsidR="00C93A3F">
        <w:t xml:space="preserve">Also </w:t>
      </w:r>
      <w:r w:rsidR="00A726D0">
        <w:t>according</w:t>
      </w:r>
      <w:r w:rsidR="00C93A3F">
        <w:t xml:space="preserve"> </w:t>
      </w:r>
      <w:r w:rsidR="009C1A46">
        <w:t xml:space="preserve">to 2013 Census data, 912 </w:t>
      </w:r>
      <w:r w:rsidR="00A726D0">
        <w:t>homes</w:t>
      </w:r>
      <w:r w:rsidR="009C1A46">
        <w:t xml:space="preserve"> in NZ use</w:t>
      </w:r>
      <w:r w:rsidR="00A2184D">
        <w:t xml:space="preserve"> only </w:t>
      </w:r>
      <w:r w:rsidR="00A726D0">
        <w:t>coal</w:t>
      </w:r>
      <w:r w:rsidR="00A2184D">
        <w:t xml:space="preserve"> as a form of </w:t>
      </w:r>
      <w:r w:rsidR="005E4B5A">
        <w:t xml:space="preserve">heating with 73% of </w:t>
      </w:r>
      <w:r w:rsidR="00571122">
        <w:t xml:space="preserve">those homes in the West Coast of the South Island, </w:t>
      </w:r>
      <w:r w:rsidR="001670AE">
        <w:t xml:space="preserve">Otago </w:t>
      </w:r>
      <w:r w:rsidR="00571122">
        <w:t>or Southland.</w:t>
      </w:r>
    </w:p>
    <w:p w14:paraId="1E97442D" w14:textId="77777777" w:rsidR="000D3A7C" w:rsidRDefault="000D3A7C" w:rsidP="00A00076">
      <w:pPr>
        <w:pStyle w:val="NoSpacing"/>
        <w:jc w:val="both"/>
      </w:pPr>
    </w:p>
    <w:p w14:paraId="7BF908C1" w14:textId="60F70FEB" w:rsidR="00AA49EA" w:rsidRDefault="00AA49EA" w:rsidP="00AA49EA">
      <w:pPr>
        <w:pStyle w:val="NoSpacing"/>
        <w:jc w:val="both"/>
      </w:pPr>
      <w:r>
        <w:t>MFBs are unlikely to meet a 1</w:t>
      </w:r>
      <w:r w:rsidR="0077184C">
        <w:t xml:space="preserve">.0 </w:t>
      </w:r>
      <w:r>
        <w:t>g/kg emissions limit and open fires will not meet either this emissions limit or the 65% efficiency threshold.</w:t>
      </w:r>
    </w:p>
    <w:p w14:paraId="1B0A7A0D" w14:textId="77777777" w:rsidR="00AA49EA" w:rsidRDefault="00AA49EA" w:rsidP="00A00076">
      <w:pPr>
        <w:pStyle w:val="NoSpacing"/>
        <w:jc w:val="both"/>
      </w:pPr>
    </w:p>
    <w:p w14:paraId="1B418B47" w14:textId="77777777" w:rsidR="00744A72" w:rsidRDefault="00860387" w:rsidP="00A00076">
      <w:pPr>
        <w:pStyle w:val="NoSpacing"/>
        <w:jc w:val="both"/>
      </w:pPr>
      <w:r>
        <w:t>Bringing</w:t>
      </w:r>
      <w:r w:rsidR="00533C11">
        <w:t xml:space="preserve"> </w:t>
      </w:r>
      <w:r w:rsidR="00BC4187">
        <w:t xml:space="preserve">open fires and MFBs under the </w:t>
      </w:r>
      <w:r w:rsidR="004D0062">
        <w:t>NESAQ</w:t>
      </w:r>
      <w:r w:rsidR="00BC4187">
        <w:t xml:space="preserve"> will </w:t>
      </w:r>
      <w:r w:rsidR="00284026">
        <w:t>effectively</w:t>
      </w:r>
      <w:r w:rsidR="00BC4187">
        <w:t xml:space="preserve"> prohibit the installation of </w:t>
      </w:r>
      <w:r w:rsidR="00284026">
        <w:t>either</w:t>
      </w:r>
      <w:r w:rsidR="00FC6F6F">
        <w:t xml:space="preserve"> of these </w:t>
      </w:r>
      <w:r w:rsidR="00284026">
        <w:t>types</w:t>
      </w:r>
      <w:r w:rsidR="00FC6F6F">
        <w:t xml:space="preserve"> </w:t>
      </w:r>
      <w:r w:rsidR="00284026">
        <w:t>of</w:t>
      </w:r>
      <w:r w:rsidR="00FC6F6F">
        <w:t xml:space="preserve"> </w:t>
      </w:r>
      <w:r w:rsidR="00284026">
        <w:t>burner</w:t>
      </w:r>
      <w:r w:rsidR="00945C08">
        <w:t xml:space="preserve"> and the use </w:t>
      </w:r>
      <w:r w:rsidR="00284026">
        <w:t>of</w:t>
      </w:r>
      <w:r w:rsidR="00945C08">
        <w:t xml:space="preserve"> coal as a </w:t>
      </w:r>
      <w:r w:rsidR="00284026">
        <w:t>fuel</w:t>
      </w:r>
      <w:r w:rsidR="00945C08">
        <w:t xml:space="preserve"> in new burners.</w:t>
      </w:r>
      <w:r w:rsidR="00744A72">
        <w:t xml:space="preserve">  </w:t>
      </w:r>
    </w:p>
    <w:p w14:paraId="6B5406EC" w14:textId="77777777" w:rsidR="00744A72" w:rsidRDefault="00744A72" w:rsidP="00A00076">
      <w:pPr>
        <w:pStyle w:val="NoSpacing"/>
        <w:jc w:val="both"/>
      </w:pPr>
    </w:p>
    <w:p w14:paraId="0F174D22" w14:textId="3C88E8B4" w:rsidR="00B60F5E" w:rsidRDefault="00B60F5E" w:rsidP="00A00076">
      <w:pPr>
        <w:pStyle w:val="NoSpacing"/>
        <w:jc w:val="both"/>
      </w:pPr>
      <w:r>
        <w:t xml:space="preserve">This will have </w:t>
      </w:r>
      <w:r w:rsidR="005F0A4A">
        <w:t xml:space="preserve">an </w:t>
      </w:r>
      <w:r w:rsidR="00B57233">
        <w:t>impact</w:t>
      </w:r>
      <w:r w:rsidR="005F0A4A">
        <w:t xml:space="preserve"> on those parts of NZ where coal is still a preferred heating fuel. </w:t>
      </w:r>
    </w:p>
    <w:p w14:paraId="56F29B7B" w14:textId="34439188" w:rsidR="00327954" w:rsidRDefault="00327954" w:rsidP="00A00076">
      <w:pPr>
        <w:pStyle w:val="NoSpacing"/>
        <w:jc w:val="both"/>
      </w:pPr>
    </w:p>
    <w:p w14:paraId="1F32CBB3" w14:textId="041997B0" w:rsidR="00327954" w:rsidRDefault="00284026" w:rsidP="00A00076">
      <w:pPr>
        <w:pStyle w:val="NoSpacing"/>
        <w:jc w:val="both"/>
      </w:pPr>
      <w:r>
        <w:t>Open</w:t>
      </w:r>
      <w:r w:rsidR="00410449">
        <w:t xml:space="preserve"> fires </w:t>
      </w:r>
      <w:r>
        <w:t>designed</w:t>
      </w:r>
      <w:r w:rsidR="00410449">
        <w:t xml:space="preserve"> for </w:t>
      </w:r>
      <w:r>
        <w:t>burning</w:t>
      </w:r>
      <w:r w:rsidR="00410449">
        <w:t xml:space="preserve"> wood, such as the Jetmaster brand, would also be unable to be installed </w:t>
      </w:r>
      <w:r w:rsidR="00702F65">
        <w:t xml:space="preserve">owing to their </w:t>
      </w:r>
      <w:r w:rsidR="00FA1D7C">
        <w:t xml:space="preserve">likely </w:t>
      </w:r>
      <w:r w:rsidR="00702F65">
        <w:t xml:space="preserve">inability to </w:t>
      </w:r>
      <w:r>
        <w:t>meet</w:t>
      </w:r>
      <w:r w:rsidR="00702F65">
        <w:t xml:space="preserve"> the required </w:t>
      </w:r>
      <w:r>
        <w:t>emissions</w:t>
      </w:r>
      <w:r w:rsidR="00702F65">
        <w:t xml:space="preserve"> or </w:t>
      </w:r>
      <w:r>
        <w:t>efficiency</w:t>
      </w:r>
      <w:r w:rsidR="00702F65">
        <w:t xml:space="preserve"> standards </w:t>
      </w:r>
      <w:r w:rsidR="0061542E">
        <w:t xml:space="preserve">under the </w:t>
      </w:r>
      <w:r w:rsidR="004D0062">
        <w:t>NESAQ</w:t>
      </w:r>
      <w:r w:rsidR="000D06CD">
        <w:t>.</w:t>
      </w:r>
      <w:r w:rsidR="002071CA">
        <w:t xml:space="preserve">  It is worth noting that </w:t>
      </w:r>
      <w:r w:rsidR="002974FB">
        <w:t xml:space="preserve">new </w:t>
      </w:r>
      <w:r w:rsidR="00EE14FA">
        <w:t>installations</w:t>
      </w:r>
      <w:r w:rsidR="002974FB">
        <w:t xml:space="preserve"> of open fires are already prohibited</w:t>
      </w:r>
      <w:r w:rsidR="00352733">
        <w:t xml:space="preserve"> </w:t>
      </w:r>
      <w:r w:rsidR="00EE14FA">
        <w:t>indefinitely</w:t>
      </w:r>
      <w:r w:rsidR="00352733">
        <w:t xml:space="preserve"> in polluted </w:t>
      </w:r>
      <w:r w:rsidR="002038D0">
        <w:t>airsheds</w:t>
      </w:r>
      <w:r w:rsidR="00352733">
        <w:t>.</w:t>
      </w:r>
    </w:p>
    <w:p w14:paraId="4A5FCEEF" w14:textId="58927C04" w:rsidR="00271904" w:rsidRDefault="00271904" w:rsidP="00A00076">
      <w:pPr>
        <w:pStyle w:val="NoSpacing"/>
        <w:jc w:val="both"/>
      </w:pPr>
    </w:p>
    <w:p w14:paraId="06AC9374" w14:textId="7241E94B" w:rsidR="00271904" w:rsidRDefault="00A726D0" w:rsidP="00A00076">
      <w:pPr>
        <w:pStyle w:val="NoSpacing"/>
        <w:jc w:val="both"/>
      </w:pPr>
      <w:r>
        <w:lastRenderedPageBreak/>
        <w:t>Including</w:t>
      </w:r>
      <w:r w:rsidR="00271904">
        <w:t xml:space="preserve"> open </w:t>
      </w:r>
      <w:r>
        <w:t>fires</w:t>
      </w:r>
      <w:r w:rsidR="00271904">
        <w:t xml:space="preserve"> within the NESAQ would </w:t>
      </w:r>
      <w:r>
        <w:t>impact</w:t>
      </w:r>
      <w:r w:rsidR="00271904">
        <w:t xml:space="preserve"> on situations such as </w:t>
      </w:r>
      <w:r>
        <w:t>heritage</w:t>
      </w:r>
      <w:r w:rsidR="00917D50">
        <w:t xml:space="preserve"> homes </w:t>
      </w:r>
      <w:r>
        <w:t>with</w:t>
      </w:r>
      <w:r w:rsidR="00917D50">
        <w:t xml:space="preserve"> </w:t>
      </w:r>
      <w:r>
        <w:t>open</w:t>
      </w:r>
      <w:r w:rsidR="00917D50">
        <w:t xml:space="preserve"> fires</w:t>
      </w:r>
      <w:r w:rsidR="004D5617">
        <w:t xml:space="preserve"> which can currently </w:t>
      </w:r>
      <w:r>
        <w:t>be</w:t>
      </w:r>
      <w:r w:rsidR="004D5617">
        <w:t xml:space="preserve"> allowed by local plan rules</w:t>
      </w:r>
      <w:r w:rsidR="00B76869">
        <w:t>.</w:t>
      </w:r>
    </w:p>
    <w:p w14:paraId="7192F2BA" w14:textId="1A1E9F22" w:rsidR="00E74877" w:rsidRDefault="00E74877">
      <w:pPr>
        <w:spacing w:before="0" w:after="200" w:line="276" w:lineRule="auto"/>
        <w:jc w:val="left"/>
        <w:rPr>
          <w:rFonts w:asciiTheme="majorHAnsi" w:eastAsiaTheme="majorEastAsia" w:hAnsiTheme="majorHAnsi" w:cstheme="majorBidi"/>
          <w:color w:val="365F91" w:themeColor="accent1" w:themeShade="BF"/>
          <w:szCs w:val="22"/>
        </w:rPr>
      </w:pPr>
      <w:bookmarkStart w:id="34" w:name="_Ref31873679"/>
      <w:bookmarkStart w:id="35" w:name="_Ref31873837"/>
    </w:p>
    <w:p w14:paraId="06319C0D" w14:textId="3407D4AF" w:rsidR="000B1079" w:rsidRPr="00227625" w:rsidRDefault="00EA6011" w:rsidP="00227625">
      <w:pPr>
        <w:pStyle w:val="Heading2"/>
        <w:numPr>
          <w:ilvl w:val="1"/>
          <w:numId w:val="6"/>
        </w:numPr>
        <w:rPr>
          <w:sz w:val="22"/>
          <w:szCs w:val="22"/>
        </w:rPr>
      </w:pPr>
      <w:bookmarkStart w:id="36" w:name="_Ref34294191"/>
      <w:bookmarkStart w:id="37" w:name="_Ref34294210"/>
      <w:bookmarkStart w:id="38" w:name="_Toc34586689"/>
      <w:r w:rsidRPr="00227625">
        <w:rPr>
          <w:sz w:val="22"/>
          <w:szCs w:val="22"/>
        </w:rPr>
        <w:t>O</w:t>
      </w:r>
      <w:r w:rsidR="004F1C69" w:rsidRPr="00227625">
        <w:rPr>
          <w:sz w:val="22"/>
          <w:szCs w:val="22"/>
        </w:rPr>
        <w:t xml:space="preserve">ther options </w:t>
      </w:r>
      <w:r w:rsidR="006F55AD" w:rsidRPr="00227625">
        <w:rPr>
          <w:sz w:val="22"/>
          <w:szCs w:val="22"/>
        </w:rPr>
        <w:t>potentially</w:t>
      </w:r>
      <w:r w:rsidR="009F49B2" w:rsidRPr="00227625">
        <w:rPr>
          <w:sz w:val="22"/>
          <w:szCs w:val="22"/>
        </w:rPr>
        <w:t xml:space="preserve"> </w:t>
      </w:r>
      <w:r w:rsidR="00CB5C14" w:rsidRPr="00227625">
        <w:rPr>
          <w:sz w:val="22"/>
          <w:szCs w:val="22"/>
        </w:rPr>
        <w:t>to include in</w:t>
      </w:r>
      <w:r w:rsidR="004F1C69" w:rsidRPr="00227625">
        <w:rPr>
          <w:sz w:val="22"/>
          <w:szCs w:val="22"/>
        </w:rPr>
        <w:t xml:space="preserve"> a</w:t>
      </w:r>
      <w:r w:rsidR="00D62828">
        <w:rPr>
          <w:sz w:val="22"/>
          <w:szCs w:val="22"/>
        </w:rPr>
        <w:t xml:space="preserve">n amended </w:t>
      </w:r>
      <w:r w:rsidR="004D0062" w:rsidRPr="00227625">
        <w:rPr>
          <w:sz w:val="22"/>
          <w:szCs w:val="22"/>
        </w:rPr>
        <w:t>NESAQ</w:t>
      </w:r>
      <w:r w:rsidR="00534D0C" w:rsidRPr="00227625">
        <w:rPr>
          <w:sz w:val="22"/>
          <w:szCs w:val="22"/>
        </w:rPr>
        <w:t xml:space="preserve"> and </w:t>
      </w:r>
      <w:r w:rsidRPr="00227625">
        <w:rPr>
          <w:sz w:val="22"/>
          <w:szCs w:val="22"/>
        </w:rPr>
        <w:t xml:space="preserve">the </w:t>
      </w:r>
      <w:r w:rsidR="009F49B2" w:rsidRPr="00227625">
        <w:rPr>
          <w:sz w:val="22"/>
          <w:szCs w:val="22"/>
        </w:rPr>
        <w:t>likely</w:t>
      </w:r>
      <w:r w:rsidR="00534D0C" w:rsidRPr="00227625">
        <w:rPr>
          <w:sz w:val="22"/>
          <w:szCs w:val="22"/>
        </w:rPr>
        <w:t xml:space="preserve"> </w:t>
      </w:r>
      <w:r w:rsidR="007B1A45" w:rsidRPr="00227625">
        <w:rPr>
          <w:sz w:val="22"/>
          <w:szCs w:val="22"/>
        </w:rPr>
        <w:t>impact</w:t>
      </w:r>
      <w:bookmarkEnd w:id="34"/>
      <w:bookmarkEnd w:id="35"/>
      <w:bookmarkEnd w:id="36"/>
      <w:bookmarkEnd w:id="37"/>
      <w:bookmarkEnd w:id="38"/>
    </w:p>
    <w:p w14:paraId="5882299E" w14:textId="77777777" w:rsidR="003440E6" w:rsidRDefault="003440E6" w:rsidP="00DD29AA">
      <w:pPr>
        <w:rPr>
          <w:b/>
          <w:bCs/>
        </w:rPr>
      </w:pPr>
    </w:p>
    <w:p w14:paraId="51B6B244" w14:textId="7A4F8A86" w:rsidR="00DD29AA" w:rsidRPr="008100B6" w:rsidRDefault="00DD29AA" w:rsidP="008100B6">
      <w:pPr>
        <w:pStyle w:val="Heading3"/>
        <w:numPr>
          <w:ilvl w:val="0"/>
          <w:numId w:val="0"/>
        </w:numPr>
        <w:rPr>
          <w:b w:val="0"/>
          <w:bCs w:val="0"/>
          <w:sz w:val="20"/>
        </w:rPr>
      </w:pPr>
      <w:bookmarkStart w:id="39" w:name="_Ref34293766"/>
      <w:bookmarkStart w:id="40" w:name="_Toc34586690"/>
      <w:r w:rsidRPr="008100B6">
        <w:rPr>
          <w:b w:val="0"/>
          <w:bCs w:val="0"/>
          <w:sz w:val="20"/>
        </w:rPr>
        <w:t>3.7.1 Use of a combined emissions and efficiency measure</w:t>
      </w:r>
      <w:r w:rsidR="0010692D" w:rsidRPr="008100B6">
        <w:rPr>
          <w:b w:val="0"/>
          <w:bCs w:val="0"/>
          <w:sz w:val="20"/>
        </w:rPr>
        <w:t xml:space="preserve"> (mg/MJ based)</w:t>
      </w:r>
      <w:bookmarkEnd w:id="39"/>
      <w:bookmarkEnd w:id="40"/>
    </w:p>
    <w:p w14:paraId="21996669" w14:textId="7B058993" w:rsidR="007B6072" w:rsidRDefault="007B6072" w:rsidP="003440B2">
      <w:pPr>
        <w:pStyle w:val="NoSpacing"/>
        <w:jc w:val="both"/>
      </w:pPr>
    </w:p>
    <w:p w14:paraId="1E7BD4B3" w14:textId="4C19F2CD" w:rsidR="00650CC6" w:rsidRPr="00650CC6" w:rsidRDefault="00650CC6" w:rsidP="003440B2">
      <w:pPr>
        <w:pStyle w:val="NoSpacing"/>
        <w:jc w:val="both"/>
        <w:rPr>
          <w:b/>
          <w:bCs/>
        </w:rPr>
      </w:pPr>
      <w:r w:rsidRPr="00650CC6">
        <w:rPr>
          <w:b/>
          <w:bCs/>
        </w:rPr>
        <w:t>Background</w:t>
      </w:r>
    </w:p>
    <w:p w14:paraId="5B29DA9A" w14:textId="10F260A5" w:rsidR="006F31FE" w:rsidRDefault="003440B2" w:rsidP="003440B2">
      <w:pPr>
        <w:pStyle w:val="NoSpacing"/>
        <w:jc w:val="both"/>
      </w:pPr>
      <w:r w:rsidRPr="004754DD">
        <w:t xml:space="preserve">The current NESAQ specifies an emissions factor not exceeding 1.5g/kg of fuel burnt, based on testing to AS/NZS 4013 and an efficiency factor of not less than 65% expressed on the basis of </w:t>
      </w:r>
      <w:r w:rsidR="004754DD" w:rsidRPr="004754DD">
        <w:t xml:space="preserve">usable heat energy </w:t>
      </w:r>
      <w:r w:rsidR="009833DE" w:rsidRPr="004754DD">
        <w:t>output</w:t>
      </w:r>
      <w:r w:rsidR="004754DD" w:rsidRPr="004754DD">
        <w:t xml:space="preserve"> to energy input from</w:t>
      </w:r>
      <w:r w:rsidRPr="004754DD">
        <w:t xml:space="preserve"> testing to AS/NZS 4012.</w:t>
      </w:r>
      <w:r w:rsidR="00C93589">
        <w:t xml:space="preserve">  </w:t>
      </w:r>
      <w:r w:rsidR="00431754">
        <w:t xml:space="preserve">The </w:t>
      </w:r>
      <w:r w:rsidR="006F31FE">
        <w:t xml:space="preserve">proposed </w:t>
      </w:r>
      <w:r w:rsidR="00431754">
        <w:t xml:space="preserve">NESAQ </w:t>
      </w:r>
      <w:r w:rsidR="00EE14FA">
        <w:t>amendments</w:t>
      </w:r>
      <w:r w:rsidR="00431754">
        <w:t xml:space="preserve"> include reducing</w:t>
      </w:r>
      <w:r w:rsidR="006F31FE">
        <w:t xml:space="preserve"> </w:t>
      </w:r>
      <w:r w:rsidR="00FB1439">
        <w:t>the</w:t>
      </w:r>
      <w:r w:rsidR="006F31FE">
        <w:t xml:space="preserve"> emissions limit </w:t>
      </w:r>
      <w:r w:rsidR="007A1D7A">
        <w:t>to</w:t>
      </w:r>
      <w:r w:rsidR="006F31FE">
        <w:t xml:space="preserve"> 1</w:t>
      </w:r>
      <w:r w:rsidR="001E5915">
        <w:t>.0</w:t>
      </w:r>
      <w:r w:rsidR="006F31FE">
        <w:t xml:space="preserve"> g/kg </w:t>
      </w:r>
      <w:r w:rsidR="009E48E7">
        <w:t>while</w:t>
      </w:r>
      <w:r w:rsidR="0010692D">
        <w:t xml:space="preserve"> </w:t>
      </w:r>
      <w:r w:rsidR="00EE14FA">
        <w:t>retaining</w:t>
      </w:r>
      <w:r w:rsidR="0010692D">
        <w:t xml:space="preserve"> the current 65% </w:t>
      </w:r>
      <w:r w:rsidR="00A709EE">
        <w:t>efficiency</w:t>
      </w:r>
      <w:r w:rsidR="0010692D">
        <w:t xml:space="preserve"> threshold. </w:t>
      </w:r>
    </w:p>
    <w:p w14:paraId="0B662A5B" w14:textId="69739F47" w:rsidR="003A3698" w:rsidRDefault="003A3698" w:rsidP="003440B2">
      <w:pPr>
        <w:pStyle w:val="NoSpacing"/>
        <w:jc w:val="both"/>
      </w:pPr>
    </w:p>
    <w:p w14:paraId="527C4956" w14:textId="34F9F064" w:rsidR="00AC597E" w:rsidRDefault="00AC597E" w:rsidP="00AC597E">
      <w:pPr>
        <w:pStyle w:val="NoSpacing"/>
        <w:jc w:val="both"/>
      </w:pPr>
      <w:r>
        <w:t xml:space="preserve">Any </w:t>
      </w:r>
      <w:r w:rsidR="009833DE">
        <w:t>measure</w:t>
      </w:r>
      <w:r>
        <w:t xml:space="preserve"> of </w:t>
      </w:r>
      <w:r w:rsidR="002F0345">
        <w:t>emissions</w:t>
      </w:r>
      <w:r>
        <w:t xml:space="preserve"> has its advantages and </w:t>
      </w:r>
      <w:r w:rsidR="009833DE">
        <w:t>disadvantages</w:t>
      </w:r>
      <w:r>
        <w:t xml:space="preserve">.  There is an </w:t>
      </w:r>
      <w:r w:rsidR="009833DE">
        <w:t>argument</w:t>
      </w:r>
      <w:r>
        <w:t xml:space="preserve"> </w:t>
      </w:r>
      <w:r w:rsidR="00453D9E">
        <w:t xml:space="preserve">by some </w:t>
      </w:r>
      <w:r>
        <w:t xml:space="preserve">that the current </w:t>
      </w:r>
      <w:r w:rsidR="009833DE">
        <w:t>emissions</w:t>
      </w:r>
      <w:r>
        <w:t xml:space="preserve"> standard based on</w:t>
      </w:r>
      <w:r w:rsidRPr="00D019CC">
        <w:t xml:space="preserve"> g/kg favour</w:t>
      </w:r>
      <w:r>
        <w:t>s</w:t>
      </w:r>
      <w:r w:rsidRPr="00D019CC">
        <w:t xml:space="preserve"> larger capacity burners</w:t>
      </w:r>
      <w:r w:rsidR="00F04CB2">
        <w:t>, although this opinion is not unanimous</w:t>
      </w:r>
      <w:r w:rsidRPr="00D019CC">
        <w:t>.</w:t>
      </w:r>
      <w:r>
        <w:t xml:space="preserve">  With larger </w:t>
      </w:r>
      <w:r w:rsidR="009833DE">
        <w:t>capacity</w:t>
      </w:r>
      <w:r>
        <w:t xml:space="preserve"> burners there is </w:t>
      </w:r>
      <w:r w:rsidR="009833DE">
        <w:t>greater</w:t>
      </w:r>
      <w:r>
        <w:t xml:space="preserve"> air flow and a faster combustion rate which </w:t>
      </w:r>
      <w:r w:rsidR="00801845">
        <w:t xml:space="preserve">can </w:t>
      </w:r>
      <w:r>
        <w:t xml:space="preserve">result in lower </w:t>
      </w:r>
      <w:r w:rsidR="00BF5FC2">
        <w:t>emissions</w:t>
      </w:r>
      <w:r>
        <w:t xml:space="preserve"> on a g/kg basis.  This could mean that smaller burners are less likely to meet the </w:t>
      </w:r>
      <w:r w:rsidR="00BF5FC2">
        <w:t>standard</w:t>
      </w:r>
      <w:r w:rsidR="001D7A8A">
        <w:t xml:space="preserve">.  A </w:t>
      </w:r>
      <w:r w:rsidR="002F0345">
        <w:t>homeowner</w:t>
      </w:r>
      <w:r>
        <w:t xml:space="preserve"> </w:t>
      </w:r>
      <w:r w:rsidR="001D7A8A">
        <w:t xml:space="preserve">with a </w:t>
      </w:r>
      <w:r w:rsidR="00A709EE">
        <w:t>larger</w:t>
      </w:r>
      <w:r w:rsidR="001D7A8A">
        <w:t xml:space="preserve"> burner </w:t>
      </w:r>
      <w:r>
        <w:t xml:space="preserve">may end up </w:t>
      </w:r>
      <w:r w:rsidR="004176AE">
        <w:t xml:space="preserve">operating </w:t>
      </w:r>
      <w:r w:rsidR="001D7A8A">
        <w:t>it</w:t>
      </w:r>
      <w:r>
        <w:t xml:space="preserve"> on a low airflow setting with the </w:t>
      </w:r>
      <w:r w:rsidR="00BF5FC2">
        <w:t>resultant</w:t>
      </w:r>
      <w:r>
        <w:t xml:space="preserve"> higher </w:t>
      </w:r>
      <w:r w:rsidR="002F0345">
        <w:t>emissions</w:t>
      </w:r>
      <w:r>
        <w:t xml:space="preserve">, or if using it on higher </w:t>
      </w:r>
      <w:r w:rsidR="00BF5FC2">
        <w:t>output</w:t>
      </w:r>
      <w:r>
        <w:t xml:space="preserve"> settings, needing to open a </w:t>
      </w:r>
      <w:r w:rsidR="00BF5FC2">
        <w:t>window</w:t>
      </w:r>
      <w:r>
        <w:t xml:space="preserve"> or door to let </w:t>
      </w:r>
      <w:r w:rsidR="009D46B7">
        <w:t xml:space="preserve">surplus </w:t>
      </w:r>
      <w:r>
        <w:t>heat escape.</w:t>
      </w:r>
      <w:r w:rsidR="0086428D">
        <w:t xml:space="preserve">  This is </w:t>
      </w:r>
      <w:r w:rsidR="0068062D">
        <w:t>more</w:t>
      </w:r>
      <w:r w:rsidR="0086428D">
        <w:t xml:space="preserve"> of a </w:t>
      </w:r>
      <w:r w:rsidR="004B3039">
        <w:t>concern</w:t>
      </w:r>
      <w:r w:rsidR="0086428D">
        <w:t xml:space="preserve"> in areas where </w:t>
      </w:r>
      <w:r w:rsidR="0068062D">
        <w:t>councils</w:t>
      </w:r>
      <w:r w:rsidR="0086428D">
        <w:t xml:space="preserve"> have </w:t>
      </w:r>
      <w:r w:rsidR="009A75E8">
        <w:t>implemented</w:t>
      </w:r>
      <w:r w:rsidR="0086428D">
        <w:t xml:space="preserve"> a lower emissions limit</w:t>
      </w:r>
      <w:r w:rsidR="00413F57">
        <w:t>.  For the rest of NZ</w:t>
      </w:r>
      <w:r w:rsidR="00AB116A">
        <w:t xml:space="preserve"> there are still </w:t>
      </w:r>
      <w:r w:rsidR="0068062D">
        <w:t>numerous</w:t>
      </w:r>
      <w:r w:rsidR="00AB116A">
        <w:t xml:space="preserve"> smaller </w:t>
      </w:r>
      <w:r w:rsidR="009A75E8">
        <w:t>capacity</w:t>
      </w:r>
      <w:r w:rsidR="00AB116A">
        <w:t xml:space="preserve"> burners </w:t>
      </w:r>
      <w:r w:rsidR="0068062D">
        <w:t>available</w:t>
      </w:r>
      <w:r w:rsidR="00AB116A">
        <w:t xml:space="preserve"> that meet 1</w:t>
      </w:r>
      <w:r w:rsidR="001E5915">
        <w:t>.0</w:t>
      </w:r>
      <w:r w:rsidR="00AB116A">
        <w:t xml:space="preserve"> g/kg.</w:t>
      </w:r>
    </w:p>
    <w:p w14:paraId="05165677" w14:textId="77777777" w:rsidR="00AC597E" w:rsidRDefault="00AC597E" w:rsidP="00AC597E">
      <w:pPr>
        <w:pStyle w:val="NoSpacing"/>
        <w:jc w:val="both"/>
      </w:pPr>
    </w:p>
    <w:p w14:paraId="44FFCE20" w14:textId="27553D18" w:rsidR="00AC597E" w:rsidRDefault="00AC597E" w:rsidP="00AC597E">
      <w:pPr>
        <w:pStyle w:val="NoSpacing"/>
        <w:jc w:val="both"/>
      </w:pPr>
      <w:r w:rsidRPr="0099538F">
        <w:t>In the USA</w:t>
      </w:r>
      <w:r w:rsidR="00E71989">
        <w:t xml:space="preserve"> and UK</w:t>
      </w:r>
      <w:r w:rsidRPr="0099538F">
        <w:t xml:space="preserve">, </w:t>
      </w:r>
      <w:r w:rsidR="00BF5FC2" w:rsidRPr="0099538F">
        <w:t>emissions</w:t>
      </w:r>
      <w:r w:rsidRPr="0099538F">
        <w:t xml:space="preserve"> are generally reported on a g/hr basis.  This has the advantage of </w:t>
      </w:r>
      <w:r w:rsidR="00BF5FC2" w:rsidRPr="0099538F">
        <w:t>reporting</w:t>
      </w:r>
      <w:r w:rsidRPr="0099538F">
        <w:t xml:space="preserve"> </w:t>
      </w:r>
      <w:r w:rsidR="002F0345" w:rsidRPr="0099538F">
        <w:t>emissions</w:t>
      </w:r>
      <w:r>
        <w:t xml:space="preserve"> on a time basis so that total </w:t>
      </w:r>
      <w:r w:rsidR="00BF5FC2">
        <w:t>emissions</w:t>
      </w:r>
      <w:r>
        <w:t xml:space="preserve"> are a result of </w:t>
      </w:r>
      <w:r w:rsidR="00C73A73">
        <w:t xml:space="preserve">the </w:t>
      </w:r>
      <w:r>
        <w:t xml:space="preserve">g/hr </w:t>
      </w:r>
      <w:r w:rsidR="00C73A73">
        <w:t xml:space="preserve">figure </w:t>
      </w:r>
      <w:r>
        <w:t xml:space="preserve">and the time the burner is operating.  However, this </w:t>
      </w:r>
      <w:r w:rsidR="003A7C54">
        <w:t xml:space="preserve">unit </w:t>
      </w:r>
      <w:r w:rsidR="007672F6">
        <w:t>would</w:t>
      </w:r>
      <w:r>
        <w:t xml:space="preserve"> favour smaller burners which burn less wood and therefore produce less </w:t>
      </w:r>
      <w:r w:rsidR="00BF5FC2">
        <w:t>emissions</w:t>
      </w:r>
      <w:r>
        <w:t xml:space="preserve"> per hour.</w:t>
      </w:r>
    </w:p>
    <w:p w14:paraId="408C38C5" w14:textId="5E6AB36F" w:rsidR="00637332" w:rsidRDefault="00637332" w:rsidP="00AC597E">
      <w:pPr>
        <w:pStyle w:val="NoSpacing"/>
        <w:jc w:val="both"/>
      </w:pPr>
    </w:p>
    <w:p w14:paraId="3E72894F" w14:textId="7A66852D" w:rsidR="00637332" w:rsidRDefault="00D272FD" w:rsidP="00AC597E">
      <w:pPr>
        <w:pStyle w:val="NoSpacing"/>
        <w:jc w:val="both"/>
      </w:pPr>
      <w:r>
        <w:t xml:space="preserve">In </w:t>
      </w:r>
      <w:proofErr w:type="gramStart"/>
      <w:r>
        <w:t>Europe</w:t>
      </w:r>
      <w:proofErr w:type="gramEnd"/>
      <w:r>
        <w:t xml:space="preserve"> the most common</w:t>
      </w:r>
      <w:r w:rsidR="00637332">
        <w:t xml:space="preserve"> measures of </w:t>
      </w:r>
      <w:r w:rsidR="00E250D7">
        <w:t>emissions</w:t>
      </w:r>
      <w:r w:rsidR="0029570A">
        <w:t xml:space="preserve"> are </w:t>
      </w:r>
      <w:r w:rsidR="00A726D0">
        <w:t>expressed</w:t>
      </w:r>
      <w:r w:rsidR="0029570A">
        <w:t xml:space="preserve"> in terms of mg</w:t>
      </w:r>
      <w:r w:rsidR="00766C31">
        <w:t>/MJ of energy in the fu</w:t>
      </w:r>
      <w:r w:rsidR="006D275F">
        <w:t>el</w:t>
      </w:r>
      <w:r w:rsidR="005C5F92">
        <w:t xml:space="preserve">, </w:t>
      </w:r>
      <w:r w:rsidR="00A726D0">
        <w:t>i.e.</w:t>
      </w:r>
      <w:r w:rsidR="005C5F92">
        <w:t xml:space="preserve"> based on the calorific value of the fuel.</w:t>
      </w:r>
      <w:r w:rsidR="00CF6DB9">
        <w:t xml:space="preserve">  For </w:t>
      </w:r>
      <w:r w:rsidR="00907FC1">
        <w:t>example</w:t>
      </w:r>
      <w:r w:rsidR="00CF6DB9">
        <w:t xml:space="preserve">, in </w:t>
      </w:r>
      <w:r w:rsidR="00907FC1">
        <w:t>Austria</w:t>
      </w:r>
      <w:r w:rsidR="00CF6DB9">
        <w:t xml:space="preserve"> the </w:t>
      </w:r>
      <w:r w:rsidR="00907FC1">
        <w:t>maximum allowable emissions level was reduced to 35 mg/MJ in 2015.</w:t>
      </w:r>
    </w:p>
    <w:p w14:paraId="491F8C01" w14:textId="5A4ACC9E" w:rsidR="00252562" w:rsidRDefault="00252562" w:rsidP="00AC597E">
      <w:pPr>
        <w:pStyle w:val="NoSpacing"/>
        <w:jc w:val="both"/>
      </w:pPr>
    </w:p>
    <w:p w14:paraId="34C3CC72" w14:textId="0D846561" w:rsidR="00252562" w:rsidRDefault="00252562" w:rsidP="00252562">
      <w:pPr>
        <w:pStyle w:val="NoSpacing"/>
        <w:jc w:val="both"/>
      </w:pPr>
      <w:r>
        <w:t>T</w:t>
      </w:r>
      <w:r w:rsidRPr="009A40D6">
        <w:t xml:space="preserve">he choice of the 65% minimum </w:t>
      </w:r>
      <w:r w:rsidR="00657590">
        <w:t>efficiency</w:t>
      </w:r>
      <w:r w:rsidR="00302234">
        <w:t xml:space="preserve"> </w:t>
      </w:r>
      <w:r w:rsidRPr="009A40D6">
        <w:t xml:space="preserve">value </w:t>
      </w:r>
      <w:r>
        <w:t>is believed</w:t>
      </w:r>
      <w:r w:rsidRPr="009A40D6">
        <w:t xml:space="preserve"> to have been adopted by </w:t>
      </w:r>
      <w:r>
        <w:t xml:space="preserve">the </w:t>
      </w:r>
      <w:r w:rsidR="004D0062">
        <w:t>NESAQ</w:t>
      </w:r>
      <w:r w:rsidRPr="009A40D6">
        <w:t xml:space="preserve"> from a rather arbitrary </w:t>
      </w:r>
      <w:r>
        <w:t xml:space="preserve">and unscientific </w:t>
      </w:r>
      <w:r w:rsidRPr="009A40D6">
        <w:t xml:space="preserve">decision made by </w:t>
      </w:r>
      <w:r w:rsidR="00F03A84">
        <w:t>Environment Canterbury</w:t>
      </w:r>
      <w:r w:rsidRPr="009A40D6">
        <w:t xml:space="preserve"> for the</w:t>
      </w:r>
      <w:r>
        <w:t>ir</w:t>
      </w:r>
      <w:r w:rsidRPr="009A40D6">
        <w:t xml:space="preserve"> first Canterbury Regional Air Plan and was simply </w:t>
      </w:r>
      <w:r>
        <w:t>selected as being towards the upper level</w:t>
      </w:r>
      <w:r w:rsidRPr="009A40D6">
        <w:t xml:space="preserve"> of what wood</w:t>
      </w:r>
      <w:r>
        <w:t>b</w:t>
      </w:r>
      <w:r w:rsidRPr="009A40D6">
        <w:t>urners were achieving at the time.</w:t>
      </w:r>
      <w:r>
        <w:t xml:space="preserve">  Some burners were achieving an efficiency of around 70%, but the level was set below that to ensure that a range of burners was available for sale.  T</w:t>
      </w:r>
      <w:r w:rsidRPr="00C73B03">
        <w:t>he minimum efficiency level in Australia is 60%</w:t>
      </w:r>
      <w:r>
        <w:t>, having been recently increased from 55%</w:t>
      </w:r>
      <w:r w:rsidRPr="00C73B03">
        <w:t>.</w:t>
      </w:r>
    </w:p>
    <w:p w14:paraId="0298A377" w14:textId="77777777" w:rsidR="00252562" w:rsidRDefault="00252562" w:rsidP="00AC597E">
      <w:pPr>
        <w:pStyle w:val="NoSpacing"/>
        <w:jc w:val="both"/>
      </w:pPr>
    </w:p>
    <w:p w14:paraId="7B9D0957" w14:textId="15F87E50" w:rsidR="00AC597E" w:rsidRPr="00455191" w:rsidRDefault="004D0062" w:rsidP="003440B2">
      <w:pPr>
        <w:pStyle w:val="NoSpacing"/>
        <w:jc w:val="both"/>
        <w:rPr>
          <w:b/>
          <w:bCs/>
        </w:rPr>
      </w:pPr>
      <w:r>
        <w:rPr>
          <w:b/>
          <w:bCs/>
        </w:rPr>
        <w:t>Environment Canterbury</w:t>
      </w:r>
      <w:r w:rsidR="00657590" w:rsidRPr="00455191">
        <w:rPr>
          <w:b/>
          <w:bCs/>
        </w:rPr>
        <w:t>’s</w:t>
      </w:r>
      <w:r w:rsidR="00765CF2" w:rsidRPr="00455191">
        <w:rPr>
          <w:b/>
          <w:bCs/>
        </w:rPr>
        <w:t xml:space="preserve"> </w:t>
      </w:r>
      <w:r w:rsidR="00657590" w:rsidRPr="00455191">
        <w:rPr>
          <w:b/>
          <w:bCs/>
        </w:rPr>
        <w:t>approach</w:t>
      </w:r>
    </w:p>
    <w:p w14:paraId="05D3CABC" w14:textId="273CF075" w:rsidR="003440B2" w:rsidRDefault="00CB49BD" w:rsidP="003440B2">
      <w:pPr>
        <w:pStyle w:val="NoSpacing"/>
        <w:jc w:val="both"/>
      </w:pPr>
      <w:r>
        <w:t xml:space="preserve">Around 2002 </w:t>
      </w:r>
      <w:r w:rsidR="003440B2">
        <w:t xml:space="preserve">Environment Canterbury </w:t>
      </w:r>
      <w:r w:rsidR="00B57233">
        <w:t>began</w:t>
      </w:r>
      <w:r w:rsidR="00420362">
        <w:t xml:space="preserve"> working with the</w:t>
      </w:r>
      <w:r w:rsidR="003440B2">
        <w:t xml:space="preserve"> concep</w:t>
      </w:r>
      <w:r>
        <w:t>t of expressing</w:t>
      </w:r>
      <w:r w:rsidR="003440B2">
        <w:t xml:space="preserve"> emissions in </w:t>
      </w:r>
      <w:r w:rsidR="006A5459">
        <w:t xml:space="preserve">terms of </w:t>
      </w:r>
      <w:r w:rsidR="003440B2">
        <w:t>milligrams of particulates per megajoule (MJ) of useful heat</w:t>
      </w:r>
      <w:r w:rsidR="00214823">
        <w:t xml:space="preserve"> produced</w:t>
      </w:r>
      <w:r w:rsidR="003440B2">
        <w:t xml:space="preserve">, or mg/MJ. </w:t>
      </w:r>
      <w:r w:rsidR="007B0D4B">
        <w:t xml:space="preserve"> This takes into account the quantity of parti</w:t>
      </w:r>
      <w:r w:rsidR="00BF5FC2">
        <w:t>cula</w:t>
      </w:r>
      <w:r w:rsidR="007B0D4B">
        <w:t xml:space="preserve">te </w:t>
      </w:r>
      <w:r w:rsidR="00BF5FC2">
        <w:t>emissions</w:t>
      </w:r>
      <w:r w:rsidR="003253A3">
        <w:t xml:space="preserve"> based on usable heat generated by a woodburner.</w:t>
      </w:r>
      <w:r w:rsidR="00F422A1">
        <w:t xml:space="preserve">  It</w:t>
      </w:r>
      <w:r w:rsidR="003440B2">
        <w:t xml:space="preserve"> embodies the percentage efficiency </w:t>
      </w:r>
      <w:r w:rsidR="003440B2" w:rsidRPr="00D019CC">
        <w:t>and</w:t>
      </w:r>
      <w:r w:rsidR="003440B2">
        <w:t xml:space="preserve"> the particulate emissions in g/kg and incorporates a standard figure for the dry Gross Calorific Value (GCV) of the firewood which is taken to be 20.1 MJ/kg.</w:t>
      </w:r>
    </w:p>
    <w:p w14:paraId="5B1774E0" w14:textId="2DEB8B8B" w:rsidR="004B3039" w:rsidRDefault="004B3039" w:rsidP="003440B2">
      <w:pPr>
        <w:pStyle w:val="NoSpacing"/>
        <w:jc w:val="both"/>
      </w:pPr>
    </w:p>
    <w:p w14:paraId="57E4B6A1" w14:textId="77777777" w:rsidR="00271B78" w:rsidRDefault="00271B78" w:rsidP="003440B2">
      <w:pPr>
        <w:pStyle w:val="NoSpacing"/>
        <w:jc w:val="both"/>
      </w:pPr>
    </w:p>
    <w:p w14:paraId="405528FD" w14:textId="23CBAE26" w:rsidR="004B3039" w:rsidRDefault="004B3039" w:rsidP="003440B2">
      <w:pPr>
        <w:pStyle w:val="NoSpacing"/>
        <w:jc w:val="both"/>
      </w:pPr>
      <w:r>
        <w:t xml:space="preserve">The </w:t>
      </w:r>
      <w:r w:rsidR="00A709EE">
        <w:t>calculation</w:t>
      </w:r>
      <w:r>
        <w:t xml:space="preserve"> is as follows:</w:t>
      </w:r>
    </w:p>
    <w:p w14:paraId="5C37B28C" w14:textId="1CE68433" w:rsidR="004B3039" w:rsidRDefault="004B3039" w:rsidP="003440B2">
      <w:pPr>
        <w:pStyle w:val="NoSpacing"/>
        <w:jc w:val="both"/>
      </w:pPr>
    </w:p>
    <w:p w14:paraId="526A61A8" w14:textId="6E7891E5" w:rsidR="007A1390" w:rsidRDefault="007A1390" w:rsidP="00300B68">
      <w:pPr>
        <w:pStyle w:val="NoSpacing"/>
        <w:ind w:left="720"/>
        <w:jc w:val="both"/>
      </w:pPr>
      <w:r>
        <w:t xml:space="preserve">Emissions in mg/MJ = </w:t>
      </w:r>
      <w:r w:rsidR="00DE4E27">
        <w:t xml:space="preserve">(1000 x </w:t>
      </w:r>
      <w:r w:rsidR="00A709EE">
        <w:t>Emissions</w:t>
      </w:r>
      <w:r w:rsidR="00DE4E27">
        <w:t xml:space="preserve"> in g/kg)/</w:t>
      </w:r>
      <w:r w:rsidR="00801261">
        <w:t xml:space="preserve">(% </w:t>
      </w:r>
      <w:r w:rsidR="00A709EE">
        <w:t>efficiency</w:t>
      </w:r>
      <w:r w:rsidR="00801261">
        <w:t xml:space="preserve"> x 20.1 MJ/kg)</w:t>
      </w:r>
    </w:p>
    <w:p w14:paraId="29154333" w14:textId="77777777" w:rsidR="003440B2" w:rsidRDefault="003440B2" w:rsidP="003440B2">
      <w:pPr>
        <w:pStyle w:val="NoSpacing"/>
        <w:jc w:val="both"/>
      </w:pPr>
    </w:p>
    <w:p w14:paraId="2FBFB825" w14:textId="435EBCEF" w:rsidR="003440B2" w:rsidRDefault="003440B2" w:rsidP="003440B2">
      <w:pPr>
        <w:pStyle w:val="NoSpacing"/>
        <w:jc w:val="both"/>
      </w:pPr>
      <w:r>
        <w:lastRenderedPageBreak/>
        <w:t xml:space="preserve">The current </w:t>
      </w:r>
      <w:r w:rsidR="004D0062">
        <w:t>NESAQ</w:t>
      </w:r>
      <w:r>
        <w:t xml:space="preserve"> performance standard of 1.5 g/kg and 65% minimum efficiency </w:t>
      </w:r>
      <w:r w:rsidR="00935D7E">
        <w:t>equates</w:t>
      </w:r>
      <w:r>
        <w:t xml:space="preserve"> to an emissions limit of 115 mg/MJ of useful heat.</w:t>
      </w:r>
      <w:r w:rsidR="00035202">
        <w:t xml:space="preserve">  The </w:t>
      </w:r>
      <w:r w:rsidR="0068062D">
        <w:t>proposed</w:t>
      </w:r>
      <w:r w:rsidR="00035202">
        <w:t xml:space="preserve"> </w:t>
      </w:r>
      <w:r w:rsidR="009A75E8">
        <w:t>standard</w:t>
      </w:r>
      <w:r w:rsidR="00035202">
        <w:t xml:space="preserve"> of 1</w:t>
      </w:r>
      <w:r w:rsidR="001E5915">
        <w:t>.0</w:t>
      </w:r>
      <w:r w:rsidR="00035202">
        <w:t xml:space="preserve"> g/kg </w:t>
      </w:r>
      <w:r w:rsidR="00163BD1">
        <w:t xml:space="preserve"> and 65% minimum </w:t>
      </w:r>
      <w:r w:rsidR="0068062D">
        <w:t>efficiency</w:t>
      </w:r>
      <w:r w:rsidR="00163BD1">
        <w:t xml:space="preserve"> </w:t>
      </w:r>
      <w:r w:rsidR="00035202">
        <w:t>equates to 77 mg/MJ</w:t>
      </w:r>
      <w:r w:rsidR="00C619FC">
        <w:t>.</w:t>
      </w:r>
    </w:p>
    <w:p w14:paraId="69083B41" w14:textId="77777777" w:rsidR="003440B2" w:rsidRDefault="003440B2" w:rsidP="003440B2">
      <w:pPr>
        <w:pStyle w:val="NoSpacing"/>
        <w:jc w:val="both"/>
      </w:pPr>
    </w:p>
    <w:p w14:paraId="320F44FD" w14:textId="6F5E7A94" w:rsidR="00E10B25" w:rsidRDefault="00E10B25" w:rsidP="00E10B25">
      <w:pPr>
        <w:pStyle w:val="NoSpacing"/>
        <w:jc w:val="both"/>
        <w:rPr>
          <w:b/>
          <w:smallCaps/>
        </w:rPr>
      </w:pPr>
      <w:r>
        <w:t>A similar calculation could be used for pellet fires.  Wood pellet fuel has a virtually identical GCV to wood logs.  For example, the test fuel used in testing the R</w:t>
      </w:r>
      <w:r w:rsidRPr="0041281B">
        <w:t xml:space="preserve">avelli </w:t>
      </w:r>
      <w:r>
        <w:t>R</w:t>
      </w:r>
      <w:r w:rsidRPr="0041281B">
        <w:t xml:space="preserve">osa </w:t>
      </w:r>
      <w:r>
        <w:t>R</w:t>
      </w:r>
      <w:r w:rsidRPr="0041281B">
        <w:t>70</w:t>
      </w:r>
      <w:r w:rsidR="00F227F7">
        <w:t xml:space="preserve"> pellet fire</w:t>
      </w:r>
      <w:r>
        <w:t xml:space="preserve"> was recorded as 20.05 MJ/kg.</w:t>
      </w:r>
    </w:p>
    <w:p w14:paraId="55358CFD" w14:textId="77777777" w:rsidR="00E10B25" w:rsidRDefault="00E10B25" w:rsidP="003440B2">
      <w:pPr>
        <w:pStyle w:val="NoSpacing"/>
        <w:jc w:val="both"/>
      </w:pPr>
    </w:p>
    <w:p w14:paraId="0E1770B4" w14:textId="0ED67AE6" w:rsidR="00C07B68" w:rsidRDefault="004D0062" w:rsidP="003440B2">
      <w:pPr>
        <w:pStyle w:val="NoSpacing"/>
        <w:jc w:val="both"/>
      </w:pPr>
      <w:r>
        <w:t>Environment Canterbury</w:t>
      </w:r>
      <w:r w:rsidR="003440B2">
        <w:t xml:space="preserve"> has specified an allowable emissions level of 38 mg/MJ as a criterion for authorisation of ULEBs.  This is equivalent to 0.5g/kg emissions and 65% efficiency</w:t>
      </w:r>
      <w:r w:rsidR="00C07B68">
        <w:t>.</w:t>
      </w:r>
    </w:p>
    <w:p w14:paraId="1C9B4F9A" w14:textId="77777777" w:rsidR="0041281B" w:rsidRDefault="0041281B" w:rsidP="003440B2">
      <w:pPr>
        <w:pStyle w:val="NoSpacing"/>
        <w:jc w:val="both"/>
        <w:rPr>
          <w:b/>
          <w:smallCaps/>
        </w:rPr>
      </w:pPr>
    </w:p>
    <w:p w14:paraId="7BD62851" w14:textId="56191DDB" w:rsidR="003440B2" w:rsidRDefault="00C07B68" w:rsidP="003440B2">
      <w:pPr>
        <w:pStyle w:val="NoSpacing"/>
        <w:jc w:val="both"/>
      </w:pPr>
      <w:r>
        <w:t xml:space="preserve">It is important to note that this </w:t>
      </w:r>
      <w:r w:rsidR="00EE14FA">
        <w:t>criterion</w:t>
      </w:r>
      <w:r w:rsidR="003440B2">
        <w:t xml:space="preserve"> is based on real life testing to their “Canterbury Method”, which is </w:t>
      </w:r>
      <w:r w:rsidR="00A726D0">
        <w:t>theoretically</w:t>
      </w:r>
      <w:r w:rsidR="00EE000B">
        <w:t xml:space="preserve"> </w:t>
      </w:r>
      <w:r w:rsidR="003440B2">
        <w:t>much tougher than testing to AS/NZS 4012/4013</w:t>
      </w:r>
      <w:r w:rsidR="009A257D">
        <w:t xml:space="preserve"> and, in </w:t>
      </w:r>
      <w:r w:rsidR="00BF5FC2">
        <w:t>particular</w:t>
      </w:r>
      <w:r w:rsidR="009A257D">
        <w:t xml:space="preserve">, includes </w:t>
      </w:r>
      <w:r w:rsidR="00BF5FC2">
        <w:t>emissions</w:t>
      </w:r>
      <w:r w:rsidR="009A257D">
        <w:t xml:space="preserve"> from the </w:t>
      </w:r>
      <w:r w:rsidR="00BF5FC2">
        <w:t>relatively</w:t>
      </w:r>
      <w:r w:rsidR="005533EA">
        <w:t xml:space="preserve"> dirty start-up </w:t>
      </w:r>
      <w:r w:rsidR="003A7C54">
        <w:t xml:space="preserve">combustion </w:t>
      </w:r>
      <w:r w:rsidR="005533EA">
        <w:t>phase</w:t>
      </w:r>
      <w:r w:rsidR="003440B2">
        <w:t xml:space="preserve">. </w:t>
      </w:r>
    </w:p>
    <w:p w14:paraId="61D5A75B" w14:textId="77777777" w:rsidR="003440B2" w:rsidRDefault="003440B2" w:rsidP="003440B2">
      <w:pPr>
        <w:pStyle w:val="NoSpacing"/>
        <w:jc w:val="both"/>
      </w:pPr>
    </w:p>
    <w:p w14:paraId="385C3A10" w14:textId="30187DCA" w:rsidR="00FF1745" w:rsidRDefault="001E1D50" w:rsidP="00FF7AB6">
      <w:pPr>
        <w:pStyle w:val="NoSpacing"/>
        <w:jc w:val="both"/>
      </w:pPr>
      <w:r>
        <w:t xml:space="preserve">Environment Canterbury’s adoption of a ULEB threshold measured in mg of emissions per MJ of useful heat output effectively allows some trade-off between emissions and efficiency to achieve an overall ultra-low level of emissions.  </w:t>
      </w:r>
      <w:r w:rsidR="00EE14FA">
        <w:t>Environment</w:t>
      </w:r>
      <w:r w:rsidR="008E109E">
        <w:t xml:space="preserve"> </w:t>
      </w:r>
      <w:r w:rsidR="002038D0">
        <w:t>Canterbury</w:t>
      </w:r>
      <w:r w:rsidR="008E109E">
        <w:t xml:space="preserve"> does not specify any </w:t>
      </w:r>
      <w:r w:rsidR="006B3197">
        <w:t xml:space="preserve">separate </w:t>
      </w:r>
      <w:r w:rsidR="003B3360">
        <w:t xml:space="preserve">maximum </w:t>
      </w:r>
      <w:r w:rsidR="00EE14FA">
        <w:t>emissions</w:t>
      </w:r>
      <w:r w:rsidR="003B3360">
        <w:t xml:space="preserve"> level in g/kg or any minimum </w:t>
      </w:r>
      <w:r w:rsidR="00EE14FA">
        <w:t>efficiency</w:t>
      </w:r>
      <w:r w:rsidR="003B3360">
        <w:t xml:space="preserve"> level</w:t>
      </w:r>
      <w:r w:rsidR="007A570A">
        <w:t xml:space="preserve"> </w:t>
      </w:r>
      <w:r w:rsidR="006B3197">
        <w:t xml:space="preserve">based on </w:t>
      </w:r>
      <w:r w:rsidR="00EE14FA">
        <w:t>testing</w:t>
      </w:r>
      <w:r w:rsidR="006B3197">
        <w:t xml:space="preserve"> to CM1 </w:t>
      </w:r>
      <w:r w:rsidR="007A570A">
        <w:t xml:space="preserve">for </w:t>
      </w:r>
      <w:r w:rsidR="00EE14FA">
        <w:t>authorisation</w:t>
      </w:r>
      <w:r w:rsidR="007A570A">
        <w:t xml:space="preserve"> as a ULEB.</w:t>
      </w:r>
      <w:r w:rsidR="007321A3">
        <w:t xml:space="preserve"> </w:t>
      </w:r>
      <w:r w:rsidR="007A570A">
        <w:t xml:space="preserve"> </w:t>
      </w:r>
      <w:r>
        <w:t xml:space="preserve">However, </w:t>
      </w:r>
      <w:r w:rsidR="00121E8D">
        <w:t xml:space="preserve">all new burners must </w:t>
      </w:r>
      <w:r w:rsidR="000972AD">
        <w:t xml:space="preserve">also </w:t>
      </w:r>
      <w:r w:rsidR="00121E8D">
        <w:t>meet</w:t>
      </w:r>
      <w:r>
        <w:t xml:space="preserve"> the current NESAQ requirement to achieve 65% efficiency as measured by AS/NZS 4012.</w:t>
      </w:r>
      <w:r w:rsidR="00FF7AB6">
        <w:t xml:space="preserve">  </w:t>
      </w:r>
    </w:p>
    <w:p w14:paraId="4C5172DD" w14:textId="77777777" w:rsidR="00FF1745" w:rsidRDefault="00FF1745" w:rsidP="00FF7AB6">
      <w:pPr>
        <w:pStyle w:val="NoSpacing"/>
        <w:jc w:val="both"/>
      </w:pPr>
    </w:p>
    <w:p w14:paraId="3C8B812A" w14:textId="680ED308" w:rsidR="00FF7AB6" w:rsidRDefault="00FF7AB6" w:rsidP="00FF7AB6">
      <w:pPr>
        <w:pStyle w:val="NoSpacing"/>
        <w:jc w:val="both"/>
      </w:pPr>
      <w:r>
        <w:t xml:space="preserve">This </w:t>
      </w:r>
      <w:r w:rsidR="00FF1745">
        <w:t xml:space="preserve">65% </w:t>
      </w:r>
      <w:r w:rsidR="00EE14FA">
        <w:t>efficiency</w:t>
      </w:r>
      <w:r w:rsidR="00FF1745">
        <w:t xml:space="preserve"> threshold is</w:t>
      </w:r>
      <w:r>
        <w:t xml:space="preserve"> constraining the development of some ULEBs</w:t>
      </w:r>
      <w:r w:rsidR="00E50F87">
        <w:t>,</w:t>
      </w:r>
      <w:r>
        <w:t xml:space="preserve"> or resulting in higher emissions than would be the case if the efficiency threshold </w:t>
      </w:r>
      <w:proofErr w:type="gramStart"/>
      <w:r>
        <w:t>was</w:t>
      </w:r>
      <w:proofErr w:type="gramEnd"/>
      <w:r>
        <w:t xml:space="preserve"> slightly lower.  </w:t>
      </w:r>
    </w:p>
    <w:p w14:paraId="0AC55743" w14:textId="77777777" w:rsidR="003440B2" w:rsidRDefault="003440B2" w:rsidP="003440B2">
      <w:pPr>
        <w:pStyle w:val="NoSpacing"/>
        <w:jc w:val="both"/>
      </w:pPr>
    </w:p>
    <w:p w14:paraId="4FB155F8" w14:textId="4FF16046" w:rsidR="003440B2" w:rsidRDefault="003440B2" w:rsidP="003440B2">
      <w:pPr>
        <w:pStyle w:val="NoSpacing"/>
        <w:jc w:val="both"/>
      </w:pPr>
      <w:r>
        <w:t xml:space="preserve">Referring to the table in Appendix </w:t>
      </w:r>
      <w:r w:rsidR="00C47257">
        <w:t>1</w:t>
      </w:r>
      <w:r>
        <w:t xml:space="preserve">, it can be seen that a burner </w:t>
      </w:r>
      <w:r w:rsidR="00135020">
        <w:t xml:space="preserve">with </w:t>
      </w:r>
      <w:r w:rsidR="00BD1D8B">
        <w:t>emissions</w:t>
      </w:r>
      <w:r w:rsidR="00135020">
        <w:t xml:space="preserve"> of</w:t>
      </w:r>
      <w:r>
        <w:t xml:space="preserve"> 0.5 g/kg and with an efficiency of 65% would qualify as a ULEB and also be NESAQ compliant, yet a burner emitting 0.45 g/kg with an efficiency of 64% </w:t>
      </w:r>
      <w:r w:rsidR="009857A9">
        <w:t xml:space="preserve">based on </w:t>
      </w:r>
      <w:r w:rsidR="004D0062">
        <w:t>AS/NZS 4012</w:t>
      </w:r>
      <w:r w:rsidR="009857A9">
        <w:t xml:space="preserve"> testing </w:t>
      </w:r>
      <w:r>
        <w:t>would qualify as a ULEB, but not be able to be authorised under the NESAQ</w:t>
      </w:r>
      <w:r w:rsidR="000F250B">
        <w:t>.</w:t>
      </w:r>
    </w:p>
    <w:p w14:paraId="67C3B0E6" w14:textId="59665CF7" w:rsidR="00C4153B" w:rsidRDefault="00C4153B" w:rsidP="003440B2">
      <w:pPr>
        <w:pStyle w:val="NoSpacing"/>
        <w:jc w:val="both"/>
      </w:pPr>
    </w:p>
    <w:p w14:paraId="15E51EE4" w14:textId="6BE4649B" w:rsidR="0090324B" w:rsidRPr="00AC1342" w:rsidRDefault="00AC1342" w:rsidP="00C4153B">
      <w:pPr>
        <w:pStyle w:val="NoSpacing"/>
        <w:jc w:val="both"/>
        <w:rPr>
          <w:b/>
          <w:bCs/>
        </w:rPr>
      </w:pPr>
      <w:r w:rsidRPr="00AC1342">
        <w:rPr>
          <w:b/>
          <w:bCs/>
        </w:rPr>
        <w:t>Insert burners</w:t>
      </w:r>
    </w:p>
    <w:p w14:paraId="455B1DC4" w14:textId="4AAB1A52" w:rsidR="008B10F7" w:rsidRDefault="00605DAC" w:rsidP="00C4153B">
      <w:pPr>
        <w:pStyle w:val="NoSpacing"/>
        <w:jc w:val="both"/>
      </w:pPr>
      <w:r>
        <w:t>There is a</w:t>
      </w:r>
      <w:r w:rsidR="00C4153B">
        <w:t xml:space="preserve"> particular</w:t>
      </w:r>
      <w:r w:rsidR="00A93825">
        <w:t xml:space="preserve"> issue with insert </w:t>
      </w:r>
      <w:r w:rsidR="00517B7C">
        <w:t>burners</w:t>
      </w:r>
      <w:r w:rsidR="00A93825">
        <w:t xml:space="preserve"> as it is harder</w:t>
      </w:r>
      <w:r w:rsidR="00C4153B">
        <w:t xml:space="preserve"> to achieve 65% efficiency because of the nature of their design.  </w:t>
      </w:r>
      <w:r w:rsidR="00C4153B" w:rsidRPr="00D43154">
        <w:t xml:space="preserve">Insert models are designed to fit into a chimney cavity and have been used to replace open fires over many years.  Insert models differ from freestanding woodburners in that they do not have exposed sides to allow heat to radiate into a room. </w:t>
      </w:r>
    </w:p>
    <w:p w14:paraId="19D80141" w14:textId="77777777" w:rsidR="008B10F7" w:rsidRDefault="008B10F7" w:rsidP="00C4153B">
      <w:pPr>
        <w:pStyle w:val="NoSpacing"/>
        <w:jc w:val="both"/>
      </w:pPr>
    </w:p>
    <w:p w14:paraId="4DF8ADF0" w14:textId="0811AB86" w:rsidR="00C4153B" w:rsidRDefault="00C4153B" w:rsidP="00C4153B">
      <w:pPr>
        <w:pStyle w:val="NoSpacing"/>
        <w:jc w:val="both"/>
      </w:pPr>
      <w:r w:rsidRPr="00D43154">
        <w:t xml:space="preserve">Many </w:t>
      </w:r>
      <w:r w:rsidR="00DD79E6">
        <w:t>existing</w:t>
      </w:r>
      <w:r w:rsidRPr="00D43154">
        <w:t xml:space="preserve"> insert models </w:t>
      </w:r>
      <w:r w:rsidR="00DD79E6">
        <w:t xml:space="preserve">in homes are old and </w:t>
      </w:r>
      <w:r w:rsidR="00A709EE">
        <w:t>relatively</w:t>
      </w:r>
      <w:r w:rsidR="00DD79E6">
        <w:t xml:space="preserve"> dirty.</w:t>
      </w:r>
      <w:r w:rsidR="007A5BA9">
        <w:t xml:space="preserve">  </w:t>
      </w:r>
      <w:r w:rsidR="00A709EE">
        <w:t>Councils</w:t>
      </w:r>
      <w:r w:rsidR="007A5BA9">
        <w:t xml:space="preserve"> in airshed </w:t>
      </w:r>
      <w:r w:rsidR="00A709EE">
        <w:t>towns</w:t>
      </w:r>
      <w:r w:rsidR="007A5BA9">
        <w:t xml:space="preserve"> and cities would like to see them replaced with </w:t>
      </w:r>
      <w:r w:rsidR="00F03A84">
        <w:t>ULEB</w:t>
      </w:r>
      <w:r w:rsidR="002833F7">
        <w:t>s</w:t>
      </w:r>
      <w:r w:rsidR="00E50F87">
        <w:t xml:space="preserve"> or </w:t>
      </w:r>
      <w:r w:rsidR="00F03A84">
        <w:t>LEB</w:t>
      </w:r>
      <w:r w:rsidR="00E50F87">
        <w:t>s</w:t>
      </w:r>
      <w:r w:rsidR="00A13886">
        <w:t>.</w:t>
      </w:r>
    </w:p>
    <w:p w14:paraId="2520FB6D" w14:textId="012614BC" w:rsidR="005043DC" w:rsidRDefault="005043DC" w:rsidP="00C4153B">
      <w:pPr>
        <w:pStyle w:val="NoSpacing"/>
        <w:jc w:val="both"/>
      </w:pPr>
    </w:p>
    <w:p w14:paraId="78BBE0A0" w14:textId="77777777" w:rsidR="00224227" w:rsidRDefault="00224227" w:rsidP="00224227">
      <w:pPr>
        <w:pStyle w:val="NoSpacing"/>
        <w:jc w:val="both"/>
      </w:pPr>
      <w:r>
        <w:t>It is likely that households with an existing insert burner will prefer to replace them with a new insert burner as they will fit into the existing cavity.  Replacing an insert with a freestanding model will encroach into living room space.</w:t>
      </w:r>
    </w:p>
    <w:p w14:paraId="2CF61CCE" w14:textId="77777777" w:rsidR="00224227" w:rsidRDefault="00224227" w:rsidP="00C4153B">
      <w:pPr>
        <w:pStyle w:val="NoSpacing"/>
        <w:jc w:val="both"/>
      </w:pPr>
    </w:p>
    <w:p w14:paraId="29CAFA34" w14:textId="6BB4D7FC" w:rsidR="005043DC" w:rsidRDefault="005043DC" w:rsidP="005043DC">
      <w:pPr>
        <w:pStyle w:val="NoSpacing"/>
        <w:jc w:val="both"/>
      </w:pPr>
      <w:r>
        <w:t xml:space="preserve">The current efficiency requirement of 65% is </w:t>
      </w:r>
      <w:r w:rsidR="00A726D0">
        <w:t>believed</w:t>
      </w:r>
      <w:r w:rsidR="00D74B2D">
        <w:t xml:space="preserve"> to be </w:t>
      </w:r>
      <w:r>
        <w:t xml:space="preserve">having the effect of hindering the replacement of older, dirty </w:t>
      </w:r>
      <w:r w:rsidR="004D0062">
        <w:t>insert</w:t>
      </w:r>
      <w:r>
        <w:t xml:space="preserve"> burners with cleaner models</w:t>
      </w:r>
      <w:r w:rsidR="005574EC">
        <w:t xml:space="preserve">, </w:t>
      </w:r>
      <w:r w:rsidR="00517B7C">
        <w:t>particularly</w:t>
      </w:r>
      <w:r w:rsidR="005574EC">
        <w:t xml:space="preserve"> where councils have </w:t>
      </w:r>
      <w:r w:rsidR="00AB2771">
        <w:t xml:space="preserve">more stringent </w:t>
      </w:r>
      <w:r w:rsidR="00517B7C">
        <w:t>emissions</w:t>
      </w:r>
      <w:r w:rsidR="00AB2771">
        <w:t xml:space="preserve"> rules than defined in the </w:t>
      </w:r>
      <w:r w:rsidR="004D0062">
        <w:t>NESAQ</w:t>
      </w:r>
      <w:r w:rsidR="00AB2771">
        <w:t>.</w:t>
      </w:r>
    </w:p>
    <w:p w14:paraId="099EBD25" w14:textId="236554A6" w:rsidR="005043DC" w:rsidRDefault="005043DC" w:rsidP="00C4153B">
      <w:pPr>
        <w:pStyle w:val="NoSpacing"/>
        <w:jc w:val="both"/>
      </w:pPr>
    </w:p>
    <w:p w14:paraId="52A05508" w14:textId="22566A1E" w:rsidR="001B4D16" w:rsidRDefault="001B4D16" w:rsidP="001B4D16">
      <w:pPr>
        <w:pStyle w:val="NoSpacing"/>
        <w:jc w:val="both"/>
      </w:pPr>
      <w:r>
        <w:t xml:space="preserve">Manufacturers report being able to design an </w:t>
      </w:r>
      <w:r w:rsidR="004D0062">
        <w:t>insert</w:t>
      </w:r>
      <w:r>
        <w:t xml:space="preserve"> burner with very low emissions e.g. in the range of 0.3 to 0.5 g/kg and get efficiencies based on testing to </w:t>
      </w:r>
      <w:r w:rsidR="004D0062">
        <w:t>AS/NZS 4012</w:t>
      </w:r>
      <w:r>
        <w:t xml:space="preserve"> close to 65%, but not quite achieving it, getting results in the 60 to 65% range.  Such a burner is therefore not compliant with the </w:t>
      </w:r>
      <w:r w:rsidR="004D0062">
        <w:t>NESAQ</w:t>
      </w:r>
      <w:r>
        <w:t xml:space="preserve"> and therefore could not be offered for sale, despite being very clean and with no significant downside to householders because of a slightly sub-65% efficiency result.  </w:t>
      </w:r>
    </w:p>
    <w:p w14:paraId="016D213A" w14:textId="77777777" w:rsidR="001B4D16" w:rsidRDefault="001B4D16" w:rsidP="00C4153B">
      <w:pPr>
        <w:pStyle w:val="NoSpacing"/>
        <w:jc w:val="both"/>
      </w:pPr>
    </w:p>
    <w:p w14:paraId="1F74ECF3" w14:textId="2676F1A4" w:rsidR="00C4153B" w:rsidRDefault="00AC7C0C" w:rsidP="00C4153B">
      <w:pPr>
        <w:pStyle w:val="NoSpacing"/>
        <w:jc w:val="both"/>
      </w:pPr>
      <w:r>
        <w:lastRenderedPageBreak/>
        <w:t>T</w:t>
      </w:r>
      <w:r w:rsidR="00C4153B" w:rsidRPr="00E74F58">
        <w:t>here is currently only one insert model available that has been authorised as ULEB compliant</w:t>
      </w:r>
      <w:r w:rsidR="00C4153B">
        <w:t xml:space="preserve">, the </w:t>
      </w:r>
      <w:r w:rsidR="00C4153B" w:rsidRPr="00E74F58">
        <w:t>Metro Ultra Insert</w:t>
      </w:r>
      <w:r w:rsidR="00C4153B">
        <w:t xml:space="preserve"> from Pioneer Manufacturing Ltd.</w:t>
      </w:r>
      <w:r w:rsidR="004D1062">
        <w:t xml:space="preserve">  This model uses an electric air </w:t>
      </w:r>
      <w:r w:rsidR="00C22616">
        <w:t>circulation</w:t>
      </w:r>
      <w:r w:rsidR="004D1062">
        <w:t xml:space="preserve"> fan to help achieve 65% </w:t>
      </w:r>
      <w:r w:rsidR="00C22616">
        <w:t>efficiency</w:t>
      </w:r>
      <w:r w:rsidR="004D1062">
        <w:t>.</w:t>
      </w:r>
    </w:p>
    <w:p w14:paraId="63B2D914" w14:textId="77777777" w:rsidR="00C4153B" w:rsidRDefault="00C4153B" w:rsidP="00C4153B">
      <w:pPr>
        <w:pStyle w:val="NoSpacing"/>
        <w:jc w:val="both"/>
      </w:pPr>
    </w:p>
    <w:p w14:paraId="5F3EB3F3" w14:textId="4CF532D6" w:rsidR="00C4153B" w:rsidRDefault="00C4153B" w:rsidP="00C4153B">
      <w:pPr>
        <w:pStyle w:val="NoSpacing"/>
        <w:jc w:val="both"/>
      </w:pPr>
      <w:r>
        <w:t xml:space="preserve">In recognition of the problem facing insert burners being authorised as ULEBs and with only one ULEB insert model on the market, </w:t>
      </w:r>
      <w:r w:rsidR="00A60193">
        <w:t>Environment Canterbury</w:t>
      </w:r>
      <w:r>
        <w:t xml:space="preserve"> is allowing waivers of their </w:t>
      </w:r>
      <w:r w:rsidR="000B608D">
        <w:t xml:space="preserve">burner </w:t>
      </w:r>
      <w:r>
        <w:t>replacement rule for insert burners until more models are available for sale.</w:t>
      </w:r>
    </w:p>
    <w:p w14:paraId="3B2E9A29" w14:textId="1A044ED7" w:rsidR="0058309C" w:rsidRDefault="0058309C" w:rsidP="003440B2">
      <w:pPr>
        <w:pStyle w:val="NoSpacing"/>
        <w:jc w:val="both"/>
      </w:pPr>
    </w:p>
    <w:p w14:paraId="32514CD2" w14:textId="2D76ABBA" w:rsidR="00F83760" w:rsidRPr="00F83760" w:rsidRDefault="00F83760" w:rsidP="003440B2">
      <w:pPr>
        <w:pStyle w:val="NoSpacing"/>
        <w:jc w:val="both"/>
        <w:rPr>
          <w:b/>
          <w:bCs/>
        </w:rPr>
      </w:pPr>
      <w:r w:rsidRPr="00F83760">
        <w:rPr>
          <w:b/>
          <w:bCs/>
        </w:rPr>
        <w:t xml:space="preserve">mg/MJ as a solution </w:t>
      </w:r>
    </w:p>
    <w:p w14:paraId="77D1DEA7" w14:textId="51DC207F" w:rsidR="003440B2" w:rsidRDefault="003440B2" w:rsidP="003440B2">
      <w:pPr>
        <w:pStyle w:val="NoSpacing"/>
        <w:jc w:val="both"/>
      </w:pPr>
      <w:r>
        <w:t xml:space="preserve">It would be useful if consideration could be given to </w:t>
      </w:r>
      <w:r w:rsidR="00336822">
        <w:t xml:space="preserve">the use of </w:t>
      </w:r>
      <w:r>
        <w:t xml:space="preserve">a standard that embodies emissions and efficiency in a single unit (mg/MJ) as </w:t>
      </w:r>
      <w:r w:rsidR="004D0062">
        <w:t>Environment Canterbury</w:t>
      </w:r>
      <w:r>
        <w:t xml:space="preserve"> does for ULEBs.  </w:t>
      </w:r>
    </w:p>
    <w:p w14:paraId="1C1F636D" w14:textId="77777777" w:rsidR="00F62698" w:rsidRDefault="00F62698" w:rsidP="00A61D62">
      <w:pPr>
        <w:pStyle w:val="NoSpacing"/>
        <w:jc w:val="both"/>
      </w:pPr>
    </w:p>
    <w:p w14:paraId="600A0379" w14:textId="70EC0A13" w:rsidR="00A61D62" w:rsidRDefault="00F25C5E" w:rsidP="00A61D62">
      <w:pPr>
        <w:pStyle w:val="NoSpacing"/>
        <w:jc w:val="both"/>
      </w:pPr>
      <w:r>
        <w:t xml:space="preserve">This </w:t>
      </w:r>
      <w:r w:rsidR="00F62698">
        <w:t xml:space="preserve">would </w:t>
      </w:r>
      <w:r>
        <w:t>effectively allow manufacturers to optimise the performance of their burners so as to achieve a well-performing fire with an optimum balance of emissions and efficiency.</w:t>
      </w:r>
      <w:r w:rsidR="00A61D62">
        <w:t xml:space="preserve">  As mentioned in section </w:t>
      </w:r>
      <w:r w:rsidR="004C35AA">
        <w:fldChar w:fldCharType="begin"/>
      </w:r>
      <w:r w:rsidR="004C35AA">
        <w:instrText xml:space="preserve"> REF _Ref34585457 \r \h </w:instrText>
      </w:r>
      <w:r w:rsidR="004C35AA">
        <w:fldChar w:fldCharType="separate"/>
      </w:r>
      <w:r w:rsidR="004C35AA">
        <w:t>3.5</w:t>
      </w:r>
      <w:r w:rsidR="004C35AA">
        <w:fldChar w:fldCharType="end"/>
      </w:r>
      <w:r w:rsidR="00A61D62">
        <w:t>, this could potentially halve emissions from some burner designs at a cost of perhaps 2 percentage points of efficiency.</w:t>
      </w:r>
    </w:p>
    <w:p w14:paraId="2AF26456" w14:textId="30001128" w:rsidR="009B3661" w:rsidRDefault="009B3661" w:rsidP="00A61D62">
      <w:pPr>
        <w:pStyle w:val="NoSpacing"/>
        <w:jc w:val="both"/>
      </w:pPr>
    </w:p>
    <w:p w14:paraId="0D9F042D" w14:textId="7EDC2197" w:rsidR="009B3661" w:rsidRDefault="003B2816" w:rsidP="00A61D62">
      <w:pPr>
        <w:pStyle w:val="NoSpacing"/>
        <w:jc w:val="both"/>
      </w:pPr>
      <w:r w:rsidRPr="00D019CC">
        <w:t xml:space="preserve">While </w:t>
      </w:r>
      <w:r w:rsidR="00F03A84">
        <w:t>Environment Canterbury</w:t>
      </w:r>
      <w:r w:rsidR="004A668A">
        <w:t xml:space="preserve"> currently bases a mg/MJ figure on CM1</w:t>
      </w:r>
      <w:r w:rsidRPr="00D019CC">
        <w:t xml:space="preserve"> test results, there is no reason why </w:t>
      </w:r>
      <w:r w:rsidR="004D0062">
        <w:t>AS/NZS 4012 and AS/NZS 4013</w:t>
      </w:r>
      <w:r w:rsidRPr="00D019CC">
        <w:t xml:space="preserve"> test results could not be used to </w:t>
      </w:r>
      <w:r>
        <w:t>calculate</w:t>
      </w:r>
      <w:r w:rsidRPr="00D019CC">
        <w:t xml:space="preserve"> a </w:t>
      </w:r>
      <w:r>
        <w:t xml:space="preserve">mg/MJ </w:t>
      </w:r>
      <w:r w:rsidRPr="00D019CC">
        <w:t xml:space="preserve">figure </w:t>
      </w:r>
      <w:r w:rsidR="004A668A">
        <w:t xml:space="preserve">based on </w:t>
      </w:r>
      <w:r w:rsidR="004D0062">
        <w:t>AS/NZS 4012 and AS/NZS 4013</w:t>
      </w:r>
      <w:r w:rsidR="004A668A">
        <w:t xml:space="preserve"> results </w:t>
      </w:r>
      <w:r w:rsidRPr="00D019CC">
        <w:t xml:space="preserve">that could be included </w:t>
      </w:r>
      <w:r w:rsidR="00AC4737">
        <w:t xml:space="preserve">within proposed </w:t>
      </w:r>
      <w:r w:rsidR="00EE14FA">
        <w:t>amendments</w:t>
      </w:r>
      <w:r w:rsidR="00AC4737">
        <w:t xml:space="preserve"> to </w:t>
      </w:r>
      <w:r w:rsidRPr="00D019CC">
        <w:t xml:space="preserve">the </w:t>
      </w:r>
      <w:r w:rsidR="004D0062">
        <w:t>NESAQ</w:t>
      </w:r>
      <w:r w:rsidRPr="00D019CC">
        <w:t xml:space="preserve"> without needing to commit to a change in test method.  </w:t>
      </w:r>
    </w:p>
    <w:p w14:paraId="3FA5E3B8" w14:textId="77777777" w:rsidR="00F25C5E" w:rsidRDefault="00F25C5E" w:rsidP="00F25C5E">
      <w:pPr>
        <w:pStyle w:val="NoSpacing"/>
        <w:jc w:val="both"/>
      </w:pPr>
    </w:p>
    <w:p w14:paraId="5A1DCE67" w14:textId="209586A2" w:rsidR="00F25C5E" w:rsidRDefault="00F25C5E" w:rsidP="00F25C5E">
      <w:pPr>
        <w:pStyle w:val="NoSpacing"/>
        <w:jc w:val="both"/>
      </w:pPr>
      <w:r>
        <w:t>A burner producing 1</w:t>
      </w:r>
      <w:r w:rsidR="00A974F0">
        <w:t>.0</w:t>
      </w:r>
      <w:r>
        <w:t xml:space="preserve"> g/kg emissions and 65% efficiency equates to </w:t>
      </w:r>
      <w:r w:rsidR="00EE7E49">
        <w:t>77</w:t>
      </w:r>
      <w:r>
        <w:t xml:space="preserve"> mg/MJ, so this could be </w:t>
      </w:r>
      <w:r w:rsidR="00B4657B">
        <w:t xml:space="preserve">set as </w:t>
      </w:r>
      <w:r>
        <w:t xml:space="preserve">the </w:t>
      </w:r>
      <w:r w:rsidR="004D0062">
        <w:t>NESAQ</w:t>
      </w:r>
      <w:r w:rsidR="0091593B">
        <w:t xml:space="preserve"> </w:t>
      </w:r>
      <w:r>
        <w:t xml:space="preserve">standard to be met.  </w:t>
      </w:r>
      <w:r w:rsidR="000E5645">
        <w:t xml:space="preserve">Having additional </w:t>
      </w:r>
      <w:r w:rsidR="004F78FB">
        <w:t>l</w:t>
      </w:r>
      <w:r>
        <w:t xml:space="preserve">imits on emissions </w:t>
      </w:r>
      <w:r w:rsidR="004C7E82">
        <w:t xml:space="preserve">in g/kg </w:t>
      </w:r>
      <w:r>
        <w:t xml:space="preserve">and </w:t>
      </w:r>
      <w:r w:rsidR="002B139C">
        <w:t xml:space="preserve">% </w:t>
      </w:r>
      <w:r>
        <w:t xml:space="preserve">efficiency </w:t>
      </w:r>
      <w:r w:rsidR="00C43575">
        <w:t>would</w:t>
      </w:r>
      <w:r w:rsidR="009229A6">
        <w:t xml:space="preserve"> ensure that no </w:t>
      </w:r>
      <w:r w:rsidR="007B1A45">
        <w:t>particularly</w:t>
      </w:r>
      <w:r w:rsidR="009229A6">
        <w:t xml:space="preserve"> dirty or </w:t>
      </w:r>
      <w:r w:rsidR="007B1A45">
        <w:t>inefficient</w:t>
      </w:r>
      <w:r w:rsidR="009229A6">
        <w:t xml:space="preserve"> burners </w:t>
      </w:r>
      <w:r w:rsidR="00F24A57">
        <w:t>could</w:t>
      </w:r>
      <w:r w:rsidR="009229A6">
        <w:t xml:space="preserve"> be </w:t>
      </w:r>
      <w:r w:rsidR="007B1A45">
        <w:t>authorised</w:t>
      </w:r>
      <w:r w:rsidR="009229A6">
        <w:t>.</w:t>
      </w:r>
    </w:p>
    <w:p w14:paraId="448426FA" w14:textId="7EF6E3FE" w:rsidR="00F25C5E" w:rsidRDefault="00F25C5E" w:rsidP="00F25C5E">
      <w:pPr>
        <w:pStyle w:val="NoSpacing"/>
        <w:jc w:val="both"/>
      </w:pPr>
    </w:p>
    <w:p w14:paraId="648F18A6" w14:textId="6A42D5CD" w:rsidR="006841ED" w:rsidRDefault="006841ED" w:rsidP="006841ED">
      <w:pPr>
        <w:pStyle w:val="NoSpacing"/>
        <w:jc w:val="both"/>
      </w:pPr>
      <w:r>
        <w:t xml:space="preserve">Another </w:t>
      </w:r>
      <w:r w:rsidR="00C22616">
        <w:t>potential</w:t>
      </w:r>
      <w:r>
        <w:t xml:space="preserve"> option would be to allow a slightly lower thermal efficiency, provided that a tighter standard of emissions could be met.  For example, if a burner could achieve emissions of less than, say, 0.5 g/kg, then the minimum efficiency standard could be reduced to 60%.  If emissions were greater than 0.5, but less than 1</w:t>
      </w:r>
      <w:r w:rsidR="00A974F0">
        <w:t>.0</w:t>
      </w:r>
      <w:r>
        <w:t xml:space="preserve"> g/kg, then 65% efficiency would need to be met.</w:t>
      </w:r>
    </w:p>
    <w:p w14:paraId="60958EAB" w14:textId="77777777" w:rsidR="006841ED" w:rsidRDefault="006841ED" w:rsidP="00F25C5E">
      <w:pPr>
        <w:pStyle w:val="NoSpacing"/>
        <w:jc w:val="both"/>
      </w:pPr>
    </w:p>
    <w:p w14:paraId="1447ACC7" w14:textId="7633DA0C" w:rsidR="00F25C5E" w:rsidRDefault="00EE14FA" w:rsidP="00F25C5E">
      <w:pPr>
        <w:pStyle w:val="NoSpacing"/>
        <w:jc w:val="both"/>
      </w:pPr>
      <w:r>
        <w:t>Consideration</w:t>
      </w:r>
      <w:r w:rsidR="00145217">
        <w:t xml:space="preserve"> </w:t>
      </w:r>
      <w:r w:rsidR="002038D0">
        <w:t>should</w:t>
      </w:r>
      <w:r w:rsidR="00145217">
        <w:t xml:space="preserve"> be given to</w:t>
      </w:r>
      <w:r w:rsidR="00F25C5E">
        <w:t xml:space="preserve"> a new standard </w:t>
      </w:r>
      <w:r w:rsidR="00423D24">
        <w:t>as follows:</w:t>
      </w:r>
    </w:p>
    <w:p w14:paraId="1CBC0897" w14:textId="43DF48A6" w:rsidR="00F25C5E" w:rsidRDefault="00F25C5E" w:rsidP="00440E89">
      <w:pPr>
        <w:pStyle w:val="NoSpacing"/>
        <w:numPr>
          <w:ilvl w:val="0"/>
          <w:numId w:val="13"/>
        </w:numPr>
        <w:jc w:val="both"/>
      </w:pPr>
      <w:r>
        <w:t xml:space="preserve">Maximum of </w:t>
      </w:r>
      <w:r w:rsidR="00CD7CB9">
        <w:t>77</w:t>
      </w:r>
      <w:r>
        <w:t xml:space="preserve"> mg/MJ, and</w:t>
      </w:r>
    </w:p>
    <w:p w14:paraId="74A24877" w14:textId="28800E9B" w:rsidR="00F25C5E" w:rsidRDefault="00F25C5E" w:rsidP="00440E89">
      <w:pPr>
        <w:pStyle w:val="NoSpacing"/>
        <w:numPr>
          <w:ilvl w:val="0"/>
          <w:numId w:val="13"/>
        </w:numPr>
        <w:jc w:val="both"/>
      </w:pPr>
      <w:r>
        <w:t>Maximum of 1</w:t>
      </w:r>
      <w:r w:rsidR="00A974F0">
        <w:t>.0</w:t>
      </w:r>
      <w:r>
        <w:t xml:space="preserve"> g/kg, and</w:t>
      </w:r>
    </w:p>
    <w:p w14:paraId="10C3059A" w14:textId="77777777" w:rsidR="00F25C5E" w:rsidRDefault="00F25C5E" w:rsidP="00440E89">
      <w:pPr>
        <w:pStyle w:val="NoSpacing"/>
        <w:numPr>
          <w:ilvl w:val="0"/>
          <w:numId w:val="13"/>
        </w:numPr>
        <w:jc w:val="both"/>
      </w:pPr>
      <w:r>
        <w:t>Minimum 60% thermal efficiency</w:t>
      </w:r>
    </w:p>
    <w:p w14:paraId="24BAAEE7" w14:textId="77777777" w:rsidR="00F25C5E" w:rsidRDefault="00F25C5E" w:rsidP="00F25C5E">
      <w:pPr>
        <w:pStyle w:val="NoSpacing"/>
        <w:jc w:val="both"/>
      </w:pPr>
    </w:p>
    <w:p w14:paraId="28D4921C" w14:textId="2E2307D2" w:rsidR="00F25C5E" w:rsidRDefault="00F25C5E" w:rsidP="00F25C5E">
      <w:pPr>
        <w:pStyle w:val="NoSpacing"/>
        <w:jc w:val="both"/>
      </w:pPr>
      <w:r>
        <w:t xml:space="preserve">All </w:t>
      </w:r>
      <w:r w:rsidR="009229A6">
        <w:t xml:space="preserve">figures would be </w:t>
      </w:r>
      <w:r>
        <w:t xml:space="preserve">based on testing to </w:t>
      </w:r>
      <w:r w:rsidR="004D0062">
        <w:t>AS/NZS 4012 and AS/NZS 4013</w:t>
      </w:r>
      <w:r>
        <w:t>.</w:t>
      </w:r>
    </w:p>
    <w:p w14:paraId="10EFD6EA" w14:textId="5C147765" w:rsidR="000246C8" w:rsidRDefault="000246C8" w:rsidP="00F25C5E">
      <w:pPr>
        <w:pStyle w:val="NoSpacing"/>
        <w:jc w:val="both"/>
      </w:pPr>
    </w:p>
    <w:p w14:paraId="183533DD" w14:textId="3D7911D7" w:rsidR="000246C8" w:rsidRDefault="000246C8" w:rsidP="00F25C5E">
      <w:pPr>
        <w:pStyle w:val="NoSpacing"/>
        <w:jc w:val="both"/>
      </w:pPr>
      <w:r>
        <w:t xml:space="preserve">This would provide manufacturers with some scope to design </w:t>
      </w:r>
      <w:r w:rsidR="001B523F">
        <w:t xml:space="preserve">lower emission </w:t>
      </w:r>
      <w:r w:rsidR="00EE14FA">
        <w:t>burners</w:t>
      </w:r>
      <w:r w:rsidR="001B523F">
        <w:t xml:space="preserve"> with minimal downside from a </w:t>
      </w:r>
      <w:r w:rsidR="00EE14FA">
        <w:t>slightly</w:t>
      </w:r>
      <w:r w:rsidR="001B523F">
        <w:t xml:space="preserve"> lower </w:t>
      </w:r>
      <w:r w:rsidR="002038D0">
        <w:t>efficiency</w:t>
      </w:r>
      <w:r w:rsidR="001B523F">
        <w:t xml:space="preserve"> standard.</w:t>
      </w:r>
    </w:p>
    <w:p w14:paraId="5EEE04FC" w14:textId="77777777" w:rsidR="00C648B7" w:rsidRDefault="00C648B7" w:rsidP="00C648B7">
      <w:pPr>
        <w:pStyle w:val="NoSpacing"/>
        <w:jc w:val="both"/>
      </w:pPr>
    </w:p>
    <w:p w14:paraId="6C422B02" w14:textId="08EDD7A6" w:rsidR="00C648B7" w:rsidRDefault="00104DAA" w:rsidP="00C648B7">
      <w:pPr>
        <w:pStyle w:val="NoSpacing"/>
        <w:jc w:val="both"/>
      </w:pPr>
      <w:r>
        <w:t>I</w:t>
      </w:r>
      <w:r w:rsidR="00C648B7">
        <w:t>ndustry members spoken to in the course of this work and in prior discussions including laboratories, manufacturers and independent experts, generally consider that a householder would not notice a few percentage points difference in efficiency when operating their woodburner.</w:t>
      </w:r>
      <w:r w:rsidR="00C42B5A">
        <w:t xml:space="preserve">  As the </w:t>
      </w:r>
      <w:r w:rsidR="00EE14FA">
        <w:t>efficiency</w:t>
      </w:r>
      <w:r w:rsidR="00C42B5A">
        <w:t xml:space="preserve"> level reduced, there is more </w:t>
      </w:r>
      <w:r w:rsidR="00EE14FA">
        <w:t>likelihood</w:t>
      </w:r>
      <w:r w:rsidR="00C42B5A">
        <w:t xml:space="preserve"> that a householder would notice a difference, however </w:t>
      </w:r>
      <w:r w:rsidR="0046129B">
        <w:t xml:space="preserve">this point would be </w:t>
      </w:r>
      <w:r w:rsidR="00FB65B6">
        <w:t xml:space="preserve">under the </w:t>
      </w:r>
      <w:r w:rsidR="00EE14FA">
        <w:t>proposed</w:t>
      </w:r>
      <w:r w:rsidR="00FB65B6">
        <w:t xml:space="preserve"> 60% level mentioned </w:t>
      </w:r>
      <w:r w:rsidR="00EE14FA">
        <w:t>above</w:t>
      </w:r>
      <w:r w:rsidR="00FB65B6">
        <w:t>.</w:t>
      </w:r>
      <w:r w:rsidR="00C42B5A">
        <w:t xml:space="preserve"> </w:t>
      </w:r>
    </w:p>
    <w:p w14:paraId="4178E868" w14:textId="77777777" w:rsidR="00C648B7" w:rsidRDefault="00C648B7" w:rsidP="00C648B7">
      <w:pPr>
        <w:pStyle w:val="NoSpacing"/>
        <w:jc w:val="both"/>
      </w:pPr>
    </w:p>
    <w:p w14:paraId="5678C136" w14:textId="26EB2193" w:rsidR="00C648B7" w:rsidRDefault="00C648B7" w:rsidP="00C648B7">
      <w:pPr>
        <w:pStyle w:val="NoSpacing"/>
        <w:jc w:val="both"/>
      </w:pPr>
      <w:r>
        <w:t xml:space="preserve">Theoretically, from a financial perspective, if a householder used a typical amount of firewood, costing say $400 to $500 pa, then in a worst case scenario they would potentially use </w:t>
      </w:r>
      <w:r w:rsidR="009C605E">
        <w:t>1.08 (</w:t>
      </w:r>
      <w:r>
        <w:t>65/60</w:t>
      </w:r>
      <w:r w:rsidR="009C605E">
        <w:t>)</w:t>
      </w:r>
      <w:r>
        <w:t xml:space="preserve"> times that amount of firewood to produce the equivalent amount of heat from a 60% efficient burner compared with a 65% efficient burner.  This would be equivalent to an extra $30 to $40 worth of firewood per annum.  If the </w:t>
      </w:r>
      <w:r>
        <w:lastRenderedPageBreak/>
        <w:t xml:space="preserve">burner was 62.5% efficient, then this cost difference would theoretically be $15 to $20 pa.  However, in practice </w:t>
      </w:r>
      <w:r w:rsidR="00CC62D8">
        <w:t>it</w:t>
      </w:r>
      <w:r>
        <w:t xml:space="preserve"> would likely be less than that as woodburners generally produce ample heat and a few percentage points difference in efficiency would result in little, if any, additional fuelling.</w:t>
      </w:r>
    </w:p>
    <w:p w14:paraId="2573C43E" w14:textId="653C4F12" w:rsidR="001A0EE5" w:rsidRDefault="001A0EE5" w:rsidP="00C648B7">
      <w:pPr>
        <w:pStyle w:val="NoSpacing"/>
        <w:jc w:val="both"/>
      </w:pPr>
    </w:p>
    <w:p w14:paraId="55B2497E" w14:textId="63EA669A" w:rsidR="001A0EE5" w:rsidRDefault="00E469EE" w:rsidP="00C648B7">
      <w:pPr>
        <w:pStyle w:val="NoSpacing"/>
        <w:jc w:val="both"/>
      </w:pPr>
      <w:r>
        <w:t xml:space="preserve">A manufacturer or supplier </w:t>
      </w:r>
      <w:r w:rsidR="003D4BE7">
        <w:t xml:space="preserve">with a highly </w:t>
      </w:r>
      <w:r w:rsidR="00C22616">
        <w:t>efficient</w:t>
      </w:r>
      <w:r w:rsidR="003D4BE7">
        <w:t xml:space="preserve"> burner could potentially use </w:t>
      </w:r>
      <w:r w:rsidR="00C22616">
        <w:t>efficiency</w:t>
      </w:r>
      <w:r w:rsidR="003D4BE7">
        <w:t xml:space="preserve"> as a marketing tool to differentiate </w:t>
      </w:r>
      <w:r w:rsidR="00792F4F">
        <w:t xml:space="preserve">their product against any </w:t>
      </w:r>
      <w:r w:rsidR="009F569F">
        <w:t>competitor</w:t>
      </w:r>
      <w:r w:rsidR="005D0CC4">
        <w:t xml:space="preserve">’s product </w:t>
      </w:r>
      <w:r w:rsidR="00792F4F">
        <w:t xml:space="preserve">that </w:t>
      </w:r>
      <w:r w:rsidR="004A5588">
        <w:t>only just me</w:t>
      </w:r>
      <w:r w:rsidR="001F3AC2">
        <w:t>e</w:t>
      </w:r>
      <w:r w:rsidR="004A5588">
        <w:t>t</w:t>
      </w:r>
      <w:r w:rsidR="001F3AC2">
        <w:t>s</w:t>
      </w:r>
      <w:r w:rsidR="004A5588">
        <w:t xml:space="preserve"> the standard.</w:t>
      </w:r>
    </w:p>
    <w:p w14:paraId="71990FE1" w14:textId="77777777" w:rsidR="00C648B7" w:rsidRDefault="00C648B7" w:rsidP="00C648B7">
      <w:pPr>
        <w:pStyle w:val="NoSpacing"/>
        <w:jc w:val="both"/>
      </w:pPr>
    </w:p>
    <w:p w14:paraId="1886D1E2" w14:textId="4517B017" w:rsidR="004C2717" w:rsidRDefault="00C648B7" w:rsidP="00C648B7">
      <w:pPr>
        <w:pStyle w:val="NoSpacing"/>
        <w:jc w:val="both"/>
      </w:pPr>
      <w:r>
        <w:t xml:space="preserve">Any move to allow a burner of less than 65% efficiency would require a change in the </w:t>
      </w:r>
      <w:r w:rsidR="004D0062">
        <w:t>NESAQ</w:t>
      </w:r>
      <w:r w:rsidR="00CC1E9A">
        <w:t xml:space="preserve"> to the new </w:t>
      </w:r>
      <w:r w:rsidR="00A726D0">
        <w:t>specified</w:t>
      </w:r>
      <w:r w:rsidR="00CC1E9A">
        <w:t xml:space="preserve"> </w:t>
      </w:r>
      <w:r w:rsidR="00A726D0">
        <w:t>efficiency</w:t>
      </w:r>
      <w:r w:rsidR="00CC1E9A">
        <w:t xml:space="preserve"> level as well as to </w:t>
      </w:r>
      <w:r w:rsidR="00B04939">
        <w:t>clarify</w:t>
      </w:r>
      <w:r w:rsidR="00CC1E9A">
        <w:t xml:space="preserve"> that the </w:t>
      </w:r>
      <w:r w:rsidR="00AB2D5B">
        <w:t>NESAQ</w:t>
      </w:r>
      <w:r w:rsidR="00E6382D">
        <w:t xml:space="preserve"> overrules AS/NZS 4012.  </w:t>
      </w:r>
      <w:r w:rsidR="004C2717">
        <w:t xml:space="preserve">The reference to 65% </w:t>
      </w:r>
      <w:r w:rsidR="00B04939">
        <w:t>efficiency</w:t>
      </w:r>
      <w:r w:rsidR="004C2717">
        <w:t xml:space="preserve"> in AS/NZS 4012 co</w:t>
      </w:r>
      <w:r w:rsidR="00D572DC">
        <w:t>u</w:t>
      </w:r>
      <w:r w:rsidR="004C2717">
        <w:t xml:space="preserve">ld </w:t>
      </w:r>
      <w:r w:rsidR="00B04939">
        <w:t>potentially</w:t>
      </w:r>
      <w:r w:rsidR="004C2717">
        <w:t xml:space="preserve"> be removed at some future time when the standard is </w:t>
      </w:r>
      <w:r w:rsidR="00B04939">
        <w:t>reviewed</w:t>
      </w:r>
      <w:r w:rsidR="004C2717">
        <w:t>.</w:t>
      </w:r>
    </w:p>
    <w:p w14:paraId="3F85D391" w14:textId="6198FD8C" w:rsidR="00F544C9" w:rsidRDefault="00F544C9" w:rsidP="00C648B7">
      <w:pPr>
        <w:pStyle w:val="NoSpacing"/>
        <w:jc w:val="both"/>
      </w:pPr>
    </w:p>
    <w:p w14:paraId="565AC4F6" w14:textId="678408EB" w:rsidR="00F544C9" w:rsidRPr="008100B6" w:rsidRDefault="00F544C9" w:rsidP="008100B6">
      <w:pPr>
        <w:pStyle w:val="Heading3"/>
        <w:numPr>
          <w:ilvl w:val="0"/>
          <w:numId w:val="0"/>
        </w:numPr>
        <w:rPr>
          <w:b w:val="0"/>
          <w:bCs w:val="0"/>
          <w:sz w:val="20"/>
        </w:rPr>
      </w:pPr>
      <w:bookmarkStart w:id="41" w:name="_Toc34586691"/>
      <w:r w:rsidRPr="008100B6">
        <w:rPr>
          <w:b w:val="0"/>
          <w:bCs w:val="0"/>
          <w:sz w:val="20"/>
        </w:rPr>
        <w:t xml:space="preserve">3.7.2 </w:t>
      </w:r>
      <w:r w:rsidR="00860387" w:rsidRPr="008100B6">
        <w:rPr>
          <w:b w:val="0"/>
          <w:bCs w:val="0"/>
          <w:sz w:val="20"/>
        </w:rPr>
        <w:t>Regional</w:t>
      </w:r>
      <w:r w:rsidRPr="008100B6">
        <w:rPr>
          <w:b w:val="0"/>
          <w:bCs w:val="0"/>
          <w:sz w:val="20"/>
        </w:rPr>
        <w:t xml:space="preserve"> Councils’ </w:t>
      </w:r>
      <w:r w:rsidR="00860387" w:rsidRPr="008100B6">
        <w:rPr>
          <w:b w:val="0"/>
          <w:bCs w:val="0"/>
          <w:sz w:val="20"/>
        </w:rPr>
        <w:t>ability</w:t>
      </w:r>
      <w:r w:rsidRPr="008100B6">
        <w:rPr>
          <w:b w:val="0"/>
          <w:bCs w:val="0"/>
          <w:sz w:val="20"/>
        </w:rPr>
        <w:t xml:space="preserve"> to implement more stringent rules than the </w:t>
      </w:r>
      <w:r w:rsidR="004D0062" w:rsidRPr="008100B6">
        <w:rPr>
          <w:b w:val="0"/>
          <w:bCs w:val="0"/>
          <w:sz w:val="20"/>
        </w:rPr>
        <w:t>NESAQ</w:t>
      </w:r>
      <w:bookmarkEnd w:id="41"/>
    </w:p>
    <w:p w14:paraId="4543D54D" w14:textId="73806B77" w:rsidR="00F544C9" w:rsidRDefault="00F544C9" w:rsidP="00C648B7">
      <w:pPr>
        <w:pStyle w:val="NoSpacing"/>
        <w:jc w:val="both"/>
      </w:pPr>
    </w:p>
    <w:p w14:paraId="20A7B316" w14:textId="30AD9812" w:rsidR="006E4826" w:rsidRDefault="006E4826" w:rsidP="00C648B7">
      <w:pPr>
        <w:pStyle w:val="NoSpacing"/>
        <w:jc w:val="both"/>
      </w:pPr>
      <w:r>
        <w:t xml:space="preserve">Under the proposed </w:t>
      </w:r>
      <w:r w:rsidR="006A5D71">
        <w:t>amendments</w:t>
      </w:r>
      <w:r>
        <w:t xml:space="preserve"> to the </w:t>
      </w:r>
      <w:r w:rsidR="004D0062">
        <w:t>NESAQ</w:t>
      </w:r>
      <w:r w:rsidR="002B1898">
        <w:t>,</w:t>
      </w:r>
      <w:r>
        <w:t xml:space="preserve"> </w:t>
      </w:r>
      <w:r w:rsidR="00860387">
        <w:t>individual</w:t>
      </w:r>
      <w:r>
        <w:t xml:space="preserve"> councils may keep provisions that are more stringent than the NESAQ.  Councils may also develop new plan provisions through standard processes that are more stringent than the NESAQ.</w:t>
      </w:r>
    </w:p>
    <w:p w14:paraId="34B66B2C" w14:textId="553A3E17" w:rsidR="006E4826" w:rsidRDefault="006E4826" w:rsidP="00C648B7">
      <w:pPr>
        <w:pStyle w:val="NoSpacing"/>
        <w:jc w:val="both"/>
      </w:pPr>
    </w:p>
    <w:p w14:paraId="366CE0A8" w14:textId="6480C222" w:rsidR="006E4826" w:rsidRPr="003A0AD3" w:rsidRDefault="00864727" w:rsidP="00C648B7">
      <w:pPr>
        <w:pStyle w:val="NoSpacing"/>
        <w:jc w:val="both"/>
      </w:pPr>
      <w:r w:rsidRPr="003A0AD3">
        <w:t>It is</w:t>
      </w:r>
      <w:r w:rsidR="006E4826" w:rsidRPr="003A0AD3">
        <w:t xml:space="preserve"> important </w:t>
      </w:r>
      <w:r w:rsidRPr="003A0AD3">
        <w:t xml:space="preserve">for councils to </w:t>
      </w:r>
      <w:r w:rsidR="00860387" w:rsidRPr="003A0AD3">
        <w:t>retain</w:t>
      </w:r>
      <w:r w:rsidRPr="003A0AD3">
        <w:t xml:space="preserve"> the ability to set </w:t>
      </w:r>
      <w:r w:rsidR="00860387" w:rsidRPr="003A0AD3">
        <w:t>more</w:t>
      </w:r>
      <w:r w:rsidR="002A31A7" w:rsidRPr="003A0AD3">
        <w:t xml:space="preserve"> </w:t>
      </w:r>
      <w:r w:rsidR="00284026" w:rsidRPr="003A0AD3">
        <w:t>stringent</w:t>
      </w:r>
      <w:r w:rsidR="002A31A7" w:rsidRPr="003A0AD3">
        <w:t xml:space="preserve"> standards </w:t>
      </w:r>
      <w:r w:rsidR="006E4826" w:rsidRPr="003A0AD3">
        <w:t xml:space="preserve">as each council has </w:t>
      </w:r>
      <w:r w:rsidR="00860387" w:rsidRPr="003A0AD3">
        <w:t>responsibility</w:t>
      </w:r>
      <w:r w:rsidR="006E4826" w:rsidRPr="003A0AD3">
        <w:t xml:space="preserve"> within their own </w:t>
      </w:r>
      <w:r w:rsidR="00860387" w:rsidRPr="003A0AD3">
        <w:t>airsheds</w:t>
      </w:r>
      <w:r w:rsidR="006E4826" w:rsidRPr="003A0AD3">
        <w:t xml:space="preserve"> to manage air quality and </w:t>
      </w:r>
      <w:r w:rsidR="005B34CE" w:rsidRPr="003A0AD3">
        <w:t xml:space="preserve">to develop </w:t>
      </w:r>
      <w:r w:rsidR="00860387" w:rsidRPr="003A0AD3">
        <w:t>strategies</w:t>
      </w:r>
      <w:r w:rsidR="005B34CE" w:rsidRPr="003A0AD3">
        <w:t xml:space="preserve"> and </w:t>
      </w:r>
      <w:r w:rsidR="00284026" w:rsidRPr="003A0AD3">
        <w:t>initiatives</w:t>
      </w:r>
      <w:r w:rsidR="005B34CE" w:rsidRPr="003A0AD3">
        <w:t xml:space="preserve"> </w:t>
      </w:r>
      <w:r w:rsidR="00284026" w:rsidRPr="003A0AD3">
        <w:t>that</w:t>
      </w:r>
      <w:r w:rsidR="005B34CE" w:rsidRPr="003A0AD3">
        <w:t xml:space="preserve"> support this.</w:t>
      </w:r>
    </w:p>
    <w:p w14:paraId="27005E6A" w14:textId="5432DF0D" w:rsidR="009F3348" w:rsidRPr="003A0AD3" w:rsidRDefault="009F3348" w:rsidP="00C648B7">
      <w:pPr>
        <w:pStyle w:val="NoSpacing"/>
        <w:jc w:val="both"/>
      </w:pPr>
    </w:p>
    <w:p w14:paraId="70CB976F" w14:textId="3836DB36" w:rsidR="00F544C9" w:rsidRPr="003A0AD3" w:rsidRDefault="009F3348" w:rsidP="00EC3980">
      <w:pPr>
        <w:pStyle w:val="NoSpacing"/>
        <w:jc w:val="both"/>
      </w:pPr>
      <w:r w:rsidRPr="003A0AD3">
        <w:t>It would be useful however</w:t>
      </w:r>
      <w:r w:rsidR="00EC3980" w:rsidRPr="003A0AD3">
        <w:t xml:space="preserve"> if there was </w:t>
      </w:r>
      <w:r w:rsidR="00860387" w:rsidRPr="003A0AD3">
        <w:t>more</w:t>
      </w:r>
      <w:r w:rsidR="00EC3980" w:rsidRPr="003A0AD3">
        <w:t xml:space="preserve"> co-</w:t>
      </w:r>
      <w:r w:rsidR="00284026">
        <w:t>or</w:t>
      </w:r>
      <w:r w:rsidR="00EC3980" w:rsidRPr="003A0AD3">
        <w:t>d</w:t>
      </w:r>
      <w:r w:rsidR="00284026">
        <w:t>ina</w:t>
      </w:r>
      <w:r w:rsidR="00EC3980" w:rsidRPr="003A0AD3">
        <w:t xml:space="preserve">tion between </w:t>
      </w:r>
      <w:r w:rsidR="00284026" w:rsidRPr="003A0AD3">
        <w:t>councils</w:t>
      </w:r>
      <w:r w:rsidR="00EC3980" w:rsidRPr="003A0AD3">
        <w:t xml:space="preserve"> so to reduce </w:t>
      </w:r>
      <w:r w:rsidR="00F544C9" w:rsidRPr="003A0AD3">
        <w:t xml:space="preserve">the proliferation of different </w:t>
      </w:r>
      <w:r w:rsidR="00EC3980" w:rsidRPr="003A0AD3">
        <w:t xml:space="preserve">standards </w:t>
      </w:r>
      <w:r w:rsidR="00F544C9" w:rsidRPr="003A0AD3">
        <w:t>across different councils</w:t>
      </w:r>
      <w:r w:rsidR="00B24302" w:rsidRPr="003A0AD3">
        <w:t>.  This has an</w:t>
      </w:r>
      <w:r w:rsidR="00F544C9" w:rsidRPr="003A0AD3">
        <w:t xml:space="preserve"> impact on </w:t>
      </w:r>
      <w:r w:rsidR="00B24302" w:rsidRPr="003A0AD3">
        <w:t xml:space="preserve">burner </w:t>
      </w:r>
      <w:r w:rsidR="00F544C9" w:rsidRPr="003A0AD3">
        <w:t>manufacturers</w:t>
      </w:r>
      <w:r w:rsidR="00B24302" w:rsidRPr="003A0AD3">
        <w:t xml:space="preserve"> and suppliers where there are slightly </w:t>
      </w:r>
      <w:r w:rsidR="00860387" w:rsidRPr="003A0AD3">
        <w:t>different</w:t>
      </w:r>
      <w:r w:rsidR="00B24302" w:rsidRPr="003A0AD3">
        <w:t xml:space="preserve"> requirements in different regions</w:t>
      </w:r>
      <w:r w:rsidR="00376C59">
        <w:t xml:space="preserve">, </w:t>
      </w:r>
      <w:r w:rsidR="00C22616">
        <w:t>e.g.</w:t>
      </w:r>
      <w:r w:rsidR="00376C59">
        <w:t xml:space="preserve"> 0.60 g/kg for Rotorua and 0.7 g/kg in some Otago towns</w:t>
      </w:r>
      <w:r w:rsidR="00B24302" w:rsidRPr="003A0AD3">
        <w:t>.</w:t>
      </w:r>
      <w:r w:rsidR="00280126">
        <w:t xml:space="preserve">  There is </w:t>
      </w:r>
      <w:r w:rsidR="00C22616">
        <w:t>unlikely</w:t>
      </w:r>
      <w:r w:rsidR="002A4E27">
        <w:t xml:space="preserve"> to be much discernible difference </w:t>
      </w:r>
      <w:r w:rsidR="00681A9F">
        <w:t xml:space="preserve">in </w:t>
      </w:r>
      <w:r w:rsidR="00743EAD">
        <w:t>real</w:t>
      </w:r>
      <w:r w:rsidR="00681A9F">
        <w:t xml:space="preserve"> life </w:t>
      </w:r>
      <w:r w:rsidR="00752652">
        <w:t>emissions</w:t>
      </w:r>
      <w:r w:rsidR="00681A9F">
        <w:t xml:space="preserve"> </w:t>
      </w:r>
      <w:r w:rsidR="00752652">
        <w:t>between</w:t>
      </w:r>
      <w:r w:rsidR="002A4E27">
        <w:t xml:space="preserve"> burners </w:t>
      </w:r>
      <w:r w:rsidR="00681A9F">
        <w:t>with these two limits.</w:t>
      </w:r>
    </w:p>
    <w:p w14:paraId="4DC3CBBC" w14:textId="6B6BC150" w:rsidR="00B24302" w:rsidRPr="003A0AD3" w:rsidRDefault="00B24302" w:rsidP="00EC3980">
      <w:pPr>
        <w:pStyle w:val="NoSpacing"/>
        <w:jc w:val="both"/>
      </w:pPr>
    </w:p>
    <w:p w14:paraId="1FE407FC" w14:textId="2C2175D9" w:rsidR="00B24302" w:rsidRPr="003A0AD3" w:rsidRDefault="00B24302" w:rsidP="00EC3980">
      <w:pPr>
        <w:pStyle w:val="NoSpacing"/>
        <w:jc w:val="both"/>
      </w:pPr>
      <w:r w:rsidRPr="003A0AD3">
        <w:t xml:space="preserve">One solution could be </w:t>
      </w:r>
      <w:r w:rsidR="00F139B1" w:rsidRPr="003A0AD3">
        <w:t xml:space="preserve">to have two levels of </w:t>
      </w:r>
      <w:r w:rsidR="006D6D9D" w:rsidRPr="003A0AD3">
        <w:t>standards: one for polluted ai</w:t>
      </w:r>
      <w:r w:rsidR="003E4915" w:rsidRPr="003A0AD3">
        <w:t>r</w:t>
      </w:r>
      <w:r w:rsidR="006D6D9D" w:rsidRPr="003A0AD3">
        <w:t>sheds and another for all other areas.</w:t>
      </w:r>
      <w:r w:rsidR="003E4915" w:rsidRPr="003A0AD3">
        <w:t xml:space="preserve">  A specific set of </w:t>
      </w:r>
      <w:r w:rsidR="00860387" w:rsidRPr="003A0AD3">
        <w:t>criteria</w:t>
      </w:r>
      <w:r w:rsidR="003E4915" w:rsidRPr="003A0AD3">
        <w:t xml:space="preserve"> could be developed </w:t>
      </w:r>
      <w:r w:rsidR="003F2260" w:rsidRPr="003A0AD3">
        <w:t xml:space="preserve">for the </w:t>
      </w:r>
      <w:r w:rsidR="00B57233">
        <w:t>airshed</w:t>
      </w:r>
      <w:r w:rsidR="003F2260" w:rsidRPr="003A0AD3">
        <w:t xml:space="preserve"> areas</w:t>
      </w:r>
      <w:r w:rsidR="00A819C5" w:rsidRPr="003A0AD3">
        <w:t xml:space="preserve">.  </w:t>
      </w:r>
      <w:r w:rsidR="00802900">
        <w:t>This could be based on</w:t>
      </w:r>
      <w:r w:rsidR="00353D74">
        <w:t xml:space="preserve"> </w:t>
      </w:r>
      <w:r w:rsidR="00A819C5" w:rsidRPr="003A0AD3">
        <w:t>specify</w:t>
      </w:r>
      <w:r w:rsidR="00353D74">
        <w:t>ing</w:t>
      </w:r>
      <w:r w:rsidR="00A819C5" w:rsidRPr="003A0AD3">
        <w:t xml:space="preserve"> </w:t>
      </w:r>
      <w:r w:rsidR="00F03A84">
        <w:t>ULEB</w:t>
      </w:r>
      <w:r w:rsidR="00A819C5" w:rsidRPr="003A0AD3">
        <w:t xml:space="preserve">s for polluted </w:t>
      </w:r>
      <w:r w:rsidR="00860387" w:rsidRPr="003A0AD3">
        <w:t>airsheds</w:t>
      </w:r>
      <w:r w:rsidR="00A819C5" w:rsidRPr="003A0AD3">
        <w:t xml:space="preserve">.  Another </w:t>
      </w:r>
      <w:r w:rsidR="00E34F20">
        <w:t xml:space="preserve">option </w:t>
      </w:r>
      <w:r w:rsidR="00A819C5" w:rsidRPr="003A0AD3">
        <w:t xml:space="preserve">would be to specify an emissions limit </w:t>
      </w:r>
      <w:r w:rsidR="00A92D63">
        <w:t xml:space="preserve">lower than the </w:t>
      </w:r>
      <w:r w:rsidR="004D0062">
        <w:t>NESAQ</w:t>
      </w:r>
      <w:r w:rsidR="007F26AF">
        <w:t xml:space="preserve">, </w:t>
      </w:r>
      <w:r w:rsidR="00A819C5" w:rsidRPr="003A0AD3">
        <w:t xml:space="preserve">based on testing to </w:t>
      </w:r>
      <w:r w:rsidR="004D0062">
        <w:t>AS/NZS 4012 and AS/NZS 4013</w:t>
      </w:r>
      <w:r w:rsidR="005510C7" w:rsidRPr="003A0AD3">
        <w:t xml:space="preserve">, </w:t>
      </w:r>
      <w:r w:rsidR="007F26AF">
        <w:t>and</w:t>
      </w:r>
      <w:r w:rsidR="005510C7" w:rsidRPr="003A0AD3">
        <w:t xml:space="preserve"> make this </w:t>
      </w:r>
      <w:r w:rsidR="00860387" w:rsidRPr="003A0AD3">
        <w:t>consistent</w:t>
      </w:r>
      <w:r w:rsidR="005510C7" w:rsidRPr="003A0AD3">
        <w:t xml:space="preserve"> across all polluted areas.</w:t>
      </w:r>
    </w:p>
    <w:p w14:paraId="065BC874" w14:textId="0A25B9F3" w:rsidR="005510C7" w:rsidRPr="003A0AD3" w:rsidRDefault="005510C7" w:rsidP="00EC3980">
      <w:pPr>
        <w:pStyle w:val="NoSpacing"/>
        <w:jc w:val="both"/>
      </w:pPr>
    </w:p>
    <w:p w14:paraId="645B4E68" w14:textId="5351E7A5" w:rsidR="005510C7" w:rsidRPr="003A0AD3" w:rsidRDefault="005510C7" w:rsidP="00EC3980">
      <w:pPr>
        <w:pStyle w:val="NoSpacing"/>
        <w:jc w:val="both"/>
      </w:pPr>
      <w:r w:rsidRPr="003A0AD3">
        <w:t>This is a topic requiring further consideration and development.</w:t>
      </w:r>
    </w:p>
    <w:p w14:paraId="32B8A62B" w14:textId="77777777" w:rsidR="00F544C9" w:rsidRDefault="00F544C9" w:rsidP="00C648B7">
      <w:pPr>
        <w:pStyle w:val="NoSpacing"/>
        <w:jc w:val="both"/>
      </w:pPr>
    </w:p>
    <w:p w14:paraId="221B5281" w14:textId="3E53B163" w:rsidR="00F31DB6" w:rsidRPr="00227625" w:rsidRDefault="00852C3F" w:rsidP="00227625">
      <w:pPr>
        <w:pStyle w:val="Heading2"/>
        <w:numPr>
          <w:ilvl w:val="1"/>
          <w:numId w:val="6"/>
        </w:numPr>
        <w:rPr>
          <w:sz w:val="22"/>
          <w:szCs w:val="22"/>
        </w:rPr>
      </w:pPr>
      <w:bookmarkStart w:id="42" w:name="_Ref31873991"/>
      <w:bookmarkStart w:id="43" w:name="_Toc34586692"/>
      <w:r w:rsidRPr="00227625">
        <w:rPr>
          <w:sz w:val="22"/>
          <w:szCs w:val="22"/>
        </w:rPr>
        <w:t>I</w:t>
      </w:r>
      <w:r w:rsidR="00F31DB6" w:rsidRPr="00227625">
        <w:rPr>
          <w:sz w:val="22"/>
          <w:szCs w:val="22"/>
        </w:rPr>
        <w:t xml:space="preserve">nclusion of all burner types and conflicts between the </w:t>
      </w:r>
      <w:r w:rsidR="004D0062" w:rsidRPr="00227625">
        <w:rPr>
          <w:sz w:val="22"/>
          <w:szCs w:val="22"/>
        </w:rPr>
        <w:t>NESAQ</w:t>
      </w:r>
      <w:r w:rsidR="00F31DB6" w:rsidRPr="00227625">
        <w:rPr>
          <w:sz w:val="22"/>
          <w:szCs w:val="22"/>
        </w:rPr>
        <w:t xml:space="preserve"> and test methods/standards</w:t>
      </w:r>
      <w:bookmarkEnd w:id="42"/>
      <w:bookmarkEnd w:id="43"/>
      <w:r w:rsidR="00F31DB6" w:rsidRPr="00227625">
        <w:rPr>
          <w:sz w:val="22"/>
          <w:szCs w:val="22"/>
        </w:rPr>
        <w:t xml:space="preserve"> </w:t>
      </w:r>
    </w:p>
    <w:p w14:paraId="0D38D484" w14:textId="77777777" w:rsidR="00F31DB6" w:rsidRDefault="00F31DB6" w:rsidP="00F31DB6">
      <w:pPr>
        <w:pStyle w:val="NoSpacing"/>
        <w:jc w:val="both"/>
      </w:pPr>
    </w:p>
    <w:p w14:paraId="583D8187" w14:textId="5CEEE14E" w:rsidR="00F31DB6" w:rsidRDefault="00F31DB6" w:rsidP="00F31DB6">
      <w:pPr>
        <w:pStyle w:val="NoSpacing"/>
        <w:jc w:val="both"/>
      </w:pPr>
      <w:r>
        <w:t>T</w:t>
      </w:r>
      <w:r w:rsidRPr="00D019CC">
        <w:t xml:space="preserve">he </w:t>
      </w:r>
      <w:r w:rsidR="004D0062">
        <w:t>NESAQ</w:t>
      </w:r>
      <w:r w:rsidRPr="00D019CC">
        <w:t xml:space="preserve"> states that discharge and efficiency </w:t>
      </w:r>
      <w:r>
        <w:t xml:space="preserve">of solid fuel burners covered by the </w:t>
      </w:r>
      <w:r w:rsidR="004D0062">
        <w:t>NESAQ</w:t>
      </w:r>
      <w:r>
        <w:t xml:space="preserve"> </w:t>
      </w:r>
      <w:r w:rsidRPr="00D019CC">
        <w:t>must be measured in accordance with the method</w:t>
      </w:r>
      <w:r w:rsidR="003900A1">
        <w:t>s</w:t>
      </w:r>
      <w:r w:rsidRPr="00D019CC">
        <w:t xml:space="preserve"> specified in AS/NZS 4013 and AS/NZS </w:t>
      </w:r>
      <w:proofErr w:type="gramStart"/>
      <w:r w:rsidRPr="00D019CC">
        <w:t>4012</w:t>
      </w:r>
      <w:proofErr w:type="gramEnd"/>
      <w:r w:rsidRPr="00D019CC">
        <w:t xml:space="preserve"> respectively.</w:t>
      </w:r>
    </w:p>
    <w:p w14:paraId="3AFE9562" w14:textId="53B5B228" w:rsidR="00216D13" w:rsidRDefault="00216D13" w:rsidP="00F31DB6">
      <w:pPr>
        <w:pStyle w:val="NoSpacing"/>
        <w:jc w:val="both"/>
      </w:pPr>
    </w:p>
    <w:p w14:paraId="7C809566" w14:textId="257CF096" w:rsidR="00216D13" w:rsidRPr="00D019CC" w:rsidRDefault="004D0062" w:rsidP="00F31DB6">
      <w:pPr>
        <w:pStyle w:val="NoSpacing"/>
        <w:jc w:val="both"/>
      </w:pPr>
      <w:r>
        <w:t>AS/NZS 4012 and AS/NZS 4013</w:t>
      </w:r>
      <w:r w:rsidR="00216D13">
        <w:t xml:space="preserve"> </w:t>
      </w:r>
      <w:r w:rsidR="008F25D3">
        <w:t>ha</w:t>
      </w:r>
      <w:r w:rsidR="00575256">
        <w:t>ve</w:t>
      </w:r>
      <w:r w:rsidR="008F25D3">
        <w:t xml:space="preserve"> a list of </w:t>
      </w:r>
      <w:r w:rsidR="005838FB">
        <w:t>specific</w:t>
      </w:r>
      <w:r w:rsidR="008F25D3">
        <w:t xml:space="preserve"> burner types that are excluded </w:t>
      </w:r>
      <w:r w:rsidR="00B77918">
        <w:t xml:space="preserve">from these standards </w:t>
      </w:r>
      <w:r w:rsidR="005838FB">
        <w:t>and</w:t>
      </w:r>
      <w:r w:rsidR="00B77918">
        <w:t xml:space="preserve"> can therefore be tested </w:t>
      </w:r>
      <w:r w:rsidR="00DE7E70">
        <w:t xml:space="preserve">using a functionally </w:t>
      </w:r>
      <w:r w:rsidR="005838FB">
        <w:t>equivalent</w:t>
      </w:r>
      <w:r w:rsidR="00DE7E70">
        <w:t xml:space="preserve"> method.</w:t>
      </w:r>
    </w:p>
    <w:p w14:paraId="4A9EED03" w14:textId="77777777" w:rsidR="00F31DB6" w:rsidRDefault="00F31DB6" w:rsidP="0075513C">
      <w:pPr>
        <w:pStyle w:val="NoSpacing"/>
        <w:jc w:val="both"/>
      </w:pPr>
    </w:p>
    <w:p w14:paraId="4DF7652E" w14:textId="5A615DB2" w:rsidR="00F31DB6" w:rsidRDefault="00F31DB6" w:rsidP="00F31DB6">
      <w:pPr>
        <w:pStyle w:val="NoSpacing"/>
        <w:jc w:val="both"/>
      </w:pPr>
      <w:r w:rsidRPr="00D019CC">
        <w:t xml:space="preserve">With new burner technology emerging, there is potential for burner designs to </w:t>
      </w:r>
      <w:r>
        <w:t xml:space="preserve">be caught in a conflict between the </w:t>
      </w:r>
      <w:r w:rsidR="004D0062">
        <w:t>NESAQ</w:t>
      </w:r>
      <w:r>
        <w:t xml:space="preserve"> and </w:t>
      </w:r>
      <w:r w:rsidR="004D0062">
        <w:t>AS/NZS 4012 and AS/NZS 4013</w:t>
      </w:r>
      <w:r>
        <w:t>.  S</w:t>
      </w:r>
      <w:r w:rsidRPr="00D019CC">
        <w:t xml:space="preserve">ome burners may not be able to be physically tested to AS/NZS 4012/4013, yet are not specifically </w:t>
      </w:r>
      <w:r>
        <w:t>noted</w:t>
      </w:r>
      <w:r w:rsidRPr="00D019CC">
        <w:t xml:space="preserve"> in the list of exclusions to testing to this method.  </w:t>
      </w:r>
    </w:p>
    <w:p w14:paraId="26F16E6E" w14:textId="77777777" w:rsidR="00F31DB6" w:rsidRDefault="00F31DB6" w:rsidP="00F31DB6">
      <w:pPr>
        <w:pStyle w:val="NoSpacing"/>
        <w:jc w:val="both"/>
      </w:pPr>
    </w:p>
    <w:p w14:paraId="172627D6" w14:textId="6E1A25D5" w:rsidR="00F31DB6" w:rsidRPr="00D019CC" w:rsidRDefault="00F31DB6" w:rsidP="00F31DB6">
      <w:pPr>
        <w:pStyle w:val="NoSpacing"/>
        <w:jc w:val="both"/>
      </w:pPr>
      <w:r w:rsidRPr="00D019CC">
        <w:t xml:space="preserve">Where a woodburner is excluded from that method (refer to list of exclusions in section </w:t>
      </w:r>
      <w:r w:rsidR="00D25DC7">
        <w:fldChar w:fldCharType="begin"/>
      </w:r>
      <w:r w:rsidR="00D25DC7">
        <w:instrText xml:space="preserve"> REF _Ref31873751 \r \h </w:instrText>
      </w:r>
      <w:r w:rsidR="00D25DC7">
        <w:fldChar w:fldCharType="separate"/>
      </w:r>
      <w:r w:rsidR="00CD682F">
        <w:t>3.2</w:t>
      </w:r>
      <w:r w:rsidR="00D25DC7">
        <w:fldChar w:fldCharType="end"/>
      </w:r>
      <w:r w:rsidRPr="00D019CC">
        <w:t>), another method may be used that is functionally equivalent.</w:t>
      </w:r>
      <w:r>
        <w:t xml:space="preserve">  However, a burner not included in this list of exclusions </w:t>
      </w:r>
      <w:r w:rsidR="00BE2477">
        <w:t>is</w:t>
      </w:r>
      <w:r w:rsidRPr="00D019CC">
        <w:t xml:space="preserve"> not able to be tested to a functionally equivalent method for the purposes of authorisation.</w:t>
      </w:r>
    </w:p>
    <w:p w14:paraId="2DD30739" w14:textId="77777777" w:rsidR="00F31DB6" w:rsidRDefault="00F31DB6" w:rsidP="00F31DB6">
      <w:pPr>
        <w:pStyle w:val="NoSpacing"/>
        <w:jc w:val="both"/>
      </w:pPr>
    </w:p>
    <w:p w14:paraId="13C8DE51" w14:textId="5F67FB70" w:rsidR="00F31DB6" w:rsidRPr="004979BB" w:rsidRDefault="00BE2477" w:rsidP="00F31DB6">
      <w:pPr>
        <w:pStyle w:val="NoSpacing"/>
        <w:jc w:val="both"/>
      </w:pPr>
      <w:r>
        <w:lastRenderedPageBreak/>
        <w:t>R</w:t>
      </w:r>
      <w:r w:rsidR="00F31DB6">
        <w:t>ecent</w:t>
      </w:r>
      <w:r w:rsidR="00F31DB6" w:rsidRPr="004979BB">
        <w:t xml:space="preserve"> example</w:t>
      </w:r>
      <w:r>
        <w:t>s</w:t>
      </w:r>
      <w:r w:rsidR="00F31DB6" w:rsidRPr="004979BB">
        <w:t xml:space="preserve"> of burner</w:t>
      </w:r>
      <w:r w:rsidR="00F31DB6">
        <w:t>s</w:t>
      </w:r>
      <w:r w:rsidR="00F31DB6" w:rsidRPr="004979BB">
        <w:t xml:space="preserve"> caught up in this </w:t>
      </w:r>
      <w:r w:rsidR="00F31DB6">
        <w:t>apparent conflict</w:t>
      </w:r>
      <w:r w:rsidR="00F31DB6" w:rsidRPr="004979BB">
        <w:t xml:space="preserve"> </w:t>
      </w:r>
      <w:r w:rsidR="00F31DB6">
        <w:t>are</w:t>
      </w:r>
      <w:r w:rsidR="00F31DB6" w:rsidRPr="004979BB">
        <w:t xml:space="preserve"> the Tonwerk T-Art </w:t>
      </w:r>
      <w:r w:rsidR="00F31DB6">
        <w:t xml:space="preserve">and T-Sky </w:t>
      </w:r>
      <w:r w:rsidR="00F31DB6" w:rsidRPr="004979BB">
        <w:t>wood storage heating stove</w:t>
      </w:r>
      <w:r w:rsidR="00F31DB6">
        <w:t>s</w:t>
      </w:r>
      <w:r w:rsidR="00F31DB6" w:rsidRPr="004979BB">
        <w:t xml:space="preserve"> which </w:t>
      </w:r>
      <w:r w:rsidR="00F31DB6">
        <w:t>have</w:t>
      </w:r>
      <w:r w:rsidR="00F31DB6" w:rsidRPr="004979BB">
        <w:t xml:space="preserve"> been </w:t>
      </w:r>
      <w:r w:rsidR="00F31DB6">
        <w:t>submitted</w:t>
      </w:r>
      <w:r w:rsidR="00F31DB6" w:rsidRPr="004979BB">
        <w:t xml:space="preserve"> for authorisation by </w:t>
      </w:r>
      <w:r w:rsidR="00F31DB6">
        <w:t>Envirosolve</w:t>
      </w:r>
      <w:r w:rsidR="00F31DB6" w:rsidRPr="004979BB">
        <w:t>.  Devices such as the Tonwerk</w:t>
      </w:r>
      <w:r w:rsidR="00F31DB6">
        <w:t>s</w:t>
      </w:r>
      <w:r w:rsidR="00F31DB6" w:rsidRPr="004979BB">
        <w:t xml:space="preserve"> were not contemplated in the </w:t>
      </w:r>
      <w:r w:rsidR="004D0062">
        <w:t>NESAQ</w:t>
      </w:r>
      <w:r w:rsidR="00F31DB6" w:rsidRPr="004979BB">
        <w:t xml:space="preserve">, </w:t>
      </w:r>
      <w:r w:rsidR="0001451E">
        <w:t>the</w:t>
      </w:r>
      <w:r w:rsidR="00F31DB6" w:rsidRPr="004979BB">
        <w:t xml:space="preserve"> </w:t>
      </w:r>
      <w:r w:rsidR="00F31DB6" w:rsidRPr="0001451E">
        <w:t xml:space="preserve">associated </w:t>
      </w:r>
      <w:r w:rsidR="0001451E">
        <w:t>New Zealand Domestic Solid Fuel Burner Authorisation Manual</w:t>
      </w:r>
      <w:r w:rsidR="00F31DB6" w:rsidRPr="004979BB">
        <w:t xml:space="preserve"> or in Air Plans developed by various regional councils.</w:t>
      </w:r>
    </w:p>
    <w:p w14:paraId="1C057D47" w14:textId="77777777" w:rsidR="00F31DB6" w:rsidRDefault="00F31DB6" w:rsidP="00F31DB6">
      <w:pPr>
        <w:pStyle w:val="NoSpacing"/>
        <w:rPr>
          <w:rFonts w:cstheme="minorHAnsi"/>
        </w:rPr>
      </w:pPr>
    </w:p>
    <w:p w14:paraId="19A3DAF2" w14:textId="4C7FB251" w:rsidR="00F31DB6" w:rsidRDefault="00F31DB6" w:rsidP="00F31DB6">
      <w:pPr>
        <w:pStyle w:val="NoSpacing"/>
        <w:jc w:val="both"/>
      </w:pPr>
      <w:r w:rsidRPr="00D019CC">
        <w:t xml:space="preserve">The Tonwerk </w:t>
      </w:r>
      <w:proofErr w:type="gramStart"/>
      <w:r w:rsidRPr="00D019CC">
        <w:t>can’t</w:t>
      </w:r>
      <w:proofErr w:type="gramEnd"/>
      <w:r w:rsidRPr="00D019CC">
        <w:t xml:space="preserve"> be tested to </w:t>
      </w:r>
      <w:r w:rsidR="004D0062">
        <w:t>AS/NZS 4012 and AS/NZS 4013</w:t>
      </w:r>
      <w:r w:rsidRPr="00D019CC">
        <w:t xml:space="preserve"> </w:t>
      </w:r>
      <w:r>
        <w:t xml:space="preserve">as the basis of its operation is to fill it once with firewood and not to refuel it.  </w:t>
      </w:r>
      <w:r w:rsidR="004D0062">
        <w:t>AS/NZS 4012 and AS/NZS 4013</w:t>
      </w:r>
      <w:r>
        <w:t xml:space="preserve"> specifies refuelling and at least three burn cycles.</w:t>
      </w:r>
    </w:p>
    <w:p w14:paraId="3E133AB3" w14:textId="77777777" w:rsidR="00F31DB6" w:rsidRDefault="00F31DB6" w:rsidP="00F31DB6">
      <w:pPr>
        <w:pStyle w:val="NoSpacing"/>
        <w:jc w:val="both"/>
      </w:pPr>
    </w:p>
    <w:p w14:paraId="02BFB521" w14:textId="5FBC5AC2" w:rsidR="00F31DB6" w:rsidRDefault="00F31DB6" w:rsidP="00F31DB6">
      <w:pPr>
        <w:pStyle w:val="NoSpacing"/>
        <w:jc w:val="both"/>
      </w:pPr>
      <w:r w:rsidRPr="00D019CC">
        <w:t xml:space="preserve">As a result, the emissions based on testing to </w:t>
      </w:r>
      <w:r w:rsidR="004D0062">
        <w:t>AS/NZS 4013</w:t>
      </w:r>
      <w:r w:rsidRPr="00D019CC">
        <w:t xml:space="preserve"> and the efficiency based on testing to </w:t>
      </w:r>
      <w:r w:rsidR="004D0062">
        <w:t>AS/NZS 4012</w:t>
      </w:r>
      <w:r w:rsidRPr="00D019CC">
        <w:t xml:space="preserve"> cannot be determined.  A functionally equivalent method is not </w:t>
      </w:r>
      <w:r w:rsidR="0041387C">
        <w:t>able to be used</w:t>
      </w:r>
      <w:r w:rsidRPr="00D019CC">
        <w:t xml:space="preserve"> as this can only be used for appliances specifically excluded from </w:t>
      </w:r>
      <w:r w:rsidR="004D0062">
        <w:t>AS/NZS 4012 and AS/NZS 4013</w:t>
      </w:r>
      <w:r w:rsidRPr="00D019CC">
        <w:t>.</w:t>
      </w:r>
    </w:p>
    <w:p w14:paraId="0F946D23" w14:textId="4069E8E4" w:rsidR="00F31DB6" w:rsidRDefault="00F31DB6" w:rsidP="00F31DB6">
      <w:pPr>
        <w:pStyle w:val="NoSpacing"/>
        <w:jc w:val="both"/>
      </w:pPr>
    </w:p>
    <w:p w14:paraId="2716B5EC" w14:textId="04E8053B" w:rsidR="00532B12" w:rsidRPr="0056768A" w:rsidRDefault="008A3F28" w:rsidP="00532B12">
      <w:pPr>
        <w:pStyle w:val="NoSpacing"/>
        <w:jc w:val="both"/>
      </w:pPr>
      <w:r w:rsidRPr="008A3F28">
        <w:t xml:space="preserve">A </w:t>
      </w:r>
      <w:r w:rsidR="00860387" w:rsidRPr="008A3F28">
        <w:t>laboratory</w:t>
      </w:r>
      <w:r w:rsidRPr="008A3F28">
        <w:t xml:space="preserve"> </w:t>
      </w:r>
      <w:r w:rsidR="00284026" w:rsidRPr="008A3F28">
        <w:t>opinion</w:t>
      </w:r>
      <w:r w:rsidRPr="008A3F28">
        <w:t xml:space="preserve"> was provided stating that the Tonwerk burners cannot be tested to AS/NZS 4012 and AS/NZS 4013 due to the design and fuelling method required.</w:t>
      </w:r>
      <w:r w:rsidR="00532B12">
        <w:t xml:space="preserve">  </w:t>
      </w:r>
      <w:r w:rsidR="00532B12" w:rsidRPr="00532B12">
        <w:t>The opinion letter states that the accredited test certificate for testing to the EN 15250:2007</w:t>
      </w:r>
      <w:r w:rsidR="00B83B76">
        <w:t xml:space="preserve"> </w:t>
      </w:r>
      <w:r w:rsidR="00F03A84" w:rsidRPr="00C26A9A">
        <w:t xml:space="preserve">(Slow heat release appliances fired by solid fuel – Requirements and test methods) </w:t>
      </w:r>
      <w:r w:rsidR="00532B12" w:rsidRPr="00532B12">
        <w:t>standard provided by the applicant may be an applicable standard to use as a functional</w:t>
      </w:r>
      <w:r w:rsidR="00532B12">
        <w:t xml:space="preserve"> </w:t>
      </w:r>
      <w:r w:rsidR="00532B12" w:rsidRPr="00532B12">
        <w:t>equivalent to allow for sale of the Tonwerks into the New Zealand market under</w:t>
      </w:r>
      <w:r w:rsidR="00532B12">
        <w:t xml:space="preserve"> </w:t>
      </w:r>
      <w:r w:rsidR="00532B12" w:rsidRPr="00532B12">
        <w:t xml:space="preserve">the NESAQ regulations if they are able to meet the requirements.  This was agreed to by </w:t>
      </w:r>
      <w:r w:rsidR="004D0062">
        <w:t>Environment Canterbury</w:t>
      </w:r>
      <w:r w:rsidR="00860387" w:rsidRPr="00532B12">
        <w:t>’s</w:t>
      </w:r>
      <w:r w:rsidR="00532B12" w:rsidRPr="00532B12">
        <w:t xml:space="preserve"> technical </w:t>
      </w:r>
      <w:r w:rsidR="00284026" w:rsidRPr="00532B12">
        <w:t>consultant</w:t>
      </w:r>
      <w:r w:rsidR="00532B12" w:rsidRPr="00532B12">
        <w:t xml:space="preserve"> who assessed the EN 15250:2007 standard against Environment Canterbury’s</w:t>
      </w:r>
      <w:r w:rsidR="00532B12">
        <w:t xml:space="preserve"> </w:t>
      </w:r>
      <w:r w:rsidR="00532B12" w:rsidRPr="00532B12">
        <w:t>Authorisation Procedure for Functionally Equivalent and was satisfied that the method used is suitable for consideration as a functionally equivalent method for AS/NZS 4012 and AS/NZS 4013.</w:t>
      </w:r>
    </w:p>
    <w:p w14:paraId="3A183D88" w14:textId="77777777" w:rsidR="008A3F28" w:rsidRDefault="008A3F28" w:rsidP="00F31DB6">
      <w:pPr>
        <w:pStyle w:val="NoSpacing"/>
        <w:jc w:val="both"/>
      </w:pPr>
    </w:p>
    <w:p w14:paraId="4C2B8965" w14:textId="5F65E994" w:rsidR="00F31DB6" w:rsidRPr="00D019CC" w:rsidRDefault="00F31DB6" w:rsidP="00C26A9A">
      <w:pPr>
        <w:pStyle w:val="NoSpacing"/>
        <w:jc w:val="both"/>
      </w:pPr>
      <w:r>
        <w:t>The Tonwerk</w:t>
      </w:r>
      <w:r w:rsidR="00156BC9">
        <w:t>s</w:t>
      </w:r>
      <w:r>
        <w:t xml:space="preserve"> </w:t>
      </w:r>
      <w:r w:rsidR="00156BC9">
        <w:t>were</w:t>
      </w:r>
      <w:r>
        <w:t xml:space="preserve"> </w:t>
      </w:r>
      <w:r w:rsidR="009B5976">
        <w:t xml:space="preserve">also </w:t>
      </w:r>
      <w:r>
        <w:t xml:space="preserve">tested to CM1 by a NZ test laboratory.  These test results were considered alongside European test results to </w:t>
      </w:r>
      <w:r w:rsidR="00C26A9A" w:rsidRPr="00C26A9A">
        <w:t xml:space="preserve">EN 15250:2007 </w:t>
      </w:r>
      <w:r w:rsidR="00D7342E">
        <w:t xml:space="preserve">for the burner </w:t>
      </w:r>
      <w:r>
        <w:t xml:space="preserve">and supported by an opinion from </w:t>
      </w:r>
      <w:r w:rsidR="00AF204F">
        <w:t>the NZ test</w:t>
      </w:r>
      <w:r>
        <w:t xml:space="preserve"> laboratory in order to authorise the burner as a </w:t>
      </w:r>
      <w:r w:rsidR="004D0062">
        <w:t>NESAQ</w:t>
      </w:r>
      <w:r>
        <w:t xml:space="preserve"> compliant burner and a ULEB.</w:t>
      </w:r>
    </w:p>
    <w:p w14:paraId="3D42C294" w14:textId="77777777" w:rsidR="00F31DB6" w:rsidRPr="0075513C" w:rsidRDefault="00F31DB6" w:rsidP="0075513C">
      <w:pPr>
        <w:pStyle w:val="NoSpacing"/>
        <w:jc w:val="both"/>
      </w:pPr>
    </w:p>
    <w:p w14:paraId="452F8E44" w14:textId="1B6B329B" w:rsidR="00F31DB6" w:rsidRPr="00D019CC" w:rsidRDefault="00F31DB6" w:rsidP="00F31DB6">
      <w:pPr>
        <w:pStyle w:val="NoSpacing"/>
        <w:jc w:val="both"/>
      </w:pPr>
      <w:r w:rsidRPr="00D019CC">
        <w:t xml:space="preserve">There may </w:t>
      </w:r>
      <w:r>
        <w:t xml:space="preserve">also </w:t>
      </w:r>
      <w:r w:rsidRPr="00D019CC">
        <w:t>be instances of burners with small or unusual shaped fireboxes that either cannot accept the fuel loading regime</w:t>
      </w:r>
      <w:r>
        <w:t xml:space="preserve"> specified in </w:t>
      </w:r>
      <w:r w:rsidR="004D0062">
        <w:t>AS/NZS 4012 and AS/NZS 4013</w:t>
      </w:r>
      <w:r w:rsidRPr="00D019CC">
        <w:t xml:space="preserve">, or to do so would be to use the burner in a manner </w:t>
      </w:r>
      <w:r>
        <w:t>contradictory to</w:t>
      </w:r>
      <w:r w:rsidRPr="00D019CC">
        <w:t xml:space="preserve"> that specified in the operating instructions and intended by the manufacturer.</w:t>
      </w:r>
    </w:p>
    <w:p w14:paraId="4C71B320" w14:textId="229ED53C" w:rsidR="00F31DB6" w:rsidRDefault="00F31DB6" w:rsidP="00F31DB6">
      <w:pPr>
        <w:pStyle w:val="NoSpacing"/>
        <w:rPr>
          <w:rFonts w:cstheme="minorHAnsi"/>
        </w:rPr>
      </w:pPr>
    </w:p>
    <w:p w14:paraId="07153A87" w14:textId="77777777" w:rsidR="00CC5766" w:rsidRDefault="00CC5766" w:rsidP="00CC5766">
      <w:pPr>
        <w:pStyle w:val="NoSpacing"/>
        <w:jc w:val="both"/>
      </w:pPr>
      <w:r>
        <w:t>For the purposes of the amended NESAQ, burners to be included within the NESAQ could be defined as “any domestic scale solid fuel burning device with the principal purpose of providing space heating for a home either directly, or via the heating of water for circulation, or a domestic scale solid fuel burning device for the purpose of cooking”.</w:t>
      </w:r>
    </w:p>
    <w:p w14:paraId="54730709" w14:textId="77777777" w:rsidR="00CC5766" w:rsidRDefault="00CC5766" w:rsidP="00CC5766">
      <w:pPr>
        <w:pStyle w:val="NoSpacing"/>
        <w:jc w:val="both"/>
      </w:pPr>
    </w:p>
    <w:p w14:paraId="5BE1D4BC" w14:textId="77777777" w:rsidR="00CC5766" w:rsidRPr="00BA2520" w:rsidRDefault="00CC5766" w:rsidP="00CC5766">
      <w:pPr>
        <w:pStyle w:val="NoSpacing"/>
        <w:jc w:val="both"/>
      </w:pPr>
      <w:r>
        <w:t>If cookers were to be excluded from the amended NESAQ then the definition could be altered to “any domestic scale solid fuel burning device with the principal purpose of providing space heating for a home either directly, or via the heating of water for circulation”.</w:t>
      </w:r>
    </w:p>
    <w:p w14:paraId="42671173" w14:textId="77777777" w:rsidR="00CC5766" w:rsidRDefault="00CC5766" w:rsidP="00F31DB6">
      <w:pPr>
        <w:pStyle w:val="NoSpacing"/>
        <w:rPr>
          <w:rFonts w:cstheme="minorHAnsi"/>
        </w:rPr>
      </w:pPr>
    </w:p>
    <w:p w14:paraId="40F1A618" w14:textId="7DFBCABE" w:rsidR="00F31DB6" w:rsidRDefault="00CE3776" w:rsidP="0075513C">
      <w:pPr>
        <w:pStyle w:val="NoSpacing"/>
        <w:jc w:val="both"/>
      </w:pPr>
      <w:r>
        <w:t>Consideration should be given in the proposed amendments to the</w:t>
      </w:r>
      <w:r w:rsidR="00F31DB6" w:rsidRPr="0075513C">
        <w:t xml:space="preserve"> </w:t>
      </w:r>
      <w:r w:rsidR="004D0062">
        <w:t>NESAQ</w:t>
      </w:r>
      <w:r w:rsidR="00F31DB6" w:rsidRPr="0075513C">
        <w:t xml:space="preserve"> to </w:t>
      </w:r>
      <w:r>
        <w:t xml:space="preserve">refer to </w:t>
      </w:r>
      <w:r w:rsidR="00F31DB6" w:rsidRPr="0075513C">
        <w:t xml:space="preserve">burner </w:t>
      </w:r>
      <w:r>
        <w:t xml:space="preserve">types </w:t>
      </w:r>
      <w:r w:rsidR="00F31DB6" w:rsidRPr="0075513C">
        <w:t xml:space="preserve">in such a way that there is a </w:t>
      </w:r>
      <w:r w:rsidR="003D4A65">
        <w:t xml:space="preserve">testing </w:t>
      </w:r>
      <w:r w:rsidR="00F31DB6" w:rsidRPr="0075513C">
        <w:t xml:space="preserve">process </w:t>
      </w:r>
      <w:r w:rsidR="004F3E5B">
        <w:t>to</w:t>
      </w:r>
      <w:r w:rsidR="00F31DB6" w:rsidRPr="0075513C">
        <w:t xml:space="preserve"> follow for all </w:t>
      </w:r>
      <w:r w:rsidR="004F5EFB">
        <w:t xml:space="preserve">current and </w:t>
      </w:r>
      <w:r w:rsidR="00F31DB6" w:rsidRPr="0075513C">
        <w:t>potential burner types.  Specifically</w:t>
      </w:r>
      <w:r w:rsidR="004F3E5B">
        <w:t>,</w:t>
      </w:r>
      <w:r w:rsidR="00F31DB6" w:rsidRPr="0075513C">
        <w:t xml:space="preserve"> this should mention that if a burner </w:t>
      </w:r>
      <w:proofErr w:type="gramStart"/>
      <w:r w:rsidR="00F31DB6" w:rsidRPr="0075513C">
        <w:t>can’t</w:t>
      </w:r>
      <w:proofErr w:type="gramEnd"/>
      <w:r w:rsidR="00F31DB6" w:rsidRPr="0075513C">
        <w:t xml:space="preserve"> be tested to </w:t>
      </w:r>
      <w:r w:rsidR="004D0062">
        <w:t>AS/NZS 4012 and AS/NZS 4013</w:t>
      </w:r>
      <w:r w:rsidR="00F31DB6" w:rsidRPr="0075513C">
        <w:t xml:space="preserve"> then a recognised, relevant test method can be substituted if agreed by the authorising agency and supported by advice from their independent technical advisors and/or a testing laboratory.</w:t>
      </w:r>
    </w:p>
    <w:p w14:paraId="15E86023" w14:textId="77777777" w:rsidR="00183F5B" w:rsidRPr="0075513C" w:rsidRDefault="00183F5B" w:rsidP="0075513C">
      <w:pPr>
        <w:pStyle w:val="NoSpacing"/>
        <w:jc w:val="both"/>
      </w:pPr>
    </w:p>
    <w:p w14:paraId="6E7364E7" w14:textId="77777777" w:rsidR="00744A72" w:rsidRDefault="00744A72">
      <w:pPr>
        <w:spacing w:before="0" w:after="200" w:line="276" w:lineRule="auto"/>
        <w:jc w:val="left"/>
        <w:rPr>
          <w:rFonts w:asciiTheme="majorHAnsi" w:eastAsiaTheme="majorEastAsia" w:hAnsiTheme="majorHAnsi" w:cstheme="majorBidi"/>
          <w:color w:val="365F91" w:themeColor="accent1" w:themeShade="BF"/>
          <w:szCs w:val="22"/>
        </w:rPr>
      </w:pPr>
      <w:bookmarkStart w:id="44" w:name="_Ref31890861"/>
      <w:r>
        <w:rPr>
          <w:szCs w:val="22"/>
        </w:rPr>
        <w:br w:type="page"/>
      </w:r>
    </w:p>
    <w:p w14:paraId="06350026" w14:textId="119A7B28" w:rsidR="00A97A2C" w:rsidRPr="00227625" w:rsidRDefault="00FC6902" w:rsidP="00227625">
      <w:pPr>
        <w:pStyle w:val="Heading2"/>
        <w:numPr>
          <w:ilvl w:val="1"/>
          <w:numId w:val="6"/>
        </w:numPr>
        <w:rPr>
          <w:sz w:val="22"/>
          <w:szCs w:val="22"/>
        </w:rPr>
      </w:pPr>
      <w:bookmarkStart w:id="45" w:name="_Ref34584598"/>
      <w:bookmarkStart w:id="46" w:name="_Toc34586693"/>
      <w:r w:rsidRPr="00227625">
        <w:rPr>
          <w:sz w:val="22"/>
          <w:szCs w:val="22"/>
        </w:rPr>
        <w:lastRenderedPageBreak/>
        <w:t>P</w:t>
      </w:r>
      <w:r w:rsidR="00A97A2C" w:rsidRPr="00227625">
        <w:rPr>
          <w:sz w:val="22"/>
          <w:szCs w:val="22"/>
        </w:rPr>
        <w:t>otential options for test methods and standards</w:t>
      </w:r>
      <w:bookmarkEnd w:id="44"/>
      <w:bookmarkEnd w:id="45"/>
      <w:bookmarkEnd w:id="46"/>
    </w:p>
    <w:p w14:paraId="3A5372FE" w14:textId="75FB48EB" w:rsidR="00A97A2C" w:rsidRDefault="00A97A2C" w:rsidP="009A6D93">
      <w:pPr>
        <w:pStyle w:val="NoSpacing"/>
        <w:jc w:val="both"/>
      </w:pPr>
    </w:p>
    <w:p w14:paraId="442963B2" w14:textId="7E93844A" w:rsidR="008B5368" w:rsidRDefault="008B5368" w:rsidP="0075513C">
      <w:pPr>
        <w:pStyle w:val="NoSpacing"/>
        <w:jc w:val="both"/>
      </w:pPr>
      <w:r>
        <w:t xml:space="preserve">As mentioned in section </w:t>
      </w:r>
      <w:r w:rsidR="003A5F7C">
        <w:fldChar w:fldCharType="begin"/>
      </w:r>
      <w:r w:rsidR="003A5F7C">
        <w:instrText xml:space="preserve"> REF _Ref31873814 \r \h </w:instrText>
      </w:r>
      <w:r w:rsidR="00183F5B">
        <w:instrText xml:space="preserve"> \* MERGEFORMAT </w:instrText>
      </w:r>
      <w:r w:rsidR="003A5F7C">
        <w:fldChar w:fldCharType="separate"/>
      </w:r>
      <w:r w:rsidR="00CD682F">
        <w:t>3.2</w:t>
      </w:r>
      <w:r w:rsidR="003A5F7C">
        <w:fldChar w:fldCharType="end"/>
      </w:r>
      <w:r>
        <w:t xml:space="preserve">, </w:t>
      </w:r>
      <w:r w:rsidR="004D0062">
        <w:t>AS/NZS 4012 and AS/NZS 4013</w:t>
      </w:r>
      <w:r w:rsidR="00637D54">
        <w:t xml:space="preserve"> </w:t>
      </w:r>
      <w:r w:rsidR="00BD4A48">
        <w:t>are</w:t>
      </w:r>
      <w:r w:rsidR="00637D54">
        <w:t xml:space="preserve"> the </w:t>
      </w:r>
      <w:r w:rsidR="001A1EC4">
        <w:t>standard</w:t>
      </w:r>
      <w:r w:rsidR="00637D54">
        <w:t xml:space="preserve"> test </w:t>
      </w:r>
      <w:r w:rsidR="001559AA">
        <w:t>method</w:t>
      </w:r>
      <w:r w:rsidR="003D68D0">
        <w:t>s</w:t>
      </w:r>
      <w:r w:rsidR="001559AA">
        <w:t xml:space="preserve">, or a </w:t>
      </w:r>
      <w:r w:rsidR="001A1EC4">
        <w:t>functionally</w:t>
      </w:r>
      <w:r w:rsidR="001559AA">
        <w:t xml:space="preserve"> </w:t>
      </w:r>
      <w:r w:rsidR="001A1EC4">
        <w:t>equivalent</w:t>
      </w:r>
      <w:r w:rsidR="001559AA">
        <w:t xml:space="preserve"> test method </w:t>
      </w:r>
      <w:r w:rsidR="003D68D0">
        <w:t xml:space="preserve">can be used </w:t>
      </w:r>
      <w:r w:rsidR="001559AA">
        <w:t>where allowable</w:t>
      </w:r>
      <w:r w:rsidR="00495B95">
        <w:t>.</w:t>
      </w:r>
      <w:r w:rsidR="00E3467A">
        <w:t xml:space="preserve">  This section outlines </w:t>
      </w:r>
      <w:r w:rsidR="00FF077E">
        <w:t xml:space="preserve">potential changes that could be made to </w:t>
      </w:r>
      <w:r w:rsidR="004D0062">
        <w:t>AS/NZS 4012 and AS/NZS 4013</w:t>
      </w:r>
      <w:r w:rsidR="00FF077E">
        <w:t xml:space="preserve"> as well as </w:t>
      </w:r>
      <w:r w:rsidR="004A170A">
        <w:t>comments on other pote</w:t>
      </w:r>
      <w:r w:rsidR="001A1EC4">
        <w:t>nt</w:t>
      </w:r>
      <w:r w:rsidR="004A170A">
        <w:t xml:space="preserve">ial test </w:t>
      </w:r>
      <w:r w:rsidR="001A1EC4">
        <w:t>methods</w:t>
      </w:r>
      <w:r w:rsidR="004A170A">
        <w:t>.</w:t>
      </w:r>
    </w:p>
    <w:p w14:paraId="2F082B94" w14:textId="77777777" w:rsidR="00300B68" w:rsidRDefault="00300B68" w:rsidP="0075513C">
      <w:pPr>
        <w:pStyle w:val="NoSpacing"/>
        <w:jc w:val="both"/>
      </w:pPr>
    </w:p>
    <w:p w14:paraId="13D8B1AB" w14:textId="10A1A1BB" w:rsidR="00E11C83" w:rsidRPr="008100B6" w:rsidRDefault="00E11C83" w:rsidP="008100B6">
      <w:pPr>
        <w:pStyle w:val="Heading3"/>
        <w:numPr>
          <w:ilvl w:val="0"/>
          <w:numId w:val="0"/>
        </w:numPr>
        <w:rPr>
          <w:b w:val="0"/>
          <w:bCs w:val="0"/>
          <w:sz w:val="20"/>
        </w:rPr>
      </w:pPr>
      <w:bookmarkStart w:id="47" w:name="_Toc34586694"/>
      <w:r w:rsidRPr="008100B6">
        <w:rPr>
          <w:b w:val="0"/>
          <w:bCs w:val="0"/>
          <w:sz w:val="20"/>
        </w:rPr>
        <w:t>3.</w:t>
      </w:r>
      <w:r w:rsidR="0049345C" w:rsidRPr="008100B6">
        <w:rPr>
          <w:b w:val="0"/>
          <w:bCs w:val="0"/>
          <w:sz w:val="20"/>
        </w:rPr>
        <w:t>9</w:t>
      </w:r>
      <w:r w:rsidRPr="008100B6">
        <w:rPr>
          <w:b w:val="0"/>
          <w:bCs w:val="0"/>
          <w:sz w:val="20"/>
        </w:rPr>
        <w:t xml:space="preserve">.1  Potential changes to </w:t>
      </w:r>
      <w:r w:rsidR="004D0062" w:rsidRPr="008100B6">
        <w:rPr>
          <w:b w:val="0"/>
          <w:bCs w:val="0"/>
          <w:sz w:val="20"/>
        </w:rPr>
        <w:t>AS/NZS 4012 and AS/NZS 4013</w:t>
      </w:r>
      <w:bookmarkEnd w:id="47"/>
    </w:p>
    <w:p w14:paraId="7B24A311" w14:textId="77777777" w:rsidR="00E11C83" w:rsidRDefault="00E11C83" w:rsidP="00E11C83">
      <w:pPr>
        <w:rPr>
          <w:rFonts w:eastAsia="Times New Roman"/>
          <w:b/>
          <w:bCs/>
        </w:rPr>
      </w:pPr>
    </w:p>
    <w:p w14:paraId="34CCF441" w14:textId="3CAA7973" w:rsidR="005F7B58" w:rsidRPr="009A6D93" w:rsidRDefault="004D0062" w:rsidP="00BC5557">
      <w:pPr>
        <w:pStyle w:val="NoSpacing"/>
        <w:jc w:val="both"/>
      </w:pPr>
      <w:r w:rsidRPr="009A6D93">
        <w:t>AS/NZS 4012 and AS/NZS 4013</w:t>
      </w:r>
      <w:r w:rsidR="00123BD9" w:rsidRPr="009A6D93">
        <w:t xml:space="preserve"> </w:t>
      </w:r>
      <w:r w:rsidR="00A07079">
        <w:t>were</w:t>
      </w:r>
      <w:r w:rsidR="00123BD9" w:rsidRPr="009A6D93">
        <w:t xml:space="preserve"> last updated in 2014</w:t>
      </w:r>
      <w:r w:rsidR="00CF0474" w:rsidRPr="009A6D93">
        <w:t xml:space="preserve">.  </w:t>
      </w:r>
      <w:r w:rsidR="00A9688F">
        <w:t>T</w:t>
      </w:r>
      <w:r w:rsidR="006976FD" w:rsidRPr="009A6D93">
        <w:t>here</w:t>
      </w:r>
      <w:r w:rsidR="00CF0474" w:rsidRPr="009A6D93">
        <w:t xml:space="preserve"> are no </w:t>
      </w:r>
      <w:r w:rsidR="006976FD" w:rsidRPr="009A6D93">
        <w:t>fundamental</w:t>
      </w:r>
      <w:r w:rsidR="0004367E" w:rsidRPr="009A6D93">
        <w:t xml:space="preserve"> concerns</w:t>
      </w:r>
      <w:r w:rsidR="00CF0474" w:rsidRPr="009A6D93">
        <w:t xml:space="preserve"> with the </w:t>
      </w:r>
      <w:r w:rsidR="0004367E" w:rsidRPr="009A6D93">
        <w:t xml:space="preserve">current </w:t>
      </w:r>
      <w:r w:rsidR="006976FD" w:rsidRPr="009A6D93">
        <w:t>versions</w:t>
      </w:r>
      <w:r w:rsidR="0004367E" w:rsidRPr="009A6D93">
        <w:t xml:space="preserve"> of these standards</w:t>
      </w:r>
      <w:r w:rsidR="005B4A63">
        <w:t xml:space="preserve"> and no immediate plans to review the </w:t>
      </w:r>
      <w:r w:rsidR="00EE14FA">
        <w:t>standards</w:t>
      </w:r>
      <w:r w:rsidR="00AE7DFB">
        <w:t>.  However</w:t>
      </w:r>
      <w:r w:rsidR="0004367E" w:rsidRPr="009A6D93">
        <w:t xml:space="preserve">, </w:t>
      </w:r>
      <w:r w:rsidR="00F21EDC">
        <w:t xml:space="preserve">it could be useful at some point </w:t>
      </w:r>
      <w:r w:rsidR="00BC5557">
        <w:t>to a</w:t>
      </w:r>
      <w:r w:rsidR="006976FD" w:rsidRPr="009A6D93">
        <w:t>ddress</w:t>
      </w:r>
      <w:r w:rsidR="001D59EE" w:rsidRPr="009A6D93">
        <w:t xml:space="preserve"> </w:t>
      </w:r>
      <w:r w:rsidR="006976FD" w:rsidRPr="009A6D93">
        <w:t>measurement</w:t>
      </w:r>
      <w:r w:rsidR="001D59EE" w:rsidRPr="009A6D93">
        <w:t xml:space="preserve"> </w:t>
      </w:r>
      <w:r w:rsidR="006976FD" w:rsidRPr="009A6D93">
        <w:t>uncertainty</w:t>
      </w:r>
      <w:r w:rsidR="001D59EE" w:rsidRPr="009A6D93">
        <w:t xml:space="preserve"> </w:t>
      </w:r>
      <w:r w:rsidR="0012104E" w:rsidRPr="009A6D93">
        <w:t xml:space="preserve">as a result of </w:t>
      </w:r>
      <w:r w:rsidR="008A11D6" w:rsidRPr="009A6D93">
        <w:t xml:space="preserve">ever decreasing emissions </w:t>
      </w:r>
      <w:r w:rsidR="006976FD" w:rsidRPr="009A6D93">
        <w:t>levels</w:t>
      </w:r>
      <w:r w:rsidR="008A11D6" w:rsidRPr="009A6D93">
        <w:t xml:space="preserve"> and the resultant increase in </w:t>
      </w:r>
      <w:r w:rsidR="006976FD" w:rsidRPr="009A6D93">
        <w:t>percentage</w:t>
      </w:r>
      <w:r w:rsidR="008A11D6" w:rsidRPr="009A6D93">
        <w:t xml:space="preserve"> </w:t>
      </w:r>
      <w:r w:rsidR="006976FD" w:rsidRPr="009A6D93">
        <w:t>uncertainties</w:t>
      </w:r>
      <w:r w:rsidR="008A11D6" w:rsidRPr="009A6D93">
        <w:t xml:space="preserve"> in me</w:t>
      </w:r>
      <w:r w:rsidR="006976FD" w:rsidRPr="009A6D93">
        <w:t>a</w:t>
      </w:r>
      <w:r w:rsidR="008A11D6" w:rsidRPr="009A6D93">
        <w:t>sure</w:t>
      </w:r>
      <w:r w:rsidR="006976FD" w:rsidRPr="009A6D93">
        <w:t>me</w:t>
      </w:r>
      <w:r w:rsidR="008A11D6" w:rsidRPr="009A6D93">
        <w:t>nt.</w:t>
      </w:r>
      <w:r w:rsidR="001137BD">
        <w:t xml:space="preserve">  The </w:t>
      </w:r>
      <w:r w:rsidR="00B57233">
        <w:t>emissions</w:t>
      </w:r>
      <w:r w:rsidR="001137BD">
        <w:t xml:space="preserve"> levels of the latest </w:t>
      </w:r>
      <w:r w:rsidR="00B57233">
        <w:t>woodburners</w:t>
      </w:r>
      <w:r w:rsidR="00AD7A16">
        <w:t xml:space="preserve"> are of the order of 1/10</w:t>
      </w:r>
      <w:r w:rsidR="00AD7A16" w:rsidRPr="00AD7A16">
        <w:rPr>
          <w:vertAlign w:val="superscript"/>
        </w:rPr>
        <w:t>th</w:t>
      </w:r>
      <w:r w:rsidR="00AD7A16">
        <w:t xml:space="preserve"> that of </w:t>
      </w:r>
      <w:r w:rsidR="00B57233">
        <w:t>emissions</w:t>
      </w:r>
      <w:r w:rsidR="00AD7A16">
        <w:t xml:space="preserve"> </w:t>
      </w:r>
      <w:r w:rsidR="00460177">
        <w:t xml:space="preserve">that were </w:t>
      </w:r>
      <w:r w:rsidR="00B57233">
        <w:t>common</w:t>
      </w:r>
      <w:r w:rsidR="00460177">
        <w:t xml:space="preserve"> when these </w:t>
      </w:r>
      <w:r w:rsidR="00B57233">
        <w:t>standards</w:t>
      </w:r>
      <w:r w:rsidR="00460177">
        <w:t xml:space="preserve"> were first developed.</w:t>
      </w:r>
    </w:p>
    <w:p w14:paraId="667B27AC" w14:textId="77777777" w:rsidR="00E11C83" w:rsidRPr="009A6D93" w:rsidRDefault="00E11C83" w:rsidP="009A6D93">
      <w:pPr>
        <w:pStyle w:val="NoSpacing"/>
        <w:jc w:val="both"/>
      </w:pPr>
    </w:p>
    <w:p w14:paraId="63139FFE" w14:textId="7FFE2D84" w:rsidR="00E11C83" w:rsidRDefault="009A6D93" w:rsidP="0075513C">
      <w:pPr>
        <w:pStyle w:val="NoSpacing"/>
        <w:jc w:val="both"/>
      </w:pPr>
      <w:r>
        <w:t>If</w:t>
      </w:r>
      <w:r w:rsidR="00E11C83">
        <w:t xml:space="preserve"> a decision </w:t>
      </w:r>
      <w:r>
        <w:t>is</w:t>
      </w:r>
      <w:r w:rsidR="00E11C83">
        <w:t xml:space="preserve"> made to allow burners with efficiencies </w:t>
      </w:r>
      <w:r w:rsidR="004A2577">
        <w:t xml:space="preserve">below 65% </w:t>
      </w:r>
      <w:r w:rsidR="00E11C83">
        <w:t>to be authorised, the</w:t>
      </w:r>
      <w:r w:rsidR="008A31CD">
        <w:t>n</w:t>
      </w:r>
      <w:r w:rsidR="00E11C83">
        <w:t xml:space="preserve"> an amendment </w:t>
      </w:r>
      <w:r w:rsidR="008D1436">
        <w:t>sh</w:t>
      </w:r>
      <w:r w:rsidR="00E11C83">
        <w:t xml:space="preserve">ould be made in section 9.1.2 of </w:t>
      </w:r>
      <w:r w:rsidR="004D0062">
        <w:t>AS/NZS 4012</w:t>
      </w:r>
      <w:r w:rsidR="00510EDB">
        <w:t xml:space="preserve"> that references the </w:t>
      </w:r>
      <w:r w:rsidR="00A63BA4">
        <w:t xml:space="preserve">minimum allowable </w:t>
      </w:r>
      <w:r w:rsidR="005838FB">
        <w:t>efficiency</w:t>
      </w:r>
      <w:r w:rsidR="00A63BA4">
        <w:t xml:space="preserve"> </w:t>
      </w:r>
      <w:r w:rsidR="005838FB">
        <w:t>specified</w:t>
      </w:r>
      <w:r w:rsidR="00A63BA4">
        <w:t xml:space="preserve"> in the </w:t>
      </w:r>
      <w:r w:rsidR="004D0062">
        <w:t>NESAQ</w:t>
      </w:r>
      <w:r w:rsidR="00783D5C">
        <w:t xml:space="preserve">, or delete mention of the </w:t>
      </w:r>
      <w:r w:rsidR="00B57233">
        <w:t>efficiency</w:t>
      </w:r>
      <w:r w:rsidR="00783D5C">
        <w:t xml:space="preserve"> in the standard, as was the case in the earlier version on AS/NZS 4012.</w:t>
      </w:r>
    </w:p>
    <w:p w14:paraId="328F2B50" w14:textId="77777777" w:rsidR="00300B68" w:rsidRDefault="00300B68" w:rsidP="0075513C">
      <w:pPr>
        <w:pStyle w:val="NoSpacing"/>
        <w:jc w:val="both"/>
      </w:pPr>
    </w:p>
    <w:p w14:paraId="2E6F552A" w14:textId="59E4F8C9" w:rsidR="00A97A2C" w:rsidRPr="008100B6" w:rsidRDefault="0049345C" w:rsidP="008100B6">
      <w:pPr>
        <w:pStyle w:val="Heading3"/>
        <w:numPr>
          <w:ilvl w:val="0"/>
          <w:numId w:val="0"/>
        </w:numPr>
        <w:rPr>
          <w:b w:val="0"/>
          <w:bCs w:val="0"/>
          <w:sz w:val="20"/>
        </w:rPr>
      </w:pPr>
      <w:bookmarkStart w:id="48" w:name="_Toc34586695"/>
      <w:r w:rsidRPr="008100B6">
        <w:rPr>
          <w:b w:val="0"/>
          <w:bCs w:val="0"/>
          <w:sz w:val="20"/>
        </w:rPr>
        <w:t>3.9.2</w:t>
      </w:r>
      <w:r w:rsidR="00A97A2C" w:rsidRPr="008100B6">
        <w:rPr>
          <w:b w:val="0"/>
          <w:bCs w:val="0"/>
          <w:sz w:val="20"/>
        </w:rPr>
        <w:t xml:space="preserve"> The Canterbury Method (CM1)</w:t>
      </w:r>
      <w:bookmarkEnd w:id="48"/>
    </w:p>
    <w:p w14:paraId="72995582" w14:textId="77777777" w:rsidR="0076725D" w:rsidRDefault="0076725D" w:rsidP="00A97A2C">
      <w:pPr>
        <w:pStyle w:val="NoSpacing"/>
        <w:jc w:val="both"/>
      </w:pPr>
    </w:p>
    <w:p w14:paraId="60CE14F7" w14:textId="77777777" w:rsidR="0076725D" w:rsidRPr="0076725D" w:rsidRDefault="0076725D" w:rsidP="00A97A2C">
      <w:pPr>
        <w:pStyle w:val="NoSpacing"/>
        <w:jc w:val="both"/>
        <w:rPr>
          <w:b/>
          <w:bCs/>
        </w:rPr>
      </w:pPr>
      <w:r w:rsidRPr="0076725D">
        <w:rPr>
          <w:b/>
          <w:bCs/>
        </w:rPr>
        <w:t>Background</w:t>
      </w:r>
    </w:p>
    <w:p w14:paraId="56D3CB1D" w14:textId="04ECB94A" w:rsidR="00A97A2C" w:rsidRDefault="00A97A2C" w:rsidP="00A97A2C">
      <w:pPr>
        <w:pStyle w:val="NoSpacing"/>
        <w:jc w:val="both"/>
      </w:pPr>
      <w:r>
        <w:t xml:space="preserve">Around 10 years ago </w:t>
      </w:r>
      <w:r w:rsidR="004D0062">
        <w:t>Environment Canterbury</w:t>
      </w:r>
      <w:r>
        <w:t xml:space="preserve"> embarked on a project to </w:t>
      </w:r>
      <w:r w:rsidR="00F76351">
        <w:t>measure</w:t>
      </w:r>
      <w:r>
        <w:t xml:space="preserve"> the performance of solid fuel burners based on a test method designed to simulate real life operation of a burner.  The </w:t>
      </w:r>
      <w:r w:rsidR="006976FD">
        <w:t>objective</w:t>
      </w:r>
      <w:r>
        <w:t xml:space="preserve"> was to have an emissions figure that would be a more reliable guide to emissions in actual life, compared with the idealised conditions of laboratory testing to </w:t>
      </w:r>
      <w:r w:rsidR="004D0062">
        <w:t>AS/NZS 4012 and AS/NZS 4013</w:t>
      </w:r>
      <w:r>
        <w:t xml:space="preserve">.  This information could </w:t>
      </w:r>
      <w:r w:rsidR="004B3794">
        <w:t xml:space="preserve">then </w:t>
      </w:r>
      <w:r>
        <w:t>be used in airshed modelling as a more reliable guide to actual emissions from new burners.</w:t>
      </w:r>
    </w:p>
    <w:p w14:paraId="1623EB02" w14:textId="1972522D" w:rsidR="00A97A2C" w:rsidRDefault="00A97A2C" w:rsidP="00A97A2C">
      <w:pPr>
        <w:pStyle w:val="NoSpacing"/>
        <w:jc w:val="both"/>
      </w:pPr>
    </w:p>
    <w:p w14:paraId="1FEADB36" w14:textId="3A2C4B93" w:rsidR="008D0430" w:rsidRDefault="004B3794" w:rsidP="008D0430">
      <w:pPr>
        <w:pStyle w:val="NoSpacing"/>
        <w:jc w:val="both"/>
      </w:pPr>
      <w:r>
        <w:t>A test method, known as the Canterbury Method</w:t>
      </w:r>
      <w:r w:rsidR="00C53EC9">
        <w:t xml:space="preserve"> (</w:t>
      </w:r>
      <w:r>
        <w:t>CM1</w:t>
      </w:r>
      <w:r w:rsidR="00C53EC9">
        <w:t xml:space="preserve">) </w:t>
      </w:r>
      <w:r>
        <w:t xml:space="preserve">was developed </w:t>
      </w:r>
      <w:r w:rsidR="00D33498">
        <w:t xml:space="preserve">that </w:t>
      </w:r>
      <w:r>
        <w:t>evolv</w:t>
      </w:r>
      <w:r w:rsidR="00D33498">
        <w:t>ed</w:t>
      </w:r>
      <w:r>
        <w:t xml:space="preserve"> from the real life emissions work done by Dr Angie </w:t>
      </w:r>
      <w:r w:rsidRPr="00AC7A96">
        <w:t>Scott</w:t>
      </w:r>
      <w:r>
        <w:t xml:space="preserve"> from </w:t>
      </w:r>
      <w:r w:rsidR="004D0062">
        <w:t>Environment Canterbury</w:t>
      </w:r>
      <w:r>
        <w:t xml:space="preserve">.   </w:t>
      </w:r>
      <w:r w:rsidR="008D0430">
        <w:t xml:space="preserve">The method was based on the same test equipment and </w:t>
      </w:r>
      <w:r w:rsidR="00B04939">
        <w:t>laboratory</w:t>
      </w:r>
      <w:r w:rsidR="008D0430">
        <w:t xml:space="preserve"> set-up as specified in AS/NZS 4012 and AS/NZS 4013 and with changes made to how the </w:t>
      </w:r>
      <w:r w:rsidR="00B04939">
        <w:t>appliance</w:t>
      </w:r>
      <w:r w:rsidR="008D0430">
        <w:t xml:space="preserve"> is </w:t>
      </w:r>
      <w:r w:rsidR="00B04939">
        <w:t>operated</w:t>
      </w:r>
      <w:r w:rsidR="008D0430">
        <w:t xml:space="preserve">.  This </w:t>
      </w:r>
      <w:r w:rsidR="00B04939">
        <w:t>includes</w:t>
      </w:r>
      <w:r w:rsidR="008D0430">
        <w:t xml:space="preserve"> adding a ‘real life’ component, i.e. changing those specifications from the AS/NZS 4013 standard that relate more closely to how a typical householder might operate their fire in real life.</w:t>
      </w:r>
      <w:r w:rsidR="008D0430" w:rsidRPr="00F3270B">
        <w:t xml:space="preserve"> </w:t>
      </w:r>
    </w:p>
    <w:p w14:paraId="5D19269B" w14:textId="77777777" w:rsidR="008D0430" w:rsidRDefault="008D0430" w:rsidP="004B3794">
      <w:pPr>
        <w:pStyle w:val="NoSpacing"/>
        <w:jc w:val="both"/>
      </w:pPr>
    </w:p>
    <w:p w14:paraId="64D00DFE" w14:textId="79EEE6CC" w:rsidR="004B3794" w:rsidRPr="00D019CC" w:rsidRDefault="004B3794" w:rsidP="004B3794">
      <w:pPr>
        <w:pStyle w:val="NoSpacing"/>
        <w:jc w:val="both"/>
      </w:pPr>
      <w:r w:rsidRPr="00D019CC">
        <w:t xml:space="preserve">Professor John Todd from </w:t>
      </w:r>
      <w:r>
        <w:t xml:space="preserve">the </w:t>
      </w:r>
      <w:r w:rsidRPr="00D019CC">
        <w:t xml:space="preserve">University of Tasmania and a member of the standards committee for </w:t>
      </w:r>
      <w:r w:rsidR="004D0062">
        <w:t>AS/NZS 4012 and AS/NZS 4013</w:t>
      </w:r>
      <w:r w:rsidRPr="00D019CC">
        <w:t xml:space="preserve"> (CS-062 Solid Fuel Burning Appliances) was also involved in the development of CM1.</w:t>
      </w:r>
    </w:p>
    <w:p w14:paraId="3056C2AD" w14:textId="0B772378" w:rsidR="009D4551" w:rsidRDefault="009D4551" w:rsidP="004B3794">
      <w:pPr>
        <w:pStyle w:val="NoSpacing"/>
        <w:jc w:val="both"/>
      </w:pPr>
    </w:p>
    <w:p w14:paraId="1542F5B5" w14:textId="727863D1" w:rsidR="009D4551" w:rsidRPr="00D019CC" w:rsidRDefault="009D4551" w:rsidP="009D4551">
      <w:pPr>
        <w:pStyle w:val="NoSpacing"/>
        <w:jc w:val="both"/>
      </w:pPr>
      <w:r w:rsidRPr="00D019CC">
        <w:t xml:space="preserve">The original draft of CM1 went through a peer review process before being adopted by </w:t>
      </w:r>
      <w:r w:rsidR="004D0062">
        <w:t>Environment Canterbury</w:t>
      </w:r>
      <w:r w:rsidRPr="00D019CC">
        <w:t>.  With the formation of the ULEB Industry Working Group (ULEB IWG) in 2014, the members of this group also reviewed the test method and recommended a number of changes to CM1, as follows:</w:t>
      </w:r>
    </w:p>
    <w:p w14:paraId="44D8D009" w14:textId="77777777" w:rsidR="009D4551" w:rsidRDefault="009D4551" w:rsidP="009A6D93">
      <w:pPr>
        <w:pStyle w:val="NoSpacing"/>
        <w:numPr>
          <w:ilvl w:val="0"/>
          <w:numId w:val="25"/>
        </w:numPr>
        <w:jc w:val="both"/>
      </w:pPr>
      <w:r w:rsidRPr="00D019CC">
        <w:t xml:space="preserve">Fuel </w:t>
      </w:r>
      <w:r>
        <w:t>specification – being more specific about the description of firewood type and increasing the allowable size tolerances</w:t>
      </w:r>
    </w:p>
    <w:p w14:paraId="4CB1B459" w14:textId="77777777" w:rsidR="009D4551" w:rsidRPr="00D019CC" w:rsidRDefault="009D4551" w:rsidP="009A6D93">
      <w:pPr>
        <w:pStyle w:val="NoSpacing"/>
        <w:numPr>
          <w:ilvl w:val="0"/>
          <w:numId w:val="25"/>
        </w:numPr>
        <w:jc w:val="both"/>
      </w:pPr>
      <w:r w:rsidRPr="00D019CC">
        <w:t>Loading</w:t>
      </w:r>
      <w:r>
        <w:t xml:space="preserve"> – allowing laboratories to follow reasonable loading instructions prescribed in the relevant burner operating manual</w:t>
      </w:r>
    </w:p>
    <w:p w14:paraId="58609452" w14:textId="420D03ED" w:rsidR="009D4551" w:rsidRPr="00D019CC" w:rsidRDefault="009D4551" w:rsidP="009A6D93">
      <w:pPr>
        <w:pStyle w:val="NoSpacing"/>
        <w:numPr>
          <w:ilvl w:val="0"/>
          <w:numId w:val="25"/>
        </w:numPr>
        <w:jc w:val="both"/>
      </w:pPr>
      <w:r w:rsidRPr="00D019CC">
        <w:t>Sampling methods</w:t>
      </w:r>
      <w:r>
        <w:t xml:space="preserve"> – allowing the use of in-stack measurement as well as the more common and originally specified dilution tunnel and calorimeter room methods</w:t>
      </w:r>
      <w:r w:rsidR="0006111E">
        <w:t xml:space="preserve">, </w:t>
      </w:r>
      <w:r w:rsidR="00B04939">
        <w:t>but</w:t>
      </w:r>
      <w:r w:rsidR="0006111E">
        <w:t xml:space="preserve"> only if the incumbent </w:t>
      </w:r>
      <w:r w:rsidR="00B04939">
        <w:t>dilution</w:t>
      </w:r>
      <w:r w:rsidR="00DC6FDF">
        <w:t xml:space="preserve"> tunnel and calorimeter room </w:t>
      </w:r>
      <w:proofErr w:type="gramStart"/>
      <w:r w:rsidR="00DC6FDF">
        <w:t>can’t</w:t>
      </w:r>
      <w:proofErr w:type="gramEnd"/>
      <w:r w:rsidR="00DC6FDF">
        <w:t xml:space="preserve"> be used for some physical reason.</w:t>
      </w:r>
    </w:p>
    <w:p w14:paraId="0C26ED67" w14:textId="77777777" w:rsidR="009D4551" w:rsidRPr="00D019CC" w:rsidRDefault="009D4551" w:rsidP="009D4551">
      <w:pPr>
        <w:pStyle w:val="NoSpacing"/>
        <w:jc w:val="both"/>
      </w:pPr>
    </w:p>
    <w:p w14:paraId="4C6E3334" w14:textId="77777777" w:rsidR="009D4551" w:rsidRPr="00D019CC" w:rsidRDefault="009D4551" w:rsidP="009D4551">
      <w:pPr>
        <w:pStyle w:val="NoSpacing"/>
        <w:jc w:val="both"/>
      </w:pPr>
      <w:r>
        <w:lastRenderedPageBreak/>
        <w:t>The current version of the Canterbury Method is CM1.6.</w:t>
      </w:r>
    </w:p>
    <w:p w14:paraId="51C745DD" w14:textId="504A39C9" w:rsidR="004B3794" w:rsidRDefault="004B3794" w:rsidP="00A97A2C">
      <w:pPr>
        <w:pStyle w:val="NoSpacing"/>
        <w:jc w:val="both"/>
      </w:pPr>
    </w:p>
    <w:p w14:paraId="4A97BA39" w14:textId="4E9A52BA" w:rsidR="00205C25" w:rsidRPr="00205C25" w:rsidRDefault="00205C25" w:rsidP="00A97A2C">
      <w:pPr>
        <w:pStyle w:val="NoSpacing"/>
        <w:jc w:val="both"/>
        <w:rPr>
          <w:b/>
          <w:bCs/>
        </w:rPr>
      </w:pPr>
      <w:r w:rsidRPr="00205C25">
        <w:rPr>
          <w:b/>
          <w:bCs/>
        </w:rPr>
        <w:t>CM1 inclusions</w:t>
      </w:r>
    </w:p>
    <w:p w14:paraId="7AFB7AEC" w14:textId="28DE6C9A" w:rsidR="00A97A2C" w:rsidRDefault="00A97A2C" w:rsidP="00A97A2C">
      <w:pPr>
        <w:pStyle w:val="NoSpacing"/>
        <w:jc w:val="both"/>
      </w:pPr>
      <w:r>
        <w:t xml:space="preserve">Key inclusions in CM1 that are excluded from </w:t>
      </w:r>
      <w:r w:rsidR="004D0062">
        <w:t>AS/NZS 4012 and AS/NZS 4013</w:t>
      </w:r>
      <w:r>
        <w:t xml:space="preserve"> are:</w:t>
      </w:r>
    </w:p>
    <w:p w14:paraId="1CA7AFB7" w14:textId="4C1E4207" w:rsidR="00A97A2C" w:rsidRDefault="00AA3355" w:rsidP="00440E89">
      <w:pPr>
        <w:pStyle w:val="ListParagraph"/>
        <w:numPr>
          <w:ilvl w:val="0"/>
          <w:numId w:val="7"/>
        </w:numPr>
      </w:pPr>
      <w:r>
        <w:t xml:space="preserve">Measurement of </w:t>
      </w:r>
      <w:r w:rsidR="00BD1D8B">
        <w:t>emissions</w:t>
      </w:r>
      <w:r w:rsidR="003246C4">
        <w:t xml:space="preserve"> over the entire duration </w:t>
      </w:r>
      <w:r w:rsidR="00BD1D8B">
        <w:t>including</w:t>
      </w:r>
      <w:r w:rsidR="003246C4">
        <w:t xml:space="preserve"> </w:t>
      </w:r>
      <w:r w:rsidR="00A97A2C">
        <w:t xml:space="preserve">the relatively high emissions period of start-up </w:t>
      </w:r>
      <w:r w:rsidR="000729D3">
        <w:t xml:space="preserve">that is </w:t>
      </w:r>
      <w:r w:rsidR="00FF0CA6">
        <w:t>excluded</w:t>
      </w:r>
      <w:r w:rsidR="00FD6320">
        <w:t xml:space="preserve"> from </w:t>
      </w:r>
      <w:r w:rsidR="004D0062">
        <w:t>AS/NZS 4013</w:t>
      </w:r>
      <w:r w:rsidR="00FD6320">
        <w:t>.</w:t>
      </w:r>
    </w:p>
    <w:p w14:paraId="0D002E59" w14:textId="2C0D2FDE" w:rsidR="00FD6320" w:rsidRDefault="00274526" w:rsidP="00440E89">
      <w:pPr>
        <w:pStyle w:val="ListParagraph"/>
        <w:numPr>
          <w:ilvl w:val="0"/>
          <w:numId w:val="7"/>
        </w:numPr>
      </w:pPr>
      <w:r>
        <w:t>T</w:t>
      </w:r>
      <w:r w:rsidR="00A97A2C">
        <w:t>esting based on real life firewood as might be obtained from a typical wood merchant and includes hardwood, softwood and partially seasoned burn cycles.</w:t>
      </w:r>
      <w:r>
        <w:t xml:space="preserve">  This </w:t>
      </w:r>
      <w:r w:rsidR="00BD1D8B">
        <w:t>includes</w:t>
      </w:r>
      <w:r>
        <w:t xml:space="preserve"> </w:t>
      </w:r>
      <w:r w:rsidR="00897BA1">
        <w:t>bark.</w:t>
      </w:r>
      <w:r w:rsidR="00FD6320">
        <w:t xml:space="preserve">  </w:t>
      </w:r>
    </w:p>
    <w:p w14:paraId="7DE6554C" w14:textId="70DBAFA5" w:rsidR="00897BA1" w:rsidRDefault="00897BA1" w:rsidP="00440E89">
      <w:pPr>
        <w:pStyle w:val="ListParagraph"/>
        <w:numPr>
          <w:ilvl w:val="0"/>
          <w:numId w:val="7"/>
        </w:numPr>
      </w:pPr>
      <w:r>
        <w:t xml:space="preserve">Ember bed </w:t>
      </w:r>
      <w:r w:rsidR="00BD1D8B">
        <w:t>depth</w:t>
      </w:r>
      <w:r>
        <w:t xml:space="preserve"> is greater </w:t>
      </w:r>
      <w:r w:rsidR="007B54CA">
        <w:t xml:space="preserve">than that required by </w:t>
      </w:r>
      <w:r w:rsidR="004D0062">
        <w:t>AS/NZS 4012</w:t>
      </w:r>
      <w:r w:rsidR="007B54CA">
        <w:t>.</w:t>
      </w:r>
    </w:p>
    <w:p w14:paraId="36EE3491" w14:textId="4D6E7D83" w:rsidR="00422093" w:rsidRPr="00D95CFE" w:rsidRDefault="00422093" w:rsidP="00440E89">
      <w:pPr>
        <w:pStyle w:val="ListParagraph"/>
        <w:numPr>
          <w:ilvl w:val="0"/>
          <w:numId w:val="7"/>
        </w:numPr>
      </w:pPr>
      <w:r>
        <w:t>Different fuel loads</w:t>
      </w:r>
      <w:r w:rsidR="00890ED2">
        <w:t>.</w:t>
      </w:r>
    </w:p>
    <w:p w14:paraId="4B9EA2A4" w14:textId="77777777" w:rsidR="00A97A2C" w:rsidRDefault="00A97A2C" w:rsidP="00A97A2C">
      <w:pPr>
        <w:pStyle w:val="NoSpacing"/>
        <w:ind w:left="1080"/>
        <w:rPr>
          <w:rFonts w:eastAsia="Times New Roman"/>
        </w:rPr>
      </w:pPr>
    </w:p>
    <w:p w14:paraId="62CAEB31" w14:textId="77777777" w:rsidR="001F307D" w:rsidRPr="00C73B03" w:rsidRDefault="001F307D" w:rsidP="001F307D">
      <w:pPr>
        <w:pStyle w:val="NoSpacing"/>
        <w:jc w:val="both"/>
      </w:pPr>
      <w:r>
        <w:t>The two test laboratories carrying out testing to CM1 in NZ have both had their test processes audited by IANZ to verify that they are applying the processes specified in CM1 correctly.</w:t>
      </w:r>
    </w:p>
    <w:p w14:paraId="2BD9B878" w14:textId="77777777" w:rsidR="001F307D" w:rsidRDefault="001F307D" w:rsidP="007C435C">
      <w:pPr>
        <w:pStyle w:val="NoSpacing"/>
        <w:jc w:val="both"/>
      </w:pPr>
    </w:p>
    <w:p w14:paraId="2CD32EE9" w14:textId="13C9330D" w:rsidR="007C435C" w:rsidRDefault="007C435C" w:rsidP="007C435C">
      <w:pPr>
        <w:pStyle w:val="NoSpacing"/>
        <w:jc w:val="both"/>
      </w:pPr>
      <w:r w:rsidRPr="00D019CC">
        <w:t xml:space="preserve">Emissions and </w:t>
      </w:r>
      <w:r>
        <w:t>efficiency</w:t>
      </w:r>
      <w:r w:rsidRPr="00D019CC">
        <w:t xml:space="preserve"> data from CM1 testing </w:t>
      </w:r>
      <w:r>
        <w:t>are</w:t>
      </w:r>
      <w:r w:rsidRPr="00D019CC">
        <w:t xml:space="preserve"> </w:t>
      </w:r>
      <w:r>
        <w:t xml:space="preserve">averaged across the various test runs and </w:t>
      </w:r>
      <w:r w:rsidRPr="00D019CC">
        <w:t xml:space="preserve">used to calculate an emissions factor based on mg of particulate emissions per MJ of usable heat generated.  This is then compared against </w:t>
      </w:r>
      <w:r w:rsidR="004D0062">
        <w:t>Environment Canterbury</w:t>
      </w:r>
      <w:r w:rsidRPr="00D019CC">
        <w:t>’s allowable limit of 38 mg/MJ in order to determine whether a burner will be authorised as a ULEB.</w:t>
      </w:r>
    </w:p>
    <w:p w14:paraId="397F14F1" w14:textId="77777777" w:rsidR="00271B78" w:rsidRDefault="00271B78" w:rsidP="0075513C">
      <w:pPr>
        <w:pStyle w:val="NoSpacing"/>
        <w:jc w:val="both"/>
        <w:rPr>
          <w:b/>
          <w:bCs/>
        </w:rPr>
      </w:pPr>
    </w:p>
    <w:p w14:paraId="50A1C339" w14:textId="40A5F399" w:rsidR="00A97A2C" w:rsidRPr="00B139C0" w:rsidRDefault="005838FB" w:rsidP="0075513C">
      <w:pPr>
        <w:pStyle w:val="NoSpacing"/>
        <w:jc w:val="both"/>
        <w:rPr>
          <w:b/>
          <w:bCs/>
        </w:rPr>
      </w:pPr>
      <w:r w:rsidRPr="00B139C0">
        <w:rPr>
          <w:b/>
          <w:bCs/>
        </w:rPr>
        <w:t>Recognition</w:t>
      </w:r>
      <w:r w:rsidR="00B139C0" w:rsidRPr="00B139C0">
        <w:rPr>
          <w:b/>
          <w:bCs/>
        </w:rPr>
        <w:t xml:space="preserve"> and </w:t>
      </w:r>
      <w:r w:rsidR="009D4872">
        <w:rPr>
          <w:b/>
          <w:bCs/>
        </w:rPr>
        <w:t>v</w:t>
      </w:r>
      <w:r w:rsidR="00B139C0" w:rsidRPr="00B139C0">
        <w:rPr>
          <w:b/>
          <w:bCs/>
        </w:rPr>
        <w:t>alue of CM1</w:t>
      </w:r>
    </w:p>
    <w:p w14:paraId="399D1DD5" w14:textId="6B7D3E69" w:rsidR="00715ECE" w:rsidRDefault="00715ECE" w:rsidP="00715ECE">
      <w:pPr>
        <w:pStyle w:val="NoSpacing"/>
        <w:jc w:val="both"/>
      </w:pPr>
      <w:r w:rsidRPr="00D019CC">
        <w:t xml:space="preserve">One of the key useful aspects of CM1 is the expression of emissions in terms of mg/MJ (discussed further in section </w:t>
      </w:r>
      <w:r w:rsidR="006C566D">
        <w:t>3.7.1</w:t>
      </w:r>
      <w:r w:rsidRPr="00D019CC">
        <w:t>).  This is simply a numerical calculation embodying both emissions and efficiency into a single measure</w:t>
      </w:r>
      <w:r>
        <w:t xml:space="preserve"> that allows some degree of trade-off, </w:t>
      </w:r>
      <w:r w:rsidR="00753D36">
        <w:t>within</w:t>
      </w:r>
      <w:r>
        <w:t xml:space="preserve"> the </w:t>
      </w:r>
      <w:r w:rsidR="00143E6B">
        <w:t>constraints</w:t>
      </w:r>
      <w:r>
        <w:t xml:space="preserve"> of the </w:t>
      </w:r>
      <w:r w:rsidR="004D0062">
        <w:t>NESAQ</w:t>
      </w:r>
      <w:r w:rsidRPr="00D019CC">
        <w:t xml:space="preserve">.  </w:t>
      </w:r>
    </w:p>
    <w:p w14:paraId="32542753" w14:textId="77777777" w:rsidR="00715ECE" w:rsidRPr="00D019CC" w:rsidRDefault="00715ECE" w:rsidP="00715ECE">
      <w:pPr>
        <w:pStyle w:val="NoSpacing"/>
        <w:jc w:val="both"/>
      </w:pPr>
    </w:p>
    <w:p w14:paraId="3F1E1C93" w14:textId="2D4DD8FF" w:rsidR="00AE2B86" w:rsidRDefault="00A97A2C" w:rsidP="00AE2B86">
      <w:pPr>
        <w:pStyle w:val="NoSpacing"/>
        <w:jc w:val="both"/>
      </w:pPr>
      <w:r w:rsidRPr="00C73B03">
        <w:t xml:space="preserve">Currently ULEBs, and the associated CM1 test method, are predominantly Canterbury </w:t>
      </w:r>
      <w:r>
        <w:t>concepts</w:t>
      </w:r>
      <w:r w:rsidRPr="00C73B03">
        <w:t xml:space="preserve">, although there is some recognition of ULEBs in other parts of NZ.  For example, Nelson City Council requires a solid fuel burner to be authorised as a ULEB in order to be installed in Nelson.  </w:t>
      </w:r>
      <w:r w:rsidR="00AE2B86">
        <w:t xml:space="preserve">The only woodburners allowed in Bay of Plenty </w:t>
      </w:r>
      <w:r w:rsidR="00BC16EC">
        <w:t>Regional</w:t>
      </w:r>
      <w:r w:rsidR="00AE2B86">
        <w:t xml:space="preserve"> Council’s Rotorua Low Income Heating Grant programme and </w:t>
      </w:r>
      <w:r w:rsidR="00BC16EC">
        <w:t>Otago</w:t>
      </w:r>
      <w:r w:rsidR="00AE2B86">
        <w:t xml:space="preserve"> </w:t>
      </w:r>
      <w:r w:rsidR="00BC16EC">
        <w:t>Regional</w:t>
      </w:r>
      <w:r w:rsidR="00AE2B86">
        <w:t xml:space="preserve"> Council’s Clean Heat Clean Air subsidy programme are ULEBs.</w:t>
      </w:r>
    </w:p>
    <w:p w14:paraId="57A41C6F" w14:textId="77777777" w:rsidR="00A97A2C" w:rsidRPr="00C73B03" w:rsidRDefault="00A97A2C" w:rsidP="00A97A2C">
      <w:pPr>
        <w:pStyle w:val="NoSpacing"/>
        <w:jc w:val="both"/>
      </w:pPr>
    </w:p>
    <w:p w14:paraId="7A9A68D2" w14:textId="5D8298D5" w:rsidR="00BD60D2" w:rsidRDefault="00BD60D2" w:rsidP="00BD60D2">
      <w:pPr>
        <w:pStyle w:val="NoSpacing"/>
        <w:jc w:val="both"/>
      </w:pPr>
      <w:r>
        <w:t xml:space="preserve">The development and adoption of the ULEB concept, based on testing to the simulated real life conditions specified in CM1 has been </w:t>
      </w:r>
      <w:r w:rsidR="00F23120">
        <w:t xml:space="preserve">a </w:t>
      </w:r>
      <w:r>
        <w:t xml:space="preserve">valuable </w:t>
      </w:r>
      <w:r w:rsidR="00F23120">
        <w:t xml:space="preserve">tool </w:t>
      </w:r>
      <w:r>
        <w:t>in encouraging the industry to design or source ever-cleaner woodburners.</w:t>
      </w:r>
    </w:p>
    <w:p w14:paraId="649EC6A3" w14:textId="1ACBC0B3" w:rsidR="000977F7" w:rsidRDefault="000977F7" w:rsidP="00BD60D2">
      <w:pPr>
        <w:pStyle w:val="NoSpacing"/>
        <w:jc w:val="both"/>
      </w:pPr>
    </w:p>
    <w:p w14:paraId="5F23829D" w14:textId="708278D0" w:rsidR="000977F7" w:rsidRDefault="000977F7" w:rsidP="000977F7">
      <w:pPr>
        <w:pStyle w:val="NoSpacing"/>
        <w:jc w:val="both"/>
      </w:pPr>
      <w:r>
        <w:t xml:space="preserve">The average emissions level based on testing to </w:t>
      </w:r>
      <w:r w:rsidR="004D0062">
        <w:t>AS/NZS 4013</w:t>
      </w:r>
      <w:r>
        <w:t xml:space="preserve"> for the </w:t>
      </w:r>
      <w:r w:rsidR="005F4EE6">
        <w:t>35</w:t>
      </w:r>
      <w:r>
        <w:t xml:space="preserve"> ULEBs now authorised is 0.4g/kg.  There are several NZ designed woodburners emitting only 0.2 g/kg and the cleanest of them all, the Tropicair Duo, produced test emissions of just 0.1 g/kg from testing to </w:t>
      </w:r>
      <w:r w:rsidR="004D0062">
        <w:t>AS/NZS 4013</w:t>
      </w:r>
      <w:r>
        <w:t>.</w:t>
      </w:r>
    </w:p>
    <w:p w14:paraId="7056BAA4" w14:textId="77777777" w:rsidR="000977F7" w:rsidRDefault="000977F7" w:rsidP="000977F7">
      <w:pPr>
        <w:pStyle w:val="NoSpacing"/>
        <w:jc w:val="both"/>
      </w:pPr>
    </w:p>
    <w:p w14:paraId="4A431E36" w14:textId="09FBAFF0" w:rsidR="000977F7" w:rsidRDefault="000977F7" w:rsidP="000977F7">
      <w:pPr>
        <w:pStyle w:val="NoSpacing"/>
        <w:jc w:val="both"/>
      </w:pPr>
      <w:r>
        <w:t xml:space="preserve">Data from real life testing shows a </w:t>
      </w:r>
      <w:r w:rsidR="00AD11AA">
        <w:t xml:space="preserve">positive </w:t>
      </w:r>
      <w:r>
        <w:t>correlation between real life emissions and laboratory test (</w:t>
      </w:r>
      <w:r w:rsidR="004D0062">
        <w:t>AS/NZS 4013</w:t>
      </w:r>
      <w:r>
        <w:t xml:space="preserve">) emissions.  So, the move towards </w:t>
      </w:r>
      <w:r w:rsidR="002A547B">
        <w:t>de</w:t>
      </w:r>
      <w:r w:rsidR="00753D36">
        <w:t>sign</w:t>
      </w:r>
      <w:r w:rsidR="002A547B">
        <w:t xml:space="preserve">ing </w:t>
      </w:r>
      <w:r>
        <w:t xml:space="preserve">cleaner burners </w:t>
      </w:r>
      <w:r w:rsidR="002A547B">
        <w:t xml:space="preserve">to meet the </w:t>
      </w:r>
      <w:r w:rsidR="00F03A84">
        <w:t>ULEB</w:t>
      </w:r>
      <w:r w:rsidR="002A547B">
        <w:t xml:space="preserve"> </w:t>
      </w:r>
      <w:r w:rsidR="00F74690">
        <w:t xml:space="preserve">criteria </w:t>
      </w:r>
      <w:r>
        <w:t xml:space="preserve">is leading </w:t>
      </w:r>
      <w:r w:rsidRPr="003D21BA">
        <w:t xml:space="preserve">to lower emissions from solid fuel burners in real life.  </w:t>
      </w:r>
    </w:p>
    <w:p w14:paraId="0BEAE88B" w14:textId="77777777" w:rsidR="000977F7" w:rsidRDefault="000977F7" w:rsidP="000977F7">
      <w:pPr>
        <w:pStyle w:val="NoSpacing"/>
        <w:jc w:val="both"/>
      </w:pPr>
    </w:p>
    <w:p w14:paraId="36536CE8" w14:textId="17DD4DF2" w:rsidR="007F69A0" w:rsidRPr="00FB7A96" w:rsidRDefault="007F69A0" w:rsidP="007F69A0">
      <w:pPr>
        <w:pStyle w:val="NoSpacing"/>
        <w:jc w:val="both"/>
        <w:rPr>
          <w:b/>
          <w:bCs/>
        </w:rPr>
      </w:pPr>
      <w:r>
        <w:rPr>
          <w:b/>
          <w:bCs/>
        </w:rPr>
        <w:t>I</w:t>
      </w:r>
      <w:r w:rsidRPr="00FB7A96">
        <w:rPr>
          <w:b/>
          <w:bCs/>
        </w:rPr>
        <w:t xml:space="preserve">ssues </w:t>
      </w:r>
      <w:r>
        <w:rPr>
          <w:b/>
          <w:bCs/>
        </w:rPr>
        <w:t xml:space="preserve">to </w:t>
      </w:r>
      <w:r w:rsidR="00753D36">
        <w:rPr>
          <w:b/>
          <w:bCs/>
        </w:rPr>
        <w:t>consider</w:t>
      </w:r>
      <w:r>
        <w:rPr>
          <w:b/>
          <w:bCs/>
        </w:rPr>
        <w:t xml:space="preserve"> </w:t>
      </w:r>
      <w:r w:rsidRPr="00FB7A96">
        <w:rPr>
          <w:b/>
          <w:bCs/>
        </w:rPr>
        <w:t>with CM1</w:t>
      </w:r>
    </w:p>
    <w:p w14:paraId="4DE7D7B0" w14:textId="0B3687ED" w:rsidR="000977F7" w:rsidRDefault="000977F7" w:rsidP="000977F7">
      <w:pPr>
        <w:pStyle w:val="NoSpacing"/>
        <w:jc w:val="both"/>
      </w:pPr>
      <w:r>
        <w:t xml:space="preserve">The ULEB concept is playing a valuable role within Canterbury and for other regions that have recognised ULEBs.  However, a move to recognise </w:t>
      </w:r>
      <w:r w:rsidR="00F03A84">
        <w:t>ULEB</w:t>
      </w:r>
      <w:r>
        <w:t>s, and the underlying CM1 test method, more broadly would require consideration of a number of issues including:</w:t>
      </w:r>
    </w:p>
    <w:p w14:paraId="7A1A0E4C" w14:textId="29AB7963" w:rsidR="00080CB9" w:rsidRDefault="000977F7" w:rsidP="00440E89">
      <w:pPr>
        <w:pStyle w:val="NoSpacing"/>
        <w:numPr>
          <w:ilvl w:val="0"/>
          <w:numId w:val="8"/>
        </w:numPr>
        <w:jc w:val="both"/>
      </w:pPr>
      <w:r>
        <w:t>While CM1 has undergone significant scrutiny as part of its development, this will not have been to the same degree of rigour involved in developing and refining an Australasian standard.</w:t>
      </w:r>
      <w:r w:rsidR="00080CB9">
        <w:t xml:space="preserve">  </w:t>
      </w:r>
      <w:r w:rsidR="00080CB9" w:rsidRPr="00C73B03">
        <w:t xml:space="preserve">It is worth noting, however, that there is some overlap between members of the Standards Committee for </w:t>
      </w:r>
      <w:r w:rsidR="004D0062">
        <w:t>AS/NZS 4012 and AS/NZS 4013</w:t>
      </w:r>
      <w:r w:rsidR="00080CB9" w:rsidRPr="00C73B03">
        <w:t xml:space="preserve"> and the development/review process for CM1.</w:t>
      </w:r>
    </w:p>
    <w:p w14:paraId="0B7D471F" w14:textId="64E68DB7" w:rsidR="000977F7" w:rsidRDefault="000977F7" w:rsidP="00440E89">
      <w:pPr>
        <w:pStyle w:val="NoSpacing"/>
        <w:numPr>
          <w:ilvl w:val="0"/>
          <w:numId w:val="8"/>
        </w:numPr>
        <w:jc w:val="both"/>
      </w:pPr>
      <w:r>
        <w:lastRenderedPageBreak/>
        <w:t xml:space="preserve">The replacement of </w:t>
      </w:r>
      <w:r w:rsidR="004D0062">
        <w:t>AS/NZS 4012 and AS/NZS 4013</w:t>
      </w:r>
      <w:r>
        <w:t xml:space="preserve"> with CM1 in NZ would result in </w:t>
      </w:r>
      <w:r w:rsidR="008C15CF">
        <w:t>the</w:t>
      </w:r>
      <w:r>
        <w:t xml:space="preserve"> Australasian standard only </w:t>
      </w:r>
      <w:r w:rsidR="008C15CF">
        <w:t xml:space="preserve">being </w:t>
      </w:r>
      <w:r>
        <w:t>used in Australia.</w:t>
      </w:r>
    </w:p>
    <w:p w14:paraId="601E1859" w14:textId="77777777" w:rsidR="000977F7" w:rsidRDefault="000977F7" w:rsidP="00440E89">
      <w:pPr>
        <w:pStyle w:val="NoSpacing"/>
        <w:numPr>
          <w:ilvl w:val="0"/>
          <w:numId w:val="8"/>
        </w:numPr>
        <w:jc w:val="both"/>
      </w:pPr>
      <w:r>
        <w:t>The potentially lower level of reliable repeatability from testing to CM1 as it includes start up emissions and uses a fuel that can be variable in nature.</w:t>
      </w:r>
    </w:p>
    <w:p w14:paraId="7D98EEFC" w14:textId="6A6412EA" w:rsidR="000977F7" w:rsidRDefault="000977F7" w:rsidP="00440E89">
      <w:pPr>
        <w:pStyle w:val="NoSpacing"/>
        <w:numPr>
          <w:ilvl w:val="0"/>
          <w:numId w:val="8"/>
        </w:numPr>
        <w:jc w:val="both"/>
      </w:pPr>
      <w:r>
        <w:t>ULEBs were conceived in Canterbury where there ha</w:t>
      </w:r>
      <w:r w:rsidR="002A4225">
        <w:t>s</w:t>
      </w:r>
      <w:r>
        <w:t xml:space="preserve"> been long-standing air quality issues.  While there has been some recognition of the ULEB concept in other NZ airsheds, there </w:t>
      </w:r>
      <w:r w:rsidR="00B666AD">
        <w:t>will be less</w:t>
      </w:r>
      <w:r>
        <w:t xml:space="preserve"> interest in CM1 from other non-airshed towns and cities.</w:t>
      </w:r>
    </w:p>
    <w:p w14:paraId="77BB150D" w14:textId="77777777" w:rsidR="000977F7" w:rsidRDefault="000977F7" w:rsidP="00BD60D2">
      <w:pPr>
        <w:pStyle w:val="NoSpacing"/>
        <w:jc w:val="both"/>
      </w:pPr>
    </w:p>
    <w:p w14:paraId="661215F8" w14:textId="194F5855" w:rsidR="001D18E3" w:rsidRPr="00D019CC" w:rsidRDefault="001D18E3" w:rsidP="001D18E3">
      <w:pPr>
        <w:pStyle w:val="NoSpacing"/>
        <w:jc w:val="both"/>
      </w:pPr>
      <w:r w:rsidRPr="00D019CC">
        <w:t xml:space="preserve">While real life testing will provide a more accurate measure of particulates entering the air from solid fuel burners compared with testing to </w:t>
      </w:r>
      <w:r w:rsidR="004D0062">
        <w:t>AS/NZS 4012 and AS/NZS 4013</w:t>
      </w:r>
      <w:r w:rsidRPr="00D019CC">
        <w:t>, there will always be variances between what is measured from testing and what occurs in real life</w:t>
      </w:r>
      <w:r w:rsidR="00A33A38">
        <w:t xml:space="preserve">, as can be seen in </w:t>
      </w:r>
      <w:r w:rsidR="00A33A38">
        <w:fldChar w:fldCharType="begin"/>
      </w:r>
      <w:r w:rsidR="00A33A38">
        <w:instrText xml:space="preserve"> REF _Ref31884665 \h </w:instrText>
      </w:r>
      <w:r w:rsidR="00A33A38">
        <w:fldChar w:fldCharType="separate"/>
      </w:r>
      <w:r w:rsidR="00CD682F" w:rsidRPr="00EA2B3D">
        <w:t xml:space="preserve">Table </w:t>
      </w:r>
      <w:r w:rsidR="00CD682F">
        <w:rPr>
          <w:noProof/>
        </w:rPr>
        <w:t>6</w:t>
      </w:r>
      <w:r w:rsidR="00A33A38">
        <w:fldChar w:fldCharType="end"/>
      </w:r>
      <w:r w:rsidR="00A33A38">
        <w:t xml:space="preserve"> and </w:t>
      </w:r>
      <w:r w:rsidR="00A33A38">
        <w:fldChar w:fldCharType="begin"/>
      </w:r>
      <w:r w:rsidR="00A33A38">
        <w:instrText xml:space="preserve"> REF _Ref31874319 \h </w:instrText>
      </w:r>
      <w:r w:rsidR="00A33A38">
        <w:fldChar w:fldCharType="separate"/>
      </w:r>
      <w:r w:rsidR="00CD682F" w:rsidRPr="00EA2B3D">
        <w:t xml:space="preserve">Table </w:t>
      </w:r>
      <w:r w:rsidR="00CD682F">
        <w:rPr>
          <w:noProof/>
        </w:rPr>
        <w:t>7</w:t>
      </w:r>
      <w:r w:rsidR="00A33A38">
        <w:fldChar w:fldCharType="end"/>
      </w:r>
      <w:r w:rsidR="00D35DC0">
        <w:t xml:space="preserve"> in</w:t>
      </w:r>
      <w:r w:rsidR="00EF7724">
        <w:t xml:space="preserve"> Section</w:t>
      </w:r>
      <w:r w:rsidR="00D35DC0">
        <w:t xml:space="preserve"> </w:t>
      </w:r>
      <w:r w:rsidR="00E03B57">
        <w:fldChar w:fldCharType="begin"/>
      </w:r>
      <w:r w:rsidR="00E03B57">
        <w:instrText xml:space="preserve"> REF _Ref31871502 \r \h </w:instrText>
      </w:r>
      <w:r w:rsidR="00E03B57">
        <w:fldChar w:fldCharType="separate"/>
      </w:r>
      <w:r w:rsidR="00CD682F">
        <w:t>3.10</w:t>
      </w:r>
      <w:r w:rsidR="00E03B57">
        <w:fldChar w:fldCharType="end"/>
      </w:r>
      <w:r w:rsidRPr="00D019CC">
        <w:t xml:space="preserve">.  Part of this will be due to the variation in the nature of firewood used.  This will also result in differences between test laboratories as one will use a different source of wood to another, and </w:t>
      </w:r>
      <w:r>
        <w:t>firewood choice</w:t>
      </w:r>
      <w:r w:rsidRPr="00D019CC">
        <w:t xml:space="preserve"> will also vary from householder to householder.  This is inevitable and it would be contradictory to </w:t>
      </w:r>
      <w:r>
        <w:t xml:space="preserve">the intent of real life testing to </w:t>
      </w:r>
      <w:r w:rsidRPr="00D019CC">
        <w:t>specify a controlled source of firewood for real life testing.</w:t>
      </w:r>
    </w:p>
    <w:p w14:paraId="5EE1BD5C" w14:textId="77777777" w:rsidR="001D18E3" w:rsidRPr="00D019CC" w:rsidRDefault="001D18E3" w:rsidP="001D18E3">
      <w:pPr>
        <w:pStyle w:val="NoSpacing"/>
        <w:jc w:val="both"/>
      </w:pPr>
    </w:p>
    <w:p w14:paraId="152A4C57" w14:textId="7C90FB66" w:rsidR="001D18E3" w:rsidRPr="0075513C" w:rsidRDefault="001D18E3" w:rsidP="001D18E3">
      <w:pPr>
        <w:pStyle w:val="NoSpacing"/>
        <w:jc w:val="both"/>
      </w:pPr>
      <w:r w:rsidRPr="00D019CC">
        <w:t xml:space="preserve">There will also be differences in results arising from test laboratory staff being highly skilled operators of solid fuel burners compared with homeowners who will have </w:t>
      </w:r>
      <w:r>
        <w:t>varying levels of</w:t>
      </w:r>
      <w:r w:rsidRPr="00D019CC">
        <w:t xml:space="preserve"> capability in </w:t>
      </w:r>
      <w:r w:rsidRPr="0075513C">
        <w:t xml:space="preserve">operating a solid fuel burner.  </w:t>
      </w:r>
    </w:p>
    <w:p w14:paraId="12BF57E3" w14:textId="77777777" w:rsidR="001D18E3" w:rsidRDefault="001D18E3" w:rsidP="001D18E3">
      <w:pPr>
        <w:pStyle w:val="NoSpacing"/>
        <w:ind w:left="360"/>
        <w:rPr>
          <w:rFonts w:eastAsia="Times New Roman"/>
        </w:rPr>
      </w:pPr>
    </w:p>
    <w:p w14:paraId="519B4E5F" w14:textId="7E3D2DC4" w:rsidR="001D18E3" w:rsidRDefault="001D18E3" w:rsidP="001D18E3">
      <w:pPr>
        <w:pStyle w:val="NoSpacing"/>
        <w:jc w:val="both"/>
      </w:pPr>
      <w:r w:rsidRPr="003138C7">
        <w:t xml:space="preserve">However, the use of a test method based on simulated real life usage will provide data that is closer to what might be experienced in real life operation, compared with using </w:t>
      </w:r>
      <w:r w:rsidR="004D0062" w:rsidRPr="003138C7">
        <w:t>AS/NZS 4012 and AS/NZS 4013</w:t>
      </w:r>
      <w:r w:rsidRPr="003138C7">
        <w:t xml:space="preserve">.  </w:t>
      </w:r>
    </w:p>
    <w:p w14:paraId="749D5DA0" w14:textId="08E7BA6F" w:rsidR="00FB7A96" w:rsidRDefault="00FB7A96" w:rsidP="00A97A2C">
      <w:pPr>
        <w:pStyle w:val="NoSpacing"/>
        <w:jc w:val="both"/>
      </w:pPr>
    </w:p>
    <w:p w14:paraId="3CE7E57A" w14:textId="6A2D61A5" w:rsidR="00B326D9" w:rsidRPr="00B326D9" w:rsidRDefault="00B326D9" w:rsidP="00A97A2C">
      <w:pPr>
        <w:pStyle w:val="NoSpacing"/>
        <w:jc w:val="both"/>
        <w:rPr>
          <w:b/>
          <w:bCs/>
        </w:rPr>
      </w:pPr>
      <w:r w:rsidRPr="00B326D9">
        <w:rPr>
          <w:b/>
          <w:bCs/>
        </w:rPr>
        <w:t xml:space="preserve">Use of CM1 to grant LEB </w:t>
      </w:r>
      <w:r w:rsidR="00743EAD" w:rsidRPr="00B326D9">
        <w:rPr>
          <w:b/>
          <w:bCs/>
        </w:rPr>
        <w:t>authorisation</w:t>
      </w:r>
    </w:p>
    <w:p w14:paraId="54BD9063" w14:textId="0718A60C" w:rsidR="000D55EB" w:rsidRDefault="00743EAD" w:rsidP="000D55EB">
      <w:pPr>
        <w:pStyle w:val="NoSpacing"/>
        <w:jc w:val="both"/>
      </w:pPr>
      <w:r>
        <w:t>Currently</w:t>
      </w:r>
      <w:r w:rsidR="000D55EB">
        <w:t xml:space="preserve"> a manufacturer seeking </w:t>
      </w:r>
      <w:r>
        <w:t>authorisation</w:t>
      </w:r>
      <w:r w:rsidR="000D55EB">
        <w:t xml:space="preserve"> of a </w:t>
      </w:r>
      <w:r w:rsidR="00752652">
        <w:t>burner</w:t>
      </w:r>
      <w:r w:rsidR="000D55EB">
        <w:t xml:space="preserve"> as a </w:t>
      </w:r>
      <w:r w:rsidR="00F03A84">
        <w:t>ULEB</w:t>
      </w:r>
      <w:r w:rsidR="000D55EB">
        <w:t xml:space="preserve"> need</w:t>
      </w:r>
      <w:r w:rsidR="00AC5BA4">
        <w:t>s</w:t>
      </w:r>
      <w:r w:rsidR="000D55EB">
        <w:t xml:space="preserve"> to submit their burner for testing to two </w:t>
      </w:r>
      <w:r>
        <w:t>methods</w:t>
      </w:r>
      <w:r w:rsidR="000D55EB">
        <w:t xml:space="preserve">.  Testing to CM1 is required for </w:t>
      </w:r>
      <w:r w:rsidR="00F03A84">
        <w:t>Environment Canterbury</w:t>
      </w:r>
      <w:r w:rsidR="000D55EB">
        <w:t xml:space="preserve"> to </w:t>
      </w:r>
      <w:r w:rsidR="00752652">
        <w:t>consider</w:t>
      </w:r>
      <w:r w:rsidR="000D55EB">
        <w:t xml:space="preserve"> </w:t>
      </w:r>
      <w:r w:rsidR="00F03A84">
        <w:t>ULEB</w:t>
      </w:r>
      <w:r w:rsidR="000D55EB">
        <w:t xml:space="preserve"> </w:t>
      </w:r>
      <w:r>
        <w:t>authorisation</w:t>
      </w:r>
      <w:r w:rsidR="000D55EB">
        <w:t xml:space="preserve">.  Testing to AS/NZS 4012 and AS/NZS 4013 is also required in </w:t>
      </w:r>
      <w:r>
        <w:t>order</w:t>
      </w:r>
      <w:r w:rsidR="000D55EB">
        <w:t xml:space="preserve"> to verify that the burner meets the 65% NESAQ </w:t>
      </w:r>
      <w:r>
        <w:t>efficiency</w:t>
      </w:r>
      <w:r w:rsidR="000D55EB">
        <w:t xml:space="preserve"> criterion and </w:t>
      </w:r>
      <w:r w:rsidR="00752652">
        <w:t>also</w:t>
      </w:r>
      <w:r w:rsidR="000D55EB">
        <w:t xml:space="preserve"> to provide </w:t>
      </w:r>
      <w:r>
        <w:t>emissions</w:t>
      </w:r>
      <w:r w:rsidR="000D55EB">
        <w:t xml:space="preserve"> and </w:t>
      </w:r>
      <w:r w:rsidR="00752652">
        <w:t>efficiency</w:t>
      </w:r>
      <w:r w:rsidR="000D55EB">
        <w:t xml:space="preserve"> data for </w:t>
      </w:r>
      <w:r>
        <w:t>authorisation</w:t>
      </w:r>
      <w:r w:rsidR="000D55EB">
        <w:t xml:space="preserve"> as a LEB for sales outside </w:t>
      </w:r>
      <w:r>
        <w:t>Canterbury</w:t>
      </w:r>
      <w:r w:rsidR="000D55EB">
        <w:t xml:space="preserve"> and </w:t>
      </w:r>
      <w:r w:rsidR="00752652">
        <w:t>Nelson</w:t>
      </w:r>
      <w:r w:rsidR="000D55EB">
        <w:t>.</w:t>
      </w:r>
    </w:p>
    <w:p w14:paraId="5D03F9FD" w14:textId="77777777" w:rsidR="00C36E80" w:rsidRDefault="00C36E80" w:rsidP="000D55EB">
      <w:pPr>
        <w:pStyle w:val="NoSpacing"/>
        <w:jc w:val="both"/>
      </w:pPr>
    </w:p>
    <w:p w14:paraId="07591310" w14:textId="2D8136B3" w:rsidR="000D55EB" w:rsidRDefault="000D55EB" w:rsidP="000D55EB">
      <w:pPr>
        <w:pStyle w:val="NoSpacing"/>
        <w:jc w:val="both"/>
      </w:pPr>
      <w:r>
        <w:t xml:space="preserve">This </w:t>
      </w:r>
      <w:r w:rsidR="00743EAD">
        <w:t>effectively</w:t>
      </w:r>
      <w:r>
        <w:t xml:space="preserve"> doubles the testing cost for manufacturers and there is an argument from some </w:t>
      </w:r>
      <w:r w:rsidR="0067157E">
        <w:t xml:space="preserve">manufacturers </w:t>
      </w:r>
      <w:r>
        <w:t xml:space="preserve">that because CM1 is a </w:t>
      </w:r>
      <w:r w:rsidR="00BD7103">
        <w:t xml:space="preserve">theoretically </w:t>
      </w:r>
      <w:r w:rsidR="00743EAD">
        <w:t>tougher</w:t>
      </w:r>
      <w:r>
        <w:t xml:space="preserve"> test, then </w:t>
      </w:r>
      <w:r w:rsidR="00752652">
        <w:t>authorisation</w:t>
      </w:r>
      <w:r>
        <w:t xml:space="preserve"> as a </w:t>
      </w:r>
      <w:r w:rsidR="00F03A84">
        <w:t>ULEB</w:t>
      </w:r>
      <w:r>
        <w:t xml:space="preserve"> should automatically grant </w:t>
      </w:r>
      <w:r w:rsidR="00F03A84">
        <w:t>LEB</w:t>
      </w:r>
      <w:r>
        <w:t xml:space="preserve"> </w:t>
      </w:r>
      <w:r w:rsidR="00743EAD">
        <w:t>authorisation</w:t>
      </w:r>
      <w:r>
        <w:t xml:space="preserve">.  There are a number of issues to address before this could be </w:t>
      </w:r>
      <w:r w:rsidR="00743EAD">
        <w:t>considered</w:t>
      </w:r>
      <w:r>
        <w:t>, including:</w:t>
      </w:r>
    </w:p>
    <w:p w14:paraId="7F3D1244" w14:textId="3B3E5882" w:rsidR="000D55EB" w:rsidRDefault="000D55EB" w:rsidP="00B326D9">
      <w:pPr>
        <w:pStyle w:val="NoSpacing"/>
        <w:numPr>
          <w:ilvl w:val="0"/>
          <w:numId w:val="24"/>
        </w:numPr>
        <w:jc w:val="both"/>
      </w:pPr>
      <w:r>
        <w:t xml:space="preserve">There have been some </w:t>
      </w:r>
      <w:r w:rsidR="00743EAD">
        <w:t>inconsistencies</w:t>
      </w:r>
      <w:r>
        <w:t xml:space="preserve"> with test </w:t>
      </w:r>
      <w:r w:rsidR="00752652">
        <w:t>results</w:t>
      </w:r>
      <w:r>
        <w:t xml:space="preserve"> whereby AS/NZS 4013 </w:t>
      </w:r>
      <w:r w:rsidR="00743EAD">
        <w:t>emissions</w:t>
      </w:r>
      <w:r>
        <w:t xml:space="preserve"> data are higher than </w:t>
      </w:r>
      <w:r w:rsidR="00752652">
        <w:t>that</w:t>
      </w:r>
      <w:r>
        <w:t xml:space="preserve"> from CM1 testing.  This is </w:t>
      </w:r>
      <w:r w:rsidR="00752652">
        <w:t>unexpected</w:t>
      </w:r>
      <w:r>
        <w:t xml:space="preserve"> as CM1 </w:t>
      </w:r>
      <w:r w:rsidR="00752652">
        <w:t>testing</w:t>
      </w:r>
      <w:r>
        <w:t xml:space="preserve"> includes the dirty start-</w:t>
      </w:r>
      <w:r w:rsidR="00752652">
        <w:t>up</w:t>
      </w:r>
      <w:r>
        <w:t xml:space="preserve"> period.</w:t>
      </w:r>
    </w:p>
    <w:p w14:paraId="64F2C984" w14:textId="4B747D01" w:rsidR="000D55EB" w:rsidRDefault="000D55EB" w:rsidP="00B326D9">
      <w:pPr>
        <w:pStyle w:val="NoSpacing"/>
        <w:numPr>
          <w:ilvl w:val="0"/>
          <w:numId w:val="24"/>
        </w:numPr>
        <w:jc w:val="both"/>
      </w:pPr>
      <w:r>
        <w:t xml:space="preserve">A decision would need to be made as to what </w:t>
      </w:r>
      <w:r w:rsidR="00752652">
        <w:t>efficiency</w:t>
      </w:r>
      <w:r>
        <w:t xml:space="preserve"> and </w:t>
      </w:r>
      <w:r w:rsidR="00752652">
        <w:t>emissions</w:t>
      </w:r>
      <w:r>
        <w:t xml:space="preserve"> figures would be </w:t>
      </w:r>
      <w:r w:rsidR="00752652">
        <w:t>reported</w:t>
      </w:r>
      <w:r>
        <w:t xml:space="preserve"> for </w:t>
      </w:r>
      <w:r w:rsidR="00F03A84">
        <w:t>LEB</w:t>
      </w:r>
      <w:r>
        <w:t xml:space="preserve"> </w:t>
      </w:r>
      <w:r w:rsidR="00752652">
        <w:t>authorisation</w:t>
      </w:r>
      <w:r>
        <w:t xml:space="preserve">.  This could be the CM1 test data, or </w:t>
      </w:r>
      <w:r w:rsidR="00752652">
        <w:t>emissions</w:t>
      </w:r>
      <w:r>
        <w:t xml:space="preserve"> could be adjusted to account for the extra </w:t>
      </w:r>
      <w:r w:rsidR="00752652">
        <w:t>emissions</w:t>
      </w:r>
      <w:r>
        <w:t xml:space="preserve"> that could be </w:t>
      </w:r>
      <w:r w:rsidR="00752652">
        <w:t>expected</w:t>
      </w:r>
      <w:r>
        <w:t xml:space="preserve"> from the CM1 test </w:t>
      </w:r>
      <w:r w:rsidR="00752652">
        <w:t>cycles</w:t>
      </w:r>
      <w:r>
        <w:t>.</w:t>
      </w:r>
    </w:p>
    <w:p w14:paraId="5129AEE2" w14:textId="5E6D22FC" w:rsidR="000D55EB" w:rsidRDefault="000D55EB" w:rsidP="00B326D9">
      <w:pPr>
        <w:pStyle w:val="NoSpacing"/>
        <w:numPr>
          <w:ilvl w:val="0"/>
          <w:numId w:val="24"/>
        </w:numPr>
        <w:jc w:val="both"/>
      </w:pPr>
      <w:r>
        <w:t xml:space="preserve">Whether there are any </w:t>
      </w:r>
      <w:r w:rsidR="00752652">
        <w:t>opportunities</w:t>
      </w:r>
      <w:r>
        <w:t xml:space="preserve"> to “game” the CM1 test to gain a back-door </w:t>
      </w:r>
      <w:r w:rsidR="00752652">
        <w:t>authorisation</w:t>
      </w:r>
      <w:r>
        <w:t xml:space="preserve"> as a </w:t>
      </w:r>
      <w:r w:rsidR="00F03A84">
        <w:t>LEB</w:t>
      </w:r>
      <w:r>
        <w:t>.</w:t>
      </w:r>
    </w:p>
    <w:p w14:paraId="0475F282" w14:textId="77777777" w:rsidR="000D55EB" w:rsidRDefault="000D55EB" w:rsidP="00A97A2C">
      <w:pPr>
        <w:pStyle w:val="NoSpacing"/>
        <w:jc w:val="both"/>
      </w:pPr>
    </w:p>
    <w:p w14:paraId="7FFF63E6" w14:textId="2094AE2F" w:rsidR="003001BE" w:rsidRPr="003001BE" w:rsidRDefault="003001BE" w:rsidP="00A97A2C">
      <w:pPr>
        <w:pStyle w:val="NoSpacing"/>
        <w:jc w:val="both"/>
        <w:rPr>
          <w:b/>
          <w:bCs/>
        </w:rPr>
      </w:pPr>
      <w:r w:rsidRPr="003001BE">
        <w:rPr>
          <w:b/>
          <w:bCs/>
        </w:rPr>
        <w:t xml:space="preserve">Future </w:t>
      </w:r>
      <w:r w:rsidR="005838FB" w:rsidRPr="003001BE">
        <w:rPr>
          <w:b/>
          <w:bCs/>
        </w:rPr>
        <w:t>options</w:t>
      </w:r>
    </w:p>
    <w:p w14:paraId="3D86F53F" w14:textId="33AB7B04" w:rsidR="006028C0" w:rsidRDefault="006028C0" w:rsidP="006028C0">
      <w:pPr>
        <w:pStyle w:val="NoSpacing"/>
        <w:jc w:val="both"/>
      </w:pPr>
      <w:r>
        <w:t>In order for CM1 to be used and recognised more broadly, there would need to be a new</w:t>
      </w:r>
      <w:r w:rsidR="00C36E80">
        <w:t>, higher,</w:t>
      </w:r>
      <w:r>
        <w:t xml:space="preserve"> level of scrutiny applied to it.</w:t>
      </w:r>
    </w:p>
    <w:p w14:paraId="35F893EB" w14:textId="77777777" w:rsidR="00A97A2C" w:rsidRPr="00C73B03" w:rsidRDefault="00A97A2C" w:rsidP="00A97A2C">
      <w:pPr>
        <w:pStyle w:val="NoSpacing"/>
        <w:jc w:val="both"/>
      </w:pPr>
    </w:p>
    <w:p w14:paraId="1C4F5C6A" w14:textId="11113D99" w:rsidR="00A97A2C" w:rsidRPr="00C73B03" w:rsidRDefault="00A97A2C" w:rsidP="00A97A2C">
      <w:pPr>
        <w:pStyle w:val="NoSpacing"/>
        <w:jc w:val="both"/>
      </w:pPr>
      <w:r w:rsidRPr="00C73B03">
        <w:t>As the name</w:t>
      </w:r>
      <w:r w:rsidR="00D877A8">
        <w:t>s</w:t>
      </w:r>
      <w:r w:rsidRPr="00C73B03">
        <w:t xml:space="preserve"> </w:t>
      </w:r>
      <w:r>
        <w:t>impl</w:t>
      </w:r>
      <w:r w:rsidR="00D877A8">
        <w:t>y</w:t>
      </w:r>
      <w:r>
        <w:t>,</w:t>
      </w:r>
      <w:r w:rsidRPr="00C73B03">
        <w:t xml:space="preserve"> </w:t>
      </w:r>
      <w:r w:rsidR="004D0062">
        <w:t>AS/NZS 4012 and AS/NZS 4013</w:t>
      </w:r>
      <w:r w:rsidRPr="00C73B03">
        <w:t xml:space="preserve"> </w:t>
      </w:r>
      <w:r w:rsidR="00E83683">
        <w:t>are</w:t>
      </w:r>
      <w:r w:rsidRPr="00C73B03">
        <w:t xml:space="preserve"> trans-Tasman standard</w:t>
      </w:r>
      <w:r w:rsidR="00E83683">
        <w:t>s</w:t>
      </w:r>
      <w:r w:rsidRPr="00C73B03">
        <w:t xml:space="preserve">.  There is currently only limited awareness in Australia of CM1.  Woodburner standards throughout Australia have historically been less stringent than in NZ, with Australia having just tightened their national standard </w:t>
      </w:r>
      <w:r w:rsidR="00F03A84">
        <w:t xml:space="preserve">in </w:t>
      </w:r>
      <w:r w:rsidR="00E56A80">
        <w:t>September</w:t>
      </w:r>
      <w:r w:rsidR="00F03A84">
        <w:t xml:space="preserve"> 2019 </w:t>
      </w:r>
      <w:r w:rsidRPr="00C73B03">
        <w:t xml:space="preserve">to a maximum emissions of 1.5 g/kg, down from </w:t>
      </w:r>
      <w:r w:rsidR="00F03A84">
        <w:t>2.5</w:t>
      </w:r>
      <w:r w:rsidRPr="00C73B03">
        <w:t xml:space="preserve"> g/kg.  </w:t>
      </w:r>
    </w:p>
    <w:p w14:paraId="2B991145" w14:textId="77777777" w:rsidR="00A97A2C" w:rsidRDefault="00A97A2C" w:rsidP="00A97A2C">
      <w:pPr>
        <w:pStyle w:val="NoSpacing"/>
        <w:ind w:left="360"/>
        <w:rPr>
          <w:rFonts w:eastAsia="Times New Roman"/>
        </w:rPr>
      </w:pPr>
    </w:p>
    <w:p w14:paraId="2A3857D7" w14:textId="6F7CE22D" w:rsidR="00A97A2C" w:rsidRPr="00D019CC" w:rsidRDefault="00A97A2C" w:rsidP="00A97A2C">
      <w:pPr>
        <w:pStyle w:val="NoSpacing"/>
        <w:jc w:val="both"/>
      </w:pPr>
      <w:r>
        <w:t xml:space="preserve">While it would be theoretically possible to develop a trans-Tasman standard based on real life testing either as a modification to </w:t>
      </w:r>
      <w:r w:rsidR="004D0062">
        <w:t>AS/NZS 4012 and AS/NZS 4013</w:t>
      </w:r>
      <w:r>
        <w:t xml:space="preserve"> or as the development of a new standard, the process would be length</w:t>
      </w:r>
      <w:r w:rsidR="00454477">
        <w:t>y</w:t>
      </w:r>
      <w:r>
        <w:t>.  CM1 has been a useful tool in Canterbury to lead the development of a new range of ULEBs</w:t>
      </w:r>
      <w:r w:rsidR="00187963">
        <w:t>.  However</w:t>
      </w:r>
      <w:r>
        <w:t xml:space="preserve">, </w:t>
      </w:r>
      <w:r w:rsidR="000E76FF">
        <w:t xml:space="preserve">any national </w:t>
      </w:r>
      <w:r w:rsidR="00752652">
        <w:t>specification</w:t>
      </w:r>
      <w:r w:rsidR="000E76FF">
        <w:t xml:space="preserve"> of</w:t>
      </w:r>
      <w:r>
        <w:t xml:space="preserve"> </w:t>
      </w:r>
      <w:r w:rsidR="00F03A84">
        <w:t>ULEB</w:t>
      </w:r>
      <w:r>
        <w:t xml:space="preserve">s would rule out many good </w:t>
      </w:r>
      <w:r w:rsidR="00993CA6">
        <w:t xml:space="preserve">heating </w:t>
      </w:r>
      <w:r>
        <w:t xml:space="preserve">options for areas not needing </w:t>
      </w:r>
      <w:proofErr w:type="gramStart"/>
      <w:r>
        <w:t>such a</w:t>
      </w:r>
      <w:proofErr w:type="gramEnd"/>
      <w:r>
        <w:t xml:space="preserve"> strict emissions level.  </w:t>
      </w:r>
    </w:p>
    <w:p w14:paraId="4E8E896E" w14:textId="77777777" w:rsidR="00A97A2C" w:rsidRPr="0075513C" w:rsidRDefault="00A97A2C" w:rsidP="0075513C">
      <w:pPr>
        <w:pStyle w:val="NoSpacing"/>
        <w:jc w:val="both"/>
      </w:pPr>
    </w:p>
    <w:p w14:paraId="2DFF8400" w14:textId="740CA057" w:rsidR="00A97A2C" w:rsidRDefault="00A97A2C" w:rsidP="00A97A2C">
      <w:pPr>
        <w:pStyle w:val="NoSpacing"/>
        <w:jc w:val="both"/>
      </w:pPr>
      <w:r>
        <w:t xml:space="preserve">Using </w:t>
      </w:r>
      <w:r w:rsidR="0068062D">
        <w:t>regulations</w:t>
      </w:r>
      <w:r>
        <w:t xml:space="preserve"> such as the </w:t>
      </w:r>
      <w:r w:rsidR="004D0062">
        <w:t>NESAQ</w:t>
      </w:r>
      <w:r w:rsidR="00A37B0A">
        <w:t>,</w:t>
      </w:r>
      <w:r>
        <w:t xml:space="preserve"> and in conjunction with </w:t>
      </w:r>
      <w:r w:rsidR="00BA0299">
        <w:t xml:space="preserve">allowable </w:t>
      </w:r>
      <w:r w:rsidR="0066627D">
        <w:t xml:space="preserve">stricter </w:t>
      </w:r>
      <w:r>
        <w:t>local air plan rules</w:t>
      </w:r>
      <w:r w:rsidR="0066627D">
        <w:t xml:space="preserve"> where </w:t>
      </w:r>
      <w:r w:rsidR="0068062D">
        <w:t>relevant</w:t>
      </w:r>
      <w:r>
        <w:t>,</w:t>
      </w:r>
      <w:r w:rsidR="00882643">
        <w:t xml:space="preserve"> standards</w:t>
      </w:r>
      <w:r>
        <w:t xml:space="preserve"> based on</w:t>
      </w:r>
      <w:r w:rsidR="00BA0299">
        <w:t xml:space="preserve"> results from</w:t>
      </w:r>
      <w:r>
        <w:t xml:space="preserve"> testing to </w:t>
      </w:r>
      <w:r w:rsidR="004D0062">
        <w:t>AS/NZS 4013</w:t>
      </w:r>
      <w:r>
        <w:t xml:space="preserve"> </w:t>
      </w:r>
      <w:r w:rsidR="00BA0299">
        <w:t>c</w:t>
      </w:r>
      <w:r w:rsidR="00D11F44">
        <w:t>ould</w:t>
      </w:r>
      <w:r>
        <w:t xml:space="preserve"> be just as effective and less </w:t>
      </w:r>
      <w:r w:rsidR="0066627D">
        <w:t xml:space="preserve">of </w:t>
      </w:r>
      <w:r w:rsidR="00D11F44">
        <w:t>a shift</w:t>
      </w:r>
      <w:r w:rsidR="00691BB6">
        <w:t xml:space="preserve"> compared with</w:t>
      </w:r>
      <w:r>
        <w:t xml:space="preserve"> moving </w:t>
      </w:r>
      <w:r w:rsidR="00B16001">
        <w:t xml:space="preserve">nationally </w:t>
      </w:r>
      <w:r>
        <w:t xml:space="preserve">to a </w:t>
      </w:r>
      <w:r w:rsidR="00691BB6">
        <w:t xml:space="preserve">test </w:t>
      </w:r>
      <w:r w:rsidR="0063678C">
        <w:t>method</w:t>
      </w:r>
      <w:r>
        <w:t xml:space="preserve"> such as CM1.</w:t>
      </w:r>
    </w:p>
    <w:p w14:paraId="1BFD9348" w14:textId="6A07FB2F" w:rsidR="00BF2414" w:rsidRDefault="00BF2414" w:rsidP="00A97A2C">
      <w:pPr>
        <w:pStyle w:val="NoSpacing"/>
        <w:jc w:val="both"/>
      </w:pPr>
    </w:p>
    <w:p w14:paraId="4F3C2599" w14:textId="04ADF0E7" w:rsidR="00BF2414" w:rsidRPr="00D019CC" w:rsidRDefault="00BF2414" w:rsidP="00A97A2C">
      <w:pPr>
        <w:pStyle w:val="NoSpacing"/>
        <w:jc w:val="both"/>
      </w:pPr>
      <w:r>
        <w:t xml:space="preserve">Another option would be to </w:t>
      </w:r>
      <w:r w:rsidR="005C6A75">
        <w:t>specify</w:t>
      </w:r>
      <w:r w:rsidR="00CD1B27">
        <w:t xml:space="preserve"> an additional burn cycle</w:t>
      </w:r>
      <w:r w:rsidR="002C1D1C">
        <w:t xml:space="preserve"> to capture the start-up </w:t>
      </w:r>
      <w:r w:rsidR="005C6A75">
        <w:t>emissions</w:t>
      </w:r>
      <w:r w:rsidR="002C1D1C">
        <w:t xml:space="preserve"> </w:t>
      </w:r>
      <w:r w:rsidR="004E03ED">
        <w:t>during AS/NZS 4013</w:t>
      </w:r>
      <w:r w:rsidR="00E87BEE">
        <w:t xml:space="preserve"> testing</w:t>
      </w:r>
      <w:r w:rsidR="00FD4DDC">
        <w:t xml:space="preserve">.  This </w:t>
      </w:r>
      <w:r w:rsidR="005C6A75">
        <w:t>could</w:t>
      </w:r>
      <w:r w:rsidR="00FD4DDC">
        <w:t xml:space="preserve"> be referred to in </w:t>
      </w:r>
      <w:r w:rsidR="00AC4737">
        <w:t xml:space="preserve">the proposed </w:t>
      </w:r>
      <w:r w:rsidR="00EE14FA">
        <w:t>amendments</w:t>
      </w:r>
      <w:r w:rsidR="00AC4737">
        <w:t xml:space="preserve"> to the </w:t>
      </w:r>
      <w:r w:rsidR="00FD4DDC">
        <w:t xml:space="preserve">NESAQ </w:t>
      </w:r>
      <w:r w:rsidR="005070E5">
        <w:t xml:space="preserve">as using </w:t>
      </w:r>
      <w:r w:rsidR="005505A0">
        <w:t>AS/NZS 4013</w:t>
      </w:r>
      <w:r w:rsidR="005070E5">
        <w:t xml:space="preserve"> for </w:t>
      </w:r>
      <w:r w:rsidR="005C6A75">
        <w:t>emissions</w:t>
      </w:r>
      <w:r w:rsidR="005070E5">
        <w:t xml:space="preserve"> testing “</w:t>
      </w:r>
      <w:r w:rsidR="00E06646">
        <w:t xml:space="preserve">with the following </w:t>
      </w:r>
      <w:r w:rsidR="005C6A75">
        <w:t>modifications</w:t>
      </w:r>
      <w:r w:rsidR="00E06646">
        <w:t>”.</w:t>
      </w:r>
    </w:p>
    <w:p w14:paraId="3E77D03D" w14:textId="306009E0" w:rsidR="00A97A2C" w:rsidRDefault="00A97A2C" w:rsidP="00A97A2C">
      <w:pPr>
        <w:pStyle w:val="NoSpacing"/>
        <w:jc w:val="both"/>
      </w:pPr>
    </w:p>
    <w:p w14:paraId="107E9BF5" w14:textId="7D73F8BF" w:rsidR="00A97A2C" w:rsidRPr="008100B6" w:rsidRDefault="00A97A2C" w:rsidP="008100B6">
      <w:pPr>
        <w:pStyle w:val="Heading3"/>
        <w:numPr>
          <w:ilvl w:val="0"/>
          <w:numId w:val="0"/>
        </w:numPr>
        <w:rPr>
          <w:b w:val="0"/>
          <w:bCs w:val="0"/>
          <w:sz w:val="20"/>
        </w:rPr>
      </w:pPr>
      <w:bookmarkStart w:id="49" w:name="_Toc34586696"/>
      <w:r w:rsidRPr="008100B6">
        <w:rPr>
          <w:b w:val="0"/>
          <w:bCs w:val="0"/>
          <w:sz w:val="20"/>
        </w:rPr>
        <w:t>3.</w:t>
      </w:r>
      <w:r w:rsidR="0049345C" w:rsidRPr="008100B6">
        <w:rPr>
          <w:b w:val="0"/>
          <w:bCs w:val="0"/>
          <w:sz w:val="20"/>
        </w:rPr>
        <w:t>9</w:t>
      </w:r>
      <w:r w:rsidRPr="008100B6">
        <w:rPr>
          <w:b w:val="0"/>
          <w:bCs w:val="0"/>
          <w:sz w:val="20"/>
        </w:rPr>
        <w:t>.</w:t>
      </w:r>
      <w:r w:rsidR="00E11C83" w:rsidRPr="008100B6">
        <w:rPr>
          <w:b w:val="0"/>
          <w:bCs w:val="0"/>
          <w:sz w:val="20"/>
        </w:rPr>
        <w:t>3</w:t>
      </w:r>
      <w:r w:rsidRPr="008100B6">
        <w:rPr>
          <w:b w:val="0"/>
          <w:bCs w:val="0"/>
          <w:sz w:val="20"/>
        </w:rPr>
        <w:t xml:space="preserve"> International</w:t>
      </w:r>
      <w:r w:rsidR="003D3D01" w:rsidRPr="008100B6">
        <w:rPr>
          <w:b w:val="0"/>
          <w:bCs w:val="0"/>
          <w:sz w:val="20"/>
        </w:rPr>
        <w:t xml:space="preserve"> – Laboratory Test Methods</w:t>
      </w:r>
      <w:bookmarkEnd w:id="49"/>
    </w:p>
    <w:p w14:paraId="33364C6E" w14:textId="77777777" w:rsidR="00B65FB8" w:rsidRDefault="00B65FB8" w:rsidP="00B65FB8">
      <w:pPr>
        <w:pStyle w:val="NoSpacing"/>
        <w:jc w:val="both"/>
      </w:pPr>
    </w:p>
    <w:p w14:paraId="12F2E3E6" w14:textId="33A68986" w:rsidR="00720AC7" w:rsidRDefault="00720AC7" w:rsidP="00B65FB8">
      <w:pPr>
        <w:pStyle w:val="NoSpacing"/>
        <w:jc w:val="both"/>
      </w:pPr>
      <w:r w:rsidRPr="00B65FB8">
        <w:t>A new European set of standards (</w:t>
      </w:r>
      <w:r w:rsidR="005E61AA" w:rsidRPr="002635F2">
        <w:t>EN 16510-1 Residential solid fuel burning appliances - Part 1: General requirements and test methods</w:t>
      </w:r>
      <w:r w:rsidRPr="00B65FB8">
        <w:t>) is being developed</w:t>
      </w:r>
      <w:r w:rsidR="00B65FB8">
        <w:t>.</w:t>
      </w:r>
      <w:r w:rsidR="00785422">
        <w:t xml:space="preserve">  </w:t>
      </w:r>
      <w:r w:rsidRPr="00B65FB8">
        <w:t>Th</w:t>
      </w:r>
      <w:r w:rsidR="00B16E19">
        <w:t>is</w:t>
      </w:r>
      <w:r w:rsidRPr="00B65FB8">
        <w:t xml:space="preserve"> standard is structured to have a set of general requirements and test methods, supplemented by specific procedures for a variety of burner types.  This recognises that some aspects of the standard should be common across all types, e.g. efficiency calculations, </w:t>
      </w:r>
      <w:r w:rsidR="007B67E2">
        <w:t>while</w:t>
      </w:r>
      <w:r w:rsidRPr="00B65FB8">
        <w:t xml:space="preserve"> other aspects are tailored to the particular requirements of a range of different heater types.</w:t>
      </w:r>
    </w:p>
    <w:p w14:paraId="7D6101D9" w14:textId="77777777" w:rsidR="00B65FB8" w:rsidRPr="00B65FB8" w:rsidRDefault="00B65FB8" w:rsidP="00B65FB8">
      <w:pPr>
        <w:pStyle w:val="NoSpacing"/>
        <w:jc w:val="both"/>
      </w:pPr>
    </w:p>
    <w:p w14:paraId="0B1DB01F" w14:textId="063B3E0A" w:rsidR="00720AC7" w:rsidRDefault="00720AC7" w:rsidP="00B65FB8">
      <w:pPr>
        <w:pStyle w:val="NoSpacing"/>
        <w:jc w:val="both"/>
      </w:pPr>
      <w:r w:rsidRPr="00B65FB8">
        <w:t>EN 16510 part 1 together with part 2 will supersede EN 13240 for roomheater</w:t>
      </w:r>
      <w:r w:rsidR="002848FE">
        <w:t>s</w:t>
      </w:r>
      <w:r w:rsidRPr="00B65FB8">
        <w:t xml:space="preserve">, EN 13229 for inset appliances, EN 12815 for cookers and EN 12809 for independent boilers. </w:t>
      </w:r>
      <w:r w:rsidR="001209C4">
        <w:t>It</w:t>
      </w:r>
      <w:r w:rsidRPr="00B65FB8">
        <w:t xml:space="preserve"> is also intended that EN 16510 </w:t>
      </w:r>
      <w:r w:rsidR="001209C4">
        <w:t>will</w:t>
      </w:r>
      <w:r w:rsidRPr="00B65FB8">
        <w:t xml:space="preserve"> replace EN 14785 for space heating appliances as well as EN 15250 for slow heat release appliances.</w:t>
      </w:r>
    </w:p>
    <w:p w14:paraId="0975EE05" w14:textId="77777777" w:rsidR="00B65FB8" w:rsidRPr="00B65FB8" w:rsidRDefault="00B65FB8" w:rsidP="00B65FB8">
      <w:pPr>
        <w:pStyle w:val="NoSpacing"/>
        <w:jc w:val="both"/>
      </w:pPr>
    </w:p>
    <w:p w14:paraId="0CFA5D45" w14:textId="77777777" w:rsidR="00720AC7" w:rsidRPr="00B65FB8" w:rsidRDefault="00720AC7" w:rsidP="00B65FB8">
      <w:pPr>
        <w:pStyle w:val="NoSpacing"/>
        <w:jc w:val="both"/>
      </w:pPr>
      <w:r w:rsidRPr="00B65FB8">
        <w:t>The structure of EN 16510, Residential solid fuel burning appliances, is as follows:</w:t>
      </w:r>
    </w:p>
    <w:p w14:paraId="7BD8E8E5" w14:textId="188DA0FB" w:rsidR="00720AC7" w:rsidRPr="00B65FB8" w:rsidRDefault="00720AC7" w:rsidP="00440E89">
      <w:pPr>
        <w:pStyle w:val="NoSpacing"/>
        <w:numPr>
          <w:ilvl w:val="0"/>
          <w:numId w:val="18"/>
        </w:numPr>
        <w:jc w:val="both"/>
      </w:pPr>
      <w:r w:rsidRPr="00B65FB8">
        <w:t>Part 1: General requirements and test methods</w:t>
      </w:r>
    </w:p>
    <w:p w14:paraId="4B6B884F" w14:textId="60DBC5DF" w:rsidR="00720AC7" w:rsidRPr="00B65FB8" w:rsidRDefault="00720AC7" w:rsidP="00440E89">
      <w:pPr>
        <w:pStyle w:val="NoSpacing"/>
        <w:numPr>
          <w:ilvl w:val="0"/>
          <w:numId w:val="18"/>
        </w:numPr>
        <w:jc w:val="both"/>
      </w:pPr>
      <w:r w:rsidRPr="00B65FB8">
        <w:t>Part 2-1: Roomheaters</w:t>
      </w:r>
    </w:p>
    <w:p w14:paraId="775926EC" w14:textId="6A42F47F" w:rsidR="00720AC7" w:rsidRPr="00B65FB8" w:rsidRDefault="00720AC7" w:rsidP="00440E89">
      <w:pPr>
        <w:pStyle w:val="NoSpacing"/>
        <w:numPr>
          <w:ilvl w:val="0"/>
          <w:numId w:val="18"/>
        </w:numPr>
        <w:jc w:val="both"/>
      </w:pPr>
      <w:r w:rsidRPr="00B65FB8">
        <w:t>Part 2-2: Inset appliances including open fires</w:t>
      </w:r>
    </w:p>
    <w:p w14:paraId="32371EFA" w14:textId="25AA88FA" w:rsidR="00720AC7" w:rsidRPr="00B65FB8" w:rsidRDefault="00720AC7" w:rsidP="00440E89">
      <w:pPr>
        <w:pStyle w:val="NoSpacing"/>
        <w:numPr>
          <w:ilvl w:val="0"/>
          <w:numId w:val="18"/>
        </w:numPr>
        <w:jc w:val="both"/>
      </w:pPr>
      <w:r w:rsidRPr="00B65FB8">
        <w:t>Part 2-3: Cookers</w:t>
      </w:r>
    </w:p>
    <w:p w14:paraId="07AC1E63" w14:textId="1A559452" w:rsidR="00720AC7" w:rsidRPr="00B65FB8" w:rsidRDefault="00720AC7" w:rsidP="00440E89">
      <w:pPr>
        <w:pStyle w:val="NoSpacing"/>
        <w:numPr>
          <w:ilvl w:val="0"/>
          <w:numId w:val="18"/>
        </w:numPr>
        <w:jc w:val="both"/>
      </w:pPr>
      <w:r w:rsidRPr="00B65FB8">
        <w:t>Part 2-4: Independent boilers — Nominal heat output up to 50 kW</w:t>
      </w:r>
    </w:p>
    <w:p w14:paraId="71166CF7" w14:textId="6027DBCA" w:rsidR="00720AC7" w:rsidRPr="00B65FB8" w:rsidRDefault="00720AC7" w:rsidP="00440E89">
      <w:pPr>
        <w:pStyle w:val="NoSpacing"/>
        <w:numPr>
          <w:ilvl w:val="0"/>
          <w:numId w:val="18"/>
        </w:numPr>
        <w:jc w:val="both"/>
      </w:pPr>
      <w:r w:rsidRPr="00B65FB8">
        <w:t>Part 2-5: Slow heat release appliances</w:t>
      </w:r>
    </w:p>
    <w:p w14:paraId="045F37FF" w14:textId="7427B197" w:rsidR="00720AC7" w:rsidRPr="00B65FB8" w:rsidRDefault="00720AC7" w:rsidP="00440E89">
      <w:pPr>
        <w:pStyle w:val="NoSpacing"/>
        <w:numPr>
          <w:ilvl w:val="0"/>
          <w:numId w:val="18"/>
        </w:numPr>
        <w:jc w:val="both"/>
      </w:pPr>
      <w:r w:rsidRPr="00B65FB8">
        <w:t>Part 2-6: Appliances fired by wood pellets</w:t>
      </w:r>
    </w:p>
    <w:p w14:paraId="53F3D347" w14:textId="77777777" w:rsidR="00720AC7" w:rsidRDefault="00720AC7" w:rsidP="00B65FB8">
      <w:pPr>
        <w:pStyle w:val="NoSpacing"/>
        <w:jc w:val="both"/>
      </w:pPr>
    </w:p>
    <w:p w14:paraId="4BFD39FC" w14:textId="1B0E475E" w:rsidR="00720AC7" w:rsidRDefault="00720AC7" w:rsidP="00B65FB8">
      <w:pPr>
        <w:pStyle w:val="NoSpacing"/>
        <w:jc w:val="both"/>
      </w:pPr>
      <w:r>
        <w:t>The benefit of this approach is that standards are tailored to the requirements of particular burner type</w:t>
      </w:r>
      <w:r w:rsidR="00785422">
        <w:t>s</w:t>
      </w:r>
      <w:r>
        <w:t>, within an overall common approach.  This contra</w:t>
      </w:r>
      <w:r w:rsidR="008D1545">
        <w:t>s</w:t>
      </w:r>
      <w:r>
        <w:t xml:space="preserve">ts with the current Australian/NZ approach of having </w:t>
      </w:r>
      <w:r w:rsidR="002F7F55">
        <w:t>different</w:t>
      </w:r>
      <w:r>
        <w:t xml:space="preserve"> standards for different burner types and</w:t>
      </w:r>
      <w:r w:rsidR="001829B7">
        <w:t>, in some cases,</w:t>
      </w:r>
      <w:r>
        <w:t xml:space="preserve"> trying to use a test method where it is not ideally suited to the burner being tested.</w:t>
      </w:r>
      <w:r w:rsidR="00153607">
        <w:t xml:space="preserve">  </w:t>
      </w:r>
      <w:r w:rsidR="00326A2B">
        <w:t xml:space="preserve">However, </w:t>
      </w:r>
      <w:r w:rsidR="00567F83">
        <w:t xml:space="preserve">the type of fuel and how it is burnt </w:t>
      </w:r>
      <w:r w:rsidR="00785422">
        <w:t xml:space="preserve">in the EN test </w:t>
      </w:r>
      <w:r w:rsidR="00567F83">
        <w:t xml:space="preserve">will </w:t>
      </w:r>
      <w:r w:rsidR="0044617D">
        <w:t>vary from NZ conditions</w:t>
      </w:r>
      <w:r w:rsidR="00C13B6D">
        <w:t>.</w:t>
      </w:r>
    </w:p>
    <w:p w14:paraId="4FCFFA4C" w14:textId="77777777" w:rsidR="00EF45BB" w:rsidRDefault="00EF45BB" w:rsidP="00EF45BB">
      <w:pPr>
        <w:pStyle w:val="NoSpacing"/>
        <w:jc w:val="both"/>
      </w:pPr>
    </w:p>
    <w:p w14:paraId="6B932829" w14:textId="1405B9FA" w:rsidR="00720AC7" w:rsidRDefault="00720AC7" w:rsidP="008100B6">
      <w:pPr>
        <w:pStyle w:val="Heading3"/>
        <w:numPr>
          <w:ilvl w:val="0"/>
          <w:numId w:val="0"/>
        </w:numPr>
        <w:rPr>
          <w:b w:val="0"/>
          <w:bCs w:val="0"/>
          <w:sz w:val="20"/>
        </w:rPr>
      </w:pPr>
      <w:bookmarkStart w:id="50" w:name="_Toc34586697"/>
      <w:r w:rsidRPr="008100B6">
        <w:rPr>
          <w:b w:val="0"/>
          <w:bCs w:val="0"/>
          <w:sz w:val="20"/>
        </w:rPr>
        <w:t>3.</w:t>
      </w:r>
      <w:r w:rsidR="0049345C" w:rsidRPr="008100B6">
        <w:rPr>
          <w:b w:val="0"/>
          <w:bCs w:val="0"/>
          <w:sz w:val="20"/>
        </w:rPr>
        <w:t>9</w:t>
      </w:r>
      <w:r w:rsidRPr="008100B6">
        <w:rPr>
          <w:b w:val="0"/>
          <w:bCs w:val="0"/>
          <w:sz w:val="20"/>
        </w:rPr>
        <w:t>.4 International – Real Life Test Methods</w:t>
      </w:r>
      <w:bookmarkEnd w:id="50"/>
    </w:p>
    <w:p w14:paraId="3ABC5BDA" w14:textId="77777777" w:rsidR="00271B78" w:rsidRPr="00271B78" w:rsidRDefault="00271B78" w:rsidP="00271B78"/>
    <w:p w14:paraId="1927380A" w14:textId="4B5FFEF7" w:rsidR="00B65FB8" w:rsidRPr="00B65FB8" w:rsidRDefault="00B65FB8" w:rsidP="00B65FB8">
      <w:pPr>
        <w:pStyle w:val="NoSpacing"/>
        <w:jc w:val="both"/>
      </w:pPr>
      <w:r w:rsidRPr="00B65FB8">
        <w:t>Internationally there is also interest in a real life emission</w:t>
      </w:r>
      <w:r w:rsidR="00E75FDE">
        <w:t>s</w:t>
      </w:r>
      <w:r w:rsidRPr="00B65FB8">
        <w:t xml:space="preserve"> testing regime with the development of the </w:t>
      </w:r>
      <w:r w:rsidR="001F3167">
        <w:t>“</w:t>
      </w:r>
      <w:r w:rsidRPr="00B65FB8">
        <w:t>BeReal</w:t>
      </w:r>
      <w:r w:rsidR="001F3167">
        <w:t>”</w:t>
      </w:r>
      <w:r w:rsidRPr="00B65FB8">
        <w:t xml:space="preserve"> test </w:t>
      </w:r>
      <w:r w:rsidR="000D5A27" w:rsidRPr="00B65FB8">
        <w:t>programme</w:t>
      </w:r>
      <w:r w:rsidRPr="00B65FB8">
        <w:t xml:space="preserve"> in Europe. This is based on</w:t>
      </w:r>
      <w:r w:rsidRPr="00916FDA">
        <w:t xml:space="preserve"> the need for refined testing procedures in order to differentiate between poor and excellent products</w:t>
      </w:r>
      <w:r w:rsidRPr="00B65FB8">
        <w:t xml:space="preserve"> based on</w:t>
      </w:r>
      <w:r w:rsidRPr="00916FDA">
        <w:t xml:space="preserve"> operating conditions as they are found in real life installations. </w:t>
      </w:r>
    </w:p>
    <w:p w14:paraId="109DA663" w14:textId="77777777" w:rsidR="00B65FB8" w:rsidRPr="00B65FB8" w:rsidRDefault="00B65FB8" w:rsidP="00B65FB8">
      <w:pPr>
        <w:pStyle w:val="NoSpacing"/>
        <w:jc w:val="both"/>
      </w:pPr>
    </w:p>
    <w:p w14:paraId="39E0C04F" w14:textId="0FE45B9A" w:rsidR="0087043E" w:rsidRDefault="00E924E4" w:rsidP="00157661">
      <w:pPr>
        <w:spacing w:before="0" w:after="200" w:line="276" w:lineRule="auto"/>
        <w:jc w:val="left"/>
      </w:pPr>
      <w:r>
        <w:br w:type="page"/>
      </w:r>
      <w:r w:rsidR="00B65FB8">
        <w:lastRenderedPageBreak/>
        <w:t xml:space="preserve">The key </w:t>
      </w:r>
      <w:r w:rsidR="000D5A27">
        <w:t>objective</w:t>
      </w:r>
      <w:r w:rsidR="00B65FB8">
        <w:t xml:space="preserve"> of BeReal are:</w:t>
      </w:r>
      <w:r w:rsidR="0087043E">
        <w:t xml:space="preserve"> </w:t>
      </w:r>
    </w:p>
    <w:p w14:paraId="533D020F" w14:textId="77777777" w:rsidR="00B65FB8" w:rsidRPr="00916FDA" w:rsidRDefault="00B65FB8" w:rsidP="00440E89">
      <w:pPr>
        <w:pStyle w:val="NoSpacing"/>
        <w:numPr>
          <w:ilvl w:val="0"/>
          <w:numId w:val="18"/>
        </w:numPr>
        <w:jc w:val="both"/>
      </w:pPr>
      <w:r w:rsidRPr="00916FDA">
        <w:t>Development of advanced testing methods for room biomass heating appliances to better reflect real life operation</w:t>
      </w:r>
    </w:p>
    <w:p w14:paraId="6684DCF4" w14:textId="3E9C2DD6" w:rsidR="00B65FB8" w:rsidRPr="00916FDA" w:rsidRDefault="00B65FB8" w:rsidP="00440E89">
      <w:pPr>
        <w:pStyle w:val="NoSpacing"/>
        <w:numPr>
          <w:ilvl w:val="0"/>
          <w:numId w:val="18"/>
        </w:numPr>
        <w:jc w:val="both"/>
      </w:pPr>
      <w:r w:rsidRPr="00916FDA">
        <w:t>Development of a centrali</w:t>
      </w:r>
      <w:r w:rsidR="00157661">
        <w:t>s</w:t>
      </w:r>
      <w:r w:rsidRPr="00916FDA">
        <w:t>ed standard evaluation tool for quality assurance purposes</w:t>
      </w:r>
    </w:p>
    <w:p w14:paraId="121D5EE0" w14:textId="77777777" w:rsidR="00B65FB8" w:rsidRPr="00916FDA" w:rsidRDefault="00B65FB8" w:rsidP="00440E89">
      <w:pPr>
        <w:pStyle w:val="NoSpacing"/>
        <w:numPr>
          <w:ilvl w:val="0"/>
          <w:numId w:val="18"/>
        </w:numPr>
        <w:jc w:val="both"/>
      </w:pPr>
      <w:r w:rsidRPr="00916FDA">
        <w:t>Validation of methods at an early stage of development</w:t>
      </w:r>
    </w:p>
    <w:p w14:paraId="0BCD6FE0" w14:textId="77777777" w:rsidR="00B65FB8" w:rsidRPr="00916FDA" w:rsidRDefault="00B65FB8" w:rsidP="00440E89">
      <w:pPr>
        <w:pStyle w:val="NoSpacing"/>
        <w:numPr>
          <w:ilvl w:val="0"/>
          <w:numId w:val="18"/>
        </w:numPr>
        <w:jc w:val="both"/>
      </w:pPr>
      <w:r w:rsidRPr="00916FDA">
        <w:t>Proof of real life impact of advanced products by field test demonstration</w:t>
      </w:r>
    </w:p>
    <w:p w14:paraId="63499633" w14:textId="77777777" w:rsidR="00B65FB8" w:rsidRPr="00916FDA" w:rsidRDefault="00B65FB8" w:rsidP="00440E89">
      <w:pPr>
        <w:pStyle w:val="NoSpacing"/>
        <w:numPr>
          <w:ilvl w:val="0"/>
          <w:numId w:val="18"/>
        </w:numPr>
        <w:jc w:val="both"/>
      </w:pPr>
      <w:r w:rsidRPr="00916FDA">
        <w:t>Proof of reliability and reproducibility of testing methods and evaluation tools through a Round Robin test</w:t>
      </w:r>
    </w:p>
    <w:p w14:paraId="19141AB7" w14:textId="77777777" w:rsidR="00B65FB8" w:rsidRPr="00916FDA" w:rsidRDefault="00B65FB8" w:rsidP="00440E89">
      <w:pPr>
        <w:pStyle w:val="NoSpacing"/>
        <w:numPr>
          <w:ilvl w:val="0"/>
          <w:numId w:val="18"/>
        </w:numPr>
        <w:jc w:val="both"/>
      </w:pPr>
      <w:r w:rsidRPr="00916FDA">
        <w:t>Development and introduction of a quality label based on the novel testing methods</w:t>
      </w:r>
    </w:p>
    <w:p w14:paraId="25E01C42" w14:textId="77777777" w:rsidR="00B65FB8" w:rsidRDefault="00B65FB8" w:rsidP="00B65FB8">
      <w:pPr>
        <w:pStyle w:val="NoSpacing"/>
        <w:jc w:val="both"/>
      </w:pPr>
    </w:p>
    <w:p w14:paraId="33519F72" w14:textId="003BF9C6" w:rsidR="00B65FB8" w:rsidRDefault="00B65FB8" w:rsidP="00B65FB8">
      <w:pPr>
        <w:pStyle w:val="NoSpacing"/>
        <w:jc w:val="both"/>
      </w:pPr>
      <w:r>
        <w:t>The September 2018 IEA report on the BeReal project concludes that an implementation of a real-life reflecting test protocol (e.g. BeReal) as a quality label or standard should be considered as an instrument to push technological development further towards optimi</w:t>
      </w:r>
      <w:r w:rsidR="00B701A4">
        <w:t>s</w:t>
      </w:r>
      <w:r>
        <w:t>ed real-life operation. Additionally, this would also enable a better differentiation of good and poor products for the end customer regarding typical real-life use. The use of a real-life oriented test protocol for determination of emission factors seems possible, but needs further investigations.</w:t>
      </w:r>
    </w:p>
    <w:p w14:paraId="436EEA6F" w14:textId="77777777" w:rsidR="000F5E74" w:rsidRPr="00FD5F6A" w:rsidRDefault="000F5E74" w:rsidP="000B1079">
      <w:pPr>
        <w:rPr>
          <w:b/>
          <w:bCs/>
        </w:rPr>
      </w:pPr>
    </w:p>
    <w:p w14:paraId="5E63D1E5" w14:textId="590087E9" w:rsidR="00DF1618" w:rsidRPr="00227625" w:rsidRDefault="00F45F63" w:rsidP="00CE627E">
      <w:pPr>
        <w:pStyle w:val="Heading2"/>
        <w:numPr>
          <w:ilvl w:val="1"/>
          <w:numId w:val="6"/>
        </w:numPr>
        <w:ind w:left="1134" w:hanging="774"/>
        <w:rPr>
          <w:sz w:val="22"/>
          <w:szCs w:val="22"/>
        </w:rPr>
      </w:pPr>
      <w:bookmarkStart w:id="51" w:name="_Ref31871502"/>
      <w:bookmarkStart w:id="52" w:name="_Ref31871569"/>
      <w:bookmarkStart w:id="53" w:name="_Ref31871607"/>
      <w:bookmarkStart w:id="54" w:name="_Toc34586698"/>
      <w:r>
        <w:rPr>
          <w:sz w:val="22"/>
          <w:szCs w:val="22"/>
        </w:rPr>
        <w:t>C</w:t>
      </w:r>
      <w:r w:rsidR="00DF1618" w:rsidRPr="00227625">
        <w:rPr>
          <w:sz w:val="22"/>
          <w:szCs w:val="22"/>
        </w:rPr>
        <w:t>ommentary on real life emissions from solid fuel burners vs their laboratory test results and trends over time</w:t>
      </w:r>
      <w:bookmarkEnd w:id="51"/>
      <w:bookmarkEnd w:id="52"/>
      <w:bookmarkEnd w:id="53"/>
      <w:bookmarkEnd w:id="54"/>
    </w:p>
    <w:p w14:paraId="75DF81F5" w14:textId="77777777" w:rsidR="00D73461" w:rsidRDefault="00D73461" w:rsidP="00EC0A04">
      <w:pPr>
        <w:pStyle w:val="NoSpacing"/>
        <w:ind w:left="360"/>
        <w:rPr>
          <w:rFonts w:eastAsia="Times New Roman"/>
        </w:rPr>
      </w:pPr>
    </w:p>
    <w:p w14:paraId="01BD798D" w14:textId="742C3978" w:rsidR="009B38E8" w:rsidRPr="00D019CC" w:rsidRDefault="009B38E8" w:rsidP="00D019CC">
      <w:pPr>
        <w:pStyle w:val="NoSpacing"/>
        <w:jc w:val="both"/>
      </w:pPr>
      <w:r w:rsidRPr="00D019CC">
        <w:t xml:space="preserve">It has been known for some time that </w:t>
      </w:r>
      <w:r w:rsidR="00A52AF1" w:rsidRPr="00D019CC">
        <w:t>actual</w:t>
      </w:r>
      <w:r w:rsidR="00AE7AC9" w:rsidRPr="00D019CC">
        <w:t xml:space="preserve"> emissions from woodburners </w:t>
      </w:r>
      <w:r w:rsidR="00D25276">
        <w:t>a</w:t>
      </w:r>
      <w:r w:rsidR="0023752A" w:rsidRPr="00D019CC">
        <w:t xml:space="preserve">re </w:t>
      </w:r>
      <w:r w:rsidR="00A52AF1" w:rsidRPr="00D019CC">
        <w:t>several</w:t>
      </w:r>
      <w:r w:rsidR="0023752A" w:rsidRPr="00D019CC">
        <w:t xml:space="preserve"> times </w:t>
      </w:r>
      <w:r w:rsidR="00A52AF1" w:rsidRPr="00D019CC">
        <w:t>higher</w:t>
      </w:r>
      <w:r w:rsidR="0023752A" w:rsidRPr="00D019CC">
        <w:t xml:space="preserve"> than those determined through laboratory testing to </w:t>
      </w:r>
      <w:r w:rsidR="004D0062">
        <w:t>AS/NZS 4013</w:t>
      </w:r>
      <w:r w:rsidR="0023752A" w:rsidRPr="00D019CC">
        <w:t xml:space="preserve"> and its </w:t>
      </w:r>
      <w:r w:rsidR="00A52AF1" w:rsidRPr="00D019CC">
        <w:t>predecessors</w:t>
      </w:r>
      <w:r w:rsidR="0023752A" w:rsidRPr="00D019CC">
        <w:t>.</w:t>
      </w:r>
    </w:p>
    <w:p w14:paraId="523D6AE8" w14:textId="77777777" w:rsidR="0023752A" w:rsidRPr="00D019CC" w:rsidRDefault="0023752A" w:rsidP="00D019CC">
      <w:pPr>
        <w:pStyle w:val="NoSpacing"/>
        <w:jc w:val="both"/>
      </w:pPr>
    </w:p>
    <w:p w14:paraId="0A6D0D7A" w14:textId="1C610830" w:rsidR="00D60B0E" w:rsidRPr="00D019CC" w:rsidRDefault="00B35FE9" w:rsidP="00D019CC">
      <w:pPr>
        <w:pStyle w:val="NoSpacing"/>
        <w:jc w:val="both"/>
      </w:pPr>
      <w:r w:rsidRPr="00D019CC">
        <w:t xml:space="preserve">As mentioned in section </w:t>
      </w:r>
      <w:r w:rsidR="0049375D">
        <w:fldChar w:fldCharType="begin"/>
      </w:r>
      <w:r w:rsidR="0049375D">
        <w:instrText xml:space="preserve"> REF _Ref31874223 \r \h </w:instrText>
      </w:r>
      <w:r w:rsidR="0049375D">
        <w:fldChar w:fldCharType="separate"/>
      </w:r>
      <w:r w:rsidR="00CD682F">
        <w:t>3.2</w:t>
      </w:r>
      <w:r w:rsidR="0049375D">
        <w:fldChar w:fldCharType="end"/>
      </w:r>
      <w:r w:rsidRPr="00D019CC">
        <w:t xml:space="preserve">, </w:t>
      </w:r>
      <w:r w:rsidR="001E5022" w:rsidRPr="00D019CC">
        <w:t xml:space="preserve">laboratory results from testing to </w:t>
      </w:r>
      <w:r w:rsidR="004D0062">
        <w:t>AS/NZS 4012 and AS/NZS 4013</w:t>
      </w:r>
      <w:r w:rsidR="001E5022" w:rsidRPr="00D019CC">
        <w:t xml:space="preserve"> </w:t>
      </w:r>
      <w:r w:rsidR="00861417" w:rsidRPr="00D019CC">
        <w:t xml:space="preserve">are based on </w:t>
      </w:r>
      <w:r w:rsidR="00D74570" w:rsidRPr="00D019CC">
        <w:t>t</w:t>
      </w:r>
      <w:r w:rsidR="00861417" w:rsidRPr="00D019CC">
        <w:t>est</w:t>
      </w:r>
      <w:r w:rsidR="00053557" w:rsidRPr="00D019CC">
        <w:t>ing</w:t>
      </w:r>
      <w:r w:rsidR="00861417" w:rsidRPr="00D019CC">
        <w:t xml:space="preserve"> </w:t>
      </w:r>
      <w:r w:rsidR="004E42C4" w:rsidRPr="00D019CC">
        <w:t xml:space="preserve">under ideal circumstances </w:t>
      </w:r>
      <w:r w:rsidR="00D74570" w:rsidRPr="00D019CC">
        <w:t>using</w:t>
      </w:r>
      <w:r w:rsidR="004E42C4" w:rsidRPr="00D019CC">
        <w:t xml:space="preserve"> kiln </w:t>
      </w:r>
      <w:r w:rsidR="001D29C3" w:rsidRPr="00D019CC">
        <w:t>dried</w:t>
      </w:r>
      <w:r w:rsidR="004E42C4" w:rsidRPr="00D019CC">
        <w:t xml:space="preserve"> </w:t>
      </w:r>
      <w:r w:rsidR="00DC0F17">
        <w:t xml:space="preserve">test </w:t>
      </w:r>
      <w:r w:rsidR="00A26194" w:rsidRPr="00D019CC">
        <w:t xml:space="preserve">firewood and excluding </w:t>
      </w:r>
      <w:r w:rsidR="00D74570" w:rsidRPr="00D019CC">
        <w:t>the</w:t>
      </w:r>
      <w:r w:rsidR="00A26194" w:rsidRPr="00D019CC">
        <w:t xml:space="preserve"> </w:t>
      </w:r>
      <w:r w:rsidR="001D29C3" w:rsidRPr="00D019CC">
        <w:t>relatively</w:t>
      </w:r>
      <w:r w:rsidR="00A26194" w:rsidRPr="00D019CC">
        <w:t xml:space="preserve"> dirty </w:t>
      </w:r>
      <w:r w:rsidR="001D29C3" w:rsidRPr="00D019CC">
        <w:t>period</w:t>
      </w:r>
      <w:r w:rsidR="00A26194" w:rsidRPr="00D019CC">
        <w:t xml:space="preserve"> of start-up </w:t>
      </w:r>
      <w:r w:rsidR="00D74570" w:rsidRPr="00D019CC">
        <w:t>emissions</w:t>
      </w:r>
      <w:r w:rsidR="00A26194" w:rsidRPr="00D019CC">
        <w:t>.</w:t>
      </w:r>
      <w:r w:rsidR="00B6551E" w:rsidRPr="00D019CC">
        <w:t xml:space="preserve">  This </w:t>
      </w:r>
      <w:r w:rsidR="00053557" w:rsidRPr="00D019CC">
        <w:t xml:space="preserve">discrepancy </w:t>
      </w:r>
      <w:r w:rsidR="00B6551E" w:rsidRPr="00D019CC">
        <w:t xml:space="preserve">does not represent a </w:t>
      </w:r>
      <w:r w:rsidR="00B10C53" w:rsidRPr="00D019CC">
        <w:t>failing</w:t>
      </w:r>
      <w:r w:rsidR="00B6551E" w:rsidRPr="00D019CC">
        <w:t xml:space="preserve"> o</w:t>
      </w:r>
      <w:r w:rsidR="0031334B" w:rsidRPr="00D019CC">
        <w:t>f</w:t>
      </w:r>
      <w:r w:rsidR="00B6551E" w:rsidRPr="00D019CC">
        <w:t xml:space="preserve"> the test </w:t>
      </w:r>
      <w:r w:rsidR="00B10C53" w:rsidRPr="00D019CC">
        <w:t>method</w:t>
      </w:r>
      <w:r w:rsidR="00B6551E" w:rsidRPr="00D019CC">
        <w:t xml:space="preserve">, but rather </w:t>
      </w:r>
      <w:r w:rsidR="001D29C3" w:rsidRPr="00D019CC">
        <w:t>recognises</w:t>
      </w:r>
      <w:r w:rsidR="00FF2484" w:rsidRPr="00D019CC">
        <w:t xml:space="preserve"> that the purpose of </w:t>
      </w:r>
      <w:r w:rsidR="004D0062">
        <w:t>AS/NZS 4012 and AS/NZS 4013</w:t>
      </w:r>
      <w:r w:rsidR="00FF2484" w:rsidRPr="00D019CC">
        <w:t xml:space="preserve"> is to provide a </w:t>
      </w:r>
      <w:r w:rsidR="00D25276">
        <w:t xml:space="preserve">reliable and </w:t>
      </w:r>
      <w:r w:rsidR="000E5EB3" w:rsidRPr="00D019CC">
        <w:t>reproducible</w:t>
      </w:r>
      <w:r w:rsidR="00FE57E8" w:rsidRPr="00D019CC">
        <w:t xml:space="preserve"> </w:t>
      </w:r>
      <w:r w:rsidR="00FF2484" w:rsidRPr="00D019CC">
        <w:t xml:space="preserve">basis of </w:t>
      </w:r>
      <w:r w:rsidR="00B10C53" w:rsidRPr="00D019CC">
        <w:t>comparison</w:t>
      </w:r>
      <w:r w:rsidR="00FF2484" w:rsidRPr="00D019CC">
        <w:t xml:space="preserve"> between dif</w:t>
      </w:r>
      <w:r w:rsidR="001D29C3" w:rsidRPr="00D019CC">
        <w:t>ferent</w:t>
      </w:r>
      <w:r w:rsidR="00FF2484" w:rsidRPr="00D019CC">
        <w:t xml:space="preserve"> burners </w:t>
      </w:r>
      <w:r w:rsidR="004111D1" w:rsidRPr="00D019CC">
        <w:t>and</w:t>
      </w:r>
      <w:r w:rsidR="00FF2484" w:rsidRPr="00D019CC">
        <w:t xml:space="preserve"> </w:t>
      </w:r>
      <w:r w:rsidR="00A92219" w:rsidRPr="00D019CC">
        <w:t xml:space="preserve">for excluding certain </w:t>
      </w:r>
      <w:r w:rsidR="004111D1" w:rsidRPr="00D019CC">
        <w:t>burners</w:t>
      </w:r>
      <w:r w:rsidR="00A92219" w:rsidRPr="00D019CC">
        <w:t xml:space="preserve"> that </w:t>
      </w:r>
      <w:r w:rsidR="00201501" w:rsidRPr="00D019CC">
        <w:t xml:space="preserve">fail to meet a </w:t>
      </w:r>
      <w:r w:rsidR="00CD4AB7">
        <w:t>specified</w:t>
      </w:r>
      <w:r w:rsidR="007C19E7">
        <w:t xml:space="preserve"> </w:t>
      </w:r>
      <w:r w:rsidR="004111D1" w:rsidRPr="00D019CC">
        <w:t>criterion</w:t>
      </w:r>
      <w:r w:rsidR="00201501" w:rsidRPr="00D019CC">
        <w:t xml:space="preserve"> for the p</w:t>
      </w:r>
      <w:r w:rsidR="001D29C3" w:rsidRPr="00D019CC">
        <w:t>urpo</w:t>
      </w:r>
      <w:r w:rsidR="00201501" w:rsidRPr="00D019CC">
        <w:t xml:space="preserve">ses of </w:t>
      </w:r>
      <w:r w:rsidR="004111D1" w:rsidRPr="00D019CC">
        <w:t>authorisation</w:t>
      </w:r>
      <w:r w:rsidR="00201501" w:rsidRPr="00D019CC">
        <w:t>.  It is not intended to in</w:t>
      </w:r>
      <w:r w:rsidR="004111D1" w:rsidRPr="00D019CC">
        <w:t>di</w:t>
      </w:r>
      <w:r w:rsidR="00201501" w:rsidRPr="00D019CC">
        <w:t xml:space="preserve">cate what </w:t>
      </w:r>
      <w:r w:rsidR="004111D1" w:rsidRPr="00D019CC">
        <w:t>emissions</w:t>
      </w:r>
      <w:r w:rsidR="00201501" w:rsidRPr="00D019CC">
        <w:t xml:space="preserve"> may be under real life </w:t>
      </w:r>
      <w:r w:rsidR="004111D1" w:rsidRPr="00D019CC">
        <w:t>operating</w:t>
      </w:r>
      <w:r w:rsidR="00201501" w:rsidRPr="00D019CC">
        <w:t xml:space="preserve"> conditions.</w:t>
      </w:r>
    </w:p>
    <w:p w14:paraId="744B6340" w14:textId="77777777" w:rsidR="00D60B0E" w:rsidRPr="00D019CC" w:rsidRDefault="00D60B0E" w:rsidP="00D019CC">
      <w:pPr>
        <w:pStyle w:val="NoSpacing"/>
        <w:jc w:val="both"/>
      </w:pPr>
    </w:p>
    <w:p w14:paraId="0F0B7C50" w14:textId="33747986" w:rsidR="001A164B" w:rsidRPr="00D019CC" w:rsidRDefault="00D60B0E" w:rsidP="00D019CC">
      <w:pPr>
        <w:pStyle w:val="NoSpacing"/>
        <w:jc w:val="both"/>
      </w:pPr>
      <w:r w:rsidRPr="00D019CC">
        <w:t xml:space="preserve">There have been </w:t>
      </w:r>
      <w:r w:rsidR="00286FB2" w:rsidRPr="00D019CC">
        <w:t xml:space="preserve">six </w:t>
      </w:r>
      <w:r w:rsidR="00A52AF1" w:rsidRPr="00D019CC">
        <w:t>studies</w:t>
      </w:r>
      <w:r w:rsidRPr="00D019CC">
        <w:t xml:space="preserve"> carried out in NZ </w:t>
      </w:r>
      <w:r w:rsidR="002B068A" w:rsidRPr="00D019CC">
        <w:t>over</w:t>
      </w:r>
      <w:r w:rsidRPr="00D019CC">
        <w:t xml:space="preserve"> the last </w:t>
      </w:r>
      <w:r w:rsidR="00051974" w:rsidRPr="00D019CC">
        <w:t>14</w:t>
      </w:r>
      <w:r w:rsidRPr="00D019CC">
        <w:t xml:space="preserve"> years to </w:t>
      </w:r>
      <w:r w:rsidR="00574B3B" w:rsidRPr="00D019CC">
        <w:t xml:space="preserve">assess emission levels </w:t>
      </w:r>
      <w:r w:rsidR="006D5316" w:rsidRPr="00D019CC">
        <w:t xml:space="preserve">of </w:t>
      </w:r>
      <w:r w:rsidR="00A52AF1" w:rsidRPr="00D019CC">
        <w:t>woodburners</w:t>
      </w:r>
      <w:r w:rsidR="00051974" w:rsidRPr="00D019CC">
        <w:t xml:space="preserve"> in </w:t>
      </w:r>
      <w:r w:rsidR="002B068A" w:rsidRPr="00D019CC">
        <w:t>real</w:t>
      </w:r>
      <w:r w:rsidR="006D5316" w:rsidRPr="00D019CC">
        <w:t xml:space="preserve"> life through the use of in-situ </w:t>
      </w:r>
      <w:r w:rsidR="002B068A" w:rsidRPr="00D019CC">
        <w:t>emissions</w:t>
      </w:r>
      <w:r w:rsidR="006D5316" w:rsidRPr="00D019CC">
        <w:t xml:space="preserve"> measurement</w:t>
      </w:r>
      <w:r w:rsidR="00051974" w:rsidRPr="00D019CC">
        <w:t xml:space="preserve"> and then to compare the</w:t>
      </w:r>
      <w:r w:rsidR="00A52AF1" w:rsidRPr="00D019CC">
        <w:t>s</w:t>
      </w:r>
      <w:r w:rsidR="00051974" w:rsidRPr="00D019CC">
        <w:t xml:space="preserve">e </w:t>
      </w:r>
      <w:r w:rsidR="00A52AF1" w:rsidRPr="00D019CC">
        <w:t>results</w:t>
      </w:r>
      <w:r w:rsidR="00051974" w:rsidRPr="00D019CC">
        <w:t xml:space="preserve"> against the relevant laboratory test </w:t>
      </w:r>
      <w:r w:rsidR="00A52AF1" w:rsidRPr="00D019CC">
        <w:t>results</w:t>
      </w:r>
      <w:r w:rsidR="006D5316" w:rsidRPr="00D019CC">
        <w:t>.</w:t>
      </w:r>
    </w:p>
    <w:p w14:paraId="2E52DECB" w14:textId="77777777" w:rsidR="00A17037" w:rsidRDefault="00A17037" w:rsidP="00D019CC">
      <w:pPr>
        <w:pStyle w:val="NoSpacing"/>
        <w:jc w:val="both"/>
      </w:pPr>
    </w:p>
    <w:p w14:paraId="5C15CBA6" w14:textId="15AD2436" w:rsidR="001207CF" w:rsidRPr="00D019CC" w:rsidRDefault="00EA745E" w:rsidP="00D019CC">
      <w:pPr>
        <w:pStyle w:val="NoSpacing"/>
        <w:jc w:val="both"/>
      </w:pPr>
      <w:r w:rsidRPr="00D019CC">
        <w:t xml:space="preserve">The first four studies were </w:t>
      </w:r>
      <w:r w:rsidR="00A52AF1" w:rsidRPr="00D019CC">
        <w:t>carried</w:t>
      </w:r>
      <w:r w:rsidRPr="00D019CC">
        <w:t xml:space="preserve"> out on </w:t>
      </w:r>
      <w:r w:rsidR="004D0062">
        <w:t>NESAQ</w:t>
      </w:r>
      <w:r w:rsidRPr="00D019CC">
        <w:t xml:space="preserve"> compli</w:t>
      </w:r>
      <w:r w:rsidR="00E878A8">
        <w:t>a</w:t>
      </w:r>
      <w:r w:rsidRPr="00D019CC">
        <w:t xml:space="preserve">nt </w:t>
      </w:r>
      <w:r w:rsidR="00A52AF1" w:rsidRPr="00D019CC">
        <w:t>burners</w:t>
      </w:r>
      <w:r w:rsidRPr="00D019CC">
        <w:t xml:space="preserve"> (</w:t>
      </w:r>
      <w:r w:rsidR="00A52AF1" w:rsidRPr="00D019CC">
        <w:t>emissions</w:t>
      </w:r>
      <w:r w:rsidRPr="00D019CC">
        <w:t xml:space="preserve"> &lt;=1.5g/kg)</w:t>
      </w:r>
      <w:r w:rsidR="006841F4" w:rsidRPr="00D019CC">
        <w:t>, as follows:</w:t>
      </w:r>
    </w:p>
    <w:p w14:paraId="7BB3FAE1" w14:textId="42AC8A17" w:rsidR="00330F46" w:rsidRDefault="00330F46" w:rsidP="00EC0A04">
      <w:pPr>
        <w:pStyle w:val="NoSpacing"/>
        <w:ind w:left="360"/>
        <w:rPr>
          <w:rFonts w:eastAsia="Times New Roman"/>
        </w:rPr>
      </w:pPr>
    </w:p>
    <w:p w14:paraId="2495C09D" w14:textId="2F4D514A" w:rsidR="006841F4" w:rsidRPr="00EA2B3D" w:rsidRDefault="00314BB0" w:rsidP="00314BB0">
      <w:pPr>
        <w:pStyle w:val="Caption"/>
        <w:rPr>
          <w:sz w:val="22"/>
          <w:szCs w:val="22"/>
        </w:rPr>
      </w:pPr>
      <w:bookmarkStart w:id="55" w:name="_Ref31884665"/>
      <w:r w:rsidRPr="00EA2B3D">
        <w:rPr>
          <w:sz w:val="22"/>
          <w:szCs w:val="22"/>
        </w:rPr>
        <w:t xml:space="preserve">Table </w:t>
      </w:r>
      <w:r w:rsidRPr="00EA2B3D">
        <w:rPr>
          <w:sz w:val="22"/>
          <w:szCs w:val="22"/>
        </w:rPr>
        <w:fldChar w:fldCharType="begin"/>
      </w:r>
      <w:r w:rsidRPr="00EA2B3D">
        <w:rPr>
          <w:sz w:val="22"/>
          <w:szCs w:val="22"/>
        </w:rPr>
        <w:instrText xml:space="preserve"> SEQ Table \* ARABIC </w:instrText>
      </w:r>
      <w:r w:rsidRPr="00EA2B3D">
        <w:rPr>
          <w:sz w:val="22"/>
          <w:szCs w:val="22"/>
        </w:rPr>
        <w:fldChar w:fldCharType="separate"/>
      </w:r>
      <w:r w:rsidR="00CD682F">
        <w:rPr>
          <w:noProof/>
          <w:sz w:val="22"/>
          <w:szCs w:val="22"/>
        </w:rPr>
        <w:t>6</w:t>
      </w:r>
      <w:r w:rsidRPr="00EA2B3D">
        <w:rPr>
          <w:sz w:val="22"/>
          <w:szCs w:val="22"/>
        </w:rPr>
        <w:fldChar w:fldCharType="end"/>
      </w:r>
      <w:bookmarkEnd w:id="55"/>
      <w:r w:rsidRPr="00EA2B3D">
        <w:rPr>
          <w:sz w:val="22"/>
          <w:szCs w:val="22"/>
        </w:rPr>
        <w:t xml:space="preserve">: </w:t>
      </w:r>
      <w:r w:rsidR="001E08B0" w:rsidRPr="001E08B0">
        <w:rPr>
          <w:sz w:val="22"/>
          <w:szCs w:val="22"/>
        </w:rPr>
        <w:t>Real Life Emissions Trials of LEBs</w:t>
      </w:r>
    </w:p>
    <w:tbl>
      <w:tblPr>
        <w:tblStyle w:val="TableGrid"/>
        <w:tblW w:w="0" w:type="auto"/>
        <w:tblInd w:w="360" w:type="dxa"/>
        <w:tblLook w:val="04A0" w:firstRow="1" w:lastRow="0" w:firstColumn="1" w:lastColumn="0" w:noHBand="0" w:noVBand="1"/>
      </w:tblPr>
      <w:tblGrid>
        <w:gridCol w:w="1501"/>
        <w:gridCol w:w="2961"/>
        <w:gridCol w:w="1977"/>
      </w:tblGrid>
      <w:tr w:rsidR="00B57040" w:rsidRPr="00B57040" w14:paraId="55B06AFC" w14:textId="77777777" w:rsidTr="00B57040">
        <w:tc>
          <w:tcPr>
            <w:tcW w:w="1501" w:type="dxa"/>
          </w:tcPr>
          <w:p w14:paraId="4BFB9869" w14:textId="799FA63E" w:rsidR="00B57040" w:rsidRPr="00B57040" w:rsidRDefault="00B57040" w:rsidP="00B57040">
            <w:pPr>
              <w:pStyle w:val="NoSpacing"/>
              <w:jc w:val="center"/>
              <w:rPr>
                <w:rFonts w:eastAsia="Times New Roman"/>
                <w:b/>
                <w:bCs/>
              </w:rPr>
            </w:pPr>
            <w:r w:rsidRPr="00B57040">
              <w:rPr>
                <w:rFonts w:eastAsia="Times New Roman"/>
                <w:b/>
                <w:bCs/>
              </w:rPr>
              <w:t xml:space="preserve">Year of </w:t>
            </w:r>
            <w:r w:rsidR="00A52AF1" w:rsidRPr="00B57040">
              <w:rPr>
                <w:rFonts w:eastAsia="Times New Roman"/>
                <w:b/>
                <w:bCs/>
              </w:rPr>
              <w:t>study</w:t>
            </w:r>
          </w:p>
        </w:tc>
        <w:tc>
          <w:tcPr>
            <w:tcW w:w="2961" w:type="dxa"/>
          </w:tcPr>
          <w:p w14:paraId="0E12D3FB" w14:textId="0FAE1DF5" w:rsidR="00B57040" w:rsidRPr="00B57040" w:rsidRDefault="00B57040" w:rsidP="00B57040">
            <w:pPr>
              <w:pStyle w:val="NoSpacing"/>
              <w:jc w:val="center"/>
              <w:rPr>
                <w:rFonts w:eastAsia="Times New Roman"/>
                <w:b/>
                <w:bCs/>
              </w:rPr>
            </w:pPr>
            <w:r w:rsidRPr="00B57040">
              <w:rPr>
                <w:rFonts w:eastAsia="Times New Roman"/>
                <w:b/>
                <w:bCs/>
              </w:rPr>
              <w:t>Location</w:t>
            </w:r>
          </w:p>
        </w:tc>
        <w:tc>
          <w:tcPr>
            <w:tcW w:w="1977" w:type="dxa"/>
          </w:tcPr>
          <w:p w14:paraId="035B03E0" w14:textId="5BEED34A" w:rsidR="00B57040" w:rsidRPr="00B57040" w:rsidRDefault="00B57040" w:rsidP="00B57040">
            <w:pPr>
              <w:pStyle w:val="NoSpacing"/>
              <w:jc w:val="center"/>
              <w:rPr>
                <w:rFonts w:eastAsia="Times New Roman"/>
                <w:b/>
                <w:bCs/>
              </w:rPr>
            </w:pPr>
            <w:r w:rsidRPr="00B57040">
              <w:rPr>
                <w:rFonts w:eastAsia="Times New Roman"/>
                <w:b/>
                <w:bCs/>
              </w:rPr>
              <w:t xml:space="preserve">Average </w:t>
            </w:r>
            <w:r w:rsidR="00484E84">
              <w:rPr>
                <w:rFonts w:eastAsia="Times New Roman"/>
                <w:b/>
                <w:bCs/>
              </w:rPr>
              <w:t xml:space="preserve">real life </w:t>
            </w:r>
            <w:r w:rsidR="00A52AF1" w:rsidRPr="00B57040">
              <w:rPr>
                <w:rFonts w:eastAsia="Times New Roman"/>
                <w:b/>
                <w:bCs/>
              </w:rPr>
              <w:t>emissions</w:t>
            </w:r>
            <w:r w:rsidRPr="00B57040">
              <w:rPr>
                <w:rFonts w:eastAsia="Times New Roman"/>
                <w:b/>
                <w:bCs/>
              </w:rPr>
              <w:t xml:space="preserve"> recorded (g/kg)</w:t>
            </w:r>
          </w:p>
        </w:tc>
      </w:tr>
      <w:tr w:rsidR="00B57040" w:rsidRPr="00B57040" w14:paraId="547EE60A" w14:textId="77777777" w:rsidTr="00B57040">
        <w:tc>
          <w:tcPr>
            <w:tcW w:w="1501" w:type="dxa"/>
          </w:tcPr>
          <w:p w14:paraId="4ADD70E5" w14:textId="77777777" w:rsidR="00B57040" w:rsidRPr="00B57040" w:rsidRDefault="00B57040" w:rsidP="00A26838">
            <w:pPr>
              <w:pStyle w:val="NoSpacing"/>
              <w:rPr>
                <w:rFonts w:eastAsia="Times New Roman"/>
              </w:rPr>
            </w:pPr>
            <w:r w:rsidRPr="00B57040">
              <w:rPr>
                <w:rFonts w:eastAsia="Times New Roman"/>
              </w:rPr>
              <w:t>2005</w:t>
            </w:r>
          </w:p>
        </w:tc>
        <w:tc>
          <w:tcPr>
            <w:tcW w:w="2961" w:type="dxa"/>
          </w:tcPr>
          <w:p w14:paraId="2C40D184" w14:textId="77777777" w:rsidR="00B57040" w:rsidRPr="00B57040" w:rsidRDefault="00B57040" w:rsidP="00A26838">
            <w:pPr>
              <w:pStyle w:val="NoSpacing"/>
              <w:rPr>
                <w:rFonts w:eastAsia="Times New Roman"/>
              </w:rPr>
            </w:pPr>
            <w:r w:rsidRPr="00B57040">
              <w:rPr>
                <w:rFonts w:eastAsia="Times New Roman"/>
              </w:rPr>
              <w:t>Christchurch</w:t>
            </w:r>
          </w:p>
        </w:tc>
        <w:tc>
          <w:tcPr>
            <w:tcW w:w="1977" w:type="dxa"/>
          </w:tcPr>
          <w:p w14:paraId="4DB28401" w14:textId="77777777" w:rsidR="00B57040" w:rsidRPr="00B57040" w:rsidRDefault="00B57040" w:rsidP="00A26838">
            <w:pPr>
              <w:pStyle w:val="NoSpacing"/>
              <w:rPr>
                <w:rFonts w:eastAsia="Times New Roman"/>
              </w:rPr>
            </w:pPr>
            <w:r w:rsidRPr="00B57040">
              <w:rPr>
                <w:rFonts w:eastAsia="Times New Roman"/>
              </w:rPr>
              <w:t>15.5</w:t>
            </w:r>
          </w:p>
        </w:tc>
      </w:tr>
      <w:tr w:rsidR="00B57040" w:rsidRPr="00B57040" w14:paraId="1C5C9EA4" w14:textId="77777777" w:rsidTr="00B57040">
        <w:tc>
          <w:tcPr>
            <w:tcW w:w="1501" w:type="dxa"/>
          </w:tcPr>
          <w:p w14:paraId="2CCB1436" w14:textId="77777777" w:rsidR="00B57040" w:rsidRPr="00B57040" w:rsidRDefault="00B57040" w:rsidP="00D9719C">
            <w:pPr>
              <w:pStyle w:val="NoSpacing"/>
              <w:rPr>
                <w:rFonts w:eastAsia="Times New Roman"/>
              </w:rPr>
            </w:pPr>
            <w:r w:rsidRPr="00B57040">
              <w:rPr>
                <w:rFonts w:eastAsia="Times New Roman"/>
              </w:rPr>
              <w:t>2006</w:t>
            </w:r>
          </w:p>
        </w:tc>
        <w:tc>
          <w:tcPr>
            <w:tcW w:w="2961" w:type="dxa"/>
          </w:tcPr>
          <w:p w14:paraId="05D327D3" w14:textId="77777777" w:rsidR="00B57040" w:rsidRPr="00B57040" w:rsidRDefault="00B57040" w:rsidP="00D9719C">
            <w:pPr>
              <w:pStyle w:val="NoSpacing"/>
              <w:rPr>
                <w:rFonts w:eastAsia="Times New Roman"/>
              </w:rPr>
            </w:pPr>
            <w:r w:rsidRPr="00B57040">
              <w:rPr>
                <w:rFonts w:eastAsia="Times New Roman"/>
              </w:rPr>
              <w:t>Tokoroa</w:t>
            </w:r>
          </w:p>
        </w:tc>
        <w:tc>
          <w:tcPr>
            <w:tcW w:w="1977" w:type="dxa"/>
          </w:tcPr>
          <w:p w14:paraId="10AB72B7" w14:textId="77777777" w:rsidR="00B57040" w:rsidRPr="00B57040" w:rsidRDefault="00B57040" w:rsidP="00D9719C">
            <w:pPr>
              <w:pStyle w:val="NoSpacing"/>
              <w:rPr>
                <w:rFonts w:eastAsia="Times New Roman"/>
              </w:rPr>
            </w:pPr>
            <w:r w:rsidRPr="00B57040">
              <w:rPr>
                <w:rFonts w:eastAsia="Times New Roman"/>
              </w:rPr>
              <w:t>4.6</w:t>
            </w:r>
          </w:p>
        </w:tc>
      </w:tr>
      <w:tr w:rsidR="00B57040" w:rsidRPr="00B57040" w14:paraId="59EAB48F" w14:textId="77777777" w:rsidTr="00B57040">
        <w:tc>
          <w:tcPr>
            <w:tcW w:w="1501" w:type="dxa"/>
          </w:tcPr>
          <w:p w14:paraId="283EA9FC" w14:textId="77777777" w:rsidR="00B57040" w:rsidRPr="00B57040" w:rsidRDefault="00B57040" w:rsidP="00D9719C">
            <w:pPr>
              <w:pStyle w:val="NoSpacing"/>
              <w:rPr>
                <w:rFonts w:eastAsia="Times New Roman"/>
              </w:rPr>
            </w:pPr>
            <w:r w:rsidRPr="00B57040">
              <w:rPr>
                <w:rFonts w:eastAsia="Times New Roman"/>
              </w:rPr>
              <w:t>2007</w:t>
            </w:r>
          </w:p>
        </w:tc>
        <w:tc>
          <w:tcPr>
            <w:tcW w:w="2961" w:type="dxa"/>
          </w:tcPr>
          <w:p w14:paraId="070BE910" w14:textId="77777777" w:rsidR="00B57040" w:rsidRPr="00B57040" w:rsidRDefault="00B57040" w:rsidP="00D9719C">
            <w:pPr>
              <w:pStyle w:val="NoSpacing"/>
              <w:rPr>
                <w:rFonts w:eastAsia="Times New Roman"/>
              </w:rPr>
            </w:pPr>
            <w:r w:rsidRPr="00B57040">
              <w:rPr>
                <w:rFonts w:eastAsia="Times New Roman"/>
              </w:rPr>
              <w:t>Nelson, Rotorua, Taumarunui</w:t>
            </w:r>
          </w:p>
        </w:tc>
        <w:tc>
          <w:tcPr>
            <w:tcW w:w="1977" w:type="dxa"/>
          </w:tcPr>
          <w:p w14:paraId="6EF8CD59" w14:textId="77777777" w:rsidR="00B57040" w:rsidRPr="00B57040" w:rsidRDefault="00B57040" w:rsidP="00D9719C">
            <w:pPr>
              <w:pStyle w:val="NoSpacing"/>
              <w:rPr>
                <w:rFonts w:eastAsia="Times New Roman"/>
              </w:rPr>
            </w:pPr>
            <w:r w:rsidRPr="00B57040">
              <w:rPr>
                <w:rFonts w:eastAsia="Times New Roman"/>
              </w:rPr>
              <w:t>4.6</w:t>
            </w:r>
          </w:p>
        </w:tc>
      </w:tr>
      <w:tr w:rsidR="00B57040" w:rsidRPr="00B57040" w14:paraId="41454FE9" w14:textId="77777777" w:rsidTr="00B57040">
        <w:tc>
          <w:tcPr>
            <w:tcW w:w="1501" w:type="dxa"/>
          </w:tcPr>
          <w:p w14:paraId="1C1DBB13" w14:textId="77777777" w:rsidR="00B57040" w:rsidRPr="00B57040" w:rsidRDefault="00B57040" w:rsidP="00D9719C">
            <w:pPr>
              <w:pStyle w:val="NoSpacing"/>
              <w:rPr>
                <w:rFonts w:eastAsia="Times New Roman"/>
              </w:rPr>
            </w:pPr>
            <w:r w:rsidRPr="00B57040">
              <w:rPr>
                <w:rFonts w:eastAsia="Times New Roman"/>
              </w:rPr>
              <w:t>2009</w:t>
            </w:r>
          </w:p>
        </w:tc>
        <w:tc>
          <w:tcPr>
            <w:tcW w:w="2961" w:type="dxa"/>
          </w:tcPr>
          <w:p w14:paraId="3B9E9BAC" w14:textId="77777777" w:rsidR="00B57040" w:rsidRPr="00B57040" w:rsidRDefault="00B57040" w:rsidP="00D9719C">
            <w:pPr>
              <w:pStyle w:val="NoSpacing"/>
              <w:rPr>
                <w:rFonts w:eastAsia="Times New Roman"/>
              </w:rPr>
            </w:pPr>
            <w:r w:rsidRPr="00B57040">
              <w:rPr>
                <w:rFonts w:eastAsia="Times New Roman"/>
              </w:rPr>
              <w:t xml:space="preserve">Christchurch </w:t>
            </w:r>
          </w:p>
        </w:tc>
        <w:tc>
          <w:tcPr>
            <w:tcW w:w="1977" w:type="dxa"/>
          </w:tcPr>
          <w:p w14:paraId="4EC6F22C" w14:textId="77777777" w:rsidR="00B57040" w:rsidRPr="00B57040" w:rsidRDefault="00B57040" w:rsidP="00D9719C">
            <w:pPr>
              <w:pStyle w:val="NoSpacing"/>
              <w:rPr>
                <w:rFonts w:eastAsia="Times New Roman"/>
              </w:rPr>
            </w:pPr>
            <w:r w:rsidRPr="00B57040">
              <w:rPr>
                <w:rFonts w:eastAsia="Times New Roman"/>
              </w:rPr>
              <w:t>9.1</w:t>
            </w:r>
          </w:p>
        </w:tc>
      </w:tr>
    </w:tbl>
    <w:p w14:paraId="35D541C2" w14:textId="77777777" w:rsidR="00B57040" w:rsidRPr="0075513C" w:rsidRDefault="00B57040" w:rsidP="0075513C">
      <w:pPr>
        <w:pStyle w:val="NoSpacing"/>
        <w:jc w:val="both"/>
      </w:pPr>
    </w:p>
    <w:p w14:paraId="60618373" w14:textId="7ABAC159" w:rsidR="006841F4" w:rsidRPr="00D019CC" w:rsidRDefault="002F7DDB" w:rsidP="00D019CC">
      <w:pPr>
        <w:pStyle w:val="NoSpacing"/>
        <w:jc w:val="both"/>
      </w:pPr>
      <w:r w:rsidRPr="00D019CC">
        <w:t xml:space="preserve">As can be seen, </w:t>
      </w:r>
      <w:r w:rsidR="00682C8D" w:rsidRPr="00D019CC">
        <w:t xml:space="preserve">the average real </w:t>
      </w:r>
      <w:r w:rsidR="00A52AF1" w:rsidRPr="00D019CC">
        <w:t>life</w:t>
      </w:r>
      <w:r w:rsidR="00682C8D" w:rsidRPr="00D019CC">
        <w:t xml:space="preserve"> </w:t>
      </w:r>
      <w:r w:rsidR="00A52AF1" w:rsidRPr="00D019CC">
        <w:t>emissions</w:t>
      </w:r>
      <w:r w:rsidR="00682C8D" w:rsidRPr="00D019CC">
        <w:t xml:space="preserve"> recorded range from 4.6g/kg to 15.5g/kg, or </w:t>
      </w:r>
      <w:r w:rsidR="00CC65E3" w:rsidRPr="00D019CC">
        <w:t xml:space="preserve">3 to 10 times the </w:t>
      </w:r>
      <w:r w:rsidR="000D4996">
        <w:t>prevailing</w:t>
      </w:r>
      <w:r w:rsidR="00BC11E9" w:rsidRPr="00D019CC">
        <w:t xml:space="preserve"> </w:t>
      </w:r>
      <w:r w:rsidR="004D0062">
        <w:t>NESAQ</w:t>
      </w:r>
      <w:r w:rsidR="00CC65E3" w:rsidRPr="00D019CC">
        <w:t xml:space="preserve"> standard</w:t>
      </w:r>
      <w:r w:rsidR="00BC11E9" w:rsidRPr="00D019CC">
        <w:t xml:space="preserve"> of 1.5g/kg</w:t>
      </w:r>
      <w:r w:rsidR="00CC65E3" w:rsidRPr="00D019CC">
        <w:t>.</w:t>
      </w:r>
    </w:p>
    <w:p w14:paraId="6B52A71E" w14:textId="4999C822" w:rsidR="001207CF" w:rsidRPr="0075513C" w:rsidRDefault="001207CF" w:rsidP="0075513C">
      <w:pPr>
        <w:pStyle w:val="NoSpacing"/>
        <w:jc w:val="both"/>
      </w:pPr>
    </w:p>
    <w:p w14:paraId="2EB45317" w14:textId="3BEACD1B" w:rsidR="001207CF" w:rsidRDefault="0057293F" w:rsidP="00D019CC">
      <w:pPr>
        <w:pStyle w:val="NoSpacing"/>
        <w:jc w:val="both"/>
      </w:pPr>
      <w:r w:rsidRPr="00D019CC">
        <w:lastRenderedPageBreak/>
        <w:t xml:space="preserve">Two </w:t>
      </w:r>
      <w:r w:rsidR="00A52AF1" w:rsidRPr="00D019CC">
        <w:t>studies</w:t>
      </w:r>
      <w:r w:rsidRPr="00D019CC">
        <w:t xml:space="preserve"> of the real life </w:t>
      </w:r>
      <w:r w:rsidR="00A52AF1" w:rsidRPr="00D019CC">
        <w:t>emissions</w:t>
      </w:r>
      <w:r w:rsidRPr="00D019CC">
        <w:t xml:space="preserve"> of ULEBs were carried out in </w:t>
      </w:r>
      <w:r w:rsidR="00B0053A" w:rsidRPr="00D019CC">
        <w:t xml:space="preserve">2017 </w:t>
      </w:r>
      <w:r w:rsidR="00A52AF1" w:rsidRPr="00D019CC">
        <w:t>and</w:t>
      </w:r>
      <w:r w:rsidR="00B0053A" w:rsidRPr="00D019CC">
        <w:t xml:space="preserve"> 2018 </w:t>
      </w:r>
      <w:r w:rsidR="00793CA4" w:rsidRPr="00D019CC">
        <w:t xml:space="preserve">in </w:t>
      </w:r>
      <w:r w:rsidR="00567630" w:rsidRPr="00D019CC">
        <w:t>Rotorua and Waimate.</w:t>
      </w:r>
      <w:r w:rsidR="00F67B05" w:rsidRPr="00D019CC">
        <w:t xml:space="preserve">  The res</w:t>
      </w:r>
      <w:r w:rsidR="00A52AF1" w:rsidRPr="00D019CC">
        <w:t>ult</w:t>
      </w:r>
      <w:r w:rsidR="00F67B05" w:rsidRPr="00D019CC">
        <w:t xml:space="preserve">s of </w:t>
      </w:r>
      <w:r w:rsidR="003C77D9" w:rsidRPr="00D019CC">
        <w:t xml:space="preserve">these studies are shown in the </w:t>
      </w:r>
      <w:r w:rsidR="00A52AF1" w:rsidRPr="00D019CC">
        <w:t>following</w:t>
      </w:r>
      <w:r w:rsidR="003C77D9" w:rsidRPr="00D019CC">
        <w:t xml:space="preserve"> table.</w:t>
      </w:r>
    </w:p>
    <w:p w14:paraId="094ACF12" w14:textId="15F691E6" w:rsidR="001E08B0" w:rsidRDefault="001E08B0" w:rsidP="00D019CC">
      <w:pPr>
        <w:pStyle w:val="NoSpacing"/>
        <w:jc w:val="both"/>
      </w:pPr>
    </w:p>
    <w:p w14:paraId="2F47EC6A" w14:textId="6D2FBADC" w:rsidR="001E08B0" w:rsidRPr="00EA2B3D" w:rsidRDefault="00314BB0" w:rsidP="00314BB0">
      <w:pPr>
        <w:pStyle w:val="Caption"/>
        <w:rPr>
          <w:sz w:val="22"/>
          <w:szCs w:val="22"/>
        </w:rPr>
      </w:pPr>
      <w:bookmarkStart w:id="56" w:name="_Ref31874319"/>
      <w:r w:rsidRPr="00EA2B3D">
        <w:rPr>
          <w:sz w:val="22"/>
          <w:szCs w:val="22"/>
        </w:rPr>
        <w:t xml:space="preserve">Table </w:t>
      </w:r>
      <w:r w:rsidRPr="00EA2B3D">
        <w:rPr>
          <w:sz w:val="22"/>
          <w:szCs w:val="22"/>
        </w:rPr>
        <w:fldChar w:fldCharType="begin"/>
      </w:r>
      <w:r w:rsidRPr="00EA2B3D">
        <w:rPr>
          <w:sz w:val="22"/>
          <w:szCs w:val="22"/>
        </w:rPr>
        <w:instrText xml:space="preserve"> SEQ Table \* ARABIC </w:instrText>
      </w:r>
      <w:r w:rsidRPr="00EA2B3D">
        <w:rPr>
          <w:sz w:val="22"/>
          <w:szCs w:val="22"/>
        </w:rPr>
        <w:fldChar w:fldCharType="separate"/>
      </w:r>
      <w:r w:rsidR="00CD682F">
        <w:rPr>
          <w:noProof/>
          <w:sz w:val="22"/>
          <w:szCs w:val="22"/>
        </w:rPr>
        <w:t>7</w:t>
      </w:r>
      <w:r w:rsidRPr="00EA2B3D">
        <w:rPr>
          <w:sz w:val="22"/>
          <w:szCs w:val="22"/>
        </w:rPr>
        <w:fldChar w:fldCharType="end"/>
      </w:r>
      <w:bookmarkEnd w:id="56"/>
      <w:r w:rsidRPr="00EA2B3D">
        <w:rPr>
          <w:sz w:val="22"/>
          <w:szCs w:val="22"/>
        </w:rPr>
        <w:t xml:space="preserve">: </w:t>
      </w:r>
      <w:r w:rsidR="001E08B0" w:rsidRPr="001E08B0">
        <w:rPr>
          <w:sz w:val="22"/>
          <w:szCs w:val="22"/>
        </w:rPr>
        <w:t>Real Life Emissions Trials of ULEBs</w:t>
      </w:r>
    </w:p>
    <w:p w14:paraId="092CD877" w14:textId="25372565" w:rsidR="001207CF" w:rsidRDefault="001207CF" w:rsidP="00EC0A04">
      <w:pPr>
        <w:pStyle w:val="NoSpacing"/>
        <w:ind w:left="360"/>
        <w:rPr>
          <w:rFonts w:eastAsia="Times New Roman"/>
        </w:rPr>
      </w:pPr>
    </w:p>
    <w:tbl>
      <w:tblPr>
        <w:tblStyle w:val="TableGrid"/>
        <w:tblW w:w="0" w:type="auto"/>
        <w:tblInd w:w="360" w:type="dxa"/>
        <w:tblLook w:val="04A0" w:firstRow="1" w:lastRow="0" w:firstColumn="1" w:lastColumn="0" w:noHBand="0" w:noVBand="1"/>
      </w:tblPr>
      <w:tblGrid>
        <w:gridCol w:w="1501"/>
        <w:gridCol w:w="1142"/>
        <w:gridCol w:w="1977"/>
        <w:gridCol w:w="1977"/>
        <w:gridCol w:w="1977"/>
      </w:tblGrid>
      <w:tr w:rsidR="00CD7BF3" w:rsidRPr="00B57040" w14:paraId="676CEC44" w14:textId="77777777" w:rsidTr="00030529">
        <w:tc>
          <w:tcPr>
            <w:tcW w:w="1501" w:type="dxa"/>
          </w:tcPr>
          <w:p w14:paraId="6F7968DB" w14:textId="6F5DB50D" w:rsidR="00CD7BF3" w:rsidRPr="00B57040" w:rsidRDefault="00CD7BF3" w:rsidP="00CD7BF3">
            <w:pPr>
              <w:pStyle w:val="NoSpacing"/>
              <w:jc w:val="center"/>
              <w:rPr>
                <w:rFonts w:eastAsia="Times New Roman"/>
                <w:b/>
                <w:bCs/>
              </w:rPr>
            </w:pPr>
            <w:r w:rsidRPr="00B57040">
              <w:rPr>
                <w:rFonts w:eastAsia="Times New Roman"/>
                <w:b/>
                <w:bCs/>
              </w:rPr>
              <w:t xml:space="preserve">Year of </w:t>
            </w:r>
            <w:r w:rsidR="00A52AF1" w:rsidRPr="00B57040">
              <w:rPr>
                <w:rFonts w:eastAsia="Times New Roman"/>
                <w:b/>
                <w:bCs/>
              </w:rPr>
              <w:t>study</w:t>
            </w:r>
          </w:p>
        </w:tc>
        <w:tc>
          <w:tcPr>
            <w:tcW w:w="1142" w:type="dxa"/>
          </w:tcPr>
          <w:p w14:paraId="1FB89963" w14:textId="77777777" w:rsidR="00CD7BF3" w:rsidRPr="00B57040" w:rsidRDefault="00CD7BF3" w:rsidP="00CD7BF3">
            <w:pPr>
              <w:pStyle w:val="NoSpacing"/>
              <w:jc w:val="center"/>
              <w:rPr>
                <w:rFonts w:eastAsia="Times New Roman"/>
                <w:b/>
                <w:bCs/>
              </w:rPr>
            </w:pPr>
            <w:r w:rsidRPr="00B57040">
              <w:rPr>
                <w:rFonts w:eastAsia="Times New Roman"/>
                <w:b/>
                <w:bCs/>
              </w:rPr>
              <w:t>Location</w:t>
            </w:r>
          </w:p>
        </w:tc>
        <w:tc>
          <w:tcPr>
            <w:tcW w:w="1977" w:type="dxa"/>
          </w:tcPr>
          <w:p w14:paraId="35CA4B56" w14:textId="4BD5D41E" w:rsidR="00CD7BF3" w:rsidRPr="00B57040" w:rsidRDefault="00CD7BF3" w:rsidP="00CD7BF3">
            <w:pPr>
              <w:pStyle w:val="NoSpacing"/>
              <w:jc w:val="center"/>
              <w:rPr>
                <w:rFonts w:eastAsia="Times New Roman"/>
                <w:b/>
                <w:bCs/>
              </w:rPr>
            </w:pPr>
            <w:r w:rsidRPr="00B57040">
              <w:rPr>
                <w:rFonts w:eastAsia="Times New Roman"/>
                <w:b/>
                <w:bCs/>
              </w:rPr>
              <w:t xml:space="preserve">Average </w:t>
            </w:r>
            <w:r w:rsidR="00484E84">
              <w:rPr>
                <w:rFonts w:eastAsia="Times New Roman"/>
                <w:b/>
                <w:bCs/>
              </w:rPr>
              <w:t xml:space="preserve">real life </w:t>
            </w:r>
            <w:r w:rsidR="00A52AF1" w:rsidRPr="00B57040">
              <w:rPr>
                <w:rFonts w:eastAsia="Times New Roman"/>
                <w:b/>
                <w:bCs/>
              </w:rPr>
              <w:t>emissions</w:t>
            </w:r>
            <w:r w:rsidRPr="00B57040">
              <w:rPr>
                <w:rFonts w:eastAsia="Times New Roman"/>
                <w:b/>
                <w:bCs/>
              </w:rPr>
              <w:t xml:space="preserve"> recorded (g/kg)</w:t>
            </w:r>
          </w:p>
        </w:tc>
        <w:tc>
          <w:tcPr>
            <w:tcW w:w="1977" w:type="dxa"/>
          </w:tcPr>
          <w:p w14:paraId="2CDC1784" w14:textId="074FC90E" w:rsidR="00CD7BF3" w:rsidRPr="00B57040" w:rsidRDefault="00440E89" w:rsidP="00CD7BF3">
            <w:pPr>
              <w:pStyle w:val="NoSpacing"/>
              <w:jc w:val="center"/>
              <w:rPr>
                <w:rFonts w:eastAsia="Times New Roman"/>
                <w:b/>
                <w:bCs/>
              </w:rPr>
            </w:pPr>
            <w:r>
              <w:rPr>
                <w:rFonts w:eastAsia="Times New Roman"/>
                <w:b/>
                <w:bCs/>
              </w:rPr>
              <w:t>AS/NZS 4013</w:t>
            </w:r>
            <w:r w:rsidR="00DB2D6A">
              <w:rPr>
                <w:rFonts w:eastAsia="Times New Roman"/>
                <w:b/>
                <w:bCs/>
              </w:rPr>
              <w:t xml:space="preserve"> test</w:t>
            </w:r>
            <w:r w:rsidR="00C26634">
              <w:rPr>
                <w:rFonts w:eastAsia="Times New Roman"/>
                <w:b/>
                <w:bCs/>
              </w:rPr>
              <w:t xml:space="preserve"> emissions (g/kg)</w:t>
            </w:r>
          </w:p>
        </w:tc>
        <w:tc>
          <w:tcPr>
            <w:tcW w:w="1977" w:type="dxa"/>
          </w:tcPr>
          <w:p w14:paraId="477E8E72" w14:textId="45DB2525" w:rsidR="00CD7BF3" w:rsidRPr="00B57040" w:rsidRDefault="00C26634" w:rsidP="00CD7BF3">
            <w:pPr>
              <w:pStyle w:val="NoSpacing"/>
              <w:jc w:val="center"/>
              <w:rPr>
                <w:rFonts w:eastAsia="Times New Roman"/>
                <w:b/>
                <w:bCs/>
              </w:rPr>
            </w:pPr>
            <w:r>
              <w:rPr>
                <w:rFonts w:eastAsia="Times New Roman"/>
                <w:b/>
                <w:bCs/>
              </w:rPr>
              <w:t xml:space="preserve">CM1 </w:t>
            </w:r>
            <w:r w:rsidR="00DB2D6A">
              <w:rPr>
                <w:rFonts w:eastAsia="Times New Roman"/>
                <w:b/>
                <w:bCs/>
              </w:rPr>
              <w:t xml:space="preserve">test </w:t>
            </w:r>
            <w:r>
              <w:rPr>
                <w:rFonts w:eastAsia="Times New Roman"/>
                <w:b/>
                <w:bCs/>
              </w:rPr>
              <w:t>emissions (g/kg)</w:t>
            </w:r>
          </w:p>
        </w:tc>
      </w:tr>
      <w:tr w:rsidR="00CD7BF3" w:rsidRPr="00B57040" w14:paraId="317C4155" w14:textId="77777777" w:rsidTr="00030529">
        <w:tc>
          <w:tcPr>
            <w:tcW w:w="1501" w:type="dxa"/>
          </w:tcPr>
          <w:p w14:paraId="58B0D72D" w14:textId="239FAEBF" w:rsidR="00CD7BF3" w:rsidRPr="00B57040" w:rsidRDefault="00CD7BF3" w:rsidP="00CD7BF3">
            <w:pPr>
              <w:pStyle w:val="NoSpacing"/>
              <w:rPr>
                <w:rFonts w:eastAsia="Times New Roman"/>
              </w:rPr>
            </w:pPr>
            <w:r w:rsidRPr="00B57040">
              <w:rPr>
                <w:rFonts w:eastAsia="Times New Roman"/>
              </w:rPr>
              <w:t>20</w:t>
            </w:r>
            <w:r>
              <w:rPr>
                <w:rFonts w:eastAsia="Times New Roman"/>
              </w:rPr>
              <w:t>17</w:t>
            </w:r>
          </w:p>
        </w:tc>
        <w:tc>
          <w:tcPr>
            <w:tcW w:w="1142" w:type="dxa"/>
          </w:tcPr>
          <w:p w14:paraId="133BB776" w14:textId="2E0CE9DE" w:rsidR="00CD7BF3" w:rsidRPr="00B57040" w:rsidRDefault="00CD7BF3" w:rsidP="00CD7BF3">
            <w:pPr>
              <w:pStyle w:val="NoSpacing"/>
              <w:rPr>
                <w:rFonts w:eastAsia="Times New Roman"/>
              </w:rPr>
            </w:pPr>
            <w:r>
              <w:rPr>
                <w:rFonts w:eastAsia="Times New Roman"/>
              </w:rPr>
              <w:t>Rotorua</w:t>
            </w:r>
          </w:p>
        </w:tc>
        <w:tc>
          <w:tcPr>
            <w:tcW w:w="1977" w:type="dxa"/>
          </w:tcPr>
          <w:p w14:paraId="665F0711" w14:textId="1A565FD9" w:rsidR="00CD7BF3" w:rsidRDefault="00CD7BF3" w:rsidP="00CD7BF3">
            <w:pPr>
              <w:pStyle w:val="NoSpacing"/>
              <w:rPr>
                <w:rFonts w:eastAsia="Times New Roman"/>
              </w:rPr>
            </w:pPr>
            <w:r>
              <w:rPr>
                <w:rFonts w:eastAsia="Times New Roman"/>
              </w:rPr>
              <w:t>1.0</w:t>
            </w:r>
          </w:p>
        </w:tc>
        <w:tc>
          <w:tcPr>
            <w:tcW w:w="1977" w:type="dxa"/>
          </w:tcPr>
          <w:p w14:paraId="78F0769A" w14:textId="13C5B8E8" w:rsidR="00CD7BF3" w:rsidRDefault="00023305" w:rsidP="00CD7BF3">
            <w:pPr>
              <w:pStyle w:val="NoSpacing"/>
              <w:rPr>
                <w:rFonts w:eastAsia="Times New Roman"/>
              </w:rPr>
            </w:pPr>
            <w:r>
              <w:rPr>
                <w:rFonts w:eastAsia="Times New Roman"/>
              </w:rPr>
              <w:t>0.10</w:t>
            </w:r>
          </w:p>
        </w:tc>
        <w:tc>
          <w:tcPr>
            <w:tcW w:w="1977" w:type="dxa"/>
          </w:tcPr>
          <w:p w14:paraId="09800E72" w14:textId="7DC8F2B8" w:rsidR="00CD7BF3" w:rsidRDefault="00023305" w:rsidP="00CD7BF3">
            <w:pPr>
              <w:pStyle w:val="NoSpacing"/>
              <w:rPr>
                <w:rFonts w:eastAsia="Times New Roman"/>
              </w:rPr>
            </w:pPr>
            <w:r>
              <w:rPr>
                <w:rFonts w:eastAsia="Times New Roman"/>
              </w:rPr>
              <w:t>0.35</w:t>
            </w:r>
          </w:p>
        </w:tc>
      </w:tr>
      <w:tr w:rsidR="00CD7BF3" w:rsidRPr="00B57040" w14:paraId="5465F124" w14:textId="77777777" w:rsidTr="00030529">
        <w:tc>
          <w:tcPr>
            <w:tcW w:w="1501" w:type="dxa"/>
          </w:tcPr>
          <w:p w14:paraId="06E31740" w14:textId="0C12C22B" w:rsidR="00CD7BF3" w:rsidRPr="00B57040" w:rsidRDefault="00CD7BF3" w:rsidP="00CD7BF3">
            <w:pPr>
              <w:pStyle w:val="NoSpacing"/>
              <w:rPr>
                <w:rFonts w:eastAsia="Times New Roman"/>
              </w:rPr>
            </w:pPr>
            <w:r w:rsidRPr="00B57040">
              <w:rPr>
                <w:rFonts w:eastAsia="Times New Roman"/>
              </w:rPr>
              <w:t>20</w:t>
            </w:r>
            <w:r>
              <w:rPr>
                <w:rFonts w:eastAsia="Times New Roman"/>
              </w:rPr>
              <w:t>18</w:t>
            </w:r>
          </w:p>
        </w:tc>
        <w:tc>
          <w:tcPr>
            <w:tcW w:w="1142" w:type="dxa"/>
          </w:tcPr>
          <w:p w14:paraId="50FF9CA9" w14:textId="1561C732" w:rsidR="00CD7BF3" w:rsidRPr="00B57040" w:rsidRDefault="00CD7BF3" w:rsidP="00CD7BF3">
            <w:pPr>
              <w:pStyle w:val="NoSpacing"/>
              <w:rPr>
                <w:rFonts w:eastAsia="Times New Roman"/>
              </w:rPr>
            </w:pPr>
            <w:r>
              <w:rPr>
                <w:rFonts w:eastAsia="Times New Roman"/>
              </w:rPr>
              <w:t>Waimate</w:t>
            </w:r>
          </w:p>
        </w:tc>
        <w:tc>
          <w:tcPr>
            <w:tcW w:w="1977" w:type="dxa"/>
          </w:tcPr>
          <w:p w14:paraId="71DF40BC" w14:textId="7EA7DA66" w:rsidR="00CD7BF3" w:rsidRDefault="00CD7BF3" w:rsidP="00CD7BF3">
            <w:pPr>
              <w:pStyle w:val="NoSpacing"/>
              <w:rPr>
                <w:rFonts w:eastAsia="Times New Roman"/>
              </w:rPr>
            </w:pPr>
            <w:r>
              <w:rPr>
                <w:rFonts w:eastAsia="Times New Roman"/>
              </w:rPr>
              <w:t>1.58</w:t>
            </w:r>
          </w:p>
        </w:tc>
        <w:tc>
          <w:tcPr>
            <w:tcW w:w="1977" w:type="dxa"/>
          </w:tcPr>
          <w:p w14:paraId="395584B0" w14:textId="160FDBDE" w:rsidR="00CD7BF3" w:rsidRDefault="001E6DA5" w:rsidP="00CD7BF3">
            <w:pPr>
              <w:pStyle w:val="NoSpacing"/>
              <w:rPr>
                <w:rFonts w:eastAsia="Times New Roman"/>
              </w:rPr>
            </w:pPr>
            <w:r>
              <w:rPr>
                <w:rFonts w:eastAsia="Times New Roman"/>
              </w:rPr>
              <w:t>0.17</w:t>
            </w:r>
          </w:p>
        </w:tc>
        <w:tc>
          <w:tcPr>
            <w:tcW w:w="1977" w:type="dxa"/>
          </w:tcPr>
          <w:p w14:paraId="03A377A9" w14:textId="2D21C813" w:rsidR="00CD7BF3" w:rsidRDefault="001E6DA5" w:rsidP="00CD7BF3">
            <w:pPr>
              <w:pStyle w:val="NoSpacing"/>
              <w:rPr>
                <w:rFonts w:eastAsia="Times New Roman"/>
              </w:rPr>
            </w:pPr>
            <w:r>
              <w:rPr>
                <w:rFonts w:eastAsia="Times New Roman"/>
              </w:rPr>
              <w:t>0.30</w:t>
            </w:r>
          </w:p>
        </w:tc>
      </w:tr>
    </w:tbl>
    <w:p w14:paraId="4FA247B1" w14:textId="69E44D7B" w:rsidR="009A4AA0" w:rsidRDefault="009A4AA0" w:rsidP="00EC0A04">
      <w:pPr>
        <w:pStyle w:val="NoSpacing"/>
        <w:ind w:left="360"/>
        <w:rPr>
          <w:rFonts w:eastAsia="Times New Roman"/>
        </w:rPr>
      </w:pPr>
    </w:p>
    <w:p w14:paraId="201BEC64" w14:textId="6EA82007" w:rsidR="00B77A85" w:rsidRDefault="00DA2A9B" w:rsidP="00D019CC">
      <w:pPr>
        <w:pStyle w:val="NoSpacing"/>
        <w:jc w:val="both"/>
      </w:pPr>
      <w:r w:rsidRPr="00D019CC">
        <w:t xml:space="preserve">This </w:t>
      </w:r>
      <w:r w:rsidR="00A52AF1" w:rsidRPr="00D019CC">
        <w:t>table</w:t>
      </w:r>
      <w:r w:rsidRPr="00D019CC">
        <w:t xml:space="preserve"> shows that the ratio of </w:t>
      </w:r>
      <w:r w:rsidR="00A52AF1" w:rsidRPr="00D019CC">
        <w:t>emissions</w:t>
      </w:r>
      <w:r w:rsidRPr="00D019CC">
        <w:t xml:space="preserve"> from in-s</w:t>
      </w:r>
      <w:r w:rsidR="00A52AF1" w:rsidRPr="00D019CC">
        <w:t>it</w:t>
      </w:r>
      <w:r w:rsidRPr="00D019CC">
        <w:t xml:space="preserve">u </w:t>
      </w:r>
      <w:r w:rsidR="00A52AF1" w:rsidRPr="00D019CC">
        <w:t>testing</w:t>
      </w:r>
      <w:r w:rsidRPr="00D019CC">
        <w:t xml:space="preserve"> is approximately ten times the </w:t>
      </w:r>
      <w:r w:rsidR="00A52AF1" w:rsidRPr="00D019CC">
        <w:t>emissions</w:t>
      </w:r>
      <w:r w:rsidRPr="00D019CC">
        <w:t xml:space="preserve"> </w:t>
      </w:r>
      <w:r w:rsidR="00A52AF1" w:rsidRPr="00D019CC">
        <w:t>results</w:t>
      </w:r>
      <w:r w:rsidRPr="00D019CC">
        <w:t xml:space="preserve"> from laboratory testing to </w:t>
      </w:r>
      <w:r w:rsidR="004D0062">
        <w:t>AS/NZS 4013</w:t>
      </w:r>
      <w:r w:rsidR="00B77A85">
        <w:t xml:space="preserve">, </w:t>
      </w:r>
      <w:r w:rsidR="00191988">
        <w:t>i.e.</w:t>
      </w:r>
      <w:r w:rsidR="00B77A85">
        <w:t xml:space="preserve"> towards the top end of the </w:t>
      </w:r>
      <w:r w:rsidR="00191988">
        <w:t>range</w:t>
      </w:r>
      <w:r w:rsidR="00B77A85">
        <w:t xml:space="preserve"> seen in the earlier LEB trials</w:t>
      </w:r>
      <w:r w:rsidR="004D3529" w:rsidRPr="00D019CC">
        <w:t xml:space="preserve">.  </w:t>
      </w:r>
    </w:p>
    <w:p w14:paraId="772BB1B4" w14:textId="77777777" w:rsidR="00B77A85" w:rsidRDefault="00B77A85" w:rsidP="00D019CC">
      <w:pPr>
        <w:pStyle w:val="NoSpacing"/>
        <w:jc w:val="both"/>
      </w:pPr>
    </w:p>
    <w:p w14:paraId="1ED4C788" w14:textId="384214A9" w:rsidR="00DF1618" w:rsidRDefault="00F4304E" w:rsidP="00C57623">
      <w:pPr>
        <w:pStyle w:val="NoSpacing"/>
        <w:jc w:val="both"/>
      </w:pPr>
      <w:r w:rsidRPr="00D019CC">
        <w:t xml:space="preserve">However, </w:t>
      </w:r>
      <w:r w:rsidR="00B81BD9" w:rsidRPr="00D019CC">
        <w:t xml:space="preserve">the </w:t>
      </w:r>
      <w:r w:rsidR="00A52AF1" w:rsidRPr="00D019CC">
        <w:t>emissions</w:t>
      </w:r>
      <w:r w:rsidR="00B81BD9" w:rsidRPr="00D019CC">
        <w:t xml:space="preserve"> from these</w:t>
      </w:r>
      <w:r w:rsidRPr="00D019CC">
        <w:t xml:space="preserve"> ULEBs</w:t>
      </w:r>
      <w:r w:rsidR="00B81BD9" w:rsidRPr="00D019CC">
        <w:t xml:space="preserve"> in the recent </w:t>
      </w:r>
      <w:r w:rsidR="00A52AF1" w:rsidRPr="00D019CC">
        <w:t>studies</w:t>
      </w:r>
      <w:r w:rsidR="00B81BD9" w:rsidRPr="00D019CC">
        <w:t xml:space="preserve"> are </w:t>
      </w:r>
      <w:r w:rsidR="00BF2CBC">
        <w:t>lower than</w:t>
      </w:r>
      <w:r w:rsidR="00772206" w:rsidRPr="00D019CC">
        <w:t xml:space="preserve"> the real life </w:t>
      </w:r>
      <w:r w:rsidR="00A52AF1" w:rsidRPr="00D019CC">
        <w:t>emissions</w:t>
      </w:r>
      <w:r w:rsidR="00772206" w:rsidRPr="00D019CC">
        <w:t xml:space="preserve"> from the earlier trials of </w:t>
      </w:r>
      <w:r w:rsidR="004D0062">
        <w:t>NESAQ</w:t>
      </w:r>
      <w:r w:rsidR="00772206" w:rsidRPr="00D019CC">
        <w:t xml:space="preserve"> compliant burners by a factor of</w:t>
      </w:r>
      <w:r w:rsidR="004821F2" w:rsidRPr="00D019CC">
        <w:t xml:space="preserve"> 3 to 15.</w:t>
      </w:r>
      <w:r w:rsidR="003E58BA">
        <w:t xml:space="preserve">  </w:t>
      </w:r>
      <w:r w:rsidR="007003BA" w:rsidRPr="00D019CC">
        <w:t xml:space="preserve">Based on these </w:t>
      </w:r>
      <w:r w:rsidR="00A52AF1" w:rsidRPr="00D019CC">
        <w:t>studies</w:t>
      </w:r>
      <w:r w:rsidR="007003BA" w:rsidRPr="00D019CC">
        <w:t>, th</w:t>
      </w:r>
      <w:r w:rsidR="003E58BA">
        <w:t>es</w:t>
      </w:r>
      <w:r w:rsidR="007003BA" w:rsidRPr="00D019CC">
        <w:t>e</w:t>
      </w:r>
      <w:r w:rsidR="00E874AB" w:rsidRPr="00D019CC">
        <w:t xml:space="preserve"> </w:t>
      </w:r>
      <w:r w:rsidR="003E58BA">
        <w:t xml:space="preserve">results show that </w:t>
      </w:r>
      <w:r w:rsidR="003F782E">
        <w:t>the</w:t>
      </w:r>
      <w:r w:rsidR="003E58BA">
        <w:t xml:space="preserve"> </w:t>
      </w:r>
      <w:r w:rsidR="000C730E" w:rsidRPr="00D019CC">
        <w:t xml:space="preserve">development of the new category of </w:t>
      </w:r>
      <w:r w:rsidR="00F03A84">
        <w:t>ULEB</w:t>
      </w:r>
      <w:r w:rsidR="000C730E" w:rsidRPr="00D019CC">
        <w:t xml:space="preserve">s </w:t>
      </w:r>
      <w:r w:rsidR="007003BA" w:rsidRPr="00D019CC">
        <w:t xml:space="preserve">has </w:t>
      </w:r>
      <w:r w:rsidR="0061260D">
        <w:t>led to</w:t>
      </w:r>
      <w:r w:rsidR="007003BA" w:rsidRPr="00D019CC">
        <w:t xml:space="preserve"> a </w:t>
      </w:r>
      <w:r w:rsidR="00A52AF1" w:rsidRPr="00D019CC">
        <w:t>significant</w:t>
      </w:r>
      <w:r w:rsidR="00646541" w:rsidRPr="00D019CC">
        <w:t xml:space="preserve"> reduction in emissions from laboratory testing but also, </w:t>
      </w:r>
      <w:r w:rsidR="00245F78">
        <w:t>and</w:t>
      </w:r>
      <w:r w:rsidR="00646541" w:rsidRPr="00D019CC">
        <w:t xml:space="preserve"> more </w:t>
      </w:r>
      <w:r w:rsidR="00A52AF1" w:rsidRPr="00D019CC">
        <w:t>importantly</w:t>
      </w:r>
      <w:r w:rsidR="00646541" w:rsidRPr="00D019CC">
        <w:t xml:space="preserve">, in their </w:t>
      </w:r>
      <w:r w:rsidR="00A52AF1" w:rsidRPr="00D019CC">
        <w:t>emissions</w:t>
      </w:r>
      <w:r w:rsidR="00646541" w:rsidRPr="00D019CC">
        <w:t xml:space="preserve"> from actual usage in homes.</w:t>
      </w:r>
      <w:r w:rsidR="00D972D8">
        <w:t xml:space="preserve">  This </w:t>
      </w:r>
      <w:r w:rsidR="00EB5031">
        <w:t>situation could be summarised</w:t>
      </w:r>
      <w:r w:rsidR="00D972D8">
        <w:t xml:space="preserve"> as “cleaner in the </w:t>
      </w:r>
      <w:r w:rsidR="007832B2">
        <w:t>laboratory</w:t>
      </w:r>
      <w:r w:rsidR="00D972D8">
        <w:t>, cleaner in the home”.</w:t>
      </w:r>
    </w:p>
    <w:p w14:paraId="5A1F7056" w14:textId="03257507" w:rsidR="00F8032E" w:rsidRDefault="00F8032E" w:rsidP="00C57623">
      <w:pPr>
        <w:pStyle w:val="NoSpacing"/>
        <w:jc w:val="both"/>
      </w:pPr>
    </w:p>
    <w:p w14:paraId="4F074297" w14:textId="11BA2F46" w:rsidR="00F8032E" w:rsidRDefault="005C6A75" w:rsidP="00C57623">
      <w:pPr>
        <w:pStyle w:val="NoSpacing"/>
        <w:jc w:val="both"/>
      </w:pPr>
      <w:r>
        <w:t>Both</w:t>
      </w:r>
      <w:r w:rsidR="00161870">
        <w:t xml:space="preserve"> of the </w:t>
      </w:r>
      <w:r>
        <w:t>real</w:t>
      </w:r>
      <w:r w:rsidR="00161870">
        <w:t xml:space="preserve"> life trials of ULEBs were based on twin chamber </w:t>
      </w:r>
      <w:r>
        <w:t>downdraught</w:t>
      </w:r>
      <w:r w:rsidR="00161870">
        <w:t xml:space="preserve"> ULEB designs.  </w:t>
      </w:r>
      <w:r w:rsidR="00A45B79">
        <w:t xml:space="preserve">Now that single chamber ULEBs are available and are likely to </w:t>
      </w:r>
      <w:r>
        <w:t>be</w:t>
      </w:r>
      <w:r w:rsidR="002D2035">
        <w:t xml:space="preserve"> the more popular ULEB choice, it may be </w:t>
      </w:r>
      <w:r>
        <w:t>useful</w:t>
      </w:r>
      <w:r w:rsidR="002D2035">
        <w:t xml:space="preserve"> to conduct a real </w:t>
      </w:r>
      <w:r>
        <w:t>life</w:t>
      </w:r>
      <w:r w:rsidR="002D2035">
        <w:t xml:space="preserve"> trial of </w:t>
      </w:r>
      <w:r w:rsidR="00CB144B">
        <w:t xml:space="preserve">one or more single chamber ULEBs to see how they </w:t>
      </w:r>
      <w:r>
        <w:t>perform</w:t>
      </w:r>
      <w:r w:rsidR="00CB144B">
        <w:t xml:space="preserve"> in </w:t>
      </w:r>
      <w:r>
        <w:t>real</w:t>
      </w:r>
      <w:r w:rsidR="00CB144B">
        <w:t xml:space="preserve"> life.</w:t>
      </w:r>
    </w:p>
    <w:p w14:paraId="2D980980" w14:textId="3CB150A3" w:rsidR="000C745D" w:rsidRDefault="000C745D" w:rsidP="00C57623">
      <w:pPr>
        <w:pStyle w:val="NoSpacing"/>
        <w:jc w:val="both"/>
      </w:pPr>
    </w:p>
    <w:p w14:paraId="796F4E95" w14:textId="0E901C35" w:rsidR="000C745D" w:rsidRPr="00C57623" w:rsidRDefault="000C745D" w:rsidP="00C57623">
      <w:pPr>
        <w:pStyle w:val="NoSpacing"/>
        <w:jc w:val="both"/>
      </w:pPr>
      <w:r>
        <w:t xml:space="preserve">Looking at the </w:t>
      </w:r>
      <w:r w:rsidR="00440E89">
        <w:t>AS/NZS 4013</w:t>
      </w:r>
      <w:r w:rsidR="00DC7CF7">
        <w:t xml:space="preserve"> emissions and CM1 </w:t>
      </w:r>
      <w:r w:rsidR="0068062D">
        <w:t>emissions</w:t>
      </w:r>
      <w:r w:rsidR="00DC7CF7">
        <w:t xml:space="preserve"> in </w:t>
      </w:r>
      <w:r w:rsidR="00004AD6">
        <w:fldChar w:fldCharType="begin"/>
      </w:r>
      <w:r w:rsidR="00004AD6">
        <w:instrText xml:space="preserve"> REF _Ref31874319 \h </w:instrText>
      </w:r>
      <w:r w:rsidR="00004AD6">
        <w:fldChar w:fldCharType="separate"/>
      </w:r>
      <w:r w:rsidR="00CD682F" w:rsidRPr="00EA2B3D">
        <w:t xml:space="preserve">Table </w:t>
      </w:r>
      <w:r w:rsidR="00CD682F">
        <w:rPr>
          <w:noProof/>
        </w:rPr>
        <w:t>7</w:t>
      </w:r>
      <w:r w:rsidR="00004AD6">
        <w:fldChar w:fldCharType="end"/>
      </w:r>
      <w:r w:rsidR="00004AD6">
        <w:t xml:space="preserve"> </w:t>
      </w:r>
      <w:r w:rsidR="00C20FA8">
        <w:t>one possible</w:t>
      </w:r>
      <w:r w:rsidR="00DB2D6A">
        <w:t xml:space="preserve"> conclu</w:t>
      </w:r>
      <w:r w:rsidR="00C20FA8">
        <w:t xml:space="preserve">sion is </w:t>
      </w:r>
      <w:r w:rsidR="0068062D">
        <w:t>that</w:t>
      </w:r>
      <w:r w:rsidR="00CE2CD4">
        <w:t xml:space="preserve"> reduced real life </w:t>
      </w:r>
      <w:r w:rsidR="0068062D">
        <w:t>emissions</w:t>
      </w:r>
      <w:r w:rsidR="00CE2CD4">
        <w:t xml:space="preserve"> could be </w:t>
      </w:r>
      <w:r w:rsidR="0068062D">
        <w:t>achieved</w:t>
      </w:r>
      <w:r w:rsidR="00CE2CD4">
        <w:t xml:space="preserve"> by adopting lower </w:t>
      </w:r>
      <w:r w:rsidR="0068062D">
        <w:t>regulated</w:t>
      </w:r>
      <w:r w:rsidR="005025CA">
        <w:t xml:space="preserve"> </w:t>
      </w:r>
      <w:r w:rsidR="0068062D">
        <w:t>emissions</w:t>
      </w:r>
      <w:r w:rsidR="005025CA">
        <w:t xml:space="preserve"> levels based on </w:t>
      </w:r>
      <w:r w:rsidR="004D0062">
        <w:t>AS/NZS 4013</w:t>
      </w:r>
      <w:r w:rsidR="005025CA">
        <w:t xml:space="preserve"> testing </w:t>
      </w:r>
      <w:r w:rsidR="009A75E8">
        <w:t>without</w:t>
      </w:r>
      <w:r w:rsidR="00844E1F">
        <w:t xml:space="preserve"> the need to </w:t>
      </w:r>
      <w:r w:rsidR="009A75E8">
        <w:t>implement</w:t>
      </w:r>
      <w:r w:rsidR="00844E1F">
        <w:t xml:space="preserve"> a simulated </w:t>
      </w:r>
      <w:r w:rsidR="009A75E8">
        <w:t>real</w:t>
      </w:r>
      <w:r w:rsidR="00844E1F">
        <w:t xml:space="preserve"> life testing </w:t>
      </w:r>
      <w:r w:rsidR="00E30581">
        <w:t>method.</w:t>
      </w:r>
      <w:r w:rsidR="005025CA">
        <w:t xml:space="preserve"> </w:t>
      </w:r>
    </w:p>
    <w:p w14:paraId="10225ED5" w14:textId="77777777" w:rsidR="00D73461" w:rsidRDefault="00D73461" w:rsidP="00EC0A04">
      <w:pPr>
        <w:pStyle w:val="NoSpacing"/>
        <w:ind w:left="360"/>
        <w:rPr>
          <w:rFonts w:eastAsia="Times New Roman"/>
        </w:rPr>
      </w:pPr>
    </w:p>
    <w:p w14:paraId="63F76BA5" w14:textId="07375F56" w:rsidR="00DF1618" w:rsidRPr="00227625" w:rsidRDefault="00DF1618" w:rsidP="00CE627E">
      <w:pPr>
        <w:pStyle w:val="Heading2"/>
        <w:numPr>
          <w:ilvl w:val="1"/>
          <w:numId w:val="6"/>
        </w:numPr>
        <w:ind w:left="1134" w:hanging="774"/>
        <w:rPr>
          <w:sz w:val="22"/>
          <w:szCs w:val="22"/>
        </w:rPr>
      </w:pPr>
      <w:bookmarkStart w:id="57" w:name="_Ref31890979"/>
      <w:bookmarkStart w:id="58" w:name="_Toc34586699"/>
      <w:r w:rsidRPr="00227625">
        <w:rPr>
          <w:sz w:val="22"/>
          <w:szCs w:val="22"/>
        </w:rPr>
        <w:t>The appropriateness and workability of allowing secondary emissions reduction devices  through the NES.</w:t>
      </w:r>
      <w:bookmarkEnd w:id="57"/>
      <w:bookmarkEnd w:id="58"/>
    </w:p>
    <w:p w14:paraId="343CD57F" w14:textId="0C94BA8C" w:rsidR="00DF1618" w:rsidRDefault="00DF1618" w:rsidP="00090866"/>
    <w:p w14:paraId="0DEFDECB" w14:textId="0CC2DEF3" w:rsidR="00A93D1A" w:rsidRDefault="00A93D1A" w:rsidP="00A93D1A">
      <w:pPr>
        <w:pStyle w:val="NoSpacing"/>
        <w:jc w:val="both"/>
      </w:pPr>
      <w:r>
        <w:t xml:space="preserve">Technological solutions are available to be attached to a solid fuel burner to trap particulate emissions and thus reduce the quantity of emissions going into the air.  Such technologies are not currently referred to in the </w:t>
      </w:r>
      <w:r w:rsidR="004D0062">
        <w:t>NESAQ</w:t>
      </w:r>
      <w:r>
        <w:t xml:space="preserve">. </w:t>
      </w:r>
    </w:p>
    <w:p w14:paraId="4642D70E" w14:textId="77777777" w:rsidR="00A93D1A" w:rsidRDefault="00A93D1A" w:rsidP="00A93D1A">
      <w:pPr>
        <w:pStyle w:val="NoSpacing"/>
        <w:jc w:val="both"/>
      </w:pPr>
    </w:p>
    <w:p w14:paraId="0D410E9A" w14:textId="12885A0A" w:rsidR="00A93D1A" w:rsidRPr="0004661C" w:rsidRDefault="004D0062" w:rsidP="00A93D1A">
      <w:pPr>
        <w:pStyle w:val="NoSpacing"/>
        <w:jc w:val="both"/>
      </w:pPr>
      <w:r>
        <w:t>Environment Canterbury</w:t>
      </w:r>
      <w:r w:rsidR="00A93D1A">
        <w:t xml:space="preserve"> has referred to such devices in their </w:t>
      </w:r>
      <w:r>
        <w:t>CARP</w:t>
      </w:r>
      <w:r w:rsidR="00A93D1A">
        <w:t xml:space="preserve"> and has defined them as a “s</w:t>
      </w:r>
      <w:r w:rsidR="00A93D1A" w:rsidRPr="00FB0FBC">
        <w:t>econdary emission reduction device</w:t>
      </w:r>
      <w:r w:rsidR="00A93D1A">
        <w:t xml:space="preserve">” (SERD) with the purpose of reducing the particulates from a small-scale heating appliance.  </w:t>
      </w:r>
    </w:p>
    <w:p w14:paraId="13D9ED9C" w14:textId="77777777" w:rsidR="00A93D1A" w:rsidRDefault="00A93D1A" w:rsidP="00A93D1A">
      <w:pPr>
        <w:pStyle w:val="NoSpacing"/>
        <w:jc w:val="both"/>
      </w:pPr>
    </w:p>
    <w:p w14:paraId="2A7D2DF9" w14:textId="7E3AFE4B" w:rsidR="00A93D1A" w:rsidRDefault="004D0062" w:rsidP="00A93D1A">
      <w:pPr>
        <w:pStyle w:val="NoSpacing"/>
        <w:jc w:val="both"/>
      </w:pPr>
      <w:r>
        <w:t>Environment Canterbury</w:t>
      </w:r>
      <w:r w:rsidR="00A93D1A">
        <w:t xml:space="preserve"> and </w:t>
      </w:r>
      <w:r>
        <w:t>West Coast Regional Council</w:t>
      </w:r>
      <w:r w:rsidR="00A93D1A">
        <w:t xml:space="preserve"> have both investigated a specific example of a SERD, the OekoTube device manufactured by OekoSolve in Switzerland.  </w:t>
      </w:r>
      <w:r>
        <w:t>Environment Canterbury</w:t>
      </w:r>
      <w:r w:rsidR="00A93D1A">
        <w:t xml:space="preserve"> has arranged laboratory testing on </w:t>
      </w:r>
      <w:r w:rsidR="005E788D">
        <w:t xml:space="preserve">an OekoTube fitted to </w:t>
      </w:r>
      <w:r w:rsidR="00A93D1A">
        <w:t xml:space="preserve">three low emission burners and </w:t>
      </w:r>
      <w:r>
        <w:t>West Coast Regional Council</w:t>
      </w:r>
      <w:r w:rsidR="00A93D1A">
        <w:t xml:space="preserve"> has installed OekoTubes in two homes in </w:t>
      </w:r>
      <w:r w:rsidR="00A93D1A" w:rsidRPr="00315889">
        <w:t>Reefton, one being a multi-fuel burner, burning wood and coal, and the other burning only coal.</w:t>
      </w:r>
    </w:p>
    <w:p w14:paraId="6F4E4FE2" w14:textId="77777777" w:rsidR="008A77BE" w:rsidRDefault="008A77BE" w:rsidP="00A93D1A">
      <w:pPr>
        <w:pStyle w:val="NoSpacing"/>
        <w:jc w:val="both"/>
      </w:pPr>
    </w:p>
    <w:p w14:paraId="1F597B0E" w14:textId="41F38658" w:rsidR="00A93D1A" w:rsidRDefault="00A93D1A" w:rsidP="0075513C">
      <w:pPr>
        <w:pStyle w:val="NoSpacing"/>
        <w:jc w:val="both"/>
      </w:pPr>
      <w:r>
        <w:t>The OekoTube is an emission</w:t>
      </w:r>
      <w:r w:rsidR="00D972C6">
        <w:t>s</w:t>
      </w:r>
      <w:r>
        <w:t xml:space="preserve"> control device that can be fitted to any small-scale s</w:t>
      </w:r>
      <w:r w:rsidR="00335979">
        <w:t>o</w:t>
      </w:r>
      <w:r>
        <w:t xml:space="preserve">lid fuel heating appliance to significantly reduce the particulate emissions.  The OekoTube uses electrostatic precipitation similar to the technology used on a much larger scale in industrial electrostatic precipitators such as </w:t>
      </w:r>
      <w:r w:rsidR="00A61474">
        <w:t xml:space="preserve">at </w:t>
      </w:r>
      <w:r w:rsidR="00B04939">
        <w:t>Huntly</w:t>
      </w:r>
      <w:r w:rsidR="00A61474">
        <w:t xml:space="preserve"> P</w:t>
      </w:r>
      <w:r>
        <w:t xml:space="preserve">ower </w:t>
      </w:r>
      <w:r w:rsidR="00A61474">
        <w:t>S</w:t>
      </w:r>
      <w:r>
        <w:t>tation.</w:t>
      </w:r>
    </w:p>
    <w:p w14:paraId="46D29A82" w14:textId="77777777" w:rsidR="00A93D1A" w:rsidRDefault="00A93D1A" w:rsidP="0075513C">
      <w:pPr>
        <w:pStyle w:val="NoSpacing"/>
        <w:jc w:val="both"/>
      </w:pPr>
    </w:p>
    <w:p w14:paraId="187E3F93" w14:textId="0314246B" w:rsidR="00A93D1A" w:rsidRDefault="00A93D1A" w:rsidP="00A93D1A">
      <w:pPr>
        <w:pStyle w:val="NoSpacing"/>
        <w:jc w:val="both"/>
      </w:pPr>
      <w:r>
        <w:t>The OekoTube is connected to a mains power supply.  A transformer within the device converts this to a high voltage of the order of 15000 to 30000V.  A 1.5m long electrode within the device causes particulates to become polarised and are then attracted to the wall of the tube and accumulate into coarser material.  These accumulated particles either fall off when they reach a certain size or are removed with the periodic cleaning of the device.</w:t>
      </w:r>
      <w:r w:rsidR="00151AD9">
        <w:t xml:space="preserve">  Power used by the device is small</w:t>
      </w:r>
      <w:r w:rsidR="00BA7938">
        <w:t xml:space="preserve">, with a maximum </w:t>
      </w:r>
      <w:r w:rsidR="000D5A27">
        <w:t>draw</w:t>
      </w:r>
      <w:r w:rsidR="00BA7938">
        <w:t xml:space="preserve"> of 30 W.</w:t>
      </w:r>
    </w:p>
    <w:p w14:paraId="3E59B5C8" w14:textId="77777777" w:rsidR="00A93D1A" w:rsidRDefault="00A93D1A" w:rsidP="00A93D1A">
      <w:pPr>
        <w:pStyle w:val="NoSpacing"/>
        <w:jc w:val="both"/>
      </w:pPr>
    </w:p>
    <w:p w14:paraId="129F8929" w14:textId="77777777" w:rsidR="00A93D1A" w:rsidRDefault="00A93D1A" w:rsidP="00A93D1A">
      <w:pPr>
        <w:pStyle w:val="NoSpacing"/>
        <w:jc w:val="both"/>
      </w:pPr>
      <w:r>
        <w:t>The OekoTube does not remove condensable volatile organic compounds in the flue gases.  These compounds will condense out to form particulates at lower (ambient) air temperature.</w:t>
      </w:r>
    </w:p>
    <w:p w14:paraId="0D5D92A9" w14:textId="77777777" w:rsidR="00A93D1A" w:rsidRDefault="00A93D1A" w:rsidP="00A93D1A">
      <w:pPr>
        <w:pStyle w:val="NoSpacing"/>
        <w:jc w:val="both"/>
      </w:pPr>
    </w:p>
    <w:p w14:paraId="59D009AD" w14:textId="66E68689" w:rsidR="00A93D1A" w:rsidRDefault="004D0062" w:rsidP="00A93D1A">
      <w:pPr>
        <w:pStyle w:val="NoSpacing"/>
        <w:jc w:val="both"/>
      </w:pPr>
      <w:r>
        <w:t>Environment Canterbury</w:t>
      </w:r>
      <w:r w:rsidR="00A93D1A">
        <w:t xml:space="preserve"> has recently authorised the use of the OekoTube on burners up to a rated emissions of 1.5 g/kg on the expectation that </w:t>
      </w:r>
      <w:r w:rsidR="00440ED4">
        <w:t xml:space="preserve">at least </w:t>
      </w:r>
      <w:r w:rsidR="00A93D1A">
        <w:t>2/3 of particulates will be removed, thus making the burner/OekoTube combination effectively a sub-0.5</w:t>
      </w:r>
      <w:r w:rsidR="00794742">
        <w:t xml:space="preserve"> </w:t>
      </w:r>
      <w:r w:rsidR="00A93D1A">
        <w:t>g/kg burner.  Conditions of this consent include hard wiring it into the home’s power supply, using the OekoTube at all times that the burner is in operation and having a cleaning and maintenance contract to ensure that the device continues to effectively remove particulate material.</w:t>
      </w:r>
    </w:p>
    <w:p w14:paraId="1D10191A" w14:textId="77777777" w:rsidR="00A93D1A" w:rsidRDefault="00A93D1A" w:rsidP="00A93D1A">
      <w:pPr>
        <w:pStyle w:val="NoSpacing"/>
        <w:jc w:val="both"/>
      </w:pPr>
    </w:p>
    <w:p w14:paraId="16D518F3" w14:textId="77777777" w:rsidR="003C0152" w:rsidRDefault="00A93D1A" w:rsidP="00A93D1A">
      <w:pPr>
        <w:pStyle w:val="NoSpacing"/>
        <w:jc w:val="both"/>
      </w:pPr>
      <w:r>
        <w:t xml:space="preserve">There is an argument that the performance of such devices is independent of the burner that they are connected to, i.e. the burner is simply a source of emissions.  </w:t>
      </w:r>
      <w:r w:rsidR="003D7A89">
        <w:t xml:space="preserve">The effectiveness of the OekoTube is reported to be based on the amount of time </w:t>
      </w:r>
      <w:r w:rsidR="00BC0BB4">
        <w:t xml:space="preserve">it takes for flue gases to pass through the device.  </w:t>
      </w:r>
    </w:p>
    <w:p w14:paraId="72732F73" w14:textId="77777777" w:rsidR="003C0152" w:rsidRDefault="003C0152" w:rsidP="00A93D1A">
      <w:pPr>
        <w:pStyle w:val="NoSpacing"/>
        <w:jc w:val="both"/>
      </w:pPr>
    </w:p>
    <w:p w14:paraId="0D9FB977" w14:textId="31E44130" w:rsidR="00A93D1A" w:rsidRDefault="00A93D1A" w:rsidP="00A93D1A">
      <w:pPr>
        <w:pStyle w:val="NoSpacing"/>
        <w:jc w:val="both"/>
      </w:pPr>
      <w:r>
        <w:t>Two small scale trials have been carried out in NZ to attempt to see how they perform.</w:t>
      </w:r>
    </w:p>
    <w:p w14:paraId="210B0A56" w14:textId="77777777" w:rsidR="00A93D1A" w:rsidRDefault="00A93D1A" w:rsidP="00A93D1A">
      <w:pPr>
        <w:pStyle w:val="NoSpacing"/>
        <w:jc w:val="both"/>
      </w:pPr>
    </w:p>
    <w:p w14:paraId="3F984070" w14:textId="2ACA1E22" w:rsidR="00A93D1A" w:rsidRDefault="004D0062" w:rsidP="00A93D1A">
      <w:pPr>
        <w:pStyle w:val="NoSpacing"/>
        <w:jc w:val="both"/>
      </w:pPr>
      <w:r>
        <w:t>Environment Canterbury</w:t>
      </w:r>
      <w:r w:rsidR="00A93D1A">
        <w:t xml:space="preserve"> and EECA collaborated on a laboratory trial of </w:t>
      </w:r>
      <w:r w:rsidR="001C076D">
        <w:t>an</w:t>
      </w:r>
      <w:r w:rsidR="00A93D1A">
        <w:t xml:space="preserve"> OekoTube at Spectrum Laboratories in </w:t>
      </w:r>
      <w:r w:rsidR="00A93D1A" w:rsidRPr="004523AC">
        <w:t>2015</w:t>
      </w:r>
      <w:r w:rsidR="00A93D1A">
        <w:t xml:space="preserve">.   The purpose of this study was to test the OekoTube on three different sub 1.5g/kg </w:t>
      </w:r>
      <w:r>
        <w:t>woodburner</w:t>
      </w:r>
      <w:r w:rsidR="00A93D1A">
        <w:t>s.  Testing showed an average particulate removal of 72%.  Laboratory staff commented that the OekoTube was visually very effective, noting reductions in smoke from the flue and the build-up of particulates on this inside of the device – see photos below:</w:t>
      </w:r>
    </w:p>
    <w:p w14:paraId="6DBE5FE6" w14:textId="3D3214FD" w:rsidR="009B271D" w:rsidRDefault="009B271D">
      <w:pPr>
        <w:spacing w:before="0" w:after="200" w:line="276" w:lineRule="auto"/>
        <w:jc w:val="left"/>
        <w:rPr>
          <w:b/>
          <w:bCs/>
          <w:color w:val="4F81BD" w:themeColor="accent1"/>
          <w:szCs w:val="22"/>
        </w:rPr>
      </w:pPr>
    </w:p>
    <w:p w14:paraId="355BC34D" w14:textId="476C7C61" w:rsidR="003440E6" w:rsidRPr="00844F25" w:rsidRDefault="00570797" w:rsidP="00570797">
      <w:pPr>
        <w:pStyle w:val="Caption"/>
        <w:rPr>
          <w:sz w:val="22"/>
          <w:szCs w:val="22"/>
        </w:rPr>
      </w:pPr>
      <w:r w:rsidRPr="00844F25">
        <w:rPr>
          <w:sz w:val="22"/>
          <w:szCs w:val="22"/>
        </w:rPr>
        <w:t xml:space="preserve">Figure </w:t>
      </w:r>
      <w:r w:rsidRPr="00844F25">
        <w:rPr>
          <w:sz w:val="22"/>
          <w:szCs w:val="22"/>
        </w:rPr>
        <w:fldChar w:fldCharType="begin"/>
      </w:r>
      <w:r w:rsidRPr="00844F25">
        <w:rPr>
          <w:sz w:val="22"/>
          <w:szCs w:val="22"/>
        </w:rPr>
        <w:instrText xml:space="preserve"> SEQ Figure \* ARABIC </w:instrText>
      </w:r>
      <w:r w:rsidRPr="00844F25">
        <w:rPr>
          <w:sz w:val="22"/>
          <w:szCs w:val="22"/>
        </w:rPr>
        <w:fldChar w:fldCharType="separate"/>
      </w:r>
      <w:r w:rsidR="00CD682F">
        <w:rPr>
          <w:noProof/>
          <w:sz w:val="22"/>
          <w:szCs w:val="22"/>
        </w:rPr>
        <w:t>1</w:t>
      </w:r>
      <w:r w:rsidRPr="00844F25">
        <w:rPr>
          <w:sz w:val="22"/>
          <w:szCs w:val="22"/>
        </w:rPr>
        <w:fldChar w:fldCharType="end"/>
      </w:r>
      <w:r w:rsidRPr="00844F25">
        <w:rPr>
          <w:sz w:val="22"/>
          <w:szCs w:val="22"/>
        </w:rPr>
        <w:t xml:space="preserve">: Inside of OekoTube </w:t>
      </w:r>
      <w:r w:rsidR="00844F25" w:rsidRPr="00844F25">
        <w:rPr>
          <w:sz w:val="22"/>
          <w:szCs w:val="22"/>
        </w:rPr>
        <w:t>A</w:t>
      </w:r>
      <w:r w:rsidRPr="00844F25">
        <w:rPr>
          <w:sz w:val="22"/>
          <w:szCs w:val="22"/>
        </w:rPr>
        <w:t xml:space="preserve">fter </w:t>
      </w:r>
      <w:r w:rsidR="00844F25" w:rsidRPr="00844F25">
        <w:rPr>
          <w:sz w:val="22"/>
          <w:szCs w:val="22"/>
        </w:rPr>
        <w:t>O</w:t>
      </w:r>
      <w:r w:rsidRPr="00844F25">
        <w:rPr>
          <w:sz w:val="22"/>
          <w:szCs w:val="22"/>
        </w:rPr>
        <w:t>peration</w:t>
      </w:r>
    </w:p>
    <w:p w14:paraId="4EECCF32" w14:textId="77777777" w:rsidR="00A93D1A" w:rsidRDefault="00A93D1A" w:rsidP="00A93D1A">
      <w:pPr>
        <w:pStyle w:val="NoSpacing"/>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A93D1A" w:rsidRPr="00102DF5" w14:paraId="28234C00" w14:textId="77777777" w:rsidTr="001429BA">
        <w:trPr>
          <w:trHeight w:val="1994"/>
        </w:trPr>
        <w:tc>
          <w:tcPr>
            <w:tcW w:w="4508" w:type="dxa"/>
          </w:tcPr>
          <w:p w14:paraId="6DD58814" w14:textId="2646288B" w:rsidR="00A93D1A" w:rsidRPr="00102DF5" w:rsidRDefault="00A93D1A" w:rsidP="001429BA">
            <w:pPr>
              <w:pStyle w:val="NoSpacing"/>
              <w:jc w:val="both"/>
            </w:pPr>
            <w:r>
              <w:rPr>
                <w:noProof/>
              </w:rPr>
              <w:drawing>
                <wp:inline distT="0" distB="0" distL="0" distR="0" wp14:anchorId="43B3DAB6" wp14:editId="5ADE0E93">
                  <wp:extent cx="2621280" cy="1967849"/>
                  <wp:effectExtent l="0" t="0" r="7620" b="0"/>
                  <wp:docPr id="6" name="Picture 6" descr="A picture containing indoor, wall,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oTube insid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0892" cy="2005094"/>
                          </a:xfrm>
                          <a:prstGeom prst="rect">
                            <a:avLst/>
                          </a:prstGeom>
                        </pic:spPr>
                      </pic:pic>
                    </a:graphicData>
                  </a:graphic>
                </wp:inline>
              </w:drawing>
            </w:r>
          </w:p>
        </w:tc>
        <w:tc>
          <w:tcPr>
            <w:tcW w:w="4508" w:type="dxa"/>
          </w:tcPr>
          <w:p w14:paraId="33D25C14" w14:textId="77777777" w:rsidR="00A93D1A" w:rsidRPr="00102DF5" w:rsidRDefault="00A93D1A" w:rsidP="001429BA">
            <w:pPr>
              <w:pStyle w:val="NoSpacing"/>
              <w:jc w:val="both"/>
            </w:pPr>
            <w:r>
              <w:rPr>
                <w:noProof/>
              </w:rPr>
              <w:drawing>
                <wp:inline distT="0" distB="0" distL="0" distR="0" wp14:anchorId="043EED67" wp14:editId="2ABB9475">
                  <wp:extent cx="2659380" cy="1992618"/>
                  <wp:effectExtent l="0" t="0" r="7620" b="8255"/>
                  <wp:docPr id="7" name="Picture 7"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ekoTube inside 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05014" cy="2026811"/>
                          </a:xfrm>
                          <a:prstGeom prst="rect">
                            <a:avLst/>
                          </a:prstGeom>
                        </pic:spPr>
                      </pic:pic>
                    </a:graphicData>
                  </a:graphic>
                </wp:inline>
              </w:drawing>
            </w:r>
          </w:p>
        </w:tc>
      </w:tr>
    </w:tbl>
    <w:p w14:paraId="6D276294" w14:textId="77777777" w:rsidR="00A93D1A" w:rsidRDefault="00A93D1A" w:rsidP="00A93D1A">
      <w:pPr>
        <w:pStyle w:val="NoSpacing"/>
        <w:jc w:val="both"/>
      </w:pPr>
    </w:p>
    <w:p w14:paraId="1AFDCC04" w14:textId="77777777" w:rsidR="00A93D1A" w:rsidRDefault="00A93D1A" w:rsidP="00A93D1A">
      <w:pPr>
        <w:pStyle w:val="NoSpacing"/>
        <w:jc w:val="both"/>
      </w:pPr>
    </w:p>
    <w:p w14:paraId="15887FDC" w14:textId="73A514B6" w:rsidR="00A93D1A" w:rsidRDefault="00AA7F9B" w:rsidP="00A93D1A">
      <w:pPr>
        <w:pStyle w:val="NoSpacing"/>
        <w:jc w:val="both"/>
      </w:pPr>
      <w:r>
        <w:t>West Coast Regional Council</w:t>
      </w:r>
      <w:r w:rsidR="00A93D1A">
        <w:t xml:space="preserve"> also arranged laboratory tests on an OekoTube in 2014 at Applied Research Services which showed 90-97% removal of PM</w:t>
      </w:r>
      <w:r w:rsidR="00A93D1A" w:rsidRPr="000E4F03">
        <w:rPr>
          <w:vertAlign w:val="subscript"/>
        </w:rPr>
        <w:t>10</w:t>
      </w:r>
      <w:r w:rsidR="00A93D1A">
        <w:t xml:space="preserve"> on low burner start-up and around 58% overall.  </w:t>
      </w:r>
      <w:r>
        <w:t>West Coast Regional Council</w:t>
      </w:r>
      <w:r w:rsidR="00A93D1A">
        <w:t xml:space="preserve"> concluded from their field trials that the devices “worked well” in real life.</w:t>
      </w:r>
    </w:p>
    <w:p w14:paraId="309DDC8F" w14:textId="77777777" w:rsidR="00A93D1A" w:rsidRDefault="00A93D1A" w:rsidP="00A93D1A">
      <w:pPr>
        <w:pStyle w:val="NoSpacing"/>
        <w:jc w:val="both"/>
      </w:pPr>
    </w:p>
    <w:p w14:paraId="33233849" w14:textId="623A0E9C" w:rsidR="00A93D1A" w:rsidRDefault="00A93D1A" w:rsidP="00A93D1A">
      <w:pPr>
        <w:pStyle w:val="NoSpacing"/>
        <w:jc w:val="both"/>
      </w:pPr>
      <w:r w:rsidRPr="00FB0FBC">
        <w:lastRenderedPageBreak/>
        <w:t xml:space="preserve">Secondary emission reduction devices </w:t>
      </w:r>
      <w:r>
        <w:t xml:space="preserve">such as the OekoTube have the potential to significantly reduce emissions from existing solid fuel burners and thus contribute to </w:t>
      </w:r>
      <w:r w:rsidR="00F865BE">
        <w:t>an</w:t>
      </w:r>
      <w:r>
        <w:t xml:space="preserve"> improvement in air quality.  The data indicates a threefold reduction in particulates, so the installation of an OekoTube on burners of up to 3 g/kg would effectively make their emissions performance on a par with </w:t>
      </w:r>
      <w:r w:rsidR="00AC4737">
        <w:t xml:space="preserve">the </w:t>
      </w:r>
      <w:r w:rsidR="00EE14FA">
        <w:t>proposed</w:t>
      </w:r>
      <w:r>
        <w:t xml:space="preserve"> </w:t>
      </w:r>
      <w:r w:rsidR="002E0BC9">
        <w:t xml:space="preserve">amended </w:t>
      </w:r>
      <w:r w:rsidR="004D0062">
        <w:t>NESAQ</w:t>
      </w:r>
      <w:r>
        <w:t xml:space="preserve"> compliant 1</w:t>
      </w:r>
      <w:r w:rsidR="007F075C">
        <w:t>.0</w:t>
      </w:r>
      <w:r>
        <w:t xml:space="preserve"> g/kg burner, </w:t>
      </w:r>
      <w:r w:rsidR="00F865BE">
        <w:t>providing</w:t>
      </w:r>
      <w:r>
        <w:t xml:space="preserve"> that the device was maintained in good condition and remained connected to a power supply.</w:t>
      </w:r>
    </w:p>
    <w:p w14:paraId="6933164B" w14:textId="77777777" w:rsidR="00A93D1A" w:rsidRDefault="00A93D1A" w:rsidP="0075513C">
      <w:pPr>
        <w:pStyle w:val="NoSpacing"/>
        <w:jc w:val="both"/>
      </w:pPr>
    </w:p>
    <w:p w14:paraId="67EB29EA" w14:textId="3A1FE9F1" w:rsidR="00A93D1A" w:rsidRDefault="00A93D1A" w:rsidP="0075513C">
      <w:pPr>
        <w:pStyle w:val="NoSpacing"/>
        <w:jc w:val="both"/>
      </w:pPr>
      <w:r>
        <w:t>The cost of an OekoTube is around $2800 plus installation.  Bulk discount pricing may be available.</w:t>
      </w:r>
      <w:r w:rsidR="00E34194">
        <w:t xml:space="preserve">  </w:t>
      </w:r>
      <w:r w:rsidR="00CA7384">
        <w:t>The NZ agent for the OekoTube (</w:t>
      </w:r>
      <w:r w:rsidR="00B04939">
        <w:t>Envirosolve</w:t>
      </w:r>
      <w:r w:rsidR="00CA7384">
        <w:t>) propose</w:t>
      </w:r>
      <w:r w:rsidR="00876CF5">
        <w:t>s</w:t>
      </w:r>
      <w:r w:rsidR="00CA7384">
        <w:t xml:space="preserve"> a compulsory </w:t>
      </w:r>
      <w:r w:rsidR="00B04939">
        <w:t>servicing</w:t>
      </w:r>
      <w:r w:rsidR="00867F9F">
        <w:t xml:space="preserve"> programme to go with the device so as to </w:t>
      </w:r>
      <w:r w:rsidR="00B04939">
        <w:t>maintain</w:t>
      </w:r>
      <w:r w:rsidR="00867F9F">
        <w:t xml:space="preserve"> </w:t>
      </w:r>
      <w:r w:rsidR="00B04939">
        <w:t>performance</w:t>
      </w:r>
      <w:r w:rsidR="00867F9F">
        <w:t>.</w:t>
      </w:r>
    </w:p>
    <w:p w14:paraId="731F9085" w14:textId="1CF820A0" w:rsidR="00B829CA" w:rsidRDefault="00B829CA" w:rsidP="0075513C">
      <w:pPr>
        <w:pStyle w:val="NoSpacing"/>
        <w:jc w:val="both"/>
      </w:pPr>
    </w:p>
    <w:p w14:paraId="76085996" w14:textId="5E660F30" w:rsidR="00B829CA" w:rsidRDefault="00B829CA" w:rsidP="0075513C">
      <w:pPr>
        <w:pStyle w:val="NoSpacing"/>
        <w:jc w:val="both"/>
      </w:pPr>
      <w:r>
        <w:t xml:space="preserve">A device of this nature could be an effective option for use </w:t>
      </w:r>
      <w:r w:rsidR="00310DAB">
        <w:t xml:space="preserve">in heritage buildings </w:t>
      </w:r>
      <w:r w:rsidR="002956DB">
        <w:t>with</w:t>
      </w:r>
      <w:r w:rsidR="00310DAB">
        <w:t xml:space="preserve"> open fires</w:t>
      </w:r>
      <w:r w:rsidR="00383DE8">
        <w:t xml:space="preserve">, or in conjunction with </w:t>
      </w:r>
      <w:r w:rsidR="00402B4F">
        <w:t xml:space="preserve">a coal </w:t>
      </w:r>
      <w:r w:rsidR="00B57233">
        <w:t>burner</w:t>
      </w:r>
      <w:r w:rsidR="00402B4F">
        <w:t xml:space="preserve"> where there is a local </w:t>
      </w:r>
      <w:r w:rsidR="00AB3867">
        <w:t xml:space="preserve">desire to </w:t>
      </w:r>
      <w:r w:rsidR="00B57233">
        <w:t>continue</w:t>
      </w:r>
      <w:r w:rsidR="00AB3867">
        <w:t xml:space="preserve"> </w:t>
      </w:r>
      <w:r w:rsidR="00B57233">
        <w:t>to</w:t>
      </w:r>
      <w:r w:rsidR="00AB3867">
        <w:t xml:space="preserve"> burn coal.</w:t>
      </w:r>
    </w:p>
    <w:p w14:paraId="1537D391" w14:textId="77777777" w:rsidR="00A537A8" w:rsidRDefault="00A537A8" w:rsidP="00970976">
      <w:pPr>
        <w:pStyle w:val="NoSpacing"/>
        <w:jc w:val="both"/>
      </w:pPr>
    </w:p>
    <w:p w14:paraId="45BB84AB" w14:textId="7592B464" w:rsidR="00924922" w:rsidRPr="00227625" w:rsidRDefault="00F45F63" w:rsidP="00CE627E">
      <w:pPr>
        <w:pStyle w:val="Heading2"/>
        <w:numPr>
          <w:ilvl w:val="1"/>
          <w:numId w:val="6"/>
        </w:numPr>
        <w:ind w:left="1276" w:hanging="916"/>
        <w:rPr>
          <w:sz w:val="22"/>
          <w:szCs w:val="22"/>
        </w:rPr>
      </w:pPr>
      <w:bookmarkStart w:id="59" w:name="_Ref31891012"/>
      <w:bookmarkStart w:id="60" w:name="_Toc34586700"/>
      <w:r>
        <w:rPr>
          <w:sz w:val="22"/>
          <w:szCs w:val="22"/>
        </w:rPr>
        <w:t>T</w:t>
      </w:r>
      <w:r w:rsidR="00924922" w:rsidRPr="00227625">
        <w:rPr>
          <w:sz w:val="22"/>
          <w:szCs w:val="22"/>
        </w:rPr>
        <w:t>he use of air circulation fans to lift efficiency to the NESAQ standard and issues associated with these fans.</w:t>
      </w:r>
      <w:bookmarkEnd w:id="59"/>
      <w:bookmarkEnd w:id="60"/>
    </w:p>
    <w:p w14:paraId="08743627" w14:textId="6D4E1E54" w:rsidR="00924922" w:rsidRDefault="00924922" w:rsidP="00924922">
      <w:pPr>
        <w:pStyle w:val="NoSpacing"/>
        <w:ind w:left="360"/>
        <w:rPr>
          <w:rFonts w:eastAsia="Times New Roman"/>
        </w:rPr>
      </w:pPr>
    </w:p>
    <w:p w14:paraId="46F48E24" w14:textId="76D16F3A" w:rsidR="00B3349F" w:rsidRDefault="00B3349F" w:rsidP="008D1AEA">
      <w:pPr>
        <w:pStyle w:val="NoSpacing"/>
        <w:jc w:val="both"/>
      </w:pPr>
      <w:r w:rsidRPr="006749EB">
        <w:t xml:space="preserve">Pioneer Manufacturing </w:t>
      </w:r>
      <w:r w:rsidR="0070324F" w:rsidRPr="006749EB">
        <w:t>recently</w:t>
      </w:r>
      <w:r w:rsidRPr="006749EB">
        <w:t xml:space="preserve"> (</w:t>
      </w:r>
      <w:r w:rsidR="009C12AD" w:rsidRPr="006749EB">
        <w:t>October 2018</w:t>
      </w:r>
      <w:r w:rsidRPr="006749EB">
        <w:t xml:space="preserve">) had </w:t>
      </w:r>
      <w:r w:rsidR="0070324F" w:rsidRPr="006749EB">
        <w:t>their</w:t>
      </w:r>
      <w:r w:rsidRPr="006749EB">
        <w:t xml:space="preserve"> </w:t>
      </w:r>
      <w:r w:rsidR="0070324F" w:rsidRPr="006749EB">
        <w:t>Metro</w:t>
      </w:r>
      <w:r w:rsidRPr="006749EB">
        <w:t xml:space="preserve"> Wee Rad </w:t>
      </w:r>
      <w:r w:rsidR="0070324F" w:rsidRPr="006749EB">
        <w:t>Ultra</w:t>
      </w:r>
      <w:r w:rsidRPr="006749EB">
        <w:t xml:space="preserve"> freestanding burner</w:t>
      </w:r>
      <w:r>
        <w:t xml:space="preserve"> </w:t>
      </w:r>
      <w:r w:rsidR="0070324F">
        <w:t>authorised</w:t>
      </w:r>
      <w:r>
        <w:t xml:space="preserve"> as a ULEB by Environment Canterbury.</w:t>
      </w:r>
    </w:p>
    <w:p w14:paraId="2EFDC46F" w14:textId="77777777" w:rsidR="00B3349F" w:rsidRDefault="00B3349F" w:rsidP="008A77BE">
      <w:pPr>
        <w:pStyle w:val="NoSpacing"/>
        <w:jc w:val="both"/>
      </w:pPr>
    </w:p>
    <w:p w14:paraId="5865A97E" w14:textId="1D3DADDD" w:rsidR="00B3349F" w:rsidRDefault="00B3349F" w:rsidP="00D019CC">
      <w:pPr>
        <w:pStyle w:val="NoSpacing"/>
        <w:jc w:val="both"/>
      </w:pPr>
      <w:r>
        <w:t xml:space="preserve">As part of their consent </w:t>
      </w:r>
      <w:r w:rsidR="0018550B">
        <w:t>decision</w:t>
      </w:r>
      <w:r>
        <w:t xml:space="preserve">, </w:t>
      </w:r>
      <w:r w:rsidR="00F03A84">
        <w:t>Environment Canterbury</w:t>
      </w:r>
      <w:r>
        <w:t xml:space="preserve"> required a permanently hardwired fan to be included in their Metro Wee Rad Ultra model.  </w:t>
      </w:r>
    </w:p>
    <w:p w14:paraId="4F243870" w14:textId="77777777" w:rsidR="00B3349F" w:rsidRDefault="00B3349F" w:rsidP="0075513C">
      <w:pPr>
        <w:pStyle w:val="NoSpacing"/>
        <w:jc w:val="both"/>
      </w:pPr>
    </w:p>
    <w:p w14:paraId="7EE98FD8" w14:textId="09E1A91A" w:rsidR="00A4361F" w:rsidRDefault="00691C0C" w:rsidP="00D019CC">
      <w:pPr>
        <w:pStyle w:val="NoSpacing"/>
        <w:jc w:val="both"/>
      </w:pPr>
      <w:r>
        <w:t>I</w:t>
      </w:r>
      <w:r w:rsidR="00B3349F">
        <w:t xml:space="preserve">t is clear that without an operational fan, </w:t>
      </w:r>
      <w:r>
        <w:t xml:space="preserve">the Metro Wee Rad Ultra </w:t>
      </w:r>
      <w:r w:rsidR="00B3349F">
        <w:t xml:space="preserve">would not achieve 65% </w:t>
      </w:r>
      <w:r w:rsidR="00340744">
        <w:t>efficiency</w:t>
      </w:r>
      <w:r w:rsidR="00B3349F">
        <w:t xml:space="preserve"> as the eff</w:t>
      </w:r>
      <w:r w:rsidR="00810B0F">
        <w:t>icie</w:t>
      </w:r>
      <w:r w:rsidR="00B3349F">
        <w:t>ncy with the fan</w:t>
      </w:r>
      <w:r w:rsidR="0033759A">
        <w:t xml:space="preserve"> </w:t>
      </w:r>
      <w:r w:rsidR="00305CAA">
        <w:t>operating</w:t>
      </w:r>
      <w:r w:rsidR="00B3349F">
        <w:t xml:space="preserve"> is only just </w:t>
      </w:r>
      <w:r w:rsidR="00810B0F">
        <w:t>compliant</w:t>
      </w:r>
      <w:r w:rsidR="00B3349F">
        <w:t xml:space="preserve"> at </w:t>
      </w:r>
      <w:r w:rsidR="00762FB6">
        <w:t>67</w:t>
      </w:r>
      <w:r w:rsidR="00B3349F">
        <w:t xml:space="preserve">%.  </w:t>
      </w:r>
      <w:r w:rsidR="00A4361F">
        <w:t xml:space="preserve">There is a risk that if it was left to the homeowner to plug the fire into an electricity socket, then they may opt not to do this with the result that efficiency would drop below the 65% required by the </w:t>
      </w:r>
      <w:r w:rsidR="004D0062">
        <w:t>NESAQ</w:t>
      </w:r>
      <w:r w:rsidR="00E4277D">
        <w:t xml:space="preserve"> and thus not be </w:t>
      </w:r>
      <w:r w:rsidR="00752652">
        <w:t>compliant</w:t>
      </w:r>
      <w:r w:rsidR="00A4361F">
        <w:t>.</w:t>
      </w:r>
    </w:p>
    <w:p w14:paraId="46D38DB7" w14:textId="77777777" w:rsidR="002B420E" w:rsidRDefault="002B420E" w:rsidP="00D019CC">
      <w:pPr>
        <w:pStyle w:val="NoSpacing"/>
        <w:jc w:val="both"/>
      </w:pPr>
    </w:p>
    <w:p w14:paraId="207E8EAD" w14:textId="34AA4541" w:rsidR="00B3349F" w:rsidRDefault="00B3349F" w:rsidP="00D019CC">
      <w:pPr>
        <w:pStyle w:val="NoSpacing"/>
        <w:jc w:val="both"/>
      </w:pPr>
      <w:r>
        <w:t xml:space="preserve">The </w:t>
      </w:r>
      <w:r w:rsidR="00810B0F">
        <w:t>impact</w:t>
      </w:r>
      <w:r>
        <w:t xml:space="preserve"> of a fitted fan not working would be less clear if the </w:t>
      </w:r>
      <w:r w:rsidR="00340744">
        <w:t>efficiency</w:t>
      </w:r>
      <w:r>
        <w:t xml:space="preserve"> </w:t>
      </w:r>
      <w:proofErr w:type="gramStart"/>
      <w:r>
        <w:t>was</w:t>
      </w:r>
      <w:proofErr w:type="gramEnd"/>
      <w:r>
        <w:t xml:space="preserve"> well above 65%</w:t>
      </w:r>
      <w:r w:rsidR="00033765">
        <w:t>.  H</w:t>
      </w:r>
      <w:r>
        <w:t>owever</w:t>
      </w:r>
      <w:r w:rsidR="00033765">
        <w:t>,</w:t>
      </w:r>
      <w:r>
        <w:t xml:space="preserve"> it could be </w:t>
      </w:r>
      <w:r w:rsidR="00810B0F">
        <w:t>argued</w:t>
      </w:r>
      <w:r>
        <w:t xml:space="preserve"> that a manufacturer would </w:t>
      </w:r>
      <w:r w:rsidR="00B247A1">
        <w:t xml:space="preserve">be </w:t>
      </w:r>
      <w:r w:rsidR="009A75E8">
        <w:t>unlikely</w:t>
      </w:r>
      <w:r w:rsidR="00B247A1">
        <w:t xml:space="preserve"> to</w:t>
      </w:r>
      <w:r>
        <w:t xml:space="preserve"> go to the </w:t>
      </w:r>
      <w:r w:rsidR="00810B0F">
        <w:t>trouble</w:t>
      </w:r>
      <w:r>
        <w:t>, expense and comple</w:t>
      </w:r>
      <w:r w:rsidR="00810B0F">
        <w:t>xi</w:t>
      </w:r>
      <w:r>
        <w:t xml:space="preserve">ty of fitting a fan if </w:t>
      </w:r>
      <w:r w:rsidR="005A183C">
        <w:t>the fan</w:t>
      </w:r>
      <w:r>
        <w:t xml:space="preserve"> </w:t>
      </w:r>
      <w:proofErr w:type="gramStart"/>
      <w:r>
        <w:t>wasn’t</w:t>
      </w:r>
      <w:proofErr w:type="gramEnd"/>
      <w:r>
        <w:t xml:space="preserve"> </w:t>
      </w:r>
      <w:r w:rsidR="00810B0F">
        <w:t>required</w:t>
      </w:r>
      <w:r>
        <w:t xml:space="preserve"> to achieve the minimum </w:t>
      </w:r>
      <w:r w:rsidR="00340744">
        <w:t>efficiency</w:t>
      </w:r>
      <w:r>
        <w:t xml:space="preserve"> threshold.</w:t>
      </w:r>
    </w:p>
    <w:p w14:paraId="2BB0A9D3" w14:textId="77777777" w:rsidR="00691C0C" w:rsidRDefault="00691C0C" w:rsidP="00D019CC">
      <w:pPr>
        <w:pStyle w:val="NoSpacing"/>
        <w:jc w:val="both"/>
      </w:pPr>
    </w:p>
    <w:p w14:paraId="717D67B9" w14:textId="3FA1AD0F" w:rsidR="00B72569" w:rsidRDefault="00B72569" w:rsidP="00D019CC">
      <w:pPr>
        <w:pStyle w:val="NoSpacing"/>
        <w:jc w:val="both"/>
      </w:pPr>
      <w:r w:rsidRPr="00B72569">
        <w:t xml:space="preserve">Section 3.5 of </w:t>
      </w:r>
      <w:r w:rsidR="004D0062">
        <w:t>Ministry for the Environment</w:t>
      </w:r>
      <w:r w:rsidR="00411A6C">
        <w:t>’s NZ Dom</w:t>
      </w:r>
      <w:r w:rsidR="00BA0D15">
        <w:t>est</w:t>
      </w:r>
      <w:r w:rsidR="00411A6C">
        <w:t>ic Solid Fu</w:t>
      </w:r>
      <w:r w:rsidR="00BA0D15">
        <w:t>el</w:t>
      </w:r>
      <w:r w:rsidR="00411A6C">
        <w:t xml:space="preserve"> </w:t>
      </w:r>
      <w:r w:rsidR="00BA0D15">
        <w:t>B</w:t>
      </w:r>
      <w:r w:rsidR="00411A6C">
        <w:t>urner Auth</w:t>
      </w:r>
      <w:r w:rsidR="00BA0D15">
        <w:t>ori</w:t>
      </w:r>
      <w:r w:rsidR="00411A6C">
        <w:t>sation Manual</w:t>
      </w:r>
      <w:r w:rsidRPr="00B72569">
        <w:t xml:space="preserve"> notes that “Authorising agents may list further special conditions, as necessary, for the satisfactory implementation of the authorisation”.  However, it is not clear whether </w:t>
      </w:r>
      <w:r w:rsidR="00C2496B">
        <w:t xml:space="preserve">such </w:t>
      </w:r>
      <w:r w:rsidR="0074033A">
        <w:t>conditions</w:t>
      </w:r>
      <w:r w:rsidRPr="00B72569">
        <w:t xml:space="preserve"> relate solely to installation in the agency’s territory, e.g. Canterbury, or whether it relates to all of NZ.</w:t>
      </w:r>
    </w:p>
    <w:p w14:paraId="3E3997B3" w14:textId="427D8C4A" w:rsidR="001B7C56" w:rsidRDefault="001B7C56" w:rsidP="00D019CC">
      <w:pPr>
        <w:pStyle w:val="NoSpacing"/>
        <w:jc w:val="both"/>
      </w:pPr>
    </w:p>
    <w:p w14:paraId="568F87BA" w14:textId="4B50165A" w:rsidR="001B7C56" w:rsidRDefault="001B7C56" w:rsidP="0075513C">
      <w:pPr>
        <w:pStyle w:val="NoSpacing"/>
        <w:jc w:val="both"/>
      </w:pPr>
      <w:r>
        <w:t>Air ci</w:t>
      </w:r>
      <w:r w:rsidR="00B816AB">
        <w:t>rcula</w:t>
      </w:r>
      <w:r>
        <w:t xml:space="preserve">tion fans wired into a home’s power supply draw only a small amount </w:t>
      </w:r>
      <w:r w:rsidR="00B816AB">
        <w:t>of</w:t>
      </w:r>
      <w:r>
        <w:t xml:space="preserve"> electricity, </w:t>
      </w:r>
      <w:r w:rsidR="00B816AB">
        <w:t>typically</w:t>
      </w:r>
      <w:r>
        <w:t xml:space="preserve"> of the order of 30 to 60 W.  Assuming a draw of 45 W, 5 hours operation per day and an electricity cost of 30c/kWh results in a</w:t>
      </w:r>
      <w:r w:rsidR="00A7666A">
        <w:t>n</w:t>
      </w:r>
      <w:r>
        <w:t xml:space="preserve"> </w:t>
      </w:r>
      <w:r w:rsidR="008869E4">
        <w:t>inc</w:t>
      </w:r>
      <w:r w:rsidR="00A7666A">
        <w:t>onsequential</w:t>
      </w:r>
      <w:r w:rsidR="001943AE">
        <w:t xml:space="preserve"> </w:t>
      </w:r>
      <w:r>
        <w:t>daily cost of 7 cents to run the fan.</w:t>
      </w:r>
    </w:p>
    <w:p w14:paraId="5412A031" w14:textId="77777777" w:rsidR="001943AE" w:rsidRDefault="001943AE" w:rsidP="0075513C">
      <w:pPr>
        <w:pStyle w:val="NoSpacing"/>
        <w:jc w:val="both"/>
      </w:pPr>
    </w:p>
    <w:p w14:paraId="2D4CB261" w14:textId="51D31831" w:rsidR="00810413" w:rsidRDefault="00741005" w:rsidP="0075513C">
      <w:pPr>
        <w:pStyle w:val="NoSpacing"/>
        <w:jc w:val="both"/>
      </w:pPr>
      <w:r>
        <w:t xml:space="preserve">In some cases </w:t>
      </w:r>
      <w:r w:rsidR="000B191F">
        <w:t xml:space="preserve">a </w:t>
      </w:r>
      <w:r w:rsidR="001A1EC4">
        <w:t>manufacturer</w:t>
      </w:r>
      <w:r>
        <w:t xml:space="preserve"> may use a </w:t>
      </w:r>
      <w:r w:rsidR="000B191F">
        <w:t xml:space="preserve">thermoelectric fan </w:t>
      </w:r>
      <w:r>
        <w:t xml:space="preserve">(which </w:t>
      </w:r>
      <w:r w:rsidR="000B191F">
        <w:t>deriv</w:t>
      </w:r>
      <w:r>
        <w:t>es</w:t>
      </w:r>
      <w:r w:rsidR="000B191F">
        <w:t xml:space="preserve"> its energy fro</w:t>
      </w:r>
      <w:r>
        <w:t>m</w:t>
      </w:r>
      <w:r w:rsidR="000B191F">
        <w:t xml:space="preserve"> the heat of the fire</w:t>
      </w:r>
      <w:r>
        <w:t>)</w:t>
      </w:r>
      <w:r w:rsidR="00876DF3">
        <w:t xml:space="preserve">, for example the Harris Ferva Saturn ULEB.  Such </w:t>
      </w:r>
      <w:r w:rsidR="001A1EC4">
        <w:t>models</w:t>
      </w:r>
      <w:r w:rsidR="00876DF3">
        <w:t xml:space="preserve"> w</w:t>
      </w:r>
      <w:r w:rsidR="00624948">
        <w:t xml:space="preserve">ill not be affected </w:t>
      </w:r>
      <w:r w:rsidR="006955C9">
        <w:t xml:space="preserve">by any requirement to have </w:t>
      </w:r>
      <w:r w:rsidR="0001673D">
        <w:t>the</w:t>
      </w:r>
      <w:r w:rsidR="006955C9">
        <w:t xml:space="preserve"> fan connected to a </w:t>
      </w:r>
      <w:r w:rsidR="00864B5F">
        <w:t xml:space="preserve">mains </w:t>
      </w:r>
      <w:r w:rsidR="006955C9">
        <w:t xml:space="preserve">power </w:t>
      </w:r>
      <w:r w:rsidR="001A1EC4">
        <w:t>supply</w:t>
      </w:r>
      <w:r w:rsidR="006955C9">
        <w:t xml:space="preserve"> in order to achieve the required </w:t>
      </w:r>
      <w:r w:rsidR="001A1EC4">
        <w:t>efficiency</w:t>
      </w:r>
      <w:r w:rsidR="006955C9">
        <w:t xml:space="preserve"> level.</w:t>
      </w:r>
    </w:p>
    <w:p w14:paraId="6D8B7AB1" w14:textId="77777777" w:rsidR="008A77BE" w:rsidRDefault="008A77BE" w:rsidP="00311FDE">
      <w:pPr>
        <w:pStyle w:val="NoSpacing"/>
        <w:jc w:val="both"/>
      </w:pPr>
    </w:p>
    <w:p w14:paraId="7B62A46E" w14:textId="4668F250" w:rsidR="00311FDE" w:rsidRDefault="00EE14FA" w:rsidP="00311FDE">
      <w:pPr>
        <w:pStyle w:val="NoSpacing"/>
        <w:jc w:val="both"/>
      </w:pPr>
      <w:r>
        <w:t>Consideration</w:t>
      </w:r>
      <w:r w:rsidR="00855923">
        <w:t xml:space="preserve"> should be given to specifying </w:t>
      </w:r>
      <w:r w:rsidR="001B5185">
        <w:t>that</w:t>
      </w:r>
      <w:r w:rsidR="00311FDE">
        <w:t xml:space="preserve"> any solid fuel burner with an </w:t>
      </w:r>
      <w:r w:rsidR="006B782C">
        <w:t xml:space="preserve">externally powered electric </w:t>
      </w:r>
      <w:r w:rsidR="00311FDE">
        <w:t>air circulation fan that is submitted for authorisation be consented with the condition that the fan must be permanently wired into an electricity supply.</w:t>
      </w:r>
      <w:r w:rsidR="005D4493">
        <w:t xml:space="preserve">  This should be a national requirement as the fan will be </w:t>
      </w:r>
      <w:r w:rsidR="00CD4AB7">
        <w:t>required</w:t>
      </w:r>
      <w:r w:rsidR="005D4493">
        <w:t xml:space="preserve"> </w:t>
      </w:r>
      <w:r w:rsidR="00CD4AB7">
        <w:t>to</w:t>
      </w:r>
      <w:r w:rsidR="005D4493">
        <w:t xml:space="preserve"> </w:t>
      </w:r>
      <w:r w:rsidR="00CD4AB7">
        <w:t>meet</w:t>
      </w:r>
      <w:r w:rsidR="005D4493">
        <w:t xml:space="preserve"> the </w:t>
      </w:r>
      <w:r w:rsidR="004D0062">
        <w:t>NESAQ</w:t>
      </w:r>
      <w:r w:rsidR="005D4493">
        <w:t xml:space="preserve"> </w:t>
      </w:r>
      <w:r w:rsidR="00CD4AB7">
        <w:t>efficiency</w:t>
      </w:r>
      <w:r w:rsidR="005D4493">
        <w:t xml:space="preserve"> requirements.</w:t>
      </w:r>
      <w:r w:rsidR="00A11AA2">
        <w:t xml:space="preserve">  However, if the minimum </w:t>
      </w:r>
      <w:r w:rsidR="002956DB">
        <w:t>efficiency</w:t>
      </w:r>
      <w:r w:rsidR="00A11AA2">
        <w:t xml:space="preserve"> limit </w:t>
      </w:r>
      <w:proofErr w:type="gramStart"/>
      <w:r w:rsidR="00A11AA2">
        <w:t>was</w:t>
      </w:r>
      <w:proofErr w:type="gramEnd"/>
      <w:r w:rsidR="00A11AA2">
        <w:t xml:space="preserve"> lowered slightly then there could be less need for </w:t>
      </w:r>
      <w:r w:rsidR="002956DB">
        <w:t>manufacturers</w:t>
      </w:r>
      <w:r w:rsidR="00A11AA2">
        <w:t xml:space="preserve"> to </w:t>
      </w:r>
      <w:r w:rsidR="002956DB">
        <w:t>resort</w:t>
      </w:r>
      <w:r w:rsidR="00A11AA2">
        <w:t xml:space="preserve"> to devices such as air </w:t>
      </w:r>
      <w:r w:rsidR="002956DB">
        <w:t>circulation</w:t>
      </w:r>
      <w:r w:rsidR="00A11AA2">
        <w:t xml:space="preserve"> fans in order to achieve </w:t>
      </w:r>
      <w:r w:rsidR="00D75053">
        <w:t xml:space="preserve">the required </w:t>
      </w:r>
      <w:r w:rsidR="002956DB">
        <w:t>efficiency</w:t>
      </w:r>
      <w:r w:rsidR="00D75053">
        <w:t xml:space="preserve"> standard.</w:t>
      </w:r>
    </w:p>
    <w:p w14:paraId="30BE1D1E" w14:textId="77777777" w:rsidR="00924922" w:rsidRDefault="00924922" w:rsidP="00924922">
      <w:pPr>
        <w:pStyle w:val="NoSpacing"/>
        <w:ind w:left="360"/>
        <w:rPr>
          <w:rFonts w:eastAsia="Times New Roman"/>
        </w:rPr>
      </w:pPr>
    </w:p>
    <w:p w14:paraId="5D1D8D87" w14:textId="699893E1" w:rsidR="00924922" w:rsidRPr="00227625" w:rsidRDefault="00924922" w:rsidP="00227625">
      <w:pPr>
        <w:pStyle w:val="Heading2"/>
        <w:numPr>
          <w:ilvl w:val="1"/>
          <w:numId w:val="6"/>
        </w:numPr>
        <w:rPr>
          <w:sz w:val="22"/>
          <w:szCs w:val="22"/>
        </w:rPr>
      </w:pPr>
      <w:bookmarkStart w:id="61" w:name="_Ref31890998"/>
      <w:bookmarkStart w:id="62" w:name="_Ref31891031"/>
      <w:bookmarkStart w:id="63" w:name="_Toc34586701"/>
      <w:r w:rsidRPr="00227625">
        <w:rPr>
          <w:sz w:val="22"/>
          <w:szCs w:val="22"/>
        </w:rPr>
        <w:t xml:space="preserve">Solid fuel burner sales and </w:t>
      </w:r>
      <w:r w:rsidR="00E14315" w:rsidRPr="00227625">
        <w:rPr>
          <w:sz w:val="22"/>
          <w:szCs w:val="22"/>
        </w:rPr>
        <w:t xml:space="preserve">price </w:t>
      </w:r>
      <w:r w:rsidRPr="00227625">
        <w:rPr>
          <w:sz w:val="22"/>
          <w:szCs w:val="22"/>
        </w:rPr>
        <w:t>trends</w:t>
      </w:r>
      <w:bookmarkEnd w:id="61"/>
      <w:bookmarkEnd w:id="62"/>
      <w:bookmarkEnd w:id="63"/>
      <w:r w:rsidRPr="00227625">
        <w:rPr>
          <w:sz w:val="22"/>
          <w:szCs w:val="22"/>
        </w:rPr>
        <w:t xml:space="preserve"> </w:t>
      </w:r>
    </w:p>
    <w:p w14:paraId="3A4F90EC" w14:textId="77777777" w:rsidR="00605842" w:rsidRDefault="00605842" w:rsidP="00D019CC">
      <w:pPr>
        <w:pStyle w:val="NoSpacing"/>
        <w:jc w:val="both"/>
      </w:pPr>
    </w:p>
    <w:p w14:paraId="5ED1F518" w14:textId="7EFD7FBF" w:rsidR="005A49D7" w:rsidRDefault="002F7F55" w:rsidP="005A49D7">
      <w:pPr>
        <w:pStyle w:val="NoSpacing"/>
        <w:ind w:left="360"/>
        <w:rPr>
          <w:b/>
          <w:bCs/>
        </w:rPr>
      </w:pPr>
      <w:r w:rsidRPr="005A49D7">
        <w:rPr>
          <w:b/>
          <w:bCs/>
        </w:rPr>
        <w:t>Sales</w:t>
      </w:r>
      <w:r w:rsidR="005A49D7" w:rsidRPr="005A49D7">
        <w:rPr>
          <w:b/>
          <w:bCs/>
        </w:rPr>
        <w:t xml:space="preserve"> Trends</w:t>
      </w:r>
    </w:p>
    <w:p w14:paraId="7E1FA79F" w14:textId="77777777" w:rsidR="005A49D7" w:rsidRPr="005A49D7" w:rsidRDefault="005A49D7" w:rsidP="005A49D7">
      <w:pPr>
        <w:pStyle w:val="NoSpacing"/>
        <w:ind w:left="360"/>
        <w:rPr>
          <w:b/>
          <w:bCs/>
        </w:rPr>
      </w:pPr>
    </w:p>
    <w:p w14:paraId="4EB75D9A" w14:textId="7CBA3B6E" w:rsidR="00A6455E" w:rsidRPr="00822DCD" w:rsidRDefault="00A6455E" w:rsidP="00A6455E">
      <w:pPr>
        <w:pStyle w:val="NoSpacing"/>
        <w:jc w:val="both"/>
      </w:pPr>
      <w:r>
        <w:t>T</w:t>
      </w:r>
      <w:r w:rsidRPr="00822DCD">
        <w:t>here is no national collation of sales data on woodburners</w:t>
      </w:r>
      <w:r>
        <w:t xml:space="preserve"> in NZ</w:t>
      </w:r>
      <w:r w:rsidRPr="00822DCD">
        <w:t xml:space="preserve">.  </w:t>
      </w:r>
      <w:r>
        <w:t>Individual territorial authorities (TAs) around NZ are responsible for issuing consents for the installation of woodburners and hold data for their respective jurisdictions.  However</w:t>
      </w:r>
      <w:r w:rsidR="00E47E5D">
        <w:t>,</w:t>
      </w:r>
      <w:r>
        <w:t xml:space="preserve"> there are 67 TAs in NZ and they each hold data in varying formats and to varying degrees of quality and </w:t>
      </w:r>
      <w:r w:rsidR="002F7F55">
        <w:t>availability</w:t>
      </w:r>
      <w:r>
        <w:t xml:space="preserve">.  It would potentially be possible to compile data from each TA, but this would be a time-consuming process. </w:t>
      </w:r>
    </w:p>
    <w:p w14:paraId="6B8EC624" w14:textId="77777777" w:rsidR="00A6455E" w:rsidRDefault="00A6455E" w:rsidP="00A6455E">
      <w:pPr>
        <w:pStyle w:val="NoSpacing"/>
        <w:jc w:val="both"/>
      </w:pPr>
    </w:p>
    <w:p w14:paraId="4C6C42DC" w14:textId="77777777" w:rsidR="00EA44AA" w:rsidRDefault="00A6455E" w:rsidP="00A6455E">
      <w:pPr>
        <w:pStyle w:val="NoSpacing"/>
        <w:jc w:val="both"/>
      </w:pPr>
      <w:r>
        <w:t>The NZ</w:t>
      </w:r>
      <w:r w:rsidRPr="00822DCD">
        <w:t xml:space="preserve"> Home Heating Association (</w:t>
      </w:r>
      <w:r>
        <w:t>NZ</w:t>
      </w:r>
      <w:r w:rsidRPr="00822DCD">
        <w:t xml:space="preserve">HHA) </w:t>
      </w:r>
      <w:r>
        <w:t xml:space="preserve">has provided an estimate of the current sales volume of woodburners in NZ of around 10,000pa.  This is based on some industry members’ own compilation of data.  </w:t>
      </w:r>
    </w:p>
    <w:p w14:paraId="715B62DB" w14:textId="77777777" w:rsidR="00EA44AA" w:rsidRDefault="00EA44AA" w:rsidP="00A6455E">
      <w:pPr>
        <w:pStyle w:val="NoSpacing"/>
        <w:jc w:val="both"/>
      </w:pPr>
    </w:p>
    <w:p w14:paraId="5F54542E" w14:textId="763C963D" w:rsidR="00A6455E" w:rsidRDefault="00A6455E" w:rsidP="00A6455E">
      <w:pPr>
        <w:pStyle w:val="NoSpacing"/>
        <w:jc w:val="both"/>
      </w:pPr>
      <w:r>
        <w:t xml:space="preserve">The current trend is for a </w:t>
      </w:r>
      <w:r w:rsidR="00B86011">
        <w:t xml:space="preserve">gradual </w:t>
      </w:r>
      <w:r w:rsidR="001B5185">
        <w:t>reduction</w:t>
      </w:r>
      <w:r>
        <w:t xml:space="preserve"> in sales volumes.  </w:t>
      </w:r>
      <w:r w:rsidR="00E96022">
        <w:t>R</w:t>
      </w:r>
      <w:r w:rsidR="002F7F55">
        <w:t>easons</w:t>
      </w:r>
      <w:r>
        <w:t xml:space="preserve"> for this include:</w:t>
      </w:r>
    </w:p>
    <w:p w14:paraId="412E415A" w14:textId="5FFB09AA" w:rsidR="00A6455E" w:rsidRDefault="00A6455E" w:rsidP="00440E89">
      <w:pPr>
        <w:pStyle w:val="NoSpacing"/>
        <w:numPr>
          <w:ilvl w:val="0"/>
          <w:numId w:val="20"/>
        </w:numPr>
        <w:jc w:val="both"/>
      </w:pPr>
      <w:r>
        <w:t>An increasing desire for the simplicity of heat pumps</w:t>
      </w:r>
    </w:p>
    <w:p w14:paraId="268DEEF7" w14:textId="1787128B" w:rsidR="00A6455E" w:rsidRDefault="007A184E" w:rsidP="00440E89">
      <w:pPr>
        <w:pStyle w:val="NoSpacing"/>
        <w:numPr>
          <w:ilvl w:val="0"/>
          <w:numId w:val="20"/>
        </w:numPr>
        <w:jc w:val="both"/>
      </w:pPr>
      <w:r>
        <w:t>I</w:t>
      </w:r>
      <w:r w:rsidR="00A6455E">
        <w:t xml:space="preserve">mproving energy </w:t>
      </w:r>
      <w:r w:rsidR="002F7F55">
        <w:t>efficiency</w:t>
      </w:r>
      <w:r w:rsidR="00A6455E">
        <w:t xml:space="preserve"> of new homes meaning </w:t>
      </w:r>
      <w:r w:rsidR="002F7F55">
        <w:t>that</w:t>
      </w:r>
      <w:r w:rsidR="00A6455E">
        <w:t xml:space="preserve"> less heat is required, </w:t>
      </w:r>
      <w:r w:rsidR="00EA44AA">
        <w:t>so</w:t>
      </w:r>
      <w:r w:rsidR="00A6455E">
        <w:t xml:space="preserve"> smaller heaters such as heat pumps </w:t>
      </w:r>
      <w:r w:rsidR="0040219A">
        <w:t>will meet the heating requirement.</w:t>
      </w:r>
    </w:p>
    <w:p w14:paraId="2E154855" w14:textId="50B9AE7F" w:rsidR="00A6455E" w:rsidRDefault="002F7F55" w:rsidP="00440E89">
      <w:pPr>
        <w:pStyle w:val="NoSpacing"/>
        <w:numPr>
          <w:ilvl w:val="0"/>
          <w:numId w:val="20"/>
        </w:numPr>
        <w:jc w:val="both"/>
      </w:pPr>
      <w:r>
        <w:t>Confusion</w:t>
      </w:r>
      <w:r w:rsidR="00A6455E">
        <w:t xml:space="preserve"> and lack of awareness as to what </w:t>
      </w:r>
      <w:r w:rsidR="00F06255">
        <w:t>forms</w:t>
      </w:r>
      <w:r w:rsidR="00A6455E">
        <w:t xml:space="preserve"> of heating are allowed in various regions.  </w:t>
      </w:r>
      <w:r w:rsidR="00F06255">
        <w:t>Regulations</w:t>
      </w:r>
      <w:r w:rsidR="00A6455E">
        <w:t xml:space="preserve"> vary from region to region and also change from time </w:t>
      </w:r>
      <w:r w:rsidR="00F06255">
        <w:t>to</w:t>
      </w:r>
      <w:r w:rsidR="00A6455E">
        <w:t xml:space="preserve"> </w:t>
      </w:r>
      <w:r w:rsidR="00633796">
        <w:t>time</w:t>
      </w:r>
      <w:r w:rsidR="00A6455E">
        <w:t xml:space="preserve"> within a region.  For </w:t>
      </w:r>
      <w:r w:rsidR="00F06255">
        <w:t>example</w:t>
      </w:r>
      <w:r w:rsidR="00A6455E">
        <w:t xml:space="preserve">, there is still a belief by some that solid fuel burners are not able to be installed in Christchurch, despite the law having changed to allow ULEBs in 2012 and the first ULEBs appearing on the </w:t>
      </w:r>
      <w:r w:rsidR="00F06255">
        <w:t>market</w:t>
      </w:r>
      <w:r w:rsidR="00A6455E">
        <w:t xml:space="preserve"> at the beginning of 2015.</w:t>
      </w:r>
    </w:p>
    <w:p w14:paraId="0184AD1D" w14:textId="77777777" w:rsidR="00A6455E" w:rsidRDefault="00A6455E" w:rsidP="00A6455E">
      <w:pPr>
        <w:pStyle w:val="NoSpacing"/>
        <w:jc w:val="both"/>
      </w:pPr>
    </w:p>
    <w:p w14:paraId="4267ADF9" w14:textId="14907763" w:rsidR="006B1867" w:rsidRDefault="005A49D7" w:rsidP="00D019CC">
      <w:pPr>
        <w:pStyle w:val="NoSpacing"/>
        <w:jc w:val="both"/>
      </w:pPr>
      <w:r>
        <w:t xml:space="preserve">Data has been obtained from Christchurch City Council on solid fuel burner </w:t>
      </w:r>
      <w:r w:rsidR="00F06255">
        <w:t>installations</w:t>
      </w:r>
      <w:r>
        <w:t xml:space="preserve"> in Christchurch over </w:t>
      </w:r>
      <w:r w:rsidR="00F06255">
        <w:t>the</w:t>
      </w:r>
      <w:r>
        <w:t xml:space="preserve"> last four years and this is shown in the </w:t>
      </w:r>
      <w:r w:rsidR="00F06255">
        <w:t>graph</w:t>
      </w:r>
      <w:r>
        <w:t xml:space="preserve"> </w:t>
      </w:r>
      <w:r w:rsidR="00633796">
        <w:t>below</w:t>
      </w:r>
      <w:r w:rsidR="001A5DC8">
        <w:t xml:space="preserve">, </w:t>
      </w:r>
      <w:r w:rsidR="003A28C5">
        <w:t>segmented</w:t>
      </w:r>
      <w:r w:rsidR="001A5DC8">
        <w:t xml:space="preserve"> by pellet fires, </w:t>
      </w:r>
      <w:r w:rsidR="00F03A84">
        <w:t>LEB</w:t>
      </w:r>
      <w:r w:rsidR="001A5DC8">
        <w:t xml:space="preserve">s and </w:t>
      </w:r>
      <w:r w:rsidR="00F03A84">
        <w:t>ULEB</w:t>
      </w:r>
      <w:r w:rsidR="001A5DC8">
        <w:t>s.</w:t>
      </w:r>
    </w:p>
    <w:p w14:paraId="4327B17D" w14:textId="77777777" w:rsidR="000036B8" w:rsidRDefault="000036B8" w:rsidP="00844F25">
      <w:pPr>
        <w:pStyle w:val="Caption"/>
        <w:rPr>
          <w:sz w:val="22"/>
          <w:szCs w:val="22"/>
        </w:rPr>
      </w:pPr>
    </w:p>
    <w:p w14:paraId="22BF57D9" w14:textId="1043FB9A" w:rsidR="007B764A" w:rsidRPr="00844F25" w:rsidRDefault="00844F25" w:rsidP="00844F25">
      <w:pPr>
        <w:pStyle w:val="Caption"/>
        <w:rPr>
          <w:sz w:val="22"/>
          <w:szCs w:val="22"/>
        </w:rPr>
      </w:pPr>
      <w:r w:rsidRPr="00844F25">
        <w:rPr>
          <w:sz w:val="22"/>
          <w:szCs w:val="22"/>
        </w:rPr>
        <w:t xml:space="preserve">Figure </w:t>
      </w:r>
      <w:r w:rsidRPr="00844F25">
        <w:rPr>
          <w:sz w:val="22"/>
          <w:szCs w:val="22"/>
        </w:rPr>
        <w:fldChar w:fldCharType="begin"/>
      </w:r>
      <w:r w:rsidRPr="00844F25">
        <w:rPr>
          <w:sz w:val="22"/>
          <w:szCs w:val="22"/>
        </w:rPr>
        <w:instrText xml:space="preserve"> SEQ Figure \* ARABIC </w:instrText>
      </w:r>
      <w:r w:rsidRPr="00844F25">
        <w:rPr>
          <w:sz w:val="22"/>
          <w:szCs w:val="22"/>
        </w:rPr>
        <w:fldChar w:fldCharType="separate"/>
      </w:r>
      <w:r w:rsidR="00CD682F">
        <w:rPr>
          <w:noProof/>
          <w:sz w:val="22"/>
          <w:szCs w:val="22"/>
        </w:rPr>
        <w:t>2</w:t>
      </w:r>
      <w:r w:rsidRPr="00844F25">
        <w:rPr>
          <w:sz w:val="22"/>
          <w:szCs w:val="22"/>
        </w:rPr>
        <w:fldChar w:fldCharType="end"/>
      </w:r>
      <w:r w:rsidRPr="00844F25">
        <w:rPr>
          <w:sz w:val="22"/>
          <w:szCs w:val="22"/>
        </w:rPr>
        <w:t xml:space="preserve">: Graph of Solid Fuel Burner Installations in Christchurch </w:t>
      </w:r>
    </w:p>
    <w:p w14:paraId="0EC14FE5" w14:textId="2922C12F" w:rsidR="001A5DC8" w:rsidRDefault="001A5DC8" w:rsidP="00D019CC">
      <w:pPr>
        <w:pStyle w:val="NoSpacing"/>
        <w:jc w:val="both"/>
      </w:pPr>
    </w:p>
    <w:p w14:paraId="3559FC5F" w14:textId="1A0B764A" w:rsidR="001A5DC8" w:rsidRDefault="004A7158" w:rsidP="00D019CC">
      <w:pPr>
        <w:pStyle w:val="NoSpacing"/>
        <w:jc w:val="both"/>
      </w:pPr>
      <w:r>
        <w:rPr>
          <w:noProof/>
        </w:rPr>
        <w:drawing>
          <wp:inline distT="0" distB="0" distL="0" distR="0" wp14:anchorId="44C5AB0E" wp14:editId="4512E7C0">
            <wp:extent cx="5410200" cy="3307080"/>
            <wp:effectExtent l="0" t="0" r="0" b="7620"/>
            <wp:docPr id="8" name="Chart 8">
              <a:extLst xmlns:a="http://schemas.openxmlformats.org/drawingml/2006/main">
                <a:ext uri="{FF2B5EF4-FFF2-40B4-BE49-F238E27FC236}">
                  <a16:creationId xmlns:a16="http://schemas.microsoft.com/office/drawing/2014/main" id="{509E737C-1D9B-43D1-B952-CA81361F7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C22CA10" w14:textId="77777777" w:rsidR="004A7158" w:rsidRDefault="004A7158" w:rsidP="00D019CC">
      <w:pPr>
        <w:pStyle w:val="NoSpacing"/>
        <w:jc w:val="both"/>
      </w:pPr>
    </w:p>
    <w:p w14:paraId="316425DD" w14:textId="74DEAE00" w:rsidR="00E14315" w:rsidRDefault="00E116E1" w:rsidP="00D019CC">
      <w:pPr>
        <w:pStyle w:val="NoSpacing"/>
        <w:jc w:val="both"/>
      </w:pPr>
      <w:r>
        <w:lastRenderedPageBreak/>
        <w:t xml:space="preserve">Since 1 </w:t>
      </w:r>
      <w:r w:rsidR="00961B02">
        <w:t>January</w:t>
      </w:r>
      <w:r>
        <w:t xml:space="preserve"> 2019, only ULEBs can be installed in </w:t>
      </w:r>
      <w:r w:rsidR="00214CA8">
        <w:t>most</w:t>
      </w:r>
      <w:r w:rsidR="003D45B6">
        <w:t xml:space="preserve"> airshed towns and cities </w:t>
      </w:r>
      <w:r w:rsidR="00961B02">
        <w:t>of</w:t>
      </w:r>
      <w:r w:rsidR="003D45B6">
        <w:t xml:space="preserve"> Cante</w:t>
      </w:r>
      <w:r w:rsidR="00961B02">
        <w:t>rb</w:t>
      </w:r>
      <w:r w:rsidR="003D45B6">
        <w:t>ury</w:t>
      </w:r>
      <w:r w:rsidR="00CB477F">
        <w:t xml:space="preserve">.  This has </w:t>
      </w:r>
      <w:r w:rsidR="00961B02">
        <w:t>resulted</w:t>
      </w:r>
      <w:r w:rsidR="00CB477F">
        <w:t xml:space="preserve"> in a major shift in sales from LEBs to ULEBs in </w:t>
      </w:r>
      <w:r w:rsidR="00961B02">
        <w:t>Canterbury</w:t>
      </w:r>
      <w:r w:rsidR="005A21EE">
        <w:t xml:space="preserve">.  The graph shows a 160% </w:t>
      </w:r>
      <w:r w:rsidR="00F06255">
        <w:t>increase</w:t>
      </w:r>
      <w:r w:rsidR="005A21EE">
        <w:t xml:space="preserve"> in the volume of ULEBs sold in Christchurch from 2016 </w:t>
      </w:r>
      <w:r w:rsidR="00024176">
        <w:t>to</w:t>
      </w:r>
      <w:r w:rsidR="005A21EE">
        <w:t xml:space="preserve"> 2019.</w:t>
      </w:r>
    </w:p>
    <w:p w14:paraId="7DC26544" w14:textId="25B3EC66" w:rsidR="00EF227E" w:rsidRDefault="00EF227E" w:rsidP="00D019CC">
      <w:pPr>
        <w:pStyle w:val="NoSpacing"/>
        <w:jc w:val="both"/>
      </w:pPr>
    </w:p>
    <w:p w14:paraId="0280C0ED" w14:textId="45164C3B" w:rsidR="00EF227E" w:rsidRDefault="00A160DD" w:rsidP="00D019CC">
      <w:pPr>
        <w:pStyle w:val="NoSpacing"/>
        <w:jc w:val="both"/>
      </w:pPr>
      <w:r>
        <w:t>It would be useful if</w:t>
      </w:r>
      <w:r w:rsidR="005B08EE">
        <w:t xml:space="preserve"> info</w:t>
      </w:r>
      <w:r>
        <w:t>rm</w:t>
      </w:r>
      <w:r w:rsidR="005B08EE">
        <w:t xml:space="preserve">ation on solid fuel burner installations </w:t>
      </w:r>
      <w:r>
        <w:t xml:space="preserve">could be collated at a </w:t>
      </w:r>
      <w:r w:rsidR="001C4632">
        <w:t>national</w:t>
      </w:r>
      <w:r>
        <w:t xml:space="preserve"> level</w:t>
      </w:r>
      <w:r w:rsidR="000023C0">
        <w:t xml:space="preserve">.  This would </w:t>
      </w:r>
      <w:r w:rsidR="001C4632">
        <w:t>involve</w:t>
      </w:r>
      <w:r w:rsidR="000023C0">
        <w:t xml:space="preserve"> setting up a process </w:t>
      </w:r>
      <w:r w:rsidR="001C4632">
        <w:t>whereby</w:t>
      </w:r>
      <w:r w:rsidR="000023C0">
        <w:t xml:space="preserve"> </w:t>
      </w:r>
      <w:r w:rsidR="00EA6E9A">
        <w:t xml:space="preserve">TAs submit data on </w:t>
      </w:r>
      <w:r w:rsidR="0068549E">
        <w:t xml:space="preserve">burner </w:t>
      </w:r>
      <w:r w:rsidR="001C4632">
        <w:t>installations</w:t>
      </w:r>
      <w:r w:rsidR="0068549E">
        <w:t xml:space="preserve"> </w:t>
      </w:r>
      <w:r w:rsidR="00E869A0">
        <w:t>in</w:t>
      </w:r>
      <w:r w:rsidR="0068549E">
        <w:t xml:space="preserve"> an agreed format, capturing </w:t>
      </w:r>
      <w:r w:rsidR="001C4632">
        <w:t>specific</w:t>
      </w:r>
      <w:r w:rsidR="0068549E">
        <w:t xml:space="preserve"> </w:t>
      </w:r>
      <w:r w:rsidR="0069418D">
        <w:t>info</w:t>
      </w:r>
      <w:r w:rsidR="001C4632">
        <w:t>rma</w:t>
      </w:r>
      <w:r w:rsidR="0069418D">
        <w:t>tion</w:t>
      </w:r>
      <w:r w:rsidR="004417C3">
        <w:t>, parti</w:t>
      </w:r>
      <w:r w:rsidR="001C4632">
        <w:t>cula</w:t>
      </w:r>
      <w:r w:rsidR="004417C3">
        <w:t>rly the burner make, model</w:t>
      </w:r>
      <w:r w:rsidR="00A64CD7">
        <w:t>,</w:t>
      </w:r>
      <w:r w:rsidR="004417C3">
        <w:t xml:space="preserve"> resource </w:t>
      </w:r>
      <w:r w:rsidR="001C4632">
        <w:t>consent</w:t>
      </w:r>
      <w:r w:rsidR="004417C3">
        <w:t xml:space="preserve"> number</w:t>
      </w:r>
      <w:r w:rsidR="005B08EE">
        <w:t xml:space="preserve"> </w:t>
      </w:r>
      <w:r w:rsidR="00A64CD7">
        <w:t xml:space="preserve">and date of </w:t>
      </w:r>
      <w:r w:rsidR="001C4632">
        <w:t>installation</w:t>
      </w:r>
      <w:r w:rsidR="00A64CD7">
        <w:t xml:space="preserve">.  This information would be </w:t>
      </w:r>
      <w:r w:rsidR="001C4632">
        <w:t>useful</w:t>
      </w:r>
      <w:r w:rsidR="00A64CD7">
        <w:t xml:space="preserve"> for </w:t>
      </w:r>
      <w:r w:rsidR="00D83B4E">
        <w:t xml:space="preserve">gaining an </w:t>
      </w:r>
      <w:r w:rsidR="001C4632">
        <w:t>understanding</w:t>
      </w:r>
      <w:r w:rsidR="00D83B4E">
        <w:t xml:space="preserve"> of the nature of burner </w:t>
      </w:r>
      <w:r w:rsidR="001C4632">
        <w:t>installations</w:t>
      </w:r>
      <w:r w:rsidR="00D83B4E">
        <w:t xml:space="preserve"> nationally, as well as regionally </w:t>
      </w:r>
      <w:r w:rsidR="003C0EB1">
        <w:t>which would help with air quality management.</w:t>
      </w:r>
    </w:p>
    <w:p w14:paraId="2720DFC9" w14:textId="77777777" w:rsidR="00E47801" w:rsidRDefault="00E47801" w:rsidP="00E14315">
      <w:pPr>
        <w:pStyle w:val="NoSpacing"/>
        <w:ind w:left="360"/>
        <w:rPr>
          <w:b/>
          <w:bCs/>
        </w:rPr>
      </w:pPr>
    </w:p>
    <w:p w14:paraId="2B9135DB" w14:textId="2038339D" w:rsidR="00E14315" w:rsidRPr="00616CF0" w:rsidRDefault="00E14315" w:rsidP="00E14315">
      <w:pPr>
        <w:pStyle w:val="NoSpacing"/>
        <w:ind w:left="360"/>
        <w:rPr>
          <w:b/>
          <w:bCs/>
        </w:rPr>
      </w:pPr>
      <w:r w:rsidRPr="00616CF0">
        <w:rPr>
          <w:b/>
          <w:bCs/>
        </w:rPr>
        <w:t>Price Trends</w:t>
      </w:r>
    </w:p>
    <w:p w14:paraId="7CCBE8CC" w14:textId="77777777" w:rsidR="00E14315" w:rsidRDefault="00E14315" w:rsidP="00E14315">
      <w:pPr>
        <w:pStyle w:val="NoSpacing"/>
        <w:ind w:left="360"/>
      </w:pPr>
    </w:p>
    <w:p w14:paraId="18A13F9B" w14:textId="10DE9FCC" w:rsidR="00E14315" w:rsidRDefault="00E14315" w:rsidP="00E14315">
      <w:pPr>
        <w:pStyle w:val="NoSpacing"/>
        <w:jc w:val="both"/>
      </w:pPr>
      <w:r>
        <w:t xml:space="preserve">The </w:t>
      </w:r>
      <w:r w:rsidR="006B1FE1">
        <w:t>early</w:t>
      </w:r>
      <w:r>
        <w:t xml:space="preserve"> ULEB models submitted for authorisation were European models.  The first ULEB was a Jayline Walltherm, which was </w:t>
      </w:r>
      <w:r w:rsidR="00752652">
        <w:t>authorised</w:t>
      </w:r>
      <w:r w:rsidR="006B1FE1">
        <w:t xml:space="preserve"> </w:t>
      </w:r>
      <w:r>
        <w:t>in December 2014, followed by models from two other European suppliers, being the RAIS Bionic Fire and the Xeoos Twinfire.  When introduced, the Walltherm was priced at around $10,000 and the Bionic Fire and Twinfire around $8000.</w:t>
      </w:r>
    </w:p>
    <w:p w14:paraId="7D11CA0A" w14:textId="77777777" w:rsidR="00E14315" w:rsidRDefault="00E14315" w:rsidP="0075513C">
      <w:pPr>
        <w:pStyle w:val="NoSpacing"/>
        <w:jc w:val="both"/>
      </w:pPr>
    </w:p>
    <w:p w14:paraId="2E80CC55" w14:textId="778F5E22" w:rsidR="00E14315" w:rsidRDefault="00E14315" w:rsidP="00E14315">
      <w:pPr>
        <w:pStyle w:val="NoSpacing"/>
        <w:jc w:val="both"/>
      </w:pPr>
      <w:r>
        <w:t>On observing the authorisation of these overseas sourced ULEBs, New Zealand manufacturers bec</w:t>
      </w:r>
      <w:r w:rsidR="006B1FE1">
        <w:t>a</w:t>
      </w:r>
      <w:r>
        <w:t>me more confident in the ULEB opportunity and began to invest more time and money into research and the development of ULEB models.  This led to ULEB models being designed and manufactured by New Zealand manufacturers including Tropicair, Glen Dimplex and Harris Home Fires.  These were offered for sale at around $5500 to $6000.  This had the effect of encouraging the suppliers of the early European ULEBs to reduce their prices in order to be competitive.  The manufacture of the Jayline Walltherm was moved to China in order to help with reducing costs.</w:t>
      </w:r>
    </w:p>
    <w:p w14:paraId="521B4512" w14:textId="7B35B427" w:rsidR="005465F2" w:rsidRDefault="005465F2" w:rsidP="00E14315">
      <w:pPr>
        <w:pStyle w:val="NoSpacing"/>
        <w:jc w:val="both"/>
      </w:pPr>
    </w:p>
    <w:p w14:paraId="56A3A3AA" w14:textId="067352D9" w:rsidR="008A06E1" w:rsidRDefault="008A06E1" w:rsidP="008A06E1">
      <w:pPr>
        <w:pStyle w:val="NoSpacing"/>
        <w:jc w:val="both"/>
      </w:pPr>
      <w:r>
        <w:t xml:space="preserve">In NZ, the latest range of single chamber ULEBs has simplified manufacturing and led to further cost reductions.  The latest single chamber ULEB from Harris Home Fires </w:t>
      </w:r>
      <w:r w:rsidR="00F768C0">
        <w:t xml:space="preserve">(Woodsman Serene) </w:t>
      </w:r>
      <w:r>
        <w:t xml:space="preserve">retails for $3400.  This compares with similar specification LEBs in their ranges from $1650 to $2675.  Pioneer Manufacturing </w:t>
      </w:r>
      <w:r w:rsidR="009A492D">
        <w:t xml:space="preserve">(Metro Fires) </w:t>
      </w:r>
      <w:r>
        <w:t>offers a 15kW wood</w:t>
      </w:r>
      <w:r w:rsidR="00843FC2">
        <w:t>burner</w:t>
      </w:r>
      <w:r>
        <w:t xml:space="preserve"> for $2675 in ULEB specification or $1749 in LEB specification, representing a price premium of $926 for the ULEB version.</w:t>
      </w:r>
    </w:p>
    <w:p w14:paraId="5ECA96BC" w14:textId="77777777" w:rsidR="008A06E1" w:rsidRDefault="008A06E1" w:rsidP="008A06E1">
      <w:pPr>
        <w:pStyle w:val="NoSpacing"/>
        <w:jc w:val="both"/>
      </w:pPr>
    </w:p>
    <w:p w14:paraId="1D058C4E" w14:textId="018EC61F" w:rsidR="008A06E1" w:rsidRDefault="008A06E1" w:rsidP="008A06E1">
      <w:pPr>
        <w:pStyle w:val="NoSpacing"/>
        <w:jc w:val="both"/>
      </w:pPr>
      <w:r>
        <w:t xml:space="preserve">All </w:t>
      </w:r>
      <w:r w:rsidR="00D43BED">
        <w:t xml:space="preserve">the above </w:t>
      </w:r>
      <w:r>
        <w:t xml:space="preserve">costs </w:t>
      </w:r>
      <w:r w:rsidR="005D7A44">
        <w:t>ex</w:t>
      </w:r>
      <w:r>
        <w:t>clude installation</w:t>
      </w:r>
      <w:r w:rsidR="00D43BED">
        <w:t xml:space="preserve"> and </w:t>
      </w:r>
      <w:r>
        <w:t xml:space="preserve">Council permits </w:t>
      </w:r>
      <w:r w:rsidR="00D43BED">
        <w:t xml:space="preserve">which would </w:t>
      </w:r>
      <w:r w:rsidR="001B5185">
        <w:t>typically</w:t>
      </w:r>
      <w:r w:rsidR="00D43BED">
        <w:t xml:space="preserve"> be of the order of $1000 </w:t>
      </w:r>
      <w:r w:rsidR="001B5185">
        <w:t>and</w:t>
      </w:r>
      <w:r w:rsidR="00D43BED">
        <w:t xml:space="preserve"> </w:t>
      </w:r>
      <w:proofErr w:type="gramStart"/>
      <w:r w:rsidR="00D43BED">
        <w:t>$400</w:t>
      </w:r>
      <w:proofErr w:type="gramEnd"/>
      <w:r w:rsidR="00D43BED">
        <w:t xml:space="preserve"> </w:t>
      </w:r>
      <w:r w:rsidR="002038D0">
        <w:t>respectively</w:t>
      </w:r>
      <w:r>
        <w:t>.</w:t>
      </w:r>
    </w:p>
    <w:p w14:paraId="78E45649" w14:textId="77777777" w:rsidR="008A06E1" w:rsidRDefault="008A06E1" w:rsidP="008A06E1">
      <w:pPr>
        <w:pStyle w:val="NoSpacing"/>
        <w:jc w:val="both"/>
      </w:pPr>
    </w:p>
    <w:p w14:paraId="3B0E5D04" w14:textId="4E1A8DA4" w:rsidR="006C1545" w:rsidRDefault="00243610" w:rsidP="006C1545">
      <w:pPr>
        <w:pStyle w:val="NoSpacing"/>
        <w:jc w:val="both"/>
      </w:pPr>
      <w:bookmarkStart w:id="64" w:name="_Hlk32496873"/>
      <w:r>
        <w:t>So, w</w:t>
      </w:r>
      <w:r w:rsidR="006C1545">
        <w:t>hile ULEBs are still more expensive than LEBs, the price premium is declining.</w:t>
      </w:r>
    </w:p>
    <w:bookmarkEnd w:id="64"/>
    <w:p w14:paraId="564D3C98" w14:textId="77777777" w:rsidR="005465F2" w:rsidRDefault="005465F2" w:rsidP="00E14315">
      <w:pPr>
        <w:pStyle w:val="NoSpacing"/>
        <w:jc w:val="both"/>
      </w:pPr>
    </w:p>
    <w:p w14:paraId="04F92450" w14:textId="77777777" w:rsidR="001A5C8C" w:rsidRDefault="001A5C8C" w:rsidP="002635F2">
      <w:pPr>
        <w:pStyle w:val="NoSpacing"/>
        <w:jc w:val="both"/>
      </w:pPr>
      <w:r>
        <w:t>The recommended retail price of LEBs has remained fairly stable over the last 5 years. For example, the Metro Wee Rad LEB retails for $1749 now compared with $1699 five years ago, despite being re-engineered to reduce emissions.  While there have been cost pressures on labour and other manufacturing inputs, consumer price expectations are making it difficult for manufacturers to increase prices.</w:t>
      </w:r>
    </w:p>
    <w:p w14:paraId="1E2BA588" w14:textId="77777777" w:rsidR="00E14315" w:rsidRDefault="00E14315" w:rsidP="00E14315">
      <w:pPr>
        <w:pStyle w:val="NoSpacing"/>
        <w:jc w:val="both"/>
      </w:pPr>
    </w:p>
    <w:p w14:paraId="1537D395" w14:textId="6A0D630E" w:rsidR="000B2095" w:rsidRPr="00D019CC" w:rsidRDefault="000B2095" w:rsidP="00D019CC">
      <w:pPr>
        <w:pStyle w:val="NoSpacing"/>
        <w:jc w:val="both"/>
      </w:pPr>
      <w:r>
        <w:br w:type="page"/>
      </w:r>
    </w:p>
    <w:p w14:paraId="64F7C4A6" w14:textId="77777777" w:rsidR="002332CB" w:rsidRDefault="002332CB" w:rsidP="00DF6944">
      <w:pPr>
        <w:pStyle w:val="NoSpacing"/>
        <w:jc w:val="both"/>
      </w:pPr>
    </w:p>
    <w:p w14:paraId="1D62571C" w14:textId="06C5D4A3" w:rsidR="00A8089B" w:rsidRDefault="00A8089B" w:rsidP="00C80F4F">
      <w:pPr>
        <w:pStyle w:val="Heading1"/>
        <w:numPr>
          <w:ilvl w:val="0"/>
          <w:numId w:val="6"/>
        </w:numPr>
        <w:ind w:hanging="720"/>
      </w:pPr>
      <w:bookmarkStart w:id="65" w:name="_Toc34586702"/>
      <w:r>
        <w:t>Other Issues Arising</w:t>
      </w:r>
      <w:bookmarkEnd w:id="65"/>
    </w:p>
    <w:p w14:paraId="60B49CAB" w14:textId="77777777" w:rsidR="00A8089B" w:rsidRDefault="00A8089B" w:rsidP="00A8089B">
      <w:pPr>
        <w:pStyle w:val="NoSpacing"/>
        <w:jc w:val="both"/>
      </w:pPr>
    </w:p>
    <w:p w14:paraId="0BEB419D" w14:textId="181B44D6" w:rsidR="00A8089B" w:rsidRDefault="00A8089B" w:rsidP="00E35EE2">
      <w:pPr>
        <w:pStyle w:val="NoSpacing"/>
        <w:jc w:val="both"/>
      </w:pPr>
      <w:r>
        <w:t xml:space="preserve">During the course of this research a number of issues arose that are </w:t>
      </w:r>
      <w:r w:rsidR="00A0079E">
        <w:t>worthy</w:t>
      </w:r>
      <w:r>
        <w:t xml:space="preserve"> of </w:t>
      </w:r>
      <w:r w:rsidR="00A0079E">
        <w:t>mention</w:t>
      </w:r>
      <w:r w:rsidR="00E35EE2">
        <w:t xml:space="preserve">, </w:t>
      </w:r>
      <w:r w:rsidR="00A0079E">
        <w:t>including</w:t>
      </w:r>
      <w:r w:rsidR="00E35EE2">
        <w:t>:</w:t>
      </w:r>
    </w:p>
    <w:p w14:paraId="66756092" w14:textId="4006B900" w:rsidR="00E35EE2" w:rsidRDefault="00E35EE2" w:rsidP="00E35EE2">
      <w:pPr>
        <w:pStyle w:val="NoSpacing"/>
        <w:jc w:val="both"/>
      </w:pPr>
    </w:p>
    <w:p w14:paraId="204A70A0" w14:textId="199C2024" w:rsidR="00E35EE2" w:rsidRDefault="00E35EE2" w:rsidP="00E35EE2">
      <w:pPr>
        <w:pStyle w:val="NoSpacing"/>
        <w:jc w:val="both"/>
      </w:pPr>
    </w:p>
    <w:p w14:paraId="56D1A87E" w14:textId="16E31054" w:rsidR="00073AAA" w:rsidRPr="00E35EE2" w:rsidRDefault="00090BF9" w:rsidP="00073AAA">
      <w:pPr>
        <w:pStyle w:val="NoSpacing"/>
        <w:jc w:val="both"/>
        <w:rPr>
          <w:b/>
          <w:bCs/>
        </w:rPr>
      </w:pPr>
      <w:r w:rsidRPr="00F03A84">
        <w:rPr>
          <w:b/>
          <w:bCs/>
        </w:rPr>
        <w:t>5 yearly re</w:t>
      </w:r>
      <w:r w:rsidR="00303A2C" w:rsidRPr="00F03A84">
        <w:rPr>
          <w:b/>
          <w:bCs/>
        </w:rPr>
        <w:t>-auth</w:t>
      </w:r>
      <w:r w:rsidR="00AE61C1" w:rsidRPr="00F03A84">
        <w:rPr>
          <w:b/>
          <w:bCs/>
        </w:rPr>
        <w:t>o</w:t>
      </w:r>
      <w:r w:rsidR="00303A2C" w:rsidRPr="00F03A84">
        <w:rPr>
          <w:b/>
          <w:bCs/>
        </w:rPr>
        <w:t>r</w:t>
      </w:r>
      <w:r w:rsidR="00EE6F8C" w:rsidRPr="00F03A84">
        <w:rPr>
          <w:b/>
          <w:bCs/>
        </w:rPr>
        <w:t>i</w:t>
      </w:r>
      <w:r w:rsidR="00303A2C" w:rsidRPr="00F03A84">
        <w:rPr>
          <w:b/>
          <w:bCs/>
        </w:rPr>
        <w:t>s</w:t>
      </w:r>
      <w:r w:rsidR="00EE6F8C" w:rsidRPr="00F03A84">
        <w:rPr>
          <w:b/>
          <w:bCs/>
        </w:rPr>
        <w:t>atio</w:t>
      </w:r>
      <w:r w:rsidR="00303A2C" w:rsidRPr="00F03A84">
        <w:rPr>
          <w:b/>
          <w:bCs/>
        </w:rPr>
        <w:t xml:space="preserve">n of </w:t>
      </w:r>
      <w:r w:rsidR="00EE6F8C" w:rsidRPr="00F03A84">
        <w:rPr>
          <w:b/>
          <w:bCs/>
        </w:rPr>
        <w:t>woodburners</w:t>
      </w:r>
    </w:p>
    <w:p w14:paraId="4439D512" w14:textId="77777777" w:rsidR="00073AAA" w:rsidRDefault="00073AAA" w:rsidP="00073AAA">
      <w:pPr>
        <w:pStyle w:val="NoSpacing"/>
        <w:jc w:val="both"/>
      </w:pPr>
    </w:p>
    <w:p w14:paraId="4C21156E" w14:textId="45C7EBDB" w:rsidR="00441778" w:rsidRDefault="0049741C" w:rsidP="002635F2">
      <w:pPr>
        <w:pStyle w:val="NoSpacing"/>
        <w:jc w:val="both"/>
      </w:pPr>
      <w:r w:rsidRPr="00ED0677">
        <w:t xml:space="preserve">A </w:t>
      </w:r>
      <w:r w:rsidR="001B5185" w:rsidRPr="00ED0677">
        <w:t>periodic</w:t>
      </w:r>
      <w:r w:rsidRPr="00ED0677">
        <w:t xml:space="preserve"> re-auth</w:t>
      </w:r>
      <w:r w:rsidR="002038D0" w:rsidRPr="00ED0677">
        <w:t>o</w:t>
      </w:r>
      <w:r w:rsidRPr="00ED0677">
        <w:t>r</w:t>
      </w:r>
      <w:r w:rsidR="002038D0" w:rsidRPr="00ED0677">
        <w:t>isa</w:t>
      </w:r>
      <w:r w:rsidRPr="00ED0677">
        <w:t>t</w:t>
      </w:r>
      <w:r w:rsidR="002038D0" w:rsidRPr="00ED0677">
        <w:t>i</w:t>
      </w:r>
      <w:r w:rsidRPr="00ED0677">
        <w:t xml:space="preserve">on of </w:t>
      </w:r>
      <w:r w:rsidR="002038D0" w:rsidRPr="00ED0677">
        <w:t>woodburners</w:t>
      </w:r>
      <w:r w:rsidRPr="00ED0677">
        <w:t xml:space="preserve"> </w:t>
      </w:r>
      <w:r w:rsidR="00824ED0" w:rsidRPr="00ED0677">
        <w:t>is required in order to</w:t>
      </w:r>
      <w:r w:rsidR="00CE1C07" w:rsidRPr="00ED0677">
        <w:t xml:space="preserve"> help </w:t>
      </w:r>
      <w:r w:rsidR="00824ED0" w:rsidRPr="00ED0677">
        <w:t xml:space="preserve">ensure that burners offered for sale </w:t>
      </w:r>
      <w:r w:rsidR="00CE1C07" w:rsidRPr="00ED0677">
        <w:t xml:space="preserve">are the same as that submitted for </w:t>
      </w:r>
      <w:r w:rsidR="001B5185" w:rsidRPr="00ED0677">
        <w:t>authorisation</w:t>
      </w:r>
      <w:r w:rsidR="00CE1C07" w:rsidRPr="00ED0677">
        <w:t xml:space="preserve">.  </w:t>
      </w:r>
      <w:r w:rsidR="009715E7" w:rsidRPr="00ED0677">
        <w:t>Manufacture</w:t>
      </w:r>
      <w:r w:rsidR="00586C7E" w:rsidRPr="00ED0677">
        <w:t xml:space="preserve">rs are not </w:t>
      </w:r>
      <w:r w:rsidR="00A06F6D" w:rsidRPr="00ED0677">
        <w:t xml:space="preserve">able </w:t>
      </w:r>
      <w:r w:rsidR="00586C7E" w:rsidRPr="00ED0677">
        <w:t xml:space="preserve">to make </w:t>
      </w:r>
      <w:r w:rsidR="001B5185" w:rsidRPr="00ED0677">
        <w:t>changes</w:t>
      </w:r>
      <w:r w:rsidR="00586C7E" w:rsidRPr="00ED0677">
        <w:t xml:space="preserve"> to their </w:t>
      </w:r>
      <w:r w:rsidR="00A06F6D" w:rsidRPr="00ED0677">
        <w:t xml:space="preserve">burner designs </w:t>
      </w:r>
      <w:r w:rsidR="001B5185" w:rsidRPr="00ED0677">
        <w:t>without</w:t>
      </w:r>
      <w:r w:rsidR="00A06F6D" w:rsidRPr="00ED0677">
        <w:t xml:space="preserve"> seeking </w:t>
      </w:r>
      <w:r w:rsidR="00F31846" w:rsidRPr="00ED0677">
        <w:t>either re-</w:t>
      </w:r>
      <w:r w:rsidR="002038D0" w:rsidRPr="00ED0677">
        <w:t>authorisation</w:t>
      </w:r>
      <w:r w:rsidR="00F31846" w:rsidRPr="00ED0677">
        <w:t xml:space="preserve">, or an </w:t>
      </w:r>
      <w:r w:rsidR="001B5185" w:rsidRPr="00ED0677">
        <w:t>exemption</w:t>
      </w:r>
      <w:r w:rsidR="00F31846" w:rsidRPr="00ED0677">
        <w:t xml:space="preserve"> from </w:t>
      </w:r>
      <w:r w:rsidR="00441778" w:rsidRPr="00ED0677">
        <w:t>the re</w:t>
      </w:r>
      <w:r w:rsidR="002038D0" w:rsidRPr="00ED0677">
        <w:t>-</w:t>
      </w:r>
      <w:r w:rsidR="00441778" w:rsidRPr="00ED0677">
        <w:t>aut</w:t>
      </w:r>
      <w:r w:rsidR="002038D0" w:rsidRPr="00ED0677">
        <w:t>ho</w:t>
      </w:r>
      <w:r w:rsidR="00441778" w:rsidRPr="00ED0677">
        <w:t>risat</w:t>
      </w:r>
      <w:r w:rsidR="002038D0" w:rsidRPr="00ED0677">
        <w:t>i</w:t>
      </w:r>
      <w:r w:rsidR="00441778" w:rsidRPr="00ED0677">
        <w:t xml:space="preserve">on process from </w:t>
      </w:r>
      <w:r w:rsidR="00F31846" w:rsidRPr="00ED0677">
        <w:t xml:space="preserve">the </w:t>
      </w:r>
      <w:r w:rsidR="001B5185" w:rsidRPr="00ED0677">
        <w:t>authorising</w:t>
      </w:r>
      <w:r w:rsidR="00F31846" w:rsidRPr="00ED0677">
        <w:t xml:space="preserve"> agency</w:t>
      </w:r>
      <w:r w:rsidR="00441778" w:rsidRPr="00ED0677">
        <w:t xml:space="preserve">.  </w:t>
      </w:r>
      <w:r w:rsidR="003141F9" w:rsidRPr="00ED0677">
        <w:t xml:space="preserve">The 5 </w:t>
      </w:r>
      <w:r w:rsidR="004D79DE" w:rsidRPr="00ED0677">
        <w:t>y</w:t>
      </w:r>
      <w:r w:rsidR="003141F9" w:rsidRPr="00ED0677">
        <w:t>early re-</w:t>
      </w:r>
      <w:r w:rsidR="001B5185" w:rsidRPr="00ED0677">
        <w:t>authorisation</w:t>
      </w:r>
      <w:r w:rsidR="003141F9" w:rsidRPr="00ED0677">
        <w:t xml:space="preserve"> process </w:t>
      </w:r>
      <w:r w:rsidR="00F66E07" w:rsidRPr="00ED0677">
        <w:t xml:space="preserve">will </w:t>
      </w:r>
      <w:r w:rsidR="002038D0" w:rsidRPr="00ED0677">
        <w:t>identify</w:t>
      </w:r>
      <w:r w:rsidR="00F66E07" w:rsidRPr="00ED0677">
        <w:t xml:space="preserve"> any </w:t>
      </w:r>
      <w:r w:rsidR="006D3928" w:rsidRPr="00ED0677">
        <w:t>burners that have changed designs</w:t>
      </w:r>
      <w:r w:rsidR="00ED0677" w:rsidRPr="00ED0677">
        <w:t xml:space="preserve"> since their original authorisation</w:t>
      </w:r>
      <w:r w:rsidR="006D3928" w:rsidRPr="00ED0677">
        <w:t>.</w:t>
      </w:r>
      <w:r w:rsidR="003141F9">
        <w:t xml:space="preserve"> </w:t>
      </w:r>
    </w:p>
    <w:p w14:paraId="2E5337FB" w14:textId="77777777" w:rsidR="00441778" w:rsidRDefault="00441778" w:rsidP="002635F2">
      <w:pPr>
        <w:pStyle w:val="NoSpacing"/>
        <w:jc w:val="both"/>
      </w:pPr>
    </w:p>
    <w:p w14:paraId="258CC6B6" w14:textId="2C40002B" w:rsidR="00CF51A6" w:rsidRPr="002635F2" w:rsidRDefault="00CF51A6" w:rsidP="002635F2">
      <w:pPr>
        <w:pStyle w:val="NoSpacing"/>
        <w:jc w:val="both"/>
      </w:pPr>
      <w:r w:rsidRPr="002635F2">
        <w:t>Section 2.3 of the Ministry for the Environment’s New Zealand Domestic Solid Fuel Burner Authorisation Manual requires the burner authorising agent (Environment Canterbury) to notify the authorisation holder in writing before the authorisation expiry date.  Where feasible, a minimum of three months’ notice is to be given.</w:t>
      </w:r>
    </w:p>
    <w:p w14:paraId="24B00198" w14:textId="77777777" w:rsidR="00CF51A6" w:rsidRPr="002635F2" w:rsidRDefault="00CF51A6" w:rsidP="002635F2">
      <w:pPr>
        <w:pStyle w:val="NoSpacing"/>
        <w:jc w:val="both"/>
      </w:pPr>
    </w:p>
    <w:p w14:paraId="0F39F705" w14:textId="77777777" w:rsidR="00CF51A6" w:rsidRPr="002635F2" w:rsidRDefault="00CF51A6" w:rsidP="002635F2">
      <w:pPr>
        <w:pStyle w:val="NoSpacing"/>
        <w:jc w:val="both"/>
      </w:pPr>
      <w:r w:rsidRPr="002635F2">
        <w:t xml:space="preserve">An increasing number of solid fuel burners listed on the Environment Canterbury and Ministry for the Environment websites have expired consents.  </w:t>
      </w:r>
    </w:p>
    <w:p w14:paraId="3DC62347" w14:textId="77777777" w:rsidR="00CF51A6" w:rsidRPr="002635F2" w:rsidRDefault="00CF51A6" w:rsidP="002635F2">
      <w:pPr>
        <w:pStyle w:val="NoSpacing"/>
        <w:jc w:val="both"/>
      </w:pPr>
    </w:p>
    <w:p w14:paraId="754437ED" w14:textId="2186A741" w:rsidR="00CF51A6" w:rsidRPr="002635F2" w:rsidRDefault="00CF51A6" w:rsidP="002635F2">
      <w:pPr>
        <w:pStyle w:val="NoSpacing"/>
        <w:jc w:val="both"/>
      </w:pPr>
      <w:r w:rsidRPr="002635F2">
        <w:t xml:space="preserve">An example picked at random is the </w:t>
      </w:r>
      <w:r w:rsidR="00842B0E">
        <w:t>XXXX</w:t>
      </w:r>
      <w:r w:rsidR="00A16883">
        <w:rPr>
          <w:rStyle w:val="FootnoteReference"/>
        </w:rPr>
        <w:footnoteReference w:id="1"/>
      </w:r>
      <w:r w:rsidRPr="002635F2">
        <w:t>.  Its consent expired in August 2017, yet it still appears on Environment Canterbury and Ministry for the Environment websites and is offered for sale by heating retailers.</w:t>
      </w:r>
    </w:p>
    <w:p w14:paraId="552276D5" w14:textId="77777777" w:rsidR="00CF51A6" w:rsidRPr="002635F2" w:rsidRDefault="00CF51A6" w:rsidP="002635F2">
      <w:pPr>
        <w:pStyle w:val="NoSpacing"/>
        <w:jc w:val="both"/>
      </w:pPr>
    </w:p>
    <w:p w14:paraId="2635AD69" w14:textId="77777777" w:rsidR="00CF51A6" w:rsidRPr="002635F2" w:rsidRDefault="00CF51A6" w:rsidP="002635F2">
      <w:pPr>
        <w:pStyle w:val="NoSpacing"/>
        <w:jc w:val="both"/>
      </w:pPr>
      <w:r w:rsidRPr="002635F2">
        <w:t xml:space="preserve">All burners affected by this are LEBs and are therefore unable to be installed in many parts of Canterbury or Nelson.  However, they are able to be installed in many other parts of the country. </w:t>
      </w:r>
    </w:p>
    <w:p w14:paraId="744A5B6D" w14:textId="77777777" w:rsidR="00CF51A6" w:rsidRPr="002635F2" w:rsidRDefault="00CF51A6" w:rsidP="002635F2">
      <w:pPr>
        <w:pStyle w:val="NoSpacing"/>
        <w:jc w:val="both"/>
      </w:pPr>
    </w:p>
    <w:p w14:paraId="63A24CF9" w14:textId="77777777" w:rsidR="00CF51A6" w:rsidRPr="002635F2" w:rsidRDefault="00CF51A6" w:rsidP="002635F2">
      <w:pPr>
        <w:pStyle w:val="NoSpacing"/>
        <w:jc w:val="both"/>
      </w:pPr>
      <w:r w:rsidRPr="002635F2">
        <w:t>A work programme is required in order to identify all affected burners and embark on a re-authorisation programme.</w:t>
      </w:r>
    </w:p>
    <w:p w14:paraId="1589D6E7" w14:textId="6DD36CAA" w:rsidR="00073AAA" w:rsidRDefault="00073AAA" w:rsidP="00E35EE2">
      <w:pPr>
        <w:pStyle w:val="NoSpacing"/>
        <w:jc w:val="both"/>
      </w:pPr>
    </w:p>
    <w:p w14:paraId="7C9BA5B4" w14:textId="77777777" w:rsidR="00F03A84" w:rsidRPr="00E35EE2" w:rsidRDefault="00F03A84" w:rsidP="00F03A84">
      <w:pPr>
        <w:pStyle w:val="NoSpacing"/>
        <w:jc w:val="both"/>
        <w:rPr>
          <w:b/>
          <w:bCs/>
        </w:rPr>
      </w:pPr>
      <w:r w:rsidRPr="00E35EE2">
        <w:rPr>
          <w:b/>
          <w:bCs/>
        </w:rPr>
        <w:t>Potential for homeowners to purchase woodburners directly from international websites</w:t>
      </w:r>
    </w:p>
    <w:p w14:paraId="7A30EB7D" w14:textId="77777777" w:rsidR="00F03A84" w:rsidRDefault="00F03A84" w:rsidP="00F03A84">
      <w:pPr>
        <w:pStyle w:val="NoSpacing"/>
        <w:jc w:val="both"/>
      </w:pPr>
    </w:p>
    <w:p w14:paraId="41C7196A" w14:textId="26C7B8C3" w:rsidR="00F03A84" w:rsidRDefault="00CB49B7" w:rsidP="00F03A84">
      <w:pPr>
        <w:pStyle w:val="NoSpacing"/>
        <w:jc w:val="both"/>
      </w:pPr>
      <w:r>
        <w:t>With the ongoing rise in e-commerce</w:t>
      </w:r>
      <w:r w:rsidR="00A327EE">
        <w:t xml:space="preserve"> it is possible that a </w:t>
      </w:r>
      <w:r w:rsidR="00E56A80">
        <w:t>homeowner</w:t>
      </w:r>
      <w:r w:rsidR="00A327EE">
        <w:t xml:space="preserve"> could </w:t>
      </w:r>
      <w:r w:rsidR="00E63FA7">
        <w:t>purchase</w:t>
      </w:r>
      <w:r w:rsidR="00A327EE">
        <w:t xml:space="preserve"> a solid fuel burner directly </w:t>
      </w:r>
      <w:r w:rsidR="00AF56B4">
        <w:t xml:space="preserve">from </w:t>
      </w:r>
      <w:r w:rsidR="00E56A80">
        <w:t>overseas</w:t>
      </w:r>
      <w:r w:rsidR="00F234FC">
        <w:t xml:space="preserve"> that has not been </w:t>
      </w:r>
      <w:r w:rsidR="00E56A80">
        <w:t>authorised</w:t>
      </w:r>
      <w:r w:rsidR="00F234FC">
        <w:t xml:space="preserve"> for use in NZ.</w:t>
      </w:r>
    </w:p>
    <w:p w14:paraId="4D74E7FA" w14:textId="18F43EE2" w:rsidR="009D326A" w:rsidRDefault="009D326A" w:rsidP="00F03A84">
      <w:pPr>
        <w:pStyle w:val="NoSpacing"/>
        <w:jc w:val="both"/>
      </w:pPr>
    </w:p>
    <w:p w14:paraId="6D1D2E81" w14:textId="3B3BFDDF" w:rsidR="009D326A" w:rsidRPr="002635F2" w:rsidRDefault="001A5A6A" w:rsidP="002635F2">
      <w:pPr>
        <w:pStyle w:val="NoSpacing"/>
        <w:jc w:val="both"/>
      </w:pPr>
      <w:r w:rsidRPr="002635F2">
        <w:t>C</w:t>
      </w:r>
      <w:r w:rsidR="00677233" w:rsidRPr="002635F2">
        <w:t xml:space="preserve">aveat emptor </w:t>
      </w:r>
      <w:r w:rsidRPr="002635F2">
        <w:t>would</w:t>
      </w:r>
      <w:r w:rsidR="00677233" w:rsidRPr="002635F2">
        <w:t xml:space="preserve"> apply to such cases</w:t>
      </w:r>
      <w:r w:rsidR="00715373" w:rsidRPr="002635F2">
        <w:t xml:space="preserve"> with the buyer being solely </w:t>
      </w:r>
      <w:r w:rsidR="00E56A80" w:rsidRPr="002635F2">
        <w:t>responsible</w:t>
      </w:r>
      <w:r w:rsidR="00715373" w:rsidRPr="002635F2">
        <w:t xml:space="preserve"> for whether their purchase can be </w:t>
      </w:r>
      <w:r w:rsidR="00F70DD9" w:rsidRPr="002635F2">
        <w:t>installed</w:t>
      </w:r>
      <w:r w:rsidRPr="002635F2">
        <w:t xml:space="preserve"> and taking the </w:t>
      </w:r>
      <w:r w:rsidR="00E63FA7" w:rsidRPr="002635F2">
        <w:t>risk</w:t>
      </w:r>
      <w:r w:rsidRPr="002635F2">
        <w:t xml:space="preserve"> </w:t>
      </w:r>
      <w:r w:rsidR="00E63FA7" w:rsidRPr="002635F2">
        <w:t>that</w:t>
      </w:r>
      <w:r w:rsidRPr="002635F2">
        <w:t xml:space="preserve"> they may have </w:t>
      </w:r>
      <w:r w:rsidR="00E63FA7" w:rsidRPr="002635F2">
        <w:t>wasted</w:t>
      </w:r>
      <w:r w:rsidRPr="002635F2">
        <w:t xml:space="preserve"> their money.</w:t>
      </w:r>
    </w:p>
    <w:p w14:paraId="52787888" w14:textId="72B4E680" w:rsidR="001A5A6A" w:rsidRPr="002635F2" w:rsidRDefault="001A5A6A" w:rsidP="002635F2">
      <w:pPr>
        <w:pStyle w:val="NoSpacing"/>
        <w:jc w:val="both"/>
      </w:pPr>
    </w:p>
    <w:p w14:paraId="20FBA853" w14:textId="791945D5" w:rsidR="001A5A6A" w:rsidRDefault="001A5A6A" w:rsidP="002635F2">
      <w:pPr>
        <w:pStyle w:val="NoSpacing"/>
        <w:jc w:val="both"/>
      </w:pPr>
      <w:r w:rsidRPr="002635F2">
        <w:t xml:space="preserve">However, </w:t>
      </w:r>
      <w:r w:rsidR="00FF7DED" w:rsidRPr="002635F2">
        <w:t xml:space="preserve">there is a risk that such a burner might be installed </w:t>
      </w:r>
      <w:r w:rsidR="002C3AFC" w:rsidRPr="002635F2">
        <w:t xml:space="preserve">or </w:t>
      </w:r>
      <w:r w:rsidR="00B74E94" w:rsidRPr="002635F2">
        <w:t xml:space="preserve">that </w:t>
      </w:r>
      <w:r w:rsidR="002C3AFC" w:rsidRPr="002635F2">
        <w:t xml:space="preserve">the purchaser will be aggrieved at having wasted their money, so </w:t>
      </w:r>
      <w:r w:rsidRPr="002635F2">
        <w:t xml:space="preserve">this prospect is something that could be </w:t>
      </w:r>
      <w:r w:rsidR="00E63FA7" w:rsidRPr="002635F2">
        <w:t>considered</w:t>
      </w:r>
      <w:r w:rsidRPr="002635F2">
        <w:t xml:space="preserve"> in </w:t>
      </w:r>
      <w:r w:rsidR="00E63FA7" w:rsidRPr="002635F2">
        <w:t>future</w:t>
      </w:r>
      <w:r w:rsidRPr="002635F2">
        <w:t xml:space="preserve"> planning.</w:t>
      </w:r>
    </w:p>
    <w:p w14:paraId="5998E594" w14:textId="59AC3981" w:rsidR="00DE20CC" w:rsidRDefault="00DE20CC" w:rsidP="002635F2">
      <w:pPr>
        <w:pStyle w:val="NoSpacing"/>
        <w:jc w:val="both"/>
      </w:pPr>
    </w:p>
    <w:p w14:paraId="3F26E26E" w14:textId="2F0CB73E" w:rsidR="00DE20CC" w:rsidRPr="002635F2" w:rsidRDefault="001B5185" w:rsidP="002635F2">
      <w:pPr>
        <w:pStyle w:val="NoSpacing"/>
        <w:jc w:val="both"/>
      </w:pPr>
      <w:r>
        <w:t>There</w:t>
      </w:r>
      <w:r w:rsidR="00DE20CC">
        <w:t xml:space="preserve"> is </w:t>
      </w:r>
      <w:r w:rsidR="00BE2298">
        <w:t xml:space="preserve">also </w:t>
      </w:r>
      <w:r w:rsidR="00DE20CC">
        <w:t xml:space="preserve">potentially a risk that a </w:t>
      </w:r>
      <w:r w:rsidR="006E0AC0">
        <w:t xml:space="preserve">consumer could be sold a burner by a NZ based retailer that is not able to be installed in </w:t>
      </w:r>
      <w:r>
        <w:t>the</w:t>
      </w:r>
      <w:r w:rsidR="006E0AC0">
        <w:t xml:space="preserve"> home</w:t>
      </w:r>
      <w:r w:rsidR="005B07FF">
        <w:t xml:space="preserve">, however </w:t>
      </w:r>
      <w:r w:rsidR="008A45ED">
        <w:t xml:space="preserve">such an occurrence </w:t>
      </w:r>
      <w:r w:rsidR="007561F4">
        <w:t xml:space="preserve">could be more easily dealt with </w:t>
      </w:r>
      <w:r w:rsidR="00752561">
        <w:t xml:space="preserve">than would be the case for </w:t>
      </w:r>
      <w:r>
        <w:t>purchasing</w:t>
      </w:r>
      <w:r w:rsidR="00752561">
        <w:t xml:space="preserve"> online from an overseas based supplier.</w:t>
      </w:r>
    </w:p>
    <w:p w14:paraId="62FCB50F" w14:textId="77777777" w:rsidR="00073AAA" w:rsidRDefault="00073AAA" w:rsidP="00E35EE2">
      <w:pPr>
        <w:pStyle w:val="NoSpacing"/>
        <w:jc w:val="both"/>
      </w:pPr>
    </w:p>
    <w:p w14:paraId="41C9A661" w14:textId="012E9CB4" w:rsidR="00EB3D5D" w:rsidRDefault="00EB3D5D" w:rsidP="00C80F4F">
      <w:pPr>
        <w:pStyle w:val="Heading1"/>
        <w:numPr>
          <w:ilvl w:val="0"/>
          <w:numId w:val="6"/>
        </w:numPr>
        <w:ind w:hanging="720"/>
      </w:pPr>
      <w:bookmarkStart w:id="66" w:name="_Toc34586703"/>
      <w:r>
        <w:lastRenderedPageBreak/>
        <w:t>References</w:t>
      </w:r>
      <w:bookmarkEnd w:id="66"/>
    </w:p>
    <w:p w14:paraId="06D376AF" w14:textId="797CD683" w:rsidR="009E60B7" w:rsidRDefault="009E60B7" w:rsidP="009E60B7"/>
    <w:p w14:paraId="13F0ABD6" w14:textId="6C6C294D" w:rsidR="00813AFC" w:rsidRDefault="00813AFC" w:rsidP="00F73631">
      <w:pPr>
        <w:pStyle w:val="NoSpacing"/>
        <w:numPr>
          <w:ilvl w:val="0"/>
          <w:numId w:val="30"/>
        </w:numPr>
        <w:jc w:val="both"/>
      </w:pPr>
      <w:r>
        <w:t>Environment Canterbury (2009).  Inventory of emissions to air in Christchurch, 2009 Report No. R11/17 ISBN 978-1-927146-24-8.</w:t>
      </w:r>
    </w:p>
    <w:p w14:paraId="0C7967B0" w14:textId="77777777" w:rsidR="0013189F" w:rsidRDefault="0013189F" w:rsidP="0013189F">
      <w:pPr>
        <w:pStyle w:val="NoSpacing"/>
        <w:ind w:left="360"/>
        <w:jc w:val="both"/>
      </w:pPr>
    </w:p>
    <w:p w14:paraId="12FCEDBD" w14:textId="55F5A518" w:rsidR="00813AFC" w:rsidRDefault="00813AFC" w:rsidP="00F73631">
      <w:pPr>
        <w:pStyle w:val="NoSpacing"/>
        <w:numPr>
          <w:ilvl w:val="0"/>
          <w:numId w:val="30"/>
        </w:numPr>
        <w:jc w:val="both"/>
      </w:pPr>
      <w:r>
        <w:t>Environment Canterbury (2017).  The ULEB Journey; unpublished report.</w:t>
      </w:r>
    </w:p>
    <w:p w14:paraId="4BCB5CBD" w14:textId="77777777" w:rsidR="0013189F" w:rsidRDefault="0013189F" w:rsidP="0013189F">
      <w:pPr>
        <w:pStyle w:val="NoSpacing"/>
        <w:ind w:left="360"/>
        <w:jc w:val="both"/>
      </w:pPr>
    </w:p>
    <w:p w14:paraId="0C391998" w14:textId="53B1A264" w:rsidR="00813AFC" w:rsidRDefault="00813AFC" w:rsidP="00F73631">
      <w:pPr>
        <w:pStyle w:val="NoSpacing"/>
        <w:numPr>
          <w:ilvl w:val="0"/>
          <w:numId w:val="30"/>
        </w:numPr>
        <w:jc w:val="both"/>
      </w:pPr>
      <w:r>
        <w:t>IEA Bioenergy (2018).  Advanced Test Methods for Firewood Stoves – September 2018.</w:t>
      </w:r>
    </w:p>
    <w:p w14:paraId="60AFA719" w14:textId="77777777" w:rsidR="0013189F" w:rsidRDefault="0013189F" w:rsidP="0013189F">
      <w:pPr>
        <w:pStyle w:val="NoSpacing"/>
        <w:ind w:left="360"/>
        <w:jc w:val="both"/>
      </w:pPr>
    </w:p>
    <w:p w14:paraId="05979CF6" w14:textId="4DAA62F1" w:rsidR="00813AFC" w:rsidRDefault="00813AFC" w:rsidP="00F73631">
      <w:pPr>
        <w:pStyle w:val="NoSpacing"/>
        <w:numPr>
          <w:ilvl w:val="0"/>
          <w:numId w:val="30"/>
        </w:numPr>
        <w:jc w:val="both"/>
      </w:pPr>
      <w:r>
        <w:t>Ministry for the Environment (2011).  NZ Domestic Solid Fuel Burner Authorisation Manual.</w:t>
      </w:r>
    </w:p>
    <w:p w14:paraId="1CA290DE" w14:textId="77777777" w:rsidR="0013189F" w:rsidRDefault="0013189F" w:rsidP="0013189F">
      <w:pPr>
        <w:pStyle w:val="NoSpacing"/>
        <w:ind w:left="360"/>
        <w:jc w:val="both"/>
      </w:pPr>
    </w:p>
    <w:p w14:paraId="246D3A72" w14:textId="164D4C19" w:rsidR="00813AFC" w:rsidRDefault="00813AFC" w:rsidP="00F73631">
      <w:pPr>
        <w:pStyle w:val="NoSpacing"/>
        <w:numPr>
          <w:ilvl w:val="0"/>
          <w:numId w:val="30"/>
        </w:numPr>
        <w:jc w:val="both"/>
      </w:pPr>
      <w:r>
        <w:t>Pearce S (20</w:t>
      </w:r>
      <w:r w:rsidR="00C459DB">
        <w:t>19</w:t>
      </w:r>
      <w:r>
        <w:t>). Unpublished report to Environment Canterbury re</w:t>
      </w:r>
      <w:r w:rsidRPr="00C80F4F">
        <w:t xml:space="preserve"> OekoTube res</w:t>
      </w:r>
      <w:r>
        <w:t>ource</w:t>
      </w:r>
      <w:r w:rsidRPr="00C80F4F">
        <w:t xml:space="preserve"> consent </w:t>
      </w:r>
      <w:r>
        <w:t xml:space="preserve">application. </w:t>
      </w:r>
    </w:p>
    <w:p w14:paraId="407EA328" w14:textId="77777777" w:rsidR="0013189F" w:rsidRPr="00C80F4F" w:rsidRDefault="0013189F" w:rsidP="0013189F">
      <w:pPr>
        <w:pStyle w:val="NoSpacing"/>
        <w:ind w:left="360"/>
        <w:jc w:val="both"/>
      </w:pPr>
    </w:p>
    <w:p w14:paraId="0D680048" w14:textId="55460122" w:rsidR="00813AFC" w:rsidRDefault="00813AFC" w:rsidP="00F73631">
      <w:pPr>
        <w:pStyle w:val="NoSpacing"/>
        <w:numPr>
          <w:ilvl w:val="0"/>
          <w:numId w:val="30"/>
        </w:numPr>
        <w:jc w:val="both"/>
      </w:pPr>
      <w:r>
        <w:t>Pearce S and Scott V (2019). Ultra-Low Emission Burners – A Catalyst for innovation.  CASANZ19.</w:t>
      </w:r>
    </w:p>
    <w:p w14:paraId="79A659C1" w14:textId="77777777" w:rsidR="0013189F" w:rsidRDefault="0013189F" w:rsidP="0013189F">
      <w:pPr>
        <w:pStyle w:val="NoSpacing"/>
        <w:ind w:left="360"/>
        <w:jc w:val="both"/>
      </w:pPr>
    </w:p>
    <w:p w14:paraId="69DF8DF7" w14:textId="7DCE2A3C" w:rsidR="00813AFC" w:rsidRDefault="00813AFC" w:rsidP="00F73631">
      <w:pPr>
        <w:pStyle w:val="NoSpacing"/>
        <w:numPr>
          <w:ilvl w:val="0"/>
          <w:numId w:val="30"/>
        </w:numPr>
        <w:jc w:val="both"/>
      </w:pPr>
      <w:r>
        <w:t>Scott A and Mallett T (2002). Options for Setting Particulate Emissions Criteria.</w:t>
      </w:r>
    </w:p>
    <w:p w14:paraId="69373A01" w14:textId="77777777" w:rsidR="0013189F" w:rsidRDefault="0013189F" w:rsidP="0013189F">
      <w:pPr>
        <w:pStyle w:val="NoSpacing"/>
        <w:ind w:left="360"/>
        <w:jc w:val="both"/>
      </w:pPr>
    </w:p>
    <w:p w14:paraId="40562555" w14:textId="57E7309F" w:rsidR="00813AFC" w:rsidRDefault="00813AFC" w:rsidP="00F73631">
      <w:pPr>
        <w:pStyle w:val="ListParagraph"/>
        <w:numPr>
          <w:ilvl w:val="0"/>
          <w:numId w:val="30"/>
        </w:numPr>
        <w:autoSpaceDE w:val="0"/>
        <w:autoSpaceDN w:val="0"/>
        <w:adjustRightInd w:val="0"/>
        <w:spacing w:before="0" w:after="0"/>
      </w:pPr>
      <w:r w:rsidRPr="00F73631">
        <w:rPr>
          <w:rFonts w:eastAsiaTheme="minorHAnsi" w:cstheme="minorBidi"/>
          <w:szCs w:val="22"/>
          <w:lang w:val="en-NZ"/>
        </w:rPr>
        <w:t>Smith J, Wilton E, Baynes M (2007).  Multifuel burner emissions and air q</w:t>
      </w:r>
      <w:r w:rsidR="003206D6" w:rsidRPr="00C80F4F">
        <w:t>quality</w:t>
      </w:r>
      <w:r w:rsidRPr="00C80F4F">
        <w:t xml:space="preserve"> regulations at Reefton</w:t>
      </w:r>
      <w:r>
        <w:t>.</w:t>
      </w:r>
    </w:p>
    <w:p w14:paraId="0677957F" w14:textId="77777777" w:rsidR="0013189F" w:rsidRPr="00C80F4F" w:rsidRDefault="0013189F" w:rsidP="0013189F">
      <w:pPr>
        <w:autoSpaceDE w:val="0"/>
        <w:autoSpaceDN w:val="0"/>
        <w:adjustRightInd w:val="0"/>
        <w:spacing w:before="0" w:after="0"/>
        <w:ind w:left="360"/>
      </w:pPr>
    </w:p>
    <w:p w14:paraId="43E2F73C" w14:textId="21E79212" w:rsidR="00813AFC" w:rsidRDefault="00813AFC" w:rsidP="00F73631">
      <w:pPr>
        <w:pStyle w:val="NoSpacing"/>
        <w:numPr>
          <w:ilvl w:val="0"/>
          <w:numId w:val="30"/>
        </w:numPr>
        <w:jc w:val="both"/>
      </w:pPr>
      <w:r>
        <w:t>West Coast Regional Council</w:t>
      </w:r>
      <w:r w:rsidRPr="00C80F4F">
        <w:t xml:space="preserve"> </w:t>
      </w:r>
      <w:r>
        <w:t xml:space="preserve">(2014). </w:t>
      </w:r>
      <w:r w:rsidR="00783F07">
        <w:t xml:space="preserve"> </w:t>
      </w:r>
      <w:r>
        <w:t>Council p</w:t>
      </w:r>
      <w:r w:rsidRPr="00C80F4F">
        <w:t>apers 10 Nov 2014</w:t>
      </w:r>
      <w:r>
        <w:t>.</w:t>
      </w:r>
    </w:p>
    <w:p w14:paraId="32389162" w14:textId="77777777" w:rsidR="0013189F" w:rsidRPr="00C80F4F" w:rsidRDefault="0013189F" w:rsidP="0013189F">
      <w:pPr>
        <w:pStyle w:val="NoSpacing"/>
        <w:ind w:left="360"/>
        <w:jc w:val="both"/>
      </w:pPr>
    </w:p>
    <w:p w14:paraId="75338BF7" w14:textId="1DEC900B" w:rsidR="00813AFC" w:rsidRDefault="00813AFC" w:rsidP="00F73631">
      <w:pPr>
        <w:pStyle w:val="NoSpacing"/>
        <w:numPr>
          <w:ilvl w:val="0"/>
          <w:numId w:val="30"/>
        </w:numPr>
        <w:jc w:val="both"/>
      </w:pPr>
      <w:r>
        <w:t xml:space="preserve">Wilton E (2012).  </w:t>
      </w:r>
      <w:r w:rsidRPr="00D7442D">
        <w:t xml:space="preserve">Review </w:t>
      </w:r>
      <w:r>
        <w:t>–</w:t>
      </w:r>
      <w:r w:rsidRPr="00D7442D">
        <w:t xml:space="preserve"> particulate</w:t>
      </w:r>
      <w:r>
        <w:t xml:space="preserve"> </w:t>
      </w:r>
      <w:r w:rsidRPr="00D7442D">
        <w:t>emissions from wood burners in New Zealand</w:t>
      </w:r>
      <w:r>
        <w:t>.</w:t>
      </w:r>
    </w:p>
    <w:p w14:paraId="26AF2C16" w14:textId="77777777" w:rsidR="001A1FB5" w:rsidRDefault="001A1FB5" w:rsidP="001A1FB5">
      <w:pPr>
        <w:pStyle w:val="ListParagraph"/>
      </w:pPr>
    </w:p>
    <w:p w14:paraId="5148F5E1" w14:textId="5366F9BC" w:rsidR="001A1FB5" w:rsidRPr="00B80944" w:rsidRDefault="001A1FB5" w:rsidP="001A1FB5">
      <w:pPr>
        <w:pStyle w:val="NoSpacing"/>
        <w:numPr>
          <w:ilvl w:val="0"/>
          <w:numId w:val="30"/>
        </w:numPr>
        <w:jc w:val="both"/>
      </w:pPr>
      <w:r>
        <w:t>Wilton E (2015).  Napier, Hastings and Havelock North Air Emission Inventory.</w:t>
      </w:r>
    </w:p>
    <w:p w14:paraId="68227ECB" w14:textId="77777777" w:rsidR="0013189F" w:rsidRDefault="0013189F" w:rsidP="0013189F">
      <w:pPr>
        <w:pStyle w:val="NoSpacing"/>
        <w:ind w:left="360"/>
        <w:jc w:val="both"/>
      </w:pPr>
    </w:p>
    <w:p w14:paraId="558D7465" w14:textId="77777777" w:rsidR="00813AFC" w:rsidRPr="00C80F4F" w:rsidRDefault="00813AFC" w:rsidP="00F73631">
      <w:pPr>
        <w:pStyle w:val="NoSpacing"/>
        <w:numPr>
          <w:ilvl w:val="0"/>
          <w:numId w:val="30"/>
        </w:numPr>
        <w:jc w:val="both"/>
      </w:pPr>
      <w:r>
        <w:t xml:space="preserve">Wilton E (2016). </w:t>
      </w:r>
      <w:r w:rsidRPr="00C80F4F">
        <w:t>Domestic home heating technologies – review of existing and emerging technologies promoting low emissions</w:t>
      </w:r>
      <w:r>
        <w:t>.</w:t>
      </w:r>
    </w:p>
    <w:p w14:paraId="2548CABD" w14:textId="0AC6E096" w:rsidR="00367C83" w:rsidRDefault="00367C83" w:rsidP="00D019CC">
      <w:pPr>
        <w:pStyle w:val="NoSpacing"/>
        <w:jc w:val="both"/>
      </w:pPr>
    </w:p>
    <w:p w14:paraId="0AA289ED" w14:textId="1891FBC0" w:rsidR="00F34304" w:rsidRDefault="00F34304" w:rsidP="00D019CC">
      <w:pPr>
        <w:pStyle w:val="NoSpacing"/>
        <w:jc w:val="both"/>
      </w:pPr>
    </w:p>
    <w:p w14:paraId="3373C67F" w14:textId="7B92D67E" w:rsidR="00F34304" w:rsidRDefault="00F34304">
      <w:pPr>
        <w:spacing w:before="0" w:after="200" w:line="276" w:lineRule="auto"/>
        <w:jc w:val="left"/>
        <w:rPr>
          <w:rFonts w:eastAsiaTheme="minorHAnsi" w:cstheme="minorBidi"/>
          <w:szCs w:val="22"/>
          <w:lang w:val="en-NZ"/>
        </w:rPr>
      </w:pPr>
      <w:r>
        <w:br w:type="page"/>
      </w:r>
    </w:p>
    <w:p w14:paraId="471966BA" w14:textId="03AA6C21" w:rsidR="00F34304" w:rsidRDefault="00F34304" w:rsidP="00F34304">
      <w:pPr>
        <w:pStyle w:val="Heading1"/>
        <w:numPr>
          <w:ilvl w:val="0"/>
          <w:numId w:val="6"/>
        </w:numPr>
        <w:ind w:hanging="720"/>
      </w:pPr>
      <w:bookmarkStart w:id="67" w:name="_Toc34586704"/>
      <w:r>
        <w:lastRenderedPageBreak/>
        <w:t>Glossary</w:t>
      </w:r>
      <w:bookmarkEnd w:id="67"/>
    </w:p>
    <w:p w14:paraId="3486BCFF" w14:textId="77777777" w:rsidR="00F34304" w:rsidRDefault="00F34304" w:rsidP="00F34304"/>
    <w:tbl>
      <w:tblPr>
        <w:tblStyle w:val="TableGrid"/>
        <w:tblW w:w="0" w:type="auto"/>
        <w:tblLook w:val="04A0" w:firstRow="1" w:lastRow="0" w:firstColumn="1" w:lastColumn="0" w:noHBand="0" w:noVBand="1"/>
      </w:tblPr>
      <w:tblGrid>
        <w:gridCol w:w="1413"/>
        <w:gridCol w:w="4961"/>
      </w:tblGrid>
      <w:tr w:rsidR="0051354F" w:rsidRPr="00D17EED" w14:paraId="3D22672E" w14:textId="77777777" w:rsidTr="005D2B46">
        <w:tc>
          <w:tcPr>
            <w:tcW w:w="1413" w:type="dxa"/>
          </w:tcPr>
          <w:p w14:paraId="5721D695" w14:textId="77777777" w:rsidR="0051354F" w:rsidRPr="00D17EED" w:rsidRDefault="0051354F" w:rsidP="005317D8">
            <w:pPr>
              <w:pStyle w:val="NoSpacing"/>
              <w:jc w:val="both"/>
            </w:pPr>
            <w:r w:rsidRPr="00D17EED">
              <w:t>CM1</w:t>
            </w:r>
          </w:p>
        </w:tc>
        <w:tc>
          <w:tcPr>
            <w:tcW w:w="4961" w:type="dxa"/>
          </w:tcPr>
          <w:p w14:paraId="4831E4C6" w14:textId="77777777" w:rsidR="0051354F" w:rsidRPr="00D17EED" w:rsidRDefault="0051354F" w:rsidP="005317D8">
            <w:pPr>
              <w:pStyle w:val="NoSpacing"/>
              <w:jc w:val="both"/>
            </w:pPr>
            <w:r>
              <w:t>Canterbury Method of testing</w:t>
            </w:r>
          </w:p>
        </w:tc>
      </w:tr>
      <w:tr w:rsidR="0051354F" w:rsidRPr="00D17EED" w14:paraId="65B5F8BE" w14:textId="77777777" w:rsidTr="005D2B46">
        <w:tc>
          <w:tcPr>
            <w:tcW w:w="1413" w:type="dxa"/>
          </w:tcPr>
          <w:p w14:paraId="6BDD3516" w14:textId="77777777" w:rsidR="0051354F" w:rsidRPr="00D17EED" w:rsidRDefault="0051354F" w:rsidP="005317D8">
            <w:pPr>
              <w:pStyle w:val="NoSpacing"/>
              <w:jc w:val="both"/>
            </w:pPr>
            <w:r w:rsidRPr="00D17EED">
              <w:t>EECA</w:t>
            </w:r>
          </w:p>
        </w:tc>
        <w:tc>
          <w:tcPr>
            <w:tcW w:w="4961" w:type="dxa"/>
          </w:tcPr>
          <w:p w14:paraId="204A83FB" w14:textId="77777777" w:rsidR="0051354F" w:rsidRPr="00D17EED" w:rsidRDefault="0051354F" w:rsidP="005317D8">
            <w:pPr>
              <w:pStyle w:val="NoSpacing"/>
              <w:jc w:val="both"/>
            </w:pPr>
            <w:r>
              <w:t>Energy Efficiency and Conservation Authority</w:t>
            </w:r>
          </w:p>
        </w:tc>
      </w:tr>
      <w:tr w:rsidR="0051354F" w:rsidRPr="00D17EED" w14:paraId="3BF93822" w14:textId="77777777" w:rsidTr="005D2B46">
        <w:tc>
          <w:tcPr>
            <w:tcW w:w="1413" w:type="dxa"/>
          </w:tcPr>
          <w:p w14:paraId="11147295" w14:textId="77777777" w:rsidR="0051354F" w:rsidRPr="00D17EED" w:rsidRDefault="0051354F" w:rsidP="00D17EED">
            <w:pPr>
              <w:pStyle w:val="NoSpacing"/>
              <w:jc w:val="both"/>
            </w:pPr>
            <w:r w:rsidRPr="00D17EED">
              <w:t>GCV</w:t>
            </w:r>
          </w:p>
        </w:tc>
        <w:tc>
          <w:tcPr>
            <w:tcW w:w="4961" w:type="dxa"/>
          </w:tcPr>
          <w:p w14:paraId="587C84A3" w14:textId="77777777" w:rsidR="0051354F" w:rsidRPr="00D17EED" w:rsidRDefault="0051354F" w:rsidP="00D17EED">
            <w:pPr>
              <w:pStyle w:val="NoSpacing"/>
              <w:jc w:val="both"/>
            </w:pPr>
            <w:r>
              <w:t>Gross Calorific Value (of fuel)</w:t>
            </w:r>
          </w:p>
        </w:tc>
      </w:tr>
      <w:tr w:rsidR="0051354F" w:rsidRPr="00D17EED" w14:paraId="0C181AF8" w14:textId="77777777" w:rsidTr="005D2B46">
        <w:tc>
          <w:tcPr>
            <w:tcW w:w="1413" w:type="dxa"/>
          </w:tcPr>
          <w:p w14:paraId="62EB3ECD" w14:textId="77777777" w:rsidR="0051354F" w:rsidRPr="00D17EED" w:rsidRDefault="0051354F" w:rsidP="005317D8">
            <w:pPr>
              <w:pStyle w:val="NoSpacing"/>
              <w:jc w:val="both"/>
            </w:pPr>
            <w:r w:rsidRPr="00D17EED">
              <w:t xml:space="preserve">IANZ  </w:t>
            </w:r>
          </w:p>
        </w:tc>
        <w:tc>
          <w:tcPr>
            <w:tcW w:w="4961" w:type="dxa"/>
          </w:tcPr>
          <w:p w14:paraId="75D51F21" w14:textId="77777777" w:rsidR="0051354F" w:rsidRPr="00D17EED" w:rsidRDefault="0051354F" w:rsidP="005317D8">
            <w:pPr>
              <w:pStyle w:val="NoSpacing"/>
              <w:jc w:val="both"/>
            </w:pPr>
            <w:r w:rsidRPr="00D17EED">
              <w:t xml:space="preserve">International Accreditation NZ  </w:t>
            </w:r>
          </w:p>
        </w:tc>
      </w:tr>
      <w:tr w:rsidR="0051354F" w:rsidRPr="00D17EED" w14:paraId="0B88507C" w14:textId="77777777" w:rsidTr="005D2B46">
        <w:tc>
          <w:tcPr>
            <w:tcW w:w="1413" w:type="dxa"/>
          </w:tcPr>
          <w:p w14:paraId="13CF57D1" w14:textId="77777777" w:rsidR="0051354F" w:rsidRPr="00D17EED" w:rsidRDefault="0051354F" w:rsidP="005317D8">
            <w:pPr>
              <w:pStyle w:val="NoSpacing"/>
              <w:jc w:val="both"/>
            </w:pPr>
            <w:r w:rsidRPr="00D17EED">
              <w:t>LEB</w:t>
            </w:r>
          </w:p>
        </w:tc>
        <w:tc>
          <w:tcPr>
            <w:tcW w:w="4961" w:type="dxa"/>
          </w:tcPr>
          <w:p w14:paraId="1468977D" w14:textId="77777777" w:rsidR="0051354F" w:rsidRPr="00D17EED" w:rsidRDefault="0051354F" w:rsidP="005317D8">
            <w:pPr>
              <w:pStyle w:val="NoSpacing"/>
              <w:jc w:val="both"/>
            </w:pPr>
            <w:r>
              <w:t>Low Emission Burner</w:t>
            </w:r>
          </w:p>
        </w:tc>
      </w:tr>
      <w:tr w:rsidR="0051354F" w:rsidRPr="00D17EED" w14:paraId="35E496E1" w14:textId="77777777" w:rsidTr="005D2B46">
        <w:tc>
          <w:tcPr>
            <w:tcW w:w="1413" w:type="dxa"/>
          </w:tcPr>
          <w:p w14:paraId="07844FC3" w14:textId="77777777" w:rsidR="0051354F" w:rsidRPr="00D17EED" w:rsidRDefault="0051354F" w:rsidP="00D17EED">
            <w:pPr>
              <w:pStyle w:val="NoSpacing"/>
              <w:jc w:val="both"/>
            </w:pPr>
            <w:r w:rsidRPr="00D17EED">
              <w:t>MFB</w:t>
            </w:r>
          </w:p>
        </w:tc>
        <w:tc>
          <w:tcPr>
            <w:tcW w:w="4961" w:type="dxa"/>
          </w:tcPr>
          <w:p w14:paraId="79F48D7B" w14:textId="77777777" w:rsidR="0051354F" w:rsidRPr="00D17EED" w:rsidRDefault="0051354F" w:rsidP="00D17EED">
            <w:pPr>
              <w:pStyle w:val="NoSpacing"/>
              <w:jc w:val="both"/>
            </w:pPr>
            <w:r>
              <w:t>Multi Fuel Burner</w:t>
            </w:r>
          </w:p>
        </w:tc>
      </w:tr>
      <w:tr w:rsidR="0051354F" w:rsidRPr="00D17EED" w14:paraId="1E3BBD02" w14:textId="77777777" w:rsidTr="005D2B46">
        <w:tc>
          <w:tcPr>
            <w:tcW w:w="1413" w:type="dxa"/>
          </w:tcPr>
          <w:p w14:paraId="1D7CFE7F" w14:textId="77777777" w:rsidR="0051354F" w:rsidRPr="00D17EED" w:rsidRDefault="0051354F" w:rsidP="00D17EED">
            <w:pPr>
              <w:pStyle w:val="NoSpacing"/>
              <w:jc w:val="both"/>
            </w:pPr>
            <w:r w:rsidRPr="00D17EED">
              <w:t>MJ</w:t>
            </w:r>
          </w:p>
        </w:tc>
        <w:tc>
          <w:tcPr>
            <w:tcW w:w="4961" w:type="dxa"/>
          </w:tcPr>
          <w:p w14:paraId="5F3C0FEC" w14:textId="77777777" w:rsidR="0051354F" w:rsidRPr="00D17EED" w:rsidRDefault="0051354F" w:rsidP="00D17EED">
            <w:pPr>
              <w:pStyle w:val="NoSpacing"/>
              <w:jc w:val="both"/>
            </w:pPr>
            <w:r>
              <w:t>Megajoule</w:t>
            </w:r>
          </w:p>
        </w:tc>
      </w:tr>
      <w:tr w:rsidR="0051354F" w:rsidRPr="00D17EED" w14:paraId="31187A6E" w14:textId="77777777" w:rsidTr="005D2B46">
        <w:tc>
          <w:tcPr>
            <w:tcW w:w="1413" w:type="dxa"/>
          </w:tcPr>
          <w:p w14:paraId="74CEBB42" w14:textId="77777777" w:rsidR="0051354F" w:rsidRPr="00D17EED" w:rsidRDefault="0051354F" w:rsidP="00D17EED">
            <w:pPr>
              <w:pStyle w:val="NoSpacing"/>
              <w:jc w:val="both"/>
            </w:pPr>
            <w:r w:rsidRPr="00D17EED">
              <w:t>NCV</w:t>
            </w:r>
          </w:p>
        </w:tc>
        <w:tc>
          <w:tcPr>
            <w:tcW w:w="4961" w:type="dxa"/>
          </w:tcPr>
          <w:p w14:paraId="39F2C265" w14:textId="77777777" w:rsidR="0051354F" w:rsidRPr="00D17EED" w:rsidRDefault="0051354F" w:rsidP="00D17EED">
            <w:pPr>
              <w:pStyle w:val="NoSpacing"/>
              <w:jc w:val="both"/>
            </w:pPr>
            <w:r>
              <w:t>Net Calorific Value (of fuel)</w:t>
            </w:r>
          </w:p>
        </w:tc>
      </w:tr>
      <w:tr w:rsidR="0051354F" w:rsidRPr="00D17EED" w14:paraId="25DA16CD" w14:textId="77777777" w:rsidTr="005D2B46">
        <w:tc>
          <w:tcPr>
            <w:tcW w:w="1413" w:type="dxa"/>
          </w:tcPr>
          <w:p w14:paraId="131D8A5B" w14:textId="77777777" w:rsidR="0051354F" w:rsidRPr="00D17EED" w:rsidRDefault="0051354F" w:rsidP="005317D8">
            <w:pPr>
              <w:pStyle w:val="NoSpacing"/>
              <w:jc w:val="both"/>
            </w:pPr>
            <w:r w:rsidRPr="00D17EED">
              <w:t>NESAQ</w:t>
            </w:r>
          </w:p>
        </w:tc>
        <w:tc>
          <w:tcPr>
            <w:tcW w:w="4961" w:type="dxa"/>
          </w:tcPr>
          <w:p w14:paraId="6F5187F8" w14:textId="77777777" w:rsidR="0051354F" w:rsidRPr="00D17EED" w:rsidRDefault="0051354F" w:rsidP="005317D8">
            <w:pPr>
              <w:pStyle w:val="NoSpacing"/>
              <w:jc w:val="both"/>
            </w:pPr>
            <w:r>
              <w:t>National Environmental Standards for Air Quality</w:t>
            </w:r>
          </w:p>
        </w:tc>
      </w:tr>
      <w:tr w:rsidR="0051354F" w:rsidRPr="00D17EED" w14:paraId="4C64238F" w14:textId="77777777" w:rsidTr="005D2B46">
        <w:tc>
          <w:tcPr>
            <w:tcW w:w="1413" w:type="dxa"/>
          </w:tcPr>
          <w:p w14:paraId="3AA98AEB" w14:textId="77777777" w:rsidR="0051354F" w:rsidRPr="00D17EED" w:rsidRDefault="0051354F" w:rsidP="00D17EED">
            <w:pPr>
              <w:pStyle w:val="NoSpacing"/>
              <w:jc w:val="both"/>
            </w:pPr>
            <w:r w:rsidRPr="00D17EED">
              <w:t>NZHHA</w:t>
            </w:r>
          </w:p>
        </w:tc>
        <w:tc>
          <w:tcPr>
            <w:tcW w:w="4961" w:type="dxa"/>
          </w:tcPr>
          <w:p w14:paraId="1543280C" w14:textId="77777777" w:rsidR="0051354F" w:rsidRPr="00D17EED" w:rsidRDefault="0051354F" w:rsidP="00D17EED">
            <w:pPr>
              <w:pStyle w:val="NoSpacing"/>
              <w:jc w:val="both"/>
            </w:pPr>
            <w:r>
              <w:t>NZ Home Heating Association</w:t>
            </w:r>
          </w:p>
        </w:tc>
      </w:tr>
      <w:tr w:rsidR="0051354F" w:rsidRPr="00D17EED" w14:paraId="3BEE7DCE" w14:textId="77777777" w:rsidTr="005D2B46">
        <w:tc>
          <w:tcPr>
            <w:tcW w:w="1413" w:type="dxa"/>
          </w:tcPr>
          <w:p w14:paraId="38B4FE90" w14:textId="77777777" w:rsidR="0051354F" w:rsidRPr="00D17EED" w:rsidRDefault="0051354F" w:rsidP="00D17EED">
            <w:pPr>
              <w:pStyle w:val="NoSpacing"/>
              <w:jc w:val="both"/>
            </w:pPr>
            <w:r w:rsidRPr="00D17EED">
              <w:t>SERD</w:t>
            </w:r>
          </w:p>
        </w:tc>
        <w:tc>
          <w:tcPr>
            <w:tcW w:w="4961" w:type="dxa"/>
          </w:tcPr>
          <w:p w14:paraId="1296BD72" w14:textId="77777777" w:rsidR="0051354F" w:rsidRPr="00D17EED" w:rsidRDefault="0051354F" w:rsidP="00D17EED">
            <w:pPr>
              <w:pStyle w:val="NoSpacing"/>
              <w:jc w:val="both"/>
            </w:pPr>
            <w:r>
              <w:t>Secondary Emission Reduction Device</w:t>
            </w:r>
          </w:p>
        </w:tc>
      </w:tr>
      <w:tr w:rsidR="0051354F" w:rsidRPr="00D17EED" w14:paraId="6621654B" w14:textId="77777777" w:rsidTr="005D2B46">
        <w:tc>
          <w:tcPr>
            <w:tcW w:w="1413" w:type="dxa"/>
          </w:tcPr>
          <w:p w14:paraId="475D14F0" w14:textId="77777777" w:rsidR="0051354F" w:rsidRPr="00D17EED" w:rsidRDefault="0051354F" w:rsidP="00D17EED">
            <w:pPr>
              <w:pStyle w:val="NoSpacing"/>
              <w:jc w:val="both"/>
            </w:pPr>
            <w:r w:rsidRPr="00D17EED">
              <w:t>TA</w:t>
            </w:r>
          </w:p>
        </w:tc>
        <w:tc>
          <w:tcPr>
            <w:tcW w:w="4961" w:type="dxa"/>
          </w:tcPr>
          <w:p w14:paraId="58F91181" w14:textId="77777777" w:rsidR="0051354F" w:rsidRPr="00D17EED" w:rsidRDefault="0051354F" w:rsidP="00D17EED">
            <w:pPr>
              <w:pStyle w:val="NoSpacing"/>
              <w:jc w:val="both"/>
            </w:pPr>
            <w:r>
              <w:t>Territorial Authority</w:t>
            </w:r>
          </w:p>
        </w:tc>
      </w:tr>
      <w:tr w:rsidR="0051354F" w:rsidRPr="00D17EED" w14:paraId="0FFCC013" w14:textId="77777777" w:rsidTr="005D2B46">
        <w:tc>
          <w:tcPr>
            <w:tcW w:w="1413" w:type="dxa"/>
          </w:tcPr>
          <w:p w14:paraId="2A37C983" w14:textId="77777777" w:rsidR="0051354F" w:rsidRPr="00D17EED" w:rsidRDefault="0051354F" w:rsidP="00D17EED">
            <w:pPr>
              <w:pStyle w:val="NoSpacing"/>
              <w:jc w:val="both"/>
            </w:pPr>
            <w:r w:rsidRPr="00D17EED">
              <w:t>ULEB</w:t>
            </w:r>
          </w:p>
        </w:tc>
        <w:tc>
          <w:tcPr>
            <w:tcW w:w="4961" w:type="dxa"/>
          </w:tcPr>
          <w:p w14:paraId="393A6335" w14:textId="77777777" w:rsidR="0051354F" w:rsidRPr="00D17EED" w:rsidRDefault="0051354F" w:rsidP="00D17EED">
            <w:pPr>
              <w:pStyle w:val="NoSpacing"/>
              <w:jc w:val="both"/>
            </w:pPr>
            <w:r>
              <w:t>Ultra-low Emission Burner</w:t>
            </w:r>
          </w:p>
        </w:tc>
      </w:tr>
    </w:tbl>
    <w:p w14:paraId="53BA2623" w14:textId="2755FB16" w:rsidR="001220D4" w:rsidRDefault="001220D4" w:rsidP="00D019CC">
      <w:pPr>
        <w:pStyle w:val="NoSpacing"/>
        <w:jc w:val="both"/>
      </w:pPr>
    </w:p>
    <w:p w14:paraId="288E43D3" w14:textId="28828478" w:rsidR="009458A3" w:rsidRDefault="009458A3">
      <w:pPr>
        <w:spacing w:before="0" w:after="200" w:line="276" w:lineRule="auto"/>
        <w:jc w:val="left"/>
        <w:rPr>
          <w:rFonts w:eastAsiaTheme="minorHAnsi" w:cstheme="minorBidi"/>
          <w:szCs w:val="22"/>
          <w:lang w:val="en-NZ"/>
        </w:rPr>
      </w:pPr>
      <w:r>
        <w:br w:type="page"/>
      </w:r>
    </w:p>
    <w:p w14:paraId="2E10622E" w14:textId="3CE04671" w:rsidR="009458A3" w:rsidRDefault="009458A3" w:rsidP="009458A3">
      <w:pPr>
        <w:pStyle w:val="Heading1"/>
        <w:numPr>
          <w:ilvl w:val="0"/>
          <w:numId w:val="6"/>
        </w:numPr>
        <w:ind w:hanging="720"/>
      </w:pPr>
      <w:bookmarkStart w:id="68" w:name="_Toc34586705"/>
      <w:r>
        <w:lastRenderedPageBreak/>
        <w:t>List of NZ and International Standards</w:t>
      </w:r>
      <w:bookmarkEnd w:id="68"/>
    </w:p>
    <w:p w14:paraId="459349CA" w14:textId="77777777" w:rsidR="009458A3" w:rsidRDefault="009458A3" w:rsidP="009458A3"/>
    <w:p w14:paraId="67795CAD" w14:textId="77777777" w:rsidR="00E32205" w:rsidRDefault="00E32205" w:rsidP="008A705E">
      <w:pPr>
        <w:pStyle w:val="NoSpacing"/>
        <w:numPr>
          <w:ilvl w:val="0"/>
          <w:numId w:val="39"/>
        </w:numPr>
        <w:jc w:val="both"/>
      </w:pPr>
      <w:r>
        <w:t>AS/NZS 4012: Domestic solid fuel burning appliances – method for determination of power output and efficiency.</w:t>
      </w:r>
    </w:p>
    <w:p w14:paraId="0B9012F7" w14:textId="77777777" w:rsidR="004C4D08" w:rsidRDefault="00E32205" w:rsidP="008A705E">
      <w:pPr>
        <w:pStyle w:val="NoSpacing"/>
        <w:numPr>
          <w:ilvl w:val="0"/>
          <w:numId w:val="39"/>
        </w:numPr>
      </w:pPr>
      <w:r>
        <w:t xml:space="preserve">AS/NZS 4013: Domestic solid fuel burning appliances – method for determination of flue gas emission </w:t>
      </w:r>
    </w:p>
    <w:p w14:paraId="35E552C2" w14:textId="6428C811" w:rsidR="00E32205" w:rsidRPr="009E056E" w:rsidRDefault="00E32205" w:rsidP="008A705E">
      <w:pPr>
        <w:pStyle w:val="NoSpacing"/>
        <w:numPr>
          <w:ilvl w:val="0"/>
          <w:numId w:val="39"/>
        </w:numPr>
      </w:pPr>
      <w:r w:rsidRPr="009E056E">
        <w:t>AS/NZS 4886:2007 Domestic solid fuel burning appliance - Pellet heaters - Determination of flue gas emission</w:t>
      </w:r>
    </w:p>
    <w:p w14:paraId="39A4A442" w14:textId="77777777" w:rsidR="00E32205" w:rsidRPr="009E056E" w:rsidRDefault="00E32205" w:rsidP="008A705E">
      <w:pPr>
        <w:pStyle w:val="NoSpacing"/>
        <w:numPr>
          <w:ilvl w:val="0"/>
          <w:numId w:val="39"/>
        </w:numPr>
      </w:pPr>
      <w:r w:rsidRPr="009E056E">
        <w:t>AS/NZS 5078:2007 Domestic solid fuel burning appliances - Pellet heaters - Method for determination of power output and efficiency</w:t>
      </w:r>
    </w:p>
    <w:p w14:paraId="599D1669" w14:textId="77777777" w:rsidR="008A705E" w:rsidRDefault="008A705E" w:rsidP="008A705E">
      <w:pPr>
        <w:pStyle w:val="NoSpacing"/>
        <w:numPr>
          <w:ilvl w:val="0"/>
          <w:numId w:val="39"/>
        </w:numPr>
        <w:jc w:val="both"/>
      </w:pPr>
      <w:r>
        <w:t>EN 303-5:2012 “</w:t>
      </w:r>
      <w:r w:rsidRPr="00BA0A07">
        <w:t xml:space="preserve">Heating boilers. Heating boilers for solid fuels, manually and automatically stoked, nominal heat output of up to 500 kW. </w:t>
      </w:r>
    </w:p>
    <w:p w14:paraId="7C3E5243" w14:textId="4DCA0134" w:rsidR="00E32205" w:rsidRDefault="00E32205" w:rsidP="008A705E">
      <w:pPr>
        <w:pStyle w:val="NoSpacing"/>
        <w:numPr>
          <w:ilvl w:val="0"/>
          <w:numId w:val="39"/>
        </w:numPr>
        <w:jc w:val="both"/>
      </w:pPr>
      <w:r w:rsidRPr="00736786">
        <w:t>EN 14785: 2006 Residential Space Heating Appliances Fired By Wood Pellets - Requirements And Test Methods</w:t>
      </w:r>
    </w:p>
    <w:p w14:paraId="4D5D3C82" w14:textId="77777777" w:rsidR="009D6594" w:rsidRDefault="00387D57" w:rsidP="009D6594">
      <w:pPr>
        <w:pStyle w:val="NoSpacing"/>
        <w:numPr>
          <w:ilvl w:val="0"/>
          <w:numId w:val="39"/>
        </w:numPr>
        <w:jc w:val="both"/>
      </w:pPr>
      <w:r w:rsidRPr="00532B12">
        <w:t>EN 15250:2007</w:t>
      </w:r>
      <w:r>
        <w:t xml:space="preserve"> </w:t>
      </w:r>
      <w:r w:rsidRPr="00C26A9A">
        <w:t>(Slow heat release appliances fired by solid fuel – Requirements and test methods)</w:t>
      </w:r>
    </w:p>
    <w:p w14:paraId="1ABF9251" w14:textId="253CD65B" w:rsidR="00E32205" w:rsidRDefault="00E32205" w:rsidP="009D6594">
      <w:pPr>
        <w:pStyle w:val="NoSpacing"/>
        <w:numPr>
          <w:ilvl w:val="0"/>
          <w:numId w:val="39"/>
        </w:numPr>
        <w:jc w:val="both"/>
      </w:pPr>
      <w:r w:rsidRPr="002635F2">
        <w:t>EN16510-1 Residential solid fuel burning appliances - Part 1: General requirements and test methods</w:t>
      </w:r>
    </w:p>
    <w:p w14:paraId="29F82279" w14:textId="6F564E20" w:rsidR="00E64BD3" w:rsidRDefault="00177BF2" w:rsidP="009D6594">
      <w:pPr>
        <w:pStyle w:val="NoSpacing"/>
        <w:numPr>
          <w:ilvl w:val="0"/>
          <w:numId w:val="39"/>
        </w:numPr>
        <w:jc w:val="both"/>
      </w:pPr>
      <w:r w:rsidRPr="00B80944">
        <w:t>EN 16510-2-3</w:t>
      </w:r>
      <w:r>
        <w:t xml:space="preserve"> </w:t>
      </w:r>
      <w:r w:rsidRPr="00B80944">
        <w:t>Residential solid fuel burning appliances - Part 2-3: Cookers</w:t>
      </w:r>
    </w:p>
    <w:p w14:paraId="50CCA394" w14:textId="77777777" w:rsidR="00E32205" w:rsidRDefault="00E32205" w:rsidP="009458A3">
      <w:pPr>
        <w:pStyle w:val="NoSpacing"/>
        <w:jc w:val="both"/>
      </w:pPr>
    </w:p>
    <w:p w14:paraId="03403F26" w14:textId="77777777" w:rsidR="005A5ED8" w:rsidRDefault="005A5ED8" w:rsidP="009458A3">
      <w:pPr>
        <w:pStyle w:val="NoSpacing"/>
        <w:jc w:val="both"/>
      </w:pPr>
    </w:p>
    <w:p w14:paraId="3220C41D" w14:textId="77777777" w:rsidR="001220D4" w:rsidRDefault="001220D4" w:rsidP="00D019CC">
      <w:pPr>
        <w:pStyle w:val="NoSpacing"/>
        <w:jc w:val="both"/>
      </w:pPr>
    </w:p>
    <w:p w14:paraId="1B19D494" w14:textId="77777777" w:rsidR="008F6853" w:rsidRDefault="008F6853" w:rsidP="00D019CC">
      <w:pPr>
        <w:pStyle w:val="NoSpacing"/>
        <w:jc w:val="both"/>
      </w:pPr>
    </w:p>
    <w:p w14:paraId="7DFBE13E" w14:textId="77777777" w:rsidR="00C50361" w:rsidRPr="00EB3D5D" w:rsidRDefault="00C50361" w:rsidP="00EB3D5D"/>
    <w:p w14:paraId="7FC08660" w14:textId="77777777" w:rsidR="00AA6FD8" w:rsidRDefault="00025B36">
      <w:pPr>
        <w:spacing w:before="0" w:after="200" w:line="276" w:lineRule="auto"/>
        <w:jc w:val="left"/>
        <w:sectPr w:rsidR="00AA6FD8" w:rsidSect="00C24919">
          <w:pgSz w:w="11906" w:h="16838"/>
          <w:pgMar w:top="1191" w:right="1191" w:bottom="1191" w:left="1191" w:header="709" w:footer="709" w:gutter="0"/>
          <w:cols w:space="708"/>
          <w:docGrid w:linePitch="360"/>
        </w:sectPr>
      </w:pPr>
      <w:r>
        <w:br w:type="page"/>
      </w:r>
    </w:p>
    <w:p w14:paraId="1537D39A" w14:textId="533405E9" w:rsidR="00025B36" w:rsidRDefault="00025B36" w:rsidP="00073FB8">
      <w:pPr>
        <w:pStyle w:val="Heading1"/>
        <w:numPr>
          <w:ilvl w:val="0"/>
          <w:numId w:val="0"/>
        </w:numPr>
        <w:ind w:left="432" w:hanging="432"/>
        <w:rPr>
          <w:rFonts w:asciiTheme="minorHAnsi" w:hAnsiTheme="minorHAnsi" w:cstheme="minorHAnsi"/>
          <w:b/>
          <w:i w:val="0"/>
          <w:sz w:val="24"/>
          <w:szCs w:val="24"/>
        </w:rPr>
      </w:pPr>
      <w:bookmarkStart w:id="69" w:name="_Toc34586706"/>
      <w:r w:rsidRPr="00025B36">
        <w:rPr>
          <w:rFonts w:asciiTheme="minorHAnsi" w:hAnsiTheme="minorHAnsi" w:cstheme="minorHAnsi"/>
          <w:b/>
          <w:i w:val="0"/>
          <w:sz w:val="24"/>
          <w:szCs w:val="24"/>
        </w:rPr>
        <w:lastRenderedPageBreak/>
        <w:t>Appendix 1</w:t>
      </w:r>
      <w:r>
        <w:rPr>
          <w:rFonts w:asciiTheme="minorHAnsi" w:hAnsiTheme="minorHAnsi" w:cstheme="minorHAnsi"/>
          <w:b/>
          <w:i w:val="0"/>
          <w:sz w:val="24"/>
          <w:szCs w:val="24"/>
        </w:rPr>
        <w:t xml:space="preserve"> – </w:t>
      </w:r>
      <w:bookmarkEnd w:id="9"/>
      <w:r w:rsidR="00C473C0">
        <w:rPr>
          <w:rFonts w:asciiTheme="minorHAnsi" w:hAnsiTheme="minorHAnsi" w:cstheme="minorHAnsi"/>
          <w:b/>
          <w:i w:val="0"/>
          <w:sz w:val="24"/>
          <w:szCs w:val="24"/>
        </w:rPr>
        <w:t xml:space="preserve">Relationship between </w:t>
      </w:r>
      <w:r w:rsidR="00FE741B">
        <w:rPr>
          <w:rFonts w:asciiTheme="minorHAnsi" w:hAnsiTheme="minorHAnsi" w:cstheme="minorHAnsi"/>
          <w:b/>
          <w:i w:val="0"/>
          <w:sz w:val="24"/>
          <w:szCs w:val="24"/>
        </w:rPr>
        <w:t xml:space="preserve">emissions g/kg, </w:t>
      </w:r>
      <w:r w:rsidR="00332875">
        <w:rPr>
          <w:rFonts w:asciiTheme="minorHAnsi" w:hAnsiTheme="minorHAnsi" w:cstheme="minorHAnsi"/>
          <w:b/>
          <w:i w:val="0"/>
          <w:sz w:val="24"/>
          <w:szCs w:val="24"/>
        </w:rPr>
        <w:t>emissions</w:t>
      </w:r>
      <w:r w:rsidR="00FE741B">
        <w:rPr>
          <w:rFonts w:asciiTheme="minorHAnsi" w:hAnsiTheme="minorHAnsi" w:cstheme="minorHAnsi"/>
          <w:b/>
          <w:i w:val="0"/>
          <w:sz w:val="24"/>
          <w:szCs w:val="24"/>
        </w:rPr>
        <w:t xml:space="preserve"> mg/MJ and effi</w:t>
      </w:r>
      <w:r w:rsidR="009833D6">
        <w:rPr>
          <w:rFonts w:asciiTheme="minorHAnsi" w:hAnsiTheme="minorHAnsi" w:cstheme="minorHAnsi"/>
          <w:b/>
          <w:i w:val="0"/>
          <w:sz w:val="24"/>
          <w:szCs w:val="24"/>
        </w:rPr>
        <w:t>cie</w:t>
      </w:r>
      <w:r w:rsidR="00FE741B">
        <w:rPr>
          <w:rFonts w:asciiTheme="minorHAnsi" w:hAnsiTheme="minorHAnsi" w:cstheme="minorHAnsi"/>
          <w:b/>
          <w:i w:val="0"/>
          <w:sz w:val="24"/>
          <w:szCs w:val="24"/>
        </w:rPr>
        <w:t>ncy</w:t>
      </w:r>
      <w:bookmarkEnd w:id="69"/>
    </w:p>
    <w:p w14:paraId="0DD3AA8B" w14:textId="77777777" w:rsidR="00843F75" w:rsidRPr="00843F75" w:rsidRDefault="00843F75" w:rsidP="00843F75"/>
    <w:p w14:paraId="0A2ED64C" w14:textId="581282D4" w:rsidR="007D1CE3" w:rsidRPr="00BC17BA" w:rsidRDefault="00BC17BA" w:rsidP="00BC17BA">
      <w:pPr>
        <w:jc w:val="center"/>
        <w:rPr>
          <w:b/>
          <w:bCs/>
          <w:sz w:val="18"/>
          <w:szCs w:val="18"/>
        </w:rPr>
      </w:pPr>
      <w:r w:rsidRPr="00BC17BA">
        <w:rPr>
          <w:b/>
          <w:bCs/>
          <w:sz w:val="18"/>
          <w:szCs w:val="18"/>
        </w:rPr>
        <w:t>Emissions g/kg</w:t>
      </w:r>
    </w:p>
    <w:tbl>
      <w:tblPr>
        <w:tblW w:w="10260" w:type="dxa"/>
        <w:tblLook w:val="04A0" w:firstRow="1" w:lastRow="0" w:firstColumn="1" w:lastColumn="0" w:noHBand="0" w:noVBand="1"/>
      </w:tblPr>
      <w:tblGrid>
        <w:gridCol w:w="930"/>
        <w:gridCol w:w="500"/>
        <w:gridCol w:w="538"/>
        <w:gridCol w:w="500"/>
        <w:gridCol w:w="538"/>
        <w:gridCol w:w="500"/>
        <w:gridCol w:w="538"/>
        <w:gridCol w:w="500"/>
        <w:gridCol w:w="538"/>
        <w:gridCol w:w="500"/>
        <w:gridCol w:w="538"/>
        <w:gridCol w:w="500"/>
        <w:gridCol w:w="538"/>
        <w:gridCol w:w="500"/>
        <w:gridCol w:w="538"/>
        <w:gridCol w:w="500"/>
        <w:gridCol w:w="538"/>
        <w:gridCol w:w="500"/>
        <w:gridCol w:w="538"/>
        <w:gridCol w:w="500"/>
      </w:tblGrid>
      <w:tr w:rsidR="007D1CE3" w:rsidRPr="007D1CE3" w14:paraId="453EA84F" w14:textId="77777777" w:rsidTr="007D1CE3">
        <w:trPr>
          <w:trHeight w:val="240"/>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C2440"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697786BC"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0.1</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2978D22F"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0.15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1B242088"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0.2</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5400B182"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0.25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39A6B998"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0.3</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4C2ACF3D"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0.35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215D3AE4"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0.4</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10A90D9B"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0.45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407B9F71"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61A08B5D"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0.55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670F5C67"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0.6</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5358D1A7"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0.65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116FE5A3"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0.7</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0CC95C42"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0.75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23E512BD"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0.8</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260CB06F"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0.85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4FD948A6"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0.9</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5DC4D63B"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0.95</w:t>
            </w:r>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14:paraId="635B6BAD"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1</w:t>
            </w:r>
          </w:p>
        </w:tc>
      </w:tr>
      <w:tr w:rsidR="007D1CE3" w:rsidRPr="007D1CE3" w14:paraId="6E4CF375"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CBBE16"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Efficiency</w:t>
            </w:r>
          </w:p>
        </w:tc>
        <w:tc>
          <w:tcPr>
            <w:tcW w:w="500" w:type="dxa"/>
            <w:tcBorders>
              <w:top w:val="nil"/>
              <w:left w:val="nil"/>
              <w:bottom w:val="single" w:sz="4" w:space="0" w:color="auto"/>
              <w:right w:val="single" w:sz="4" w:space="0" w:color="auto"/>
            </w:tcBorders>
            <w:shd w:val="clear" w:color="auto" w:fill="auto"/>
            <w:noWrap/>
            <w:vAlign w:val="bottom"/>
            <w:hideMark/>
          </w:tcPr>
          <w:p w14:paraId="16480E3D"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6556EF22"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5320D54D"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2DA3BEAB"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7DD67BD6"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2859B927"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1520E31D"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29B59020"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3566E521"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47710418"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55B6F624"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670DB2B8"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138E2F6A"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50BD9E91"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15790F33"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6048C7EE"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632ADC56"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7E53B823"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c>
          <w:tcPr>
            <w:tcW w:w="500" w:type="dxa"/>
            <w:tcBorders>
              <w:top w:val="nil"/>
              <w:left w:val="nil"/>
              <w:bottom w:val="single" w:sz="4" w:space="0" w:color="auto"/>
              <w:right w:val="single" w:sz="4" w:space="0" w:color="auto"/>
            </w:tcBorders>
            <w:shd w:val="clear" w:color="auto" w:fill="auto"/>
            <w:noWrap/>
            <w:vAlign w:val="bottom"/>
            <w:hideMark/>
          </w:tcPr>
          <w:p w14:paraId="6CCC224E" w14:textId="77777777" w:rsidR="007D1CE3" w:rsidRPr="007D1CE3" w:rsidRDefault="007D1CE3" w:rsidP="007D1CE3">
            <w:pPr>
              <w:spacing w:before="0" w:after="0"/>
              <w:jc w:val="center"/>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 </w:t>
            </w:r>
          </w:p>
        </w:tc>
      </w:tr>
      <w:tr w:rsidR="007D1CE3" w:rsidRPr="007D1CE3" w14:paraId="08F413DE"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924C9B7"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35B2ED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210B9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C70BC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1CB72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5AB1A6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21977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3BCC89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66FA5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59F463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A552E3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DB522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EB1E9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F00ABA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7C696C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75</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8938ACA"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80</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F404532"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85</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FAB5286"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90</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A89C3D4"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95</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22AA477"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100</w:t>
            </w:r>
          </w:p>
        </w:tc>
      </w:tr>
      <w:tr w:rsidR="007D1CE3" w:rsidRPr="007D1CE3" w14:paraId="42387060"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AAECB0"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46E8E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613B3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2294BE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529D9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D7553B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918C55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56BA6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39AC3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79015D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A3AA5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CB548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57789D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F047D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01B0B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73</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1E4541C"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78</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F7B9FE6"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83</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4B1F959"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88</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AB7870E"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93</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DC4CEA5"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98</w:t>
            </w:r>
          </w:p>
        </w:tc>
      </w:tr>
      <w:tr w:rsidR="007D1CE3" w:rsidRPr="007D1CE3" w14:paraId="6E0F14A7"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A3BE3F3"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A4A94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FF1E5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3C2B7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5BC2E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D51EA5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A99040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3D096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F9F052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2961E6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419692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E4C4A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C5A1F2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86AE4A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7D1C1D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72</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50533CA"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77</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3A07D16"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81</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EEB9161"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86</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E350EA8"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91</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4800364"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96</w:t>
            </w:r>
          </w:p>
        </w:tc>
      </w:tr>
      <w:tr w:rsidR="007D1CE3" w:rsidRPr="007D1CE3" w14:paraId="48F7D35D"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398384A"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1B43ED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ADB43F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8CAA18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A4D47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77100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AEA4B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F13DD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7DF5B7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C5D58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9E67D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01EF2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341964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62EB7C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94BFCB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329F82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75</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C20DE0F"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80</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3F3B7A6"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84</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7D918BF"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89</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E972F21"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94</w:t>
            </w:r>
          </w:p>
        </w:tc>
      </w:tr>
      <w:tr w:rsidR="007D1CE3" w:rsidRPr="007D1CE3" w14:paraId="19620530"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747079"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0BBC0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93A46B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BB7CE5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572F29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5D1335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5AA879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A1F70B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332CD7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00B9D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E6AA7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125D7E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3D9198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B6257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C92E0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8F6824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74</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3F0B430"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78</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43D598C"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83</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0A12DF9"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88</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26D6253"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92</w:t>
            </w:r>
          </w:p>
        </w:tc>
      </w:tr>
      <w:tr w:rsidR="007D1CE3" w:rsidRPr="007D1CE3" w14:paraId="65BD4B08"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06DBFA7"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D5E52D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69DE96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0F539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07369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5C59A5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BFE76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51C6F5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E86D8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5BE460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917C0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4FA0D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8DAF80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36B0CA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D114C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C179D7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72</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0FFCEE6"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77</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0B0EEAC"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81</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EC12143"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86</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225F88E"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90</w:t>
            </w:r>
          </w:p>
        </w:tc>
      </w:tr>
      <w:tr w:rsidR="007D1CE3" w:rsidRPr="007D1CE3" w14:paraId="3759935B"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F45DE1"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C250C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FA1226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B0BF6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AB95E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A3983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12434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9ABCC7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ECFCA9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49D03F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AECCA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AEE61B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6284A2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B29B4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8FCDBF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78EC03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71982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76</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2E738FB"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80</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B81D816"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84</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F4BBB35"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89</w:t>
            </w:r>
          </w:p>
        </w:tc>
      </w:tr>
      <w:tr w:rsidR="007D1CE3" w:rsidRPr="007D1CE3" w14:paraId="75B39387"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76DF42"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5F883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FAA53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6A2098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15436E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CAA12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695CE6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1B3E7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387CA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11E9B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3F879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041869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CD54DC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E15F4B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B5991A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636967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736BC9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74</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9EE3F55"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79</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4005C1F"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83</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CDAEC99"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87</w:t>
            </w:r>
          </w:p>
        </w:tc>
      </w:tr>
      <w:tr w:rsidR="007D1CE3" w:rsidRPr="007D1CE3" w14:paraId="213381D7"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52F9C41"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E8A26F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063BF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B36F88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E81FD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2195C2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F246F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98A3E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D3D32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157F53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669FA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07F31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053AA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9A70FB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9121E5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723DBE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5B8325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73</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167106E2"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77</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921D190"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81</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1714366"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86</w:t>
            </w:r>
          </w:p>
        </w:tc>
      </w:tr>
      <w:tr w:rsidR="007D1CE3" w:rsidRPr="007D1CE3" w14:paraId="79935D19"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08CA3B"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C430AF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308247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6B730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729655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A213CC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25826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208504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3FDA49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4A0100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B94520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41AF2A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DC38B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37910A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80FC1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549A6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1B478A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845AB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76</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07999227"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80</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988A0F3"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84</w:t>
            </w:r>
          </w:p>
        </w:tc>
      </w:tr>
      <w:tr w:rsidR="007D1CE3" w:rsidRPr="007D1CE3" w14:paraId="7508D039"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56784B1"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5A307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202785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CE4D3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73DFC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45D087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019E2D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21363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12AA8F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A0C74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F0A97F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4747AA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393358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17997D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0C21F0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22DB50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87753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DA8690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75</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0D1948C"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79</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733C8D62"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83</w:t>
            </w:r>
          </w:p>
        </w:tc>
      </w:tr>
      <w:tr w:rsidR="007D1CE3" w:rsidRPr="007D1CE3" w14:paraId="3D9E9882"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E292300"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B30A06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3873EF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86E9D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C49BD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19C5C2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8923F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354BC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A8E45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B4BB4C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263A08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311E0D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EA64E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E2CD2F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8A7509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5CB5D1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BE0F3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5BB4F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73</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643A095F"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77</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218670B5"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82</w:t>
            </w:r>
          </w:p>
        </w:tc>
      </w:tr>
      <w:tr w:rsidR="007D1CE3" w:rsidRPr="007D1CE3" w14:paraId="519A283E"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84D9B61"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44E9E2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715DD5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D91BA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007002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79CD4B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69A664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C53535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3B01ED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9D1FA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4D5722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88826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EFF938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DCB109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4817F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2CC580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45A547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675B7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02C658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76</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23EE313"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80</w:t>
            </w:r>
          </w:p>
        </w:tc>
      </w:tr>
      <w:tr w:rsidR="007D1CE3" w:rsidRPr="007D1CE3" w14:paraId="5B8069E4"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206B249"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5F2533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70384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2B017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4E2E7D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FE5589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C84236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44FB12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04C645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DB1129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245B7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D6C2D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7FCC82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797868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10439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9FD658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2BA61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A8F518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736FF4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75</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43EC4E30"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79</w:t>
            </w:r>
          </w:p>
        </w:tc>
      </w:tr>
      <w:tr w:rsidR="007D1CE3" w:rsidRPr="007D1CE3" w14:paraId="2A828698"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86B4397"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0CEA0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7BA14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9E80A2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DB15D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0E1F3D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7540F9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E6EC3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0019E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EF51D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22AC1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31078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6F9EA8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A82BB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AA2EFE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7DAC05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10DB3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7B777A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475CFA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74</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36AD1EC7"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78</w:t>
            </w:r>
          </w:p>
        </w:tc>
      </w:tr>
      <w:tr w:rsidR="007D1CE3" w:rsidRPr="007D1CE3" w14:paraId="4C0AB7AE"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C7247F0"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73EB06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B02671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63A9B9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16F40A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4100FD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3DC9B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6F191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9224B0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A4B31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078577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C1759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FC7C14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D4F4BF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22F86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A0A34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BA460B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1F0D5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E50B48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73</w:t>
            </w:r>
          </w:p>
        </w:tc>
        <w:tc>
          <w:tcPr>
            <w:tcW w:w="500" w:type="dxa"/>
            <w:tcBorders>
              <w:top w:val="single" w:sz="4" w:space="0" w:color="auto"/>
              <w:left w:val="single" w:sz="4" w:space="0" w:color="auto"/>
              <w:bottom w:val="single" w:sz="4" w:space="0" w:color="auto"/>
              <w:right w:val="single" w:sz="4" w:space="0" w:color="auto"/>
            </w:tcBorders>
            <w:shd w:val="clear" w:color="000000" w:fill="FFC7CE"/>
            <w:noWrap/>
            <w:vAlign w:val="bottom"/>
            <w:hideMark/>
          </w:tcPr>
          <w:p w14:paraId="592A6FAA" w14:textId="77777777" w:rsidR="007D1CE3" w:rsidRPr="007D1CE3" w:rsidRDefault="007D1CE3" w:rsidP="007D1CE3">
            <w:pPr>
              <w:spacing w:before="0" w:after="0"/>
              <w:jc w:val="right"/>
              <w:rPr>
                <w:rFonts w:ascii="Calibri" w:eastAsia="Times New Roman" w:hAnsi="Calibri" w:cs="Calibri"/>
                <w:color w:val="9C0006"/>
                <w:sz w:val="18"/>
                <w:szCs w:val="18"/>
                <w:lang w:val="en-NZ" w:eastAsia="en-NZ"/>
              </w:rPr>
            </w:pPr>
            <w:r w:rsidRPr="007D1CE3">
              <w:rPr>
                <w:rFonts w:ascii="Calibri" w:eastAsia="Times New Roman" w:hAnsi="Calibri" w:cs="Calibri"/>
                <w:color w:val="9C0006"/>
                <w:sz w:val="18"/>
                <w:szCs w:val="18"/>
                <w:lang w:val="en-NZ" w:eastAsia="en-NZ"/>
              </w:rPr>
              <w:t>77</w:t>
            </w:r>
          </w:p>
        </w:tc>
      </w:tr>
      <w:tr w:rsidR="007D1CE3" w:rsidRPr="007D1CE3" w14:paraId="4A455E70"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2356FC4"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70D9F1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09C72D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EDB0B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A2235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831C06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AF116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23C4C8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51A1C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B81FF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B01EC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9A7BE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90608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7D3EE7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86F1EF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03F99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58B0C7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6A1FA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4DFFC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5B07C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75</w:t>
            </w:r>
          </w:p>
        </w:tc>
      </w:tr>
      <w:tr w:rsidR="007D1CE3" w:rsidRPr="007D1CE3" w14:paraId="1A237891"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244DB08"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93B4C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B8AD4D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815005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BA222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7BC2BB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E71D7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56271B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B058C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449F30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3FC2FC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CC0B03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73420A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D603E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61AA0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C5F12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BC1D1D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59D03E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3AC392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119140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74</w:t>
            </w:r>
          </w:p>
        </w:tc>
      </w:tr>
      <w:tr w:rsidR="007D1CE3" w:rsidRPr="007D1CE3" w14:paraId="5194B177"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D5027B"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FCCFE2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3FE7D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AE786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C4ECC7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6067CB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1EA8A7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CF9E6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0FB8ED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DA45A6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2DCC8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90C5B7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A1CD65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56BA3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32B33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D10FEC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00BA11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92FC63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8D35A0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F30E38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73</w:t>
            </w:r>
          </w:p>
        </w:tc>
      </w:tr>
      <w:tr w:rsidR="007D1CE3" w:rsidRPr="007D1CE3" w14:paraId="18A7FBC9"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6907C2"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69%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5B7C0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B247F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A7F179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8B894F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374F1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0E15E1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E3C8F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A1641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3891D8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E3E5CD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97CA91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E70342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18E3AC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71A02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1A23C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7DA7B4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3B9312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29FB2D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39D67E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72</w:t>
            </w:r>
          </w:p>
        </w:tc>
      </w:tr>
      <w:tr w:rsidR="007D1CE3" w:rsidRPr="007D1CE3" w14:paraId="7D620FE4"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F7312F3"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CAAF8A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12DD3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BC5A4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0DFEF1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9E53AD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A10693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2A0FB3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4D1073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20FFF8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ACB211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DC0F53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E8B85C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9993FB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72D864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8519E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3E765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4E20B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84A397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28C59E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71</w:t>
            </w:r>
          </w:p>
        </w:tc>
      </w:tr>
      <w:tr w:rsidR="007D1CE3" w:rsidRPr="007D1CE3" w14:paraId="4DC9FFBC"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6088C46"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FA296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1240D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4D257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DA3D4B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231C7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B08167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521CB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924A65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0EDBA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0E8E4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87450F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530F8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86F12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DD3EF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3C5DB4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7B1B0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C981C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E84E17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ACAB68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70</w:t>
            </w:r>
          </w:p>
        </w:tc>
      </w:tr>
      <w:tr w:rsidR="007D1CE3" w:rsidRPr="007D1CE3" w14:paraId="148679BF"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64B845"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FE1B4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A68BE4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F582A3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45969C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3D098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1A29BD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6424CB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886FE9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DE20AC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3C51E6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2D587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2A8E7C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4D005C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B7A3FE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BF2DCA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F08F5F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D1277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3E43AE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5B38F1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69</w:t>
            </w:r>
          </w:p>
        </w:tc>
      </w:tr>
      <w:tr w:rsidR="007D1CE3" w:rsidRPr="007D1CE3" w14:paraId="17360C41"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5F953EE"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915862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C7BAC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E55BB8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A09578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36FDC8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6C75B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EC064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BAB39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890FE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33425E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29DE01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AB74E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5B1915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22CB3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9DAF7C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060CF0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CF441A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8756E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01E588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68</w:t>
            </w:r>
          </w:p>
        </w:tc>
      </w:tr>
      <w:tr w:rsidR="007D1CE3" w:rsidRPr="007D1CE3" w14:paraId="2DB26ABA"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80E6B8"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F1FD0C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29A058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9D35A6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3FB7A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376194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4B5745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03C1CF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D3126B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1A84B7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065266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37DDF2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EE7CB4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D6EBF1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A5635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E1E5C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8394BA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918144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BCE634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7C4385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67</w:t>
            </w:r>
          </w:p>
        </w:tc>
      </w:tr>
      <w:tr w:rsidR="007D1CE3" w:rsidRPr="007D1CE3" w14:paraId="2794EFCC"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0B5247C"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045646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12924C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2748E9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8F9FA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CECD79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5174A0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97F61F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6DDBA1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337CB4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E7E705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3A84B4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A5D2AA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33926A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8D798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7D648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855E9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08A836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DFB0E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92676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66</w:t>
            </w:r>
          </w:p>
        </w:tc>
      </w:tr>
      <w:tr w:rsidR="007D1CE3" w:rsidRPr="007D1CE3" w14:paraId="2191C40A"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7C02CBE"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281416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3B5DD3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2F52D1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2CF097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BAC0D9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291A25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80D803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8FD19B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0D184B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DD092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AB5824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054892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61DA9E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B0CDB5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74858B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7FA3A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4B6AC6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F0046E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8ADE0B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65</w:t>
            </w:r>
          </w:p>
        </w:tc>
      </w:tr>
      <w:tr w:rsidR="007D1CE3" w:rsidRPr="007D1CE3" w14:paraId="47DC81FB"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1A7006"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1487F7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54E66E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BCF472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E9475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63641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02E39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6E2555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3F11F5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44BDE3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98B1C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E827C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64B085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78C900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7F52B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D95D47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80558E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02FCD0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4D8D00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CB21BA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65</w:t>
            </w:r>
          </w:p>
        </w:tc>
      </w:tr>
      <w:tr w:rsidR="007D1CE3" w:rsidRPr="007D1CE3" w14:paraId="4215289D"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173549F"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823AD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F1742D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A6CD12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BA0C03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0FA481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AD1D0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83EB07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8049DC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426696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0A6B3D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64F138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2AC1D1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E5FF4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7E6E6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E5D4C3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C40BC2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A801C6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FCDB61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1D0608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64</w:t>
            </w:r>
          </w:p>
        </w:tc>
      </w:tr>
      <w:tr w:rsidR="007D1CE3" w:rsidRPr="007D1CE3" w14:paraId="631516FD"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0C3E0A2"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79%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58D794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7244C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DC551A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DB02F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0E4CA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5A0352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231A3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3B27B8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13A2DC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FFA300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11AAD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CD34DA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157A46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4B43C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4734DB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79DA1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BB1B34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B37605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678CB1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63</w:t>
            </w:r>
          </w:p>
        </w:tc>
      </w:tr>
      <w:tr w:rsidR="007D1CE3" w:rsidRPr="007D1CE3" w14:paraId="23A7CD5D"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1FC0A0"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80%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2D965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BEE384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F1514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0C91DE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8D682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E1B1A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A6A304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6CC273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08F44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F90CB7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0DB905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3D453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394AF7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A1B238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2F6CC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6BF91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408E9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AA6A5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BEED7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62</w:t>
            </w:r>
          </w:p>
        </w:tc>
      </w:tr>
      <w:tr w:rsidR="007D1CE3" w:rsidRPr="007D1CE3" w14:paraId="147C14EF"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77E1CEF"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81%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C28E6D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82CED9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A2D29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776529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14BFD6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B44D38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A74831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2D6E6E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964C69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A23822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459A5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C3FCD7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6B9DC1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33D4F5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219DFE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5AE665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99333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64F428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B8756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r>
      <w:tr w:rsidR="007D1CE3" w:rsidRPr="007D1CE3" w14:paraId="466A9709"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73BD09D"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82%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BF154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A0944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64F37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BDD9C6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FC6431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4095EA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681834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195839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FE556E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C438DC0"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6A1AA3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30B9A94"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360C1C"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77B810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1221A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A1759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F28A94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F2BB9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1395E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61</w:t>
            </w:r>
          </w:p>
        </w:tc>
      </w:tr>
      <w:tr w:rsidR="007D1CE3" w:rsidRPr="007D1CE3" w14:paraId="170104F9"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230FF21"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83%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CB833B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1A492B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19DD09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E584E0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CB74C1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EEE386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3F7073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6DD62A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61DD8E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21655D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DE880C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BA16AC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A89F9E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A451A5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80F518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EB728B8"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3A1E6A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51B276F"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DC483C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60</w:t>
            </w:r>
          </w:p>
        </w:tc>
      </w:tr>
      <w:tr w:rsidR="007D1CE3" w:rsidRPr="007D1CE3" w14:paraId="0C2AC0BD"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D289276"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84%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876FB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D597D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32E330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E69327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4C1062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C15A54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571E3C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D3C9E2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598C8CA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FFD6D0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84CE83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9750F7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AE0579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B8D681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AE0111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0FBFF5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E80573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2C9DECC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191A9C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r>
      <w:tr w:rsidR="007D1CE3" w:rsidRPr="007D1CE3" w14:paraId="739D20E5" w14:textId="77777777" w:rsidTr="007D1CE3">
        <w:trPr>
          <w:trHeight w:val="240"/>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F30C1CA" w14:textId="77777777" w:rsidR="007D1CE3" w:rsidRPr="007D1CE3" w:rsidRDefault="007D1CE3" w:rsidP="007D1CE3">
            <w:pPr>
              <w:spacing w:before="0" w:after="0"/>
              <w:jc w:val="right"/>
              <w:rPr>
                <w:rFonts w:ascii="Calibri" w:eastAsia="Times New Roman" w:hAnsi="Calibri" w:cs="Calibri"/>
                <w:b/>
                <w:bCs/>
                <w:color w:val="000000"/>
                <w:sz w:val="18"/>
                <w:szCs w:val="18"/>
                <w:lang w:val="en-NZ" w:eastAsia="en-NZ"/>
              </w:rPr>
            </w:pPr>
            <w:r w:rsidRPr="007D1CE3">
              <w:rPr>
                <w:rFonts w:ascii="Calibri" w:eastAsia="Times New Roman" w:hAnsi="Calibri" w:cs="Calibri"/>
                <w:b/>
                <w:bCs/>
                <w:color w:val="000000"/>
                <w:sz w:val="18"/>
                <w:szCs w:val="18"/>
                <w:lang w:val="en-NZ" w:eastAsia="en-NZ"/>
              </w:rPr>
              <w:t>85%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C8745E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C90F7B3"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07B469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4503AB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4EA58B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18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D5AA46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9622137"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4A12959"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5BC2A86"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29</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B845CB"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32</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E5A8B42"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35</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29D4F65"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38</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7FBCF9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41</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32580ECD"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44</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773CAFBA"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47</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6E2E69E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50</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05A2B6F1"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53</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4E50E92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56</w:t>
            </w:r>
          </w:p>
        </w:tc>
        <w:tc>
          <w:tcPr>
            <w:tcW w:w="500" w:type="dxa"/>
            <w:tcBorders>
              <w:top w:val="single" w:sz="4" w:space="0" w:color="auto"/>
              <w:left w:val="single" w:sz="4" w:space="0" w:color="auto"/>
              <w:bottom w:val="single" w:sz="4" w:space="0" w:color="auto"/>
              <w:right w:val="single" w:sz="4" w:space="0" w:color="auto"/>
            </w:tcBorders>
            <w:shd w:val="clear" w:color="000000" w:fill="C6EFCE"/>
            <w:noWrap/>
            <w:vAlign w:val="bottom"/>
            <w:hideMark/>
          </w:tcPr>
          <w:p w14:paraId="110E7B4E" w14:textId="77777777" w:rsidR="007D1CE3" w:rsidRPr="007D1CE3" w:rsidRDefault="007D1CE3" w:rsidP="007D1CE3">
            <w:pPr>
              <w:spacing w:before="0" w:after="0"/>
              <w:jc w:val="right"/>
              <w:rPr>
                <w:rFonts w:ascii="Calibri" w:eastAsia="Times New Roman" w:hAnsi="Calibri" w:cs="Calibri"/>
                <w:color w:val="006100"/>
                <w:sz w:val="18"/>
                <w:szCs w:val="18"/>
                <w:lang w:val="en-NZ" w:eastAsia="en-NZ"/>
              </w:rPr>
            </w:pPr>
            <w:r w:rsidRPr="007D1CE3">
              <w:rPr>
                <w:rFonts w:ascii="Calibri" w:eastAsia="Times New Roman" w:hAnsi="Calibri" w:cs="Calibri"/>
                <w:color w:val="006100"/>
                <w:sz w:val="18"/>
                <w:szCs w:val="18"/>
                <w:lang w:val="en-NZ" w:eastAsia="en-NZ"/>
              </w:rPr>
              <w:t>59</w:t>
            </w:r>
          </w:p>
        </w:tc>
      </w:tr>
    </w:tbl>
    <w:p w14:paraId="423267D9" w14:textId="77777777" w:rsidR="007D1CE3" w:rsidRPr="007D1CE3" w:rsidRDefault="007D1CE3" w:rsidP="007D1CE3"/>
    <w:p w14:paraId="737A82BF" w14:textId="7EFFA683" w:rsidR="00221045" w:rsidRPr="00473542" w:rsidRDefault="00473542" w:rsidP="00221045">
      <w:pPr>
        <w:rPr>
          <w:sz w:val="18"/>
          <w:szCs w:val="18"/>
        </w:rPr>
      </w:pPr>
      <w:r w:rsidRPr="00473542">
        <w:rPr>
          <w:sz w:val="18"/>
          <w:szCs w:val="18"/>
        </w:rPr>
        <w:t>Figures in body of table are mg/MJ</w:t>
      </w:r>
    </w:p>
    <w:tbl>
      <w:tblPr>
        <w:tblW w:w="5700" w:type="dxa"/>
        <w:tblLook w:val="04A0" w:firstRow="1" w:lastRow="0" w:firstColumn="1" w:lastColumn="0" w:noHBand="0" w:noVBand="1"/>
      </w:tblPr>
      <w:tblGrid>
        <w:gridCol w:w="500"/>
        <w:gridCol w:w="500"/>
        <w:gridCol w:w="500"/>
        <w:gridCol w:w="500"/>
        <w:gridCol w:w="500"/>
        <w:gridCol w:w="761"/>
        <w:gridCol w:w="239"/>
        <w:gridCol w:w="500"/>
        <w:gridCol w:w="500"/>
        <w:gridCol w:w="536"/>
        <w:gridCol w:w="664"/>
      </w:tblGrid>
      <w:tr w:rsidR="00A1304D" w:rsidRPr="00A1304D" w14:paraId="058AAE91" w14:textId="77777777" w:rsidTr="00A1304D">
        <w:trPr>
          <w:trHeight w:val="240"/>
        </w:trPr>
        <w:tc>
          <w:tcPr>
            <w:tcW w:w="3261" w:type="dxa"/>
            <w:gridSpan w:val="6"/>
            <w:tcBorders>
              <w:top w:val="nil"/>
              <w:left w:val="nil"/>
              <w:bottom w:val="nil"/>
              <w:right w:val="nil"/>
            </w:tcBorders>
            <w:shd w:val="clear" w:color="auto" w:fill="auto"/>
            <w:noWrap/>
            <w:vAlign w:val="bottom"/>
            <w:hideMark/>
          </w:tcPr>
          <w:p w14:paraId="708A9E49" w14:textId="77777777" w:rsidR="00A1304D" w:rsidRPr="00A1304D" w:rsidRDefault="00A1304D" w:rsidP="00A1304D">
            <w:pPr>
              <w:spacing w:before="0" w:after="0"/>
              <w:jc w:val="left"/>
              <w:rPr>
                <w:rFonts w:ascii="Calibri" w:eastAsia="Times New Roman" w:hAnsi="Calibri" w:cs="Calibri"/>
                <w:b/>
                <w:bCs/>
                <w:color w:val="000000"/>
                <w:sz w:val="18"/>
                <w:szCs w:val="18"/>
                <w:lang w:val="en-NZ" w:eastAsia="en-NZ"/>
              </w:rPr>
            </w:pPr>
            <w:r w:rsidRPr="00A1304D">
              <w:rPr>
                <w:rFonts w:ascii="Calibri" w:eastAsia="Times New Roman" w:hAnsi="Calibri" w:cs="Calibri"/>
                <w:b/>
                <w:bCs/>
                <w:color w:val="000000"/>
                <w:sz w:val="18"/>
                <w:szCs w:val="18"/>
                <w:lang w:val="en-NZ" w:eastAsia="en-NZ"/>
              </w:rPr>
              <w:t>Green shaded:  &lt;77 mg/MJ heat output</w:t>
            </w:r>
          </w:p>
        </w:tc>
        <w:tc>
          <w:tcPr>
            <w:tcW w:w="239" w:type="dxa"/>
            <w:tcBorders>
              <w:top w:val="nil"/>
              <w:left w:val="nil"/>
              <w:bottom w:val="nil"/>
              <w:right w:val="nil"/>
            </w:tcBorders>
            <w:shd w:val="clear" w:color="auto" w:fill="auto"/>
            <w:noWrap/>
            <w:vAlign w:val="bottom"/>
            <w:hideMark/>
          </w:tcPr>
          <w:p w14:paraId="10E758E6" w14:textId="77777777" w:rsidR="00A1304D" w:rsidRPr="00A1304D" w:rsidRDefault="00A1304D" w:rsidP="00A1304D">
            <w:pPr>
              <w:spacing w:before="0" w:after="0"/>
              <w:jc w:val="left"/>
              <w:rPr>
                <w:rFonts w:ascii="Calibri" w:eastAsia="Times New Roman" w:hAnsi="Calibri" w:cs="Calibri"/>
                <w:b/>
                <w:bCs/>
                <w:color w:val="000000"/>
                <w:sz w:val="18"/>
                <w:szCs w:val="18"/>
                <w:lang w:val="en-NZ" w:eastAsia="en-NZ"/>
              </w:rPr>
            </w:pPr>
          </w:p>
        </w:tc>
        <w:tc>
          <w:tcPr>
            <w:tcW w:w="500" w:type="dxa"/>
            <w:tcBorders>
              <w:top w:val="nil"/>
              <w:left w:val="nil"/>
              <w:bottom w:val="nil"/>
              <w:right w:val="nil"/>
            </w:tcBorders>
            <w:shd w:val="clear" w:color="auto" w:fill="auto"/>
            <w:noWrap/>
            <w:vAlign w:val="bottom"/>
            <w:hideMark/>
          </w:tcPr>
          <w:p w14:paraId="164A2522"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00" w:type="dxa"/>
            <w:tcBorders>
              <w:top w:val="nil"/>
              <w:left w:val="nil"/>
              <w:bottom w:val="nil"/>
              <w:right w:val="nil"/>
            </w:tcBorders>
            <w:shd w:val="clear" w:color="auto" w:fill="auto"/>
            <w:noWrap/>
            <w:vAlign w:val="bottom"/>
            <w:hideMark/>
          </w:tcPr>
          <w:p w14:paraId="357F37F5"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36" w:type="dxa"/>
            <w:tcBorders>
              <w:top w:val="nil"/>
              <w:left w:val="nil"/>
              <w:bottom w:val="nil"/>
              <w:right w:val="nil"/>
            </w:tcBorders>
            <w:shd w:val="clear" w:color="auto" w:fill="auto"/>
            <w:noWrap/>
            <w:vAlign w:val="bottom"/>
            <w:hideMark/>
          </w:tcPr>
          <w:p w14:paraId="6C928B17"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664" w:type="dxa"/>
            <w:tcBorders>
              <w:top w:val="nil"/>
              <w:left w:val="nil"/>
              <w:bottom w:val="nil"/>
              <w:right w:val="nil"/>
            </w:tcBorders>
            <w:shd w:val="clear" w:color="auto" w:fill="auto"/>
            <w:noWrap/>
            <w:vAlign w:val="bottom"/>
            <w:hideMark/>
          </w:tcPr>
          <w:p w14:paraId="4CEEF06F"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r>
      <w:tr w:rsidR="00A1304D" w:rsidRPr="00A1304D" w14:paraId="4A66E064" w14:textId="77777777" w:rsidTr="00A1304D">
        <w:trPr>
          <w:trHeight w:val="240"/>
        </w:trPr>
        <w:tc>
          <w:tcPr>
            <w:tcW w:w="3261" w:type="dxa"/>
            <w:gridSpan w:val="6"/>
            <w:tcBorders>
              <w:top w:val="nil"/>
              <w:left w:val="nil"/>
              <w:bottom w:val="nil"/>
              <w:right w:val="nil"/>
            </w:tcBorders>
            <w:shd w:val="clear" w:color="auto" w:fill="auto"/>
            <w:noWrap/>
            <w:vAlign w:val="bottom"/>
            <w:hideMark/>
          </w:tcPr>
          <w:p w14:paraId="345794CB" w14:textId="77777777" w:rsidR="00A1304D" w:rsidRPr="00A1304D" w:rsidRDefault="00A1304D" w:rsidP="00A1304D">
            <w:pPr>
              <w:spacing w:before="0" w:after="0"/>
              <w:jc w:val="left"/>
              <w:rPr>
                <w:rFonts w:ascii="Calibri" w:eastAsia="Times New Roman" w:hAnsi="Calibri" w:cs="Calibri"/>
                <w:b/>
                <w:bCs/>
                <w:color w:val="000000"/>
                <w:sz w:val="18"/>
                <w:szCs w:val="18"/>
                <w:lang w:val="en-NZ" w:eastAsia="en-NZ"/>
              </w:rPr>
            </w:pPr>
            <w:r w:rsidRPr="00A1304D">
              <w:rPr>
                <w:rFonts w:ascii="Calibri" w:eastAsia="Times New Roman" w:hAnsi="Calibri" w:cs="Calibri"/>
                <w:b/>
                <w:bCs/>
                <w:color w:val="000000"/>
                <w:sz w:val="18"/>
                <w:szCs w:val="18"/>
                <w:lang w:val="en-NZ" w:eastAsia="en-NZ"/>
              </w:rPr>
              <w:t>Red shaded: &gt; 77 mg/MJ heat output</w:t>
            </w:r>
          </w:p>
        </w:tc>
        <w:tc>
          <w:tcPr>
            <w:tcW w:w="239" w:type="dxa"/>
            <w:tcBorders>
              <w:top w:val="nil"/>
              <w:left w:val="nil"/>
              <w:bottom w:val="nil"/>
              <w:right w:val="nil"/>
            </w:tcBorders>
            <w:shd w:val="clear" w:color="auto" w:fill="auto"/>
            <w:noWrap/>
            <w:vAlign w:val="bottom"/>
            <w:hideMark/>
          </w:tcPr>
          <w:p w14:paraId="1EF3F85B" w14:textId="77777777" w:rsidR="00A1304D" w:rsidRPr="00A1304D" w:rsidRDefault="00A1304D" w:rsidP="00A1304D">
            <w:pPr>
              <w:spacing w:before="0" w:after="0"/>
              <w:jc w:val="left"/>
              <w:rPr>
                <w:rFonts w:ascii="Calibri" w:eastAsia="Times New Roman" w:hAnsi="Calibri" w:cs="Calibri"/>
                <w:b/>
                <w:bCs/>
                <w:color w:val="000000"/>
                <w:sz w:val="18"/>
                <w:szCs w:val="18"/>
                <w:lang w:val="en-NZ" w:eastAsia="en-NZ"/>
              </w:rPr>
            </w:pPr>
          </w:p>
        </w:tc>
        <w:tc>
          <w:tcPr>
            <w:tcW w:w="500" w:type="dxa"/>
            <w:tcBorders>
              <w:top w:val="nil"/>
              <w:left w:val="nil"/>
              <w:bottom w:val="nil"/>
              <w:right w:val="nil"/>
            </w:tcBorders>
            <w:shd w:val="clear" w:color="auto" w:fill="auto"/>
            <w:noWrap/>
            <w:vAlign w:val="bottom"/>
            <w:hideMark/>
          </w:tcPr>
          <w:p w14:paraId="108B6EEA"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00" w:type="dxa"/>
            <w:tcBorders>
              <w:top w:val="nil"/>
              <w:left w:val="nil"/>
              <w:bottom w:val="nil"/>
              <w:right w:val="nil"/>
            </w:tcBorders>
            <w:shd w:val="clear" w:color="auto" w:fill="auto"/>
            <w:noWrap/>
            <w:vAlign w:val="bottom"/>
            <w:hideMark/>
          </w:tcPr>
          <w:p w14:paraId="502AAECB"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36" w:type="dxa"/>
            <w:tcBorders>
              <w:top w:val="nil"/>
              <w:left w:val="nil"/>
              <w:bottom w:val="nil"/>
              <w:right w:val="nil"/>
            </w:tcBorders>
            <w:shd w:val="clear" w:color="auto" w:fill="auto"/>
            <w:noWrap/>
            <w:vAlign w:val="bottom"/>
            <w:hideMark/>
          </w:tcPr>
          <w:p w14:paraId="10808CE6"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664" w:type="dxa"/>
            <w:tcBorders>
              <w:top w:val="nil"/>
              <w:left w:val="nil"/>
              <w:bottom w:val="nil"/>
              <w:right w:val="nil"/>
            </w:tcBorders>
            <w:shd w:val="clear" w:color="auto" w:fill="auto"/>
            <w:noWrap/>
            <w:vAlign w:val="bottom"/>
            <w:hideMark/>
          </w:tcPr>
          <w:p w14:paraId="2EA9FD4B"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r>
      <w:tr w:rsidR="00A1304D" w:rsidRPr="00A1304D" w14:paraId="4161491B" w14:textId="77777777" w:rsidTr="00A1304D">
        <w:trPr>
          <w:trHeight w:val="240"/>
        </w:trPr>
        <w:tc>
          <w:tcPr>
            <w:tcW w:w="500" w:type="dxa"/>
            <w:tcBorders>
              <w:top w:val="nil"/>
              <w:left w:val="nil"/>
              <w:bottom w:val="nil"/>
              <w:right w:val="nil"/>
            </w:tcBorders>
            <w:shd w:val="clear" w:color="auto" w:fill="auto"/>
            <w:noWrap/>
            <w:vAlign w:val="bottom"/>
            <w:hideMark/>
          </w:tcPr>
          <w:p w14:paraId="67BB345E"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00" w:type="dxa"/>
            <w:tcBorders>
              <w:top w:val="nil"/>
              <w:left w:val="nil"/>
              <w:bottom w:val="nil"/>
              <w:right w:val="nil"/>
            </w:tcBorders>
            <w:shd w:val="clear" w:color="auto" w:fill="auto"/>
            <w:noWrap/>
            <w:vAlign w:val="bottom"/>
            <w:hideMark/>
          </w:tcPr>
          <w:p w14:paraId="13D4E466"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00" w:type="dxa"/>
            <w:tcBorders>
              <w:top w:val="nil"/>
              <w:left w:val="nil"/>
              <w:bottom w:val="nil"/>
              <w:right w:val="nil"/>
            </w:tcBorders>
            <w:shd w:val="clear" w:color="auto" w:fill="auto"/>
            <w:noWrap/>
            <w:vAlign w:val="bottom"/>
            <w:hideMark/>
          </w:tcPr>
          <w:p w14:paraId="694AE642"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00" w:type="dxa"/>
            <w:tcBorders>
              <w:top w:val="nil"/>
              <w:left w:val="nil"/>
              <w:bottom w:val="nil"/>
              <w:right w:val="nil"/>
            </w:tcBorders>
            <w:shd w:val="clear" w:color="auto" w:fill="auto"/>
            <w:noWrap/>
            <w:vAlign w:val="bottom"/>
            <w:hideMark/>
          </w:tcPr>
          <w:p w14:paraId="79705D92"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00" w:type="dxa"/>
            <w:tcBorders>
              <w:top w:val="nil"/>
              <w:left w:val="nil"/>
              <w:bottom w:val="nil"/>
              <w:right w:val="nil"/>
            </w:tcBorders>
            <w:shd w:val="clear" w:color="auto" w:fill="auto"/>
            <w:noWrap/>
            <w:vAlign w:val="bottom"/>
            <w:hideMark/>
          </w:tcPr>
          <w:p w14:paraId="66C2A3F2"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761" w:type="dxa"/>
            <w:tcBorders>
              <w:top w:val="nil"/>
              <w:left w:val="nil"/>
              <w:bottom w:val="nil"/>
              <w:right w:val="nil"/>
            </w:tcBorders>
            <w:shd w:val="clear" w:color="auto" w:fill="auto"/>
            <w:noWrap/>
            <w:vAlign w:val="bottom"/>
            <w:hideMark/>
          </w:tcPr>
          <w:p w14:paraId="54186922"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239" w:type="dxa"/>
            <w:tcBorders>
              <w:top w:val="nil"/>
              <w:left w:val="nil"/>
              <w:bottom w:val="nil"/>
              <w:right w:val="nil"/>
            </w:tcBorders>
            <w:shd w:val="clear" w:color="auto" w:fill="auto"/>
            <w:noWrap/>
            <w:vAlign w:val="bottom"/>
            <w:hideMark/>
          </w:tcPr>
          <w:p w14:paraId="47861E9C"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00" w:type="dxa"/>
            <w:tcBorders>
              <w:top w:val="nil"/>
              <w:left w:val="nil"/>
              <w:bottom w:val="nil"/>
              <w:right w:val="nil"/>
            </w:tcBorders>
            <w:shd w:val="clear" w:color="auto" w:fill="auto"/>
            <w:noWrap/>
            <w:vAlign w:val="bottom"/>
            <w:hideMark/>
          </w:tcPr>
          <w:p w14:paraId="7F5117AA"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00" w:type="dxa"/>
            <w:tcBorders>
              <w:top w:val="nil"/>
              <w:left w:val="nil"/>
              <w:bottom w:val="nil"/>
              <w:right w:val="nil"/>
            </w:tcBorders>
            <w:shd w:val="clear" w:color="auto" w:fill="auto"/>
            <w:noWrap/>
            <w:vAlign w:val="bottom"/>
            <w:hideMark/>
          </w:tcPr>
          <w:p w14:paraId="6505E285"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36" w:type="dxa"/>
            <w:tcBorders>
              <w:top w:val="nil"/>
              <w:left w:val="nil"/>
              <w:bottom w:val="nil"/>
              <w:right w:val="nil"/>
            </w:tcBorders>
            <w:shd w:val="clear" w:color="auto" w:fill="auto"/>
            <w:noWrap/>
            <w:vAlign w:val="bottom"/>
            <w:hideMark/>
          </w:tcPr>
          <w:p w14:paraId="2DCFFBA2"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664" w:type="dxa"/>
            <w:tcBorders>
              <w:top w:val="nil"/>
              <w:left w:val="nil"/>
              <w:bottom w:val="nil"/>
              <w:right w:val="nil"/>
            </w:tcBorders>
            <w:shd w:val="clear" w:color="auto" w:fill="auto"/>
            <w:noWrap/>
            <w:vAlign w:val="bottom"/>
            <w:hideMark/>
          </w:tcPr>
          <w:p w14:paraId="1EF53E3C"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r>
      <w:tr w:rsidR="00A1304D" w:rsidRPr="00A1304D" w14:paraId="77E5D2B6" w14:textId="77777777" w:rsidTr="00A1304D">
        <w:trPr>
          <w:trHeight w:val="240"/>
        </w:trPr>
        <w:tc>
          <w:tcPr>
            <w:tcW w:w="3500" w:type="dxa"/>
            <w:gridSpan w:val="7"/>
            <w:tcBorders>
              <w:top w:val="nil"/>
              <w:left w:val="nil"/>
              <w:bottom w:val="nil"/>
              <w:right w:val="nil"/>
            </w:tcBorders>
            <w:shd w:val="clear" w:color="auto" w:fill="auto"/>
            <w:noWrap/>
            <w:vAlign w:val="bottom"/>
            <w:hideMark/>
          </w:tcPr>
          <w:p w14:paraId="4C3E6B52" w14:textId="77777777" w:rsidR="00A1304D" w:rsidRPr="00A1304D" w:rsidRDefault="00A1304D" w:rsidP="00A1304D">
            <w:pPr>
              <w:spacing w:before="0" w:after="0"/>
              <w:jc w:val="left"/>
              <w:rPr>
                <w:rFonts w:ascii="Calibri" w:eastAsia="Times New Roman" w:hAnsi="Calibri" w:cs="Calibri"/>
                <w:color w:val="000000"/>
                <w:sz w:val="18"/>
                <w:szCs w:val="18"/>
                <w:lang w:val="en-NZ" w:eastAsia="en-NZ"/>
              </w:rPr>
            </w:pPr>
            <w:r w:rsidRPr="00A1304D">
              <w:rPr>
                <w:rFonts w:ascii="Calibri" w:eastAsia="Times New Roman" w:hAnsi="Calibri" w:cs="Calibri"/>
                <w:color w:val="000000"/>
                <w:sz w:val="18"/>
                <w:szCs w:val="18"/>
                <w:lang w:val="en-NZ" w:eastAsia="en-NZ"/>
              </w:rPr>
              <w:t>assume gross calorific value of firewood =</w:t>
            </w:r>
          </w:p>
        </w:tc>
        <w:tc>
          <w:tcPr>
            <w:tcW w:w="500" w:type="dxa"/>
            <w:tcBorders>
              <w:top w:val="nil"/>
              <w:left w:val="nil"/>
              <w:bottom w:val="nil"/>
              <w:right w:val="nil"/>
            </w:tcBorders>
            <w:shd w:val="clear" w:color="auto" w:fill="auto"/>
            <w:noWrap/>
            <w:vAlign w:val="bottom"/>
            <w:hideMark/>
          </w:tcPr>
          <w:p w14:paraId="11A812D1" w14:textId="77777777" w:rsidR="00A1304D" w:rsidRPr="00A1304D" w:rsidRDefault="00A1304D" w:rsidP="00A1304D">
            <w:pPr>
              <w:spacing w:before="0" w:after="0"/>
              <w:jc w:val="left"/>
              <w:rPr>
                <w:rFonts w:ascii="Calibri" w:eastAsia="Times New Roman" w:hAnsi="Calibri" w:cs="Calibri"/>
                <w:color w:val="000000"/>
                <w:sz w:val="18"/>
                <w:szCs w:val="18"/>
                <w:lang w:val="en-NZ" w:eastAsia="en-NZ"/>
              </w:rPr>
            </w:pPr>
          </w:p>
        </w:tc>
        <w:tc>
          <w:tcPr>
            <w:tcW w:w="500" w:type="dxa"/>
            <w:tcBorders>
              <w:top w:val="nil"/>
              <w:left w:val="nil"/>
              <w:bottom w:val="nil"/>
              <w:right w:val="nil"/>
            </w:tcBorders>
            <w:shd w:val="clear" w:color="auto" w:fill="auto"/>
            <w:noWrap/>
            <w:vAlign w:val="bottom"/>
            <w:hideMark/>
          </w:tcPr>
          <w:p w14:paraId="77E69039" w14:textId="77777777" w:rsidR="00A1304D" w:rsidRPr="00A1304D" w:rsidRDefault="00A1304D" w:rsidP="00A1304D">
            <w:pPr>
              <w:spacing w:before="0" w:after="0"/>
              <w:jc w:val="left"/>
              <w:rPr>
                <w:rFonts w:ascii="Times New Roman" w:eastAsia="Times New Roman" w:hAnsi="Times New Roman"/>
                <w:sz w:val="18"/>
                <w:szCs w:val="18"/>
                <w:lang w:val="en-NZ" w:eastAsia="en-NZ"/>
              </w:rPr>
            </w:pPr>
          </w:p>
        </w:tc>
        <w:tc>
          <w:tcPr>
            <w:tcW w:w="536" w:type="dxa"/>
            <w:tcBorders>
              <w:top w:val="nil"/>
              <w:left w:val="nil"/>
              <w:bottom w:val="nil"/>
              <w:right w:val="nil"/>
            </w:tcBorders>
            <w:shd w:val="clear" w:color="auto" w:fill="auto"/>
            <w:noWrap/>
            <w:vAlign w:val="bottom"/>
            <w:hideMark/>
          </w:tcPr>
          <w:p w14:paraId="6337D2AA" w14:textId="77777777" w:rsidR="00A1304D" w:rsidRPr="00A1304D" w:rsidRDefault="00A1304D" w:rsidP="00A1304D">
            <w:pPr>
              <w:spacing w:before="0" w:after="0"/>
              <w:jc w:val="right"/>
              <w:rPr>
                <w:rFonts w:ascii="Calibri" w:eastAsia="Times New Roman" w:hAnsi="Calibri" w:cs="Calibri"/>
                <w:color w:val="000000"/>
                <w:sz w:val="18"/>
                <w:szCs w:val="18"/>
                <w:lang w:val="en-NZ" w:eastAsia="en-NZ"/>
              </w:rPr>
            </w:pPr>
            <w:r w:rsidRPr="00A1304D">
              <w:rPr>
                <w:rFonts w:ascii="Calibri" w:eastAsia="Times New Roman" w:hAnsi="Calibri" w:cs="Calibri"/>
                <w:color w:val="000000"/>
                <w:sz w:val="18"/>
                <w:szCs w:val="18"/>
                <w:lang w:val="en-NZ" w:eastAsia="en-NZ"/>
              </w:rPr>
              <w:t>20.1</w:t>
            </w:r>
          </w:p>
        </w:tc>
        <w:tc>
          <w:tcPr>
            <w:tcW w:w="664" w:type="dxa"/>
            <w:tcBorders>
              <w:top w:val="nil"/>
              <w:left w:val="nil"/>
              <w:bottom w:val="nil"/>
              <w:right w:val="nil"/>
            </w:tcBorders>
            <w:shd w:val="clear" w:color="auto" w:fill="auto"/>
            <w:noWrap/>
            <w:vAlign w:val="bottom"/>
            <w:hideMark/>
          </w:tcPr>
          <w:p w14:paraId="6F99BC9D" w14:textId="77777777" w:rsidR="00A1304D" w:rsidRPr="00A1304D" w:rsidRDefault="00A1304D" w:rsidP="00A1304D">
            <w:pPr>
              <w:spacing w:before="0" w:after="0"/>
              <w:jc w:val="left"/>
              <w:rPr>
                <w:rFonts w:ascii="Calibri" w:eastAsia="Times New Roman" w:hAnsi="Calibri" w:cs="Calibri"/>
                <w:color w:val="000000"/>
                <w:sz w:val="18"/>
                <w:szCs w:val="18"/>
                <w:lang w:val="en-NZ" w:eastAsia="en-NZ"/>
              </w:rPr>
            </w:pPr>
            <w:r w:rsidRPr="00A1304D">
              <w:rPr>
                <w:rFonts w:ascii="Calibri" w:eastAsia="Times New Roman" w:hAnsi="Calibri" w:cs="Calibri"/>
                <w:color w:val="000000"/>
                <w:sz w:val="18"/>
                <w:szCs w:val="18"/>
                <w:lang w:val="en-NZ" w:eastAsia="en-NZ"/>
              </w:rPr>
              <w:t>MJ/kg</w:t>
            </w:r>
          </w:p>
        </w:tc>
      </w:tr>
    </w:tbl>
    <w:p w14:paraId="323FC34C" w14:textId="77777777" w:rsidR="00843F75" w:rsidRDefault="00843F75">
      <w:pPr>
        <w:spacing w:before="0" w:after="200" w:line="276" w:lineRule="auto"/>
        <w:jc w:val="left"/>
        <w:rPr>
          <w:rFonts w:cstheme="minorHAnsi"/>
          <w:b/>
          <w:sz w:val="24"/>
          <w:szCs w:val="24"/>
        </w:rPr>
      </w:pPr>
      <w:r>
        <w:rPr>
          <w:rFonts w:cstheme="minorHAnsi"/>
          <w:b/>
          <w:i/>
          <w:sz w:val="24"/>
          <w:szCs w:val="24"/>
        </w:rPr>
        <w:br w:type="page"/>
      </w:r>
    </w:p>
    <w:p w14:paraId="765F4AE5" w14:textId="192B6EA1" w:rsidR="00F56AC6" w:rsidRDefault="00F56AC6" w:rsidP="00073FB8">
      <w:pPr>
        <w:pStyle w:val="Heading1"/>
        <w:numPr>
          <w:ilvl w:val="0"/>
          <w:numId w:val="0"/>
        </w:numPr>
        <w:ind w:left="432" w:hanging="432"/>
        <w:rPr>
          <w:rFonts w:asciiTheme="minorHAnsi" w:hAnsiTheme="minorHAnsi" w:cstheme="minorHAnsi"/>
          <w:b/>
          <w:i w:val="0"/>
          <w:sz w:val="24"/>
          <w:szCs w:val="24"/>
        </w:rPr>
      </w:pPr>
      <w:bookmarkStart w:id="70" w:name="_Toc34586707"/>
      <w:r w:rsidRPr="00025B36">
        <w:rPr>
          <w:rFonts w:asciiTheme="minorHAnsi" w:hAnsiTheme="minorHAnsi" w:cstheme="minorHAnsi"/>
          <w:b/>
          <w:i w:val="0"/>
          <w:sz w:val="24"/>
          <w:szCs w:val="24"/>
        </w:rPr>
        <w:lastRenderedPageBreak/>
        <w:t xml:space="preserve">Appendix </w:t>
      </w:r>
      <w:r>
        <w:rPr>
          <w:rFonts w:asciiTheme="minorHAnsi" w:hAnsiTheme="minorHAnsi" w:cstheme="minorHAnsi"/>
          <w:b/>
          <w:i w:val="0"/>
          <w:sz w:val="24"/>
          <w:szCs w:val="24"/>
        </w:rPr>
        <w:t xml:space="preserve">2 – </w:t>
      </w:r>
      <w:r w:rsidR="00BB46DA">
        <w:rPr>
          <w:rFonts w:asciiTheme="minorHAnsi" w:hAnsiTheme="minorHAnsi" w:cstheme="minorHAnsi"/>
          <w:b/>
          <w:i w:val="0"/>
          <w:sz w:val="24"/>
          <w:szCs w:val="24"/>
        </w:rPr>
        <w:t>E</w:t>
      </w:r>
      <w:r>
        <w:rPr>
          <w:rFonts w:asciiTheme="minorHAnsi" w:hAnsiTheme="minorHAnsi" w:cstheme="minorHAnsi"/>
          <w:b/>
          <w:i w:val="0"/>
          <w:sz w:val="24"/>
          <w:szCs w:val="24"/>
        </w:rPr>
        <w:t xml:space="preserve">missions and </w:t>
      </w:r>
      <w:r w:rsidR="00BB46DA">
        <w:rPr>
          <w:rFonts w:asciiTheme="minorHAnsi" w:hAnsiTheme="minorHAnsi" w:cstheme="minorHAnsi"/>
          <w:b/>
          <w:i w:val="0"/>
          <w:sz w:val="24"/>
          <w:szCs w:val="24"/>
        </w:rPr>
        <w:t>E</w:t>
      </w:r>
      <w:r>
        <w:rPr>
          <w:rFonts w:asciiTheme="minorHAnsi" w:hAnsiTheme="minorHAnsi" w:cstheme="minorHAnsi"/>
          <w:b/>
          <w:i w:val="0"/>
          <w:sz w:val="24"/>
          <w:szCs w:val="24"/>
        </w:rPr>
        <w:t>fficiency</w:t>
      </w:r>
      <w:r w:rsidR="00A2489D">
        <w:rPr>
          <w:rFonts w:asciiTheme="minorHAnsi" w:hAnsiTheme="minorHAnsi" w:cstheme="minorHAnsi"/>
          <w:b/>
          <w:i w:val="0"/>
          <w:sz w:val="24"/>
          <w:szCs w:val="24"/>
        </w:rPr>
        <w:t xml:space="preserve"> of Currently Authorised Woodburners and Pellet Fires</w:t>
      </w:r>
      <w:bookmarkEnd w:id="70"/>
    </w:p>
    <w:p w14:paraId="0C9913DE" w14:textId="679BD1DC" w:rsidR="00A2489D" w:rsidRDefault="00A2489D" w:rsidP="00A2489D"/>
    <w:p w14:paraId="5FCED730" w14:textId="4EB13BB3" w:rsidR="00A2489D" w:rsidRDefault="008D20BF" w:rsidP="00A2489D">
      <w:r>
        <w:t xml:space="preserve">The following graphs show the distribution of </w:t>
      </w:r>
      <w:r w:rsidR="008049A3">
        <w:t>emissions</w:t>
      </w:r>
      <w:r>
        <w:t xml:space="preserve"> and </w:t>
      </w:r>
      <w:r w:rsidR="008049A3">
        <w:t>efficiency</w:t>
      </w:r>
      <w:r>
        <w:t xml:space="preserve"> for all currently authorised woodburners and pellet fires.</w:t>
      </w:r>
    </w:p>
    <w:p w14:paraId="5D2B54A5" w14:textId="26387EE8" w:rsidR="008D20BF" w:rsidRDefault="008D20BF" w:rsidP="00A2489D"/>
    <w:p w14:paraId="6069640B" w14:textId="1E6A4307" w:rsidR="00E44AE6" w:rsidRDefault="00E44AE6" w:rsidP="00A2489D">
      <w:r>
        <w:rPr>
          <w:noProof/>
        </w:rPr>
        <w:drawing>
          <wp:inline distT="0" distB="0" distL="0" distR="0" wp14:anchorId="1A2A76A8" wp14:editId="6A16D43C">
            <wp:extent cx="4572000" cy="2743200"/>
            <wp:effectExtent l="0" t="0" r="0" b="0"/>
            <wp:docPr id="1" name="Chart 1">
              <a:extLst xmlns:a="http://schemas.openxmlformats.org/drawingml/2006/main">
                <a:ext uri="{FF2B5EF4-FFF2-40B4-BE49-F238E27FC236}">
                  <a16:creationId xmlns:a16="http://schemas.microsoft.com/office/drawing/2014/main" id="{A0E5A52F-C3C5-4616-85FB-35FD57DEF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D9A203C" w14:textId="1312010F" w:rsidR="00E44AE6" w:rsidRDefault="00E44AE6" w:rsidP="00A2489D"/>
    <w:p w14:paraId="34BF6654" w14:textId="4CB5FDC6" w:rsidR="00E44AE6" w:rsidRDefault="00FF5FD9" w:rsidP="00A2489D">
      <w:r>
        <w:rPr>
          <w:noProof/>
        </w:rPr>
        <w:drawing>
          <wp:inline distT="0" distB="0" distL="0" distR="0" wp14:anchorId="15C456CB" wp14:editId="284259A1">
            <wp:extent cx="4572000" cy="2743200"/>
            <wp:effectExtent l="0" t="0" r="0" b="0"/>
            <wp:docPr id="2" name="Chart 2">
              <a:extLst xmlns:a="http://schemas.openxmlformats.org/drawingml/2006/main">
                <a:ext uri="{FF2B5EF4-FFF2-40B4-BE49-F238E27FC236}">
                  <a16:creationId xmlns:a16="http://schemas.microsoft.com/office/drawing/2014/main" id="{665F39E6-03FF-49AB-82F2-9904A1C52C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CD566F9" w14:textId="3FBCDB17" w:rsidR="00FF5FD9" w:rsidRDefault="00915626" w:rsidP="00A2489D">
      <w:r>
        <w:rPr>
          <w:noProof/>
        </w:rPr>
        <w:lastRenderedPageBreak/>
        <w:drawing>
          <wp:inline distT="0" distB="0" distL="0" distR="0" wp14:anchorId="790E4A02" wp14:editId="343A178D">
            <wp:extent cx="4572000" cy="2743200"/>
            <wp:effectExtent l="0" t="0" r="0" b="0"/>
            <wp:docPr id="4" name="Chart 4">
              <a:extLst xmlns:a="http://schemas.openxmlformats.org/drawingml/2006/main">
                <a:ext uri="{FF2B5EF4-FFF2-40B4-BE49-F238E27FC236}">
                  <a16:creationId xmlns:a16="http://schemas.microsoft.com/office/drawing/2014/main" id="{34235735-505F-4C97-9BA6-77C9701F13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2DE23D" w14:textId="020D56ED" w:rsidR="00514906" w:rsidRPr="00A2489D" w:rsidRDefault="00514906" w:rsidP="00A2489D">
      <w:r>
        <w:rPr>
          <w:noProof/>
        </w:rPr>
        <w:drawing>
          <wp:inline distT="0" distB="0" distL="0" distR="0" wp14:anchorId="54CC7366" wp14:editId="4273FDD4">
            <wp:extent cx="4572000" cy="2743200"/>
            <wp:effectExtent l="0" t="0" r="0" b="0"/>
            <wp:docPr id="5" name="Chart 5">
              <a:extLst xmlns:a="http://schemas.openxmlformats.org/drawingml/2006/main">
                <a:ext uri="{FF2B5EF4-FFF2-40B4-BE49-F238E27FC236}">
                  <a16:creationId xmlns:a16="http://schemas.microsoft.com/office/drawing/2014/main" id="{5353B90D-926F-4C24-B1E4-99242B300B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8695173" w14:textId="497AD75C" w:rsidR="001A197F" w:rsidRDefault="001A197F">
      <w:pPr>
        <w:spacing w:before="0" w:after="200" w:line="276" w:lineRule="auto"/>
        <w:jc w:val="left"/>
      </w:pPr>
      <w:r>
        <w:br w:type="page"/>
      </w:r>
    </w:p>
    <w:p w14:paraId="6A32E0BE" w14:textId="557B8018" w:rsidR="00AA2B9C" w:rsidRDefault="00AA2B9C" w:rsidP="00AA2B9C">
      <w:pPr>
        <w:pStyle w:val="Heading1"/>
        <w:numPr>
          <w:ilvl w:val="0"/>
          <w:numId w:val="0"/>
        </w:numPr>
        <w:ind w:left="432" w:hanging="432"/>
        <w:rPr>
          <w:rFonts w:asciiTheme="minorHAnsi" w:hAnsiTheme="minorHAnsi" w:cstheme="minorHAnsi"/>
          <w:b/>
          <w:i w:val="0"/>
          <w:sz w:val="24"/>
          <w:szCs w:val="24"/>
        </w:rPr>
      </w:pPr>
      <w:r>
        <w:lastRenderedPageBreak/>
        <w:t xml:space="preserve"> </w:t>
      </w:r>
      <w:bookmarkStart w:id="71" w:name="_Toc34586708"/>
      <w:r w:rsidRPr="00025B36">
        <w:rPr>
          <w:rFonts w:asciiTheme="minorHAnsi" w:hAnsiTheme="minorHAnsi" w:cstheme="minorHAnsi"/>
          <w:b/>
          <w:i w:val="0"/>
          <w:sz w:val="24"/>
          <w:szCs w:val="24"/>
        </w:rPr>
        <w:t xml:space="preserve">Appendix </w:t>
      </w:r>
      <w:r>
        <w:rPr>
          <w:rFonts w:asciiTheme="minorHAnsi" w:hAnsiTheme="minorHAnsi" w:cstheme="minorHAnsi"/>
          <w:b/>
          <w:i w:val="0"/>
          <w:sz w:val="24"/>
          <w:szCs w:val="24"/>
        </w:rPr>
        <w:t>3 – Illustrations of Various Burner Types</w:t>
      </w:r>
      <w:bookmarkEnd w:id="71"/>
    </w:p>
    <w:p w14:paraId="5C193AD0" w14:textId="11EEC48F" w:rsidR="00AA2B9C" w:rsidRPr="00AA2B9C" w:rsidRDefault="00AA2B9C" w:rsidP="00FC7D4B">
      <w:pPr>
        <w:rPr>
          <w:sz w:val="12"/>
          <w:szCs w:val="12"/>
        </w:rPr>
      </w:pPr>
    </w:p>
    <w:tbl>
      <w:tblPr>
        <w:tblStyle w:val="TableGrid"/>
        <w:tblW w:w="0" w:type="auto"/>
        <w:tblInd w:w="-5" w:type="dxa"/>
        <w:tblLayout w:type="fixed"/>
        <w:tblLook w:val="04A0" w:firstRow="1" w:lastRow="0" w:firstColumn="1" w:lastColumn="0" w:noHBand="0" w:noVBand="1"/>
      </w:tblPr>
      <w:tblGrid>
        <w:gridCol w:w="4649"/>
        <w:gridCol w:w="4649"/>
      </w:tblGrid>
      <w:tr w:rsidR="00AA2B9C" w:rsidRPr="00BD0F81" w14:paraId="4C1EC50D" w14:textId="77777777" w:rsidTr="00450474">
        <w:trPr>
          <w:trHeight w:val="3969"/>
        </w:trPr>
        <w:tc>
          <w:tcPr>
            <w:tcW w:w="4649" w:type="dxa"/>
          </w:tcPr>
          <w:p w14:paraId="201ED68E" w14:textId="77777777" w:rsidR="00AA2B9C" w:rsidRPr="00BD0F81" w:rsidRDefault="00AA2B9C" w:rsidP="00450474">
            <w:pPr>
              <w:pStyle w:val="NoSpacing"/>
              <w:ind w:left="360"/>
              <w:jc w:val="center"/>
              <w:rPr>
                <w:sz w:val="20"/>
              </w:rPr>
            </w:pPr>
            <w:r w:rsidRPr="00BD0F81">
              <w:rPr>
                <w:noProof/>
                <w:sz w:val="20"/>
              </w:rPr>
              <w:drawing>
                <wp:inline distT="0" distB="0" distL="0" distR="0" wp14:anchorId="1DC49BC8" wp14:editId="1A98F6B7">
                  <wp:extent cx="1958340" cy="2287868"/>
                  <wp:effectExtent l="0" t="0" r="3810" b="0"/>
                  <wp:docPr id="17" name="Picture 17" descr="A picture containing nature, ind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odsman Tarras Mk3_2.jpg"/>
                          <pic:cNvPicPr/>
                        </pic:nvPicPr>
                        <pic:blipFill>
                          <a:blip r:embed="rId23">
                            <a:extLst>
                              <a:ext uri="{28A0092B-C50C-407E-A947-70E740481C1C}">
                                <a14:useLocalDpi xmlns:a14="http://schemas.microsoft.com/office/drawing/2010/main" val="0"/>
                              </a:ext>
                            </a:extLst>
                          </a:blip>
                          <a:stretch>
                            <a:fillRect/>
                          </a:stretch>
                        </pic:blipFill>
                        <pic:spPr>
                          <a:xfrm>
                            <a:off x="0" y="0"/>
                            <a:ext cx="1982925" cy="2316590"/>
                          </a:xfrm>
                          <a:prstGeom prst="rect">
                            <a:avLst/>
                          </a:prstGeom>
                        </pic:spPr>
                      </pic:pic>
                    </a:graphicData>
                  </a:graphic>
                </wp:inline>
              </w:drawing>
            </w:r>
          </w:p>
          <w:p w14:paraId="5A19C37A" w14:textId="77777777" w:rsidR="00AA2B9C" w:rsidRPr="00BD0F81" w:rsidRDefault="00AA2B9C" w:rsidP="00450474">
            <w:pPr>
              <w:pStyle w:val="NoSpacing"/>
              <w:jc w:val="center"/>
              <w:rPr>
                <w:sz w:val="20"/>
              </w:rPr>
            </w:pPr>
            <w:r w:rsidRPr="00BD0F81">
              <w:rPr>
                <w:sz w:val="20"/>
              </w:rPr>
              <w:t>Conventional low emission burner showing air control lever at the top left and handle to open door for refuelling on right side.</w:t>
            </w:r>
          </w:p>
        </w:tc>
        <w:tc>
          <w:tcPr>
            <w:tcW w:w="4649" w:type="dxa"/>
          </w:tcPr>
          <w:p w14:paraId="296CFA82" w14:textId="77777777" w:rsidR="00AA2B9C" w:rsidRPr="00BD0F81" w:rsidRDefault="00AA2B9C" w:rsidP="00450474">
            <w:pPr>
              <w:pStyle w:val="NoSpacing"/>
              <w:ind w:left="360"/>
              <w:jc w:val="center"/>
              <w:rPr>
                <w:sz w:val="20"/>
              </w:rPr>
            </w:pPr>
            <w:r w:rsidRPr="00BD0F81">
              <w:rPr>
                <w:noProof/>
                <w:sz w:val="20"/>
              </w:rPr>
              <w:drawing>
                <wp:inline distT="0" distB="0" distL="0" distR="0" wp14:anchorId="793D80A7" wp14:editId="477D6D05">
                  <wp:extent cx="1402080" cy="2114613"/>
                  <wp:effectExtent l="0" t="0" r="7620" b="0"/>
                  <wp:docPr id="20" name="Picture 20" descr="A picture containing nature,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Tropicair Rua.jpg"/>
                          <pic:cNvPicPr/>
                        </pic:nvPicPr>
                        <pic:blipFill>
                          <a:blip r:embed="rId24">
                            <a:extLst>
                              <a:ext uri="{28A0092B-C50C-407E-A947-70E740481C1C}">
                                <a14:useLocalDpi xmlns:a14="http://schemas.microsoft.com/office/drawing/2010/main" val="0"/>
                              </a:ext>
                            </a:extLst>
                          </a:blip>
                          <a:stretch>
                            <a:fillRect/>
                          </a:stretch>
                        </pic:blipFill>
                        <pic:spPr>
                          <a:xfrm>
                            <a:off x="0" y="0"/>
                            <a:ext cx="1425493" cy="2149925"/>
                          </a:xfrm>
                          <a:prstGeom prst="rect">
                            <a:avLst/>
                          </a:prstGeom>
                        </pic:spPr>
                      </pic:pic>
                    </a:graphicData>
                  </a:graphic>
                </wp:inline>
              </w:drawing>
            </w:r>
          </w:p>
          <w:p w14:paraId="54D3293D" w14:textId="77777777" w:rsidR="00AA2B9C" w:rsidRPr="00BD0F81" w:rsidRDefault="00AA2B9C" w:rsidP="00450474">
            <w:pPr>
              <w:pStyle w:val="NoSpacing"/>
              <w:ind w:left="360"/>
              <w:jc w:val="center"/>
              <w:rPr>
                <w:sz w:val="20"/>
              </w:rPr>
            </w:pPr>
          </w:p>
          <w:p w14:paraId="43E1E519" w14:textId="77777777" w:rsidR="00AA2B9C" w:rsidRPr="00BD0F81" w:rsidRDefault="00AA2B9C" w:rsidP="00450474">
            <w:pPr>
              <w:pStyle w:val="NoSpacing"/>
              <w:ind w:left="360"/>
              <w:jc w:val="center"/>
              <w:rPr>
                <w:sz w:val="20"/>
              </w:rPr>
            </w:pPr>
            <w:r w:rsidRPr="00BD0F81">
              <w:rPr>
                <w:sz w:val="20"/>
              </w:rPr>
              <w:t xml:space="preserve">Twin chamber </w:t>
            </w:r>
            <w:r>
              <w:rPr>
                <w:sz w:val="20"/>
              </w:rPr>
              <w:t>Ultra-low emission burner (</w:t>
            </w:r>
            <w:r w:rsidRPr="00BD0F81">
              <w:rPr>
                <w:sz w:val="20"/>
              </w:rPr>
              <w:t>ULEB</w:t>
            </w:r>
            <w:r>
              <w:rPr>
                <w:sz w:val="20"/>
              </w:rPr>
              <w:t>)</w:t>
            </w:r>
          </w:p>
        </w:tc>
      </w:tr>
      <w:tr w:rsidR="00AA2B9C" w:rsidRPr="00BD0F81" w14:paraId="3621E0D7" w14:textId="77777777" w:rsidTr="00450474">
        <w:trPr>
          <w:trHeight w:val="3969"/>
        </w:trPr>
        <w:tc>
          <w:tcPr>
            <w:tcW w:w="4649" w:type="dxa"/>
          </w:tcPr>
          <w:p w14:paraId="537A5CD0" w14:textId="77777777" w:rsidR="00AA2B9C" w:rsidRPr="00BD0F81" w:rsidRDefault="00AA2B9C" w:rsidP="00450474">
            <w:pPr>
              <w:pStyle w:val="NoSpacing"/>
              <w:ind w:left="360"/>
              <w:rPr>
                <w:sz w:val="20"/>
              </w:rPr>
            </w:pPr>
          </w:p>
          <w:p w14:paraId="18477048" w14:textId="77777777" w:rsidR="00AA2B9C" w:rsidRPr="00BD0F81" w:rsidRDefault="00AA2B9C" w:rsidP="00450474">
            <w:pPr>
              <w:pStyle w:val="NoSpacing"/>
              <w:ind w:left="360"/>
              <w:jc w:val="center"/>
              <w:rPr>
                <w:sz w:val="20"/>
              </w:rPr>
            </w:pPr>
            <w:r w:rsidRPr="00BD0F81">
              <w:rPr>
                <w:noProof/>
                <w:sz w:val="20"/>
                <w:u w:val="single"/>
              </w:rPr>
              <w:drawing>
                <wp:inline distT="0" distB="0" distL="0" distR="0" wp14:anchorId="31CC3774" wp14:editId="0278206E">
                  <wp:extent cx="2026920" cy="2026920"/>
                  <wp:effectExtent l="0" t="0" r="0" b="0"/>
                  <wp:docPr id="16" name="Picture 16" descr="A flat screen tv sitting on top of a fire p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laze King Chinook.jpg"/>
                          <pic:cNvPicPr/>
                        </pic:nvPicPr>
                        <pic:blipFill>
                          <a:blip r:embed="rId25">
                            <a:extLst>
                              <a:ext uri="{28A0092B-C50C-407E-A947-70E740481C1C}">
                                <a14:useLocalDpi xmlns:a14="http://schemas.microsoft.com/office/drawing/2010/main" val="0"/>
                              </a:ext>
                            </a:extLst>
                          </a:blip>
                          <a:stretch>
                            <a:fillRect/>
                          </a:stretch>
                        </pic:blipFill>
                        <pic:spPr>
                          <a:xfrm>
                            <a:off x="0" y="0"/>
                            <a:ext cx="2026920" cy="2026920"/>
                          </a:xfrm>
                          <a:prstGeom prst="rect">
                            <a:avLst/>
                          </a:prstGeom>
                        </pic:spPr>
                      </pic:pic>
                    </a:graphicData>
                  </a:graphic>
                </wp:inline>
              </w:drawing>
            </w:r>
          </w:p>
          <w:p w14:paraId="07AB3009" w14:textId="77777777" w:rsidR="00AA2B9C" w:rsidRPr="00BD0F81" w:rsidRDefault="00AA2B9C" w:rsidP="00450474">
            <w:pPr>
              <w:pStyle w:val="NoSpacing"/>
              <w:ind w:left="360"/>
              <w:rPr>
                <w:sz w:val="20"/>
              </w:rPr>
            </w:pPr>
          </w:p>
          <w:p w14:paraId="4D5E6D62" w14:textId="77777777" w:rsidR="00AA2B9C" w:rsidRPr="00BD0F81" w:rsidRDefault="00AA2B9C" w:rsidP="00450474">
            <w:pPr>
              <w:spacing w:after="0"/>
              <w:jc w:val="center"/>
              <w:rPr>
                <w:sz w:val="20"/>
              </w:rPr>
            </w:pPr>
            <w:r>
              <w:rPr>
                <w:sz w:val="20"/>
              </w:rPr>
              <w:t>S</w:t>
            </w:r>
            <w:r w:rsidRPr="00BD0F81">
              <w:rPr>
                <w:sz w:val="20"/>
              </w:rPr>
              <w:t>ingle chamber catalytic combustor ULEB</w:t>
            </w:r>
          </w:p>
          <w:p w14:paraId="3A973792" w14:textId="77777777" w:rsidR="00AA2B9C" w:rsidRPr="00BD0F81" w:rsidRDefault="00AA2B9C" w:rsidP="00450474">
            <w:pPr>
              <w:pStyle w:val="NoSpacing"/>
              <w:ind w:left="360"/>
              <w:rPr>
                <w:sz w:val="20"/>
              </w:rPr>
            </w:pPr>
          </w:p>
        </w:tc>
        <w:tc>
          <w:tcPr>
            <w:tcW w:w="4649" w:type="dxa"/>
          </w:tcPr>
          <w:p w14:paraId="563BB640" w14:textId="77777777" w:rsidR="00AA2B9C" w:rsidRPr="00BD0F81" w:rsidRDefault="00AA2B9C" w:rsidP="00450474">
            <w:pPr>
              <w:pStyle w:val="NoSpacing"/>
              <w:ind w:left="360"/>
              <w:rPr>
                <w:noProof/>
                <w:sz w:val="20"/>
                <w:u w:val="single"/>
              </w:rPr>
            </w:pPr>
          </w:p>
          <w:p w14:paraId="4BCBA9C3" w14:textId="77777777" w:rsidR="00AA2B9C" w:rsidRPr="00BD0F81" w:rsidRDefault="00AA2B9C" w:rsidP="00450474">
            <w:pPr>
              <w:pStyle w:val="NoSpacing"/>
              <w:ind w:left="360"/>
              <w:jc w:val="center"/>
              <w:rPr>
                <w:sz w:val="20"/>
              </w:rPr>
            </w:pPr>
            <w:r w:rsidRPr="00BD0F81">
              <w:rPr>
                <w:noProof/>
                <w:sz w:val="20"/>
                <w:u w:val="single"/>
              </w:rPr>
              <w:drawing>
                <wp:inline distT="0" distB="0" distL="0" distR="0" wp14:anchorId="5580D3C8" wp14:editId="4A4985DC">
                  <wp:extent cx="1112520" cy="2000312"/>
                  <wp:effectExtent l="0" t="0" r="0" b="0"/>
                  <wp:docPr id="19" name="Picture 19" descr="A picture containing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Yunca Blenz MFB.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26515" cy="2025476"/>
                          </a:xfrm>
                          <a:prstGeom prst="rect">
                            <a:avLst/>
                          </a:prstGeom>
                        </pic:spPr>
                      </pic:pic>
                    </a:graphicData>
                  </a:graphic>
                </wp:inline>
              </w:drawing>
            </w:r>
          </w:p>
          <w:p w14:paraId="5F3C88FC" w14:textId="77777777" w:rsidR="00AA2B9C" w:rsidRPr="00BD0F81" w:rsidRDefault="00AA2B9C" w:rsidP="00450474">
            <w:pPr>
              <w:pStyle w:val="NoSpacing"/>
              <w:ind w:left="360"/>
              <w:rPr>
                <w:sz w:val="20"/>
              </w:rPr>
            </w:pPr>
          </w:p>
          <w:p w14:paraId="30602203" w14:textId="77777777" w:rsidR="00AA2B9C" w:rsidRPr="00BD0F81" w:rsidRDefault="00AA2B9C" w:rsidP="00450474">
            <w:pPr>
              <w:pStyle w:val="NoSpacing"/>
              <w:jc w:val="center"/>
              <w:rPr>
                <w:sz w:val="20"/>
              </w:rPr>
            </w:pPr>
            <w:r w:rsidRPr="00BD0F81">
              <w:rPr>
                <w:sz w:val="20"/>
              </w:rPr>
              <w:t>Multi-fuel burner</w:t>
            </w:r>
          </w:p>
          <w:p w14:paraId="7305873B" w14:textId="77777777" w:rsidR="00AA2B9C" w:rsidRPr="00BD0F81" w:rsidRDefault="00AA2B9C" w:rsidP="00450474">
            <w:pPr>
              <w:pStyle w:val="NoSpacing"/>
              <w:ind w:left="360"/>
              <w:rPr>
                <w:sz w:val="20"/>
              </w:rPr>
            </w:pPr>
          </w:p>
        </w:tc>
      </w:tr>
      <w:tr w:rsidR="00AA2B9C" w:rsidRPr="00BD0F81" w14:paraId="5E69D95D" w14:textId="77777777" w:rsidTr="00450474">
        <w:trPr>
          <w:trHeight w:val="3969"/>
        </w:trPr>
        <w:tc>
          <w:tcPr>
            <w:tcW w:w="4649" w:type="dxa"/>
          </w:tcPr>
          <w:p w14:paraId="4CBB5C11" w14:textId="77777777" w:rsidR="00AA2B9C" w:rsidRPr="00BD0F81" w:rsidRDefault="00AA2B9C" w:rsidP="00450474">
            <w:pPr>
              <w:pStyle w:val="NoSpacing"/>
              <w:ind w:left="360"/>
              <w:rPr>
                <w:sz w:val="20"/>
              </w:rPr>
            </w:pPr>
          </w:p>
          <w:p w14:paraId="4AC7C859" w14:textId="77777777" w:rsidR="00AA2B9C" w:rsidRPr="00BD0F81" w:rsidRDefault="00AA2B9C" w:rsidP="00450474">
            <w:pPr>
              <w:pStyle w:val="NoSpacing"/>
              <w:ind w:left="360"/>
              <w:jc w:val="center"/>
              <w:rPr>
                <w:sz w:val="20"/>
              </w:rPr>
            </w:pPr>
            <w:r w:rsidRPr="00BD0F81">
              <w:rPr>
                <w:noProof/>
                <w:sz w:val="20"/>
              </w:rPr>
              <w:drawing>
                <wp:inline distT="0" distB="0" distL="0" distR="0" wp14:anchorId="01A1307A" wp14:editId="1FCD6CD9">
                  <wp:extent cx="1981200" cy="1981200"/>
                  <wp:effectExtent l="0" t="0" r="0" b="0"/>
                  <wp:docPr id="22" name="Picture 22" descr="A close up of an ov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ika Livo.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81200" cy="1981200"/>
                          </a:xfrm>
                          <a:prstGeom prst="rect">
                            <a:avLst/>
                          </a:prstGeom>
                        </pic:spPr>
                      </pic:pic>
                    </a:graphicData>
                  </a:graphic>
                </wp:inline>
              </w:drawing>
            </w:r>
          </w:p>
          <w:p w14:paraId="6D5DE5CE" w14:textId="77777777" w:rsidR="00AA2B9C" w:rsidRPr="00BD0F81" w:rsidRDefault="00AA2B9C" w:rsidP="00450474">
            <w:pPr>
              <w:pStyle w:val="NoSpacing"/>
              <w:ind w:left="360"/>
              <w:rPr>
                <w:sz w:val="20"/>
              </w:rPr>
            </w:pPr>
          </w:p>
          <w:p w14:paraId="46460A1E" w14:textId="77777777" w:rsidR="00AA2B9C" w:rsidRPr="00BD0F81" w:rsidRDefault="00AA2B9C" w:rsidP="00450474">
            <w:pPr>
              <w:pStyle w:val="NoSpacing"/>
              <w:ind w:left="360"/>
              <w:jc w:val="center"/>
              <w:rPr>
                <w:sz w:val="20"/>
              </w:rPr>
            </w:pPr>
            <w:r w:rsidRPr="00BD0F81">
              <w:rPr>
                <w:sz w:val="20"/>
              </w:rPr>
              <w:t>Pellet fire</w:t>
            </w:r>
          </w:p>
        </w:tc>
        <w:tc>
          <w:tcPr>
            <w:tcW w:w="4649" w:type="dxa"/>
          </w:tcPr>
          <w:p w14:paraId="321298BB" w14:textId="77777777" w:rsidR="00C85C4D" w:rsidRDefault="00C85C4D" w:rsidP="001B6885">
            <w:pPr>
              <w:pStyle w:val="NoSpacing"/>
              <w:ind w:left="360"/>
              <w:jc w:val="center"/>
              <w:rPr>
                <w:noProof/>
                <w:sz w:val="20"/>
              </w:rPr>
            </w:pPr>
          </w:p>
          <w:p w14:paraId="485D8966" w14:textId="5D85A61C" w:rsidR="00C85C4D" w:rsidRDefault="001B6885" w:rsidP="001B6885">
            <w:pPr>
              <w:pStyle w:val="NoSpacing"/>
              <w:ind w:left="360"/>
              <w:jc w:val="center"/>
              <w:rPr>
                <w:noProof/>
                <w:sz w:val="20"/>
              </w:rPr>
            </w:pPr>
            <w:r>
              <w:rPr>
                <w:noProof/>
                <w:sz w:val="20"/>
              </w:rPr>
              <w:drawing>
                <wp:inline distT="0" distB="0" distL="0" distR="0" wp14:anchorId="6B427967" wp14:editId="4375AE50">
                  <wp:extent cx="2635052" cy="1897380"/>
                  <wp:effectExtent l="0" t="0" r="0" b="7620"/>
                  <wp:docPr id="9" name="Picture 9" descr="A picture containing indoor, floor,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roling S4 Turbo.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39866" cy="1900846"/>
                          </a:xfrm>
                          <a:prstGeom prst="rect">
                            <a:avLst/>
                          </a:prstGeom>
                        </pic:spPr>
                      </pic:pic>
                    </a:graphicData>
                  </a:graphic>
                </wp:inline>
              </w:drawing>
            </w:r>
          </w:p>
          <w:p w14:paraId="7D1CEE53" w14:textId="77777777" w:rsidR="001B6885" w:rsidRDefault="001B6885" w:rsidP="001B6885">
            <w:pPr>
              <w:pStyle w:val="NoSpacing"/>
              <w:ind w:left="360"/>
              <w:jc w:val="center"/>
              <w:rPr>
                <w:noProof/>
                <w:sz w:val="20"/>
              </w:rPr>
            </w:pPr>
          </w:p>
          <w:p w14:paraId="07FF0B86" w14:textId="310D09F4" w:rsidR="00AA2B9C" w:rsidRPr="00BD0F81" w:rsidRDefault="001B6885" w:rsidP="001B6885">
            <w:pPr>
              <w:pStyle w:val="NoSpacing"/>
              <w:ind w:left="360"/>
              <w:jc w:val="center"/>
              <w:rPr>
                <w:sz w:val="20"/>
              </w:rPr>
            </w:pPr>
            <w:r>
              <w:rPr>
                <w:noProof/>
                <w:sz w:val="20"/>
              </w:rPr>
              <w:t>Log fired boiler</w:t>
            </w:r>
          </w:p>
        </w:tc>
      </w:tr>
    </w:tbl>
    <w:p w14:paraId="0FF75FB2" w14:textId="7B8A68A2" w:rsidR="00AA2B9C" w:rsidRPr="00FC7D4B" w:rsidRDefault="00AA2B9C" w:rsidP="00FC7D4B"/>
    <w:sectPr w:rsidR="00AA2B9C" w:rsidRPr="00FC7D4B" w:rsidSect="0045615F">
      <w:headerReference w:type="even" r:id="rId29"/>
      <w:headerReference w:type="default" r:id="rId30"/>
      <w:footerReference w:type="default" r:id="rId31"/>
      <w:headerReference w:type="first" r:id="rId32"/>
      <w:pgSz w:w="11906" w:h="16838"/>
      <w:pgMar w:top="1021" w:right="964"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02867" w14:textId="77777777" w:rsidR="006147DC" w:rsidRDefault="006147DC" w:rsidP="00995182">
      <w:pPr>
        <w:spacing w:before="0" w:after="0"/>
      </w:pPr>
      <w:r>
        <w:separator/>
      </w:r>
    </w:p>
  </w:endnote>
  <w:endnote w:type="continuationSeparator" w:id="0">
    <w:p w14:paraId="361DA9C7" w14:textId="77777777" w:rsidR="006147DC" w:rsidRDefault="006147DC" w:rsidP="009951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D3B0" w14:textId="070D6890" w:rsidR="00CD7CD6" w:rsidRPr="001A5CF1" w:rsidRDefault="00CD7CD6" w:rsidP="008A2F3A">
    <w:pPr>
      <w:jc w:val="left"/>
      <w:rPr>
        <w:sz w:val="18"/>
        <w:szCs w:val="18"/>
      </w:rPr>
    </w:pPr>
    <w:r w:rsidRPr="001A5CF1">
      <w:rPr>
        <w:sz w:val="18"/>
        <w:szCs w:val="18"/>
      </w:rPr>
      <w:t>____________________________________________________________________________________________________</w:t>
    </w:r>
    <w:r w:rsidR="00C24919" w:rsidRPr="001A5CF1">
      <w:rPr>
        <w:sz w:val="18"/>
        <w:szCs w:val="18"/>
      </w:rPr>
      <w:t>_____</w:t>
    </w:r>
    <w:r w:rsidR="008049A3" w:rsidRPr="001A5CF1">
      <w:rPr>
        <w:sz w:val="18"/>
        <w:szCs w:val="18"/>
      </w:rPr>
      <w:t>_</w:t>
    </w:r>
    <w:r w:rsidR="004D0062" w:rsidRPr="001A5CF1">
      <w:rPr>
        <w:sz w:val="18"/>
        <w:szCs w:val="18"/>
      </w:rPr>
      <w:t>Ministry for the Environment</w:t>
    </w:r>
    <w:r w:rsidR="004D5D7E" w:rsidRPr="001A5CF1">
      <w:rPr>
        <w:sz w:val="18"/>
        <w:szCs w:val="18"/>
      </w:rPr>
      <w:t xml:space="preserve">: Solid Fuel Burner Testing and Standards for NESAQ </w:t>
    </w:r>
    <w:r w:rsidR="001A5CF1" w:rsidRPr="001A5CF1">
      <w:rPr>
        <w:sz w:val="18"/>
        <w:szCs w:val="18"/>
      </w:rPr>
      <w:t>Proposed Amendments</w:t>
    </w:r>
    <w:r w:rsidR="004D5D7E" w:rsidRPr="001A5CF1">
      <w:rPr>
        <w:sz w:val="18"/>
        <w:szCs w:val="18"/>
      </w:rPr>
      <w:tab/>
    </w:r>
    <w:sdt>
      <w:sdtPr>
        <w:rPr>
          <w:sz w:val="18"/>
          <w:szCs w:val="18"/>
        </w:rPr>
        <w:id w:val="392165207"/>
        <w:docPartObj>
          <w:docPartGallery w:val="Page Numbers (Bottom of Page)"/>
          <w:docPartUnique/>
        </w:docPartObj>
      </w:sdtPr>
      <w:sdtEndPr>
        <w:rPr>
          <w:noProof/>
        </w:rPr>
      </w:sdtEndPr>
      <w:sdtContent>
        <w:r w:rsidR="0045615F" w:rsidRPr="001A5CF1">
          <w:rPr>
            <w:sz w:val="18"/>
            <w:szCs w:val="18"/>
          </w:rPr>
          <w:t xml:space="preserve">             </w:t>
        </w:r>
        <w:r w:rsidRPr="001A5CF1">
          <w:rPr>
            <w:sz w:val="18"/>
            <w:szCs w:val="18"/>
          </w:rPr>
          <w:fldChar w:fldCharType="begin"/>
        </w:r>
        <w:r w:rsidRPr="001A5CF1">
          <w:rPr>
            <w:sz w:val="18"/>
            <w:szCs w:val="18"/>
          </w:rPr>
          <w:instrText xml:space="preserve"> PAGE   \* MERGEFORMAT </w:instrText>
        </w:r>
        <w:r w:rsidRPr="001A5CF1">
          <w:rPr>
            <w:sz w:val="18"/>
            <w:szCs w:val="18"/>
          </w:rPr>
          <w:fldChar w:fldCharType="separate"/>
        </w:r>
        <w:r w:rsidR="00E60164" w:rsidRPr="001A5CF1">
          <w:rPr>
            <w:noProof/>
            <w:sz w:val="18"/>
            <w:szCs w:val="18"/>
          </w:rPr>
          <w:t>2</w:t>
        </w:r>
        <w:r w:rsidRPr="001A5CF1">
          <w:rPr>
            <w:noProof/>
            <w:sz w:val="18"/>
            <w:szCs w:val="18"/>
          </w:rPr>
          <w:fldChar w:fldCharType="end"/>
        </w:r>
      </w:sdtContent>
    </w:sdt>
  </w:p>
  <w:p w14:paraId="1537D3B1" w14:textId="77777777" w:rsidR="00CD7CD6" w:rsidRDefault="00CD7CD6">
    <w:pPr>
      <w:pStyle w:val="Foote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78C8" w14:textId="22FD47A2" w:rsidR="0003404D" w:rsidRDefault="0003404D" w:rsidP="008A2F3A">
    <w:pPr>
      <w:jc w:val="left"/>
    </w:pPr>
    <w:r>
      <w:rPr>
        <w:sz w:val="18"/>
      </w:rPr>
      <w:t>______________________________________________________________________________________________________________</w:t>
    </w:r>
    <w:r w:rsidR="005779BF" w:rsidRPr="005779BF">
      <w:rPr>
        <w:sz w:val="18"/>
        <w:szCs w:val="18"/>
      </w:rPr>
      <w:t xml:space="preserve"> </w:t>
    </w:r>
    <w:r w:rsidR="005779BF" w:rsidRPr="001A5CF1">
      <w:rPr>
        <w:sz w:val="18"/>
        <w:szCs w:val="18"/>
      </w:rPr>
      <w:t>Ministry for the Environment: Solid Fuel Burner Testing and Standards for NESAQ Proposed Amendments</w:t>
    </w:r>
    <w:r>
      <w:tab/>
    </w:r>
    <w:sdt>
      <w:sdtPr>
        <w:id w:val="-1072730990"/>
        <w:docPartObj>
          <w:docPartGallery w:val="Page Numbers (Bottom of Page)"/>
          <w:docPartUnique/>
        </w:docPartObj>
      </w:sdtPr>
      <w:sdtEndPr>
        <w:rPr>
          <w:noProof/>
          <w:sz w:val="18"/>
          <w:szCs w:val="18"/>
        </w:rPr>
      </w:sdtEndPr>
      <w:sdtContent>
        <w:r>
          <w:t xml:space="preserve">            </w:t>
        </w:r>
        <w:r w:rsidRPr="005779BF">
          <w:rPr>
            <w:sz w:val="18"/>
            <w:szCs w:val="18"/>
          </w:rPr>
          <w:t xml:space="preserve"> </w:t>
        </w:r>
        <w:r w:rsidRPr="005779BF">
          <w:rPr>
            <w:sz w:val="18"/>
            <w:szCs w:val="18"/>
          </w:rPr>
          <w:fldChar w:fldCharType="begin"/>
        </w:r>
        <w:r w:rsidRPr="005779BF">
          <w:rPr>
            <w:sz w:val="18"/>
            <w:szCs w:val="18"/>
          </w:rPr>
          <w:instrText xml:space="preserve"> PAGE   \* MERGEFORMAT </w:instrText>
        </w:r>
        <w:r w:rsidRPr="005779BF">
          <w:rPr>
            <w:sz w:val="18"/>
            <w:szCs w:val="18"/>
          </w:rPr>
          <w:fldChar w:fldCharType="separate"/>
        </w:r>
        <w:r w:rsidRPr="005779BF">
          <w:rPr>
            <w:noProof/>
            <w:sz w:val="18"/>
            <w:szCs w:val="18"/>
          </w:rPr>
          <w:t>2</w:t>
        </w:r>
        <w:r w:rsidRPr="005779BF">
          <w:rPr>
            <w:noProof/>
            <w:sz w:val="18"/>
            <w:szCs w:val="18"/>
          </w:rPr>
          <w:fldChar w:fldCharType="end"/>
        </w:r>
      </w:sdtContent>
    </w:sdt>
  </w:p>
  <w:p w14:paraId="135262EE" w14:textId="77777777" w:rsidR="0003404D" w:rsidRDefault="0003404D">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9C213" w14:textId="77777777" w:rsidR="006147DC" w:rsidRDefault="006147DC" w:rsidP="00995182">
      <w:pPr>
        <w:spacing w:before="0" w:after="0"/>
      </w:pPr>
      <w:r>
        <w:separator/>
      </w:r>
    </w:p>
  </w:footnote>
  <w:footnote w:type="continuationSeparator" w:id="0">
    <w:p w14:paraId="3187B160" w14:textId="77777777" w:rsidR="006147DC" w:rsidRDefault="006147DC" w:rsidP="00995182">
      <w:pPr>
        <w:spacing w:before="0" w:after="0"/>
      </w:pPr>
      <w:r>
        <w:continuationSeparator/>
      </w:r>
    </w:p>
  </w:footnote>
  <w:footnote w:id="1">
    <w:p w14:paraId="0E52675C" w14:textId="77777777" w:rsidR="0062310C" w:rsidRPr="0062310C" w:rsidRDefault="00A16883" w:rsidP="0062310C">
      <w:pPr>
        <w:rPr>
          <w:sz w:val="18"/>
          <w:szCs w:val="18"/>
          <w:lang w:val="en-US"/>
        </w:rPr>
      </w:pPr>
      <w:r w:rsidRPr="0062310C">
        <w:rPr>
          <w:rStyle w:val="FootnoteReference"/>
          <w:sz w:val="18"/>
          <w:szCs w:val="18"/>
        </w:rPr>
        <w:footnoteRef/>
      </w:r>
      <w:r w:rsidRPr="0062310C">
        <w:rPr>
          <w:sz w:val="18"/>
          <w:szCs w:val="18"/>
        </w:rPr>
        <w:t xml:space="preserve"> </w:t>
      </w:r>
      <w:r w:rsidR="0062310C" w:rsidRPr="0062310C">
        <w:rPr>
          <w:sz w:val="18"/>
          <w:szCs w:val="18"/>
          <w:lang w:val="en-US"/>
        </w:rPr>
        <w:t>Make and model anonymised as potentially commercially sensitive.</w:t>
      </w:r>
    </w:p>
    <w:p w14:paraId="45CB3DCF" w14:textId="0A53DA30" w:rsidR="00A16883" w:rsidRPr="00A16883" w:rsidRDefault="00A1688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3328F" w14:textId="144470BD" w:rsidR="001E0BE1" w:rsidRDefault="001E0BE1" w:rsidP="001E0BE1">
    <w:pPr>
      <w:pStyle w:val="Header"/>
      <w:jc w:val="center"/>
    </w:pPr>
    <w:r>
      <w:rPr>
        <w:noProof/>
      </w:rPr>
      <w:drawing>
        <wp:inline distT="0" distB="0" distL="0" distR="0" wp14:anchorId="46504A52" wp14:editId="6FF39B48">
          <wp:extent cx="3909060" cy="56152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E logo large.bmp"/>
                  <pic:cNvPicPr/>
                </pic:nvPicPr>
                <pic:blipFill>
                  <a:blip r:embed="rId1">
                    <a:extLst>
                      <a:ext uri="{28A0092B-C50C-407E-A947-70E740481C1C}">
                        <a14:useLocalDpi xmlns:a14="http://schemas.microsoft.com/office/drawing/2010/main" val="0"/>
                      </a:ext>
                    </a:extLst>
                  </a:blip>
                  <a:stretch>
                    <a:fillRect/>
                  </a:stretch>
                </pic:blipFill>
                <pic:spPr>
                  <a:xfrm>
                    <a:off x="0" y="0"/>
                    <a:ext cx="3996351" cy="574061"/>
                  </a:xfrm>
                  <a:prstGeom prst="rect">
                    <a:avLst/>
                  </a:prstGeom>
                </pic:spPr>
              </pic:pic>
            </a:graphicData>
          </a:graphic>
        </wp:inline>
      </w:drawing>
    </w:r>
  </w:p>
  <w:p w14:paraId="6E488479" w14:textId="35E95A0A" w:rsidR="00064E7B" w:rsidRPr="00064E7B" w:rsidRDefault="00064E7B" w:rsidP="00064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D3AD" w14:textId="525D30D1" w:rsidR="00CD7CD6" w:rsidRDefault="00CD7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D3AF" w14:textId="77777777" w:rsidR="00CD7CD6" w:rsidRDefault="00CD7C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D3B2" w14:textId="54300C85" w:rsidR="00CD7CD6" w:rsidRDefault="00CD7C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7F42" w14:textId="109722A7" w:rsidR="00E364C2" w:rsidRDefault="00E364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9A43" w14:textId="111918B8" w:rsidR="00E364C2" w:rsidRDefault="00E364C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E5F8" w14:textId="52FB5FCD" w:rsidR="00E364C2" w:rsidRDefault="00E36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5D44"/>
    <w:multiLevelType w:val="hybridMultilevel"/>
    <w:tmpl w:val="927899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B76393"/>
    <w:multiLevelType w:val="hybridMultilevel"/>
    <w:tmpl w:val="7E9EE1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867837"/>
    <w:multiLevelType w:val="hybridMultilevel"/>
    <w:tmpl w:val="489852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6F45EB"/>
    <w:multiLevelType w:val="hybridMultilevel"/>
    <w:tmpl w:val="20DE6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B8003C"/>
    <w:multiLevelType w:val="hybridMultilevel"/>
    <w:tmpl w:val="5F0E1254"/>
    <w:lvl w:ilvl="0" w:tplc="77C09298">
      <w:start w:val="1"/>
      <w:numFmt w:val="bullet"/>
      <w:pStyle w:val="Bullets-Minor"/>
      <w:lvlText w:val=""/>
      <w:lvlJc w:val="left"/>
      <w:pPr>
        <w:tabs>
          <w:tab w:val="num" w:pos="1494"/>
        </w:tabs>
        <w:ind w:left="1494" w:hanging="360"/>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5C1747"/>
    <w:multiLevelType w:val="hybridMultilevel"/>
    <w:tmpl w:val="80C0A4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F9412E"/>
    <w:multiLevelType w:val="hybridMultilevel"/>
    <w:tmpl w:val="47D05D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A86472"/>
    <w:multiLevelType w:val="hybridMultilevel"/>
    <w:tmpl w:val="48208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58C2FBB"/>
    <w:multiLevelType w:val="hybridMultilevel"/>
    <w:tmpl w:val="18CA562A"/>
    <w:lvl w:ilvl="0" w:tplc="14090001">
      <w:start w:val="1"/>
      <w:numFmt w:val="bullet"/>
      <w:lvlText w:val=""/>
      <w:lvlJc w:val="left"/>
      <w:pPr>
        <w:ind w:left="1080" w:hanging="360"/>
      </w:pPr>
      <w:rPr>
        <w:rFonts w:ascii="Symbol" w:hAnsi="Symbol" w:hint="default"/>
      </w:rPr>
    </w:lvl>
    <w:lvl w:ilvl="1" w:tplc="F4064560">
      <w:numFmt w:val="bullet"/>
      <w:lvlText w:val="—"/>
      <w:lvlJc w:val="left"/>
      <w:pPr>
        <w:ind w:left="1800" w:hanging="360"/>
      </w:pPr>
      <w:rPr>
        <w:rFonts w:ascii="Calibri" w:eastAsiaTheme="minorHAnsi" w:hAnsi="Calibri" w:cs="Calibri"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262C20A6"/>
    <w:multiLevelType w:val="multilevel"/>
    <w:tmpl w:val="1C3225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157763"/>
    <w:multiLevelType w:val="hybridMultilevel"/>
    <w:tmpl w:val="D22C8F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BC55C99"/>
    <w:multiLevelType w:val="hybridMultilevel"/>
    <w:tmpl w:val="368C22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D0C7051"/>
    <w:multiLevelType w:val="hybridMultilevel"/>
    <w:tmpl w:val="41FCB2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E6516B4"/>
    <w:multiLevelType w:val="hybridMultilevel"/>
    <w:tmpl w:val="4BC05B1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F771D0B"/>
    <w:multiLevelType w:val="hybridMultilevel"/>
    <w:tmpl w:val="DCF68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12E6E81"/>
    <w:multiLevelType w:val="hybridMultilevel"/>
    <w:tmpl w:val="20B04D8A"/>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8136DA4"/>
    <w:multiLevelType w:val="hybridMultilevel"/>
    <w:tmpl w:val="CA8E3354"/>
    <w:lvl w:ilvl="0" w:tplc="9264A9A2">
      <w:start w:val="1"/>
      <w:numFmt w:val="bullet"/>
      <w:pStyle w:val="Bullets-Major"/>
      <w:lvlText w:val=""/>
      <w:lvlJc w:val="left"/>
      <w:pPr>
        <w:tabs>
          <w:tab w:val="num" w:pos="927"/>
        </w:tabs>
        <w:ind w:left="927"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3B7538"/>
    <w:multiLevelType w:val="multilevel"/>
    <w:tmpl w:val="9404C4D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79C7D38"/>
    <w:multiLevelType w:val="hybridMultilevel"/>
    <w:tmpl w:val="60D40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ADA519C"/>
    <w:multiLevelType w:val="hybridMultilevel"/>
    <w:tmpl w:val="1B90C0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F34B8E"/>
    <w:multiLevelType w:val="hybridMultilevel"/>
    <w:tmpl w:val="4BC05B1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22" w15:restartNumberingAfterBreak="0">
    <w:nsid w:val="5D282368"/>
    <w:multiLevelType w:val="multilevel"/>
    <w:tmpl w:val="9AA07D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5ED2635D"/>
    <w:multiLevelType w:val="hybridMultilevel"/>
    <w:tmpl w:val="725CA2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15C40A7"/>
    <w:multiLevelType w:val="hybridMultilevel"/>
    <w:tmpl w:val="F8709F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207547"/>
    <w:multiLevelType w:val="hybridMultilevel"/>
    <w:tmpl w:val="CBA87A2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6ACB2BD2"/>
    <w:multiLevelType w:val="hybridMultilevel"/>
    <w:tmpl w:val="8222E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2A90AC5"/>
    <w:multiLevelType w:val="hybridMultilevel"/>
    <w:tmpl w:val="001EC9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86747BA"/>
    <w:multiLevelType w:val="hybridMultilevel"/>
    <w:tmpl w:val="BDEEED9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7A7071D0"/>
    <w:multiLevelType w:val="hybridMultilevel"/>
    <w:tmpl w:val="FDFC6E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CBF71B9"/>
    <w:multiLevelType w:val="hybridMultilevel"/>
    <w:tmpl w:val="38487B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7"/>
  </w:num>
  <w:num w:numId="4">
    <w:abstractNumId w:val="27"/>
  </w:num>
  <w:num w:numId="5">
    <w:abstractNumId w:val="19"/>
  </w:num>
  <w:num w:numId="6">
    <w:abstractNumId w:val="9"/>
  </w:num>
  <w:num w:numId="7">
    <w:abstractNumId w:val="5"/>
  </w:num>
  <w:num w:numId="8">
    <w:abstractNumId w:val="6"/>
  </w:num>
  <w:num w:numId="9">
    <w:abstractNumId w:val="8"/>
  </w:num>
  <w:num w:numId="10">
    <w:abstractNumId w:val="28"/>
  </w:num>
  <w:num w:numId="11">
    <w:abstractNumId w:val="25"/>
  </w:num>
  <w:num w:numId="12">
    <w:abstractNumId w:val="10"/>
  </w:num>
  <w:num w:numId="13">
    <w:abstractNumId w:val="2"/>
  </w:num>
  <w:num w:numId="14">
    <w:abstractNumId w:val="20"/>
  </w:num>
  <w:num w:numId="15">
    <w:abstractNumId w:val="15"/>
  </w:num>
  <w:num w:numId="16">
    <w:abstractNumId w:val="14"/>
  </w:num>
  <w:num w:numId="17">
    <w:abstractNumId w:val="3"/>
  </w:num>
  <w:num w:numId="18">
    <w:abstractNumId w:val="7"/>
  </w:num>
  <w:num w:numId="19">
    <w:abstractNumId w:val="23"/>
  </w:num>
  <w:num w:numId="20">
    <w:abstractNumId w:val="1"/>
  </w:num>
  <w:num w:numId="21">
    <w:abstractNumId w:val="21"/>
  </w:num>
  <w:num w:numId="22">
    <w:abstractNumId w:val="11"/>
  </w:num>
  <w:num w:numId="23">
    <w:abstractNumId w:val="22"/>
  </w:num>
  <w:num w:numId="24">
    <w:abstractNumId w:val="0"/>
  </w:num>
  <w:num w:numId="25">
    <w:abstractNumId w:val="26"/>
  </w:num>
  <w:num w:numId="26">
    <w:abstractNumId w:val="24"/>
  </w:num>
  <w:num w:numId="27">
    <w:abstractNumId w:val="18"/>
  </w:num>
  <w:num w:numId="28">
    <w:abstractNumId w:val="30"/>
  </w:num>
  <w:num w:numId="29">
    <w:abstractNumId w:val="12"/>
  </w:num>
  <w:num w:numId="30">
    <w:abstractNumId w:val="13"/>
  </w:num>
  <w:num w:numId="31">
    <w:abstractNumId w:val="22"/>
  </w:num>
  <w:num w:numId="32">
    <w:abstractNumId w:val="22"/>
  </w:num>
  <w:num w:numId="33">
    <w:abstractNumId w:val="22"/>
  </w:num>
  <w:num w:numId="34">
    <w:abstractNumId w:val="22"/>
  </w:num>
  <w:num w:numId="35">
    <w:abstractNumId w:val="22"/>
  </w:num>
  <w:num w:numId="36">
    <w:abstractNumId w:val="22"/>
  </w:num>
  <w:num w:numId="37">
    <w:abstractNumId w:val="22"/>
  </w:num>
  <w:num w:numId="38">
    <w:abstractNumId w:val="22"/>
  </w:num>
  <w:num w:numId="39">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82"/>
    <w:rsid w:val="000010F6"/>
    <w:rsid w:val="0000159F"/>
    <w:rsid w:val="000023C0"/>
    <w:rsid w:val="00002D64"/>
    <w:rsid w:val="00002E69"/>
    <w:rsid w:val="00002F93"/>
    <w:rsid w:val="0000302D"/>
    <w:rsid w:val="0000306B"/>
    <w:rsid w:val="000036B8"/>
    <w:rsid w:val="000039F5"/>
    <w:rsid w:val="00003F74"/>
    <w:rsid w:val="0000460F"/>
    <w:rsid w:val="00004AD6"/>
    <w:rsid w:val="00005410"/>
    <w:rsid w:val="000059AC"/>
    <w:rsid w:val="00010BA8"/>
    <w:rsid w:val="00011057"/>
    <w:rsid w:val="00011C81"/>
    <w:rsid w:val="00012355"/>
    <w:rsid w:val="00012714"/>
    <w:rsid w:val="00012743"/>
    <w:rsid w:val="00012A67"/>
    <w:rsid w:val="00013506"/>
    <w:rsid w:val="000138EC"/>
    <w:rsid w:val="000139DB"/>
    <w:rsid w:val="0001451E"/>
    <w:rsid w:val="00014AC4"/>
    <w:rsid w:val="0001642D"/>
    <w:rsid w:val="0001673D"/>
    <w:rsid w:val="000167A0"/>
    <w:rsid w:val="000169AB"/>
    <w:rsid w:val="00017016"/>
    <w:rsid w:val="000177B9"/>
    <w:rsid w:val="000204F0"/>
    <w:rsid w:val="0002077C"/>
    <w:rsid w:val="00020BB0"/>
    <w:rsid w:val="00020E02"/>
    <w:rsid w:val="0002143F"/>
    <w:rsid w:val="0002151E"/>
    <w:rsid w:val="00022548"/>
    <w:rsid w:val="00023305"/>
    <w:rsid w:val="00023F16"/>
    <w:rsid w:val="00024176"/>
    <w:rsid w:val="00024470"/>
    <w:rsid w:val="000246C8"/>
    <w:rsid w:val="00024932"/>
    <w:rsid w:val="00024C8B"/>
    <w:rsid w:val="00025B25"/>
    <w:rsid w:val="00025B36"/>
    <w:rsid w:val="00026A3B"/>
    <w:rsid w:val="0003083D"/>
    <w:rsid w:val="00030EF0"/>
    <w:rsid w:val="00031102"/>
    <w:rsid w:val="00033765"/>
    <w:rsid w:val="0003404D"/>
    <w:rsid w:val="00035202"/>
    <w:rsid w:val="00035B43"/>
    <w:rsid w:val="00036C2C"/>
    <w:rsid w:val="000373AA"/>
    <w:rsid w:val="00040231"/>
    <w:rsid w:val="0004032B"/>
    <w:rsid w:val="000404BB"/>
    <w:rsid w:val="0004058C"/>
    <w:rsid w:val="00041263"/>
    <w:rsid w:val="0004144A"/>
    <w:rsid w:val="000425A5"/>
    <w:rsid w:val="00042AFB"/>
    <w:rsid w:val="00042BDC"/>
    <w:rsid w:val="00042F35"/>
    <w:rsid w:val="000433DF"/>
    <w:rsid w:val="0004367E"/>
    <w:rsid w:val="00044238"/>
    <w:rsid w:val="000457E6"/>
    <w:rsid w:val="0004640F"/>
    <w:rsid w:val="00046C3E"/>
    <w:rsid w:val="00046FEF"/>
    <w:rsid w:val="000501E5"/>
    <w:rsid w:val="000503DC"/>
    <w:rsid w:val="0005161A"/>
    <w:rsid w:val="00051689"/>
    <w:rsid w:val="00051974"/>
    <w:rsid w:val="00051E89"/>
    <w:rsid w:val="0005242F"/>
    <w:rsid w:val="00052B1D"/>
    <w:rsid w:val="00052BCA"/>
    <w:rsid w:val="000534D9"/>
    <w:rsid w:val="00053557"/>
    <w:rsid w:val="00053AEA"/>
    <w:rsid w:val="00053BB0"/>
    <w:rsid w:val="0005475E"/>
    <w:rsid w:val="00054D09"/>
    <w:rsid w:val="00054E86"/>
    <w:rsid w:val="0005565D"/>
    <w:rsid w:val="000561CF"/>
    <w:rsid w:val="00056EB7"/>
    <w:rsid w:val="000573EC"/>
    <w:rsid w:val="00057F53"/>
    <w:rsid w:val="00060995"/>
    <w:rsid w:val="00061037"/>
    <w:rsid w:val="0006111E"/>
    <w:rsid w:val="000611AE"/>
    <w:rsid w:val="00061C1D"/>
    <w:rsid w:val="00061E28"/>
    <w:rsid w:val="00062EA1"/>
    <w:rsid w:val="000634DC"/>
    <w:rsid w:val="000638B8"/>
    <w:rsid w:val="00064E7B"/>
    <w:rsid w:val="000651E6"/>
    <w:rsid w:val="000657C2"/>
    <w:rsid w:val="000679C7"/>
    <w:rsid w:val="00070617"/>
    <w:rsid w:val="00070642"/>
    <w:rsid w:val="0007119D"/>
    <w:rsid w:val="00071A36"/>
    <w:rsid w:val="00071D6F"/>
    <w:rsid w:val="0007209F"/>
    <w:rsid w:val="000729D3"/>
    <w:rsid w:val="00072D17"/>
    <w:rsid w:val="00073AAA"/>
    <w:rsid w:val="00073FB8"/>
    <w:rsid w:val="00075098"/>
    <w:rsid w:val="00075F86"/>
    <w:rsid w:val="00076214"/>
    <w:rsid w:val="00077332"/>
    <w:rsid w:val="0007775A"/>
    <w:rsid w:val="000779A6"/>
    <w:rsid w:val="00080CB9"/>
    <w:rsid w:val="00080D5E"/>
    <w:rsid w:val="000810F3"/>
    <w:rsid w:val="00081430"/>
    <w:rsid w:val="00082F94"/>
    <w:rsid w:val="00084033"/>
    <w:rsid w:val="0008475C"/>
    <w:rsid w:val="0008496A"/>
    <w:rsid w:val="0008515B"/>
    <w:rsid w:val="00085520"/>
    <w:rsid w:val="0008567F"/>
    <w:rsid w:val="00086E58"/>
    <w:rsid w:val="0008725C"/>
    <w:rsid w:val="000904C3"/>
    <w:rsid w:val="0009070D"/>
    <w:rsid w:val="00090866"/>
    <w:rsid w:val="00090964"/>
    <w:rsid w:val="00090BF9"/>
    <w:rsid w:val="0009187D"/>
    <w:rsid w:val="00092121"/>
    <w:rsid w:val="000925F5"/>
    <w:rsid w:val="00092F2B"/>
    <w:rsid w:val="00094684"/>
    <w:rsid w:val="00094CA7"/>
    <w:rsid w:val="00095307"/>
    <w:rsid w:val="00095E81"/>
    <w:rsid w:val="000964CD"/>
    <w:rsid w:val="000972AD"/>
    <w:rsid w:val="000972F0"/>
    <w:rsid w:val="000977F7"/>
    <w:rsid w:val="00097E3F"/>
    <w:rsid w:val="000A0959"/>
    <w:rsid w:val="000A132B"/>
    <w:rsid w:val="000A1A16"/>
    <w:rsid w:val="000A1DFF"/>
    <w:rsid w:val="000A244E"/>
    <w:rsid w:val="000A30DC"/>
    <w:rsid w:val="000A3103"/>
    <w:rsid w:val="000A32EC"/>
    <w:rsid w:val="000A424C"/>
    <w:rsid w:val="000A497C"/>
    <w:rsid w:val="000A4BCE"/>
    <w:rsid w:val="000A55C4"/>
    <w:rsid w:val="000A5665"/>
    <w:rsid w:val="000A5EAA"/>
    <w:rsid w:val="000A69B4"/>
    <w:rsid w:val="000A70E8"/>
    <w:rsid w:val="000A78D5"/>
    <w:rsid w:val="000A7B82"/>
    <w:rsid w:val="000A7F49"/>
    <w:rsid w:val="000B0813"/>
    <w:rsid w:val="000B0878"/>
    <w:rsid w:val="000B1079"/>
    <w:rsid w:val="000B191F"/>
    <w:rsid w:val="000B1D58"/>
    <w:rsid w:val="000B2095"/>
    <w:rsid w:val="000B28C6"/>
    <w:rsid w:val="000B2FEE"/>
    <w:rsid w:val="000B42AC"/>
    <w:rsid w:val="000B45C7"/>
    <w:rsid w:val="000B49C6"/>
    <w:rsid w:val="000B4E24"/>
    <w:rsid w:val="000B608D"/>
    <w:rsid w:val="000B6C73"/>
    <w:rsid w:val="000B76A5"/>
    <w:rsid w:val="000C04E9"/>
    <w:rsid w:val="000C2BB8"/>
    <w:rsid w:val="000C3078"/>
    <w:rsid w:val="000C49CA"/>
    <w:rsid w:val="000C5014"/>
    <w:rsid w:val="000C54AA"/>
    <w:rsid w:val="000C5534"/>
    <w:rsid w:val="000C5589"/>
    <w:rsid w:val="000C62FE"/>
    <w:rsid w:val="000C6BCD"/>
    <w:rsid w:val="000C6F87"/>
    <w:rsid w:val="000C730E"/>
    <w:rsid w:val="000C745D"/>
    <w:rsid w:val="000C7681"/>
    <w:rsid w:val="000C76C0"/>
    <w:rsid w:val="000C7889"/>
    <w:rsid w:val="000C7DF0"/>
    <w:rsid w:val="000D06CD"/>
    <w:rsid w:val="000D0FFB"/>
    <w:rsid w:val="000D17DD"/>
    <w:rsid w:val="000D341F"/>
    <w:rsid w:val="000D34C8"/>
    <w:rsid w:val="000D3A7C"/>
    <w:rsid w:val="000D3AAE"/>
    <w:rsid w:val="000D4955"/>
    <w:rsid w:val="000D4996"/>
    <w:rsid w:val="000D4D0C"/>
    <w:rsid w:val="000D55EB"/>
    <w:rsid w:val="000D5A27"/>
    <w:rsid w:val="000D5E39"/>
    <w:rsid w:val="000D5F13"/>
    <w:rsid w:val="000D658E"/>
    <w:rsid w:val="000D664A"/>
    <w:rsid w:val="000D67CF"/>
    <w:rsid w:val="000D7338"/>
    <w:rsid w:val="000D7944"/>
    <w:rsid w:val="000D7A6D"/>
    <w:rsid w:val="000E3FF8"/>
    <w:rsid w:val="000E4238"/>
    <w:rsid w:val="000E4F03"/>
    <w:rsid w:val="000E51C5"/>
    <w:rsid w:val="000E52AD"/>
    <w:rsid w:val="000E5645"/>
    <w:rsid w:val="000E5EB3"/>
    <w:rsid w:val="000E64B8"/>
    <w:rsid w:val="000E6648"/>
    <w:rsid w:val="000E71E6"/>
    <w:rsid w:val="000E76FF"/>
    <w:rsid w:val="000E785E"/>
    <w:rsid w:val="000E7928"/>
    <w:rsid w:val="000F0095"/>
    <w:rsid w:val="000F050F"/>
    <w:rsid w:val="000F2396"/>
    <w:rsid w:val="000F245F"/>
    <w:rsid w:val="000F250B"/>
    <w:rsid w:val="000F2E41"/>
    <w:rsid w:val="000F2E52"/>
    <w:rsid w:val="000F3D7F"/>
    <w:rsid w:val="000F3D87"/>
    <w:rsid w:val="000F40F6"/>
    <w:rsid w:val="000F41A5"/>
    <w:rsid w:val="000F4B66"/>
    <w:rsid w:val="000F50B8"/>
    <w:rsid w:val="000F53BC"/>
    <w:rsid w:val="000F5E74"/>
    <w:rsid w:val="000F6725"/>
    <w:rsid w:val="000F677C"/>
    <w:rsid w:val="00100284"/>
    <w:rsid w:val="00100537"/>
    <w:rsid w:val="00101145"/>
    <w:rsid w:val="0010161B"/>
    <w:rsid w:val="00101CAE"/>
    <w:rsid w:val="001033F1"/>
    <w:rsid w:val="0010345C"/>
    <w:rsid w:val="001044DF"/>
    <w:rsid w:val="0010451B"/>
    <w:rsid w:val="00104578"/>
    <w:rsid w:val="001045D6"/>
    <w:rsid w:val="001049B1"/>
    <w:rsid w:val="00104C1A"/>
    <w:rsid w:val="00104DAA"/>
    <w:rsid w:val="00104E0C"/>
    <w:rsid w:val="00105524"/>
    <w:rsid w:val="00105CBA"/>
    <w:rsid w:val="0010692D"/>
    <w:rsid w:val="00106E11"/>
    <w:rsid w:val="001077EF"/>
    <w:rsid w:val="00110274"/>
    <w:rsid w:val="001104B1"/>
    <w:rsid w:val="0011065A"/>
    <w:rsid w:val="00110FFA"/>
    <w:rsid w:val="00111302"/>
    <w:rsid w:val="00111582"/>
    <w:rsid w:val="00111B6A"/>
    <w:rsid w:val="00111F26"/>
    <w:rsid w:val="00111FD7"/>
    <w:rsid w:val="0011204E"/>
    <w:rsid w:val="00112609"/>
    <w:rsid w:val="001127D7"/>
    <w:rsid w:val="00112F82"/>
    <w:rsid w:val="00112F8C"/>
    <w:rsid w:val="001137BD"/>
    <w:rsid w:val="00113842"/>
    <w:rsid w:val="001139A7"/>
    <w:rsid w:val="00113AA1"/>
    <w:rsid w:val="00113AB3"/>
    <w:rsid w:val="00113D62"/>
    <w:rsid w:val="00115225"/>
    <w:rsid w:val="00115245"/>
    <w:rsid w:val="00117F2F"/>
    <w:rsid w:val="001201AF"/>
    <w:rsid w:val="001207CF"/>
    <w:rsid w:val="001209C4"/>
    <w:rsid w:val="00121040"/>
    <w:rsid w:val="0012104E"/>
    <w:rsid w:val="00121412"/>
    <w:rsid w:val="00121E8D"/>
    <w:rsid w:val="001220D4"/>
    <w:rsid w:val="001228EC"/>
    <w:rsid w:val="00122C45"/>
    <w:rsid w:val="00123BD9"/>
    <w:rsid w:val="001240B4"/>
    <w:rsid w:val="001243B0"/>
    <w:rsid w:val="001247BB"/>
    <w:rsid w:val="001247D9"/>
    <w:rsid w:val="00124CB4"/>
    <w:rsid w:val="00125CE8"/>
    <w:rsid w:val="001268FA"/>
    <w:rsid w:val="0013189F"/>
    <w:rsid w:val="00131BB6"/>
    <w:rsid w:val="00131C23"/>
    <w:rsid w:val="00132286"/>
    <w:rsid w:val="00132315"/>
    <w:rsid w:val="00132D68"/>
    <w:rsid w:val="00134192"/>
    <w:rsid w:val="00134C20"/>
    <w:rsid w:val="00134FBF"/>
    <w:rsid w:val="00135020"/>
    <w:rsid w:val="0013503A"/>
    <w:rsid w:val="00136842"/>
    <w:rsid w:val="00136A85"/>
    <w:rsid w:val="00137747"/>
    <w:rsid w:val="00137D45"/>
    <w:rsid w:val="001406FF"/>
    <w:rsid w:val="0014087E"/>
    <w:rsid w:val="00140E06"/>
    <w:rsid w:val="00141837"/>
    <w:rsid w:val="00141868"/>
    <w:rsid w:val="00141B21"/>
    <w:rsid w:val="00142960"/>
    <w:rsid w:val="0014361A"/>
    <w:rsid w:val="00143E6B"/>
    <w:rsid w:val="00144319"/>
    <w:rsid w:val="00145217"/>
    <w:rsid w:val="00145A3E"/>
    <w:rsid w:val="00150644"/>
    <w:rsid w:val="001509E2"/>
    <w:rsid w:val="00151AD9"/>
    <w:rsid w:val="00152251"/>
    <w:rsid w:val="00152404"/>
    <w:rsid w:val="00152AB9"/>
    <w:rsid w:val="00153607"/>
    <w:rsid w:val="00153F85"/>
    <w:rsid w:val="00154155"/>
    <w:rsid w:val="00154513"/>
    <w:rsid w:val="001559AA"/>
    <w:rsid w:val="001559AF"/>
    <w:rsid w:val="0015605B"/>
    <w:rsid w:val="001560B1"/>
    <w:rsid w:val="00156336"/>
    <w:rsid w:val="00156BC9"/>
    <w:rsid w:val="00157661"/>
    <w:rsid w:val="00157E96"/>
    <w:rsid w:val="00160594"/>
    <w:rsid w:val="00161009"/>
    <w:rsid w:val="00161113"/>
    <w:rsid w:val="00161870"/>
    <w:rsid w:val="0016240D"/>
    <w:rsid w:val="001629C0"/>
    <w:rsid w:val="00162A8F"/>
    <w:rsid w:val="001635C8"/>
    <w:rsid w:val="00163BD1"/>
    <w:rsid w:val="00163C5D"/>
    <w:rsid w:val="00165087"/>
    <w:rsid w:val="00166152"/>
    <w:rsid w:val="001670AE"/>
    <w:rsid w:val="001678C2"/>
    <w:rsid w:val="00167A06"/>
    <w:rsid w:val="00167C8C"/>
    <w:rsid w:val="001704FD"/>
    <w:rsid w:val="00170AA7"/>
    <w:rsid w:val="00170FFE"/>
    <w:rsid w:val="001710C7"/>
    <w:rsid w:val="00171BD0"/>
    <w:rsid w:val="00171EDB"/>
    <w:rsid w:val="00172308"/>
    <w:rsid w:val="0017261B"/>
    <w:rsid w:val="00172A8E"/>
    <w:rsid w:val="00176349"/>
    <w:rsid w:val="00177BF2"/>
    <w:rsid w:val="00177CFE"/>
    <w:rsid w:val="00177E77"/>
    <w:rsid w:val="001800EE"/>
    <w:rsid w:val="00180187"/>
    <w:rsid w:val="0018055C"/>
    <w:rsid w:val="001808B2"/>
    <w:rsid w:val="001813EE"/>
    <w:rsid w:val="00182736"/>
    <w:rsid w:val="00182880"/>
    <w:rsid w:val="001829B7"/>
    <w:rsid w:val="00182E51"/>
    <w:rsid w:val="00183992"/>
    <w:rsid w:val="00183F5B"/>
    <w:rsid w:val="0018550B"/>
    <w:rsid w:val="00185C76"/>
    <w:rsid w:val="00186668"/>
    <w:rsid w:val="00187065"/>
    <w:rsid w:val="00187737"/>
    <w:rsid w:val="00187963"/>
    <w:rsid w:val="00187E68"/>
    <w:rsid w:val="00190961"/>
    <w:rsid w:val="00190F4C"/>
    <w:rsid w:val="0019153A"/>
    <w:rsid w:val="001915B7"/>
    <w:rsid w:val="0019172D"/>
    <w:rsid w:val="00191988"/>
    <w:rsid w:val="00191A77"/>
    <w:rsid w:val="001928D0"/>
    <w:rsid w:val="00193A75"/>
    <w:rsid w:val="0019406A"/>
    <w:rsid w:val="001943AE"/>
    <w:rsid w:val="001945D3"/>
    <w:rsid w:val="00194F7E"/>
    <w:rsid w:val="00195018"/>
    <w:rsid w:val="001954D9"/>
    <w:rsid w:val="00196140"/>
    <w:rsid w:val="001A0220"/>
    <w:rsid w:val="001A05CA"/>
    <w:rsid w:val="001A0E25"/>
    <w:rsid w:val="001A0EE5"/>
    <w:rsid w:val="001A164B"/>
    <w:rsid w:val="001A197F"/>
    <w:rsid w:val="001A1ABC"/>
    <w:rsid w:val="001A1E43"/>
    <w:rsid w:val="001A1EC4"/>
    <w:rsid w:val="001A1FB5"/>
    <w:rsid w:val="001A2A5B"/>
    <w:rsid w:val="001A360F"/>
    <w:rsid w:val="001A3CF0"/>
    <w:rsid w:val="001A44B2"/>
    <w:rsid w:val="001A48B0"/>
    <w:rsid w:val="001A4DB5"/>
    <w:rsid w:val="001A5A6A"/>
    <w:rsid w:val="001A5C8C"/>
    <w:rsid w:val="001A5CF1"/>
    <w:rsid w:val="001A5DC8"/>
    <w:rsid w:val="001A5F35"/>
    <w:rsid w:val="001B0E14"/>
    <w:rsid w:val="001B1997"/>
    <w:rsid w:val="001B2E1C"/>
    <w:rsid w:val="001B3467"/>
    <w:rsid w:val="001B49B5"/>
    <w:rsid w:val="001B4D16"/>
    <w:rsid w:val="001B504D"/>
    <w:rsid w:val="001B5185"/>
    <w:rsid w:val="001B523F"/>
    <w:rsid w:val="001B5285"/>
    <w:rsid w:val="001B5295"/>
    <w:rsid w:val="001B5AC4"/>
    <w:rsid w:val="001B5B3F"/>
    <w:rsid w:val="001B63FC"/>
    <w:rsid w:val="001B6885"/>
    <w:rsid w:val="001B6B1F"/>
    <w:rsid w:val="001B6D0C"/>
    <w:rsid w:val="001B70B4"/>
    <w:rsid w:val="001B7C56"/>
    <w:rsid w:val="001C076D"/>
    <w:rsid w:val="001C0E97"/>
    <w:rsid w:val="001C19E3"/>
    <w:rsid w:val="001C246E"/>
    <w:rsid w:val="001C3ECA"/>
    <w:rsid w:val="001C424F"/>
    <w:rsid w:val="001C4632"/>
    <w:rsid w:val="001C4B3E"/>
    <w:rsid w:val="001C5BBD"/>
    <w:rsid w:val="001C5CE2"/>
    <w:rsid w:val="001C6B32"/>
    <w:rsid w:val="001C6CC0"/>
    <w:rsid w:val="001C7335"/>
    <w:rsid w:val="001C7996"/>
    <w:rsid w:val="001D1266"/>
    <w:rsid w:val="001D1311"/>
    <w:rsid w:val="001D1846"/>
    <w:rsid w:val="001D18E3"/>
    <w:rsid w:val="001D2460"/>
    <w:rsid w:val="001D29C3"/>
    <w:rsid w:val="001D29C7"/>
    <w:rsid w:val="001D3136"/>
    <w:rsid w:val="001D38D6"/>
    <w:rsid w:val="001D3C91"/>
    <w:rsid w:val="001D3F81"/>
    <w:rsid w:val="001D59EE"/>
    <w:rsid w:val="001D60F0"/>
    <w:rsid w:val="001D66A6"/>
    <w:rsid w:val="001D679F"/>
    <w:rsid w:val="001D705B"/>
    <w:rsid w:val="001D725F"/>
    <w:rsid w:val="001D79E8"/>
    <w:rsid w:val="001D7A8A"/>
    <w:rsid w:val="001E073C"/>
    <w:rsid w:val="001E078D"/>
    <w:rsid w:val="001E08B0"/>
    <w:rsid w:val="001E09AC"/>
    <w:rsid w:val="001E0BE1"/>
    <w:rsid w:val="001E1D50"/>
    <w:rsid w:val="001E28A3"/>
    <w:rsid w:val="001E2D88"/>
    <w:rsid w:val="001E362F"/>
    <w:rsid w:val="001E3AA6"/>
    <w:rsid w:val="001E4CD3"/>
    <w:rsid w:val="001E5022"/>
    <w:rsid w:val="001E5915"/>
    <w:rsid w:val="001E5E65"/>
    <w:rsid w:val="001E64FB"/>
    <w:rsid w:val="001E6A87"/>
    <w:rsid w:val="001E6DA5"/>
    <w:rsid w:val="001E7D0E"/>
    <w:rsid w:val="001F1634"/>
    <w:rsid w:val="001F2396"/>
    <w:rsid w:val="001F2F71"/>
    <w:rsid w:val="001F307D"/>
    <w:rsid w:val="001F3167"/>
    <w:rsid w:val="001F331C"/>
    <w:rsid w:val="001F3AC2"/>
    <w:rsid w:val="001F4302"/>
    <w:rsid w:val="001F4755"/>
    <w:rsid w:val="001F4B94"/>
    <w:rsid w:val="001F4FB9"/>
    <w:rsid w:val="001F4FEE"/>
    <w:rsid w:val="001F5E58"/>
    <w:rsid w:val="001F6394"/>
    <w:rsid w:val="001F666C"/>
    <w:rsid w:val="00200883"/>
    <w:rsid w:val="00201006"/>
    <w:rsid w:val="002014AC"/>
    <w:rsid w:val="00201501"/>
    <w:rsid w:val="00202425"/>
    <w:rsid w:val="0020331F"/>
    <w:rsid w:val="00203858"/>
    <w:rsid w:val="002038D0"/>
    <w:rsid w:val="00203939"/>
    <w:rsid w:val="00203FDC"/>
    <w:rsid w:val="0020437B"/>
    <w:rsid w:val="00204A24"/>
    <w:rsid w:val="00205782"/>
    <w:rsid w:val="00205C25"/>
    <w:rsid w:val="002071CA"/>
    <w:rsid w:val="002112DD"/>
    <w:rsid w:val="00211D5A"/>
    <w:rsid w:val="0021238D"/>
    <w:rsid w:val="00213257"/>
    <w:rsid w:val="00214247"/>
    <w:rsid w:val="0021481E"/>
    <w:rsid w:val="00214823"/>
    <w:rsid w:val="00214CA8"/>
    <w:rsid w:val="002153DE"/>
    <w:rsid w:val="0021597D"/>
    <w:rsid w:val="00216490"/>
    <w:rsid w:val="002168E2"/>
    <w:rsid w:val="0021692E"/>
    <w:rsid w:val="00216AB7"/>
    <w:rsid w:val="00216D13"/>
    <w:rsid w:val="0022000A"/>
    <w:rsid w:val="00220087"/>
    <w:rsid w:val="00220A87"/>
    <w:rsid w:val="00221045"/>
    <w:rsid w:val="002211D0"/>
    <w:rsid w:val="0022171E"/>
    <w:rsid w:val="0022202E"/>
    <w:rsid w:val="00223258"/>
    <w:rsid w:val="00223D14"/>
    <w:rsid w:val="00223DFD"/>
    <w:rsid w:val="00223FD3"/>
    <w:rsid w:val="00224227"/>
    <w:rsid w:val="00224A87"/>
    <w:rsid w:val="00224E40"/>
    <w:rsid w:val="002250A0"/>
    <w:rsid w:val="0022564F"/>
    <w:rsid w:val="002262A1"/>
    <w:rsid w:val="00227625"/>
    <w:rsid w:val="002276B9"/>
    <w:rsid w:val="00227D16"/>
    <w:rsid w:val="002307DB"/>
    <w:rsid w:val="002308AB"/>
    <w:rsid w:val="002309EC"/>
    <w:rsid w:val="002312C3"/>
    <w:rsid w:val="002332CB"/>
    <w:rsid w:val="00233529"/>
    <w:rsid w:val="00233B55"/>
    <w:rsid w:val="002343A9"/>
    <w:rsid w:val="00234B3F"/>
    <w:rsid w:val="00235256"/>
    <w:rsid w:val="00235614"/>
    <w:rsid w:val="002367D9"/>
    <w:rsid w:val="00236807"/>
    <w:rsid w:val="00236875"/>
    <w:rsid w:val="0023752A"/>
    <w:rsid w:val="00237757"/>
    <w:rsid w:val="002377BA"/>
    <w:rsid w:val="00240909"/>
    <w:rsid w:val="00240FA7"/>
    <w:rsid w:val="00240FDD"/>
    <w:rsid w:val="00242A57"/>
    <w:rsid w:val="00242CEC"/>
    <w:rsid w:val="00243610"/>
    <w:rsid w:val="00243B13"/>
    <w:rsid w:val="00244671"/>
    <w:rsid w:val="00244B22"/>
    <w:rsid w:val="00245F78"/>
    <w:rsid w:val="00246052"/>
    <w:rsid w:val="00246CD6"/>
    <w:rsid w:val="00246CDA"/>
    <w:rsid w:val="0024730F"/>
    <w:rsid w:val="002477BE"/>
    <w:rsid w:val="00247FD8"/>
    <w:rsid w:val="0025188A"/>
    <w:rsid w:val="00251D08"/>
    <w:rsid w:val="00252562"/>
    <w:rsid w:val="00252A32"/>
    <w:rsid w:val="00253847"/>
    <w:rsid w:val="00253A88"/>
    <w:rsid w:val="00253B17"/>
    <w:rsid w:val="00253D5D"/>
    <w:rsid w:val="00253EBE"/>
    <w:rsid w:val="00254172"/>
    <w:rsid w:val="002546E8"/>
    <w:rsid w:val="00254B77"/>
    <w:rsid w:val="00255C58"/>
    <w:rsid w:val="002575DE"/>
    <w:rsid w:val="0025799C"/>
    <w:rsid w:val="002579DD"/>
    <w:rsid w:val="00257CA7"/>
    <w:rsid w:val="00257CBB"/>
    <w:rsid w:val="0026058D"/>
    <w:rsid w:val="002606C2"/>
    <w:rsid w:val="00260BE8"/>
    <w:rsid w:val="002635F2"/>
    <w:rsid w:val="00264B54"/>
    <w:rsid w:val="00265843"/>
    <w:rsid w:val="00265FB8"/>
    <w:rsid w:val="00266FDB"/>
    <w:rsid w:val="002676A5"/>
    <w:rsid w:val="002677EA"/>
    <w:rsid w:val="002703F9"/>
    <w:rsid w:val="002708E7"/>
    <w:rsid w:val="00270C03"/>
    <w:rsid w:val="00270F7B"/>
    <w:rsid w:val="00271904"/>
    <w:rsid w:val="00271A86"/>
    <w:rsid w:val="00271B78"/>
    <w:rsid w:val="0027267D"/>
    <w:rsid w:val="0027336C"/>
    <w:rsid w:val="002742B7"/>
    <w:rsid w:val="00274526"/>
    <w:rsid w:val="00274543"/>
    <w:rsid w:val="002750EB"/>
    <w:rsid w:val="0027511E"/>
    <w:rsid w:val="002752F3"/>
    <w:rsid w:val="0027541F"/>
    <w:rsid w:val="002755DE"/>
    <w:rsid w:val="0027575E"/>
    <w:rsid w:val="00275BEB"/>
    <w:rsid w:val="00275C0F"/>
    <w:rsid w:val="00276517"/>
    <w:rsid w:val="002769D6"/>
    <w:rsid w:val="00280126"/>
    <w:rsid w:val="00280A43"/>
    <w:rsid w:val="00280C6E"/>
    <w:rsid w:val="00282285"/>
    <w:rsid w:val="00282A98"/>
    <w:rsid w:val="002833F7"/>
    <w:rsid w:val="00283AF1"/>
    <w:rsid w:val="00284026"/>
    <w:rsid w:val="002848FE"/>
    <w:rsid w:val="002851E6"/>
    <w:rsid w:val="002856BC"/>
    <w:rsid w:val="00285A65"/>
    <w:rsid w:val="00286465"/>
    <w:rsid w:val="00286B63"/>
    <w:rsid w:val="00286FB2"/>
    <w:rsid w:val="00287055"/>
    <w:rsid w:val="00287EF7"/>
    <w:rsid w:val="002911B9"/>
    <w:rsid w:val="0029205F"/>
    <w:rsid w:val="0029236A"/>
    <w:rsid w:val="00292C17"/>
    <w:rsid w:val="00293F40"/>
    <w:rsid w:val="00294D2C"/>
    <w:rsid w:val="0029564B"/>
    <w:rsid w:val="002956DB"/>
    <w:rsid w:val="0029570A"/>
    <w:rsid w:val="002957B6"/>
    <w:rsid w:val="00295C5B"/>
    <w:rsid w:val="002965B2"/>
    <w:rsid w:val="002973B9"/>
    <w:rsid w:val="002974FB"/>
    <w:rsid w:val="00297D45"/>
    <w:rsid w:val="002A15F8"/>
    <w:rsid w:val="002A1AE3"/>
    <w:rsid w:val="002A1FEC"/>
    <w:rsid w:val="002A2549"/>
    <w:rsid w:val="002A31A7"/>
    <w:rsid w:val="002A3A45"/>
    <w:rsid w:val="002A4225"/>
    <w:rsid w:val="002A44BF"/>
    <w:rsid w:val="002A4AEC"/>
    <w:rsid w:val="002A4E27"/>
    <w:rsid w:val="002A547B"/>
    <w:rsid w:val="002A5969"/>
    <w:rsid w:val="002A59E2"/>
    <w:rsid w:val="002A6348"/>
    <w:rsid w:val="002A63D7"/>
    <w:rsid w:val="002A6DD1"/>
    <w:rsid w:val="002A7368"/>
    <w:rsid w:val="002A7E53"/>
    <w:rsid w:val="002B0575"/>
    <w:rsid w:val="002B068A"/>
    <w:rsid w:val="002B0FAD"/>
    <w:rsid w:val="002B120F"/>
    <w:rsid w:val="002B133E"/>
    <w:rsid w:val="002B139C"/>
    <w:rsid w:val="002B1898"/>
    <w:rsid w:val="002B1C7C"/>
    <w:rsid w:val="002B2347"/>
    <w:rsid w:val="002B2F7F"/>
    <w:rsid w:val="002B30F8"/>
    <w:rsid w:val="002B3CE9"/>
    <w:rsid w:val="002B420E"/>
    <w:rsid w:val="002B4EB0"/>
    <w:rsid w:val="002B587A"/>
    <w:rsid w:val="002B6668"/>
    <w:rsid w:val="002B6C13"/>
    <w:rsid w:val="002B7688"/>
    <w:rsid w:val="002B7CBB"/>
    <w:rsid w:val="002C0308"/>
    <w:rsid w:val="002C0349"/>
    <w:rsid w:val="002C062C"/>
    <w:rsid w:val="002C087E"/>
    <w:rsid w:val="002C0BA8"/>
    <w:rsid w:val="002C0ED6"/>
    <w:rsid w:val="002C1700"/>
    <w:rsid w:val="002C1D1C"/>
    <w:rsid w:val="002C2146"/>
    <w:rsid w:val="002C2230"/>
    <w:rsid w:val="002C2B3A"/>
    <w:rsid w:val="002C3AFC"/>
    <w:rsid w:val="002C3CA3"/>
    <w:rsid w:val="002C4C1C"/>
    <w:rsid w:val="002C5184"/>
    <w:rsid w:val="002C65A7"/>
    <w:rsid w:val="002C6C1A"/>
    <w:rsid w:val="002C6D5B"/>
    <w:rsid w:val="002C7AAA"/>
    <w:rsid w:val="002D0028"/>
    <w:rsid w:val="002D0463"/>
    <w:rsid w:val="002D1951"/>
    <w:rsid w:val="002D2035"/>
    <w:rsid w:val="002D27A7"/>
    <w:rsid w:val="002D2A1F"/>
    <w:rsid w:val="002D471B"/>
    <w:rsid w:val="002D4DB6"/>
    <w:rsid w:val="002D4EA2"/>
    <w:rsid w:val="002D5081"/>
    <w:rsid w:val="002D5FA2"/>
    <w:rsid w:val="002D64DA"/>
    <w:rsid w:val="002D681B"/>
    <w:rsid w:val="002D6D18"/>
    <w:rsid w:val="002D7912"/>
    <w:rsid w:val="002E0BC9"/>
    <w:rsid w:val="002E0E54"/>
    <w:rsid w:val="002E10EC"/>
    <w:rsid w:val="002E1E5A"/>
    <w:rsid w:val="002E20F8"/>
    <w:rsid w:val="002E24A8"/>
    <w:rsid w:val="002E27D9"/>
    <w:rsid w:val="002E2B7F"/>
    <w:rsid w:val="002E39AB"/>
    <w:rsid w:val="002E3E77"/>
    <w:rsid w:val="002E4442"/>
    <w:rsid w:val="002E465C"/>
    <w:rsid w:val="002E66A2"/>
    <w:rsid w:val="002E7179"/>
    <w:rsid w:val="002E7741"/>
    <w:rsid w:val="002E7836"/>
    <w:rsid w:val="002E7881"/>
    <w:rsid w:val="002E7A35"/>
    <w:rsid w:val="002F0345"/>
    <w:rsid w:val="002F0E64"/>
    <w:rsid w:val="002F1640"/>
    <w:rsid w:val="002F2828"/>
    <w:rsid w:val="002F2BFC"/>
    <w:rsid w:val="002F3620"/>
    <w:rsid w:val="002F370F"/>
    <w:rsid w:val="002F3961"/>
    <w:rsid w:val="002F64D9"/>
    <w:rsid w:val="002F6A81"/>
    <w:rsid w:val="002F72F3"/>
    <w:rsid w:val="002F751A"/>
    <w:rsid w:val="002F7DDB"/>
    <w:rsid w:val="002F7F55"/>
    <w:rsid w:val="003001BE"/>
    <w:rsid w:val="00300367"/>
    <w:rsid w:val="00300B68"/>
    <w:rsid w:val="00300CA2"/>
    <w:rsid w:val="00300F86"/>
    <w:rsid w:val="00301009"/>
    <w:rsid w:val="00301272"/>
    <w:rsid w:val="00301C59"/>
    <w:rsid w:val="00302234"/>
    <w:rsid w:val="00302911"/>
    <w:rsid w:val="00302960"/>
    <w:rsid w:val="00302CED"/>
    <w:rsid w:val="00303A2C"/>
    <w:rsid w:val="00303F4F"/>
    <w:rsid w:val="00304BB9"/>
    <w:rsid w:val="00304FE8"/>
    <w:rsid w:val="00305CAA"/>
    <w:rsid w:val="0030720C"/>
    <w:rsid w:val="00307A10"/>
    <w:rsid w:val="00307D45"/>
    <w:rsid w:val="00310DAB"/>
    <w:rsid w:val="00310F2A"/>
    <w:rsid w:val="00311FDE"/>
    <w:rsid w:val="00312275"/>
    <w:rsid w:val="0031235F"/>
    <w:rsid w:val="00312EB2"/>
    <w:rsid w:val="00312F1B"/>
    <w:rsid w:val="0031334B"/>
    <w:rsid w:val="003138C7"/>
    <w:rsid w:val="003141F9"/>
    <w:rsid w:val="00314651"/>
    <w:rsid w:val="00314BB0"/>
    <w:rsid w:val="00314D03"/>
    <w:rsid w:val="00315113"/>
    <w:rsid w:val="003152F5"/>
    <w:rsid w:val="00316421"/>
    <w:rsid w:val="0031790D"/>
    <w:rsid w:val="00317DC5"/>
    <w:rsid w:val="0032053D"/>
    <w:rsid w:val="003206D6"/>
    <w:rsid w:val="00321073"/>
    <w:rsid w:val="00321170"/>
    <w:rsid w:val="00321E76"/>
    <w:rsid w:val="00322245"/>
    <w:rsid w:val="00322E9A"/>
    <w:rsid w:val="00322FC2"/>
    <w:rsid w:val="00323A7F"/>
    <w:rsid w:val="00323D53"/>
    <w:rsid w:val="003246C4"/>
    <w:rsid w:val="00324AF7"/>
    <w:rsid w:val="00324B83"/>
    <w:rsid w:val="003253A3"/>
    <w:rsid w:val="00325680"/>
    <w:rsid w:val="00325BA3"/>
    <w:rsid w:val="0032686A"/>
    <w:rsid w:val="00326A2B"/>
    <w:rsid w:val="00326A90"/>
    <w:rsid w:val="00326B42"/>
    <w:rsid w:val="00327954"/>
    <w:rsid w:val="00327A5C"/>
    <w:rsid w:val="00330142"/>
    <w:rsid w:val="00330663"/>
    <w:rsid w:val="003307EE"/>
    <w:rsid w:val="003308F0"/>
    <w:rsid w:val="00330F46"/>
    <w:rsid w:val="00331862"/>
    <w:rsid w:val="00332875"/>
    <w:rsid w:val="003334A3"/>
    <w:rsid w:val="00335979"/>
    <w:rsid w:val="00336822"/>
    <w:rsid w:val="0033759A"/>
    <w:rsid w:val="00337C5A"/>
    <w:rsid w:val="00340595"/>
    <w:rsid w:val="00340744"/>
    <w:rsid w:val="00341B23"/>
    <w:rsid w:val="003421D6"/>
    <w:rsid w:val="00342690"/>
    <w:rsid w:val="00342CCB"/>
    <w:rsid w:val="00343B51"/>
    <w:rsid w:val="00343D4D"/>
    <w:rsid w:val="003440B2"/>
    <w:rsid w:val="003440E6"/>
    <w:rsid w:val="00345D7F"/>
    <w:rsid w:val="0034612A"/>
    <w:rsid w:val="00346725"/>
    <w:rsid w:val="0034684E"/>
    <w:rsid w:val="00346937"/>
    <w:rsid w:val="00350921"/>
    <w:rsid w:val="00350B8A"/>
    <w:rsid w:val="003515CF"/>
    <w:rsid w:val="00351886"/>
    <w:rsid w:val="00351A6A"/>
    <w:rsid w:val="00351E58"/>
    <w:rsid w:val="00352733"/>
    <w:rsid w:val="003531F8"/>
    <w:rsid w:val="00353448"/>
    <w:rsid w:val="00353CD6"/>
    <w:rsid w:val="00353D74"/>
    <w:rsid w:val="00353F9E"/>
    <w:rsid w:val="00354A2D"/>
    <w:rsid w:val="003564EE"/>
    <w:rsid w:val="00356915"/>
    <w:rsid w:val="00357ABF"/>
    <w:rsid w:val="00357B42"/>
    <w:rsid w:val="0036189E"/>
    <w:rsid w:val="00361BC3"/>
    <w:rsid w:val="003625E3"/>
    <w:rsid w:val="00362C7D"/>
    <w:rsid w:val="00363015"/>
    <w:rsid w:val="003631FF"/>
    <w:rsid w:val="00363562"/>
    <w:rsid w:val="00363E83"/>
    <w:rsid w:val="0036415B"/>
    <w:rsid w:val="00364672"/>
    <w:rsid w:val="00364BAF"/>
    <w:rsid w:val="00365241"/>
    <w:rsid w:val="00366798"/>
    <w:rsid w:val="00366DE3"/>
    <w:rsid w:val="00367C83"/>
    <w:rsid w:val="00370144"/>
    <w:rsid w:val="00370291"/>
    <w:rsid w:val="00371574"/>
    <w:rsid w:val="0037182F"/>
    <w:rsid w:val="00372BD6"/>
    <w:rsid w:val="00373F4C"/>
    <w:rsid w:val="0037489F"/>
    <w:rsid w:val="003768EC"/>
    <w:rsid w:val="0037695A"/>
    <w:rsid w:val="00376C08"/>
    <w:rsid w:val="00376C59"/>
    <w:rsid w:val="003776A9"/>
    <w:rsid w:val="003808D3"/>
    <w:rsid w:val="00380BCB"/>
    <w:rsid w:val="00381206"/>
    <w:rsid w:val="00381468"/>
    <w:rsid w:val="00381B34"/>
    <w:rsid w:val="00381F57"/>
    <w:rsid w:val="00382BD3"/>
    <w:rsid w:val="003835A9"/>
    <w:rsid w:val="00383DE8"/>
    <w:rsid w:val="003847C5"/>
    <w:rsid w:val="00384AF0"/>
    <w:rsid w:val="00385BDE"/>
    <w:rsid w:val="00386430"/>
    <w:rsid w:val="0038668F"/>
    <w:rsid w:val="00386C14"/>
    <w:rsid w:val="003875E4"/>
    <w:rsid w:val="00387A35"/>
    <w:rsid w:val="00387D57"/>
    <w:rsid w:val="003900A1"/>
    <w:rsid w:val="003908B1"/>
    <w:rsid w:val="00390B27"/>
    <w:rsid w:val="00391216"/>
    <w:rsid w:val="00391BED"/>
    <w:rsid w:val="003922D4"/>
    <w:rsid w:val="0039232A"/>
    <w:rsid w:val="00392C91"/>
    <w:rsid w:val="003936F0"/>
    <w:rsid w:val="0039375B"/>
    <w:rsid w:val="00393E55"/>
    <w:rsid w:val="00395217"/>
    <w:rsid w:val="003959BF"/>
    <w:rsid w:val="00396535"/>
    <w:rsid w:val="003979CE"/>
    <w:rsid w:val="003A0523"/>
    <w:rsid w:val="003A05C5"/>
    <w:rsid w:val="003A0AD3"/>
    <w:rsid w:val="003A0C43"/>
    <w:rsid w:val="003A0CA9"/>
    <w:rsid w:val="003A1207"/>
    <w:rsid w:val="003A15D6"/>
    <w:rsid w:val="003A170E"/>
    <w:rsid w:val="003A1E49"/>
    <w:rsid w:val="003A28C5"/>
    <w:rsid w:val="003A3698"/>
    <w:rsid w:val="003A36EE"/>
    <w:rsid w:val="003A379A"/>
    <w:rsid w:val="003A4296"/>
    <w:rsid w:val="003A52B2"/>
    <w:rsid w:val="003A5344"/>
    <w:rsid w:val="003A5F7C"/>
    <w:rsid w:val="003A6822"/>
    <w:rsid w:val="003A7C54"/>
    <w:rsid w:val="003A7C8D"/>
    <w:rsid w:val="003B0484"/>
    <w:rsid w:val="003B12C7"/>
    <w:rsid w:val="003B13DC"/>
    <w:rsid w:val="003B1934"/>
    <w:rsid w:val="003B2816"/>
    <w:rsid w:val="003B3127"/>
    <w:rsid w:val="003B3360"/>
    <w:rsid w:val="003B4E9F"/>
    <w:rsid w:val="003B53D9"/>
    <w:rsid w:val="003B5EDC"/>
    <w:rsid w:val="003B6730"/>
    <w:rsid w:val="003B6A93"/>
    <w:rsid w:val="003B7058"/>
    <w:rsid w:val="003C0152"/>
    <w:rsid w:val="003C0EB1"/>
    <w:rsid w:val="003C0F82"/>
    <w:rsid w:val="003C11A0"/>
    <w:rsid w:val="003C1EDB"/>
    <w:rsid w:val="003C259C"/>
    <w:rsid w:val="003C2A78"/>
    <w:rsid w:val="003C2C2E"/>
    <w:rsid w:val="003C377F"/>
    <w:rsid w:val="003C5957"/>
    <w:rsid w:val="003C5A4C"/>
    <w:rsid w:val="003C5D9C"/>
    <w:rsid w:val="003C6107"/>
    <w:rsid w:val="003C6943"/>
    <w:rsid w:val="003C704D"/>
    <w:rsid w:val="003C70B9"/>
    <w:rsid w:val="003C71A9"/>
    <w:rsid w:val="003C7354"/>
    <w:rsid w:val="003C7382"/>
    <w:rsid w:val="003C77D9"/>
    <w:rsid w:val="003C7D30"/>
    <w:rsid w:val="003C7DF0"/>
    <w:rsid w:val="003D009C"/>
    <w:rsid w:val="003D0C4B"/>
    <w:rsid w:val="003D0DEC"/>
    <w:rsid w:val="003D0E08"/>
    <w:rsid w:val="003D168A"/>
    <w:rsid w:val="003D2138"/>
    <w:rsid w:val="003D21BA"/>
    <w:rsid w:val="003D2839"/>
    <w:rsid w:val="003D2955"/>
    <w:rsid w:val="003D2F81"/>
    <w:rsid w:val="003D36BB"/>
    <w:rsid w:val="003D36C8"/>
    <w:rsid w:val="003D3D01"/>
    <w:rsid w:val="003D3F1E"/>
    <w:rsid w:val="003D41FD"/>
    <w:rsid w:val="003D4523"/>
    <w:rsid w:val="003D45B6"/>
    <w:rsid w:val="003D46F1"/>
    <w:rsid w:val="003D48F0"/>
    <w:rsid w:val="003D4913"/>
    <w:rsid w:val="003D4A65"/>
    <w:rsid w:val="003D4BE7"/>
    <w:rsid w:val="003D57AC"/>
    <w:rsid w:val="003D58D8"/>
    <w:rsid w:val="003D68D0"/>
    <w:rsid w:val="003D73D8"/>
    <w:rsid w:val="003D7A89"/>
    <w:rsid w:val="003E0524"/>
    <w:rsid w:val="003E0E7B"/>
    <w:rsid w:val="003E2189"/>
    <w:rsid w:val="003E2293"/>
    <w:rsid w:val="003E264B"/>
    <w:rsid w:val="003E34DB"/>
    <w:rsid w:val="003E3609"/>
    <w:rsid w:val="003E3A15"/>
    <w:rsid w:val="003E472A"/>
    <w:rsid w:val="003E4915"/>
    <w:rsid w:val="003E5303"/>
    <w:rsid w:val="003E5764"/>
    <w:rsid w:val="003E58BA"/>
    <w:rsid w:val="003E5D8B"/>
    <w:rsid w:val="003E5F58"/>
    <w:rsid w:val="003E6104"/>
    <w:rsid w:val="003E6B79"/>
    <w:rsid w:val="003E7325"/>
    <w:rsid w:val="003E7A2B"/>
    <w:rsid w:val="003E7E1C"/>
    <w:rsid w:val="003F0363"/>
    <w:rsid w:val="003F0EAB"/>
    <w:rsid w:val="003F1058"/>
    <w:rsid w:val="003F1ADC"/>
    <w:rsid w:val="003F2126"/>
    <w:rsid w:val="003F2260"/>
    <w:rsid w:val="003F2287"/>
    <w:rsid w:val="003F29FF"/>
    <w:rsid w:val="003F330D"/>
    <w:rsid w:val="003F52E5"/>
    <w:rsid w:val="003F5AA1"/>
    <w:rsid w:val="003F5F67"/>
    <w:rsid w:val="003F782E"/>
    <w:rsid w:val="004000A3"/>
    <w:rsid w:val="0040051B"/>
    <w:rsid w:val="00400E97"/>
    <w:rsid w:val="0040219A"/>
    <w:rsid w:val="004022A4"/>
    <w:rsid w:val="00402409"/>
    <w:rsid w:val="004024D7"/>
    <w:rsid w:val="00402B4F"/>
    <w:rsid w:val="00403382"/>
    <w:rsid w:val="00404B81"/>
    <w:rsid w:val="0040520E"/>
    <w:rsid w:val="0040539C"/>
    <w:rsid w:val="00405C67"/>
    <w:rsid w:val="00405EC3"/>
    <w:rsid w:val="00406458"/>
    <w:rsid w:val="004079AF"/>
    <w:rsid w:val="00410449"/>
    <w:rsid w:val="00410DF2"/>
    <w:rsid w:val="004111D1"/>
    <w:rsid w:val="0041130C"/>
    <w:rsid w:val="00411A6C"/>
    <w:rsid w:val="00411C52"/>
    <w:rsid w:val="0041281B"/>
    <w:rsid w:val="00412991"/>
    <w:rsid w:val="004135BF"/>
    <w:rsid w:val="0041387C"/>
    <w:rsid w:val="00413F57"/>
    <w:rsid w:val="0041490D"/>
    <w:rsid w:val="00414E28"/>
    <w:rsid w:val="004152E7"/>
    <w:rsid w:val="00415359"/>
    <w:rsid w:val="00415C74"/>
    <w:rsid w:val="00415D9E"/>
    <w:rsid w:val="00415FA6"/>
    <w:rsid w:val="00416221"/>
    <w:rsid w:val="004163F3"/>
    <w:rsid w:val="00416E8F"/>
    <w:rsid w:val="004176AE"/>
    <w:rsid w:val="00417A87"/>
    <w:rsid w:val="00420362"/>
    <w:rsid w:val="004205D9"/>
    <w:rsid w:val="00420B9D"/>
    <w:rsid w:val="00422093"/>
    <w:rsid w:val="00422EC9"/>
    <w:rsid w:val="00423C31"/>
    <w:rsid w:val="00423D24"/>
    <w:rsid w:val="00424128"/>
    <w:rsid w:val="00424FAC"/>
    <w:rsid w:val="00425270"/>
    <w:rsid w:val="004257C5"/>
    <w:rsid w:val="00427A32"/>
    <w:rsid w:val="004308AE"/>
    <w:rsid w:val="004309EA"/>
    <w:rsid w:val="00431754"/>
    <w:rsid w:val="004318D2"/>
    <w:rsid w:val="00431A2E"/>
    <w:rsid w:val="00432D67"/>
    <w:rsid w:val="00432E18"/>
    <w:rsid w:val="004330C2"/>
    <w:rsid w:val="00433215"/>
    <w:rsid w:val="00434517"/>
    <w:rsid w:val="00435058"/>
    <w:rsid w:val="004368C5"/>
    <w:rsid w:val="004368D2"/>
    <w:rsid w:val="00436AEC"/>
    <w:rsid w:val="00437BF6"/>
    <w:rsid w:val="0044052E"/>
    <w:rsid w:val="004405B3"/>
    <w:rsid w:val="00440E89"/>
    <w:rsid w:val="00440ED4"/>
    <w:rsid w:val="00441778"/>
    <w:rsid w:val="004417C3"/>
    <w:rsid w:val="00441F7C"/>
    <w:rsid w:val="00442E37"/>
    <w:rsid w:val="00443B75"/>
    <w:rsid w:val="0044486E"/>
    <w:rsid w:val="0044515B"/>
    <w:rsid w:val="0044617D"/>
    <w:rsid w:val="00446212"/>
    <w:rsid w:val="00446B02"/>
    <w:rsid w:val="004500B5"/>
    <w:rsid w:val="00450233"/>
    <w:rsid w:val="00451652"/>
    <w:rsid w:val="00451F6A"/>
    <w:rsid w:val="00451F83"/>
    <w:rsid w:val="004523AC"/>
    <w:rsid w:val="00453289"/>
    <w:rsid w:val="00453D9E"/>
    <w:rsid w:val="00454477"/>
    <w:rsid w:val="00454511"/>
    <w:rsid w:val="00455191"/>
    <w:rsid w:val="00455B46"/>
    <w:rsid w:val="00455D1A"/>
    <w:rsid w:val="0045615F"/>
    <w:rsid w:val="00456C93"/>
    <w:rsid w:val="00457A00"/>
    <w:rsid w:val="00457EBC"/>
    <w:rsid w:val="00460177"/>
    <w:rsid w:val="004602AE"/>
    <w:rsid w:val="0046129B"/>
    <w:rsid w:val="00461525"/>
    <w:rsid w:val="00461CF0"/>
    <w:rsid w:val="00461D99"/>
    <w:rsid w:val="00462206"/>
    <w:rsid w:val="0046245B"/>
    <w:rsid w:val="004626A8"/>
    <w:rsid w:val="00463A05"/>
    <w:rsid w:val="00464BA0"/>
    <w:rsid w:val="004653D8"/>
    <w:rsid w:val="00467A20"/>
    <w:rsid w:val="00467F34"/>
    <w:rsid w:val="00471B82"/>
    <w:rsid w:val="00472F1A"/>
    <w:rsid w:val="004734A6"/>
    <w:rsid w:val="00473542"/>
    <w:rsid w:val="00473734"/>
    <w:rsid w:val="004741E8"/>
    <w:rsid w:val="004751FD"/>
    <w:rsid w:val="004754DD"/>
    <w:rsid w:val="00475E2B"/>
    <w:rsid w:val="0047618B"/>
    <w:rsid w:val="00476239"/>
    <w:rsid w:val="004768D4"/>
    <w:rsid w:val="00481034"/>
    <w:rsid w:val="00481593"/>
    <w:rsid w:val="00481677"/>
    <w:rsid w:val="004821F2"/>
    <w:rsid w:val="00483377"/>
    <w:rsid w:val="00483748"/>
    <w:rsid w:val="00483CE8"/>
    <w:rsid w:val="0048452C"/>
    <w:rsid w:val="00484977"/>
    <w:rsid w:val="004849A8"/>
    <w:rsid w:val="00484E84"/>
    <w:rsid w:val="004851B5"/>
    <w:rsid w:val="0048630C"/>
    <w:rsid w:val="004863C8"/>
    <w:rsid w:val="0048761F"/>
    <w:rsid w:val="004876EA"/>
    <w:rsid w:val="00487C1C"/>
    <w:rsid w:val="00491EDF"/>
    <w:rsid w:val="00492854"/>
    <w:rsid w:val="0049345C"/>
    <w:rsid w:val="0049375D"/>
    <w:rsid w:val="00493AB0"/>
    <w:rsid w:val="00493C61"/>
    <w:rsid w:val="00493CF2"/>
    <w:rsid w:val="00494E97"/>
    <w:rsid w:val="00495671"/>
    <w:rsid w:val="00495B95"/>
    <w:rsid w:val="004962A0"/>
    <w:rsid w:val="0049741C"/>
    <w:rsid w:val="00497608"/>
    <w:rsid w:val="004979BB"/>
    <w:rsid w:val="004A0041"/>
    <w:rsid w:val="004A01F8"/>
    <w:rsid w:val="004A12F1"/>
    <w:rsid w:val="004A1546"/>
    <w:rsid w:val="004A156A"/>
    <w:rsid w:val="004A170A"/>
    <w:rsid w:val="004A1897"/>
    <w:rsid w:val="004A1B35"/>
    <w:rsid w:val="004A1B8D"/>
    <w:rsid w:val="004A1D70"/>
    <w:rsid w:val="004A24D5"/>
    <w:rsid w:val="004A2577"/>
    <w:rsid w:val="004A2E73"/>
    <w:rsid w:val="004A3381"/>
    <w:rsid w:val="004A3A40"/>
    <w:rsid w:val="004A4A7E"/>
    <w:rsid w:val="004A5588"/>
    <w:rsid w:val="004A5787"/>
    <w:rsid w:val="004A5C39"/>
    <w:rsid w:val="004A668A"/>
    <w:rsid w:val="004A7158"/>
    <w:rsid w:val="004B03A3"/>
    <w:rsid w:val="004B15B5"/>
    <w:rsid w:val="004B26CC"/>
    <w:rsid w:val="004B29B9"/>
    <w:rsid w:val="004B2EA2"/>
    <w:rsid w:val="004B3039"/>
    <w:rsid w:val="004B374A"/>
    <w:rsid w:val="004B3794"/>
    <w:rsid w:val="004B3C85"/>
    <w:rsid w:val="004B49AE"/>
    <w:rsid w:val="004B54B0"/>
    <w:rsid w:val="004B5521"/>
    <w:rsid w:val="004B56A5"/>
    <w:rsid w:val="004B5D42"/>
    <w:rsid w:val="004B62B3"/>
    <w:rsid w:val="004B77AD"/>
    <w:rsid w:val="004B7B87"/>
    <w:rsid w:val="004B7CF7"/>
    <w:rsid w:val="004B7DE0"/>
    <w:rsid w:val="004C013A"/>
    <w:rsid w:val="004C0445"/>
    <w:rsid w:val="004C21F3"/>
    <w:rsid w:val="004C2625"/>
    <w:rsid w:val="004C26B6"/>
    <w:rsid w:val="004C2717"/>
    <w:rsid w:val="004C295B"/>
    <w:rsid w:val="004C2AA6"/>
    <w:rsid w:val="004C35AA"/>
    <w:rsid w:val="004C3E71"/>
    <w:rsid w:val="004C4789"/>
    <w:rsid w:val="004C4B50"/>
    <w:rsid w:val="004C4D08"/>
    <w:rsid w:val="004C5505"/>
    <w:rsid w:val="004C5775"/>
    <w:rsid w:val="004C67C0"/>
    <w:rsid w:val="004C6BD0"/>
    <w:rsid w:val="004C7177"/>
    <w:rsid w:val="004C7DC7"/>
    <w:rsid w:val="004C7E82"/>
    <w:rsid w:val="004D0062"/>
    <w:rsid w:val="004D1062"/>
    <w:rsid w:val="004D1870"/>
    <w:rsid w:val="004D3529"/>
    <w:rsid w:val="004D37AA"/>
    <w:rsid w:val="004D53E2"/>
    <w:rsid w:val="004D5617"/>
    <w:rsid w:val="004D5D7E"/>
    <w:rsid w:val="004D6548"/>
    <w:rsid w:val="004D66B3"/>
    <w:rsid w:val="004D7760"/>
    <w:rsid w:val="004D79DE"/>
    <w:rsid w:val="004E03ED"/>
    <w:rsid w:val="004E047E"/>
    <w:rsid w:val="004E07E0"/>
    <w:rsid w:val="004E08AD"/>
    <w:rsid w:val="004E13DA"/>
    <w:rsid w:val="004E174C"/>
    <w:rsid w:val="004E269A"/>
    <w:rsid w:val="004E26BE"/>
    <w:rsid w:val="004E3FC8"/>
    <w:rsid w:val="004E42B0"/>
    <w:rsid w:val="004E42C4"/>
    <w:rsid w:val="004E4ACE"/>
    <w:rsid w:val="004E58C0"/>
    <w:rsid w:val="004E5B79"/>
    <w:rsid w:val="004E6FAC"/>
    <w:rsid w:val="004E7963"/>
    <w:rsid w:val="004E7F15"/>
    <w:rsid w:val="004F0024"/>
    <w:rsid w:val="004F0FF4"/>
    <w:rsid w:val="004F1437"/>
    <w:rsid w:val="004F1C69"/>
    <w:rsid w:val="004F1FDA"/>
    <w:rsid w:val="004F2A38"/>
    <w:rsid w:val="004F2E3C"/>
    <w:rsid w:val="004F3506"/>
    <w:rsid w:val="004F3E5B"/>
    <w:rsid w:val="004F46B6"/>
    <w:rsid w:val="004F4A98"/>
    <w:rsid w:val="004F4DBF"/>
    <w:rsid w:val="004F5CF4"/>
    <w:rsid w:val="004F5D3B"/>
    <w:rsid w:val="004F5EFB"/>
    <w:rsid w:val="004F6540"/>
    <w:rsid w:val="004F664F"/>
    <w:rsid w:val="004F68AD"/>
    <w:rsid w:val="004F6D8B"/>
    <w:rsid w:val="004F6E8A"/>
    <w:rsid w:val="004F70C3"/>
    <w:rsid w:val="004F763C"/>
    <w:rsid w:val="004F78FB"/>
    <w:rsid w:val="005001A9"/>
    <w:rsid w:val="0050064F"/>
    <w:rsid w:val="00500D6D"/>
    <w:rsid w:val="00501FD7"/>
    <w:rsid w:val="005025CA"/>
    <w:rsid w:val="00502D18"/>
    <w:rsid w:val="005043DC"/>
    <w:rsid w:val="005044F6"/>
    <w:rsid w:val="005046EB"/>
    <w:rsid w:val="00504DF7"/>
    <w:rsid w:val="005059B4"/>
    <w:rsid w:val="005065B0"/>
    <w:rsid w:val="00506CA4"/>
    <w:rsid w:val="005070E5"/>
    <w:rsid w:val="00507410"/>
    <w:rsid w:val="00507420"/>
    <w:rsid w:val="00507E9C"/>
    <w:rsid w:val="00510531"/>
    <w:rsid w:val="00510A7A"/>
    <w:rsid w:val="00510EDB"/>
    <w:rsid w:val="0051135C"/>
    <w:rsid w:val="00511874"/>
    <w:rsid w:val="00511AFA"/>
    <w:rsid w:val="00512137"/>
    <w:rsid w:val="0051295E"/>
    <w:rsid w:val="00512D9B"/>
    <w:rsid w:val="0051354F"/>
    <w:rsid w:val="00513664"/>
    <w:rsid w:val="00513D76"/>
    <w:rsid w:val="00514889"/>
    <w:rsid w:val="00514906"/>
    <w:rsid w:val="00514C73"/>
    <w:rsid w:val="00515958"/>
    <w:rsid w:val="00515B45"/>
    <w:rsid w:val="00516502"/>
    <w:rsid w:val="00516749"/>
    <w:rsid w:val="005176A8"/>
    <w:rsid w:val="00517B7C"/>
    <w:rsid w:val="00517E29"/>
    <w:rsid w:val="00520AF4"/>
    <w:rsid w:val="0052150C"/>
    <w:rsid w:val="005219F7"/>
    <w:rsid w:val="00522239"/>
    <w:rsid w:val="00522C00"/>
    <w:rsid w:val="005231E2"/>
    <w:rsid w:val="00523913"/>
    <w:rsid w:val="005242BC"/>
    <w:rsid w:val="00525484"/>
    <w:rsid w:val="00525F36"/>
    <w:rsid w:val="00527AF1"/>
    <w:rsid w:val="00527BB4"/>
    <w:rsid w:val="00530908"/>
    <w:rsid w:val="00530ADD"/>
    <w:rsid w:val="00530B8B"/>
    <w:rsid w:val="00531059"/>
    <w:rsid w:val="005312B4"/>
    <w:rsid w:val="00531878"/>
    <w:rsid w:val="005318FF"/>
    <w:rsid w:val="00531A29"/>
    <w:rsid w:val="00531AFA"/>
    <w:rsid w:val="00531F8A"/>
    <w:rsid w:val="005325BA"/>
    <w:rsid w:val="005327DF"/>
    <w:rsid w:val="00532A86"/>
    <w:rsid w:val="00532B12"/>
    <w:rsid w:val="00532E4D"/>
    <w:rsid w:val="00532F72"/>
    <w:rsid w:val="00533585"/>
    <w:rsid w:val="00533C11"/>
    <w:rsid w:val="00533E3B"/>
    <w:rsid w:val="00534D0C"/>
    <w:rsid w:val="00536B91"/>
    <w:rsid w:val="005375BF"/>
    <w:rsid w:val="0054070E"/>
    <w:rsid w:val="00540B86"/>
    <w:rsid w:val="00541CB9"/>
    <w:rsid w:val="00541FBC"/>
    <w:rsid w:val="00542806"/>
    <w:rsid w:val="00542E8B"/>
    <w:rsid w:val="005431FD"/>
    <w:rsid w:val="005437C2"/>
    <w:rsid w:val="005438DC"/>
    <w:rsid w:val="00543F79"/>
    <w:rsid w:val="00545299"/>
    <w:rsid w:val="005456A1"/>
    <w:rsid w:val="005456A8"/>
    <w:rsid w:val="005465F2"/>
    <w:rsid w:val="00546712"/>
    <w:rsid w:val="00546727"/>
    <w:rsid w:val="00546EF4"/>
    <w:rsid w:val="00546EFF"/>
    <w:rsid w:val="005474E3"/>
    <w:rsid w:val="00547C3A"/>
    <w:rsid w:val="00547C44"/>
    <w:rsid w:val="00550006"/>
    <w:rsid w:val="0055044A"/>
    <w:rsid w:val="00550587"/>
    <w:rsid w:val="005505A0"/>
    <w:rsid w:val="005510C7"/>
    <w:rsid w:val="00552A8E"/>
    <w:rsid w:val="00552ACE"/>
    <w:rsid w:val="00552B1F"/>
    <w:rsid w:val="00552E27"/>
    <w:rsid w:val="00552F0E"/>
    <w:rsid w:val="00552FBD"/>
    <w:rsid w:val="005533EA"/>
    <w:rsid w:val="00553BA6"/>
    <w:rsid w:val="005542B3"/>
    <w:rsid w:val="00554FFA"/>
    <w:rsid w:val="005558B3"/>
    <w:rsid w:val="00555BE1"/>
    <w:rsid w:val="00555BE5"/>
    <w:rsid w:val="00556DA0"/>
    <w:rsid w:val="0055722F"/>
    <w:rsid w:val="005574EC"/>
    <w:rsid w:val="00557DDF"/>
    <w:rsid w:val="00557E9F"/>
    <w:rsid w:val="00561236"/>
    <w:rsid w:val="0056192E"/>
    <w:rsid w:val="00561A78"/>
    <w:rsid w:val="00561FA2"/>
    <w:rsid w:val="00561FA5"/>
    <w:rsid w:val="00562221"/>
    <w:rsid w:val="005622B1"/>
    <w:rsid w:val="00563024"/>
    <w:rsid w:val="00563B6D"/>
    <w:rsid w:val="00564507"/>
    <w:rsid w:val="005647A8"/>
    <w:rsid w:val="005650D4"/>
    <w:rsid w:val="00565B14"/>
    <w:rsid w:val="00566B5A"/>
    <w:rsid w:val="00566DB9"/>
    <w:rsid w:val="0056754F"/>
    <w:rsid w:val="00567630"/>
    <w:rsid w:val="00567C30"/>
    <w:rsid w:val="00567F83"/>
    <w:rsid w:val="00570797"/>
    <w:rsid w:val="00570F88"/>
    <w:rsid w:val="00571122"/>
    <w:rsid w:val="00571D18"/>
    <w:rsid w:val="00571D2C"/>
    <w:rsid w:val="0057202C"/>
    <w:rsid w:val="0057293F"/>
    <w:rsid w:val="00574534"/>
    <w:rsid w:val="00574B3B"/>
    <w:rsid w:val="00575256"/>
    <w:rsid w:val="00575506"/>
    <w:rsid w:val="005779BF"/>
    <w:rsid w:val="00577B05"/>
    <w:rsid w:val="0058069B"/>
    <w:rsid w:val="00580875"/>
    <w:rsid w:val="0058275E"/>
    <w:rsid w:val="0058309C"/>
    <w:rsid w:val="005838FB"/>
    <w:rsid w:val="00583AFD"/>
    <w:rsid w:val="0058416C"/>
    <w:rsid w:val="00585AFF"/>
    <w:rsid w:val="00585F6F"/>
    <w:rsid w:val="00586B8E"/>
    <w:rsid w:val="00586C7E"/>
    <w:rsid w:val="00587288"/>
    <w:rsid w:val="00590678"/>
    <w:rsid w:val="00591786"/>
    <w:rsid w:val="005922DC"/>
    <w:rsid w:val="0059235C"/>
    <w:rsid w:val="00592CDD"/>
    <w:rsid w:val="00593831"/>
    <w:rsid w:val="00593B26"/>
    <w:rsid w:val="00594432"/>
    <w:rsid w:val="0059461C"/>
    <w:rsid w:val="00594830"/>
    <w:rsid w:val="00595185"/>
    <w:rsid w:val="00595457"/>
    <w:rsid w:val="005960CC"/>
    <w:rsid w:val="00597140"/>
    <w:rsid w:val="005974E1"/>
    <w:rsid w:val="005A0F11"/>
    <w:rsid w:val="005A11A6"/>
    <w:rsid w:val="005A183C"/>
    <w:rsid w:val="005A1D25"/>
    <w:rsid w:val="005A21EE"/>
    <w:rsid w:val="005A24DB"/>
    <w:rsid w:val="005A251D"/>
    <w:rsid w:val="005A2696"/>
    <w:rsid w:val="005A2F5A"/>
    <w:rsid w:val="005A3F3F"/>
    <w:rsid w:val="005A474D"/>
    <w:rsid w:val="005A491D"/>
    <w:rsid w:val="005A49D7"/>
    <w:rsid w:val="005A51E9"/>
    <w:rsid w:val="005A5ED8"/>
    <w:rsid w:val="005A67C6"/>
    <w:rsid w:val="005A69F0"/>
    <w:rsid w:val="005A72FE"/>
    <w:rsid w:val="005A7DC1"/>
    <w:rsid w:val="005A7E4A"/>
    <w:rsid w:val="005B0204"/>
    <w:rsid w:val="005B06BB"/>
    <w:rsid w:val="005B07FF"/>
    <w:rsid w:val="005B08EE"/>
    <w:rsid w:val="005B2209"/>
    <w:rsid w:val="005B2AED"/>
    <w:rsid w:val="005B2BDF"/>
    <w:rsid w:val="005B3346"/>
    <w:rsid w:val="005B34CE"/>
    <w:rsid w:val="005B3D07"/>
    <w:rsid w:val="005B42ED"/>
    <w:rsid w:val="005B4A63"/>
    <w:rsid w:val="005B4D6D"/>
    <w:rsid w:val="005B5357"/>
    <w:rsid w:val="005B5506"/>
    <w:rsid w:val="005B59D2"/>
    <w:rsid w:val="005C046D"/>
    <w:rsid w:val="005C0832"/>
    <w:rsid w:val="005C1451"/>
    <w:rsid w:val="005C1D03"/>
    <w:rsid w:val="005C2077"/>
    <w:rsid w:val="005C2F92"/>
    <w:rsid w:val="005C400C"/>
    <w:rsid w:val="005C4832"/>
    <w:rsid w:val="005C4C58"/>
    <w:rsid w:val="005C4CA1"/>
    <w:rsid w:val="005C5436"/>
    <w:rsid w:val="005C568D"/>
    <w:rsid w:val="005C5A80"/>
    <w:rsid w:val="005C5F92"/>
    <w:rsid w:val="005C692D"/>
    <w:rsid w:val="005C6A75"/>
    <w:rsid w:val="005C6F70"/>
    <w:rsid w:val="005C7116"/>
    <w:rsid w:val="005C7496"/>
    <w:rsid w:val="005D0308"/>
    <w:rsid w:val="005D09DC"/>
    <w:rsid w:val="005D0CC4"/>
    <w:rsid w:val="005D2243"/>
    <w:rsid w:val="005D2B46"/>
    <w:rsid w:val="005D2CF7"/>
    <w:rsid w:val="005D3780"/>
    <w:rsid w:val="005D3885"/>
    <w:rsid w:val="005D3D19"/>
    <w:rsid w:val="005D4066"/>
    <w:rsid w:val="005D4493"/>
    <w:rsid w:val="005D4F70"/>
    <w:rsid w:val="005D5108"/>
    <w:rsid w:val="005D63AA"/>
    <w:rsid w:val="005D6863"/>
    <w:rsid w:val="005D6D6C"/>
    <w:rsid w:val="005D6D76"/>
    <w:rsid w:val="005D72C0"/>
    <w:rsid w:val="005D7713"/>
    <w:rsid w:val="005D7A44"/>
    <w:rsid w:val="005D7A6D"/>
    <w:rsid w:val="005E0F61"/>
    <w:rsid w:val="005E1786"/>
    <w:rsid w:val="005E38C7"/>
    <w:rsid w:val="005E3A8C"/>
    <w:rsid w:val="005E426C"/>
    <w:rsid w:val="005E4688"/>
    <w:rsid w:val="005E48BF"/>
    <w:rsid w:val="005E4A8B"/>
    <w:rsid w:val="005E4B5A"/>
    <w:rsid w:val="005E4E60"/>
    <w:rsid w:val="005E53FF"/>
    <w:rsid w:val="005E61AA"/>
    <w:rsid w:val="005E6702"/>
    <w:rsid w:val="005E71C8"/>
    <w:rsid w:val="005E788D"/>
    <w:rsid w:val="005F00CE"/>
    <w:rsid w:val="005F0A4A"/>
    <w:rsid w:val="005F0D44"/>
    <w:rsid w:val="005F2279"/>
    <w:rsid w:val="005F23B7"/>
    <w:rsid w:val="005F2D24"/>
    <w:rsid w:val="005F31C6"/>
    <w:rsid w:val="005F3305"/>
    <w:rsid w:val="005F3CEC"/>
    <w:rsid w:val="005F46E9"/>
    <w:rsid w:val="005F47DD"/>
    <w:rsid w:val="005F4EE6"/>
    <w:rsid w:val="005F5F37"/>
    <w:rsid w:val="005F6041"/>
    <w:rsid w:val="005F68C5"/>
    <w:rsid w:val="005F7B58"/>
    <w:rsid w:val="005F7CA4"/>
    <w:rsid w:val="00601CA4"/>
    <w:rsid w:val="0060285B"/>
    <w:rsid w:val="006028C0"/>
    <w:rsid w:val="00602E41"/>
    <w:rsid w:val="006034D1"/>
    <w:rsid w:val="0060392B"/>
    <w:rsid w:val="00604332"/>
    <w:rsid w:val="00604523"/>
    <w:rsid w:val="00605842"/>
    <w:rsid w:val="00605B7B"/>
    <w:rsid w:val="00605DAC"/>
    <w:rsid w:val="0060612E"/>
    <w:rsid w:val="006078B2"/>
    <w:rsid w:val="0061080B"/>
    <w:rsid w:val="00611549"/>
    <w:rsid w:val="00611D41"/>
    <w:rsid w:val="0061260D"/>
    <w:rsid w:val="00613B54"/>
    <w:rsid w:val="006140EE"/>
    <w:rsid w:val="006147DC"/>
    <w:rsid w:val="00614890"/>
    <w:rsid w:val="00614DF4"/>
    <w:rsid w:val="00615168"/>
    <w:rsid w:val="006151CA"/>
    <w:rsid w:val="0061542E"/>
    <w:rsid w:val="00615906"/>
    <w:rsid w:val="00615A61"/>
    <w:rsid w:val="006165CE"/>
    <w:rsid w:val="00616CF0"/>
    <w:rsid w:val="00616E2B"/>
    <w:rsid w:val="00617229"/>
    <w:rsid w:val="0061779A"/>
    <w:rsid w:val="006179C5"/>
    <w:rsid w:val="0062031A"/>
    <w:rsid w:val="006204F2"/>
    <w:rsid w:val="00620621"/>
    <w:rsid w:val="00620773"/>
    <w:rsid w:val="00621BAC"/>
    <w:rsid w:val="00621BE5"/>
    <w:rsid w:val="0062207F"/>
    <w:rsid w:val="00622D0F"/>
    <w:rsid w:val="0062310C"/>
    <w:rsid w:val="006231E5"/>
    <w:rsid w:val="00624101"/>
    <w:rsid w:val="00624948"/>
    <w:rsid w:val="00624F16"/>
    <w:rsid w:val="00626AE5"/>
    <w:rsid w:val="00626EBB"/>
    <w:rsid w:val="0062784B"/>
    <w:rsid w:val="00627A8F"/>
    <w:rsid w:val="00630988"/>
    <w:rsid w:val="00630A1E"/>
    <w:rsid w:val="00630D51"/>
    <w:rsid w:val="006313E2"/>
    <w:rsid w:val="0063291C"/>
    <w:rsid w:val="0063356C"/>
    <w:rsid w:val="00633796"/>
    <w:rsid w:val="00634056"/>
    <w:rsid w:val="006340F7"/>
    <w:rsid w:val="0063433A"/>
    <w:rsid w:val="00634D23"/>
    <w:rsid w:val="0063678C"/>
    <w:rsid w:val="00637332"/>
    <w:rsid w:val="006378F8"/>
    <w:rsid w:val="00637D54"/>
    <w:rsid w:val="00640791"/>
    <w:rsid w:val="00641676"/>
    <w:rsid w:val="00641692"/>
    <w:rsid w:val="006430AD"/>
    <w:rsid w:val="0064338D"/>
    <w:rsid w:val="0064352D"/>
    <w:rsid w:val="00643A60"/>
    <w:rsid w:val="006450BC"/>
    <w:rsid w:val="00645187"/>
    <w:rsid w:val="00645BF4"/>
    <w:rsid w:val="00645C0A"/>
    <w:rsid w:val="00645C66"/>
    <w:rsid w:val="00646134"/>
    <w:rsid w:val="00646541"/>
    <w:rsid w:val="00646957"/>
    <w:rsid w:val="006475BA"/>
    <w:rsid w:val="00650670"/>
    <w:rsid w:val="00650CC6"/>
    <w:rsid w:val="00650CDF"/>
    <w:rsid w:val="00650E0C"/>
    <w:rsid w:val="006524FA"/>
    <w:rsid w:val="006529DE"/>
    <w:rsid w:val="0065351D"/>
    <w:rsid w:val="00654012"/>
    <w:rsid w:val="00654787"/>
    <w:rsid w:val="00654B7F"/>
    <w:rsid w:val="00654FF0"/>
    <w:rsid w:val="00656F6A"/>
    <w:rsid w:val="00657590"/>
    <w:rsid w:val="0065764B"/>
    <w:rsid w:val="00657B07"/>
    <w:rsid w:val="00661323"/>
    <w:rsid w:val="00661409"/>
    <w:rsid w:val="00661804"/>
    <w:rsid w:val="00662922"/>
    <w:rsid w:val="00662DF5"/>
    <w:rsid w:val="00662F81"/>
    <w:rsid w:val="00663858"/>
    <w:rsid w:val="006642E0"/>
    <w:rsid w:val="00664521"/>
    <w:rsid w:val="0066627C"/>
    <w:rsid w:val="0066627D"/>
    <w:rsid w:val="00670322"/>
    <w:rsid w:val="00670682"/>
    <w:rsid w:val="00670BF3"/>
    <w:rsid w:val="00670EB1"/>
    <w:rsid w:val="006710AB"/>
    <w:rsid w:val="0067157E"/>
    <w:rsid w:val="00671BB9"/>
    <w:rsid w:val="0067243B"/>
    <w:rsid w:val="00672B8A"/>
    <w:rsid w:val="0067318A"/>
    <w:rsid w:val="006737C1"/>
    <w:rsid w:val="006748CA"/>
    <w:rsid w:val="006749EB"/>
    <w:rsid w:val="00674DF1"/>
    <w:rsid w:val="00676547"/>
    <w:rsid w:val="006768FB"/>
    <w:rsid w:val="00677015"/>
    <w:rsid w:val="00677233"/>
    <w:rsid w:val="0068062D"/>
    <w:rsid w:val="00680C6C"/>
    <w:rsid w:val="00680D2D"/>
    <w:rsid w:val="0068114B"/>
    <w:rsid w:val="00681389"/>
    <w:rsid w:val="00681A9F"/>
    <w:rsid w:val="006823D4"/>
    <w:rsid w:val="00682673"/>
    <w:rsid w:val="00682C8D"/>
    <w:rsid w:val="00682DC7"/>
    <w:rsid w:val="0068322B"/>
    <w:rsid w:val="00683BF6"/>
    <w:rsid w:val="00683D4A"/>
    <w:rsid w:val="00683E81"/>
    <w:rsid w:val="006841ED"/>
    <w:rsid w:val="006841F4"/>
    <w:rsid w:val="0068466E"/>
    <w:rsid w:val="0068549E"/>
    <w:rsid w:val="00685C90"/>
    <w:rsid w:val="00685E2F"/>
    <w:rsid w:val="006864C0"/>
    <w:rsid w:val="006867AF"/>
    <w:rsid w:val="00686872"/>
    <w:rsid w:val="006875E4"/>
    <w:rsid w:val="0068769C"/>
    <w:rsid w:val="006877D2"/>
    <w:rsid w:val="00690CE7"/>
    <w:rsid w:val="0069173E"/>
    <w:rsid w:val="00691BB6"/>
    <w:rsid w:val="00691C0C"/>
    <w:rsid w:val="00692A5A"/>
    <w:rsid w:val="00692B5B"/>
    <w:rsid w:val="0069344A"/>
    <w:rsid w:val="0069418D"/>
    <w:rsid w:val="00694698"/>
    <w:rsid w:val="006955C9"/>
    <w:rsid w:val="00695BA1"/>
    <w:rsid w:val="00695E8D"/>
    <w:rsid w:val="00696578"/>
    <w:rsid w:val="00696749"/>
    <w:rsid w:val="0069745E"/>
    <w:rsid w:val="006976FD"/>
    <w:rsid w:val="00697A30"/>
    <w:rsid w:val="00697FFA"/>
    <w:rsid w:val="006A2122"/>
    <w:rsid w:val="006A218A"/>
    <w:rsid w:val="006A2475"/>
    <w:rsid w:val="006A2934"/>
    <w:rsid w:val="006A2E8F"/>
    <w:rsid w:val="006A36CA"/>
    <w:rsid w:val="006A3869"/>
    <w:rsid w:val="006A3BE3"/>
    <w:rsid w:val="006A4536"/>
    <w:rsid w:val="006A4EB8"/>
    <w:rsid w:val="006A5459"/>
    <w:rsid w:val="006A5626"/>
    <w:rsid w:val="006A5A45"/>
    <w:rsid w:val="006A5D71"/>
    <w:rsid w:val="006A7CBF"/>
    <w:rsid w:val="006A7DB6"/>
    <w:rsid w:val="006A7EB2"/>
    <w:rsid w:val="006B037F"/>
    <w:rsid w:val="006B0C10"/>
    <w:rsid w:val="006B1116"/>
    <w:rsid w:val="006B132A"/>
    <w:rsid w:val="006B1867"/>
    <w:rsid w:val="006B1E08"/>
    <w:rsid w:val="006B1FE1"/>
    <w:rsid w:val="006B2FF4"/>
    <w:rsid w:val="006B300C"/>
    <w:rsid w:val="006B3197"/>
    <w:rsid w:val="006B351A"/>
    <w:rsid w:val="006B3A64"/>
    <w:rsid w:val="006B3C04"/>
    <w:rsid w:val="006B3C4B"/>
    <w:rsid w:val="006B3D4A"/>
    <w:rsid w:val="006B4E50"/>
    <w:rsid w:val="006B5AA0"/>
    <w:rsid w:val="006B5B13"/>
    <w:rsid w:val="006B6DED"/>
    <w:rsid w:val="006B6E78"/>
    <w:rsid w:val="006B782C"/>
    <w:rsid w:val="006B7A57"/>
    <w:rsid w:val="006B7B60"/>
    <w:rsid w:val="006C0820"/>
    <w:rsid w:val="006C0F3D"/>
    <w:rsid w:val="006C10F0"/>
    <w:rsid w:val="006C12DB"/>
    <w:rsid w:val="006C1545"/>
    <w:rsid w:val="006C2004"/>
    <w:rsid w:val="006C2C1F"/>
    <w:rsid w:val="006C2DAA"/>
    <w:rsid w:val="006C2EAB"/>
    <w:rsid w:val="006C2EDF"/>
    <w:rsid w:val="006C2F9B"/>
    <w:rsid w:val="006C3487"/>
    <w:rsid w:val="006C3F29"/>
    <w:rsid w:val="006C4BBD"/>
    <w:rsid w:val="006C54F7"/>
    <w:rsid w:val="006C566D"/>
    <w:rsid w:val="006C56AC"/>
    <w:rsid w:val="006C5A30"/>
    <w:rsid w:val="006C7679"/>
    <w:rsid w:val="006D07BC"/>
    <w:rsid w:val="006D0BC1"/>
    <w:rsid w:val="006D275F"/>
    <w:rsid w:val="006D2BF7"/>
    <w:rsid w:val="006D2D6C"/>
    <w:rsid w:val="006D3928"/>
    <w:rsid w:val="006D394A"/>
    <w:rsid w:val="006D3C11"/>
    <w:rsid w:val="006D4892"/>
    <w:rsid w:val="006D5316"/>
    <w:rsid w:val="006D6D9D"/>
    <w:rsid w:val="006E0379"/>
    <w:rsid w:val="006E0AC0"/>
    <w:rsid w:val="006E215D"/>
    <w:rsid w:val="006E324A"/>
    <w:rsid w:val="006E3332"/>
    <w:rsid w:val="006E3544"/>
    <w:rsid w:val="006E3CC6"/>
    <w:rsid w:val="006E4826"/>
    <w:rsid w:val="006E4C95"/>
    <w:rsid w:val="006E5332"/>
    <w:rsid w:val="006E6076"/>
    <w:rsid w:val="006E6492"/>
    <w:rsid w:val="006E6736"/>
    <w:rsid w:val="006E6ABF"/>
    <w:rsid w:val="006E6ED2"/>
    <w:rsid w:val="006E7A8D"/>
    <w:rsid w:val="006E7F78"/>
    <w:rsid w:val="006F0523"/>
    <w:rsid w:val="006F06B3"/>
    <w:rsid w:val="006F08EB"/>
    <w:rsid w:val="006F0D9C"/>
    <w:rsid w:val="006F1065"/>
    <w:rsid w:val="006F1F91"/>
    <w:rsid w:val="006F250A"/>
    <w:rsid w:val="006F2C98"/>
    <w:rsid w:val="006F31FE"/>
    <w:rsid w:val="006F3CD4"/>
    <w:rsid w:val="006F408B"/>
    <w:rsid w:val="006F470F"/>
    <w:rsid w:val="006F4DF8"/>
    <w:rsid w:val="006F53B0"/>
    <w:rsid w:val="006F53DB"/>
    <w:rsid w:val="006F55AD"/>
    <w:rsid w:val="006F6C65"/>
    <w:rsid w:val="006F789E"/>
    <w:rsid w:val="007003BA"/>
    <w:rsid w:val="00700812"/>
    <w:rsid w:val="00700B89"/>
    <w:rsid w:val="00700FB7"/>
    <w:rsid w:val="0070115C"/>
    <w:rsid w:val="00701BB1"/>
    <w:rsid w:val="00701C00"/>
    <w:rsid w:val="0070267C"/>
    <w:rsid w:val="00702F65"/>
    <w:rsid w:val="007030B3"/>
    <w:rsid w:val="0070324F"/>
    <w:rsid w:val="00704123"/>
    <w:rsid w:val="007043DA"/>
    <w:rsid w:val="0070480B"/>
    <w:rsid w:val="00705970"/>
    <w:rsid w:val="00706F7C"/>
    <w:rsid w:val="0070731B"/>
    <w:rsid w:val="00707558"/>
    <w:rsid w:val="00711822"/>
    <w:rsid w:val="0071268A"/>
    <w:rsid w:val="00712CCD"/>
    <w:rsid w:val="00713E3D"/>
    <w:rsid w:val="00715373"/>
    <w:rsid w:val="00715592"/>
    <w:rsid w:val="007157F4"/>
    <w:rsid w:val="00715853"/>
    <w:rsid w:val="0071587F"/>
    <w:rsid w:val="00715ECE"/>
    <w:rsid w:val="00716350"/>
    <w:rsid w:val="007167FE"/>
    <w:rsid w:val="00717174"/>
    <w:rsid w:val="0071769A"/>
    <w:rsid w:val="00717C89"/>
    <w:rsid w:val="00720AC7"/>
    <w:rsid w:val="00721596"/>
    <w:rsid w:val="00721682"/>
    <w:rsid w:val="00721AF4"/>
    <w:rsid w:val="0072206F"/>
    <w:rsid w:val="00722153"/>
    <w:rsid w:val="007224E1"/>
    <w:rsid w:val="00722B6C"/>
    <w:rsid w:val="00722FEA"/>
    <w:rsid w:val="007233BE"/>
    <w:rsid w:val="00723676"/>
    <w:rsid w:val="0072490E"/>
    <w:rsid w:val="00725675"/>
    <w:rsid w:val="0072572A"/>
    <w:rsid w:val="0072720B"/>
    <w:rsid w:val="007301BD"/>
    <w:rsid w:val="007301CB"/>
    <w:rsid w:val="00730D4C"/>
    <w:rsid w:val="00731C26"/>
    <w:rsid w:val="00731D7C"/>
    <w:rsid w:val="007321A3"/>
    <w:rsid w:val="00732282"/>
    <w:rsid w:val="0073282E"/>
    <w:rsid w:val="00732FE8"/>
    <w:rsid w:val="00734447"/>
    <w:rsid w:val="00734DC6"/>
    <w:rsid w:val="00736377"/>
    <w:rsid w:val="00736E50"/>
    <w:rsid w:val="00736FDE"/>
    <w:rsid w:val="0074033A"/>
    <w:rsid w:val="007409C0"/>
    <w:rsid w:val="00741005"/>
    <w:rsid w:val="00741008"/>
    <w:rsid w:val="00741E57"/>
    <w:rsid w:val="00741FF0"/>
    <w:rsid w:val="007420A4"/>
    <w:rsid w:val="0074213E"/>
    <w:rsid w:val="00742553"/>
    <w:rsid w:val="00742FAF"/>
    <w:rsid w:val="00742FC1"/>
    <w:rsid w:val="007434B2"/>
    <w:rsid w:val="0074355A"/>
    <w:rsid w:val="00743EAD"/>
    <w:rsid w:val="00744000"/>
    <w:rsid w:val="007440E9"/>
    <w:rsid w:val="007445B7"/>
    <w:rsid w:val="00744A72"/>
    <w:rsid w:val="00745860"/>
    <w:rsid w:val="00746757"/>
    <w:rsid w:val="00746A80"/>
    <w:rsid w:val="007478A2"/>
    <w:rsid w:val="00747A46"/>
    <w:rsid w:val="007503BC"/>
    <w:rsid w:val="007504C7"/>
    <w:rsid w:val="0075247D"/>
    <w:rsid w:val="00752561"/>
    <w:rsid w:val="00752652"/>
    <w:rsid w:val="0075291A"/>
    <w:rsid w:val="00753D36"/>
    <w:rsid w:val="0075513C"/>
    <w:rsid w:val="00755BB2"/>
    <w:rsid w:val="007561F4"/>
    <w:rsid w:val="00756748"/>
    <w:rsid w:val="007574B4"/>
    <w:rsid w:val="007574E2"/>
    <w:rsid w:val="0075755F"/>
    <w:rsid w:val="00757A76"/>
    <w:rsid w:val="00757EAA"/>
    <w:rsid w:val="00760036"/>
    <w:rsid w:val="0076041A"/>
    <w:rsid w:val="00760ABC"/>
    <w:rsid w:val="007622AF"/>
    <w:rsid w:val="00762475"/>
    <w:rsid w:val="00762FB6"/>
    <w:rsid w:val="00762FC3"/>
    <w:rsid w:val="0076357E"/>
    <w:rsid w:val="00764DE5"/>
    <w:rsid w:val="007657AC"/>
    <w:rsid w:val="00765CF2"/>
    <w:rsid w:val="0076636C"/>
    <w:rsid w:val="0076681C"/>
    <w:rsid w:val="00766C31"/>
    <w:rsid w:val="007671EC"/>
    <w:rsid w:val="0076725D"/>
    <w:rsid w:val="007672F6"/>
    <w:rsid w:val="00770641"/>
    <w:rsid w:val="00770DFF"/>
    <w:rsid w:val="007712B1"/>
    <w:rsid w:val="00771588"/>
    <w:rsid w:val="0077184C"/>
    <w:rsid w:val="00772206"/>
    <w:rsid w:val="00773274"/>
    <w:rsid w:val="007732FF"/>
    <w:rsid w:val="007737B8"/>
    <w:rsid w:val="00774702"/>
    <w:rsid w:val="0077643B"/>
    <w:rsid w:val="007778EC"/>
    <w:rsid w:val="00777947"/>
    <w:rsid w:val="00780F0D"/>
    <w:rsid w:val="007815BC"/>
    <w:rsid w:val="007816C6"/>
    <w:rsid w:val="00781CC3"/>
    <w:rsid w:val="0078217F"/>
    <w:rsid w:val="00782543"/>
    <w:rsid w:val="007832B2"/>
    <w:rsid w:val="00783BCB"/>
    <w:rsid w:val="00783D5C"/>
    <w:rsid w:val="00783F07"/>
    <w:rsid w:val="00784FC6"/>
    <w:rsid w:val="00785292"/>
    <w:rsid w:val="00785422"/>
    <w:rsid w:val="007854E8"/>
    <w:rsid w:val="0078574B"/>
    <w:rsid w:val="00785A47"/>
    <w:rsid w:val="0078689E"/>
    <w:rsid w:val="00786FE3"/>
    <w:rsid w:val="00787B05"/>
    <w:rsid w:val="00787EF9"/>
    <w:rsid w:val="00790AE4"/>
    <w:rsid w:val="0079125D"/>
    <w:rsid w:val="007923AD"/>
    <w:rsid w:val="007929F3"/>
    <w:rsid w:val="00792F4F"/>
    <w:rsid w:val="00792F8E"/>
    <w:rsid w:val="007931A1"/>
    <w:rsid w:val="007931BD"/>
    <w:rsid w:val="007937AD"/>
    <w:rsid w:val="00793957"/>
    <w:rsid w:val="00793CA4"/>
    <w:rsid w:val="00793FEE"/>
    <w:rsid w:val="00794742"/>
    <w:rsid w:val="00795D50"/>
    <w:rsid w:val="007961BB"/>
    <w:rsid w:val="0079620C"/>
    <w:rsid w:val="007967DD"/>
    <w:rsid w:val="00796A9E"/>
    <w:rsid w:val="00796E75"/>
    <w:rsid w:val="00796FC1"/>
    <w:rsid w:val="0079738E"/>
    <w:rsid w:val="007974FD"/>
    <w:rsid w:val="00797D76"/>
    <w:rsid w:val="007A03A0"/>
    <w:rsid w:val="007A1390"/>
    <w:rsid w:val="007A1433"/>
    <w:rsid w:val="007A184E"/>
    <w:rsid w:val="007A1D7A"/>
    <w:rsid w:val="007A2761"/>
    <w:rsid w:val="007A313F"/>
    <w:rsid w:val="007A4224"/>
    <w:rsid w:val="007A4E70"/>
    <w:rsid w:val="007A570A"/>
    <w:rsid w:val="007A5BA9"/>
    <w:rsid w:val="007A5E6B"/>
    <w:rsid w:val="007A78A1"/>
    <w:rsid w:val="007A7AC0"/>
    <w:rsid w:val="007A7F16"/>
    <w:rsid w:val="007B0278"/>
    <w:rsid w:val="007B03B3"/>
    <w:rsid w:val="007B0D4B"/>
    <w:rsid w:val="007B1305"/>
    <w:rsid w:val="007B1A45"/>
    <w:rsid w:val="007B2B31"/>
    <w:rsid w:val="007B3E7A"/>
    <w:rsid w:val="007B54CA"/>
    <w:rsid w:val="007B5D2F"/>
    <w:rsid w:val="007B6072"/>
    <w:rsid w:val="007B67E2"/>
    <w:rsid w:val="007B764A"/>
    <w:rsid w:val="007C0970"/>
    <w:rsid w:val="007C19E7"/>
    <w:rsid w:val="007C278C"/>
    <w:rsid w:val="007C3297"/>
    <w:rsid w:val="007C39EC"/>
    <w:rsid w:val="007C435C"/>
    <w:rsid w:val="007C43BF"/>
    <w:rsid w:val="007C6497"/>
    <w:rsid w:val="007C6BA4"/>
    <w:rsid w:val="007D1CE3"/>
    <w:rsid w:val="007D33AE"/>
    <w:rsid w:val="007D3E78"/>
    <w:rsid w:val="007D4011"/>
    <w:rsid w:val="007D48F6"/>
    <w:rsid w:val="007D4CC1"/>
    <w:rsid w:val="007D5093"/>
    <w:rsid w:val="007D53DD"/>
    <w:rsid w:val="007D5542"/>
    <w:rsid w:val="007D601B"/>
    <w:rsid w:val="007D6AB8"/>
    <w:rsid w:val="007D7638"/>
    <w:rsid w:val="007D7A61"/>
    <w:rsid w:val="007E1258"/>
    <w:rsid w:val="007E2593"/>
    <w:rsid w:val="007E47E2"/>
    <w:rsid w:val="007E548C"/>
    <w:rsid w:val="007E55B9"/>
    <w:rsid w:val="007E58AA"/>
    <w:rsid w:val="007E5DA4"/>
    <w:rsid w:val="007E5DD4"/>
    <w:rsid w:val="007E630A"/>
    <w:rsid w:val="007E6AAF"/>
    <w:rsid w:val="007E735C"/>
    <w:rsid w:val="007E7578"/>
    <w:rsid w:val="007F075C"/>
    <w:rsid w:val="007F0A7A"/>
    <w:rsid w:val="007F1598"/>
    <w:rsid w:val="007F1D21"/>
    <w:rsid w:val="007F2055"/>
    <w:rsid w:val="007F2662"/>
    <w:rsid w:val="007F26AF"/>
    <w:rsid w:val="007F2784"/>
    <w:rsid w:val="007F376C"/>
    <w:rsid w:val="007F3CD9"/>
    <w:rsid w:val="007F3D3F"/>
    <w:rsid w:val="007F50D9"/>
    <w:rsid w:val="007F52F5"/>
    <w:rsid w:val="007F5D5E"/>
    <w:rsid w:val="007F69A0"/>
    <w:rsid w:val="007F7831"/>
    <w:rsid w:val="007F79DF"/>
    <w:rsid w:val="007F7AA1"/>
    <w:rsid w:val="00800698"/>
    <w:rsid w:val="00801261"/>
    <w:rsid w:val="00801845"/>
    <w:rsid w:val="00801BE4"/>
    <w:rsid w:val="00801D9C"/>
    <w:rsid w:val="00802700"/>
    <w:rsid w:val="00802900"/>
    <w:rsid w:val="008029EC"/>
    <w:rsid w:val="008030A4"/>
    <w:rsid w:val="0080337C"/>
    <w:rsid w:val="0080343C"/>
    <w:rsid w:val="008038B1"/>
    <w:rsid w:val="00804470"/>
    <w:rsid w:val="008049A3"/>
    <w:rsid w:val="00804D33"/>
    <w:rsid w:val="008073DA"/>
    <w:rsid w:val="008076E5"/>
    <w:rsid w:val="00807C2C"/>
    <w:rsid w:val="008100B6"/>
    <w:rsid w:val="00810274"/>
    <w:rsid w:val="00810413"/>
    <w:rsid w:val="008107F5"/>
    <w:rsid w:val="00810B0F"/>
    <w:rsid w:val="00811379"/>
    <w:rsid w:val="008114AD"/>
    <w:rsid w:val="00811A8B"/>
    <w:rsid w:val="00811B40"/>
    <w:rsid w:val="00813AFC"/>
    <w:rsid w:val="00813CA1"/>
    <w:rsid w:val="00813F50"/>
    <w:rsid w:val="008142A3"/>
    <w:rsid w:val="00814B63"/>
    <w:rsid w:val="008152E0"/>
    <w:rsid w:val="00815678"/>
    <w:rsid w:val="00815B2F"/>
    <w:rsid w:val="008174A5"/>
    <w:rsid w:val="00821590"/>
    <w:rsid w:val="00821835"/>
    <w:rsid w:val="008226B9"/>
    <w:rsid w:val="00823048"/>
    <w:rsid w:val="008231C1"/>
    <w:rsid w:val="00823248"/>
    <w:rsid w:val="0082350A"/>
    <w:rsid w:val="00823BE6"/>
    <w:rsid w:val="00824B8C"/>
    <w:rsid w:val="00824ED0"/>
    <w:rsid w:val="00825077"/>
    <w:rsid w:val="00825699"/>
    <w:rsid w:val="008256E9"/>
    <w:rsid w:val="00825B4F"/>
    <w:rsid w:val="00826393"/>
    <w:rsid w:val="00826470"/>
    <w:rsid w:val="0082747F"/>
    <w:rsid w:val="00831118"/>
    <w:rsid w:val="0083123A"/>
    <w:rsid w:val="00831DC7"/>
    <w:rsid w:val="00833119"/>
    <w:rsid w:val="00833285"/>
    <w:rsid w:val="008337D3"/>
    <w:rsid w:val="00834E68"/>
    <w:rsid w:val="00835BE4"/>
    <w:rsid w:val="00835DEB"/>
    <w:rsid w:val="0083622A"/>
    <w:rsid w:val="008367D0"/>
    <w:rsid w:val="0083687D"/>
    <w:rsid w:val="00836A0D"/>
    <w:rsid w:val="00836BBA"/>
    <w:rsid w:val="00836BE9"/>
    <w:rsid w:val="00840F8C"/>
    <w:rsid w:val="008414A2"/>
    <w:rsid w:val="008425C9"/>
    <w:rsid w:val="00842977"/>
    <w:rsid w:val="00842B0E"/>
    <w:rsid w:val="00843589"/>
    <w:rsid w:val="00843F75"/>
    <w:rsid w:val="00843FC2"/>
    <w:rsid w:val="0084422C"/>
    <w:rsid w:val="00844741"/>
    <w:rsid w:val="00844E1F"/>
    <w:rsid w:val="00844F25"/>
    <w:rsid w:val="008462DE"/>
    <w:rsid w:val="00847A3B"/>
    <w:rsid w:val="00847C67"/>
    <w:rsid w:val="00847D60"/>
    <w:rsid w:val="00852C3F"/>
    <w:rsid w:val="00853951"/>
    <w:rsid w:val="0085491F"/>
    <w:rsid w:val="00854F11"/>
    <w:rsid w:val="00855923"/>
    <w:rsid w:val="00855EFA"/>
    <w:rsid w:val="00857DCE"/>
    <w:rsid w:val="00860387"/>
    <w:rsid w:val="00860465"/>
    <w:rsid w:val="008607D2"/>
    <w:rsid w:val="00860D17"/>
    <w:rsid w:val="00861417"/>
    <w:rsid w:val="00861650"/>
    <w:rsid w:val="00862360"/>
    <w:rsid w:val="0086276E"/>
    <w:rsid w:val="008628D7"/>
    <w:rsid w:val="0086399B"/>
    <w:rsid w:val="00863B93"/>
    <w:rsid w:val="00864047"/>
    <w:rsid w:val="00864224"/>
    <w:rsid w:val="0086428D"/>
    <w:rsid w:val="00864727"/>
    <w:rsid w:val="00864B5F"/>
    <w:rsid w:val="00864BB1"/>
    <w:rsid w:val="008664C1"/>
    <w:rsid w:val="00867167"/>
    <w:rsid w:val="008672B2"/>
    <w:rsid w:val="00867A83"/>
    <w:rsid w:val="00867F9F"/>
    <w:rsid w:val="008701D0"/>
    <w:rsid w:val="00870386"/>
    <w:rsid w:val="0087043E"/>
    <w:rsid w:val="0087091B"/>
    <w:rsid w:val="00870A48"/>
    <w:rsid w:val="00871946"/>
    <w:rsid w:val="00871ABF"/>
    <w:rsid w:val="008722CF"/>
    <w:rsid w:val="0087248C"/>
    <w:rsid w:val="00872F4D"/>
    <w:rsid w:val="00873C5C"/>
    <w:rsid w:val="0087401D"/>
    <w:rsid w:val="00875487"/>
    <w:rsid w:val="00875D03"/>
    <w:rsid w:val="0087677C"/>
    <w:rsid w:val="00876C45"/>
    <w:rsid w:val="00876CF5"/>
    <w:rsid w:val="00876DF3"/>
    <w:rsid w:val="008807A3"/>
    <w:rsid w:val="00880B68"/>
    <w:rsid w:val="00880EF1"/>
    <w:rsid w:val="0088226A"/>
    <w:rsid w:val="0088234D"/>
    <w:rsid w:val="0088249F"/>
    <w:rsid w:val="00882643"/>
    <w:rsid w:val="0088275F"/>
    <w:rsid w:val="00882940"/>
    <w:rsid w:val="008833CF"/>
    <w:rsid w:val="00884339"/>
    <w:rsid w:val="0088494D"/>
    <w:rsid w:val="00885ADF"/>
    <w:rsid w:val="0088665F"/>
    <w:rsid w:val="008869E4"/>
    <w:rsid w:val="0088710D"/>
    <w:rsid w:val="00887180"/>
    <w:rsid w:val="00887F1A"/>
    <w:rsid w:val="00890565"/>
    <w:rsid w:val="008905E5"/>
    <w:rsid w:val="00890ED2"/>
    <w:rsid w:val="00891082"/>
    <w:rsid w:val="00891DF3"/>
    <w:rsid w:val="0089202D"/>
    <w:rsid w:val="0089269C"/>
    <w:rsid w:val="00892C95"/>
    <w:rsid w:val="00893554"/>
    <w:rsid w:val="008942FB"/>
    <w:rsid w:val="008943E0"/>
    <w:rsid w:val="00895146"/>
    <w:rsid w:val="00895C5C"/>
    <w:rsid w:val="0089683C"/>
    <w:rsid w:val="00897456"/>
    <w:rsid w:val="00897807"/>
    <w:rsid w:val="00897BA1"/>
    <w:rsid w:val="008A06E1"/>
    <w:rsid w:val="008A0B9E"/>
    <w:rsid w:val="008A11D6"/>
    <w:rsid w:val="008A1215"/>
    <w:rsid w:val="008A15E7"/>
    <w:rsid w:val="008A1DE8"/>
    <w:rsid w:val="008A223E"/>
    <w:rsid w:val="008A249B"/>
    <w:rsid w:val="008A277E"/>
    <w:rsid w:val="008A2AE5"/>
    <w:rsid w:val="008A2BA0"/>
    <w:rsid w:val="008A2F26"/>
    <w:rsid w:val="008A2F3A"/>
    <w:rsid w:val="008A31CD"/>
    <w:rsid w:val="008A3416"/>
    <w:rsid w:val="008A3549"/>
    <w:rsid w:val="008A3754"/>
    <w:rsid w:val="008A3F28"/>
    <w:rsid w:val="008A4016"/>
    <w:rsid w:val="008A45ED"/>
    <w:rsid w:val="008A5102"/>
    <w:rsid w:val="008A5336"/>
    <w:rsid w:val="008A705E"/>
    <w:rsid w:val="008A77BE"/>
    <w:rsid w:val="008A7860"/>
    <w:rsid w:val="008A7971"/>
    <w:rsid w:val="008B00E7"/>
    <w:rsid w:val="008B038F"/>
    <w:rsid w:val="008B10F7"/>
    <w:rsid w:val="008B184F"/>
    <w:rsid w:val="008B19B1"/>
    <w:rsid w:val="008B31C4"/>
    <w:rsid w:val="008B3491"/>
    <w:rsid w:val="008B3546"/>
    <w:rsid w:val="008B35CE"/>
    <w:rsid w:val="008B5368"/>
    <w:rsid w:val="008B5FD0"/>
    <w:rsid w:val="008B6DF3"/>
    <w:rsid w:val="008B70E0"/>
    <w:rsid w:val="008B745E"/>
    <w:rsid w:val="008B7B6D"/>
    <w:rsid w:val="008C0359"/>
    <w:rsid w:val="008C03A2"/>
    <w:rsid w:val="008C0573"/>
    <w:rsid w:val="008C0C97"/>
    <w:rsid w:val="008C11F1"/>
    <w:rsid w:val="008C15CF"/>
    <w:rsid w:val="008C2346"/>
    <w:rsid w:val="008C27C5"/>
    <w:rsid w:val="008C37EB"/>
    <w:rsid w:val="008C457D"/>
    <w:rsid w:val="008C4ADE"/>
    <w:rsid w:val="008C56A2"/>
    <w:rsid w:val="008C6800"/>
    <w:rsid w:val="008C6AC8"/>
    <w:rsid w:val="008C6CE6"/>
    <w:rsid w:val="008C6E20"/>
    <w:rsid w:val="008D0430"/>
    <w:rsid w:val="008D0924"/>
    <w:rsid w:val="008D0B16"/>
    <w:rsid w:val="008D1369"/>
    <w:rsid w:val="008D1436"/>
    <w:rsid w:val="008D1545"/>
    <w:rsid w:val="008D1AEA"/>
    <w:rsid w:val="008D20BF"/>
    <w:rsid w:val="008D2851"/>
    <w:rsid w:val="008D2F11"/>
    <w:rsid w:val="008D3530"/>
    <w:rsid w:val="008D39E0"/>
    <w:rsid w:val="008D487E"/>
    <w:rsid w:val="008D49FE"/>
    <w:rsid w:val="008D6EEF"/>
    <w:rsid w:val="008D7D12"/>
    <w:rsid w:val="008E073E"/>
    <w:rsid w:val="008E0CCD"/>
    <w:rsid w:val="008E109E"/>
    <w:rsid w:val="008E12F9"/>
    <w:rsid w:val="008E15B4"/>
    <w:rsid w:val="008E1703"/>
    <w:rsid w:val="008E1BA9"/>
    <w:rsid w:val="008E1EA9"/>
    <w:rsid w:val="008E1F3B"/>
    <w:rsid w:val="008E210A"/>
    <w:rsid w:val="008E2971"/>
    <w:rsid w:val="008E2AF9"/>
    <w:rsid w:val="008E2F7D"/>
    <w:rsid w:val="008E3005"/>
    <w:rsid w:val="008E314F"/>
    <w:rsid w:val="008E3B3A"/>
    <w:rsid w:val="008E3DEC"/>
    <w:rsid w:val="008E3F80"/>
    <w:rsid w:val="008E4A5C"/>
    <w:rsid w:val="008E5B37"/>
    <w:rsid w:val="008E5C11"/>
    <w:rsid w:val="008E6574"/>
    <w:rsid w:val="008E6C6D"/>
    <w:rsid w:val="008E73BA"/>
    <w:rsid w:val="008F066B"/>
    <w:rsid w:val="008F088D"/>
    <w:rsid w:val="008F0ECD"/>
    <w:rsid w:val="008F11DD"/>
    <w:rsid w:val="008F25D3"/>
    <w:rsid w:val="008F268A"/>
    <w:rsid w:val="008F2841"/>
    <w:rsid w:val="008F3148"/>
    <w:rsid w:val="008F3712"/>
    <w:rsid w:val="008F40A9"/>
    <w:rsid w:val="008F40DE"/>
    <w:rsid w:val="008F415C"/>
    <w:rsid w:val="008F4B16"/>
    <w:rsid w:val="008F57DE"/>
    <w:rsid w:val="008F5C81"/>
    <w:rsid w:val="008F66BC"/>
    <w:rsid w:val="008F6853"/>
    <w:rsid w:val="008F7300"/>
    <w:rsid w:val="008F7E7B"/>
    <w:rsid w:val="00900100"/>
    <w:rsid w:val="009007C9"/>
    <w:rsid w:val="00901D5F"/>
    <w:rsid w:val="00902C1B"/>
    <w:rsid w:val="0090324B"/>
    <w:rsid w:val="009065E8"/>
    <w:rsid w:val="0090721E"/>
    <w:rsid w:val="00907AFF"/>
    <w:rsid w:val="00907FC1"/>
    <w:rsid w:val="009113F3"/>
    <w:rsid w:val="009121BB"/>
    <w:rsid w:val="00912950"/>
    <w:rsid w:val="00912C1C"/>
    <w:rsid w:val="00912FDA"/>
    <w:rsid w:val="00913D35"/>
    <w:rsid w:val="00914D5C"/>
    <w:rsid w:val="00915289"/>
    <w:rsid w:val="0091549E"/>
    <w:rsid w:val="00915626"/>
    <w:rsid w:val="0091567E"/>
    <w:rsid w:val="0091593B"/>
    <w:rsid w:val="009164F8"/>
    <w:rsid w:val="00917899"/>
    <w:rsid w:val="00917AC3"/>
    <w:rsid w:val="00917D50"/>
    <w:rsid w:val="00921420"/>
    <w:rsid w:val="00921445"/>
    <w:rsid w:val="00922099"/>
    <w:rsid w:val="00922432"/>
    <w:rsid w:val="00922481"/>
    <w:rsid w:val="0092262E"/>
    <w:rsid w:val="009229A6"/>
    <w:rsid w:val="009242E0"/>
    <w:rsid w:val="009247B1"/>
    <w:rsid w:val="00924922"/>
    <w:rsid w:val="009249A8"/>
    <w:rsid w:val="009258CD"/>
    <w:rsid w:val="00925E44"/>
    <w:rsid w:val="00926642"/>
    <w:rsid w:val="009266A1"/>
    <w:rsid w:val="00926779"/>
    <w:rsid w:val="0092763A"/>
    <w:rsid w:val="00927AF5"/>
    <w:rsid w:val="00927B93"/>
    <w:rsid w:val="00927EBD"/>
    <w:rsid w:val="00930152"/>
    <w:rsid w:val="00930262"/>
    <w:rsid w:val="00930B08"/>
    <w:rsid w:val="00931533"/>
    <w:rsid w:val="00931709"/>
    <w:rsid w:val="0093178E"/>
    <w:rsid w:val="00931A0B"/>
    <w:rsid w:val="009327FE"/>
    <w:rsid w:val="00932891"/>
    <w:rsid w:val="00932E11"/>
    <w:rsid w:val="009331F0"/>
    <w:rsid w:val="00934AE2"/>
    <w:rsid w:val="00935038"/>
    <w:rsid w:val="00935D7E"/>
    <w:rsid w:val="00935FA2"/>
    <w:rsid w:val="00936640"/>
    <w:rsid w:val="00936C91"/>
    <w:rsid w:val="00936D5C"/>
    <w:rsid w:val="00937378"/>
    <w:rsid w:val="009379B1"/>
    <w:rsid w:val="00941422"/>
    <w:rsid w:val="00941955"/>
    <w:rsid w:val="00941BD0"/>
    <w:rsid w:val="0094303E"/>
    <w:rsid w:val="00943284"/>
    <w:rsid w:val="00944946"/>
    <w:rsid w:val="0094511D"/>
    <w:rsid w:val="00945260"/>
    <w:rsid w:val="009458A3"/>
    <w:rsid w:val="00945C08"/>
    <w:rsid w:val="00945F47"/>
    <w:rsid w:val="00946A89"/>
    <w:rsid w:val="00946A97"/>
    <w:rsid w:val="00946E03"/>
    <w:rsid w:val="00947070"/>
    <w:rsid w:val="0094739A"/>
    <w:rsid w:val="00947811"/>
    <w:rsid w:val="009504C0"/>
    <w:rsid w:val="00950EB1"/>
    <w:rsid w:val="00951147"/>
    <w:rsid w:val="00951C20"/>
    <w:rsid w:val="00951E07"/>
    <w:rsid w:val="00954A07"/>
    <w:rsid w:val="009550A8"/>
    <w:rsid w:val="0095522F"/>
    <w:rsid w:val="00955577"/>
    <w:rsid w:val="00956273"/>
    <w:rsid w:val="00956C47"/>
    <w:rsid w:val="009574C3"/>
    <w:rsid w:val="00957898"/>
    <w:rsid w:val="0096042C"/>
    <w:rsid w:val="00960B2C"/>
    <w:rsid w:val="0096145A"/>
    <w:rsid w:val="0096191A"/>
    <w:rsid w:val="00961B02"/>
    <w:rsid w:val="00961D7A"/>
    <w:rsid w:val="00961E41"/>
    <w:rsid w:val="00962763"/>
    <w:rsid w:val="009628A7"/>
    <w:rsid w:val="00962BF1"/>
    <w:rsid w:val="00964451"/>
    <w:rsid w:val="00964B3F"/>
    <w:rsid w:val="009651D3"/>
    <w:rsid w:val="009653AB"/>
    <w:rsid w:val="00965E0D"/>
    <w:rsid w:val="00966A51"/>
    <w:rsid w:val="00966D39"/>
    <w:rsid w:val="009676A3"/>
    <w:rsid w:val="00970319"/>
    <w:rsid w:val="00970976"/>
    <w:rsid w:val="009715E7"/>
    <w:rsid w:val="00972E87"/>
    <w:rsid w:val="00972EE4"/>
    <w:rsid w:val="009730FD"/>
    <w:rsid w:val="009735BB"/>
    <w:rsid w:val="009735D2"/>
    <w:rsid w:val="009736F6"/>
    <w:rsid w:val="00974013"/>
    <w:rsid w:val="009741F7"/>
    <w:rsid w:val="00974331"/>
    <w:rsid w:val="009743D2"/>
    <w:rsid w:val="0097489C"/>
    <w:rsid w:val="0097548C"/>
    <w:rsid w:val="009759BC"/>
    <w:rsid w:val="00977459"/>
    <w:rsid w:val="00977BD1"/>
    <w:rsid w:val="00980408"/>
    <w:rsid w:val="00980E20"/>
    <w:rsid w:val="009812A5"/>
    <w:rsid w:val="00981393"/>
    <w:rsid w:val="0098145B"/>
    <w:rsid w:val="00981695"/>
    <w:rsid w:val="009818EA"/>
    <w:rsid w:val="00981C2D"/>
    <w:rsid w:val="00982851"/>
    <w:rsid w:val="009833D6"/>
    <w:rsid w:val="009833DE"/>
    <w:rsid w:val="00983BBB"/>
    <w:rsid w:val="009845FD"/>
    <w:rsid w:val="009847CA"/>
    <w:rsid w:val="00984C74"/>
    <w:rsid w:val="00984F6F"/>
    <w:rsid w:val="009857A9"/>
    <w:rsid w:val="00985ABD"/>
    <w:rsid w:val="009867BB"/>
    <w:rsid w:val="00986C28"/>
    <w:rsid w:val="009878C9"/>
    <w:rsid w:val="0098795D"/>
    <w:rsid w:val="00987FE2"/>
    <w:rsid w:val="009909C2"/>
    <w:rsid w:val="009909E9"/>
    <w:rsid w:val="009910FC"/>
    <w:rsid w:val="0099151B"/>
    <w:rsid w:val="00991550"/>
    <w:rsid w:val="009918BB"/>
    <w:rsid w:val="00991907"/>
    <w:rsid w:val="00991F63"/>
    <w:rsid w:val="00992C68"/>
    <w:rsid w:val="00992DA5"/>
    <w:rsid w:val="0099347B"/>
    <w:rsid w:val="00993B64"/>
    <w:rsid w:val="00993CA6"/>
    <w:rsid w:val="00993ED1"/>
    <w:rsid w:val="00995182"/>
    <w:rsid w:val="0099538F"/>
    <w:rsid w:val="00996016"/>
    <w:rsid w:val="00996F18"/>
    <w:rsid w:val="00997586"/>
    <w:rsid w:val="009A1A95"/>
    <w:rsid w:val="009A1D4A"/>
    <w:rsid w:val="009A257D"/>
    <w:rsid w:val="009A2763"/>
    <w:rsid w:val="009A2DD5"/>
    <w:rsid w:val="009A3096"/>
    <w:rsid w:val="009A324B"/>
    <w:rsid w:val="009A37CD"/>
    <w:rsid w:val="009A3866"/>
    <w:rsid w:val="009A492D"/>
    <w:rsid w:val="009A4AA0"/>
    <w:rsid w:val="009A4BC3"/>
    <w:rsid w:val="009A5E74"/>
    <w:rsid w:val="009A61F5"/>
    <w:rsid w:val="009A6D7D"/>
    <w:rsid w:val="009A6D93"/>
    <w:rsid w:val="009A6DB5"/>
    <w:rsid w:val="009A73DA"/>
    <w:rsid w:val="009A75E8"/>
    <w:rsid w:val="009A7775"/>
    <w:rsid w:val="009A7A24"/>
    <w:rsid w:val="009B00E6"/>
    <w:rsid w:val="009B0CCF"/>
    <w:rsid w:val="009B1952"/>
    <w:rsid w:val="009B1E58"/>
    <w:rsid w:val="009B1FD0"/>
    <w:rsid w:val="009B271D"/>
    <w:rsid w:val="009B2797"/>
    <w:rsid w:val="009B28B0"/>
    <w:rsid w:val="009B2F3C"/>
    <w:rsid w:val="009B3661"/>
    <w:rsid w:val="009B38E8"/>
    <w:rsid w:val="009B4BEF"/>
    <w:rsid w:val="009B5976"/>
    <w:rsid w:val="009B59DA"/>
    <w:rsid w:val="009B74BD"/>
    <w:rsid w:val="009B7621"/>
    <w:rsid w:val="009C02AA"/>
    <w:rsid w:val="009C0AAD"/>
    <w:rsid w:val="009C0C0C"/>
    <w:rsid w:val="009C0DC3"/>
    <w:rsid w:val="009C0DE1"/>
    <w:rsid w:val="009C0E4A"/>
    <w:rsid w:val="009C12AD"/>
    <w:rsid w:val="009C17DB"/>
    <w:rsid w:val="009C1901"/>
    <w:rsid w:val="009C1A46"/>
    <w:rsid w:val="009C1F88"/>
    <w:rsid w:val="009C23A9"/>
    <w:rsid w:val="009C26C7"/>
    <w:rsid w:val="009C3C72"/>
    <w:rsid w:val="009C3F94"/>
    <w:rsid w:val="009C43A0"/>
    <w:rsid w:val="009C4735"/>
    <w:rsid w:val="009C4F62"/>
    <w:rsid w:val="009C5099"/>
    <w:rsid w:val="009C50B8"/>
    <w:rsid w:val="009C605E"/>
    <w:rsid w:val="009C7B02"/>
    <w:rsid w:val="009C7EB0"/>
    <w:rsid w:val="009D01D2"/>
    <w:rsid w:val="009D1414"/>
    <w:rsid w:val="009D1E19"/>
    <w:rsid w:val="009D278E"/>
    <w:rsid w:val="009D326A"/>
    <w:rsid w:val="009D3B2E"/>
    <w:rsid w:val="009D3CDE"/>
    <w:rsid w:val="009D4551"/>
    <w:rsid w:val="009D46B7"/>
    <w:rsid w:val="009D4872"/>
    <w:rsid w:val="009D4AB9"/>
    <w:rsid w:val="009D4ABE"/>
    <w:rsid w:val="009D4E00"/>
    <w:rsid w:val="009D5824"/>
    <w:rsid w:val="009D5E4E"/>
    <w:rsid w:val="009D5ED8"/>
    <w:rsid w:val="009D6594"/>
    <w:rsid w:val="009D6BFB"/>
    <w:rsid w:val="009D6FB3"/>
    <w:rsid w:val="009E064F"/>
    <w:rsid w:val="009E0B70"/>
    <w:rsid w:val="009E11B9"/>
    <w:rsid w:val="009E1FA0"/>
    <w:rsid w:val="009E34CD"/>
    <w:rsid w:val="009E377B"/>
    <w:rsid w:val="009E3F6D"/>
    <w:rsid w:val="009E44E1"/>
    <w:rsid w:val="009E48E7"/>
    <w:rsid w:val="009E4B62"/>
    <w:rsid w:val="009E55E4"/>
    <w:rsid w:val="009E5F46"/>
    <w:rsid w:val="009E60B7"/>
    <w:rsid w:val="009E69CB"/>
    <w:rsid w:val="009E75AA"/>
    <w:rsid w:val="009E79AB"/>
    <w:rsid w:val="009F0C6C"/>
    <w:rsid w:val="009F0DA4"/>
    <w:rsid w:val="009F1236"/>
    <w:rsid w:val="009F1548"/>
    <w:rsid w:val="009F1A9F"/>
    <w:rsid w:val="009F1FDD"/>
    <w:rsid w:val="009F23A1"/>
    <w:rsid w:val="009F25F3"/>
    <w:rsid w:val="009F2BF1"/>
    <w:rsid w:val="009F3348"/>
    <w:rsid w:val="009F49B2"/>
    <w:rsid w:val="009F569F"/>
    <w:rsid w:val="009F5EB0"/>
    <w:rsid w:val="009F60A7"/>
    <w:rsid w:val="009F6FA4"/>
    <w:rsid w:val="009F71E9"/>
    <w:rsid w:val="00A00076"/>
    <w:rsid w:val="00A0009F"/>
    <w:rsid w:val="00A0079E"/>
    <w:rsid w:val="00A01A4B"/>
    <w:rsid w:val="00A021FE"/>
    <w:rsid w:val="00A0241F"/>
    <w:rsid w:val="00A026AF"/>
    <w:rsid w:val="00A039E3"/>
    <w:rsid w:val="00A03E49"/>
    <w:rsid w:val="00A03F2C"/>
    <w:rsid w:val="00A05AD6"/>
    <w:rsid w:val="00A05B46"/>
    <w:rsid w:val="00A06A75"/>
    <w:rsid w:val="00A06F6D"/>
    <w:rsid w:val="00A06FE5"/>
    <w:rsid w:val="00A07079"/>
    <w:rsid w:val="00A114A8"/>
    <w:rsid w:val="00A11AA2"/>
    <w:rsid w:val="00A12A36"/>
    <w:rsid w:val="00A1304D"/>
    <w:rsid w:val="00A13886"/>
    <w:rsid w:val="00A13AD1"/>
    <w:rsid w:val="00A14140"/>
    <w:rsid w:val="00A1443B"/>
    <w:rsid w:val="00A1491D"/>
    <w:rsid w:val="00A14E9A"/>
    <w:rsid w:val="00A160DD"/>
    <w:rsid w:val="00A162E9"/>
    <w:rsid w:val="00A165B0"/>
    <w:rsid w:val="00A16883"/>
    <w:rsid w:val="00A16AD7"/>
    <w:rsid w:val="00A16F3F"/>
    <w:rsid w:val="00A17037"/>
    <w:rsid w:val="00A17238"/>
    <w:rsid w:val="00A178BF"/>
    <w:rsid w:val="00A178ED"/>
    <w:rsid w:val="00A17DF6"/>
    <w:rsid w:val="00A2046F"/>
    <w:rsid w:val="00A20EAD"/>
    <w:rsid w:val="00A2159B"/>
    <w:rsid w:val="00A2184D"/>
    <w:rsid w:val="00A21E59"/>
    <w:rsid w:val="00A21FD8"/>
    <w:rsid w:val="00A221FA"/>
    <w:rsid w:val="00A22F1D"/>
    <w:rsid w:val="00A24083"/>
    <w:rsid w:val="00A243EF"/>
    <w:rsid w:val="00A2489D"/>
    <w:rsid w:val="00A24F25"/>
    <w:rsid w:val="00A25123"/>
    <w:rsid w:val="00A26194"/>
    <w:rsid w:val="00A2649C"/>
    <w:rsid w:val="00A26719"/>
    <w:rsid w:val="00A30321"/>
    <w:rsid w:val="00A30681"/>
    <w:rsid w:val="00A31543"/>
    <w:rsid w:val="00A3179F"/>
    <w:rsid w:val="00A3272D"/>
    <w:rsid w:val="00A327EE"/>
    <w:rsid w:val="00A33A38"/>
    <w:rsid w:val="00A33E9C"/>
    <w:rsid w:val="00A35038"/>
    <w:rsid w:val="00A3518B"/>
    <w:rsid w:val="00A3525D"/>
    <w:rsid w:val="00A35A07"/>
    <w:rsid w:val="00A37B0A"/>
    <w:rsid w:val="00A40B7D"/>
    <w:rsid w:val="00A424D6"/>
    <w:rsid w:val="00A4361F"/>
    <w:rsid w:val="00A4387A"/>
    <w:rsid w:val="00A43AAD"/>
    <w:rsid w:val="00A444EA"/>
    <w:rsid w:val="00A44FFB"/>
    <w:rsid w:val="00A458E9"/>
    <w:rsid w:val="00A45B0D"/>
    <w:rsid w:val="00A45B1B"/>
    <w:rsid w:val="00A45B79"/>
    <w:rsid w:val="00A465E7"/>
    <w:rsid w:val="00A46CC3"/>
    <w:rsid w:val="00A46D57"/>
    <w:rsid w:val="00A46D64"/>
    <w:rsid w:val="00A51C45"/>
    <w:rsid w:val="00A52AF1"/>
    <w:rsid w:val="00A52CE8"/>
    <w:rsid w:val="00A52D51"/>
    <w:rsid w:val="00A52F71"/>
    <w:rsid w:val="00A53478"/>
    <w:rsid w:val="00A534E4"/>
    <w:rsid w:val="00A537A8"/>
    <w:rsid w:val="00A53D42"/>
    <w:rsid w:val="00A53F83"/>
    <w:rsid w:val="00A541E9"/>
    <w:rsid w:val="00A56FF1"/>
    <w:rsid w:val="00A573F8"/>
    <w:rsid w:val="00A60193"/>
    <w:rsid w:val="00A61474"/>
    <w:rsid w:val="00A61739"/>
    <w:rsid w:val="00A61D62"/>
    <w:rsid w:val="00A629BA"/>
    <w:rsid w:val="00A63BA4"/>
    <w:rsid w:val="00A63C79"/>
    <w:rsid w:val="00A6455E"/>
    <w:rsid w:val="00A64AC3"/>
    <w:rsid w:val="00A64CD7"/>
    <w:rsid w:val="00A64FB1"/>
    <w:rsid w:val="00A65621"/>
    <w:rsid w:val="00A65927"/>
    <w:rsid w:val="00A66407"/>
    <w:rsid w:val="00A668D5"/>
    <w:rsid w:val="00A709EE"/>
    <w:rsid w:val="00A70C3C"/>
    <w:rsid w:val="00A70F0A"/>
    <w:rsid w:val="00A70F29"/>
    <w:rsid w:val="00A7133F"/>
    <w:rsid w:val="00A71811"/>
    <w:rsid w:val="00A71CDC"/>
    <w:rsid w:val="00A726D0"/>
    <w:rsid w:val="00A72979"/>
    <w:rsid w:val="00A73BE3"/>
    <w:rsid w:val="00A745D4"/>
    <w:rsid w:val="00A75659"/>
    <w:rsid w:val="00A76122"/>
    <w:rsid w:val="00A761E4"/>
    <w:rsid w:val="00A7666A"/>
    <w:rsid w:val="00A77966"/>
    <w:rsid w:val="00A8038C"/>
    <w:rsid w:val="00A8089B"/>
    <w:rsid w:val="00A819C5"/>
    <w:rsid w:val="00A8206D"/>
    <w:rsid w:val="00A822D5"/>
    <w:rsid w:val="00A829CE"/>
    <w:rsid w:val="00A8399A"/>
    <w:rsid w:val="00A84211"/>
    <w:rsid w:val="00A84FC3"/>
    <w:rsid w:val="00A86E18"/>
    <w:rsid w:val="00A870E8"/>
    <w:rsid w:val="00A871C2"/>
    <w:rsid w:val="00A872D9"/>
    <w:rsid w:val="00A87617"/>
    <w:rsid w:val="00A906A2"/>
    <w:rsid w:val="00A91638"/>
    <w:rsid w:val="00A91843"/>
    <w:rsid w:val="00A91FAC"/>
    <w:rsid w:val="00A92219"/>
    <w:rsid w:val="00A929CA"/>
    <w:rsid w:val="00A92D63"/>
    <w:rsid w:val="00A93825"/>
    <w:rsid w:val="00A93D1A"/>
    <w:rsid w:val="00A93FDF"/>
    <w:rsid w:val="00A958C4"/>
    <w:rsid w:val="00A95F14"/>
    <w:rsid w:val="00A96339"/>
    <w:rsid w:val="00A96700"/>
    <w:rsid w:val="00A9688F"/>
    <w:rsid w:val="00A974F0"/>
    <w:rsid w:val="00A978C5"/>
    <w:rsid w:val="00A97A2C"/>
    <w:rsid w:val="00A97DA1"/>
    <w:rsid w:val="00A97DE7"/>
    <w:rsid w:val="00A97F1B"/>
    <w:rsid w:val="00A97F70"/>
    <w:rsid w:val="00AA1306"/>
    <w:rsid w:val="00AA16DC"/>
    <w:rsid w:val="00AA219C"/>
    <w:rsid w:val="00AA2B9C"/>
    <w:rsid w:val="00AA3355"/>
    <w:rsid w:val="00AA3C07"/>
    <w:rsid w:val="00AA4917"/>
    <w:rsid w:val="00AA49EA"/>
    <w:rsid w:val="00AA676D"/>
    <w:rsid w:val="00AA6A5D"/>
    <w:rsid w:val="00AA6FD8"/>
    <w:rsid w:val="00AA7512"/>
    <w:rsid w:val="00AA7F55"/>
    <w:rsid w:val="00AA7F7C"/>
    <w:rsid w:val="00AA7F9B"/>
    <w:rsid w:val="00AB116A"/>
    <w:rsid w:val="00AB12E9"/>
    <w:rsid w:val="00AB1E7A"/>
    <w:rsid w:val="00AB24F7"/>
    <w:rsid w:val="00AB2771"/>
    <w:rsid w:val="00AB2D5B"/>
    <w:rsid w:val="00AB2E89"/>
    <w:rsid w:val="00AB31C9"/>
    <w:rsid w:val="00AB346E"/>
    <w:rsid w:val="00AB36D9"/>
    <w:rsid w:val="00AB3867"/>
    <w:rsid w:val="00AB3919"/>
    <w:rsid w:val="00AB5291"/>
    <w:rsid w:val="00AB6019"/>
    <w:rsid w:val="00AB6E99"/>
    <w:rsid w:val="00AB7281"/>
    <w:rsid w:val="00AB7378"/>
    <w:rsid w:val="00AB7D5F"/>
    <w:rsid w:val="00AC1342"/>
    <w:rsid w:val="00AC167C"/>
    <w:rsid w:val="00AC26DA"/>
    <w:rsid w:val="00AC28A3"/>
    <w:rsid w:val="00AC2935"/>
    <w:rsid w:val="00AC2DE6"/>
    <w:rsid w:val="00AC3E88"/>
    <w:rsid w:val="00AC4217"/>
    <w:rsid w:val="00AC4251"/>
    <w:rsid w:val="00AC444D"/>
    <w:rsid w:val="00AC4452"/>
    <w:rsid w:val="00AC4737"/>
    <w:rsid w:val="00AC5268"/>
    <w:rsid w:val="00AC597E"/>
    <w:rsid w:val="00AC59AD"/>
    <w:rsid w:val="00AC5BA4"/>
    <w:rsid w:val="00AC5F16"/>
    <w:rsid w:val="00AC610C"/>
    <w:rsid w:val="00AC6755"/>
    <w:rsid w:val="00AC6ACA"/>
    <w:rsid w:val="00AC7366"/>
    <w:rsid w:val="00AC7C0C"/>
    <w:rsid w:val="00AC7D15"/>
    <w:rsid w:val="00AD0482"/>
    <w:rsid w:val="00AD0863"/>
    <w:rsid w:val="00AD092B"/>
    <w:rsid w:val="00AD0C98"/>
    <w:rsid w:val="00AD11AA"/>
    <w:rsid w:val="00AD121E"/>
    <w:rsid w:val="00AD1B8A"/>
    <w:rsid w:val="00AD290F"/>
    <w:rsid w:val="00AD29C5"/>
    <w:rsid w:val="00AD2F42"/>
    <w:rsid w:val="00AD36A8"/>
    <w:rsid w:val="00AD3E99"/>
    <w:rsid w:val="00AD4682"/>
    <w:rsid w:val="00AD4998"/>
    <w:rsid w:val="00AD6B59"/>
    <w:rsid w:val="00AD6EBD"/>
    <w:rsid w:val="00AD7221"/>
    <w:rsid w:val="00AD7A16"/>
    <w:rsid w:val="00AE0FF4"/>
    <w:rsid w:val="00AE1E77"/>
    <w:rsid w:val="00AE25AC"/>
    <w:rsid w:val="00AE2B86"/>
    <w:rsid w:val="00AE2D77"/>
    <w:rsid w:val="00AE3444"/>
    <w:rsid w:val="00AE36B7"/>
    <w:rsid w:val="00AE5098"/>
    <w:rsid w:val="00AE50E9"/>
    <w:rsid w:val="00AE599D"/>
    <w:rsid w:val="00AE5EC9"/>
    <w:rsid w:val="00AE61C1"/>
    <w:rsid w:val="00AE6AFA"/>
    <w:rsid w:val="00AE7AC9"/>
    <w:rsid w:val="00AE7DFB"/>
    <w:rsid w:val="00AF0CCC"/>
    <w:rsid w:val="00AF155A"/>
    <w:rsid w:val="00AF16F2"/>
    <w:rsid w:val="00AF198C"/>
    <w:rsid w:val="00AF1DD1"/>
    <w:rsid w:val="00AF204F"/>
    <w:rsid w:val="00AF2397"/>
    <w:rsid w:val="00AF25B6"/>
    <w:rsid w:val="00AF28A8"/>
    <w:rsid w:val="00AF2F69"/>
    <w:rsid w:val="00AF362C"/>
    <w:rsid w:val="00AF4864"/>
    <w:rsid w:val="00AF4EFD"/>
    <w:rsid w:val="00AF529B"/>
    <w:rsid w:val="00AF56B4"/>
    <w:rsid w:val="00AF591E"/>
    <w:rsid w:val="00AF64E1"/>
    <w:rsid w:val="00AF6C27"/>
    <w:rsid w:val="00AF6C3D"/>
    <w:rsid w:val="00AF7479"/>
    <w:rsid w:val="00B00357"/>
    <w:rsid w:val="00B00528"/>
    <w:rsid w:val="00B0053A"/>
    <w:rsid w:val="00B011D5"/>
    <w:rsid w:val="00B01BBA"/>
    <w:rsid w:val="00B026F6"/>
    <w:rsid w:val="00B043A8"/>
    <w:rsid w:val="00B04939"/>
    <w:rsid w:val="00B05505"/>
    <w:rsid w:val="00B058C5"/>
    <w:rsid w:val="00B05B9A"/>
    <w:rsid w:val="00B05CA1"/>
    <w:rsid w:val="00B06657"/>
    <w:rsid w:val="00B06681"/>
    <w:rsid w:val="00B06813"/>
    <w:rsid w:val="00B07D4E"/>
    <w:rsid w:val="00B07E84"/>
    <w:rsid w:val="00B10C53"/>
    <w:rsid w:val="00B11FDE"/>
    <w:rsid w:val="00B12A3E"/>
    <w:rsid w:val="00B12D57"/>
    <w:rsid w:val="00B12FF3"/>
    <w:rsid w:val="00B139C0"/>
    <w:rsid w:val="00B14A9C"/>
    <w:rsid w:val="00B152B4"/>
    <w:rsid w:val="00B15EDB"/>
    <w:rsid w:val="00B16001"/>
    <w:rsid w:val="00B16751"/>
    <w:rsid w:val="00B1693E"/>
    <w:rsid w:val="00B16D34"/>
    <w:rsid w:val="00B16E19"/>
    <w:rsid w:val="00B176F9"/>
    <w:rsid w:val="00B17956"/>
    <w:rsid w:val="00B17969"/>
    <w:rsid w:val="00B20F68"/>
    <w:rsid w:val="00B21107"/>
    <w:rsid w:val="00B2223B"/>
    <w:rsid w:val="00B22297"/>
    <w:rsid w:val="00B22333"/>
    <w:rsid w:val="00B228E9"/>
    <w:rsid w:val="00B22E7A"/>
    <w:rsid w:val="00B230A4"/>
    <w:rsid w:val="00B23B59"/>
    <w:rsid w:val="00B23C88"/>
    <w:rsid w:val="00B24302"/>
    <w:rsid w:val="00B247A1"/>
    <w:rsid w:val="00B247B8"/>
    <w:rsid w:val="00B24993"/>
    <w:rsid w:val="00B249AF"/>
    <w:rsid w:val="00B24D08"/>
    <w:rsid w:val="00B26A9B"/>
    <w:rsid w:val="00B27BBE"/>
    <w:rsid w:val="00B3103C"/>
    <w:rsid w:val="00B312EE"/>
    <w:rsid w:val="00B32449"/>
    <w:rsid w:val="00B32468"/>
    <w:rsid w:val="00B326D9"/>
    <w:rsid w:val="00B32D83"/>
    <w:rsid w:val="00B330F0"/>
    <w:rsid w:val="00B3349F"/>
    <w:rsid w:val="00B33F8D"/>
    <w:rsid w:val="00B344AF"/>
    <w:rsid w:val="00B3475A"/>
    <w:rsid w:val="00B34B93"/>
    <w:rsid w:val="00B35624"/>
    <w:rsid w:val="00B35822"/>
    <w:rsid w:val="00B35A2B"/>
    <w:rsid w:val="00B35EFE"/>
    <w:rsid w:val="00B35F2F"/>
    <w:rsid w:val="00B35FE9"/>
    <w:rsid w:val="00B36890"/>
    <w:rsid w:val="00B36ACF"/>
    <w:rsid w:val="00B36B0A"/>
    <w:rsid w:val="00B37B18"/>
    <w:rsid w:val="00B401BC"/>
    <w:rsid w:val="00B4041F"/>
    <w:rsid w:val="00B424A1"/>
    <w:rsid w:val="00B42A5D"/>
    <w:rsid w:val="00B4313F"/>
    <w:rsid w:val="00B43C03"/>
    <w:rsid w:val="00B43C42"/>
    <w:rsid w:val="00B4549D"/>
    <w:rsid w:val="00B4657B"/>
    <w:rsid w:val="00B47F1C"/>
    <w:rsid w:val="00B50029"/>
    <w:rsid w:val="00B50896"/>
    <w:rsid w:val="00B511D8"/>
    <w:rsid w:val="00B52C84"/>
    <w:rsid w:val="00B52FA2"/>
    <w:rsid w:val="00B53240"/>
    <w:rsid w:val="00B5395C"/>
    <w:rsid w:val="00B53B4B"/>
    <w:rsid w:val="00B54CF2"/>
    <w:rsid w:val="00B54DCB"/>
    <w:rsid w:val="00B558AD"/>
    <w:rsid w:val="00B559E5"/>
    <w:rsid w:val="00B5681B"/>
    <w:rsid w:val="00B56CCC"/>
    <w:rsid w:val="00B57040"/>
    <w:rsid w:val="00B57100"/>
    <w:rsid w:val="00B57222"/>
    <w:rsid w:val="00B57233"/>
    <w:rsid w:val="00B60362"/>
    <w:rsid w:val="00B60F5E"/>
    <w:rsid w:val="00B63367"/>
    <w:rsid w:val="00B63CB1"/>
    <w:rsid w:val="00B63F4F"/>
    <w:rsid w:val="00B643F8"/>
    <w:rsid w:val="00B6551E"/>
    <w:rsid w:val="00B65537"/>
    <w:rsid w:val="00B6579D"/>
    <w:rsid w:val="00B65FB8"/>
    <w:rsid w:val="00B66415"/>
    <w:rsid w:val="00B666AD"/>
    <w:rsid w:val="00B66AFA"/>
    <w:rsid w:val="00B66BA2"/>
    <w:rsid w:val="00B66F8B"/>
    <w:rsid w:val="00B67257"/>
    <w:rsid w:val="00B6751A"/>
    <w:rsid w:val="00B675CC"/>
    <w:rsid w:val="00B701A4"/>
    <w:rsid w:val="00B71AA5"/>
    <w:rsid w:val="00B72569"/>
    <w:rsid w:val="00B727F4"/>
    <w:rsid w:val="00B72BCA"/>
    <w:rsid w:val="00B73669"/>
    <w:rsid w:val="00B74350"/>
    <w:rsid w:val="00B74E10"/>
    <w:rsid w:val="00B74E94"/>
    <w:rsid w:val="00B7544A"/>
    <w:rsid w:val="00B75861"/>
    <w:rsid w:val="00B75999"/>
    <w:rsid w:val="00B75DEB"/>
    <w:rsid w:val="00B763CA"/>
    <w:rsid w:val="00B76869"/>
    <w:rsid w:val="00B76E44"/>
    <w:rsid w:val="00B77243"/>
    <w:rsid w:val="00B774D0"/>
    <w:rsid w:val="00B77918"/>
    <w:rsid w:val="00B77A7D"/>
    <w:rsid w:val="00B77A85"/>
    <w:rsid w:val="00B80446"/>
    <w:rsid w:val="00B81239"/>
    <w:rsid w:val="00B81266"/>
    <w:rsid w:val="00B816AB"/>
    <w:rsid w:val="00B81BD9"/>
    <w:rsid w:val="00B825CC"/>
    <w:rsid w:val="00B8292E"/>
    <w:rsid w:val="00B829CA"/>
    <w:rsid w:val="00B8301D"/>
    <w:rsid w:val="00B8339E"/>
    <w:rsid w:val="00B83B76"/>
    <w:rsid w:val="00B83F5D"/>
    <w:rsid w:val="00B843D3"/>
    <w:rsid w:val="00B84B2A"/>
    <w:rsid w:val="00B84C1A"/>
    <w:rsid w:val="00B84E23"/>
    <w:rsid w:val="00B84F8D"/>
    <w:rsid w:val="00B85B25"/>
    <w:rsid w:val="00B86011"/>
    <w:rsid w:val="00B873C0"/>
    <w:rsid w:val="00B87AE1"/>
    <w:rsid w:val="00B9035C"/>
    <w:rsid w:val="00B907F5"/>
    <w:rsid w:val="00B90D9F"/>
    <w:rsid w:val="00B90EFA"/>
    <w:rsid w:val="00B9160B"/>
    <w:rsid w:val="00B92305"/>
    <w:rsid w:val="00B93581"/>
    <w:rsid w:val="00B93CDB"/>
    <w:rsid w:val="00B9464B"/>
    <w:rsid w:val="00B94809"/>
    <w:rsid w:val="00B95F33"/>
    <w:rsid w:val="00B96FE6"/>
    <w:rsid w:val="00B973DC"/>
    <w:rsid w:val="00B973E9"/>
    <w:rsid w:val="00B97B2F"/>
    <w:rsid w:val="00B97CB2"/>
    <w:rsid w:val="00B97E1F"/>
    <w:rsid w:val="00BA0299"/>
    <w:rsid w:val="00BA02ED"/>
    <w:rsid w:val="00BA0D15"/>
    <w:rsid w:val="00BA1567"/>
    <w:rsid w:val="00BA15B4"/>
    <w:rsid w:val="00BA2924"/>
    <w:rsid w:val="00BA2E2A"/>
    <w:rsid w:val="00BA3D33"/>
    <w:rsid w:val="00BA55CB"/>
    <w:rsid w:val="00BA5C40"/>
    <w:rsid w:val="00BA6573"/>
    <w:rsid w:val="00BA6845"/>
    <w:rsid w:val="00BA6DF8"/>
    <w:rsid w:val="00BA6E44"/>
    <w:rsid w:val="00BA769F"/>
    <w:rsid w:val="00BA7938"/>
    <w:rsid w:val="00BA7D5E"/>
    <w:rsid w:val="00BB0E0E"/>
    <w:rsid w:val="00BB179B"/>
    <w:rsid w:val="00BB1DB6"/>
    <w:rsid w:val="00BB2A6E"/>
    <w:rsid w:val="00BB2A80"/>
    <w:rsid w:val="00BB2BC0"/>
    <w:rsid w:val="00BB3F8B"/>
    <w:rsid w:val="00BB4000"/>
    <w:rsid w:val="00BB4350"/>
    <w:rsid w:val="00BB46DA"/>
    <w:rsid w:val="00BB4B20"/>
    <w:rsid w:val="00BB5437"/>
    <w:rsid w:val="00BB59D5"/>
    <w:rsid w:val="00BB6745"/>
    <w:rsid w:val="00BB7C7E"/>
    <w:rsid w:val="00BC01DD"/>
    <w:rsid w:val="00BC0BB4"/>
    <w:rsid w:val="00BC1155"/>
    <w:rsid w:val="00BC11E9"/>
    <w:rsid w:val="00BC16EC"/>
    <w:rsid w:val="00BC1783"/>
    <w:rsid w:val="00BC17BA"/>
    <w:rsid w:val="00BC1934"/>
    <w:rsid w:val="00BC238A"/>
    <w:rsid w:val="00BC3797"/>
    <w:rsid w:val="00BC4187"/>
    <w:rsid w:val="00BC4401"/>
    <w:rsid w:val="00BC4484"/>
    <w:rsid w:val="00BC5557"/>
    <w:rsid w:val="00BC5F88"/>
    <w:rsid w:val="00BC6F1F"/>
    <w:rsid w:val="00BC7176"/>
    <w:rsid w:val="00BD0E4A"/>
    <w:rsid w:val="00BD0FF9"/>
    <w:rsid w:val="00BD1153"/>
    <w:rsid w:val="00BD191A"/>
    <w:rsid w:val="00BD1D8B"/>
    <w:rsid w:val="00BD415C"/>
    <w:rsid w:val="00BD4A48"/>
    <w:rsid w:val="00BD4CBC"/>
    <w:rsid w:val="00BD4FAA"/>
    <w:rsid w:val="00BD60D2"/>
    <w:rsid w:val="00BD6765"/>
    <w:rsid w:val="00BD7103"/>
    <w:rsid w:val="00BD714C"/>
    <w:rsid w:val="00BD7738"/>
    <w:rsid w:val="00BD7895"/>
    <w:rsid w:val="00BD78ED"/>
    <w:rsid w:val="00BE0561"/>
    <w:rsid w:val="00BE0796"/>
    <w:rsid w:val="00BE2298"/>
    <w:rsid w:val="00BE2429"/>
    <w:rsid w:val="00BE2477"/>
    <w:rsid w:val="00BE30D6"/>
    <w:rsid w:val="00BE4636"/>
    <w:rsid w:val="00BE46DB"/>
    <w:rsid w:val="00BE5009"/>
    <w:rsid w:val="00BE5172"/>
    <w:rsid w:val="00BE5568"/>
    <w:rsid w:val="00BE5B23"/>
    <w:rsid w:val="00BE6BA1"/>
    <w:rsid w:val="00BE6C2D"/>
    <w:rsid w:val="00BE6CF5"/>
    <w:rsid w:val="00BE6F6B"/>
    <w:rsid w:val="00BE7256"/>
    <w:rsid w:val="00BE7B80"/>
    <w:rsid w:val="00BF004B"/>
    <w:rsid w:val="00BF0457"/>
    <w:rsid w:val="00BF051C"/>
    <w:rsid w:val="00BF0C00"/>
    <w:rsid w:val="00BF1356"/>
    <w:rsid w:val="00BF15D3"/>
    <w:rsid w:val="00BF1609"/>
    <w:rsid w:val="00BF17D6"/>
    <w:rsid w:val="00BF1859"/>
    <w:rsid w:val="00BF20CF"/>
    <w:rsid w:val="00BF2414"/>
    <w:rsid w:val="00BF2618"/>
    <w:rsid w:val="00BF2CBC"/>
    <w:rsid w:val="00BF2FDE"/>
    <w:rsid w:val="00BF325E"/>
    <w:rsid w:val="00BF399C"/>
    <w:rsid w:val="00BF39F8"/>
    <w:rsid w:val="00BF3F7B"/>
    <w:rsid w:val="00BF452B"/>
    <w:rsid w:val="00BF485E"/>
    <w:rsid w:val="00BF5C91"/>
    <w:rsid w:val="00BF5FC2"/>
    <w:rsid w:val="00BF6505"/>
    <w:rsid w:val="00BF73BA"/>
    <w:rsid w:val="00BF73F3"/>
    <w:rsid w:val="00C00446"/>
    <w:rsid w:val="00C008EF"/>
    <w:rsid w:val="00C01A6D"/>
    <w:rsid w:val="00C02661"/>
    <w:rsid w:val="00C045D5"/>
    <w:rsid w:val="00C05274"/>
    <w:rsid w:val="00C054B6"/>
    <w:rsid w:val="00C054DB"/>
    <w:rsid w:val="00C05647"/>
    <w:rsid w:val="00C06181"/>
    <w:rsid w:val="00C07B68"/>
    <w:rsid w:val="00C07EB6"/>
    <w:rsid w:val="00C10DEC"/>
    <w:rsid w:val="00C11738"/>
    <w:rsid w:val="00C11919"/>
    <w:rsid w:val="00C12292"/>
    <w:rsid w:val="00C13B6D"/>
    <w:rsid w:val="00C13E85"/>
    <w:rsid w:val="00C154E8"/>
    <w:rsid w:val="00C16166"/>
    <w:rsid w:val="00C16E66"/>
    <w:rsid w:val="00C16F59"/>
    <w:rsid w:val="00C17B73"/>
    <w:rsid w:val="00C17E9C"/>
    <w:rsid w:val="00C17FBF"/>
    <w:rsid w:val="00C20334"/>
    <w:rsid w:val="00C20FA8"/>
    <w:rsid w:val="00C212A4"/>
    <w:rsid w:val="00C21840"/>
    <w:rsid w:val="00C21A05"/>
    <w:rsid w:val="00C2257E"/>
    <w:rsid w:val="00C22616"/>
    <w:rsid w:val="00C22EF7"/>
    <w:rsid w:val="00C23070"/>
    <w:rsid w:val="00C2393D"/>
    <w:rsid w:val="00C24919"/>
    <w:rsid w:val="00C2496B"/>
    <w:rsid w:val="00C25295"/>
    <w:rsid w:val="00C25420"/>
    <w:rsid w:val="00C25CAA"/>
    <w:rsid w:val="00C26634"/>
    <w:rsid w:val="00C26865"/>
    <w:rsid w:val="00C2699D"/>
    <w:rsid w:val="00C26A9A"/>
    <w:rsid w:val="00C27415"/>
    <w:rsid w:val="00C300D2"/>
    <w:rsid w:val="00C30384"/>
    <w:rsid w:val="00C3168B"/>
    <w:rsid w:val="00C317BB"/>
    <w:rsid w:val="00C318D1"/>
    <w:rsid w:val="00C32198"/>
    <w:rsid w:val="00C32676"/>
    <w:rsid w:val="00C338F4"/>
    <w:rsid w:val="00C33905"/>
    <w:rsid w:val="00C34013"/>
    <w:rsid w:val="00C340EA"/>
    <w:rsid w:val="00C3455D"/>
    <w:rsid w:val="00C346AD"/>
    <w:rsid w:val="00C34D1D"/>
    <w:rsid w:val="00C36489"/>
    <w:rsid w:val="00C36B5A"/>
    <w:rsid w:val="00C36E80"/>
    <w:rsid w:val="00C3797A"/>
    <w:rsid w:val="00C37D12"/>
    <w:rsid w:val="00C37F62"/>
    <w:rsid w:val="00C40EDE"/>
    <w:rsid w:val="00C4153B"/>
    <w:rsid w:val="00C41987"/>
    <w:rsid w:val="00C41D78"/>
    <w:rsid w:val="00C41E00"/>
    <w:rsid w:val="00C41E87"/>
    <w:rsid w:val="00C42B5A"/>
    <w:rsid w:val="00C43469"/>
    <w:rsid w:val="00C43575"/>
    <w:rsid w:val="00C43808"/>
    <w:rsid w:val="00C448C1"/>
    <w:rsid w:val="00C4584B"/>
    <w:rsid w:val="00C459DB"/>
    <w:rsid w:val="00C47257"/>
    <w:rsid w:val="00C472DB"/>
    <w:rsid w:val="00C473C0"/>
    <w:rsid w:val="00C47405"/>
    <w:rsid w:val="00C50361"/>
    <w:rsid w:val="00C5067A"/>
    <w:rsid w:val="00C50C0B"/>
    <w:rsid w:val="00C50D92"/>
    <w:rsid w:val="00C52805"/>
    <w:rsid w:val="00C52CDD"/>
    <w:rsid w:val="00C53329"/>
    <w:rsid w:val="00C53769"/>
    <w:rsid w:val="00C5379C"/>
    <w:rsid w:val="00C53E5C"/>
    <w:rsid w:val="00C53EC9"/>
    <w:rsid w:val="00C55659"/>
    <w:rsid w:val="00C55D62"/>
    <w:rsid w:val="00C56546"/>
    <w:rsid w:val="00C57623"/>
    <w:rsid w:val="00C578C1"/>
    <w:rsid w:val="00C6124C"/>
    <w:rsid w:val="00C6149B"/>
    <w:rsid w:val="00C619FC"/>
    <w:rsid w:val="00C623C8"/>
    <w:rsid w:val="00C64034"/>
    <w:rsid w:val="00C6415B"/>
    <w:rsid w:val="00C648B7"/>
    <w:rsid w:val="00C65F5C"/>
    <w:rsid w:val="00C66184"/>
    <w:rsid w:val="00C66CAB"/>
    <w:rsid w:val="00C66DFB"/>
    <w:rsid w:val="00C677FB"/>
    <w:rsid w:val="00C67A3D"/>
    <w:rsid w:val="00C67A88"/>
    <w:rsid w:val="00C67BD5"/>
    <w:rsid w:val="00C715B0"/>
    <w:rsid w:val="00C73A73"/>
    <w:rsid w:val="00C73B03"/>
    <w:rsid w:val="00C74235"/>
    <w:rsid w:val="00C748C9"/>
    <w:rsid w:val="00C7580C"/>
    <w:rsid w:val="00C75B0E"/>
    <w:rsid w:val="00C768F0"/>
    <w:rsid w:val="00C7693B"/>
    <w:rsid w:val="00C76C3E"/>
    <w:rsid w:val="00C7783D"/>
    <w:rsid w:val="00C77ADC"/>
    <w:rsid w:val="00C77FBB"/>
    <w:rsid w:val="00C80775"/>
    <w:rsid w:val="00C80B76"/>
    <w:rsid w:val="00C80F4F"/>
    <w:rsid w:val="00C813D0"/>
    <w:rsid w:val="00C81564"/>
    <w:rsid w:val="00C815E7"/>
    <w:rsid w:val="00C829BD"/>
    <w:rsid w:val="00C83B14"/>
    <w:rsid w:val="00C83B75"/>
    <w:rsid w:val="00C83D03"/>
    <w:rsid w:val="00C843D1"/>
    <w:rsid w:val="00C85470"/>
    <w:rsid w:val="00C8583F"/>
    <w:rsid w:val="00C85A97"/>
    <w:rsid w:val="00C85C4D"/>
    <w:rsid w:val="00C8628C"/>
    <w:rsid w:val="00C871C4"/>
    <w:rsid w:val="00C87B92"/>
    <w:rsid w:val="00C91845"/>
    <w:rsid w:val="00C920B6"/>
    <w:rsid w:val="00C92B97"/>
    <w:rsid w:val="00C93589"/>
    <w:rsid w:val="00C93A3F"/>
    <w:rsid w:val="00C94D47"/>
    <w:rsid w:val="00C9661D"/>
    <w:rsid w:val="00C96A95"/>
    <w:rsid w:val="00C96FC2"/>
    <w:rsid w:val="00C9701A"/>
    <w:rsid w:val="00C97B34"/>
    <w:rsid w:val="00C97E2E"/>
    <w:rsid w:val="00CA00D1"/>
    <w:rsid w:val="00CA45F0"/>
    <w:rsid w:val="00CA4E89"/>
    <w:rsid w:val="00CA50D9"/>
    <w:rsid w:val="00CA574D"/>
    <w:rsid w:val="00CA57EF"/>
    <w:rsid w:val="00CA57F9"/>
    <w:rsid w:val="00CA591C"/>
    <w:rsid w:val="00CA6D80"/>
    <w:rsid w:val="00CA7022"/>
    <w:rsid w:val="00CA7384"/>
    <w:rsid w:val="00CA7D74"/>
    <w:rsid w:val="00CA7E3A"/>
    <w:rsid w:val="00CB144B"/>
    <w:rsid w:val="00CB1722"/>
    <w:rsid w:val="00CB1D7A"/>
    <w:rsid w:val="00CB2925"/>
    <w:rsid w:val="00CB3112"/>
    <w:rsid w:val="00CB369F"/>
    <w:rsid w:val="00CB3A43"/>
    <w:rsid w:val="00CB3B5A"/>
    <w:rsid w:val="00CB477F"/>
    <w:rsid w:val="00CB49B7"/>
    <w:rsid w:val="00CB49BD"/>
    <w:rsid w:val="00CB5C14"/>
    <w:rsid w:val="00CB6DA6"/>
    <w:rsid w:val="00CB6FF2"/>
    <w:rsid w:val="00CB7480"/>
    <w:rsid w:val="00CB78C4"/>
    <w:rsid w:val="00CC012F"/>
    <w:rsid w:val="00CC106D"/>
    <w:rsid w:val="00CC1443"/>
    <w:rsid w:val="00CC1E9A"/>
    <w:rsid w:val="00CC207D"/>
    <w:rsid w:val="00CC23B9"/>
    <w:rsid w:val="00CC36BF"/>
    <w:rsid w:val="00CC378D"/>
    <w:rsid w:val="00CC3803"/>
    <w:rsid w:val="00CC4747"/>
    <w:rsid w:val="00CC4999"/>
    <w:rsid w:val="00CC4CB6"/>
    <w:rsid w:val="00CC5495"/>
    <w:rsid w:val="00CC5745"/>
    <w:rsid w:val="00CC5766"/>
    <w:rsid w:val="00CC5D1A"/>
    <w:rsid w:val="00CC62D8"/>
    <w:rsid w:val="00CC63A2"/>
    <w:rsid w:val="00CC65E3"/>
    <w:rsid w:val="00CC67B9"/>
    <w:rsid w:val="00CC6872"/>
    <w:rsid w:val="00CC717C"/>
    <w:rsid w:val="00CC718D"/>
    <w:rsid w:val="00CD03AA"/>
    <w:rsid w:val="00CD147F"/>
    <w:rsid w:val="00CD17B4"/>
    <w:rsid w:val="00CD1B27"/>
    <w:rsid w:val="00CD1BB8"/>
    <w:rsid w:val="00CD265A"/>
    <w:rsid w:val="00CD30AC"/>
    <w:rsid w:val="00CD3D79"/>
    <w:rsid w:val="00CD3F9C"/>
    <w:rsid w:val="00CD42F5"/>
    <w:rsid w:val="00CD445D"/>
    <w:rsid w:val="00CD445E"/>
    <w:rsid w:val="00CD4AB7"/>
    <w:rsid w:val="00CD584E"/>
    <w:rsid w:val="00CD5C11"/>
    <w:rsid w:val="00CD63A5"/>
    <w:rsid w:val="00CD682F"/>
    <w:rsid w:val="00CD6B12"/>
    <w:rsid w:val="00CD7937"/>
    <w:rsid w:val="00CD7B5E"/>
    <w:rsid w:val="00CD7BF3"/>
    <w:rsid w:val="00CD7CB9"/>
    <w:rsid w:val="00CD7CD6"/>
    <w:rsid w:val="00CE1C07"/>
    <w:rsid w:val="00CE23C1"/>
    <w:rsid w:val="00CE2CD4"/>
    <w:rsid w:val="00CE3172"/>
    <w:rsid w:val="00CE3633"/>
    <w:rsid w:val="00CE3776"/>
    <w:rsid w:val="00CE506F"/>
    <w:rsid w:val="00CE5889"/>
    <w:rsid w:val="00CE58BF"/>
    <w:rsid w:val="00CE58F5"/>
    <w:rsid w:val="00CE627E"/>
    <w:rsid w:val="00CE6602"/>
    <w:rsid w:val="00CE6CF6"/>
    <w:rsid w:val="00CF0348"/>
    <w:rsid w:val="00CF0474"/>
    <w:rsid w:val="00CF0A8F"/>
    <w:rsid w:val="00CF0B88"/>
    <w:rsid w:val="00CF0E75"/>
    <w:rsid w:val="00CF0E94"/>
    <w:rsid w:val="00CF14C2"/>
    <w:rsid w:val="00CF1F28"/>
    <w:rsid w:val="00CF2178"/>
    <w:rsid w:val="00CF2792"/>
    <w:rsid w:val="00CF2B4F"/>
    <w:rsid w:val="00CF2EC1"/>
    <w:rsid w:val="00CF3C04"/>
    <w:rsid w:val="00CF3E60"/>
    <w:rsid w:val="00CF4ADE"/>
    <w:rsid w:val="00CF51A6"/>
    <w:rsid w:val="00CF56BE"/>
    <w:rsid w:val="00CF5A02"/>
    <w:rsid w:val="00CF6A14"/>
    <w:rsid w:val="00CF6DB9"/>
    <w:rsid w:val="00CF705B"/>
    <w:rsid w:val="00CF7079"/>
    <w:rsid w:val="00CF74E0"/>
    <w:rsid w:val="00CF7572"/>
    <w:rsid w:val="00D00482"/>
    <w:rsid w:val="00D005F3"/>
    <w:rsid w:val="00D0091E"/>
    <w:rsid w:val="00D00D7F"/>
    <w:rsid w:val="00D013DC"/>
    <w:rsid w:val="00D016BC"/>
    <w:rsid w:val="00D018FE"/>
    <w:rsid w:val="00D019CC"/>
    <w:rsid w:val="00D022BF"/>
    <w:rsid w:val="00D027FA"/>
    <w:rsid w:val="00D02C61"/>
    <w:rsid w:val="00D04F36"/>
    <w:rsid w:val="00D056A6"/>
    <w:rsid w:val="00D0580C"/>
    <w:rsid w:val="00D067BE"/>
    <w:rsid w:val="00D06928"/>
    <w:rsid w:val="00D069AE"/>
    <w:rsid w:val="00D06FAA"/>
    <w:rsid w:val="00D06FE2"/>
    <w:rsid w:val="00D0722F"/>
    <w:rsid w:val="00D1025D"/>
    <w:rsid w:val="00D104BA"/>
    <w:rsid w:val="00D10F93"/>
    <w:rsid w:val="00D119DA"/>
    <w:rsid w:val="00D11F44"/>
    <w:rsid w:val="00D12AA9"/>
    <w:rsid w:val="00D12F63"/>
    <w:rsid w:val="00D12FA4"/>
    <w:rsid w:val="00D140B4"/>
    <w:rsid w:val="00D14147"/>
    <w:rsid w:val="00D14F20"/>
    <w:rsid w:val="00D15C4F"/>
    <w:rsid w:val="00D16D31"/>
    <w:rsid w:val="00D17D7F"/>
    <w:rsid w:val="00D17E68"/>
    <w:rsid w:val="00D17EED"/>
    <w:rsid w:val="00D209EE"/>
    <w:rsid w:val="00D21A04"/>
    <w:rsid w:val="00D222AA"/>
    <w:rsid w:val="00D223BD"/>
    <w:rsid w:val="00D23619"/>
    <w:rsid w:val="00D24C06"/>
    <w:rsid w:val="00D25276"/>
    <w:rsid w:val="00D252DC"/>
    <w:rsid w:val="00D2573C"/>
    <w:rsid w:val="00D25769"/>
    <w:rsid w:val="00D25BB7"/>
    <w:rsid w:val="00D25DC7"/>
    <w:rsid w:val="00D25FE6"/>
    <w:rsid w:val="00D26CA4"/>
    <w:rsid w:val="00D271EA"/>
    <w:rsid w:val="00D272FD"/>
    <w:rsid w:val="00D278F0"/>
    <w:rsid w:val="00D318C3"/>
    <w:rsid w:val="00D31E40"/>
    <w:rsid w:val="00D32B36"/>
    <w:rsid w:val="00D33498"/>
    <w:rsid w:val="00D33797"/>
    <w:rsid w:val="00D345CE"/>
    <w:rsid w:val="00D3547B"/>
    <w:rsid w:val="00D35DC0"/>
    <w:rsid w:val="00D40110"/>
    <w:rsid w:val="00D4145A"/>
    <w:rsid w:val="00D41511"/>
    <w:rsid w:val="00D42F33"/>
    <w:rsid w:val="00D42F62"/>
    <w:rsid w:val="00D43AB3"/>
    <w:rsid w:val="00D43BED"/>
    <w:rsid w:val="00D453D3"/>
    <w:rsid w:val="00D45E15"/>
    <w:rsid w:val="00D460E2"/>
    <w:rsid w:val="00D469FB"/>
    <w:rsid w:val="00D473CC"/>
    <w:rsid w:val="00D47EE3"/>
    <w:rsid w:val="00D502AA"/>
    <w:rsid w:val="00D50456"/>
    <w:rsid w:val="00D50978"/>
    <w:rsid w:val="00D51F3E"/>
    <w:rsid w:val="00D523CA"/>
    <w:rsid w:val="00D527B0"/>
    <w:rsid w:val="00D52DFA"/>
    <w:rsid w:val="00D5361B"/>
    <w:rsid w:val="00D53734"/>
    <w:rsid w:val="00D54C69"/>
    <w:rsid w:val="00D554CF"/>
    <w:rsid w:val="00D55B05"/>
    <w:rsid w:val="00D55E1E"/>
    <w:rsid w:val="00D56F2B"/>
    <w:rsid w:val="00D57125"/>
    <w:rsid w:val="00D572DC"/>
    <w:rsid w:val="00D57924"/>
    <w:rsid w:val="00D57F7D"/>
    <w:rsid w:val="00D60421"/>
    <w:rsid w:val="00D60B0E"/>
    <w:rsid w:val="00D60B4E"/>
    <w:rsid w:val="00D61425"/>
    <w:rsid w:val="00D61EA4"/>
    <w:rsid w:val="00D624EC"/>
    <w:rsid w:val="00D62716"/>
    <w:rsid w:val="00D62828"/>
    <w:rsid w:val="00D635A4"/>
    <w:rsid w:val="00D63CC2"/>
    <w:rsid w:val="00D64188"/>
    <w:rsid w:val="00D642F7"/>
    <w:rsid w:val="00D64496"/>
    <w:rsid w:val="00D649D5"/>
    <w:rsid w:val="00D64BD2"/>
    <w:rsid w:val="00D662ED"/>
    <w:rsid w:val="00D66881"/>
    <w:rsid w:val="00D66FA2"/>
    <w:rsid w:val="00D67D0F"/>
    <w:rsid w:val="00D703D1"/>
    <w:rsid w:val="00D718E0"/>
    <w:rsid w:val="00D72105"/>
    <w:rsid w:val="00D72F5B"/>
    <w:rsid w:val="00D7342E"/>
    <w:rsid w:val="00D73461"/>
    <w:rsid w:val="00D73BF6"/>
    <w:rsid w:val="00D73FFD"/>
    <w:rsid w:val="00D7442D"/>
    <w:rsid w:val="00D74570"/>
    <w:rsid w:val="00D74B2D"/>
    <w:rsid w:val="00D75053"/>
    <w:rsid w:val="00D75319"/>
    <w:rsid w:val="00D76593"/>
    <w:rsid w:val="00D765B2"/>
    <w:rsid w:val="00D76F39"/>
    <w:rsid w:val="00D778D4"/>
    <w:rsid w:val="00D77CCA"/>
    <w:rsid w:val="00D82025"/>
    <w:rsid w:val="00D82E05"/>
    <w:rsid w:val="00D830E1"/>
    <w:rsid w:val="00D83A13"/>
    <w:rsid w:val="00D83B4E"/>
    <w:rsid w:val="00D841C8"/>
    <w:rsid w:val="00D851F0"/>
    <w:rsid w:val="00D856E4"/>
    <w:rsid w:val="00D866AA"/>
    <w:rsid w:val="00D8676F"/>
    <w:rsid w:val="00D877A8"/>
    <w:rsid w:val="00D91F0F"/>
    <w:rsid w:val="00D9286C"/>
    <w:rsid w:val="00D92DB7"/>
    <w:rsid w:val="00D93B87"/>
    <w:rsid w:val="00D9443B"/>
    <w:rsid w:val="00D9529C"/>
    <w:rsid w:val="00D95BEF"/>
    <w:rsid w:val="00D95CFE"/>
    <w:rsid w:val="00D972C6"/>
    <w:rsid w:val="00D972D8"/>
    <w:rsid w:val="00D97FD7"/>
    <w:rsid w:val="00DA04E8"/>
    <w:rsid w:val="00DA08CE"/>
    <w:rsid w:val="00DA09A1"/>
    <w:rsid w:val="00DA0A9F"/>
    <w:rsid w:val="00DA2050"/>
    <w:rsid w:val="00DA2658"/>
    <w:rsid w:val="00DA2A9B"/>
    <w:rsid w:val="00DA2C1A"/>
    <w:rsid w:val="00DA2F58"/>
    <w:rsid w:val="00DA3137"/>
    <w:rsid w:val="00DA35BC"/>
    <w:rsid w:val="00DA4641"/>
    <w:rsid w:val="00DA4E8B"/>
    <w:rsid w:val="00DA568F"/>
    <w:rsid w:val="00DA6BDE"/>
    <w:rsid w:val="00DB0FD7"/>
    <w:rsid w:val="00DB1BDA"/>
    <w:rsid w:val="00DB2C83"/>
    <w:rsid w:val="00DB2D6A"/>
    <w:rsid w:val="00DB3284"/>
    <w:rsid w:val="00DB34A3"/>
    <w:rsid w:val="00DB3716"/>
    <w:rsid w:val="00DB3C90"/>
    <w:rsid w:val="00DB3C93"/>
    <w:rsid w:val="00DB400C"/>
    <w:rsid w:val="00DB4071"/>
    <w:rsid w:val="00DB4554"/>
    <w:rsid w:val="00DB4947"/>
    <w:rsid w:val="00DB4A19"/>
    <w:rsid w:val="00DB4EDD"/>
    <w:rsid w:val="00DB6242"/>
    <w:rsid w:val="00DB6A3A"/>
    <w:rsid w:val="00DB6FED"/>
    <w:rsid w:val="00DB78A2"/>
    <w:rsid w:val="00DC0F17"/>
    <w:rsid w:val="00DC129B"/>
    <w:rsid w:val="00DC2932"/>
    <w:rsid w:val="00DC3797"/>
    <w:rsid w:val="00DC3D1D"/>
    <w:rsid w:val="00DC3F2B"/>
    <w:rsid w:val="00DC546D"/>
    <w:rsid w:val="00DC5833"/>
    <w:rsid w:val="00DC5AB6"/>
    <w:rsid w:val="00DC5BC1"/>
    <w:rsid w:val="00DC6794"/>
    <w:rsid w:val="00DC68BC"/>
    <w:rsid w:val="00DC6FDF"/>
    <w:rsid w:val="00DC789E"/>
    <w:rsid w:val="00DC7951"/>
    <w:rsid w:val="00DC7CF7"/>
    <w:rsid w:val="00DD09F6"/>
    <w:rsid w:val="00DD1B11"/>
    <w:rsid w:val="00DD2259"/>
    <w:rsid w:val="00DD2432"/>
    <w:rsid w:val="00DD29AA"/>
    <w:rsid w:val="00DD4246"/>
    <w:rsid w:val="00DD4A88"/>
    <w:rsid w:val="00DD4AF0"/>
    <w:rsid w:val="00DD4C27"/>
    <w:rsid w:val="00DD4D41"/>
    <w:rsid w:val="00DD5237"/>
    <w:rsid w:val="00DD5A32"/>
    <w:rsid w:val="00DD5C6C"/>
    <w:rsid w:val="00DD605C"/>
    <w:rsid w:val="00DD6B19"/>
    <w:rsid w:val="00DD79E6"/>
    <w:rsid w:val="00DD7BAD"/>
    <w:rsid w:val="00DE0AD7"/>
    <w:rsid w:val="00DE0C71"/>
    <w:rsid w:val="00DE1095"/>
    <w:rsid w:val="00DE1FAC"/>
    <w:rsid w:val="00DE20CC"/>
    <w:rsid w:val="00DE28EA"/>
    <w:rsid w:val="00DE296C"/>
    <w:rsid w:val="00DE3380"/>
    <w:rsid w:val="00DE496F"/>
    <w:rsid w:val="00DE4E27"/>
    <w:rsid w:val="00DE55DD"/>
    <w:rsid w:val="00DE5A21"/>
    <w:rsid w:val="00DE64EC"/>
    <w:rsid w:val="00DE68EA"/>
    <w:rsid w:val="00DE7654"/>
    <w:rsid w:val="00DE77BB"/>
    <w:rsid w:val="00DE784E"/>
    <w:rsid w:val="00DE7DCF"/>
    <w:rsid w:val="00DE7E70"/>
    <w:rsid w:val="00DF0C85"/>
    <w:rsid w:val="00DF1618"/>
    <w:rsid w:val="00DF1FC1"/>
    <w:rsid w:val="00DF37F0"/>
    <w:rsid w:val="00DF3BD8"/>
    <w:rsid w:val="00DF46EC"/>
    <w:rsid w:val="00DF4A12"/>
    <w:rsid w:val="00DF5274"/>
    <w:rsid w:val="00DF6944"/>
    <w:rsid w:val="00DF7653"/>
    <w:rsid w:val="00DF7D03"/>
    <w:rsid w:val="00DF7F49"/>
    <w:rsid w:val="00E006A3"/>
    <w:rsid w:val="00E00826"/>
    <w:rsid w:val="00E01456"/>
    <w:rsid w:val="00E0194D"/>
    <w:rsid w:val="00E020D7"/>
    <w:rsid w:val="00E02D6E"/>
    <w:rsid w:val="00E03395"/>
    <w:rsid w:val="00E03B57"/>
    <w:rsid w:val="00E0494E"/>
    <w:rsid w:val="00E04C38"/>
    <w:rsid w:val="00E051CC"/>
    <w:rsid w:val="00E053F1"/>
    <w:rsid w:val="00E0613F"/>
    <w:rsid w:val="00E06646"/>
    <w:rsid w:val="00E06E06"/>
    <w:rsid w:val="00E06F1D"/>
    <w:rsid w:val="00E0707C"/>
    <w:rsid w:val="00E10B25"/>
    <w:rsid w:val="00E10F7A"/>
    <w:rsid w:val="00E116E1"/>
    <w:rsid w:val="00E11C83"/>
    <w:rsid w:val="00E12119"/>
    <w:rsid w:val="00E127DD"/>
    <w:rsid w:val="00E13AFE"/>
    <w:rsid w:val="00E13D4C"/>
    <w:rsid w:val="00E13EDE"/>
    <w:rsid w:val="00E14315"/>
    <w:rsid w:val="00E14E19"/>
    <w:rsid w:val="00E154A6"/>
    <w:rsid w:val="00E15D6B"/>
    <w:rsid w:val="00E161BD"/>
    <w:rsid w:val="00E16310"/>
    <w:rsid w:val="00E1717B"/>
    <w:rsid w:val="00E17913"/>
    <w:rsid w:val="00E17FA5"/>
    <w:rsid w:val="00E200B1"/>
    <w:rsid w:val="00E21A75"/>
    <w:rsid w:val="00E22188"/>
    <w:rsid w:val="00E2258E"/>
    <w:rsid w:val="00E236E3"/>
    <w:rsid w:val="00E24DC8"/>
    <w:rsid w:val="00E250D7"/>
    <w:rsid w:val="00E2512B"/>
    <w:rsid w:val="00E25534"/>
    <w:rsid w:val="00E25C39"/>
    <w:rsid w:val="00E25D01"/>
    <w:rsid w:val="00E26A53"/>
    <w:rsid w:val="00E2769D"/>
    <w:rsid w:val="00E30581"/>
    <w:rsid w:val="00E31084"/>
    <w:rsid w:val="00E3138D"/>
    <w:rsid w:val="00E32205"/>
    <w:rsid w:val="00E322F1"/>
    <w:rsid w:val="00E329CC"/>
    <w:rsid w:val="00E32E64"/>
    <w:rsid w:val="00E32E65"/>
    <w:rsid w:val="00E34194"/>
    <w:rsid w:val="00E3467A"/>
    <w:rsid w:val="00E34F20"/>
    <w:rsid w:val="00E35EE2"/>
    <w:rsid w:val="00E364C2"/>
    <w:rsid w:val="00E403E3"/>
    <w:rsid w:val="00E40988"/>
    <w:rsid w:val="00E4106F"/>
    <w:rsid w:val="00E41129"/>
    <w:rsid w:val="00E411BB"/>
    <w:rsid w:val="00E41237"/>
    <w:rsid w:val="00E41936"/>
    <w:rsid w:val="00E4193B"/>
    <w:rsid w:val="00E41FAF"/>
    <w:rsid w:val="00E4277D"/>
    <w:rsid w:val="00E42F27"/>
    <w:rsid w:val="00E4367D"/>
    <w:rsid w:val="00E43756"/>
    <w:rsid w:val="00E43F31"/>
    <w:rsid w:val="00E440BA"/>
    <w:rsid w:val="00E446D2"/>
    <w:rsid w:val="00E44A5B"/>
    <w:rsid w:val="00E44AE6"/>
    <w:rsid w:val="00E44E9C"/>
    <w:rsid w:val="00E45AFE"/>
    <w:rsid w:val="00E469EE"/>
    <w:rsid w:val="00E47801"/>
    <w:rsid w:val="00E47E5D"/>
    <w:rsid w:val="00E5044D"/>
    <w:rsid w:val="00E50F87"/>
    <w:rsid w:val="00E51715"/>
    <w:rsid w:val="00E51F58"/>
    <w:rsid w:val="00E521F6"/>
    <w:rsid w:val="00E527AE"/>
    <w:rsid w:val="00E53255"/>
    <w:rsid w:val="00E535D2"/>
    <w:rsid w:val="00E542AB"/>
    <w:rsid w:val="00E547E6"/>
    <w:rsid w:val="00E548CF"/>
    <w:rsid w:val="00E551FA"/>
    <w:rsid w:val="00E5542D"/>
    <w:rsid w:val="00E56A80"/>
    <w:rsid w:val="00E60164"/>
    <w:rsid w:val="00E60794"/>
    <w:rsid w:val="00E612C4"/>
    <w:rsid w:val="00E62193"/>
    <w:rsid w:val="00E6271E"/>
    <w:rsid w:val="00E62F18"/>
    <w:rsid w:val="00E62FBA"/>
    <w:rsid w:val="00E63095"/>
    <w:rsid w:val="00E6382D"/>
    <w:rsid w:val="00E63AC1"/>
    <w:rsid w:val="00E63FA7"/>
    <w:rsid w:val="00E642C6"/>
    <w:rsid w:val="00E64BD3"/>
    <w:rsid w:val="00E6504B"/>
    <w:rsid w:val="00E65BD3"/>
    <w:rsid w:val="00E6638A"/>
    <w:rsid w:val="00E672F7"/>
    <w:rsid w:val="00E67A10"/>
    <w:rsid w:val="00E67B38"/>
    <w:rsid w:val="00E70A67"/>
    <w:rsid w:val="00E70C9A"/>
    <w:rsid w:val="00E71643"/>
    <w:rsid w:val="00E71989"/>
    <w:rsid w:val="00E71DD6"/>
    <w:rsid w:val="00E73BFC"/>
    <w:rsid w:val="00E73F84"/>
    <w:rsid w:val="00E74371"/>
    <w:rsid w:val="00E745E3"/>
    <w:rsid w:val="00E74877"/>
    <w:rsid w:val="00E749DB"/>
    <w:rsid w:val="00E74CE3"/>
    <w:rsid w:val="00E74F58"/>
    <w:rsid w:val="00E754A5"/>
    <w:rsid w:val="00E7576A"/>
    <w:rsid w:val="00E75D7D"/>
    <w:rsid w:val="00E75FDE"/>
    <w:rsid w:val="00E768C0"/>
    <w:rsid w:val="00E7719C"/>
    <w:rsid w:val="00E77700"/>
    <w:rsid w:val="00E77CBF"/>
    <w:rsid w:val="00E77D0C"/>
    <w:rsid w:val="00E80798"/>
    <w:rsid w:val="00E81840"/>
    <w:rsid w:val="00E82017"/>
    <w:rsid w:val="00E835D5"/>
    <w:rsid w:val="00E83683"/>
    <w:rsid w:val="00E83775"/>
    <w:rsid w:val="00E84095"/>
    <w:rsid w:val="00E84DF2"/>
    <w:rsid w:val="00E85A6E"/>
    <w:rsid w:val="00E869A0"/>
    <w:rsid w:val="00E874AB"/>
    <w:rsid w:val="00E8776F"/>
    <w:rsid w:val="00E878A8"/>
    <w:rsid w:val="00E87BEE"/>
    <w:rsid w:val="00E87C73"/>
    <w:rsid w:val="00E90800"/>
    <w:rsid w:val="00E91260"/>
    <w:rsid w:val="00E91E7E"/>
    <w:rsid w:val="00E922C9"/>
    <w:rsid w:val="00E924E4"/>
    <w:rsid w:val="00E926BB"/>
    <w:rsid w:val="00E92749"/>
    <w:rsid w:val="00E940C5"/>
    <w:rsid w:val="00E946FF"/>
    <w:rsid w:val="00E955EE"/>
    <w:rsid w:val="00E96022"/>
    <w:rsid w:val="00E9712B"/>
    <w:rsid w:val="00EA03C6"/>
    <w:rsid w:val="00EA1770"/>
    <w:rsid w:val="00EA223E"/>
    <w:rsid w:val="00EA2B3D"/>
    <w:rsid w:val="00EA36BD"/>
    <w:rsid w:val="00EA44AA"/>
    <w:rsid w:val="00EA4E23"/>
    <w:rsid w:val="00EA5AE7"/>
    <w:rsid w:val="00EA6011"/>
    <w:rsid w:val="00EA6621"/>
    <w:rsid w:val="00EA6BE0"/>
    <w:rsid w:val="00EA6E9A"/>
    <w:rsid w:val="00EA7203"/>
    <w:rsid w:val="00EA745E"/>
    <w:rsid w:val="00EA7471"/>
    <w:rsid w:val="00EA7660"/>
    <w:rsid w:val="00EB103B"/>
    <w:rsid w:val="00EB13FB"/>
    <w:rsid w:val="00EB1D89"/>
    <w:rsid w:val="00EB1FB8"/>
    <w:rsid w:val="00EB2211"/>
    <w:rsid w:val="00EB313D"/>
    <w:rsid w:val="00EB39FF"/>
    <w:rsid w:val="00EB3D5D"/>
    <w:rsid w:val="00EB3FAE"/>
    <w:rsid w:val="00EB40BF"/>
    <w:rsid w:val="00EB40F8"/>
    <w:rsid w:val="00EB4CC6"/>
    <w:rsid w:val="00EB5031"/>
    <w:rsid w:val="00EB50FA"/>
    <w:rsid w:val="00EB522B"/>
    <w:rsid w:val="00EB559C"/>
    <w:rsid w:val="00EB60D0"/>
    <w:rsid w:val="00EB6AFE"/>
    <w:rsid w:val="00EB6DF1"/>
    <w:rsid w:val="00EB6F04"/>
    <w:rsid w:val="00EB734D"/>
    <w:rsid w:val="00EB758C"/>
    <w:rsid w:val="00EB773D"/>
    <w:rsid w:val="00EC0519"/>
    <w:rsid w:val="00EC0659"/>
    <w:rsid w:val="00EC0A04"/>
    <w:rsid w:val="00EC0A06"/>
    <w:rsid w:val="00EC0F10"/>
    <w:rsid w:val="00EC12DD"/>
    <w:rsid w:val="00EC1932"/>
    <w:rsid w:val="00EC209E"/>
    <w:rsid w:val="00EC2A67"/>
    <w:rsid w:val="00EC2A8C"/>
    <w:rsid w:val="00EC365E"/>
    <w:rsid w:val="00EC3980"/>
    <w:rsid w:val="00EC4773"/>
    <w:rsid w:val="00EC52B7"/>
    <w:rsid w:val="00EC5BCB"/>
    <w:rsid w:val="00EC7405"/>
    <w:rsid w:val="00EC7FF3"/>
    <w:rsid w:val="00ED0677"/>
    <w:rsid w:val="00ED0FF5"/>
    <w:rsid w:val="00ED1DD1"/>
    <w:rsid w:val="00ED1FBC"/>
    <w:rsid w:val="00ED2A27"/>
    <w:rsid w:val="00ED34F1"/>
    <w:rsid w:val="00ED412A"/>
    <w:rsid w:val="00ED5DC8"/>
    <w:rsid w:val="00ED6309"/>
    <w:rsid w:val="00ED6556"/>
    <w:rsid w:val="00ED6796"/>
    <w:rsid w:val="00ED6E7C"/>
    <w:rsid w:val="00EE000B"/>
    <w:rsid w:val="00EE00D8"/>
    <w:rsid w:val="00EE0843"/>
    <w:rsid w:val="00EE0F32"/>
    <w:rsid w:val="00EE135C"/>
    <w:rsid w:val="00EE14FA"/>
    <w:rsid w:val="00EE17D1"/>
    <w:rsid w:val="00EE312C"/>
    <w:rsid w:val="00EE3379"/>
    <w:rsid w:val="00EE4EBD"/>
    <w:rsid w:val="00EE5805"/>
    <w:rsid w:val="00EE59EE"/>
    <w:rsid w:val="00EE5D7A"/>
    <w:rsid w:val="00EE6F8C"/>
    <w:rsid w:val="00EE7E1E"/>
    <w:rsid w:val="00EE7E49"/>
    <w:rsid w:val="00EF0211"/>
    <w:rsid w:val="00EF03BA"/>
    <w:rsid w:val="00EF0569"/>
    <w:rsid w:val="00EF0681"/>
    <w:rsid w:val="00EF0BCA"/>
    <w:rsid w:val="00EF0D18"/>
    <w:rsid w:val="00EF11AD"/>
    <w:rsid w:val="00EF14A4"/>
    <w:rsid w:val="00EF1884"/>
    <w:rsid w:val="00EF1F92"/>
    <w:rsid w:val="00EF227E"/>
    <w:rsid w:val="00EF3104"/>
    <w:rsid w:val="00EF3E49"/>
    <w:rsid w:val="00EF45BB"/>
    <w:rsid w:val="00EF4D7F"/>
    <w:rsid w:val="00EF72B3"/>
    <w:rsid w:val="00EF7724"/>
    <w:rsid w:val="00EF7856"/>
    <w:rsid w:val="00EF7F0D"/>
    <w:rsid w:val="00F00159"/>
    <w:rsid w:val="00F00651"/>
    <w:rsid w:val="00F0079A"/>
    <w:rsid w:val="00F00805"/>
    <w:rsid w:val="00F00AC6"/>
    <w:rsid w:val="00F00E60"/>
    <w:rsid w:val="00F0143C"/>
    <w:rsid w:val="00F01D54"/>
    <w:rsid w:val="00F01E38"/>
    <w:rsid w:val="00F02AAE"/>
    <w:rsid w:val="00F030D2"/>
    <w:rsid w:val="00F0391E"/>
    <w:rsid w:val="00F03A84"/>
    <w:rsid w:val="00F04CB2"/>
    <w:rsid w:val="00F05A00"/>
    <w:rsid w:val="00F06255"/>
    <w:rsid w:val="00F06CAD"/>
    <w:rsid w:val="00F07011"/>
    <w:rsid w:val="00F070EB"/>
    <w:rsid w:val="00F07946"/>
    <w:rsid w:val="00F1046B"/>
    <w:rsid w:val="00F1054A"/>
    <w:rsid w:val="00F1062A"/>
    <w:rsid w:val="00F10DD0"/>
    <w:rsid w:val="00F110CF"/>
    <w:rsid w:val="00F12328"/>
    <w:rsid w:val="00F138DE"/>
    <w:rsid w:val="00F139B1"/>
    <w:rsid w:val="00F140C1"/>
    <w:rsid w:val="00F1499D"/>
    <w:rsid w:val="00F15184"/>
    <w:rsid w:val="00F1665E"/>
    <w:rsid w:val="00F1705E"/>
    <w:rsid w:val="00F17070"/>
    <w:rsid w:val="00F2030E"/>
    <w:rsid w:val="00F209C3"/>
    <w:rsid w:val="00F21A29"/>
    <w:rsid w:val="00F21A3F"/>
    <w:rsid w:val="00F21EDC"/>
    <w:rsid w:val="00F2279F"/>
    <w:rsid w:val="00F227F7"/>
    <w:rsid w:val="00F22FC2"/>
    <w:rsid w:val="00F23120"/>
    <w:rsid w:val="00F234FC"/>
    <w:rsid w:val="00F23F7A"/>
    <w:rsid w:val="00F2445F"/>
    <w:rsid w:val="00F24711"/>
    <w:rsid w:val="00F24A57"/>
    <w:rsid w:val="00F25AB1"/>
    <w:rsid w:val="00F25C5E"/>
    <w:rsid w:val="00F27749"/>
    <w:rsid w:val="00F27981"/>
    <w:rsid w:val="00F30EA5"/>
    <w:rsid w:val="00F30FD9"/>
    <w:rsid w:val="00F31369"/>
    <w:rsid w:val="00F3175A"/>
    <w:rsid w:val="00F31846"/>
    <w:rsid w:val="00F31A53"/>
    <w:rsid w:val="00F31DB6"/>
    <w:rsid w:val="00F31E6D"/>
    <w:rsid w:val="00F31EF6"/>
    <w:rsid w:val="00F3216C"/>
    <w:rsid w:val="00F32337"/>
    <w:rsid w:val="00F32C8A"/>
    <w:rsid w:val="00F334F1"/>
    <w:rsid w:val="00F33CCD"/>
    <w:rsid w:val="00F33F3A"/>
    <w:rsid w:val="00F34304"/>
    <w:rsid w:val="00F345A7"/>
    <w:rsid w:val="00F34628"/>
    <w:rsid w:val="00F34992"/>
    <w:rsid w:val="00F34F63"/>
    <w:rsid w:val="00F36BB3"/>
    <w:rsid w:val="00F37021"/>
    <w:rsid w:val="00F370F6"/>
    <w:rsid w:val="00F4080D"/>
    <w:rsid w:val="00F4120E"/>
    <w:rsid w:val="00F41AAD"/>
    <w:rsid w:val="00F421ED"/>
    <w:rsid w:val="00F422A1"/>
    <w:rsid w:val="00F425D0"/>
    <w:rsid w:val="00F42D64"/>
    <w:rsid w:val="00F4304E"/>
    <w:rsid w:val="00F43A87"/>
    <w:rsid w:val="00F43E91"/>
    <w:rsid w:val="00F4491A"/>
    <w:rsid w:val="00F45F63"/>
    <w:rsid w:val="00F4603F"/>
    <w:rsid w:val="00F46A3B"/>
    <w:rsid w:val="00F46FAF"/>
    <w:rsid w:val="00F47284"/>
    <w:rsid w:val="00F47982"/>
    <w:rsid w:val="00F5092C"/>
    <w:rsid w:val="00F51792"/>
    <w:rsid w:val="00F51827"/>
    <w:rsid w:val="00F51E97"/>
    <w:rsid w:val="00F524C3"/>
    <w:rsid w:val="00F53178"/>
    <w:rsid w:val="00F532CC"/>
    <w:rsid w:val="00F53811"/>
    <w:rsid w:val="00F53DD5"/>
    <w:rsid w:val="00F54469"/>
    <w:rsid w:val="00F544C9"/>
    <w:rsid w:val="00F54781"/>
    <w:rsid w:val="00F55CC4"/>
    <w:rsid w:val="00F565CE"/>
    <w:rsid w:val="00F56AC6"/>
    <w:rsid w:val="00F56F37"/>
    <w:rsid w:val="00F57F40"/>
    <w:rsid w:val="00F60355"/>
    <w:rsid w:val="00F608FB"/>
    <w:rsid w:val="00F61036"/>
    <w:rsid w:val="00F61FFC"/>
    <w:rsid w:val="00F62698"/>
    <w:rsid w:val="00F62A00"/>
    <w:rsid w:val="00F63240"/>
    <w:rsid w:val="00F63385"/>
    <w:rsid w:val="00F642C0"/>
    <w:rsid w:val="00F645D4"/>
    <w:rsid w:val="00F64906"/>
    <w:rsid w:val="00F65146"/>
    <w:rsid w:val="00F65CA0"/>
    <w:rsid w:val="00F660B6"/>
    <w:rsid w:val="00F66842"/>
    <w:rsid w:val="00F66A57"/>
    <w:rsid w:val="00F66E07"/>
    <w:rsid w:val="00F67177"/>
    <w:rsid w:val="00F679E0"/>
    <w:rsid w:val="00F67B05"/>
    <w:rsid w:val="00F70839"/>
    <w:rsid w:val="00F70A0D"/>
    <w:rsid w:val="00F70D21"/>
    <w:rsid w:val="00F70DD9"/>
    <w:rsid w:val="00F70FBD"/>
    <w:rsid w:val="00F719A4"/>
    <w:rsid w:val="00F72D47"/>
    <w:rsid w:val="00F73615"/>
    <w:rsid w:val="00F73631"/>
    <w:rsid w:val="00F7417D"/>
    <w:rsid w:val="00F743A6"/>
    <w:rsid w:val="00F74690"/>
    <w:rsid w:val="00F75DBF"/>
    <w:rsid w:val="00F760B3"/>
    <w:rsid w:val="00F76351"/>
    <w:rsid w:val="00F768C0"/>
    <w:rsid w:val="00F8032E"/>
    <w:rsid w:val="00F80766"/>
    <w:rsid w:val="00F8135E"/>
    <w:rsid w:val="00F81457"/>
    <w:rsid w:val="00F81703"/>
    <w:rsid w:val="00F81859"/>
    <w:rsid w:val="00F81FD7"/>
    <w:rsid w:val="00F82287"/>
    <w:rsid w:val="00F8298C"/>
    <w:rsid w:val="00F82C1A"/>
    <w:rsid w:val="00F8301F"/>
    <w:rsid w:val="00F83071"/>
    <w:rsid w:val="00F83760"/>
    <w:rsid w:val="00F8399C"/>
    <w:rsid w:val="00F83C11"/>
    <w:rsid w:val="00F84B85"/>
    <w:rsid w:val="00F84E57"/>
    <w:rsid w:val="00F85237"/>
    <w:rsid w:val="00F85704"/>
    <w:rsid w:val="00F865BE"/>
    <w:rsid w:val="00F870C4"/>
    <w:rsid w:val="00F87B2C"/>
    <w:rsid w:val="00F9010D"/>
    <w:rsid w:val="00F90E7F"/>
    <w:rsid w:val="00F91B10"/>
    <w:rsid w:val="00F928B9"/>
    <w:rsid w:val="00F93B82"/>
    <w:rsid w:val="00F94C01"/>
    <w:rsid w:val="00F97A5B"/>
    <w:rsid w:val="00FA0C01"/>
    <w:rsid w:val="00FA1781"/>
    <w:rsid w:val="00FA1D7C"/>
    <w:rsid w:val="00FA4295"/>
    <w:rsid w:val="00FA489D"/>
    <w:rsid w:val="00FA48C7"/>
    <w:rsid w:val="00FA4A25"/>
    <w:rsid w:val="00FA4DB7"/>
    <w:rsid w:val="00FA51CC"/>
    <w:rsid w:val="00FA5C28"/>
    <w:rsid w:val="00FA625F"/>
    <w:rsid w:val="00FA6356"/>
    <w:rsid w:val="00FA65F3"/>
    <w:rsid w:val="00FA697E"/>
    <w:rsid w:val="00FA6ACD"/>
    <w:rsid w:val="00FA712E"/>
    <w:rsid w:val="00FA74A5"/>
    <w:rsid w:val="00FA758F"/>
    <w:rsid w:val="00FA7D7A"/>
    <w:rsid w:val="00FA7F5A"/>
    <w:rsid w:val="00FB00F6"/>
    <w:rsid w:val="00FB02D8"/>
    <w:rsid w:val="00FB0A24"/>
    <w:rsid w:val="00FB0FBC"/>
    <w:rsid w:val="00FB141C"/>
    <w:rsid w:val="00FB1439"/>
    <w:rsid w:val="00FB2D68"/>
    <w:rsid w:val="00FB3C4D"/>
    <w:rsid w:val="00FB3EEC"/>
    <w:rsid w:val="00FB4562"/>
    <w:rsid w:val="00FB4F62"/>
    <w:rsid w:val="00FB52B8"/>
    <w:rsid w:val="00FB54A1"/>
    <w:rsid w:val="00FB557E"/>
    <w:rsid w:val="00FB571C"/>
    <w:rsid w:val="00FB6054"/>
    <w:rsid w:val="00FB623B"/>
    <w:rsid w:val="00FB65B6"/>
    <w:rsid w:val="00FB6D27"/>
    <w:rsid w:val="00FB6E0A"/>
    <w:rsid w:val="00FB7A96"/>
    <w:rsid w:val="00FB7F82"/>
    <w:rsid w:val="00FC0358"/>
    <w:rsid w:val="00FC0F39"/>
    <w:rsid w:val="00FC26D2"/>
    <w:rsid w:val="00FC26EF"/>
    <w:rsid w:val="00FC29BF"/>
    <w:rsid w:val="00FC2D6E"/>
    <w:rsid w:val="00FC3537"/>
    <w:rsid w:val="00FC3986"/>
    <w:rsid w:val="00FC3B57"/>
    <w:rsid w:val="00FC3C73"/>
    <w:rsid w:val="00FC3F1F"/>
    <w:rsid w:val="00FC40B0"/>
    <w:rsid w:val="00FC40E4"/>
    <w:rsid w:val="00FC437D"/>
    <w:rsid w:val="00FC5410"/>
    <w:rsid w:val="00FC5B1D"/>
    <w:rsid w:val="00FC5EC1"/>
    <w:rsid w:val="00FC6902"/>
    <w:rsid w:val="00FC6F6F"/>
    <w:rsid w:val="00FC7326"/>
    <w:rsid w:val="00FC7B94"/>
    <w:rsid w:val="00FC7D4B"/>
    <w:rsid w:val="00FD0FD5"/>
    <w:rsid w:val="00FD170F"/>
    <w:rsid w:val="00FD20F5"/>
    <w:rsid w:val="00FD3559"/>
    <w:rsid w:val="00FD3B51"/>
    <w:rsid w:val="00FD4335"/>
    <w:rsid w:val="00FD479B"/>
    <w:rsid w:val="00FD4C88"/>
    <w:rsid w:val="00FD4DDC"/>
    <w:rsid w:val="00FD5CEF"/>
    <w:rsid w:val="00FD5E19"/>
    <w:rsid w:val="00FD5F6A"/>
    <w:rsid w:val="00FD6285"/>
    <w:rsid w:val="00FD6320"/>
    <w:rsid w:val="00FD6909"/>
    <w:rsid w:val="00FD6AAE"/>
    <w:rsid w:val="00FD70CB"/>
    <w:rsid w:val="00FD7C09"/>
    <w:rsid w:val="00FE0ABE"/>
    <w:rsid w:val="00FE1638"/>
    <w:rsid w:val="00FE23C7"/>
    <w:rsid w:val="00FE4116"/>
    <w:rsid w:val="00FE45B1"/>
    <w:rsid w:val="00FE45BF"/>
    <w:rsid w:val="00FE5753"/>
    <w:rsid w:val="00FE57E8"/>
    <w:rsid w:val="00FE5FB1"/>
    <w:rsid w:val="00FE65EC"/>
    <w:rsid w:val="00FE679A"/>
    <w:rsid w:val="00FE741B"/>
    <w:rsid w:val="00FE7517"/>
    <w:rsid w:val="00FE7FD8"/>
    <w:rsid w:val="00FF0360"/>
    <w:rsid w:val="00FF077E"/>
    <w:rsid w:val="00FF0CA6"/>
    <w:rsid w:val="00FF169E"/>
    <w:rsid w:val="00FF1745"/>
    <w:rsid w:val="00FF2484"/>
    <w:rsid w:val="00FF3A8C"/>
    <w:rsid w:val="00FF505A"/>
    <w:rsid w:val="00FF5FD9"/>
    <w:rsid w:val="00FF62E9"/>
    <w:rsid w:val="00FF7AB6"/>
    <w:rsid w:val="00FF7DED"/>
    <w:rsid w:val="00FF7E18"/>
    <w:rsid w:val="00FF7E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7D355"/>
  <w15:docId w15:val="{5605FE25-50DE-4904-9254-5BD4DCC71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FE8"/>
    <w:pPr>
      <w:spacing w:before="120" w:after="60" w:line="240" w:lineRule="auto"/>
      <w:jc w:val="both"/>
    </w:pPr>
    <w:rPr>
      <w:rFonts w:eastAsia="Times" w:cs="Times New Roman"/>
      <w:szCs w:val="20"/>
      <w:lang w:val="en-AU"/>
    </w:rPr>
  </w:style>
  <w:style w:type="paragraph" w:styleId="Heading1">
    <w:name w:val="heading 1"/>
    <w:basedOn w:val="Normal"/>
    <w:next w:val="Normal"/>
    <w:link w:val="Heading1Char"/>
    <w:qFormat/>
    <w:rsid w:val="00995182"/>
    <w:pPr>
      <w:keepNext/>
      <w:keepLines/>
      <w:numPr>
        <w:numId w:val="23"/>
      </w:numPr>
      <w:spacing w:before="60"/>
      <w:outlineLvl w:val="0"/>
    </w:pPr>
    <w:rPr>
      <w:rFonts w:ascii="Tahoma" w:hAnsi="Tahoma"/>
      <w:i/>
      <w:sz w:val="32"/>
    </w:rPr>
  </w:style>
  <w:style w:type="paragraph" w:styleId="Heading2">
    <w:name w:val="heading 2"/>
    <w:basedOn w:val="Normal"/>
    <w:next w:val="Normal"/>
    <w:link w:val="Heading2Char"/>
    <w:uiPriority w:val="9"/>
    <w:unhideWhenUsed/>
    <w:qFormat/>
    <w:rsid w:val="006F470F"/>
    <w:pPr>
      <w:keepNext/>
      <w:keepLines/>
      <w:numPr>
        <w:ilvl w:val="1"/>
        <w:numId w:val="23"/>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F3E49"/>
    <w:pPr>
      <w:keepNext/>
      <w:keepLines/>
      <w:numPr>
        <w:ilvl w:val="2"/>
        <w:numId w:val="2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F3E49"/>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2F82"/>
    <w:pPr>
      <w:keepNext/>
      <w:keepLines/>
      <w:numPr>
        <w:ilvl w:val="4"/>
        <w:numId w:val="2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12F82"/>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E4A5C"/>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2F82"/>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2F82"/>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5182"/>
    <w:rPr>
      <w:rFonts w:ascii="Tahoma" w:eastAsia="Times" w:hAnsi="Tahoma" w:cs="Times New Roman"/>
      <w:i/>
      <w:sz w:val="32"/>
      <w:szCs w:val="20"/>
      <w:lang w:val="en-AU"/>
    </w:rPr>
  </w:style>
  <w:style w:type="paragraph" w:styleId="Footer">
    <w:name w:val="footer"/>
    <w:basedOn w:val="Normal"/>
    <w:link w:val="FooterChar"/>
    <w:uiPriority w:val="99"/>
    <w:rsid w:val="00995182"/>
    <w:pPr>
      <w:tabs>
        <w:tab w:val="center" w:pos="4320"/>
        <w:tab w:val="right" w:pos="8640"/>
      </w:tabs>
    </w:pPr>
  </w:style>
  <w:style w:type="character" w:customStyle="1" w:styleId="FooterChar">
    <w:name w:val="Footer Char"/>
    <w:basedOn w:val="DefaultParagraphFont"/>
    <w:link w:val="Footer"/>
    <w:uiPriority w:val="99"/>
    <w:rsid w:val="00995182"/>
    <w:rPr>
      <w:rFonts w:eastAsia="Times" w:cs="Times New Roman"/>
      <w:szCs w:val="20"/>
      <w:lang w:val="en-AU"/>
    </w:rPr>
  </w:style>
  <w:style w:type="paragraph" w:styleId="Title">
    <w:name w:val="Title"/>
    <w:basedOn w:val="Normal"/>
    <w:link w:val="TitleChar"/>
    <w:qFormat/>
    <w:rsid w:val="00995182"/>
    <w:pPr>
      <w:keepNext/>
      <w:keepLines/>
      <w:spacing w:before="480"/>
      <w:ind w:left="851"/>
    </w:pPr>
    <w:rPr>
      <w:rFonts w:ascii="Tahoma" w:hAnsi="Tahoma"/>
      <w:i/>
      <w:kern w:val="28"/>
      <w:sz w:val="52"/>
    </w:rPr>
  </w:style>
  <w:style w:type="character" w:customStyle="1" w:styleId="TitleChar">
    <w:name w:val="Title Char"/>
    <w:basedOn w:val="DefaultParagraphFont"/>
    <w:link w:val="Title"/>
    <w:rsid w:val="00995182"/>
    <w:rPr>
      <w:rFonts w:ascii="Tahoma" w:eastAsia="Times" w:hAnsi="Tahoma" w:cs="Times New Roman"/>
      <w:i/>
      <w:kern w:val="28"/>
      <w:sz w:val="52"/>
      <w:szCs w:val="20"/>
      <w:lang w:val="en-AU"/>
    </w:rPr>
  </w:style>
  <w:style w:type="character" w:styleId="Hyperlink">
    <w:name w:val="Hyperlink"/>
    <w:uiPriority w:val="99"/>
    <w:rsid w:val="00995182"/>
    <w:rPr>
      <w:color w:val="0000FF"/>
      <w:u w:val="single"/>
    </w:rPr>
  </w:style>
  <w:style w:type="paragraph" w:styleId="Subtitle">
    <w:name w:val="Subtitle"/>
    <w:basedOn w:val="Normal"/>
    <w:link w:val="SubtitleChar"/>
    <w:qFormat/>
    <w:rsid w:val="00995182"/>
    <w:pPr>
      <w:ind w:left="851"/>
    </w:pPr>
    <w:rPr>
      <w:rFonts w:ascii="Tahoma" w:hAnsi="Tahoma" w:cs="Tahoma"/>
      <w:i/>
      <w:iCs/>
      <w:sz w:val="28"/>
    </w:rPr>
  </w:style>
  <w:style w:type="character" w:customStyle="1" w:styleId="SubtitleChar">
    <w:name w:val="Subtitle Char"/>
    <w:basedOn w:val="DefaultParagraphFont"/>
    <w:link w:val="Subtitle"/>
    <w:rsid w:val="00995182"/>
    <w:rPr>
      <w:rFonts w:ascii="Tahoma" w:eastAsia="Times" w:hAnsi="Tahoma" w:cs="Tahoma"/>
      <w:i/>
      <w:iCs/>
      <w:sz w:val="28"/>
      <w:szCs w:val="20"/>
      <w:lang w:val="en-AU"/>
    </w:rPr>
  </w:style>
  <w:style w:type="paragraph" w:customStyle="1" w:styleId="ClientName">
    <w:name w:val="Client Name"/>
    <w:basedOn w:val="Heading1"/>
    <w:next w:val="Title"/>
    <w:rsid w:val="00995182"/>
    <w:pPr>
      <w:ind w:left="851"/>
      <w:outlineLvl w:val="9"/>
    </w:pPr>
  </w:style>
  <w:style w:type="paragraph" w:customStyle="1" w:styleId="TitleCover">
    <w:name w:val="Title Cover"/>
    <w:basedOn w:val="ClientName"/>
    <w:next w:val="Normal"/>
    <w:rsid w:val="00995182"/>
    <w:pPr>
      <w:spacing w:before="6000"/>
      <w:jc w:val="left"/>
    </w:pPr>
    <w:rPr>
      <w:sz w:val="72"/>
    </w:rPr>
  </w:style>
  <w:style w:type="paragraph" w:customStyle="1" w:styleId="FooterDate">
    <w:name w:val="Footer Date"/>
    <w:basedOn w:val="Normal"/>
    <w:next w:val="Normal"/>
    <w:rsid w:val="00995182"/>
    <w:pPr>
      <w:spacing w:before="0" w:line="480" w:lineRule="auto"/>
      <w:ind w:firstLine="851"/>
    </w:pPr>
  </w:style>
  <w:style w:type="paragraph" w:customStyle="1" w:styleId="FooterAddress">
    <w:name w:val="Footer Address"/>
    <w:basedOn w:val="Normal"/>
    <w:rsid w:val="00995182"/>
    <w:pPr>
      <w:spacing w:before="0"/>
      <w:ind w:left="6804"/>
    </w:pPr>
    <w:rPr>
      <w:rFonts w:eastAsia="Times New Roman"/>
      <w:noProof/>
      <w:sz w:val="16"/>
    </w:rPr>
  </w:style>
  <w:style w:type="paragraph" w:styleId="Header">
    <w:name w:val="header"/>
    <w:basedOn w:val="Normal"/>
    <w:link w:val="HeaderChar"/>
    <w:uiPriority w:val="99"/>
    <w:unhideWhenUsed/>
    <w:rsid w:val="00995182"/>
    <w:pPr>
      <w:tabs>
        <w:tab w:val="center" w:pos="4513"/>
        <w:tab w:val="right" w:pos="9026"/>
      </w:tabs>
      <w:spacing w:before="0" w:after="0"/>
    </w:pPr>
  </w:style>
  <w:style w:type="character" w:customStyle="1" w:styleId="HeaderChar">
    <w:name w:val="Header Char"/>
    <w:basedOn w:val="DefaultParagraphFont"/>
    <w:link w:val="Header"/>
    <w:uiPriority w:val="99"/>
    <w:rsid w:val="00995182"/>
    <w:rPr>
      <w:rFonts w:eastAsia="Times" w:cs="Times New Roman"/>
      <w:szCs w:val="20"/>
      <w:lang w:val="en-AU"/>
    </w:rPr>
  </w:style>
  <w:style w:type="table" w:styleId="TableGrid">
    <w:name w:val="Table Grid"/>
    <w:basedOn w:val="TableNormal"/>
    <w:uiPriority w:val="59"/>
    <w:rsid w:val="0099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F3E49"/>
    <w:rPr>
      <w:rFonts w:asciiTheme="majorHAnsi" w:eastAsiaTheme="majorEastAsia" w:hAnsiTheme="majorHAnsi" w:cstheme="majorBidi"/>
      <w:b/>
      <w:bCs/>
      <w:color w:val="4F81BD" w:themeColor="accent1"/>
      <w:szCs w:val="20"/>
      <w:lang w:val="en-AU"/>
    </w:rPr>
  </w:style>
  <w:style w:type="character" w:customStyle="1" w:styleId="Heading4Char">
    <w:name w:val="Heading 4 Char"/>
    <w:basedOn w:val="DefaultParagraphFont"/>
    <w:link w:val="Heading4"/>
    <w:uiPriority w:val="9"/>
    <w:semiHidden/>
    <w:rsid w:val="00EF3E49"/>
    <w:rPr>
      <w:rFonts w:asciiTheme="majorHAnsi" w:eastAsiaTheme="majorEastAsia" w:hAnsiTheme="majorHAnsi" w:cstheme="majorBidi"/>
      <w:b/>
      <w:bCs/>
      <w:i/>
      <w:iCs/>
      <w:color w:val="4F81BD" w:themeColor="accent1"/>
      <w:szCs w:val="20"/>
      <w:lang w:val="en-AU"/>
    </w:rPr>
  </w:style>
  <w:style w:type="paragraph" w:customStyle="1" w:styleId="Normal-following">
    <w:name w:val="Normal - following"/>
    <w:basedOn w:val="Normal"/>
    <w:rsid w:val="00EF3E49"/>
    <w:pPr>
      <w:overflowPunct w:val="0"/>
      <w:autoSpaceDE w:val="0"/>
      <w:autoSpaceDN w:val="0"/>
      <w:adjustRightInd w:val="0"/>
      <w:spacing w:before="60" w:line="252" w:lineRule="auto"/>
      <w:textAlignment w:val="baseline"/>
    </w:pPr>
    <w:rPr>
      <w:rFonts w:eastAsia="Times New Roman"/>
    </w:rPr>
  </w:style>
  <w:style w:type="paragraph" w:customStyle="1" w:styleId="Bullets-Major">
    <w:name w:val="Bullets - Major"/>
    <w:basedOn w:val="Normal"/>
    <w:rsid w:val="00EF3E49"/>
    <w:pPr>
      <w:numPr>
        <w:numId w:val="1"/>
      </w:numPr>
      <w:overflowPunct w:val="0"/>
      <w:autoSpaceDE w:val="0"/>
      <w:autoSpaceDN w:val="0"/>
      <w:adjustRightInd w:val="0"/>
      <w:spacing w:line="252" w:lineRule="auto"/>
      <w:textAlignment w:val="baseline"/>
    </w:pPr>
  </w:style>
  <w:style w:type="paragraph" w:customStyle="1" w:styleId="Bullets-Minor">
    <w:name w:val="Bullets - Minor"/>
    <w:basedOn w:val="Bullets-Major"/>
    <w:rsid w:val="00EF3E49"/>
    <w:pPr>
      <w:numPr>
        <w:numId w:val="2"/>
      </w:numPr>
      <w:spacing w:before="60"/>
    </w:pPr>
  </w:style>
  <w:style w:type="paragraph" w:customStyle="1" w:styleId="Normal-singlespaced">
    <w:name w:val="Normal - single spaced"/>
    <w:basedOn w:val="Normal"/>
    <w:rsid w:val="00EF3E49"/>
    <w:pPr>
      <w:overflowPunct w:val="0"/>
      <w:autoSpaceDE w:val="0"/>
      <w:autoSpaceDN w:val="0"/>
      <w:adjustRightInd w:val="0"/>
      <w:spacing w:before="0" w:line="252" w:lineRule="auto"/>
      <w:textAlignment w:val="baseline"/>
    </w:pPr>
    <w:rPr>
      <w:rFonts w:eastAsia="Times New Roman"/>
    </w:rPr>
  </w:style>
  <w:style w:type="character" w:styleId="CommentReference">
    <w:name w:val="annotation reference"/>
    <w:uiPriority w:val="99"/>
    <w:semiHidden/>
    <w:rsid w:val="00EF3E49"/>
    <w:rPr>
      <w:sz w:val="16"/>
      <w:szCs w:val="16"/>
    </w:rPr>
  </w:style>
  <w:style w:type="paragraph" w:styleId="CommentText">
    <w:name w:val="annotation text"/>
    <w:basedOn w:val="Normal"/>
    <w:link w:val="CommentTextChar"/>
    <w:uiPriority w:val="99"/>
    <w:semiHidden/>
    <w:rsid w:val="00EF3E49"/>
    <w:rPr>
      <w:sz w:val="20"/>
    </w:rPr>
  </w:style>
  <w:style w:type="character" w:customStyle="1" w:styleId="CommentTextChar">
    <w:name w:val="Comment Text Char"/>
    <w:basedOn w:val="DefaultParagraphFont"/>
    <w:link w:val="CommentText"/>
    <w:uiPriority w:val="99"/>
    <w:semiHidden/>
    <w:rsid w:val="00EF3E49"/>
    <w:rPr>
      <w:rFonts w:eastAsia="Times" w:cs="Times New Roman"/>
      <w:sz w:val="20"/>
      <w:szCs w:val="20"/>
      <w:lang w:val="en-AU"/>
    </w:rPr>
  </w:style>
  <w:style w:type="paragraph" w:styleId="BalloonText">
    <w:name w:val="Balloon Text"/>
    <w:basedOn w:val="Normal"/>
    <w:link w:val="BalloonTextChar"/>
    <w:uiPriority w:val="99"/>
    <w:semiHidden/>
    <w:unhideWhenUsed/>
    <w:rsid w:val="00EF3E4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E49"/>
    <w:rPr>
      <w:rFonts w:ascii="Tahoma" w:eastAsia="Times" w:hAnsi="Tahoma" w:cs="Tahoma"/>
      <w:sz w:val="16"/>
      <w:szCs w:val="16"/>
      <w:lang w:val="en-AU"/>
    </w:rPr>
  </w:style>
  <w:style w:type="paragraph" w:styleId="NoSpacing">
    <w:name w:val="No Spacing"/>
    <w:uiPriority w:val="1"/>
    <w:qFormat/>
    <w:rsid w:val="00381468"/>
    <w:pPr>
      <w:spacing w:after="0" w:line="240" w:lineRule="auto"/>
    </w:pPr>
  </w:style>
  <w:style w:type="character" w:customStyle="1" w:styleId="Heading7Char">
    <w:name w:val="Heading 7 Char"/>
    <w:basedOn w:val="DefaultParagraphFont"/>
    <w:link w:val="Heading7"/>
    <w:uiPriority w:val="9"/>
    <w:semiHidden/>
    <w:rsid w:val="008E4A5C"/>
    <w:rPr>
      <w:rFonts w:asciiTheme="majorHAnsi" w:eastAsiaTheme="majorEastAsia" w:hAnsiTheme="majorHAnsi" w:cstheme="majorBidi"/>
      <w:i/>
      <w:iCs/>
      <w:color w:val="404040" w:themeColor="text1" w:themeTint="BF"/>
      <w:szCs w:val="20"/>
      <w:lang w:val="en-AU"/>
    </w:rPr>
  </w:style>
  <w:style w:type="paragraph" w:styleId="ListParagraph">
    <w:name w:val="List Paragraph"/>
    <w:basedOn w:val="Normal"/>
    <w:uiPriority w:val="34"/>
    <w:qFormat/>
    <w:rsid w:val="00B843D3"/>
    <w:pPr>
      <w:ind w:left="720"/>
      <w:contextualSpacing/>
    </w:pPr>
  </w:style>
  <w:style w:type="paragraph" w:styleId="BodyTextIndent2">
    <w:name w:val="Body Text Indent 2"/>
    <w:basedOn w:val="Normal"/>
    <w:link w:val="BodyTextIndent2Char"/>
    <w:rsid w:val="002A59E2"/>
    <w:pPr>
      <w:tabs>
        <w:tab w:val="left" w:pos="2520"/>
        <w:tab w:val="right" w:pos="9630"/>
      </w:tabs>
      <w:spacing w:before="240" w:after="0"/>
      <w:ind w:left="1440" w:hanging="1440"/>
    </w:pPr>
    <w:rPr>
      <w:rFonts w:ascii="Times New Roman" w:eastAsia="Times New Roman" w:hAnsi="Times New Roman"/>
      <w:sz w:val="24"/>
      <w:lang w:val="en-US"/>
    </w:rPr>
  </w:style>
  <w:style w:type="character" w:customStyle="1" w:styleId="BodyTextIndent2Char">
    <w:name w:val="Body Text Indent 2 Char"/>
    <w:basedOn w:val="DefaultParagraphFont"/>
    <w:link w:val="BodyTextIndent2"/>
    <w:rsid w:val="002A59E2"/>
    <w:rPr>
      <w:rFonts w:ascii="Times New Roman" w:eastAsia="Times New Roman" w:hAnsi="Times New Roman" w:cs="Times New Roman"/>
      <w:sz w:val="24"/>
      <w:szCs w:val="20"/>
      <w:lang w:val="en-US"/>
    </w:rPr>
  </w:style>
  <w:style w:type="paragraph" w:styleId="NormalWeb">
    <w:name w:val="Normal (Web)"/>
    <w:basedOn w:val="Normal"/>
    <w:uiPriority w:val="99"/>
    <w:rsid w:val="003C7354"/>
    <w:pPr>
      <w:spacing w:before="100" w:beforeAutospacing="1" w:after="100" w:afterAutospacing="1"/>
      <w:jc w:val="left"/>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C76C3E"/>
    <w:pPr>
      <w:spacing w:before="0" w:after="0"/>
    </w:pPr>
    <w:rPr>
      <w:sz w:val="20"/>
    </w:rPr>
  </w:style>
  <w:style w:type="character" w:customStyle="1" w:styleId="FootnoteTextChar">
    <w:name w:val="Footnote Text Char"/>
    <w:basedOn w:val="DefaultParagraphFont"/>
    <w:link w:val="FootnoteText"/>
    <w:uiPriority w:val="99"/>
    <w:semiHidden/>
    <w:rsid w:val="00C76C3E"/>
    <w:rPr>
      <w:rFonts w:eastAsia="Times" w:cs="Times New Roman"/>
      <w:sz w:val="20"/>
      <w:szCs w:val="20"/>
      <w:lang w:val="en-AU"/>
    </w:rPr>
  </w:style>
  <w:style w:type="character" w:styleId="FootnoteReference">
    <w:name w:val="footnote reference"/>
    <w:basedOn w:val="DefaultParagraphFont"/>
    <w:uiPriority w:val="99"/>
    <w:semiHidden/>
    <w:unhideWhenUsed/>
    <w:rsid w:val="00C76C3E"/>
    <w:rPr>
      <w:vertAlign w:val="superscript"/>
    </w:rPr>
  </w:style>
  <w:style w:type="character" w:styleId="FollowedHyperlink">
    <w:name w:val="FollowedHyperlink"/>
    <w:basedOn w:val="DefaultParagraphFont"/>
    <w:uiPriority w:val="99"/>
    <w:semiHidden/>
    <w:unhideWhenUsed/>
    <w:rsid w:val="000E64B8"/>
    <w:rPr>
      <w:color w:val="800080" w:themeColor="followedHyperlink"/>
      <w:u w:val="single"/>
    </w:rPr>
  </w:style>
  <w:style w:type="character" w:styleId="PlaceholderText">
    <w:name w:val="Placeholder Text"/>
    <w:basedOn w:val="DefaultParagraphFont"/>
    <w:uiPriority w:val="99"/>
    <w:semiHidden/>
    <w:rsid w:val="00366798"/>
    <w:rPr>
      <w:color w:val="808080"/>
    </w:rPr>
  </w:style>
  <w:style w:type="paragraph" w:styleId="CommentSubject">
    <w:name w:val="annotation subject"/>
    <w:basedOn w:val="CommentText"/>
    <w:next w:val="CommentText"/>
    <w:link w:val="CommentSubjectChar"/>
    <w:uiPriority w:val="99"/>
    <w:semiHidden/>
    <w:unhideWhenUsed/>
    <w:rsid w:val="00BE4636"/>
    <w:rPr>
      <w:b/>
      <w:bCs/>
    </w:rPr>
  </w:style>
  <w:style w:type="character" w:customStyle="1" w:styleId="CommentSubjectChar">
    <w:name w:val="Comment Subject Char"/>
    <w:basedOn w:val="CommentTextChar"/>
    <w:link w:val="CommentSubject"/>
    <w:uiPriority w:val="99"/>
    <w:semiHidden/>
    <w:rsid w:val="00BE4636"/>
    <w:rPr>
      <w:rFonts w:eastAsia="Times" w:cs="Times New Roman"/>
      <w:b/>
      <w:bCs/>
      <w:sz w:val="20"/>
      <w:szCs w:val="20"/>
      <w:lang w:val="en-AU"/>
    </w:rPr>
  </w:style>
  <w:style w:type="paragraph" w:styleId="TOCHeading">
    <w:name w:val="TOC Heading"/>
    <w:basedOn w:val="Heading1"/>
    <w:next w:val="Normal"/>
    <w:uiPriority w:val="39"/>
    <w:unhideWhenUsed/>
    <w:qFormat/>
    <w:rsid w:val="00FA625F"/>
    <w:pPr>
      <w:spacing w:before="480" w:after="0" w:line="276" w:lineRule="auto"/>
      <w:jc w:val="left"/>
      <w:outlineLvl w:val="9"/>
    </w:pPr>
    <w:rPr>
      <w:rFonts w:asciiTheme="majorHAnsi" w:eastAsiaTheme="majorEastAsia" w:hAnsiTheme="majorHAnsi" w:cstheme="majorBidi"/>
      <w:b/>
      <w:bCs/>
      <w:i w:val="0"/>
      <w:color w:val="365F91" w:themeColor="accent1" w:themeShade="BF"/>
      <w:sz w:val="28"/>
      <w:szCs w:val="28"/>
      <w:lang w:val="en-US" w:eastAsia="ja-JP"/>
    </w:rPr>
  </w:style>
  <w:style w:type="paragraph" w:styleId="TOC1">
    <w:name w:val="toc 1"/>
    <w:basedOn w:val="Normal"/>
    <w:next w:val="Normal"/>
    <w:autoRedefine/>
    <w:uiPriority w:val="39"/>
    <w:unhideWhenUsed/>
    <w:rsid w:val="00A96339"/>
    <w:pPr>
      <w:tabs>
        <w:tab w:val="left" w:pos="709"/>
        <w:tab w:val="right" w:leader="dot" w:pos="9016"/>
      </w:tabs>
      <w:spacing w:after="100"/>
    </w:pPr>
  </w:style>
  <w:style w:type="paragraph" w:styleId="TOC3">
    <w:name w:val="toc 3"/>
    <w:basedOn w:val="Normal"/>
    <w:next w:val="Normal"/>
    <w:autoRedefine/>
    <w:uiPriority w:val="39"/>
    <w:unhideWhenUsed/>
    <w:rsid w:val="00FA625F"/>
    <w:pPr>
      <w:spacing w:after="100"/>
      <w:ind w:left="440"/>
    </w:pPr>
  </w:style>
  <w:style w:type="character" w:customStyle="1" w:styleId="googqs-tidbit1">
    <w:name w:val="goog_qs-tidbit1"/>
    <w:basedOn w:val="DefaultParagraphFont"/>
    <w:rsid w:val="00F1665E"/>
    <w:rPr>
      <w:vanish w:val="0"/>
      <w:webHidden w:val="0"/>
      <w:specVanish w:val="0"/>
    </w:rPr>
  </w:style>
  <w:style w:type="paragraph" w:styleId="BodyText">
    <w:name w:val="Body Text"/>
    <w:basedOn w:val="Normal"/>
    <w:link w:val="BodyTextChar"/>
    <w:uiPriority w:val="99"/>
    <w:semiHidden/>
    <w:unhideWhenUsed/>
    <w:rsid w:val="006E3544"/>
    <w:pPr>
      <w:spacing w:after="120"/>
    </w:pPr>
  </w:style>
  <w:style w:type="character" w:customStyle="1" w:styleId="BodyTextChar">
    <w:name w:val="Body Text Char"/>
    <w:basedOn w:val="DefaultParagraphFont"/>
    <w:link w:val="BodyText"/>
    <w:uiPriority w:val="99"/>
    <w:semiHidden/>
    <w:rsid w:val="006E3544"/>
    <w:rPr>
      <w:rFonts w:eastAsia="Times" w:cs="Times New Roman"/>
      <w:szCs w:val="20"/>
      <w:lang w:val="en-AU"/>
    </w:rPr>
  </w:style>
  <w:style w:type="paragraph" w:styleId="EndnoteText">
    <w:name w:val="endnote text"/>
    <w:basedOn w:val="Normal"/>
    <w:link w:val="EndnoteTextChar"/>
    <w:uiPriority w:val="99"/>
    <w:semiHidden/>
    <w:unhideWhenUsed/>
    <w:rsid w:val="00F3175A"/>
    <w:pPr>
      <w:spacing w:before="0" w:after="0"/>
    </w:pPr>
    <w:rPr>
      <w:sz w:val="20"/>
    </w:rPr>
  </w:style>
  <w:style w:type="character" w:customStyle="1" w:styleId="EndnoteTextChar">
    <w:name w:val="Endnote Text Char"/>
    <w:basedOn w:val="DefaultParagraphFont"/>
    <w:link w:val="EndnoteText"/>
    <w:uiPriority w:val="99"/>
    <w:semiHidden/>
    <w:rsid w:val="00F3175A"/>
    <w:rPr>
      <w:rFonts w:eastAsia="Times" w:cs="Times New Roman"/>
      <w:sz w:val="20"/>
      <w:szCs w:val="20"/>
      <w:lang w:val="en-AU"/>
    </w:rPr>
  </w:style>
  <w:style w:type="character" w:styleId="EndnoteReference">
    <w:name w:val="endnote reference"/>
    <w:basedOn w:val="DefaultParagraphFont"/>
    <w:uiPriority w:val="99"/>
    <w:semiHidden/>
    <w:unhideWhenUsed/>
    <w:rsid w:val="00F3175A"/>
    <w:rPr>
      <w:vertAlign w:val="superscript"/>
    </w:rPr>
  </w:style>
  <w:style w:type="paragraph" w:styleId="Caption">
    <w:name w:val="caption"/>
    <w:basedOn w:val="Normal"/>
    <w:next w:val="Normal"/>
    <w:uiPriority w:val="35"/>
    <w:unhideWhenUsed/>
    <w:qFormat/>
    <w:rsid w:val="00C6149B"/>
    <w:pPr>
      <w:spacing w:before="0" w:after="200"/>
    </w:pPr>
    <w:rPr>
      <w:b/>
      <w:bCs/>
      <w:color w:val="4F81BD" w:themeColor="accent1"/>
      <w:sz w:val="18"/>
      <w:szCs w:val="18"/>
    </w:rPr>
  </w:style>
  <w:style w:type="character" w:customStyle="1" w:styleId="Heading2Char">
    <w:name w:val="Heading 2 Char"/>
    <w:basedOn w:val="DefaultParagraphFont"/>
    <w:link w:val="Heading2"/>
    <w:uiPriority w:val="9"/>
    <w:rsid w:val="006F470F"/>
    <w:rPr>
      <w:rFonts w:asciiTheme="majorHAnsi" w:eastAsiaTheme="majorEastAsia" w:hAnsiTheme="majorHAnsi" w:cstheme="majorBidi"/>
      <w:color w:val="365F91" w:themeColor="accent1" w:themeShade="BF"/>
      <w:sz w:val="26"/>
      <w:szCs w:val="26"/>
      <w:lang w:val="en-AU"/>
    </w:rPr>
  </w:style>
  <w:style w:type="paragraph" w:styleId="TOC2">
    <w:name w:val="toc 2"/>
    <w:basedOn w:val="Normal"/>
    <w:next w:val="Normal"/>
    <w:autoRedefine/>
    <w:uiPriority w:val="39"/>
    <w:unhideWhenUsed/>
    <w:rsid w:val="00836BE9"/>
    <w:pPr>
      <w:spacing w:after="100"/>
      <w:ind w:left="220"/>
    </w:pPr>
  </w:style>
  <w:style w:type="paragraph" w:customStyle="1" w:styleId="Default">
    <w:name w:val="Default"/>
    <w:rsid w:val="00B356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0404BB"/>
    <w:pPr>
      <w:spacing w:before="100" w:beforeAutospacing="1" w:after="100" w:afterAutospacing="1"/>
      <w:jc w:val="left"/>
    </w:pPr>
    <w:rPr>
      <w:rFonts w:ascii="Times New Roman" w:eastAsia="Times New Roman" w:hAnsi="Times New Roman"/>
      <w:sz w:val="24"/>
      <w:szCs w:val="24"/>
      <w:lang w:val="en-NZ" w:eastAsia="en-NZ"/>
    </w:rPr>
  </w:style>
  <w:style w:type="paragraph" w:customStyle="1" w:styleId="xl65">
    <w:name w:val="xl65"/>
    <w:basedOn w:val="Normal"/>
    <w:rsid w:val="000404BB"/>
    <w:pPr>
      <w:spacing w:before="100" w:beforeAutospacing="1" w:after="100" w:afterAutospacing="1"/>
      <w:jc w:val="left"/>
    </w:pPr>
    <w:rPr>
      <w:rFonts w:ascii="Times New Roman" w:eastAsia="Times New Roman" w:hAnsi="Times New Roman"/>
      <w:b/>
      <w:bCs/>
      <w:sz w:val="24"/>
      <w:szCs w:val="24"/>
      <w:lang w:val="en-NZ" w:eastAsia="en-NZ"/>
    </w:rPr>
  </w:style>
  <w:style w:type="paragraph" w:customStyle="1" w:styleId="xl66">
    <w:name w:val="xl66"/>
    <w:basedOn w:val="Normal"/>
    <w:rsid w:val="000404BB"/>
    <w:pPr>
      <w:spacing w:before="100" w:beforeAutospacing="1" w:after="100" w:afterAutospacing="1"/>
      <w:jc w:val="center"/>
    </w:pPr>
    <w:rPr>
      <w:rFonts w:ascii="Times New Roman" w:eastAsia="Times New Roman" w:hAnsi="Times New Roman"/>
      <w:b/>
      <w:bCs/>
      <w:sz w:val="24"/>
      <w:szCs w:val="24"/>
      <w:lang w:val="en-NZ" w:eastAsia="en-NZ"/>
    </w:rPr>
  </w:style>
  <w:style w:type="paragraph" w:customStyle="1" w:styleId="xl67">
    <w:name w:val="xl67"/>
    <w:basedOn w:val="Normal"/>
    <w:rsid w:val="00040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4"/>
      <w:szCs w:val="24"/>
      <w:lang w:val="en-NZ" w:eastAsia="en-NZ"/>
    </w:rPr>
  </w:style>
  <w:style w:type="paragraph" w:customStyle="1" w:styleId="xl68">
    <w:name w:val="xl68"/>
    <w:basedOn w:val="Normal"/>
    <w:rsid w:val="00040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18"/>
      <w:szCs w:val="18"/>
      <w:lang w:val="en-NZ" w:eastAsia="en-NZ"/>
    </w:rPr>
  </w:style>
  <w:style w:type="paragraph" w:customStyle="1" w:styleId="xl69">
    <w:name w:val="xl69"/>
    <w:basedOn w:val="Normal"/>
    <w:rsid w:val="000404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20"/>
      <w:lang w:val="en-NZ" w:eastAsia="en-NZ"/>
    </w:rPr>
  </w:style>
  <w:style w:type="paragraph" w:customStyle="1" w:styleId="xl70">
    <w:name w:val="xl70"/>
    <w:basedOn w:val="Normal"/>
    <w:rsid w:val="000404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b/>
      <w:bCs/>
      <w:sz w:val="20"/>
      <w:lang w:val="en-NZ" w:eastAsia="en-NZ"/>
    </w:rPr>
  </w:style>
  <w:style w:type="paragraph" w:customStyle="1" w:styleId="xl71">
    <w:name w:val="xl71"/>
    <w:basedOn w:val="Normal"/>
    <w:rsid w:val="000404BB"/>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20"/>
      <w:lang w:val="en-NZ" w:eastAsia="en-NZ"/>
    </w:rPr>
  </w:style>
  <w:style w:type="paragraph" w:customStyle="1" w:styleId="BoxBullet">
    <w:name w:val="BoxBullet"/>
    <w:basedOn w:val="Normal"/>
    <w:rsid w:val="0001451E"/>
    <w:pPr>
      <w:numPr>
        <w:numId w:val="21"/>
      </w:numPr>
      <w:pBdr>
        <w:top w:val="single" w:sz="6" w:space="15" w:color="auto"/>
        <w:left w:val="single" w:sz="6" w:space="15" w:color="auto"/>
        <w:bottom w:val="single" w:sz="6" w:space="15" w:color="auto"/>
        <w:right w:val="single" w:sz="6" w:space="15" w:color="auto"/>
      </w:pBdr>
      <w:spacing w:after="0"/>
      <w:ind w:right="284"/>
      <w:jc w:val="left"/>
    </w:pPr>
    <w:rPr>
      <w:rFonts w:ascii="Arial" w:eastAsia="Times New Roman" w:hAnsi="Arial"/>
      <w:sz w:val="20"/>
      <w:lang w:val="en-NZ"/>
    </w:rPr>
  </w:style>
  <w:style w:type="character" w:customStyle="1" w:styleId="Heading5Char">
    <w:name w:val="Heading 5 Char"/>
    <w:basedOn w:val="DefaultParagraphFont"/>
    <w:link w:val="Heading5"/>
    <w:uiPriority w:val="9"/>
    <w:semiHidden/>
    <w:rsid w:val="00112F82"/>
    <w:rPr>
      <w:rFonts w:asciiTheme="majorHAnsi" w:eastAsiaTheme="majorEastAsia" w:hAnsiTheme="majorHAnsi" w:cstheme="majorBidi"/>
      <w:color w:val="365F91" w:themeColor="accent1" w:themeShade="BF"/>
      <w:szCs w:val="20"/>
      <w:lang w:val="en-AU"/>
    </w:rPr>
  </w:style>
  <w:style w:type="character" w:customStyle="1" w:styleId="Heading6Char">
    <w:name w:val="Heading 6 Char"/>
    <w:basedOn w:val="DefaultParagraphFont"/>
    <w:link w:val="Heading6"/>
    <w:uiPriority w:val="9"/>
    <w:semiHidden/>
    <w:rsid w:val="00112F82"/>
    <w:rPr>
      <w:rFonts w:asciiTheme="majorHAnsi" w:eastAsiaTheme="majorEastAsia" w:hAnsiTheme="majorHAnsi" w:cstheme="majorBidi"/>
      <w:color w:val="243F60" w:themeColor="accent1" w:themeShade="7F"/>
      <w:szCs w:val="20"/>
      <w:lang w:val="en-AU"/>
    </w:rPr>
  </w:style>
  <w:style w:type="character" w:customStyle="1" w:styleId="Heading8Char">
    <w:name w:val="Heading 8 Char"/>
    <w:basedOn w:val="DefaultParagraphFont"/>
    <w:link w:val="Heading8"/>
    <w:uiPriority w:val="9"/>
    <w:semiHidden/>
    <w:rsid w:val="00112F82"/>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112F82"/>
    <w:rPr>
      <w:rFonts w:asciiTheme="majorHAnsi" w:eastAsiaTheme="majorEastAsia" w:hAnsiTheme="majorHAnsi" w:cstheme="majorBidi"/>
      <w:i/>
      <w:iCs/>
      <w:color w:val="272727" w:themeColor="text1" w:themeTint="D8"/>
      <w:sz w:val="21"/>
      <w:szCs w:val="21"/>
      <w:lang w:val="en-AU"/>
    </w:rPr>
  </w:style>
  <w:style w:type="character" w:styleId="UnresolvedMention">
    <w:name w:val="Unresolved Mention"/>
    <w:basedOn w:val="DefaultParagraphFont"/>
    <w:uiPriority w:val="99"/>
    <w:semiHidden/>
    <w:unhideWhenUsed/>
    <w:rsid w:val="00141B21"/>
    <w:rPr>
      <w:color w:val="605E5C"/>
      <w:shd w:val="clear" w:color="auto" w:fill="E1DFDD"/>
    </w:rPr>
  </w:style>
  <w:style w:type="paragraph" w:customStyle="1" w:styleId="xl63">
    <w:name w:val="xl63"/>
    <w:basedOn w:val="Normal"/>
    <w:rsid w:val="007D1C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b/>
      <w:bCs/>
      <w:sz w:val="18"/>
      <w:szCs w:val="18"/>
      <w:lang w:val="en-NZ" w:eastAsia="en-NZ"/>
    </w:rPr>
  </w:style>
  <w:style w:type="paragraph" w:customStyle="1" w:styleId="xl64">
    <w:name w:val="xl64"/>
    <w:basedOn w:val="Normal"/>
    <w:rsid w:val="007D1CE3"/>
    <w:pPr>
      <w:spacing w:before="100" w:beforeAutospacing="1" w:after="100" w:afterAutospacing="1"/>
      <w:jc w:val="center"/>
    </w:pPr>
    <w:rPr>
      <w:rFonts w:ascii="Times New Roman" w:eastAsia="Times New Roman" w:hAnsi="Times New Roman"/>
      <w:b/>
      <w:bCs/>
      <w:sz w:val="18"/>
      <w:szCs w:val="18"/>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8044">
      <w:bodyDiv w:val="1"/>
      <w:marLeft w:val="0"/>
      <w:marRight w:val="0"/>
      <w:marTop w:val="0"/>
      <w:marBottom w:val="0"/>
      <w:divBdr>
        <w:top w:val="none" w:sz="0" w:space="0" w:color="auto"/>
        <w:left w:val="none" w:sz="0" w:space="0" w:color="auto"/>
        <w:bottom w:val="none" w:sz="0" w:space="0" w:color="auto"/>
        <w:right w:val="none" w:sz="0" w:space="0" w:color="auto"/>
      </w:divBdr>
    </w:div>
    <w:div w:id="89738424">
      <w:bodyDiv w:val="1"/>
      <w:marLeft w:val="0"/>
      <w:marRight w:val="0"/>
      <w:marTop w:val="0"/>
      <w:marBottom w:val="0"/>
      <w:divBdr>
        <w:top w:val="none" w:sz="0" w:space="0" w:color="auto"/>
        <w:left w:val="none" w:sz="0" w:space="0" w:color="auto"/>
        <w:bottom w:val="none" w:sz="0" w:space="0" w:color="auto"/>
        <w:right w:val="none" w:sz="0" w:space="0" w:color="auto"/>
      </w:divBdr>
      <w:divsChild>
        <w:div w:id="728311000">
          <w:marLeft w:val="0"/>
          <w:marRight w:val="0"/>
          <w:marTop w:val="0"/>
          <w:marBottom w:val="0"/>
          <w:divBdr>
            <w:top w:val="none" w:sz="0" w:space="0" w:color="auto"/>
            <w:left w:val="none" w:sz="0" w:space="0" w:color="auto"/>
            <w:bottom w:val="none" w:sz="0" w:space="0" w:color="auto"/>
            <w:right w:val="none" w:sz="0" w:space="0" w:color="auto"/>
          </w:divBdr>
          <w:divsChild>
            <w:div w:id="1546215702">
              <w:marLeft w:val="225"/>
              <w:marRight w:val="225"/>
              <w:marTop w:val="225"/>
              <w:marBottom w:val="0"/>
              <w:divBdr>
                <w:top w:val="none" w:sz="0" w:space="0" w:color="auto"/>
                <w:left w:val="none" w:sz="0" w:space="0" w:color="auto"/>
                <w:bottom w:val="none" w:sz="0" w:space="0" w:color="auto"/>
                <w:right w:val="none" w:sz="0" w:space="0" w:color="auto"/>
              </w:divBdr>
              <w:divsChild>
                <w:div w:id="1926842112">
                  <w:marLeft w:val="0"/>
                  <w:marRight w:val="0"/>
                  <w:marTop w:val="0"/>
                  <w:marBottom w:val="0"/>
                  <w:divBdr>
                    <w:top w:val="none" w:sz="0" w:space="0" w:color="auto"/>
                    <w:left w:val="none" w:sz="0" w:space="0" w:color="auto"/>
                    <w:bottom w:val="none" w:sz="0" w:space="0" w:color="auto"/>
                    <w:right w:val="none" w:sz="0" w:space="0" w:color="auto"/>
                  </w:divBdr>
                  <w:divsChild>
                    <w:div w:id="149102394">
                      <w:marLeft w:val="765"/>
                      <w:marRight w:val="0"/>
                      <w:marTop w:val="0"/>
                      <w:marBottom w:val="150"/>
                      <w:divBdr>
                        <w:top w:val="none" w:sz="0" w:space="0" w:color="auto"/>
                        <w:left w:val="none" w:sz="0" w:space="0" w:color="auto"/>
                        <w:bottom w:val="none" w:sz="0" w:space="0" w:color="auto"/>
                        <w:right w:val="none" w:sz="0" w:space="0" w:color="auto"/>
                      </w:divBdr>
                      <w:divsChild>
                        <w:div w:id="2126339813">
                          <w:marLeft w:val="0"/>
                          <w:marRight w:val="0"/>
                          <w:marTop w:val="0"/>
                          <w:marBottom w:val="0"/>
                          <w:divBdr>
                            <w:top w:val="none" w:sz="0" w:space="0" w:color="auto"/>
                            <w:left w:val="none" w:sz="0" w:space="0" w:color="auto"/>
                            <w:bottom w:val="none" w:sz="0" w:space="0" w:color="auto"/>
                            <w:right w:val="none" w:sz="0" w:space="0" w:color="auto"/>
                          </w:divBdr>
                          <w:divsChild>
                            <w:div w:id="261300086">
                              <w:marLeft w:val="0"/>
                              <w:marRight w:val="0"/>
                              <w:marTop w:val="0"/>
                              <w:marBottom w:val="0"/>
                              <w:divBdr>
                                <w:top w:val="none" w:sz="0" w:space="0" w:color="auto"/>
                                <w:left w:val="none" w:sz="0" w:space="0" w:color="auto"/>
                                <w:bottom w:val="none" w:sz="0" w:space="0" w:color="auto"/>
                                <w:right w:val="none" w:sz="0" w:space="0" w:color="auto"/>
                              </w:divBdr>
                              <w:divsChild>
                                <w:div w:id="17626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0006">
      <w:bodyDiv w:val="1"/>
      <w:marLeft w:val="0"/>
      <w:marRight w:val="0"/>
      <w:marTop w:val="0"/>
      <w:marBottom w:val="0"/>
      <w:divBdr>
        <w:top w:val="none" w:sz="0" w:space="0" w:color="auto"/>
        <w:left w:val="none" w:sz="0" w:space="0" w:color="auto"/>
        <w:bottom w:val="none" w:sz="0" w:space="0" w:color="auto"/>
        <w:right w:val="none" w:sz="0" w:space="0" w:color="auto"/>
      </w:divBdr>
      <w:divsChild>
        <w:div w:id="1151629931">
          <w:marLeft w:val="0"/>
          <w:marRight w:val="0"/>
          <w:marTop w:val="0"/>
          <w:marBottom w:val="0"/>
          <w:divBdr>
            <w:top w:val="none" w:sz="0" w:space="0" w:color="auto"/>
            <w:left w:val="none" w:sz="0" w:space="0" w:color="auto"/>
            <w:bottom w:val="none" w:sz="0" w:space="0" w:color="auto"/>
            <w:right w:val="none" w:sz="0" w:space="0" w:color="auto"/>
          </w:divBdr>
          <w:divsChild>
            <w:div w:id="879823254">
              <w:marLeft w:val="0"/>
              <w:marRight w:val="0"/>
              <w:marTop w:val="0"/>
              <w:marBottom w:val="0"/>
              <w:divBdr>
                <w:top w:val="none" w:sz="0" w:space="0" w:color="auto"/>
                <w:left w:val="none" w:sz="0" w:space="0" w:color="auto"/>
                <w:bottom w:val="none" w:sz="0" w:space="0" w:color="auto"/>
                <w:right w:val="none" w:sz="0" w:space="0" w:color="auto"/>
              </w:divBdr>
              <w:divsChild>
                <w:div w:id="1243178323">
                  <w:marLeft w:val="0"/>
                  <w:marRight w:val="0"/>
                  <w:marTop w:val="0"/>
                  <w:marBottom w:val="0"/>
                  <w:divBdr>
                    <w:top w:val="none" w:sz="0" w:space="0" w:color="auto"/>
                    <w:left w:val="none" w:sz="0" w:space="0" w:color="auto"/>
                    <w:bottom w:val="none" w:sz="0" w:space="0" w:color="auto"/>
                    <w:right w:val="none" w:sz="0" w:space="0" w:color="auto"/>
                  </w:divBdr>
                  <w:divsChild>
                    <w:div w:id="1341346827">
                      <w:marLeft w:val="0"/>
                      <w:marRight w:val="0"/>
                      <w:marTop w:val="0"/>
                      <w:marBottom w:val="0"/>
                      <w:divBdr>
                        <w:top w:val="none" w:sz="0" w:space="0" w:color="auto"/>
                        <w:left w:val="none" w:sz="0" w:space="0" w:color="auto"/>
                        <w:bottom w:val="none" w:sz="0" w:space="0" w:color="auto"/>
                        <w:right w:val="none" w:sz="0" w:space="0" w:color="auto"/>
                      </w:divBdr>
                      <w:divsChild>
                        <w:div w:id="2056347984">
                          <w:marLeft w:val="0"/>
                          <w:marRight w:val="0"/>
                          <w:marTop w:val="0"/>
                          <w:marBottom w:val="0"/>
                          <w:divBdr>
                            <w:top w:val="none" w:sz="0" w:space="0" w:color="auto"/>
                            <w:left w:val="none" w:sz="0" w:space="0" w:color="auto"/>
                            <w:bottom w:val="none" w:sz="0" w:space="0" w:color="auto"/>
                            <w:right w:val="none" w:sz="0" w:space="0" w:color="auto"/>
                          </w:divBdr>
                          <w:divsChild>
                            <w:div w:id="689139609">
                              <w:marLeft w:val="0"/>
                              <w:marRight w:val="0"/>
                              <w:marTop w:val="0"/>
                              <w:marBottom w:val="0"/>
                              <w:divBdr>
                                <w:top w:val="none" w:sz="0" w:space="0" w:color="auto"/>
                                <w:left w:val="none" w:sz="0" w:space="0" w:color="auto"/>
                                <w:bottom w:val="none" w:sz="0" w:space="0" w:color="auto"/>
                                <w:right w:val="none" w:sz="0" w:space="0" w:color="auto"/>
                              </w:divBdr>
                              <w:divsChild>
                                <w:div w:id="8361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116899">
      <w:bodyDiv w:val="1"/>
      <w:marLeft w:val="0"/>
      <w:marRight w:val="0"/>
      <w:marTop w:val="0"/>
      <w:marBottom w:val="0"/>
      <w:divBdr>
        <w:top w:val="none" w:sz="0" w:space="0" w:color="auto"/>
        <w:left w:val="none" w:sz="0" w:space="0" w:color="auto"/>
        <w:bottom w:val="none" w:sz="0" w:space="0" w:color="auto"/>
        <w:right w:val="none" w:sz="0" w:space="0" w:color="auto"/>
      </w:divBdr>
    </w:div>
    <w:div w:id="177620738">
      <w:bodyDiv w:val="1"/>
      <w:marLeft w:val="0"/>
      <w:marRight w:val="0"/>
      <w:marTop w:val="0"/>
      <w:marBottom w:val="0"/>
      <w:divBdr>
        <w:top w:val="none" w:sz="0" w:space="0" w:color="auto"/>
        <w:left w:val="none" w:sz="0" w:space="0" w:color="auto"/>
        <w:bottom w:val="none" w:sz="0" w:space="0" w:color="auto"/>
        <w:right w:val="none" w:sz="0" w:space="0" w:color="auto"/>
      </w:divBdr>
    </w:div>
    <w:div w:id="189031484">
      <w:bodyDiv w:val="1"/>
      <w:marLeft w:val="0"/>
      <w:marRight w:val="0"/>
      <w:marTop w:val="0"/>
      <w:marBottom w:val="0"/>
      <w:divBdr>
        <w:top w:val="none" w:sz="0" w:space="0" w:color="auto"/>
        <w:left w:val="none" w:sz="0" w:space="0" w:color="auto"/>
        <w:bottom w:val="none" w:sz="0" w:space="0" w:color="auto"/>
        <w:right w:val="none" w:sz="0" w:space="0" w:color="auto"/>
      </w:divBdr>
    </w:div>
    <w:div w:id="191580235">
      <w:bodyDiv w:val="1"/>
      <w:marLeft w:val="0"/>
      <w:marRight w:val="0"/>
      <w:marTop w:val="0"/>
      <w:marBottom w:val="0"/>
      <w:divBdr>
        <w:top w:val="none" w:sz="0" w:space="0" w:color="auto"/>
        <w:left w:val="none" w:sz="0" w:space="0" w:color="auto"/>
        <w:bottom w:val="none" w:sz="0" w:space="0" w:color="auto"/>
        <w:right w:val="none" w:sz="0" w:space="0" w:color="auto"/>
      </w:divBdr>
    </w:div>
    <w:div w:id="285622459">
      <w:bodyDiv w:val="1"/>
      <w:marLeft w:val="0"/>
      <w:marRight w:val="0"/>
      <w:marTop w:val="0"/>
      <w:marBottom w:val="0"/>
      <w:divBdr>
        <w:top w:val="none" w:sz="0" w:space="0" w:color="auto"/>
        <w:left w:val="none" w:sz="0" w:space="0" w:color="auto"/>
        <w:bottom w:val="none" w:sz="0" w:space="0" w:color="auto"/>
        <w:right w:val="none" w:sz="0" w:space="0" w:color="auto"/>
      </w:divBdr>
    </w:div>
    <w:div w:id="425537064">
      <w:bodyDiv w:val="1"/>
      <w:marLeft w:val="0"/>
      <w:marRight w:val="0"/>
      <w:marTop w:val="0"/>
      <w:marBottom w:val="0"/>
      <w:divBdr>
        <w:top w:val="none" w:sz="0" w:space="0" w:color="auto"/>
        <w:left w:val="none" w:sz="0" w:space="0" w:color="auto"/>
        <w:bottom w:val="none" w:sz="0" w:space="0" w:color="auto"/>
        <w:right w:val="none" w:sz="0" w:space="0" w:color="auto"/>
      </w:divBdr>
    </w:div>
    <w:div w:id="463740209">
      <w:bodyDiv w:val="1"/>
      <w:marLeft w:val="0"/>
      <w:marRight w:val="0"/>
      <w:marTop w:val="0"/>
      <w:marBottom w:val="0"/>
      <w:divBdr>
        <w:top w:val="none" w:sz="0" w:space="0" w:color="auto"/>
        <w:left w:val="none" w:sz="0" w:space="0" w:color="auto"/>
        <w:bottom w:val="none" w:sz="0" w:space="0" w:color="auto"/>
        <w:right w:val="none" w:sz="0" w:space="0" w:color="auto"/>
      </w:divBdr>
    </w:div>
    <w:div w:id="478570187">
      <w:bodyDiv w:val="1"/>
      <w:marLeft w:val="0"/>
      <w:marRight w:val="0"/>
      <w:marTop w:val="0"/>
      <w:marBottom w:val="0"/>
      <w:divBdr>
        <w:top w:val="none" w:sz="0" w:space="0" w:color="auto"/>
        <w:left w:val="none" w:sz="0" w:space="0" w:color="auto"/>
        <w:bottom w:val="none" w:sz="0" w:space="0" w:color="auto"/>
        <w:right w:val="none" w:sz="0" w:space="0" w:color="auto"/>
      </w:divBdr>
    </w:div>
    <w:div w:id="490758908">
      <w:bodyDiv w:val="1"/>
      <w:marLeft w:val="0"/>
      <w:marRight w:val="0"/>
      <w:marTop w:val="0"/>
      <w:marBottom w:val="0"/>
      <w:divBdr>
        <w:top w:val="none" w:sz="0" w:space="0" w:color="auto"/>
        <w:left w:val="none" w:sz="0" w:space="0" w:color="auto"/>
        <w:bottom w:val="none" w:sz="0" w:space="0" w:color="auto"/>
        <w:right w:val="none" w:sz="0" w:space="0" w:color="auto"/>
      </w:divBdr>
      <w:divsChild>
        <w:div w:id="927270006">
          <w:marLeft w:val="0"/>
          <w:marRight w:val="0"/>
          <w:marTop w:val="0"/>
          <w:marBottom w:val="0"/>
          <w:divBdr>
            <w:top w:val="none" w:sz="0" w:space="0" w:color="auto"/>
            <w:left w:val="none" w:sz="0" w:space="0" w:color="auto"/>
            <w:bottom w:val="none" w:sz="0" w:space="0" w:color="auto"/>
            <w:right w:val="none" w:sz="0" w:space="0" w:color="auto"/>
          </w:divBdr>
          <w:divsChild>
            <w:div w:id="1935897966">
              <w:marLeft w:val="0"/>
              <w:marRight w:val="0"/>
              <w:marTop w:val="0"/>
              <w:marBottom w:val="0"/>
              <w:divBdr>
                <w:top w:val="none" w:sz="0" w:space="0" w:color="auto"/>
                <w:left w:val="none" w:sz="0" w:space="0" w:color="auto"/>
                <w:bottom w:val="none" w:sz="0" w:space="0" w:color="auto"/>
                <w:right w:val="none" w:sz="0" w:space="0" w:color="auto"/>
              </w:divBdr>
              <w:divsChild>
                <w:div w:id="1402823853">
                  <w:marLeft w:val="0"/>
                  <w:marRight w:val="0"/>
                  <w:marTop w:val="0"/>
                  <w:marBottom w:val="0"/>
                  <w:divBdr>
                    <w:top w:val="none" w:sz="0" w:space="0" w:color="auto"/>
                    <w:left w:val="none" w:sz="0" w:space="0" w:color="auto"/>
                    <w:bottom w:val="none" w:sz="0" w:space="0" w:color="auto"/>
                    <w:right w:val="none" w:sz="0" w:space="0" w:color="auto"/>
                  </w:divBdr>
                  <w:divsChild>
                    <w:div w:id="591863562">
                      <w:marLeft w:val="0"/>
                      <w:marRight w:val="0"/>
                      <w:marTop w:val="0"/>
                      <w:marBottom w:val="0"/>
                      <w:divBdr>
                        <w:top w:val="none" w:sz="0" w:space="0" w:color="auto"/>
                        <w:left w:val="none" w:sz="0" w:space="0" w:color="auto"/>
                        <w:bottom w:val="none" w:sz="0" w:space="0" w:color="auto"/>
                        <w:right w:val="none" w:sz="0" w:space="0" w:color="auto"/>
                      </w:divBdr>
                      <w:divsChild>
                        <w:div w:id="1197503010">
                          <w:marLeft w:val="0"/>
                          <w:marRight w:val="0"/>
                          <w:marTop w:val="0"/>
                          <w:marBottom w:val="0"/>
                          <w:divBdr>
                            <w:top w:val="none" w:sz="0" w:space="0" w:color="auto"/>
                            <w:left w:val="none" w:sz="0" w:space="0" w:color="auto"/>
                            <w:bottom w:val="none" w:sz="0" w:space="0" w:color="auto"/>
                            <w:right w:val="none" w:sz="0" w:space="0" w:color="auto"/>
                          </w:divBdr>
                          <w:divsChild>
                            <w:div w:id="761531645">
                              <w:marLeft w:val="0"/>
                              <w:marRight w:val="0"/>
                              <w:marTop w:val="0"/>
                              <w:marBottom w:val="0"/>
                              <w:divBdr>
                                <w:top w:val="none" w:sz="0" w:space="0" w:color="auto"/>
                                <w:left w:val="none" w:sz="0" w:space="0" w:color="auto"/>
                                <w:bottom w:val="none" w:sz="0" w:space="0" w:color="auto"/>
                                <w:right w:val="none" w:sz="0" w:space="0" w:color="auto"/>
                              </w:divBdr>
                              <w:divsChild>
                                <w:div w:id="69233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003619">
      <w:bodyDiv w:val="1"/>
      <w:marLeft w:val="0"/>
      <w:marRight w:val="0"/>
      <w:marTop w:val="0"/>
      <w:marBottom w:val="0"/>
      <w:divBdr>
        <w:top w:val="none" w:sz="0" w:space="0" w:color="auto"/>
        <w:left w:val="none" w:sz="0" w:space="0" w:color="auto"/>
        <w:bottom w:val="none" w:sz="0" w:space="0" w:color="auto"/>
        <w:right w:val="none" w:sz="0" w:space="0" w:color="auto"/>
      </w:divBdr>
    </w:div>
    <w:div w:id="613755482">
      <w:bodyDiv w:val="1"/>
      <w:marLeft w:val="0"/>
      <w:marRight w:val="0"/>
      <w:marTop w:val="0"/>
      <w:marBottom w:val="0"/>
      <w:divBdr>
        <w:top w:val="none" w:sz="0" w:space="0" w:color="auto"/>
        <w:left w:val="none" w:sz="0" w:space="0" w:color="auto"/>
        <w:bottom w:val="none" w:sz="0" w:space="0" w:color="auto"/>
        <w:right w:val="none" w:sz="0" w:space="0" w:color="auto"/>
      </w:divBdr>
    </w:div>
    <w:div w:id="686372850">
      <w:bodyDiv w:val="1"/>
      <w:marLeft w:val="0"/>
      <w:marRight w:val="0"/>
      <w:marTop w:val="0"/>
      <w:marBottom w:val="0"/>
      <w:divBdr>
        <w:top w:val="none" w:sz="0" w:space="0" w:color="auto"/>
        <w:left w:val="none" w:sz="0" w:space="0" w:color="auto"/>
        <w:bottom w:val="none" w:sz="0" w:space="0" w:color="auto"/>
        <w:right w:val="none" w:sz="0" w:space="0" w:color="auto"/>
      </w:divBdr>
    </w:div>
    <w:div w:id="745540868">
      <w:bodyDiv w:val="1"/>
      <w:marLeft w:val="0"/>
      <w:marRight w:val="0"/>
      <w:marTop w:val="0"/>
      <w:marBottom w:val="0"/>
      <w:divBdr>
        <w:top w:val="none" w:sz="0" w:space="0" w:color="auto"/>
        <w:left w:val="none" w:sz="0" w:space="0" w:color="auto"/>
        <w:bottom w:val="none" w:sz="0" w:space="0" w:color="auto"/>
        <w:right w:val="none" w:sz="0" w:space="0" w:color="auto"/>
      </w:divBdr>
    </w:div>
    <w:div w:id="776408076">
      <w:bodyDiv w:val="1"/>
      <w:marLeft w:val="0"/>
      <w:marRight w:val="0"/>
      <w:marTop w:val="0"/>
      <w:marBottom w:val="0"/>
      <w:divBdr>
        <w:top w:val="none" w:sz="0" w:space="0" w:color="auto"/>
        <w:left w:val="none" w:sz="0" w:space="0" w:color="auto"/>
        <w:bottom w:val="none" w:sz="0" w:space="0" w:color="auto"/>
        <w:right w:val="none" w:sz="0" w:space="0" w:color="auto"/>
      </w:divBdr>
    </w:div>
    <w:div w:id="889003651">
      <w:bodyDiv w:val="1"/>
      <w:marLeft w:val="0"/>
      <w:marRight w:val="0"/>
      <w:marTop w:val="0"/>
      <w:marBottom w:val="0"/>
      <w:divBdr>
        <w:top w:val="none" w:sz="0" w:space="0" w:color="auto"/>
        <w:left w:val="none" w:sz="0" w:space="0" w:color="auto"/>
        <w:bottom w:val="none" w:sz="0" w:space="0" w:color="auto"/>
        <w:right w:val="none" w:sz="0" w:space="0" w:color="auto"/>
      </w:divBdr>
    </w:div>
    <w:div w:id="900093781">
      <w:bodyDiv w:val="1"/>
      <w:marLeft w:val="0"/>
      <w:marRight w:val="0"/>
      <w:marTop w:val="0"/>
      <w:marBottom w:val="0"/>
      <w:divBdr>
        <w:top w:val="none" w:sz="0" w:space="0" w:color="auto"/>
        <w:left w:val="none" w:sz="0" w:space="0" w:color="auto"/>
        <w:bottom w:val="none" w:sz="0" w:space="0" w:color="auto"/>
        <w:right w:val="none" w:sz="0" w:space="0" w:color="auto"/>
      </w:divBdr>
    </w:div>
    <w:div w:id="915357861">
      <w:bodyDiv w:val="1"/>
      <w:marLeft w:val="0"/>
      <w:marRight w:val="0"/>
      <w:marTop w:val="0"/>
      <w:marBottom w:val="0"/>
      <w:divBdr>
        <w:top w:val="none" w:sz="0" w:space="0" w:color="auto"/>
        <w:left w:val="none" w:sz="0" w:space="0" w:color="auto"/>
        <w:bottom w:val="none" w:sz="0" w:space="0" w:color="auto"/>
        <w:right w:val="none" w:sz="0" w:space="0" w:color="auto"/>
      </w:divBdr>
    </w:div>
    <w:div w:id="1276789037">
      <w:bodyDiv w:val="1"/>
      <w:marLeft w:val="0"/>
      <w:marRight w:val="0"/>
      <w:marTop w:val="0"/>
      <w:marBottom w:val="0"/>
      <w:divBdr>
        <w:top w:val="none" w:sz="0" w:space="0" w:color="auto"/>
        <w:left w:val="none" w:sz="0" w:space="0" w:color="auto"/>
        <w:bottom w:val="none" w:sz="0" w:space="0" w:color="auto"/>
        <w:right w:val="none" w:sz="0" w:space="0" w:color="auto"/>
      </w:divBdr>
    </w:div>
    <w:div w:id="1411270738">
      <w:bodyDiv w:val="1"/>
      <w:marLeft w:val="0"/>
      <w:marRight w:val="0"/>
      <w:marTop w:val="0"/>
      <w:marBottom w:val="0"/>
      <w:divBdr>
        <w:top w:val="none" w:sz="0" w:space="0" w:color="auto"/>
        <w:left w:val="none" w:sz="0" w:space="0" w:color="auto"/>
        <w:bottom w:val="none" w:sz="0" w:space="0" w:color="auto"/>
        <w:right w:val="none" w:sz="0" w:space="0" w:color="auto"/>
      </w:divBdr>
    </w:div>
    <w:div w:id="1533761263">
      <w:bodyDiv w:val="1"/>
      <w:marLeft w:val="0"/>
      <w:marRight w:val="0"/>
      <w:marTop w:val="0"/>
      <w:marBottom w:val="0"/>
      <w:divBdr>
        <w:top w:val="none" w:sz="0" w:space="0" w:color="auto"/>
        <w:left w:val="none" w:sz="0" w:space="0" w:color="auto"/>
        <w:bottom w:val="none" w:sz="0" w:space="0" w:color="auto"/>
        <w:right w:val="none" w:sz="0" w:space="0" w:color="auto"/>
      </w:divBdr>
    </w:div>
    <w:div w:id="1538011568">
      <w:bodyDiv w:val="1"/>
      <w:marLeft w:val="0"/>
      <w:marRight w:val="0"/>
      <w:marTop w:val="0"/>
      <w:marBottom w:val="0"/>
      <w:divBdr>
        <w:top w:val="none" w:sz="0" w:space="0" w:color="auto"/>
        <w:left w:val="none" w:sz="0" w:space="0" w:color="auto"/>
        <w:bottom w:val="none" w:sz="0" w:space="0" w:color="auto"/>
        <w:right w:val="none" w:sz="0" w:space="0" w:color="auto"/>
      </w:divBdr>
    </w:div>
    <w:div w:id="1712802622">
      <w:bodyDiv w:val="1"/>
      <w:marLeft w:val="0"/>
      <w:marRight w:val="0"/>
      <w:marTop w:val="0"/>
      <w:marBottom w:val="0"/>
      <w:divBdr>
        <w:top w:val="none" w:sz="0" w:space="0" w:color="auto"/>
        <w:left w:val="none" w:sz="0" w:space="0" w:color="auto"/>
        <w:bottom w:val="none" w:sz="0" w:space="0" w:color="auto"/>
        <w:right w:val="none" w:sz="0" w:space="0" w:color="auto"/>
      </w:divBdr>
    </w:div>
    <w:div w:id="1861896858">
      <w:bodyDiv w:val="1"/>
      <w:marLeft w:val="0"/>
      <w:marRight w:val="0"/>
      <w:marTop w:val="0"/>
      <w:marBottom w:val="0"/>
      <w:divBdr>
        <w:top w:val="none" w:sz="0" w:space="0" w:color="auto"/>
        <w:left w:val="none" w:sz="0" w:space="0" w:color="auto"/>
        <w:bottom w:val="none" w:sz="0" w:space="0" w:color="auto"/>
        <w:right w:val="none" w:sz="0" w:space="0" w:color="auto"/>
      </w:divBdr>
    </w:div>
    <w:div w:id="1868249833">
      <w:bodyDiv w:val="1"/>
      <w:marLeft w:val="0"/>
      <w:marRight w:val="0"/>
      <w:marTop w:val="0"/>
      <w:marBottom w:val="0"/>
      <w:divBdr>
        <w:top w:val="none" w:sz="0" w:space="0" w:color="auto"/>
        <w:left w:val="none" w:sz="0" w:space="0" w:color="auto"/>
        <w:bottom w:val="none" w:sz="0" w:space="0" w:color="auto"/>
        <w:right w:val="none" w:sz="0" w:space="0" w:color="auto"/>
      </w:divBdr>
    </w:div>
    <w:div w:id="1966080420">
      <w:bodyDiv w:val="1"/>
      <w:marLeft w:val="0"/>
      <w:marRight w:val="0"/>
      <w:marTop w:val="0"/>
      <w:marBottom w:val="0"/>
      <w:divBdr>
        <w:top w:val="none" w:sz="0" w:space="0" w:color="auto"/>
        <w:left w:val="none" w:sz="0" w:space="0" w:color="auto"/>
        <w:bottom w:val="none" w:sz="0" w:space="0" w:color="auto"/>
        <w:right w:val="none" w:sz="0" w:space="0" w:color="auto"/>
      </w:divBdr>
    </w:div>
    <w:div w:id="1988631795">
      <w:bodyDiv w:val="1"/>
      <w:marLeft w:val="0"/>
      <w:marRight w:val="0"/>
      <w:marTop w:val="0"/>
      <w:marBottom w:val="0"/>
      <w:divBdr>
        <w:top w:val="none" w:sz="0" w:space="0" w:color="auto"/>
        <w:left w:val="none" w:sz="0" w:space="0" w:color="auto"/>
        <w:bottom w:val="none" w:sz="0" w:space="0" w:color="auto"/>
        <w:right w:val="none" w:sz="0" w:space="0" w:color="auto"/>
      </w:divBdr>
    </w:div>
    <w:div w:id="2016346609">
      <w:bodyDiv w:val="1"/>
      <w:marLeft w:val="0"/>
      <w:marRight w:val="0"/>
      <w:marTop w:val="0"/>
      <w:marBottom w:val="0"/>
      <w:divBdr>
        <w:top w:val="none" w:sz="0" w:space="0" w:color="auto"/>
        <w:left w:val="none" w:sz="0" w:space="0" w:color="auto"/>
        <w:bottom w:val="none" w:sz="0" w:space="0" w:color="auto"/>
        <w:right w:val="none" w:sz="0" w:space="0" w:color="auto"/>
      </w:divBdr>
    </w:div>
    <w:div w:id="2062707376">
      <w:bodyDiv w:val="1"/>
      <w:marLeft w:val="0"/>
      <w:marRight w:val="0"/>
      <w:marTop w:val="0"/>
      <w:marBottom w:val="0"/>
      <w:divBdr>
        <w:top w:val="none" w:sz="0" w:space="0" w:color="auto"/>
        <w:left w:val="none" w:sz="0" w:space="0" w:color="auto"/>
        <w:bottom w:val="none" w:sz="0" w:space="0" w:color="auto"/>
        <w:right w:val="none" w:sz="0" w:space="0" w:color="auto"/>
      </w:divBdr>
    </w:div>
    <w:div w:id="20784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1.xml"/><Relationship Id="rId26"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chart" Target="charts/chart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6.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chart" Target="charts/chart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5.jpg"/><Relationship Id="rId32"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https://www.woodsman.co.nz/rmf" TargetMode="External"/><Relationship Id="rId23" Type="http://schemas.openxmlformats.org/officeDocument/2006/relationships/image" Target="media/image4.jpg"/><Relationship Id="rId28" Type="http://schemas.openxmlformats.org/officeDocument/2006/relationships/image" Target="media/image9.jpeg"/><Relationship Id="rId10" Type="http://schemas.openxmlformats.org/officeDocument/2006/relationships/header" Target="header1.xml"/><Relationship Id="rId19" Type="http://schemas.openxmlformats.org/officeDocument/2006/relationships/chart" Target="charts/chart2.xm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strategicenergy.co.nz" TargetMode="External"/><Relationship Id="rId14" Type="http://schemas.openxmlformats.org/officeDocument/2006/relationships/header" Target="header4.xml"/><Relationship Id="rId22" Type="http://schemas.openxmlformats.org/officeDocument/2006/relationships/chart" Target="charts/chart5.xml"/><Relationship Id="rId27" Type="http://schemas.openxmlformats.org/officeDocument/2006/relationships/image" Target="media/image8.jpg"/><Relationship Id="rId30"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strategicenergy-my.sharepoint.com/personal/glenn_strategicenergy_co_nz/Documents/Documents/Clients/MFE/NESAQ%202019/Info%20from%20councils%20PDP/summary%20sheet%20consents%20CCC%20-%20SUMMARY%20v2.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strategicenergy-my.sharepoint.com/personal/glenn_strategicenergy_co_nz/Documents/Documents/Clients/MFE/NESAQ%202019/recent%20burner%20details%20Oct19.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trategicenergy-my.sharepoint.com/personal/glenn_strategicenergy_co_nz/Documents/Documents/Clients/MFE/NESAQ%202019/recent%20burner%20details%20Oct19.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strategicenergy-my.sharepoint.com/personal/glenn_strategicenergy_co_nz/Documents/Documents/Clients/MFE/NESAQ%202019/recent%20burner%20details%20Oct19.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strategicenergy-my.sharepoint.com/personal/glenn_strategicenergy_co_nz/Documents/Documents/Clients/MFE/NESAQ%202019/recent%20burner%20details%20Oct19.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SummaryByYear!$B$1</c:f>
          <c:strCache>
            <c:ptCount val="1"/>
            <c:pt idx="0">
              <c:v>Solid Fuel Burner Installations in Christchurch by Calendar Year</c:v>
            </c:pt>
          </c:strCache>
        </c:strRef>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8337740310342246E-2"/>
          <c:y val="0.1257714479484571"/>
          <c:w val="0.90894437451824095"/>
          <c:h val="0.65017502262878368"/>
        </c:manualLayout>
      </c:layout>
      <c:lineChart>
        <c:grouping val="standard"/>
        <c:varyColors val="0"/>
        <c:ser>
          <c:idx val="1"/>
          <c:order val="0"/>
          <c:tx>
            <c:strRef>
              <c:f>SummaryByYear!$A$4</c:f>
              <c:strCache>
                <c:ptCount val="1"/>
                <c:pt idx="0">
                  <c:v>LEB</c:v>
                </c:pt>
              </c:strCache>
            </c:strRef>
          </c:tx>
          <c:spPr>
            <a:ln w="28575" cap="rnd">
              <a:solidFill>
                <a:schemeClr val="accent2"/>
              </a:solidFill>
              <a:round/>
            </a:ln>
            <a:effectLst/>
          </c:spPr>
          <c:marker>
            <c:symbol val="none"/>
          </c:marker>
          <c:cat>
            <c:numRef>
              <c:f>SummaryByYear!$B$3:$E$3</c:f>
              <c:numCache>
                <c:formatCode>General</c:formatCode>
                <c:ptCount val="4"/>
                <c:pt idx="0">
                  <c:v>2016</c:v>
                </c:pt>
                <c:pt idx="1">
                  <c:v>2017</c:v>
                </c:pt>
                <c:pt idx="2">
                  <c:v>2018</c:v>
                </c:pt>
                <c:pt idx="3">
                  <c:v>2019</c:v>
                </c:pt>
              </c:numCache>
            </c:numRef>
          </c:cat>
          <c:val>
            <c:numRef>
              <c:f>SummaryByYear!$B$4:$E$4</c:f>
              <c:numCache>
                <c:formatCode>General</c:formatCode>
                <c:ptCount val="4"/>
                <c:pt idx="0">
                  <c:v>1234</c:v>
                </c:pt>
                <c:pt idx="1">
                  <c:v>2236</c:v>
                </c:pt>
                <c:pt idx="2">
                  <c:v>477</c:v>
                </c:pt>
                <c:pt idx="3">
                  <c:v>195</c:v>
                </c:pt>
              </c:numCache>
            </c:numRef>
          </c:val>
          <c:smooth val="0"/>
          <c:extLst>
            <c:ext xmlns:c16="http://schemas.microsoft.com/office/drawing/2014/chart" uri="{C3380CC4-5D6E-409C-BE32-E72D297353CC}">
              <c16:uniqueId val="{00000000-543E-4BC8-9F57-05DD9B8E57F8}"/>
            </c:ext>
          </c:extLst>
        </c:ser>
        <c:ser>
          <c:idx val="2"/>
          <c:order val="1"/>
          <c:tx>
            <c:strRef>
              <c:f>SummaryByYear!$A$7</c:f>
              <c:strCache>
                <c:ptCount val="1"/>
                <c:pt idx="0">
                  <c:v>ULEB</c:v>
                </c:pt>
              </c:strCache>
            </c:strRef>
          </c:tx>
          <c:spPr>
            <a:ln w="28575" cap="rnd">
              <a:solidFill>
                <a:schemeClr val="accent3"/>
              </a:solidFill>
              <a:round/>
            </a:ln>
            <a:effectLst/>
          </c:spPr>
          <c:marker>
            <c:symbol val="none"/>
          </c:marker>
          <c:cat>
            <c:numRef>
              <c:f>SummaryByYear!$B$3:$E$3</c:f>
              <c:numCache>
                <c:formatCode>General</c:formatCode>
                <c:ptCount val="4"/>
                <c:pt idx="0">
                  <c:v>2016</c:v>
                </c:pt>
                <c:pt idx="1">
                  <c:v>2017</c:v>
                </c:pt>
                <c:pt idx="2">
                  <c:v>2018</c:v>
                </c:pt>
                <c:pt idx="3">
                  <c:v>2019</c:v>
                </c:pt>
              </c:numCache>
            </c:numRef>
          </c:cat>
          <c:val>
            <c:numRef>
              <c:f>SummaryByYear!$B$7:$E$7</c:f>
              <c:numCache>
                <c:formatCode>General</c:formatCode>
                <c:ptCount val="4"/>
                <c:pt idx="0">
                  <c:v>311</c:v>
                </c:pt>
                <c:pt idx="1">
                  <c:v>454</c:v>
                </c:pt>
                <c:pt idx="2">
                  <c:v>652</c:v>
                </c:pt>
                <c:pt idx="3">
                  <c:v>810</c:v>
                </c:pt>
              </c:numCache>
            </c:numRef>
          </c:val>
          <c:smooth val="0"/>
          <c:extLst>
            <c:ext xmlns:c16="http://schemas.microsoft.com/office/drawing/2014/chart" uri="{C3380CC4-5D6E-409C-BE32-E72D297353CC}">
              <c16:uniqueId val="{00000001-543E-4BC8-9F57-05DD9B8E57F8}"/>
            </c:ext>
          </c:extLst>
        </c:ser>
        <c:ser>
          <c:idx val="3"/>
          <c:order val="2"/>
          <c:tx>
            <c:strRef>
              <c:f>SummaryByYear!$A$10</c:f>
              <c:strCache>
                <c:ptCount val="1"/>
                <c:pt idx="0">
                  <c:v>Pellet Fire</c:v>
                </c:pt>
              </c:strCache>
            </c:strRef>
          </c:tx>
          <c:spPr>
            <a:ln w="28575" cap="rnd">
              <a:solidFill>
                <a:schemeClr val="accent4"/>
              </a:solidFill>
              <a:round/>
            </a:ln>
            <a:effectLst/>
          </c:spPr>
          <c:marker>
            <c:symbol val="none"/>
          </c:marker>
          <c:cat>
            <c:numRef>
              <c:f>SummaryByYear!$B$3:$E$3</c:f>
              <c:numCache>
                <c:formatCode>General</c:formatCode>
                <c:ptCount val="4"/>
                <c:pt idx="0">
                  <c:v>2016</c:v>
                </c:pt>
                <c:pt idx="1">
                  <c:v>2017</c:v>
                </c:pt>
                <c:pt idx="2">
                  <c:v>2018</c:v>
                </c:pt>
                <c:pt idx="3">
                  <c:v>2019</c:v>
                </c:pt>
              </c:numCache>
            </c:numRef>
          </c:cat>
          <c:val>
            <c:numRef>
              <c:f>SummaryByYear!$B$10:$E$10</c:f>
              <c:numCache>
                <c:formatCode>General</c:formatCode>
                <c:ptCount val="4"/>
                <c:pt idx="0">
                  <c:v>144</c:v>
                </c:pt>
                <c:pt idx="1">
                  <c:v>114</c:v>
                </c:pt>
                <c:pt idx="2">
                  <c:v>120</c:v>
                </c:pt>
                <c:pt idx="3">
                  <c:v>130</c:v>
                </c:pt>
              </c:numCache>
            </c:numRef>
          </c:val>
          <c:smooth val="0"/>
          <c:extLst>
            <c:ext xmlns:c16="http://schemas.microsoft.com/office/drawing/2014/chart" uri="{C3380CC4-5D6E-409C-BE32-E72D297353CC}">
              <c16:uniqueId val="{00000002-543E-4BC8-9F57-05DD9B8E57F8}"/>
            </c:ext>
          </c:extLst>
        </c:ser>
        <c:ser>
          <c:idx val="4"/>
          <c:order val="3"/>
          <c:tx>
            <c:strRef>
              <c:f>SummaryByYear!$A$13</c:f>
              <c:strCache>
                <c:ptCount val="1"/>
                <c:pt idx="0">
                  <c:v>Total Solid Fuel Heaters</c:v>
                </c:pt>
              </c:strCache>
            </c:strRef>
          </c:tx>
          <c:spPr>
            <a:ln w="28575" cap="rnd">
              <a:solidFill>
                <a:schemeClr val="accent5"/>
              </a:solidFill>
              <a:round/>
            </a:ln>
            <a:effectLst/>
          </c:spPr>
          <c:marker>
            <c:symbol val="none"/>
          </c:marker>
          <c:cat>
            <c:numRef>
              <c:f>SummaryByYear!$B$3:$E$3</c:f>
              <c:numCache>
                <c:formatCode>General</c:formatCode>
                <c:ptCount val="4"/>
                <c:pt idx="0">
                  <c:v>2016</c:v>
                </c:pt>
                <c:pt idx="1">
                  <c:v>2017</c:v>
                </c:pt>
                <c:pt idx="2">
                  <c:v>2018</c:v>
                </c:pt>
                <c:pt idx="3">
                  <c:v>2019</c:v>
                </c:pt>
              </c:numCache>
            </c:numRef>
          </c:cat>
          <c:val>
            <c:numRef>
              <c:f>SummaryByYear!$B$13:$E$13</c:f>
              <c:numCache>
                <c:formatCode>General</c:formatCode>
                <c:ptCount val="4"/>
                <c:pt idx="0">
                  <c:v>1689</c:v>
                </c:pt>
                <c:pt idx="1">
                  <c:v>2804</c:v>
                </c:pt>
                <c:pt idx="2">
                  <c:v>1249</c:v>
                </c:pt>
                <c:pt idx="3">
                  <c:v>1135</c:v>
                </c:pt>
              </c:numCache>
            </c:numRef>
          </c:val>
          <c:smooth val="0"/>
          <c:extLst>
            <c:ext xmlns:c16="http://schemas.microsoft.com/office/drawing/2014/chart" uri="{C3380CC4-5D6E-409C-BE32-E72D297353CC}">
              <c16:uniqueId val="{00000003-543E-4BC8-9F57-05DD9B8E57F8}"/>
            </c:ext>
          </c:extLst>
        </c:ser>
        <c:dLbls>
          <c:showLegendKey val="0"/>
          <c:showVal val="0"/>
          <c:showCatName val="0"/>
          <c:showSerName val="0"/>
          <c:showPercent val="0"/>
          <c:showBubbleSize val="0"/>
        </c:dLbls>
        <c:smooth val="0"/>
        <c:axId val="606393648"/>
        <c:axId val="606393976"/>
      </c:lineChart>
      <c:catAx>
        <c:axId val="60639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393976"/>
        <c:crosses val="autoZero"/>
        <c:auto val="1"/>
        <c:lblAlgn val="ctr"/>
        <c:lblOffset val="100"/>
        <c:noMultiLvlLbl val="0"/>
      </c:catAx>
      <c:valAx>
        <c:axId val="606393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6393648"/>
        <c:crosses val="autoZero"/>
        <c:crossBetween val="between"/>
      </c:valAx>
      <c:spPr>
        <a:noFill/>
        <a:ln>
          <a:noFill/>
        </a:ln>
        <a:effectLst/>
      </c:spPr>
    </c:plotArea>
    <c:legend>
      <c:legendPos val="b"/>
      <c:layout>
        <c:manualLayout>
          <c:xMode val="edge"/>
          <c:yMode val="edge"/>
          <c:x val="0.19533933722968644"/>
          <c:y val="0.84443839230167439"/>
          <c:w val="0.62171273665141302"/>
          <c:h val="5.72231878950024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Woodburner Emissions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'emissions data 23Jan20'!$F$1</c:f>
              <c:strCache>
                <c:ptCount val="1"/>
                <c:pt idx="0">
                  <c:v>EMISSION (G/KG)</c:v>
                </c:pt>
              </c:strCache>
            </c:strRef>
          </c:tx>
          <c:spPr>
            <a:solidFill>
              <a:schemeClr val="accent1"/>
            </a:solidFill>
            <a:ln>
              <a:noFill/>
            </a:ln>
            <a:effectLst/>
          </c:spPr>
          <c:invertIfNegative val="0"/>
          <c:val>
            <c:numRef>
              <c:f>'emissions data 23Jan20'!$F$2:$F$299</c:f>
              <c:numCache>
                <c:formatCode>General</c:formatCode>
                <c:ptCount val="298"/>
                <c:pt idx="0">
                  <c:v>0.1</c:v>
                </c:pt>
                <c:pt idx="1">
                  <c:v>0.16</c:v>
                </c:pt>
                <c:pt idx="2">
                  <c:v>0.17</c:v>
                </c:pt>
                <c:pt idx="3">
                  <c:v>0.2</c:v>
                </c:pt>
                <c:pt idx="4">
                  <c:v>0.2</c:v>
                </c:pt>
                <c:pt idx="5">
                  <c:v>0.2</c:v>
                </c:pt>
                <c:pt idx="6">
                  <c:v>0.2</c:v>
                </c:pt>
                <c:pt idx="7">
                  <c:v>0.28000000000000003</c:v>
                </c:pt>
                <c:pt idx="8">
                  <c:v>0.3</c:v>
                </c:pt>
                <c:pt idx="9">
                  <c:v>0.3</c:v>
                </c:pt>
                <c:pt idx="10">
                  <c:v>0.3</c:v>
                </c:pt>
                <c:pt idx="11">
                  <c:v>0.3</c:v>
                </c:pt>
                <c:pt idx="12">
                  <c:v>0.3</c:v>
                </c:pt>
                <c:pt idx="13">
                  <c:v>0.3</c:v>
                </c:pt>
                <c:pt idx="14">
                  <c:v>0.3</c:v>
                </c:pt>
                <c:pt idx="15">
                  <c:v>0.3</c:v>
                </c:pt>
                <c:pt idx="16">
                  <c:v>0.3</c:v>
                </c:pt>
                <c:pt idx="17">
                  <c:v>0.3</c:v>
                </c:pt>
                <c:pt idx="18">
                  <c:v>0.32</c:v>
                </c:pt>
                <c:pt idx="19">
                  <c:v>0.33</c:v>
                </c:pt>
                <c:pt idx="20">
                  <c:v>0.35</c:v>
                </c:pt>
                <c:pt idx="21">
                  <c:v>0.36</c:v>
                </c:pt>
                <c:pt idx="22">
                  <c:v>0.36</c:v>
                </c:pt>
                <c:pt idx="23">
                  <c:v>0.36</c:v>
                </c:pt>
                <c:pt idx="24">
                  <c:v>0.36</c:v>
                </c:pt>
                <c:pt idx="25">
                  <c:v>0.36</c:v>
                </c:pt>
                <c:pt idx="26">
                  <c:v>0.36</c:v>
                </c:pt>
                <c:pt idx="27">
                  <c:v>0.37</c:v>
                </c:pt>
                <c:pt idx="28">
                  <c:v>0.39</c:v>
                </c:pt>
                <c:pt idx="29">
                  <c:v>0.4</c:v>
                </c:pt>
                <c:pt idx="30">
                  <c:v>0.4</c:v>
                </c:pt>
                <c:pt idx="31">
                  <c:v>0.4</c:v>
                </c:pt>
                <c:pt idx="32">
                  <c:v>0.4</c:v>
                </c:pt>
                <c:pt idx="33">
                  <c:v>0.4</c:v>
                </c:pt>
                <c:pt idx="34">
                  <c:v>0.4</c:v>
                </c:pt>
                <c:pt idx="35">
                  <c:v>0.42</c:v>
                </c:pt>
                <c:pt idx="36">
                  <c:v>0.42</c:v>
                </c:pt>
                <c:pt idx="37">
                  <c:v>0.43</c:v>
                </c:pt>
                <c:pt idx="38">
                  <c:v>0.49</c:v>
                </c:pt>
                <c:pt idx="39">
                  <c:v>0.49</c:v>
                </c:pt>
                <c:pt idx="40">
                  <c:v>0.5</c:v>
                </c:pt>
                <c:pt idx="41">
                  <c:v>0.5</c:v>
                </c:pt>
                <c:pt idx="42">
                  <c:v>0.5</c:v>
                </c:pt>
                <c:pt idx="43">
                  <c:v>0.5</c:v>
                </c:pt>
                <c:pt idx="44">
                  <c:v>0.5</c:v>
                </c:pt>
                <c:pt idx="45">
                  <c:v>0.5</c:v>
                </c:pt>
                <c:pt idx="46">
                  <c:v>0.5</c:v>
                </c:pt>
                <c:pt idx="47">
                  <c:v>0.5</c:v>
                </c:pt>
                <c:pt idx="48">
                  <c:v>0.5</c:v>
                </c:pt>
                <c:pt idx="49">
                  <c:v>0.5</c:v>
                </c:pt>
                <c:pt idx="50">
                  <c:v>0.5</c:v>
                </c:pt>
                <c:pt idx="51">
                  <c:v>0.5</c:v>
                </c:pt>
                <c:pt idx="52">
                  <c:v>0.5</c:v>
                </c:pt>
                <c:pt idx="53">
                  <c:v>0.5</c:v>
                </c:pt>
                <c:pt idx="54">
                  <c:v>0.5</c:v>
                </c:pt>
                <c:pt idx="55">
                  <c:v>0.5</c:v>
                </c:pt>
                <c:pt idx="56">
                  <c:v>0.5</c:v>
                </c:pt>
                <c:pt idx="57">
                  <c:v>0.5</c:v>
                </c:pt>
                <c:pt idx="58">
                  <c:v>0.5</c:v>
                </c:pt>
                <c:pt idx="59">
                  <c:v>0.5</c:v>
                </c:pt>
                <c:pt idx="60">
                  <c:v>0.5</c:v>
                </c:pt>
                <c:pt idx="61">
                  <c:v>0.5</c:v>
                </c:pt>
                <c:pt idx="62">
                  <c:v>0.5</c:v>
                </c:pt>
                <c:pt idx="63">
                  <c:v>0.5</c:v>
                </c:pt>
                <c:pt idx="64">
                  <c:v>0.5</c:v>
                </c:pt>
                <c:pt idx="65">
                  <c:v>0.5</c:v>
                </c:pt>
                <c:pt idx="66">
                  <c:v>0.5</c:v>
                </c:pt>
                <c:pt idx="67">
                  <c:v>0.5</c:v>
                </c:pt>
                <c:pt idx="68">
                  <c:v>0.5</c:v>
                </c:pt>
                <c:pt idx="69">
                  <c:v>0.54</c:v>
                </c:pt>
                <c:pt idx="70">
                  <c:v>0.55000000000000004</c:v>
                </c:pt>
                <c:pt idx="71">
                  <c:v>0.55000000000000004</c:v>
                </c:pt>
                <c:pt idx="72">
                  <c:v>0.56000000000000005</c:v>
                </c:pt>
                <c:pt idx="73">
                  <c:v>0.6</c:v>
                </c:pt>
                <c:pt idx="74">
                  <c:v>0.6</c:v>
                </c:pt>
                <c:pt idx="75">
                  <c:v>0.6</c:v>
                </c:pt>
                <c:pt idx="76">
                  <c:v>0.6</c:v>
                </c:pt>
                <c:pt idx="77">
                  <c:v>0.6</c:v>
                </c:pt>
                <c:pt idx="78">
                  <c:v>0.6</c:v>
                </c:pt>
                <c:pt idx="79">
                  <c:v>0.6</c:v>
                </c:pt>
                <c:pt idx="80">
                  <c:v>0.6</c:v>
                </c:pt>
                <c:pt idx="81">
                  <c:v>0.6</c:v>
                </c:pt>
                <c:pt idx="82">
                  <c:v>0.6</c:v>
                </c:pt>
                <c:pt idx="83">
                  <c:v>0.6</c:v>
                </c:pt>
                <c:pt idx="84">
                  <c:v>0.6</c:v>
                </c:pt>
                <c:pt idx="85">
                  <c:v>0.6</c:v>
                </c:pt>
                <c:pt idx="86">
                  <c:v>0.6</c:v>
                </c:pt>
                <c:pt idx="87">
                  <c:v>0.6</c:v>
                </c:pt>
                <c:pt idx="88">
                  <c:v>0.6</c:v>
                </c:pt>
                <c:pt idx="89">
                  <c:v>0.6</c:v>
                </c:pt>
                <c:pt idx="90">
                  <c:v>0.6</c:v>
                </c:pt>
                <c:pt idx="91">
                  <c:v>0.6</c:v>
                </c:pt>
                <c:pt idx="92">
                  <c:v>0.6</c:v>
                </c:pt>
                <c:pt idx="93">
                  <c:v>0.6</c:v>
                </c:pt>
                <c:pt idx="94">
                  <c:v>0.6</c:v>
                </c:pt>
                <c:pt idx="95">
                  <c:v>0.6</c:v>
                </c:pt>
                <c:pt idx="96">
                  <c:v>0.6</c:v>
                </c:pt>
                <c:pt idx="97">
                  <c:v>0.6</c:v>
                </c:pt>
                <c:pt idx="98">
                  <c:v>0.6</c:v>
                </c:pt>
                <c:pt idx="99">
                  <c:v>0.62</c:v>
                </c:pt>
                <c:pt idx="100">
                  <c:v>0.62</c:v>
                </c:pt>
                <c:pt idx="101">
                  <c:v>0.62</c:v>
                </c:pt>
                <c:pt idx="102">
                  <c:v>0.62</c:v>
                </c:pt>
                <c:pt idx="103">
                  <c:v>0.62</c:v>
                </c:pt>
                <c:pt idx="104">
                  <c:v>0.63</c:v>
                </c:pt>
                <c:pt idx="105">
                  <c:v>0.63</c:v>
                </c:pt>
                <c:pt idx="106">
                  <c:v>0.64</c:v>
                </c:pt>
                <c:pt idx="107">
                  <c:v>0.64</c:v>
                </c:pt>
                <c:pt idx="108">
                  <c:v>0.64</c:v>
                </c:pt>
                <c:pt idx="109">
                  <c:v>0.64</c:v>
                </c:pt>
                <c:pt idx="110">
                  <c:v>0.64</c:v>
                </c:pt>
                <c:pt idx="111">
                  <c:v>0.64</c:v>
                </c:pt>
                <c:pt idx="112">
                  <c:v>0.64</c:v>
                </c:pt>
                <c:pt idx="113">
                  <c:v>0.64</c:v>
                </c:pt>
                <c:pt idx="114">
                  <c:v>0.65</c:v>
                </c:pt>
                <c:pt idx="115">
                  <c:v>0.65</c:v>
                </c:pt>
                <c:pt idx="116">
                  <c:v>0.66</c:v>
                </c:pt>
                <c:pt idx="117">
                  <c:v>0.66</c:v>
                </c:pt>
                <c:pt idx="118">
                  <c:v>0.66</c:v>
                </c:pt>
                <c:pt idx="119">
                  <c:v>0.67</c:v>
                </c:pt>
                <c:pt idx="120">
                  <c:v>0.69</c:v>
                </c:pt>
                <c:pt idx="121">
                  <c:v>0.69</c:v>
                </c:pt>
                <c:pt idx="122">
                  <c:v>0.7</c:v>
                </c:pt>
                <c:pt idx="123">
                  <c:v>0.7</c:v>
                </c:pt>
                <c:pt idx="124">
                  <c:v>0.7</c:v>
                </c:pt>
                <c:pt idx="125">
                  <c:v>0.7</c:v>
                </c:pt>
                <c:pt idx="126">
                  <c:v>0.7</c:v>
                </c:pt>
                <c:pt idx="127">
                  <c:v>0.7</c:v>
                </c:pt>
                <c:pt idx="128">
                  <c:v>0.7</c:v>
                </c:pt>
                <c:pt idx="129">
                  <c:v>0.7</c:v>
                </c:pt>
                <c:pt idx="130">
                  <c:v>0.7</c:v>
                </c:pt>
                <c:pt idx="131">
                  <c:v>0.7</c:v>
                </c:pt>
                <c:pt idx="132">
                  <c:v>0.7</c:v>
                </c:pt>
                <c:pt idx="133">
                  <c:v>0.7</c:v>
                </c:pt>
                <c:pt idx="134">
                  <c:v>0.7</c:v>
                </c:pt>
                <c:pt idx="135">
                  <c:v>0.7</c:v>
                </c:pt>
                <c:pt idx="136">
                  <c:v>0.7</c:v>
                </c:pt>
                <c:pt idx="137">
                  <c:v>0.7</c:v>
                </c:pt>
                <c:pt idx="138">
                  <c:v>0.7</c:v>
                </c:pt>
                <c:pt idx="139">
                  <c:v>0.7</c:v>
                </c:pt>
                <c:pt idx="140">
                  <c:v>0.7</c:v>
                </c:pt>
                <c:pt idx="141">
                  <c:v>0.7</c:v>
                </c:pt>
                <c:pt idx="142">
                  <c:v>0.7</c:v>
                </c:pt>
                <c:pt idx="143">
                  <c:v>0.7</c:v>
                </c:pt>
                <c:pt idx="144">
                  <c:v>0.7</c:v>
                </c:pt>
                <c:pt idx="145">
                  <c:v>0.7</c:v>
                </c:pt>
                <c:pt idx="146">
                  <c:v>0.7</c:v>
                </c:pt>
                <c:pt idx="147">
                  <c:v>0.7</c:v>
                </c:pt>
                <c:pt idx="148">
                  <c:v>0.7</c:v>
                </c:pt>
                <c:pt idx="149">
                  <c:v>0.7</c:v>
                </c:pt>
                <c:pt idx="150">
                  <c:v>0.7</c:v>
                </c:pt>
                <c:pt idx="151">
                  <c:v>0.7</c:v>
                </c:pt>
                <c:pt idx="152">
                  <c:v>0.7</c:v>
                </c:pt>
                <c:pt idx="153">
                  <c:v>0.7</c:v>
                </c:pt>
                <c:pt idx="154">
                  <c:v>0.7</c:v>
                </c:pt>
                <c:pt idx="155">
                  <c:v>0.7</c:v>
                </c:pt>
                <c:pt idx="156">
                  <c:v>0.7</c:v>
                </c:pt>
                <c:pt idx="157">
                  <c:v>0.7</c:v>
                </c:pt>
                <c:pt idx="158">
                  <c:v>0.7</c:v>
                </c:pt>
                <c:pt idx="159">
                  <c:v>0.7</c:v>
                </c:pt>
                <c:pt idx="160">
                  <c:v>0.7</c:v>
                </c:pt>
                <c:pt idx="161">
                  <c:v>0.7</c:v>
                </c:pt>
                <c:pt idx="162">
                  <c:v>0.71</c:v>
                </c:pt>
                <c:pt idx="163">
                  <c:v>0.79</c:v>
                </c:pt>
                <c:pt idx="164">
                  <c:v>0.8</c:v>
                </c:pt>
                <c:pt idx="165">
                  <c:v>0.8</c:v>
                </c:pt>
                <c:pt idx="166">
                  <c:v>0.8</c:v>
                </c:pt>
                <c:pt idx="167">
                  <c:v>0.8</c:v>
                </c:pt>
                <c:pt idx="168">
                  <c:v>0.8</c:v>
                </c:pt>
                <c:pt idx="169">
                  <c:v>0.8</c:v>
                </c:pt>
                <c:pt idx="170">
                  <c:v>0.8</c:v>
                </c:pt>
                <c:pt idx="171">
                  <c:v>0.8</c:v>
                </c:pt>
                <c:pt idx="172">
                  <c:v>0.8</c:v>
                </c:pt>
                <c:pt idx="173">
                  <c:v>0.8</c:v>
                </c:pt>
                <c:pt idx="174">
                  <c:v>0.8</c:v>
                </c:pt>
                <c:pt idx="175">
                  <c:v>0.8</c:v>
                </c:pt>
                <c:pt idx="176">
                  <c:v>0.8</c:v>
                </c:pt>
                <c:pt idx="177">
                  <c:v>0.8</c:v>
                </c:pt>
                <c:pt idx="178">
                  <c:v>0.8</c:v>
                </c:pt>
                <c:pt idx="179">
                  <c:v>0.8</c:v>
                </c:pt>
                <c:pt idx="180">
                  <c:v>0.8</c:v>
                </c:pt>
                <c:pt idx="181">
                  <c:v>0.8</c:v>
                </c:pt>
                <c:pt idx="182">
                  <c:v>0.8</c:v>
                </c:pt>
                <c:pt idx="183">
                  <c:v>0.8</c:v>
                </c:pt>
                <c:pt idx="184">
                  <c:v>0.8</c:v>
                </c:pt>
                <c:pt idx="185">
                  <c:v>0.8</c:v>
                </c:pt>
                <c:pt idx="186">
                  <c:v>0.8</c:v>
                </c:pt>
                <c:pt idx="187">
                  <c:v>0.81</c:v>
                </c:pt>
                <c:pt idx="188">
                  <c:v>0.81</c:v>
                </c:pt>
                <c:pt idx="189">
                  <c:v>0.89</c:v>
                </c:pt>
                <c:pt idx="190">
                  <c:v>0.9</c:v>
                </c:pt>
                <c:pt idx="191">
                  <c:v>0.9</c:v>
                </c:pt>
                <c:pt idx="192">
                  <c:v>0.9</c:v>
                </c:pt>
                <c:pt idx="193">
                  <c:v>0.9</c:v>
                </c:pt>
                <c:pt idx="194">
                  <c:v>0.9</c:v>
                </c:pt>
                <c:pt idx="195">
                  <c:v>0.9</c:v>
                </c:pt>
                <c:pt idx="196">
                  <c:v>0.9</c:v>
                </c:pt>
                <c:pt idx="197">
                  <c:v>0.9</c:v>
                </c:pt>
                <c:pt idx="198">
                  <c:v>0.9</c:v>
                </c:pt>
                <c:pt idx="199">
                  <c:v>0.9</c:v>
                </c:pt>
                <c:pt idx="200">
                  <c:v>0.9</c:v>
                </c:pt>
                <c:pt idx="201">
                  <c:v>0.9</c:v>
                </c:pt>
                <c:pt idx="202">
                  <c:v>0.9</c:v>
                </c:pt>
                <c:pt idx="203">
                  <c:v>0.9</c:v>
                </c:pt>
                <c:pt idx="204">
                  <c:v>0.9</c:v>
                </c:pt>
                <c:pt idx="205">
                  <c:v>0.9</c:v>
                </c:pt>
                <c:pt idx="206">
                  <c:v>0.9</c:v>
                </c:pt>
                <c:pt idx="207">
                  <c:v>0.9</c:v>
                </c:pt>
                <c:pt idx="208">
                  <c:v>0.9</c:v>
                </c:pt>
                <c:pt idx="209">
                  <c:v>0.9</c:v>
                </c:pt>
                <c:pt idx="210">
                  <c:v>0.9</c:v>
                </c:pt>
                <c:pt idx="211">
                  <c:v>0.9</c:v>
                </c:pt>
                <c:pt idx="212">
                  <c:v>0.9</c:v>
                </c:pt>
                <c:pt idx="213">
                  <c:v>0.9</c:v>
                </c:pt>
                <c:pt idx="214">
                  <c:v>0.9</c:v>
                </c:pt>
                <c:pt idx="215">
                  <c:v>0.9</c:v>
                </c:pt>
                <c:pt idx="216">
                  <c:v>0.9</c:v>
                </c:pt>
                <c:pt idx="217">
                  <c:v>0.9</c:v>
                </c:pt>
                <c:pt idx="218">
                  <c:v>0.9</c:v>
                </c:pt>
                <c:pt idx="219">
                  <c:v>0.9</c:v>
                </c:pt>
                <c:pt idx="220">
                  <c:v>0.9</c:v>
                </c:pt>
                <c:pt idx="221">
                  <c:v>0.9</c:v>
                </c:pt>
                <c:pt idx="222">
                  <c:v>0.9</c:v>
                </c:pt>
                <c:pt idx="223">
                  <c:v>0.9</c:v>
                </c:pt>
                <c:pt idx="224">
                  <c:v>0.9</c:v>
                </c:pt>
                <c:pt idx="225">
                  <c:v>0.9</c:v>
                </c:pt>
                <c:pt idx="226">
                  <c:v>0.9</c:v>
                </c:pt>
                <c:pt idx="227">
                  <c:v>0.9</c:v>
                </c:pt>
                <c:pt idx="228">
                  <c:v>0.9</c:v>
                </c:pt>
                <c:pt idx="229">
                  <c:v>0.9</c:v>
                </c:pt>
                <c:pt idx="230">
                  <c:v>0.9</c:v>
                </c:pt>
                <c:pt idx="231">
                  <c:v>0.9</c:v>
                </c:pt>
                <c:pt idx="232">
                  <c:v>0.9</c:v>
                </c:pt>
                <c:pt idx="233">
                  <c:v>0.92</c:v>
                </c:pt>
                <c:pt idx="234">
                  <c:v>0.96</c:v>
                </c:pt>
                <c:pt idx="235">
                  <c:v>0.96</c:v>
                </c:pt>
                <c:pt idx="236">
                  <c:v>0.97</c:v>
                </c:pt>
                <c:pt idx="237">
                  <c:v>0.98</c:v>
                </c:pt>
                <c:pt idx="238">
                  <c:v>0.98</c:v>
                </c:pt>
                <c:pt idx="239">
                  <c:v>0.99</c:v>
                </c:pt>
                <c:pt idx="240">
                  <c:v>0.99</c:v>
                </c:pt>
                <c:pt idx="241">
                  <c:v>1</c:v>
                </c:pt>
                <c:pt idx="242">
                  <c:v>1</c:v>
                </c:pt>
                <c:pt idx="243">
                  <c:v>1</c:v>
                </c:pt>
                <c:pt idx="244">
                  <c:v>1</c:v>
                </c:pt>
                <c:pt idx="245">
                  <c:v>1</c:v>
                </c:pt>
                <c:pt idx="246">
                  <c:v>1</c:v>
                </c:pt>
                <c:pt idx="247">
                  <c:v>1</c:v>
                </c:pt>
                <c:pt idx="248">
                  <c:v>1</c:v>
                </c:pt>
                <c:pt idx="249">
                  <c:v>1</c:v>
                </c:pt>
                <c:pt idx="250">
                  <c:v>1</c:v>
                </c:pt>
                <c:pt idx="251">
                  <c:v>1</c:v>
                </c:pt>
                <c:pt idx="252">
                  <c:v>1</c:v>
                </c:pt>
                <c:pt idx="253">
                  <c:v>1</c:v>
                </c:pt>
                <c:pt idx="254">
                  <c:v>1</c:v>
                </c:pt>
                <c:pt idx="255">
                  <c:v>1</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c:v>
                </c:pt>
                <c:pt idx="270">
                  <c:v>1</c:v>
                </c:pt>
                <c:pt idx="271">
                  <c:v>1</c:v>
                </c:pt>
                <c:pt idx="272">
                  <c:v>1</c:v>
                </c:pt>
                <c:pt idx="273">
                  <c:v>1</c:v>
                </c:pt>
                <c:pt idx="274">
                  <c:v>1</c:v>
                </c:pt>
                <c:pt idx="275">
                  <c:v>1.1000000000000001</c:v>
                </c:pt>
                <c:pt idx="276">
                  <c:v>1.1000000000000001</c:v>
                </c:pt>
                <c:pt idx="277">
                  <c:v>1.1000000000000001</c:v>
                </c:pt>
                <c:pt idx="278">
                  <c:v>1.1000000000000001</c:v>
                </c:pt>
                <c:pt idx="279">
                  <c:v>1.1000000000000001</c:v>
                </c:pt>
                <c:pt idx="280">
                  <c:v>1.1000000000000001</c:v>
                </c:pt>
                <c:pt idx="281">
                  <c:v>1.1000000000000001</c:v>
                </c:pt>
                <c:pt idx="282">
                  <c:v>1.1000000000000001</c:v>
                </c:pt>
                <c:pt idx="283">
                  <c:v>1.2</c:v>
                </c:pt>
                <c:pt idx="284">
                  <c:v>1.2</c:v>
                </c:pt>
                <c:pt idx="285">
                  <c:v>1.2</c:v>
                </c:pt>
                <c:pt idx="286">
                  <c:v>1.2</c:v>
                </c:pt>
                <c:pt idx="287">
                  <c:v>1.2</c:v>
                </c:pt>
                <c:pt idx="288">
                  <c:v>1.2</c:v>
                </c:pt>
                <c:pt idx="289">
                  <c:v>1.2</c:v>
                </c:pt>
                <c:pt idx="290">
                  <c:v>1.3</c:v>
                </c:pt>
                <c:pt idx="291">
                  <c:v>1.3</c:v>
                </c:pt>
                <c:pt idx="292">
                  <c:v>1.3</c:v>
                </c:pt>
                <c:pt idx="293">
                  <c:v>1.3</c:v>
                </c:pt>
                <c:pt idx="294">
                  <c:v>1.4</c:v>
                </c:pt>
                <c:pt idx="295">
                  <c:v>1.41</c:v>
                </c:pt>
                <c:pt idx="296">
                  <c:v>1.5</c:v>
                </c:pt>
                <c:pt idx="297">
                  <c:v>1.5</c:v>
                </c:pt>
              </c:numCache>
            </c:numRef>
          </c:val>
          <c:extLst>
            <c:ext xmlns:c16="http://schemas.microsoft.com/office/drawing/2014/chart" uri="{C3380CC4-5D6E-409C-BE32-E72D297353CC}">
              <c16:uniqueId val="{00000000-BD9C-4DB1-8AAE-0812219F13D5}"/>
            </c:ext>
          </c:extLst>
        </c:ser>
        <c:dLbls>
          <c:showLegendKey val="0"/>
          <c:showVal val="0"/>
          <c:showCatName val="0"/>
          <c:showSerName val="0"/>
          <c:showPercent val="0"/>
          <c:showBubbleSize val="0"/>
        </c:dLbls>
        <c:gapWidth val="219"/>
        <c:overlap val="-27"/>
        <c:axId val="630836496"/>
        <c:axId val="630836824"/>
      </c:barChart>
      <c:catAx>
        <c:axId val="6308364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rPr>
                  <a:t>from MfE authorised woodburner list as at 23 Jan 2020</a:t>
                </a:r>
                <a:endParaRPr lang="en-NZ"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630836824"/>
        <c:crosses val="autoZero"/>
        <c:auto val="1"/>
        <c:lblAlgn val="ctr"/>
        <c:lblOffset val="100"/>
        <c:noMultiLvlLbl val="0"/>
      </c:catAx>
      <c:valAx>
        <c:axId val="630836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836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Woodburner Efficiency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'All from MfE 23Jan20'!$G$1</c:f>
              <c:strCache>
                <c:ptCount val="1"/>
                <c:pt idx="0">
                  <c:v>EFFICIENCY (%)</c:v>
                </c:pt>
              </c:strCache>
            </c:strRef>
          </c:tx>
          <c:spPr>
            <a:solidFill>
              <a:schemeClr val="accent1"/>
            </a:solidFill>
            <a:ln w="19050">
              <a:noFill/>
            </a:ln>
            <a:effectLst/>
          </c:spPr>
          <c:invertIfNegative val="0"/>
          <c:cat>
            <c:strLit>
              <c:ptCount val="295"/>
              <c:pt idx="0">
                <c:v>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pt idx="29">
                <c:v>31</c:v>
              </c:pt>
              <c:pt idx="30">
                <c:v>32</c:v>
              </c:pt>
              <c:pt idx="31">
                <c:v>33</c:v>
              </c:pt>
              <c:pt idx="32">
                <c:v>34</c:v>
              </c:pt>
              <c:pt idx="33">
                <c:v>35</c:v>
              </c:pt>
              <c:pt idx="34">
                <c:v>36</c:v>
              </c:pt>
              <c:pt idx="35">
                <c:v>37</c:v>
              </c:pt>
              <c:pt idx="36">
                <c:v>38</c:v>
              </c:pt>
              <c:pt idx="37">
                <c:v>39</c:v>
              </c:pt>
              <c:pt idx="38">
                <c:v>40</c:v>
              </c:pt>
              <c:pt idx="39">
                <c:v>41</c:v>
              </c:pt>
              <c:pt idx="40">
                <c:v>42</c:v>
              </c:pt>
              <c:pt idx="41">
                <c:v>43</c:v>
              </c:pt>
              <c:pt idx="42">
                <c:v>44</c:v>
              </c:pt>
              <c:pt idx="43">
                <c:v>45</c:v>
              </c:pt>
              <c:pt idx="44">
                <c:v>46</c:v>
              </c:pt>
              <c:pt idx="45">
                <c:v>48</c:v>
              </c:pt>
              <c:pt idx="46">
                <c:v>49</c:v>
              </c:pt>
              <c:pt idx="47">
                <c:v>51</c:v>
              </c:pt>
              <c:pt idx="48">
                <c:v>52</c:v>
              </c:pt>
              <c:pt idx="49">
                <c:v>53</c:v>
              </c:pt>
              <c:pt idx="50">
                <c:v>54</c:v>
              </c:pt>
              <c:pt idx="51">
                <c:v>55</c:v>
              </c:pt>
              <c:pt idx="52">
                <c:v>56</c:v>
              </c:pt>
              <c:pt idx="53">
                <c:v>57</c:v>
              </c:pt>
              <c:pt idx="54">
                <c:v>58</c:v>
              </c:pt>
              <c:pt idx="55">
                <c:v>59</c:v>
              </c:pt>
              <c:pt idx="56">
                <c:v>60</c:v>
              </c:pt>
              <c:pt idx="57">
                <c:v>61</c:v>
              </c:pt>
              <c:pt idx="58">
                <c:v>62</c:v>
              </c:pt>
              <c:pt idx="59">
                <c:v>63</c:v>
              </c:pt>
              <c:pt idx="60">
                <c:v>64</c:v>
              </c:pt>
              <c:pt idx="61">
                <c:v>65</c:v>
              </c:pt>
              <c:pt idx="62">
                <c:v>66</c:v>
              </c:pt>
              <c:pt idx="63">
                <c:v>67</c:v>
              </c:pt>
              <c:pt idx="64">
                <c:v>68</c:v>
              </c:pt>
              <c:pt idx="65">
                <c:v>69</c:v>
              </c:pt>
              <c:pt idx="66">
                <c:v>70</c:v>
              </c:pt>
              <c:pt idx="67">
                <c:v>71</c:v>
              </c:pt>
              <c:pt idx="68">
                <c:v>72</c:v>
              </c:pt>
              <c:pt idx="69">
                <c:v>73</c:v>
              </c:pt>
              <c:pt idx="70">
                <c:v>74</c:v>
              </c:pt>
              <c:pt idx="71">
                <c:v>75</c:v>
              </c:pt>
              <c:pt idx="72">
                <c:v>76</c:v>
              </c:pt>
              <c:pt idx="73">
                <c:v>77</c:v>
              </c:pt>
              <c:pt idx="74">
                <c:v>78</c:v>
              </c:pt>
              <c:pt idx="75">
                <c:v>79</c:v>
              </c:pt>
              <c:pt idx="76">
                <c:v>80</c:v>
              </c:pt>
              <c:pt idx="77">
                <c:v>81</c:v>
              </c:pt>
              <c:pt idx="78">
                <c:v>82</c:v>
              </c:pt>
              <c:pt idx="79">
                <c:v>83</c:v>
              </c:pt>
              <c:pt idx="80">
                <c:v>84</c:v>
              </c:pt>
              <c:pt idx="81">
                <c:v>85</c:v>
              </c:pt>
              <c:pt idx="82">
                <c:v>86</c:v>
              </c:pt>
              <c:pt idx="83">
                <c:v>87</c:v>
              </c:pt>
              <c:pt idx="84">
                <c:v>88</c:v>
              </c:pt>
              <c:pt idx="85">
                <c:v>89</c:v>
              </c:pt>
              <c:pt idx="86">
                <c:v>90</c:v>
              </c:pt>
              <c:pt idx="87">
                <c:v>91</c:v>
              </c:pt>
              <c:pt idx="88">
                <c:v>92</c:v>
              </c:pt>
              <c:pt idx="89">
                <c:v>93</c:v>
              </c:pt>
              <c:pt idx="90">
                <c:v>94</c:v>
              </c:pt>
              <c:pt idx="91">
                <c:v>95</c:v>
              </c:pt>
              <c:pt idx="92">
                <c:v>96</c:v>
              </c:pt>
              <c:pt idx="93">
                <c:v>97</c:v>
              </c:pt>
              <c:pt idx="94">
                <c:v>98</c:v>
              </c:pt>
              <c:pt idx="95">
                <c:v>99</c:v>
              </c:pt>
              <c:pt idx="96">
                <c:v>100</c:v>
              </c:pt>
              <c:pt idx="97">
                <c:v>101</c:v>
              </c:pt>
              <c:pt idx="98">
                <c:v>102</c:v>
              </c:pt>
              <c:pt idx="99">
                <c:v>103</c:v>
              </c:pt>
              <c:pt idx="100">
                <c:v>104</c:v>
              </c:pt>
              <c:pt idx="101">
                <c:v>105</c:v>
              </c:pt>
              <c:pt idx="102">
                <c:v>106</c:v>
              </c:pt>
              <c:pt idx="103">
                <c:v>107</c:v>
              </c:pt>
              <c:pt idx="104">
                <c:v>108</c:v>
              </c:pt>
              <c:pt idx="105">
                <c:v>109</c:v>
              </c:pt>
              <c:pt idx="106">
                <c:v>110</c:v>
              </c:pt>
              <c:pt idx="107">
                <c:v>111</c:v>
              </c:pt>
              <c:pt idx="108">
                <c:v>112</c:v>
              </c:pt>
              <c:pt idx="109">
                <c:v>113</c:v>
              </c:pt>
              <c:pt idx="110">
                <c:v>114</c:v>
              </c:pt>
              <c:pt idx="111">
                <c:v>115</c:v>
              </c:pt>
              <c:pt idx="112">
                <c:v>116</c:v>
              </c:pt>
              <c:pt idx="113">
                <c:v>117</c:v>
              </c:pt>
              <c:pt idx="114">
                <c:v>118</c:v>
              </c:pt>
              <c:pt idx="115">
                <c:v>119</c:v>
              </c:pt>
              <c:pt idx="116">
                <c:v>120</c:v>
              </c:pt>
              <c:pt idx="117">
                <c:v>121</c:v>
              </c:pt>
              <c:pt idx="118">
                <c:v>122</c:v>
              </c:pt>
              <c:pt idx="119">
                <c:v>123</c:v>
              </c:pt>
              <c:pt idx="120">
                <c:v>124</c:v>
              </c:pt>
              <c:pt idx="121">
                <c:v>125</c:v>
              </c:pt>
              <c:pt idx="122">
                <c:v>126</c:v>
              </c:pt>
              <c:pt idx="123">
                <c:v>127</c:v>
              </c:pt>
              <c:pt idx="124">
                <c:v>128</c:v>
              </c:pt>
              <c:pt idx="125">
                <c:v>129</c:v>
              </c:pt>
              <c:pt idx="126">
                <c:v>130</c:v>
              </c:pt>
              <c:pt idx="127">
                <c:v>131</c:v>
              </c:pt>
              <c:pt idx="128">
                <c:v>132</c:v>
              </c:pt>
              <c:pt idx="129">
                <c:v>133</c:v>
              </c:pt>
              <c:pt idx="130">
                <c:v>134</c:v>
              </c:pt>
              <c:pt idx="131">
                <c:v>135</c:v>
              </c:pt>
              <c:pt idx="132">
                <c:v>136</c:v>
              </c:pt>
              <c:pt idx="133">
                <c:v>137</c:v>
              </c:pt>
              <c:pt idx="134">
                <c:v>138</c:v>
              </c:pt>
              <c:pt idx="135">
                <c:v>139</c:v>
              </c:pt>
              <c:pt idx="136">
                <c:v>140</c:v>
              </c:pt>
              <c:pt idx="137">
                <c:v>141</c:v>
              </c:pt>
              <c:pt idx="138">
                <c:v>142</c:v>
              </c:pt>
              <c:pt idx="139">
                <c:v>143</c:v>
              </c:pt>
              <c:pt idx="140">
                <c:v>144</c:v>
              </c:pt>
              <c:pt idx="141">
                <c:v>145</c:v>
              </c:pt>
              <c:pt idx="142">
                <c:v>146</c:v>
              </c:pt>
              <c:pt idx="143">
                <c:v>147</c:v>
              </c:pt>
              <c:pt idx="144">
                <c:v>148</c:v>
              </c:pt>
              <c:pt idx="145">
                <c:v>149</c:v>
              </c:pt>
              <c:pt idx="146">
                <c:v>150</c:v>
              </c:pt>
              <c:pt idx="147">
                <c:v>151</c:v>
              </c:pt>
              <c:pt idx="148">
                <c:v>152</c:v>
              </c:pt>
              <c:pt idx="149">
                <c:v>153</c:v>
              </c:pt>
              <c:pt idx="150">
                <c:v>154</c:v>
              </c:pt>
              <c:pt idx="151">
                <c:v>155</c:v>
              </c:pt>
              <c:pt idx="152">
                <c:v>156</c:v>
              </c:pt>
              <c:pt idx="153">
                <c:v>157</c:v>
              </c:pt>
              <c:pt idx="154">
                <c:v>158</c:v>
              </c:pt>
              <c:pt idx="155">
                <c:v>159</c:v>
              </c:pt>
              <c:pt idx="156">
                <c:v>160</c:v>
              </c:pt>
              <c:pt idx="157">
                <c:v>161</c:v>
              </c:pt>
              <c:pt idx="158">
                <c:v>162</c:v>
              </c:pt>
              <c:pt idx="159">
                <c:v>163</c:v>
              </c:pt>
              <c:pt idx="160">
                <c:v>164</c:v>
              </c:pt>
              <c:pt idx="161">
                <c:v>165</c:v>
              </c:pt>
              <c:pt idx="162">
                <c:v>166</c:v>
              </c:pt>
              <c:pt idx="163">
                <c:v>167</c:v>
              </c:pt>
              <c:pt idx="164">
                <c:v>168</c:v>
              </c:pt>
              <c:pt idx="165">
                <c:v>169</c:v>
              </c:pt>
              <c:pt idx="166">
                <c:v>170</c:v>
              </c:pt>
              <c:pt idx="167">
                <c:v>171</c:v>
              </c:pt>
              <c:pt idx="168">
                <c:v>172</c:v>
              </c:pt>
              <c:pt idx="169">
                <c:v>173</c:v>
              </c:pt>
              <c:pt idx="170">
                <c:v>174</c:v>
              </c:pt>
              <c:pt idx="171">
                <c:v>175</c:v>
              </c:pt>
              <c:pt idx="172">
                <c:v>176</c:v>
              </c:pt>
              <c:pt idx="173">
                <c:v>177</c:v>
              </c:pt>
              <c:pt idx="174">
                <c:v>178</c:v>
              </c:pt>
              <c:pt idx="175">
                <c:v>179</c:v>
              </c:pt>
              <c:pt idx="176">
                <c:v>180</c:v>
              </c:pt>
              <c:pt idx="177">
                <c:v>181</c:v>
              </c:pt>
              <c:pt idx="178">
                <c:v>182</c:v>
              </c:pt>
              <c:pt idx="179">
                <c:v>183</c:v>
              </c:pt>
              <c:pt idx="180">
                <c:v>184</c:v>
              </c:pt>
              <c:pt idx="181">
                <c:v>185</c:v>
              </c:pt>
              <c:pt idx="182">
                <c:v>186</c:v>
              </c:pt>
              <c:pt idx="183">
                <c:v>187</c:v>
              </c:pt>
              <c:pt idx="184">
                <c:v>188</c:v>
              </c:pt>
              <c:pt idx="185">
                <c:v>189</c:v>
              </c:pt>
              <c:pt idx="186">
                <c:v>190</c:v>
              </c:pt>
              <c:pt idx="187">
                <c:v>191</c:v>
              </c:pt>
              <c:pt idx="188">
                <c:v>192</c:v>
              </c:pt>
              <c:pt idx="189">
                <c:v>193</c:v>
              </c:pt>
              <c:pt idx="190">
                <c:v>194</c:v>
              </c:pt>
              <c:pt idx="191">
                <c:v>195</c:v>
              </c:pt>
              <c:pt idx="192">
                <c:v>196</c:v>
              </c:pt>
              <c:pt idx="193">
                <c:v>197</c:v>
              </c:pt>
              <c:pt idx="194">
                <c:v>198</c:v>
              </c:pt>
              <c:pt idx="195">
                <c:v>199</c:v>
              </c:pt>
              <c:pt idx="196">
                <c:v>200</c:v>
              </c:pt>
              <c:pt idx="197">
                <c:v>201</c:v>
              </c:pt>
              <c:pt idx="198">
                <c:v>202</c:v>
              </c:pt>
              <c:pt idx="199">
                <c:v>203</c:v>
              </c:pt>
              <c:pt idx="200">
                <c:v>204</c:v>
              </c:pt>
              <c:pt idx="201">
                <c:v>205</c:v>
              </c:pt>
              <c:pt idx="202">
                <c:v>206</c:v>
              </c:pt>
              <c:pt idx="203">
                <c:v>207</c:v>
              </c:pt>
              <c:pt idx="204">
                <c:v>208</c:v>
              </c:pt>
              <c:pt idx="205">
                <c:v>209</c:v>
              </c:pt>
              <c:pt idx="206">
                <c:v>210</c:v>
              </c:pt>
              <c:pt idx="207">
                <c:v>211</c:v>
              </c:pt>
              <c:pt idx="208">
                <c:v>212</c:v>
              </c:pt>
              <c:pt idx="209">
                <c:v>213</c:v>
              </c:pt>
              <c:pt idx="210">
                <c:v>214</c:v>
              </c:pt>
              <c:pt idx="211">
                <c:v>215</c:v>
              </c:pt>
              <c:pt idx="212">
                <c:v>216</c:v>
              </c:pt>
              <c:pt idx="213">
                <c:v>217</c:v>
              </c:pt>
              <c:pt idx="214">
                <c:v>218</c:v>
              </c:pt>
              <c:pt idx="215">
                <c:v>219</c:v>
              </c:pt>
              <c:pt idx="216">
                <c:v>220</c:v>
              </c:pt>
              <c:pt idx="217">
                <c:v>221</c:v>
              </c:pt>
              <c:pt idx="218">
                <c:v>222</c:v>
              </c:pt>
              <c:pt idx="219">
                <c:v>223</c:v>
              </c:pt>
              <c:pt idx="220">
                <c:v>224</c:v>
              </c:pt>
              <c:pt idx="221">
                <c:v>225</c:v>
              </c:pt>
              <c:pt idx="222">
                <c:v>226</c:v>
              </c:pt>
              <c:pt idx="223">
                <c:v>227</c:v>
              </c:pt>
              <c:pt idx="224">
                <c:v>228</c:v>
              </c:pt>
              <c:pt idx="225">
                <c:v>229</c:v>
              </c:pt>
              <c:pt idx="226">
                <c:v>230</c:v>
              </c:pt>
              <c:pt idx="227">
                <c:v>231</c:v>
              </c:pt>
              <c:pt idx="228">
                <c:v>232</c:v>
              </c:pt>
              <c:pt idx="229">
                <c:v>233</c:v>
              </c:pt>
              <c:pt idx="230">
                <c:v>234</c:v>
              </c:pt>
              <c:pt idx="231">
                <c:v>235</c:v>
              </c:pt>
              <c:pt idx="232">
                <c:v>236</c:v>
              </c:pt>
              <c:pt idx="233">
                <c:v>237</c:v>
              </c:pt>
              <c:pt idx="234">
                <c:v>238</c:v>
              </c:pt>
              <c:pt idx="235">
                <c:v>239</c:v>
              </c:pt>
              <c:pt idx="236">
                <c:v>240</c:v>
              </c:pt>
              <c:pt idx="237">
                <c:v>241</c:v>
              </c:pt>
              <c:pt idx="238">
                <c:v>242</c:v>
              </c:pt>
              <c:pt idx="239">
                <c:v>243</c:v>
              </c:pt>
              <c:pt idx="240">
                <c:v>244</c:v>
              </c:pt>
              <c:pt idx="241">
                <c:v>245</c:v>
              </c:pt>
              <c:pt idx="242">
                <c:v>246</c:v>
              </c:pt>
              <c:pt idx="243">
                <c:v>247</c:v>
              </c:pt>
              <c:pt idx="244">
                <c:v>248</c:v>
              </c:pt>
              <c:pt idx="245">
                <c:v>249</c:v>
              </c:pt>
              <c:pt idx="246">
                <c:v>250</c:v>
              </c:pt>
              <c:pt idx="247">
                <c:v>251</c:v>
              </c:pt>
              <c:pt idx="248">
                <c:v>252</c:v>
              </c:pt>
              <c:pt idx="249">
                <c:v>253</c:v>
              </c:pt>
              <c:pt idx="250">
                <c:v>254</c:v>
              </c:pt>
              <c:pt idx="251">
                <c:v>255</c:v>
              </c:pt>
              <c:pt idx="252">
                <c:v>256</c:v>
              </c:pt>
              <c:pt idx="253">
                <c:v>257</c:v>
              </c:pt>
              <c:pt idx="254">
                <c:v>258</c:v>
              </c:pt>
              <c:pt idx="255">
                <c:v>259</c:v>
              </c:pt>
              <c:pt idx="256">
                <c:v>260</c:v>
              </c:pt>
              <c:pt idx="257">
                <c:v>261</c:v>
              </c:pt>
              <c:pt idx="258">
                <c:v>262</c:v>
              </c:pt>
              <c:pt idx="259">
                <c:v>263</c:v>
              </c:pt>
              <c:pt idx="260">
                <c:v>264</c:v>
              </c:pt>
              <c:pt idx="261">
                <c:v>265</c:v>
              </c:pt>
              <c:pt idx="262">
                <c:v>266</c:v>
              </c:pt>
              <c:pt idx="263">
                <c:v>267</c:v>
              </c:pt>
              <c:pt idx="264">
                <c:v>268</c:v>
              </c:pt>
              <c:pt idx="265">
                <c:v>269</c:v>
              </c:pt>
              <c:pt idx="266">
                <c:v>270</c:v>
              </c:pt>
              <c:pt idx="267">
                <c:v>271</c:v>
              </c:pt>
              <c:pt idx="268">
                <c:v>272</c:v>
              </c:pt>
              <c:pt idx="269">
                <c:v>273</c:v>
              </c:pt>
              <c:pt idx="270">
                <c:v>274</c:v>
              </c:pt>
              <c:pt idx="271">
                <c:v>275</c:v>
              </c:pt>
              <c:pt idx="272">
                <c:v>276</c:v>
              </c:pt>
              <c:pt idx="273">
                <c:v>277</c:v>
              </c:pt>
              <c:pt idx="274">
                <c:v>278</c:v>
              </c:pt>
              <c:pt idx="275">
                <c:v>279</c:v>
              </c:pt>
              <c:pt idx="276">
                <c:v>280</c:v>
              </c:pt>
              <c:pt idx="277">
                <c:v>281</c:v>
              </c:pt>
              <c:pt idx="278">
                <c:v>282</c:v>
              </c:pt>
              <c:pt idx="279">
                <c:v>283</c:v>
              </c:pt>
              <c:pt idx="280">
                <c:v>284</c:v>
              </c:pt>
              <c:pt idx="281">
                <c:v>285</c:v>
              </c:pt>
              <c:pt idx="282">
                <c:v>286</c:v>
              </c:pt>
              <c:pt idx="283">
                <c:v>287</c:v>
              </c:pt>
              <c:pt idx="284">
                <c:v>288</c:v>
              </c:pt>
              <c:pt idx="285">
                <c:v>289</c:v>
              </c:pt>
              <c:pt idx="286">
                <c:v>290</c:v>
              </c:pt>
              <c:pt idx="287">
                <c:v>291</c:v>
              </c:pt>
              <c:pt idx="288">
                <c:v>292</c:v>
              </c:pt>
              <c:pt idx="289">
                <c:v>293</c:v>
              </c:pt>
              <c:pt idx="290">
                <c:v>294</c:v>
              </c:pt>
              <c:pt idx="291">
                <c:v>295</c:v>
              </c:pt>
              <c:pt idx="292">
                <c:v>296</c:v>
              </c:pt>
              <c:pt idx="293">
                <c:v>297</c:v>
              </c:pt>
              <c:pt idx="294">
                <c:v>298</c:v>
              </c:pt>
              <c:extLst>
                <c:ext xmlns:c15="http://schemas.microsoft.com/office/drawing/2012/chart" uri="{02D57815-91ED-43cb-92C2-25804820EDAC}">
                  <c15:autoCat val="1"/>
                </c:ext>
              </c:extLst>
            </c:strLit>
          </c:cat>
          <c:val>
            <c:numRef>
              <c:f>'All from MfE 23Jan20'!$G$2:$G$299</c:f>
              <c:numCache>
                <c:formatCode>General</c:formatCode>
                <c:ptCount val="295"/>
                <c:pt idx="0">
                  <c:v>65</c:v>
                </c:pt>
                <c:pt idx="1">
                  <c:v>65</c:v>
                </c:pt>
                <c:pt idx="2">
                  <c:v>65</c:v>
                </c:pt>
                <c:pt idx="3">
                  <c:v>65</c:v>
                </c:pt>
                <c:pt idx="4">
                  <c:v>65</c:v>
                </c:pt>
                <c:pt idx="5">
                  <c:v>65</c:v>
                </c:pt>
                <c:pt idx="6">
                  <c:v>65</c:v>
                </c:pt>
                <c:pt idx="7">
                  <c:v>65</c:v>
                </c:pt>
                <c:pt idx="8">
                  <c:v>65</c:v>
                </c:pt>
                <c:pt idx="9">
                  <c:v>65</c:v>
                </c:pt>
                <c:pt idx="10">
                  <c:v>65</c:v>
                </c:pt>
                <c:pt idx="11">
                  <c:v>65</c:v>
                </c:pt>
                <c:pt idx="12">
                  <c:v>65</c:v>
                </c:pt>
                <c:pt idx="13">
                  <c:v>65</c:v>
                </c:pt>
                <c:pt idx="14">
                  <c:v>65</c:v>
                </c:pt>
                <c:pt idx="15">
                  <c:v>65</c:v>
                </c:pt>
                <c:pt idx="16">
                  <c:v>65</c:v>
                </c:pt>
                <c:pt idx="17">
                  <c:v>65</c:v>
                </c:pt>
                <c:pt idx="18">
                  <c:v>65</c:v>
                </c:pt>
                <c:pt idx="19">
                  <c:v>65</c:v>
                </c:pt>
                <c:pt idx="20">
                  <c:v>65</c:v>
                </c:pt>
                <c:pt idx="21">
                  <c:v>65</c:v>
                </c:pt>
                <c:pt idx="22">
                  <c:v>65</c:v>
                </c:pt>
                <c:pt idx="23">
                  <c:v>65</c:v>
                </c:pt>
                <c:pt idx="24">
                  <c:v>65</c:v>
                </c:pt>
                <c:pt idx="25">
                  <c:v>65</c:v>
                </c:pt>
                <c:pt idx="26">
                  <c:v>65</c:v>
                </c:pt>
                <c:pt idx="27">
                  <c:v>65</c:v>
                </c:pt>
                <c:pt idx="28">
                  <c:v>65</c:v>
                </c:pt>
                <c:pt idx="29">
                  <c:v>65</c:v>
                </c:pt>
                <c:pt idx="30">
                  <c:v>65</c:v>
                </c:pt>
                <c:pt idx="31">
                  <c:v>65</c:v>
                </c:pt>
                <c:pt idx="32">
                  <c:v>65</c:v>
                </c:pt>
                <c:pt idx="33">
                  <c:v>65</c:v>
                </c:pt>
                <c:pt idx="34">
                  <c:v>65</c:v>
                </c:pt>
                <c:pt idx="35">
                  <c:v>65</c:v>
                </c:pt>
                <c:pt idx="36">
                  <c:v>65</c:v>
                </c:pt>
                <c:pt idx="37">
                  <c:v>66</c:v>
                </c:pt>
                <c:pt idx="38">
                  <c:v>66</c:v>
                </c:pt>
                <c:pt idx="39">
                  <c:v>66</c:v>
                </c:pt>
                <c:pt idx="40">
                  <c:v>66</c:v>
                </c:pt>
                <c:pt idx="41">
                  <c:v>66</c:v>
                </c:pt>
                <c:pt idx="42">
                  <c:v>66</c:v>
                </c:pt>
                <c:pt idx="43">
                  <c:v>66</c:v>
                </c:pt>
                <c:pt idx="44">
                  <c:v>66</c:v>
                </c:pt>
                <c:pt idx="45">
                  <c:v>66</c:v>
                </c:pt>
                <c:pt idx="46">
                  <c:v>66</c:v>
                </c:pt>
                <c:pt idx="47">
                  <c:v>66</c:v>
                </c:pt>
                <c:pt idx="48">
                  <c:v>66</c:v>
                </c:pt>
                <c:pt idx="49">
                  <c:v>66</c:v>
                </c:pt>
                <c:pt idx="50">
                  <c:v>66</c:v>
                </c:pt>
                <c:pt idx="51">
                  <c:v>66</c:v>
                </c:pt>
                <c:pt idx="52">
                  <c:v>66</c:v>
                </c:pt>
                <c:pt idx="53">
                  <c:v>66</c:v>
                </c:pt>
                <c:pt idx="54">
                  <c:v>66</c:v>
                </c:pt>
                <c:pt idx="55">
                  <c:v>66</c:v>
                </c:pt>
                <c:pt idx="56">
                  <c:v>66</c:v>
                </c:pt>
                <c:pt idx="57">
                  <c:v>66</c:v>
                </c:pt>
                <c:pt idx="58">
                  <c:v>66</c:v>
                </c:pt>
                <c:pt idx="59">
                  <c:v>66</c:v>
                </c:pt>
                <c:pt idx="60">
                  <c:v>66</c:v>
                </c:pt>
                <c:pt idx="61">
                  <c:v>66</c:v>
                </c:pt>
                <c:pt idx="62">
                  <c:v>66</c:v>
                </c:pt>
                <c:pt idx="63">
                  <c:v>66</c:v>
                </c:pt>
                <c:pt idx="64">
                  <c:v>66</c:v>
                </c:pt>
                <c:pt idx="65">
                  <c:v>66</c:v>
                </c:pt>
                <c:pt idx="66">
                  <c:v>66</c:v>
                </c:pt>
                <c:pt idx="67">
                  <c:v>66</c:v>
                </c:pt>
                <c:pt idx="68">
                  <c:v>66</c:v>
                </c:pt>
                <c:pt idx="69">
                  <c:v>66</c:v>
                </c:pt>
                <c:pt idx="70">
                  <c:v>66</c:v>
                </c:pt>
                <c:pt idx="71">
                  <c:v>66</c:v>
                </c:pt>
                <c:pt idx="72">
                  <c:v>66</c:v>
                </c:pt>
                <c:pt idx="73">
                  <c:v>66</c:v>
                </c:pt>
                <c:pt idx="74">
                  <c:v>66</c:v>
                </c:pt>
                <c:pt idx="75">
                  <c:v>66</c:v>
                </c:pt>
                <c:pt idx="76">
                  <c:v>66</c:v>
                </c:pt>
                <c:pt idx="77">
                  <c:v>66</c:v>
                </c:pt>
                <c:pt idx="78">
                  <c:v>66</c:v>
                </c:pt>
                <c:pt idx="79">
                  <c:v>66</c:v>
                </c:pt>
                <c:pt idx="80">
                  <c:v>66</c:v>
                </c:pt>
                <c:pt idx="81">
                  <c:v>66</c:v>
                </c:pt>
                <c:pt idx="82">
                  <c:v>66</c:v>
                </c:pt>
                <c:pt idx="83">
                  <c:v>66</c:v>
                </c:pt>
                <c:pt idx="84">
                  <c:v>66</c:v>
                </c:pt>
                <c:pt idx="85">
                  <c:v>66</c:v>
                </c:pt>
                <c:pt idx="86">
                  <c:v>66</c:v>
                </c:pt>
                <c:pt idx="87">
                  <c:v>66</c:v>
                </c:pt>
                <c:pt idx="88">
                  <c:v>66</c:v>
                </c:pt>
                <c:pt idx="89">
                  <c:v>66</c:v>
                </c:pt>
                <c:pt idx="90">
                  <c:v>66</c:v>
                </c:pt>
                <c:pt idx="91">
                  <c:v>66</c:v>
                </c:pt>
                <c:pt idx="92">
                  <c:v>66</c:v>
                </c:pt>
                <c:pt idx="93">
                  <c:v>67</c:v>
                </c:pt>
                <c:pt idx="94">
                  <c:v>67</c:v>
                </c:pt>
                <c:pt idx="95">
                  <c:v>67</c:v>
                </c:pt>
                <c:pt idx="96">
                  <c:v>67</c:v>
                </c:pt>
                <c:pt idx="97">
                  <c:v>67</c:v>
                </c:pt>
                <c:pt idx="98">
                  <c:v>67</c:v>
                </c:pt>
                <c:pt idx="99">
                  <c:v>67</c:v>
                </c:pt>
                <c:pt idx="100">
                  <c:v>67</c:v>
                </c:pt>
                <c:pt idx="101">
                  <c:v>67</c:v>
                </c:pt>
                <c:pt idx="102">
                  <c:v>67</c:v>
                </c:pt>
                <c:pt idx="103">
                  <c:v>67</c:v>
                </c:pt>
                <c:pt idx="104">
                  <c:v>67</c:v>
                </c:pt>
                <c:pt idx="105">
                  <c:v>67</c:v>
                </c:pt>
                <c:pt idx="106">
                  <c:v>67</c:v>
                </c:pt>
                <c:pt idx="107">
                  <c:v>67</c:v>
                </c:pt>
                <c:pt idx="108">
                  <c:v>67</c:v>
                </c:pt>
                <c:pt idx="109">
                  <c:v>67</c:v>
                </c:pt>
                <c:pt idx="110">
                  <c:v>67</c:v>
                </c:pt>
                <c:pt idx="111">
                  <c:v>67</c:v>
                </c:pt>
                <c:pt idx="112">
                  <c:v>67</c:v>
                </c:pt>
                <c:pt idx="113">
                  <c:v>67</c:v>
                </c:pt>
                <c:pt idx="114">
                  <c:v>67</c:v>
                </c:pt>
                <c:pt idx="115">
                  <c:v>67</c:v>
                </c:pt>
                <c:pt idx="116">
                  <c:v>67</c:v>
                </c:pt>
                <c:pt idx="117">
                  <c:v>67</c:v>
                </c:pt>
                <c:pt idx="118">
                  <c:v>67</c:v>
                </c:pt>
                <c:pt idx="119">
                  <c:v>67</c:v>
                </c:pt>
                <c:pt idx="120">
                  <c:v>67</c:v>
                </c:pt>
                <c:pt idx="121">
                  <c:v>67</c:v>
                </c:pt>
                <c:pt idx="122">
                  <c:v>67</c:v>
                </c:pt>
                <c:pt idx="123">
                  <c:v>67</c:v>
                </c:pt>
                <c:pt idx="124">
                  <c:v>67</c:v>
                </c:pt>
                <c:pt idx="125">
                  <c:v>67</c:v>
                </c:pt>
                <c:pt idx="126">
                  <c:v>67</c:v>
                </c:pt>
                <c:pt idx="127">
                  <c:v>67</c:v>
                </c:pt>
                <c:pt idx="128">
                  <c:v>67</c:v>
                </c:pt>
                <c:pt idx="129">
                  <c:v>67</c:v>
                </c:pt>
                <c:pt idx="130">
                  <c:v>67</c:v>
                </c:pt>
                <c:pt idx="131">
                  <c:v>67</c:v>
                </c:pt>
                <c:pt idx="132">
                  <c:v>67</c:v>
                </c:pt>
                <c:pt idx="133">
                  <c:v>67</c:v>
                </c:pt>
                <c:pt idx="134">
                  <c:v>67</c:v>
                </c:pt>
                <c:pt idx="135">
                  <c:v>67</c:v>
                </c:pt>
                <c:pt idx="136">
                  <c:v>67</c:v>
                </c:pt>
                <c:pt idx="137">
                  <c:v>67</c:v>
                </c:pt>
                <c:pt idx="138">
                  <c:v>67</c:v>
                </c:pt>
                <c:pt idx="139">
                  <c:v>67</c:v>
                </c:pt>
                <c:pt idx="140">
                  <c:v>67</c:v>
                </c:pt>
                <c:pt idx="141">
                  <c:v>67</c:v>
                </c:pt>
                <c:pt idx="142">
                  <c:v>67</c:v>
                </c:pt>
                <c:pt idx="143">
                  <c:v>67</c:v>
                </c:pt>
                <c:pt idx="144">
                  <c:v>68</c:v>
                </c:pt>
                <c:pt idx="145">
                  <c:v>68</c:v>
                </c:pt>
                <c:pt idx="146">
                  <c:v>68</c:v>
                </c:pt>
                <c:pt idx="147">
                  <c:v>68</c:v>
                </c:pt>
                <c:pt idx="148">
                  <c:v>68</c:v>
                </c:pt>
                <c:pt idx="149">
                  <c:v>68</c:v>
                </c:pt>
                <c:pt idx="150">
                  <c:v>68</c:v>
                </c:pt>
                <c:pt idx="151">
                  <c:v>68</c:v>
                </c:pt>
                <c:pt idx="152">
                  <c:v>68</c:v>
                </c:pt>
                <c:pt idx="153">
                  <c:v>68</c:v>
                </c:pt>
                <c:pt idx="154">
                  <c:v>68</c:v>
                </c:pt>
                <c:pt idx="155">
                  <c:v>68</c:v>
                </c:pt>
                <c:pt idx="156">
                  <c:v>68</c:v>
                </c:pt>
                <c:pt idx="157">
                  <c:v>68</c:v>
                </c:pt>
                <c:pt idx="158">
                  <c:v>68</c:v>
                </c:pt>
                <c:pt idx="159">
                  <c:v>68</c:v>
                </c:pt>
                <c:pt idx="160">
                  <c:v>68</c:v>
                </c:pt>
                <c:pt idx="161">
                  <c:v>68</c:v>
                </c:pt>
                <c:pt idx="162">
                  <c:v>68</c:v>
                </c:pt>
                <c:pt idx="163">
                  <c:v>68</c:v>
                </c:pt>
                <c:pt idx="164">
                  <c:v>68</c:v>
                </c:pt>
                <c:pt idx="165">
                  <c:v>68</c:v>
                </c:pt>
                <c:pt idx="166">
                  <c:v>69</c:v>
                </c:pt>
                <c:pt idx="167">
                  <c:v>69</c:v>
                </c:pt>
                <c:pt idx="168">
                  <c:v>69</c:v>
                </c:pt>
                <c:pt idx="169">
                  <c:v>69</c:v>
                </c:pt>
                <c:pt idx="170">
                  <c:v>69</c:v>
                </c:pt>
                <c:pt idx="171">
                  <c:v>69</c:v>
                </c:pt>
                <c:pt idx="172">
                  <c:v>69</c:v>
                </c:pt>
                <c:pt idx="173">
                  <c:v>69</c:v>
                </c:pt>
                <c:pt idx="174">
                  <c:v>69</c:v>
                </c:pt>
                <c:pt idx="175">
                  <c:v>69</c:v>
                </c:pt>
                <c:pt idx="176">
                  <c:v>69</c:v>
                </c:pt>
                <c:pt idx="177">
                  <c:v>69</c:v>
                </c:pt>
                <c:pt idx="178">
                  <c:v>69</c:v>
                </c:pt>
                <c:pt idx="179">
                  <c:v>69</c:v>
                </c:pt>
                <c:pt idx="180">
                  <c:v>69</c:v>
                </c:pt>
                <c:pt idx="181">
                  <c:v>69</c:v>
                </c:pt>
                <c:pt idx="182">
                  <c:v>69</c:v>
                </c:pt>
                <c:pt idx="183">
                  <c:v>69</c:v>
                </c:pt>
                <c:pt idx="184">
                  <c:v>69</c:v>
                </c:pt>
                <c:pt idx="185">
                  <c:v>69</c:v>
                </c:pt>
                <c:pt idx="186">
                  <c:v>69</c:v>
                </c:pt>
                <c:pt idx="187">
                  <c:v>69</c:v>
                </c:pt>
                <c:pt idx="188">
                  <c:v>69</c:v>
                </c:pt>
                <c:pt idx="189">
                  <c:v>69</c:v>
                </c:pt>
                <c:pt idx="190">
                  <c:v>69</c:v>
                </c:pt>
                <c:pt idx="191">
                  <c:v>69</c:v>
                </c:pt>
                <c:pt idx="192">
                  <c:v>69</c:v>
                </c:pt>
                <c:pt idx="193">
                  <c:v>69</c:v>
                </c:pt>
                <c:pt idx="194">
                  <c:v>69</c:v>
                </c:pt>
                <c:pt idx="195">
                  <c:v>69</c:v>
                </c:pt>
                <c:pt idx="196">
                  <c:v>69</c:v>
                </c:pt>
                <c:pt idx="197">
                  <c:v>69</c:v>
                </c:pt>
                <c:pt idx="198">
                  <c:v>69</c:v>
                </c:pt>
                <c:pt idx="199">
                  <c:v>69</c:v>
                </c:pt>
                <c:pt idx="200">
                  <c:v>69</c:v>
                </c:pt>
                <c:pt idx="201">
                  <c:v>69</c:v>
                </c:pt>
                <c:pt idx="202">
                  <c:v>69</c:v>
                </c:pt>
                <c:pt idx="203">
                  <c:v>69</c:v>
                </c:pt>
                <c:pt idx="204">
                  <c:v>69</c:v>
                </c:pt>
                <c:pt idx="205">
                  <c:v>69</c:v>
                </c:pt>
                <c:pt idx="206">
                  <c:v>69</c:v>
                </c:pt>
                <c:pt idx="207">
                  <c:v>69</c:v>
                </c:pt>
                <c:pt idx="208">
                  <c:v>70</c:v>
                </c:pt>
                <c:pt idx="209">
                  <c:v>70</c:v>
                </c:pt>
                <c:pt idx="210">
                  <c:v>70</c:v>
                </c:pt>
                <c:pt idx="211">
                  <c:v>70</c:v>
                </c:pt>
                <c:pt idx="212">
                  <c:v>70</c:v>
                </c:pt>
                <c:pt idx="213">
                  <c:v>70</c:v>
                </c:pt>
                <c:pt idx="214">
                  <c:v>70</c:v>
                </c:pt>
                <c:pt idx="215">
                  <c:v>70</c:v>
                </c:pt>
                <c:pt idx="216">
                  <c:v>70</c:v>
                </c:pt>
                <c:pt idx="217">
                  <c:v>70</c:v>
                </c:pt>
                <c:pt idx="218">
                  <c:v>70</c:v>
                </c:pt>
                <c:pt idx="219">
                  <c:v>70</c:v>
                </c:pt>
                <c:pt idx="220">
                  <c:v>70</c:v>
                </c:pt>
                <c:pt idx="221">
                  <c:v>70</c:v>
                </c:pt>
                <c:pt idx="222">
                  <c:v>70</c:v>
                </c:pt>
                <c:pt idx="223">
                  <c:v>70</c:v>
                </c:pt>
                <c:pt idx="224">
                  <c:v>70</c:v>
                </c:pt>
                <c:pt idx="225">
                  <c:v>70</c:v>
                </c:pt>
                <c:pt idx="226">
                  <c:v>70</c:v>
                </c:pt>
                <c:pt idx="227">
                  <c:v>70</c:v>
                </c:pt>
                <c:pt idx="228">
                  <c:v>70</c:v>
                </c:pt>
                <c:pt idx="229">
                  <c:v>70</c:v>
                </c:pt>
                <c:pt idx="230">
                  <c:v>71</c:v>
                </c:pt>
                <c:pt idx="231">
                  <c:v>71</c:v>
                </c:pt>
                <c:pt idx="232">
                  <c:v>71</c:v>
                </c:pt>
                <c:pt idx="233">
                  <c:v>71</c:v>
                </c:pt>
                <c:pt idx="234">
                  <c:v>71</c:v>
                </c:pt>
                <c:pt idx="235">
                  <c:v>71</c:v>
                </c:pt>
                <c:pt idx="236">
                  <c:v>71</c:v>
                </c:pt>
                <c:pt idx="237">
                  <c:v>71</c:v>
                </c:pt>
                <c:pt idx="238">
                  <c:v>71</c:v>
                </c:pt>
                <c:pt idx="239">
                  <c:v>71</c:v>
                </c:pt>
                <c:pt idx="240">
                  <c:v>71</c:v>
                </c:pt>
                <c:pt idx="241">
                  <c:v>71</c:v>
                </c:pt>
                <c:pt idx="242">
                  <c:v>71</c:v>
                </c:pt>
                <c:pt idx="243">
                  <c:v>71</c:v>
                </c:pt>
                <c:pt idx="244">
                  <c:v>71</c:v>
                </c:pt>
                <c:pt idx="245">
                  <c:v>71</c:v>
                </c:pt>
                <c:pt idx="246">
                  <c:v>71</c:v>
                </c:pt>
                <c:pt idx="247">
                  <c:v>71</c:v>
                </c:pt>
                <c:pt idx="248">
                  <c:v>72</c:v>
                </c:pt>
                <c:pt idx="249">
                  <c:v>72</c:v>
                </c:pt>
                <c:pt idx="250">
                  <c:v>72</c:v>
                </c:pt>
                <c:pt idx="251">
                  <c:v>72</c:v>
                </c:pt>
                <c:pt idx="252">
                  <c:v>72</c:v>
                </c:pt>
                <c:pt idx="253">
                  <c:v>72</c:v>
                </c:pt>
                <c:pt idx="254">
                  <c:v>72</c:v>
                </c:pt>
                <c:pt idx="255">
                  <c:v>72</c:v>
                </c:pt>
                <c:pt idx="256">
                  <c:v>72</c:v>
                </c:pt>
                <c:pt idx="257">
                  <c:v>72</c:v>
                </c:pt>
                <c:pt idx="258">
                  <c:v>72</c:v>
                </c:pt>
                <c:pt idx="259">
                  <c:v>72</c:v>
                </c:pt>
                <c:pt idx="260">
                  <c:v>72</c:v>
                </c:pt>
                <c:pt idx="261">
                  <c:v>72</c:v>
                </c:pt>
                <c:pt idx="262">
                  <c:v>72</c:v>
                </c:pt>
                <c:pt idx="263">
                  <c:v>73</c:v>
                </c:pt>
                <c:pt idx="264">
                  <c:v>73</c:v>
                </c:pt>
                <c:pt idx="265">
                  <c:v>73</c:v>
                </c:pt>
                <c:pt idx="266">
                  <c:v>73</c:v>
                </c:pt>
                <c:pt idx="267">
                  <c:v>73</c:v>
                </c:pt>
                <c:pt idx="268">
                  <c:v>74</c:v>
                </c:pt>
                <c:pt idx="269">
                  <c:v>74</c:v>
                </c:pt>
                <c:pt idx="270">
                  <c:v>74</c:v>
                </c:pt>
                <c:pt idx="271">
                  <c:v>74</c:v>
                </c:pt>
                <c:pt idx="272">
                  <c:v>74</c:v>
                </c:pt>
                <c:pt idx="273">
                  <c:v>74</c:v>
                </c:pt>
                <c:pt idx="274">
                  <c:v>74</c:v>
                </c:pt>
                <c:pt idx="275">
                  <c:v>74</c:v>
                </c:pt>
                <c:pt idx="276">
                  <c:v>74</c:v>
                </c:pt>
                <c:pt idx="277">
                  <c:v>75</c:v>
                </c:pt>
                <c:pt idx="278">
                  <c:v>75</c:v>
                </c:pt>
                <c:pt idx="279">
                  <c:v>75</c:v>
                </c:pt>
                <c:pt idx="280">
                  <c:v>76</c:v>
                </c:pt>
                <c:pt idx="281">
                  <c:v>76</c:v>
                </c:pt>
                <c:pt idx="282">
                  <c:v>76</c:v>
                </c:pt>
                <c:pt idx="283">
                  <c:v>76</c:v>
                </c:pt>
                <c:pt idx="284">
                  <c:v>76</c:v>
                </c:pt>
                <c:pt idx="285">
                  <c:v>77</c:v>
                </c:pt>
                <c:pt idx="286">
                  <c:v>77</c:v>
                </c:pt>
                <c:pt idx="287">
                  <c:v>77</c:v>
                </c:pt>
                <c:pt idx="288">
                  <c:v>77</c:v>
                </c:pt>
                <c:pt idx="289">
                  <c:v>77</c:v>
                </c:pt>
                <c:pt idx="290">
                  <c:v>77</c:v>
                </c:pt>
                <c:pt idx="291">
                  <c:v>77</c:v>
                </c:pt>
                <c:pt idx="292">
                  <c:v>78</c:v>
                </c:pt>
                <c:pt idx="293">
                  <c:v>79</c:v>
                </c:pt>
                <c:pt idx="294">
                  <c:v>80</c:v>
                </c:pt>
              </c:numCache>
            </c:numRef>
          </c:val>
          <c:extLst>
            <c:ext xmlns:c16="http://schemas.microsoft.com/office/drawing/2014/chart" uri="{C3380CC4-5D6E-409C-BE32-E72D297353CC}">
              <c16:uniqueId val="{00000000-7464-4FC6-BDBE-1221282F99C6}"/>
            </c:ext>
          </c:extLst>
        </c:ser>
        <c:dLbls>
          <c:showLegendKey val="0"/>
          <c:showVal val="0"/>
          <c:showCatName val="0"/>
          <c:showSerName val="0"/>
          <c:showPercent val="0"/>
          <c:showBubbleSize val="0"/>
        </c:dLbls>
        <c:gapWidth val="150"/>
        <c:axId val="637865296"/>
        <c:axId val="637870544"/>
      </c:barChart>
      <c:catAx>
        <c:axId val="637865296"/>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from MfE authorised woodburner list as at 23 Jan 2020</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crossAx val="637870544"/>
        <c:crosses val="autoZero"/>
        <c:auto val="1"/>
        <c:lblAlgn val="ctr"/>
        <c:lblOffset val="100"/>
        <c:noMultiLvlLbl val="0"/>
      </c:catAx>
      <c:valAx>
        <c:axId val="63787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865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NZ"/>
              <a:t>Pellet Fire Emissions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val>
            <c:numRef>
              <c:f>'emissions data 23Jan20'!$F$333:$F$393</c:f>
              <c:numCache>
                <c:formatCode>General</c:formatCode>
                <c:ptCount val="61"/>
                <c:pt idx="0">
                  <c:v>0.1</c:v>
                </c:pt>
                <c:pt idx="1">
                  <c:v>0.11</c:v>
                </c:pt>
                <c:pt idx="2">
                  <c:v>0.14000000000000001</c:v>
                </c:pt>
                <c:pt idx="3">
                  <c:v>0.16</c:v>
                </c:pt>
                <c:pt idx="4">
                  <c:v>0.18</c:v>
                </c:pt>
                <c:pt idx="5">
                  <c:v>0.19</c:v>
                </c:pt>
                <c:pt idx="6">
                  <c:v>0.2</c:v>
                </c:pt>
                <c:pt idx="7">
                  <c:v>0.2</c:v>
                </c:pt>
                <c:pt idx="8">
                  <c:v>0.23</c:v>
                </c:pt>
                <c:pt idx="9">
                  <c:v>0.23</c:v>
                </c:pt>
                <c:pt idx="10">
                  <c:v>0.23</c:v>
                </c:pt>
                <c:pt idx="11">
                  <c:v>0.23</c:v>
                </c:pt>
                <c:pt idx="12">
                  <c:v>0.26</c:v>
                </c:pt>
                <c:pt idx="13">
                  <c:v>0.27</c:v>
                </c:pt>
                <c:pt idx="14">
                  <c:v>0.27</c:v>
                </c:pt>
                <c:pt idx="15">
                  <c:v>0.3</c:v>
                </c:pt>
                <c:pt idx="16">
                  <c:v>0.3</c:v>
                </c:pt>
                <c:pt idx="17">
                  <c:v>0.3</c:v>
                </c:pt>
                <c:pt idx="18">
                  <c:v>0.3</c:v>
                </c:pt>
                <c:pt idx="19">
                  <c:v>0.3</c:v>
                </c:pt>
                <c:pt idx="20">
                  <c:v>0.3</c:v>
                </c:pt>
                <c:pt idx="21">
                  <c:v>0.31</c:v>
                </c:pt>
                <c:pt idx="22">
                  <c:v>0.33</c:v>
                </c:pt>
                <c:pt idx="23">
                  <c:v>0.37</c:v>
                </c:pt>
                <c:pt idx="24">
                  <c:v>0.4</c:v>
                </c:pt>
                <c:pt idx="25">
                  <c:v>0.4</c:v>
                </c:pt>
                <c:pt idx="26">
                  <c:v>0.4</c:v>
                </c:pt>
                <c:pt idx="27">
                  <c:v>0.4</c:v>
                </c:pt>
                <c:pt idx="28">
                  <c:v>0.4</c:v>
                </c:pt>
                <c:pt idx="29">
                  <c:v>0.4</c:v>
                </c:pt>
                <c:pt idx="30">
                  <c:v>0.4</c:v>
                </c:pt>
                <c:pt idx="31">
                  <c:v>0.4</c:v>
                </c:pt>
                <c:pt idx="32">
                  <c:v>0.4</c:v>
                </c:pt>
                <c:pt idx="33">
                  <c:v>0.4</c:v>
                </c:pt>
                <c:pt idx="34">
                  <c:v>0.41</c:v>
                </c:pt>
                <c:pt idx="35">
                  <c:v>0.44</c:v>
                </c:pt>
                <c:pt idx="36">
                  <c:v>0.5</c:v>
                </c:pt>
                <c:pt idx="37">
                  <c:v>0.5</c:v>
                </c:pt>
                <c:pt idx="38">
                  <c:v>0.5</c:v>
                </c:pt>
                <c:pt idx="39">
                  <c:v>0.5</c:v>
                </c:pt>
                <c:pt idx="40">
                  <c:v>0.5</c:v>
                </c:pt>
                <c:pt idx="41">
                  <c:v>0.5</c:v>
                </c:pt>
                <c:pt idx="42">
                  <c:v>0.5</c:v>
                </c:pt>
                <c:pt idx="43">
                  <c:v>0.5</c:v>
                </c:pt>
                <c:pt idx="44">
                  <c:v>0.5</c:v>
                </c:pt>
                <c:pt idx="45">
                  <c:v>0.5</c:v>
                </c:pt>
                <c:pt idx="46">
                  <c:v>0.5</c:v>
                </c:pt>
                <c:pt idx="47">
                  <c:v>0.5</c:v>
                </c:pt>
                <c:pt idx="48">
                  <c:v>0.5</c:v>
                </c:pt>
                <c:pt idx="49">
                  <c:v>0.5</c:v>
                </c:pt>
                <c:pt idx="50">
                  <c:v>0.6</c:v>
                </c:pt>
                <c:pt idx="51">
                  <c:v>0.6</c:v>
                </c:pt>
                <c:pt idx="52">
                  <c:v>0.6</c:v>
                </c:pt>
                <c:pt idx="53">
                  <c:v>0.6</c:v>
                </c:pt>
                <c:pt idx="54">
                  <c:v>0.6</c:v>
                </c:pt>
                <c:pt idx="55">
                  <c:v>0.62</c:v>
                </c:pt>
                <c:pt idx="56">
                  <c:v>0.62</c:v>
                </c:pt>
                <c:pt idx="57">
                  <c:v>0.62</c:v>
                </c:pt>
                <c:pt idx="58">
                  <c:v>0.63</c:v>
                </c:pt>
                <c:pt idx="59">
                  <c:v>0.7</c:v>
                </c:pt>
                <c:pt idx="60">
                  <c:v>0.8</c:v>
                </c:pt>
              </c:numCache>
            </c:numRef>
          </c:val>
          <c:extLst>
            <c:ext xmlns:c16="http://schemas.microsoft.com/office/drawing/2014/chart" uri="{C3380CC4-5D6E-409C-BE32-E72D297353CC}">
              <c16:uniqueId val="{00000000-B75D-499B-AB59-C2F88ADF1D01}"/>
            </c:ext>
          </c:extLst>
        </c:ser>
        <c:dLbls>
          <c:showLegendKey val="0"/>
          <c:showVal val="0"/>
          <c:showCatName val="0"/>
          <c:showSerName val="0"/>
          <c:showPercent val="0"/>
          <c:showBubbleSize val="0"/>
        </c:dLbls>
        <c:gapWidth val="219"/>
        <c:overlap val="-27"/>
        <c:axId val="630836496"/>
        <c:axId val="630836824"/>
      </c:barChart>
      <c:catAx>
        <c:axId val="630836496"/>
        <c:scaling>
          <c:orientation val="minMax"/>
        </c:scaling>
        <c:delete val="1"/>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rPr>
                  <a:t>from MfE authorised woodburner list as at 23 Jan 2020</a:t>
                </a:r>
                <a:endParaRPr lang="en-NZ"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majorTickMark val="none"/>
        <c:minorTickMark val="none"/>
        <c:tickLblPos val="nextTo"/>
        <c:crossAx val="630836824"/>
        <c:crosses val="autoZero"/>
        <c:auto val="1"/>
        <c:lblAlgn val="ctr"/>
        <c:lblOffset val="100"/>
        <c:noMultiLvlLbl val="0"/>
      </c:catAx>
      <c:valAx>
        <c:axId val="630836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0836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Pellet Fire Efficiency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val>
            <c:numRef>
              <c:f>'All from MfE 23Jan20'!$G$330:$G$392</c:f>
              <c:numCache>
                <c:formatCode>General</c:formatCode>
                <c:ptCount val="63"/>
                <c:pt idx="0">
                  <c:v>65</c:v>
                </c:pt>
                <c:pt idx="1">
                  <c:v>70</c:v>
                </c:pt>
                <c:pt idx="2">
                  <c:v>71</c:v>
                </c:pt>
                <c:pt idx="3">
                  <c:v>71</c:v>
                </c:pt>
                <c:pt idx="4">
                  <c:v>72</c:v>
                </c:pt>
                <c:pt idx="5">
                  <c:v>74</c:v>
                </c:pt>
                <c:pt idx="6">
                  <c:v>75</c:v>
                </c:pt>
                <c:pt idx="7">
                  <c:v>76</c:v>
                </c:pt>
                <c:pt idx="8">
                  <c:v>76</c:v>
                </c:pt>
                <c:pt idx="9">
                  <c:v>76</c:v>
                </c:pt>
                <c:pt idx="10">
                  <c:v>77</c:v>
                </c:pt>
                <c:pt idx="11">
                  <c:v>77</c:v>
                </c:pt>
                <c:pt idx="12">
                  <c:v>78</c:v>
                </c:pt>
                <c:pt idx="13">
                  <c:v>79</c:v>
                </c:pt>
                <c:pt idx="14">
                  <c:v>79</c:v>
                </c:pt>
                <c:pt idx="15">
                  <c:v>79</c:v>
                </c:pt>
                <c:pt idx="16">
                  <c:v>79</c:v>
                </c:pt>
                <c:pt idx="17">
                  <c:v>80</c:v>
                </c:pt>
                <c:pt idx="18">
                  <c:v>80</c:v>
                </c:pt>
                <c:pt idx="19">
                  <c:v>80</c:v>
                </c:pt>
                <c:pt idx="20">
                  <c:v>80</c:v>
                </c:pt>
                <c:pt idx="21">
                  <c:v>80</c:v>
                </c:pt>
                <c:pt idx="22">
                  <c:v>80</c:v>
                </c:pt>
                <c:pt idx="23">
                  <c:v>80</c:v>
                </c:pt>
                <c:pt idx="24">
                  <c:v>80</c:v>
                </c:pt>
                <c:pt idx="25">
                  <c:v>81</c:v>
                </c:pt>
                <c:pt idx="26">
                  <c:v>81</c:v>
                </c:pt>
                <c:pt idx="27">
                  <c:v>81</c:v>
                </c:pt>
                <c:pt idx="28">
                  <c:v>81</c:v>
                </c:pt>
                <c:pt idx="29">
                  <c:v>81</c:v>
                </c:pt>
                <c:pt idx="30">
                  <c:v>81</c:v>
                </c:pt>
                <c:pt idx="31">
                  <c:v>81</c:v>
                </c:pt>
                <c:pt idx="32">
                  <c:v>81</c:v>
                </c:pt>
                <c:pt idx="33">
                  <c:v>82</c:v>
                </c:pt>
                <c:pt idx="34">
                  <c:v>82</c:v>
                </c:pt>
                <c:pt idx="35">
                  <c:v>82</c:v>
                </c:pt>
                <c:pt idx="36">
                  <c:v>83</c:v>
                </c:pt>
                <c:pt idx="37">
                  <c:v>84</c:v>
                </c:pt>
                <c:pt idx="38">
                  <c:v>84</c:v>
                </c:pt>
                <c:pt idx="39">
                  <c:v>84</c:v>
                </c:pt>
                <c:pt idx="40">
                  <c:v>84</c:v>
                </c:pt>
                <c:pt idx="41">
                  <c:v>84</c:v>
                </c:pt>
                <c:pt idx="42">
                  <c:v>85</c:v>
                </c:pt>
                <c:pt idx="43">
                  <c:v>85</c:v>
                </c:pt>
                <c:pt idx="44">
                  <c:v>85</c:v>
                </c:pt>
                <c:pt idx="45">
                  <c:v>85</c:v>
                </c:pt>
                <c:pt idx="46">
                  <c:v>85</c:v>
                </c:pt>
                <c:pt idx="47">
                  <c:v>85</c:v>
                </c:pt>
                <c:pt idx="48">
                  <c:v>86</c:v>
                </c:pt>
                <c:pt idx="49">
                  <c:v>86</c:v>
                </c:pt>
                <c:pt idx="50">
                  <c:v>86</c:v>
                </c:pt>
                <c:pt idx="51">
                  <c:v>86</c:v>
                </c:pt>
                <c:pt idx="52">
                  <c:v>86</c:v>
                </c:pt>
                <c:pt idx="53">
                  <c:v>86</c:v>
                </c:pt>
                <c:pt idx="54">
                  <c:v>87</c:v>
                </c:pt>
                <c:pt idx="55">
                  <c:v>87</c:v>
                </c:pt>
                <c:pt idx="56">
                  <c:v>87</c:v>
                </c:pt>
                <c:pt idx="57">
                  <c:v>88</c:v>
                </c:pt>
                <c:pt idx="58">
                  <c:v>88</c:v>
                </c:pt>
                <c:pt idx="59">
                  <c:v>88</c:v>
                </c:pt>
                <c:pt idx="60">
                  <c:v>88</c:v>
                </c:pt>
                <c:pt idx="61">
                  <c:v>88</c:v>
                </c:pt>
                <c:pt idx="62">
                  <c:v>89</c:v>
                </c:pt>
              </c:numCache>
            </c:numRef>
          </c:val>
          <c:extLst>
            <c:ext xmlns:c16="http://schemas.microsoft.com/office/drawing/2014/chart" uri="{C3380CC4-5D6E-409C-BE32-E72D297353CC}">
              <c16:uniqueId val="{00000000-451F-4088-BC80-982438AE8A9B}"/>
            </c:ext>
          </c:extLst>
        </c:ser>
        <c:dLbls>
          <c:showLegendKey val="0"/>
          <c:showVal val="0"/>
          <c:showCatName val="0"/>
          <c:showSerName val="0"/>
          <c:showPercent val="0"/>
          <c:showBubbleSize val="0"/>
        </c:dLbls>
        <c:gapWidth val="150"/>
        <c:axId val="637865296"/>
        <c:axId val="637870544"/>
      </c:barChart>
      <c:catAx>
        <c:axId val="637865296"/>
        <c:scaling>
          <c:orientation val="minMax"/>
        </c:scaling>
        <c:delete val="1"/>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sz="1000" b="0" i="0" baseline="0">
                    <a:effectLst/>
                  </a:rPr>
                  <a:t>from MfE authorised woodburner list as at 23 Jan 2020</a:t>
                </a:r>
                <a:endParaRPr lang="en-NZ" sz="1000">
                  <a:effectLst/>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crossAx val="637870544"/>
        <c:crosses val="autoZero"/>
        <c:auto val="1"/>
        <c:lblAlgn val="ctr"/>
        <c:lblOffset val="100"/>
        <c:noMultiLvlLbl val="0"/>
      </c:catAx>
      <c:valAx>
        <c:axId val="637870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78652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0.13507</cdr:x>
      <cdr:y>0.92574</cdr:y>
    </cdr:from>
    <cdr:to>
      <cdr:x>0.76208</cdr:x>
      <cdr:y>0.98474</cdr:y>
    </cdr:to>
    <cdr:sp macro="" textlink="">
      <cdr:nvSpPr>
        <cdr:cNvPr id="2" name="TextBox 1">
          <a:extLst xmlns:a="http://schemas.openxmlformats.org/drawingml/2006/main">
            <a:ext uri="{FF2B5EF4-FFF2-40B4-BE49-F238E27FC236}">
              <a16:creationId xmlns:a16="http://schemas.microsoft.com/office/drawing/2014/main" id="{220F8F7F-A8C4-43A8-AA9F-3276D1619EA5}"/>
            </a:ext>
          </a:extLst>
        </cdr:cNvPr>
        <cdr:cNvSpPr txBox="1"/>
      </cdr:nvSpPr>
      <cdr:spPr>
        <a:xfrm xmlns:a="http://schemas.openxmlformats.org/drawingml/2006/main">
          <a:off x="830580" y="3467100"/>
          <a:ext cx="3855720" cy="2209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NZ" sz="1100"/>
        </a:p>
      </cdr:txBody>
    </cdr:sp>
  </cdr:relSizeAnchor>
  <cdr:relSizeAnchor xmlns:cdr="http://schemas.openxmlformats.org/drawingml/2006/chartDrawing">
    <cdr:from>
      <cdr:x>0.05328</cdr:x>
      <cdr:y>0.92777</cdr:y>
    </cdr:from>
    <cdr:to>
      <cdr:x>0.67906</cdr:x>
      <cdr:y>0.99084</cdr:y>
    </cdr:to>
    <cdr:sp macro="" textlink="">
      <cdr:nvSpPr>
        <cdr:cNvPr id="3" name="TextBox 2">
          <a:extLst xmlns:a="http://schemas.openxmlformats.org/drawingml/2006/main">
            <a:ext uri="{FF2B5EF4-FFF2-40B4-BE49-F238E27FC236}">
              <a16:creationId xmlns:a16="http://schemas.microsoft.com/office/drawing/2014/main" id="{D2A0F7D8-F76B-4420-8819-35BCC5907696}"/>
            </a:ext>
          </a:extLst>
        </cdr:cNvPr>
        <cdr:cNvSpPr txBox="1"/>
      </cdr:nvSpPr>
      <cdr:spPr>
        <a:xfrm xmlns:a="http://schemas.openxmlformats.org/drawingml/2006/main">
          <a:off x="327660" y="3474720"/>
          <a:ext cx="3848100"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NZ" sz="900"/>
            <a:t>2019 figures include estimated numbers for Dec</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DEEBFC-27E5-4B56-9A9F-68AB4E731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43</Pages>
  <Words>16307</Words>
  <Characters>92952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EECA NABERS NZ Reheat Issue</vt:lpstr>
    </vt:vector>
  </TitlesOfParts>
  <Company>HP</Company>
  <LinksUpToDate>false</LinksUpToDate>
  <CharactersWithSpaces>109041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MfE NESAQ SFB Testing and Standards</dc:title>
  <dc:creator>Glenn Seymour</dc:creator>
  <cp:lastModifiedBy>Glenn Seymour</cp:lastModifiedBy>
  <cp:revision>339</cp:revision>
  <cp:lastPrinted>2020-03-06T22:41:00Z</cp:lastPrinted>
  <dcterms:created xsi:type="dcterms:W3CDTF">2020-03-04T20:14:00Z</dcterms:created>
  <dcterms:modified xsi:type="dcterms:W3CDTF">2020-05-10T21:10:00Z</dcterms:modified>
</cp:coreProperties>
</file>