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BF567" w14:textId="77777777" w:rsidR="00AA4218" w:rsidRPr="00E402DB" w:rsidRDefault="00AA4218" w:rsidP="00A14971">
      <w:pPr>
        <w:spacing w:after="3600"/>
        <w:ind w:left="3686"/>
        <w:jc w:val="right"/>
        <w:rPr>
          <w:rFonts w:ascii="Verdana" w:hAnsi="Verdana"/>
          <w:b/>
        </w:rPr>
      </w:pPr>
    </w:p>
    <w:tbl>
      <w:tblPr>
        <w:tblW w:w="6237" w:type="dxa"/>
        <w:tblInd w:w="3510" w:type="dxa"/>
        <w:tblLayout w:type="fixed"/>
        <w:tblLook w:val="0000" w:firstRow="0" w:lastRow="0" w:firstColumn="0" w:lastColumn="0" w:noHBand="0" w:noVBand="0"/>
      </w:tblPr>
      <w:tblGrid>
        <w:gridCol w:w="6237"/>
      </w:tblGrid>
      <w:tr w:rsidR="00AA4218" w:rsidRPr="005E0CA8" w14:paraId="1CD969F5" w14:textId="77777777" w:rsidTr="00830C3F">
        <w:trPr>
          <w:trHeight w:val="930"/>
        </w:trPr>
        <w:tc>
          <w:tcPr>
            <w:tcW w:w="6237" w:type="dxa"/>
            <w:vAlign w:val="bottom"/>
          </w:tcPr>
          <w:p w14:paraId="62922D1C" w14:textId="77777777" w:rsidR="00AA4218" w:rsidRPr="00270CD3" w:rsidRDefault="00A14971" w:rsidP="008362A7">
            <w:pPr>
              <w:spacing w:line="276" w:lineRule="auto"/>
              <w:rPr>
                <w:rFonts w:ascii="Arial" w:hAnsi="Arial" w:cs="Arial"/>
                <w:b/>
                <w:bCs/>
                <w:sz w:val="28"/>
              </w:rPr>
            </w:pPr>
            <w:r w:rsidRPr="00270CD3">
              <w:rPr>
                <w:rFonts w:ascii="Arial" w:hAnsi="Arial" w:cs="Arial"/>
                <w:b/>
                <w:sz w:val="28"/>
                <w:szCs w:val="28"/>
              </w:rPr>
              <w:t>Mercury Inventory for</w:t>
            </w:r>
            <w:r w:rsidR="004E5E04" w:rsidRPr="00270CD3">
              <w:rPr>
                <w:rFonts w:ascii="Arial" w:hAnsi="Arial" w:cs="Arial"/>
                <w:b/>
                <w:sz w:val="28"/>
                <w:szCs w:val="28"/>
              </w:rPr>
              <w:t xml:space="preserve"> New Zealand</w:t>
            </w:r>
            <w:r w:rsidRPr="00270CD3">
              <w:rPr>
                <w:rFonts w:ascii="Arial" w:hAnsi="Arial" w:cs="Arial"/>
                <w:b/>
                <w:sz w:val="28"/>
                <w:szCs w:val="28"/>
              </w:rPr>
              <w:t xml:space="preserve">: </w:t>
            </w:r>
            <w:r w:rsidR="008362A7">
              <w:rPr>
                <w:rFonts w:ascii="Arial" w:hAnsi="Arial" w:cs="Arial"/>
                <w:b/>
                <w:sz w:val="28"/>
                <w:szCs w:val="28"/>
              </w:rPr>
              <w:t>201</w:t>
            </w:r>
            <w:r w:rsidR="00D90479">
              <w:rPr>
                <w:rFonts w:ascii="Arial" w:hAnsi="Arial" w:cs="Arial"/>
                <w:b/>
                <w:sz w:val="28"/>
                <w:szCs w:val="28"/>
              </w:rPr>
              <w:t>6</w:t>
            </w:r>
          </w:p>
        </w:tc>
      </w:tr>
    </w:tbl>
    <w:p w14:paraId="5BC2AD3A" w14:textId="77777777" w:rsidR="00270CD3" w:rsidRPr="00270CD3" w:rsidRDefault="00270CD3" w:rsidP="00270CD3">
      <w:pPr>
        <w:spacing w:before="4800"/>
        <w:jc w:val="center"/>
        <w:rPr>
          <w:rFonts w:ascii="Arial" w:hAnsi="Arial" w:cs="Arial"/>
          <w:b/>
          <w:sz w:val="24"/>
          <w:szCs w:val="24"/>
        </w:rPr>
      </w:pPr>
      <w:r w:rsidRPr="00270CD3">
        <w:rPr>
          <w:rFonts w:ascii="Arial" w:hAnsi="Arial" w:cs="Arial"/>
          <w:b/>
          <w:sz w:val="24"/>
          <w:szCs w:val="24"/>
        </w:rPr>
        <w:t>Report to the Ministry for the Environment</w:t>
      </w:r>
    </w:p>
    <w:p w14:paraId="567C6003" w14:textId="77777777" w:rsidR="00270CD3" w:rsidRPr="00270CD3" w:rsidRDefault="00270CD3" w:rsidP="00270CD3">
      <w:pPr>
        <w:jc w:val="center"/>
        <w:rPr>
          <w:rFonts w:ascii="Arial" w:hAnsi="Arial" w:cs="Arial"/>
          <w:b/>
          <w:szCs w:val="24"/>
        </w:rPr>
      </w:pPr>
    </w:p>
    <w:p w14:paraId="7C7C3A0A" w14:textId="77777777" w:rsidR="00270CD3" w:rsidRPr="00ED6A25" w:rsidRDefault="00270CD3" w:rsidP="00270CD3">
      <w:pPr>
        <w:jc w:val="center"/>
        <w:rPr>
          <w:rFonts w:ascii="Arial" w:hAnsi="Arial" w:cs="Arial"/>
          <w:b/>
          <w:sz w:val="22"/>
          <w:szCs w:val="24"/>
        </w:rPr>
      </w:pPr>
      <w:r w:rsidRPr="00ED6A25">
        <w:rPr>
          <w:rFonts w:ascii="Arial" w:hAnsi="Arial" w:cs="Arial"/>
          <w:b/>
          <w:sz w:val="22"/>
          <w:szCs w:val="24"/>
        </w:rPr>
        <w:t xml:space="preserve">Prepared by </w:t>
      </w:r>
      <w:r w:rsidR="00D90479" w:rsidRPr="00ED6A25">
        <w:rPr>
          <w:rFonts w:ascii="Arial" w:hAnsi="Arial" w:cs="Arial"/>
          <w:b/>
          <w:sz w:val="22"/>
          <w:szCs w:val="24"/>
        </w:rPr>
        <w:t xml:space="preserve">Alistair </w:t>
      </w:r>
      <w:r w:rsidR="00990A55">
        <w:rPr>
          <w:rFonts w:ascii="Arial" w:hAnsi="Arial" w:cs="Arial"/>
          <w:b/>
          <w:sz w:val="22"/>
          <w:szCs w:val="24"/>
        </w:rPr>
        <w:t>Bingham, JCL Air &amp; Environment</w:t>
      </w:r>
      <w:r w:rsidR="00D90479" w:rsidRPr="00ED6A25">
        <w:rPr>
          <w:rFonts w:ascii="Arial" w:hAnsi="Arial" w:cs="Arial"/>
          <w:b/>
          <w:sz w:val="22"/>
          <w:szCs w:val="24"/>
        </w:rPr>
        <w:t xml:space="preserve"> Limited </w:t>
      </w:r>
      <w:r w:rsidR="00D90479">
        <w:rPr>
          <w:rFonts w:ascii="Arial" w:hAnsi="Arial" w:cs="Arial"/>
          <w:b/>
          <w:sz w:val="22"/>
          <w:szCs w:val="24"/>
        </w:rPr>
        <w:t xml:space="preserve">and </w:t>
      </w:r>
      <w:r w:rsidRPr="00ED6A25">
        <w:rPr>
          <w:rFonts w:ascii="Arial" w:hAnsi="Arial" w:cs="Arial"/>
          <w:b/>
          <w:sz w:val="22"/>
          <w:szCs w:val="24"/>
        </w:rPr>
        <w:t>Bruce Graham, Graham Environmental Consulting Ltd</w:t>
      </w:r>
    </w:p>
    <w:p w14:paraId="44CB8180" w14:textId="77777777" w:rsidR="00270CD3" w:rsidRPr="00ED6A25" w:rsidRDefault="00270CD3" w:rsidP="00270CD3">
      <w:pPr>
        <w:jc w:val="center"/>
        <w:rPr>
          <w:rFonts w:ascii="Arial" w:hAnsi="Arial" w:cs="Arial"/>
          <w:b/>
          <w:sz w:val="22"/>
          <w:szCs w:val="24"/>
        </w:rPr>
      </w:pPr>
    </w:p>
    <w:p w14:paraId="4E33ECAE" w14:textId="77777777" w:rsidR="00270CD3" w:rsidRPr="00ED6A25" w:rsidRDefault="00270CD3" w:rsidP="00270CD3">
      <w:pPr>
        <w:jc w:val="center"/>
        <w:rPr>
          <w:rFonts w:ascii="Arial" w:hAnsi="Arial" w:cs="Arial"/>
          <w:b/>
          <w:sz w:val="22"/>
          <w:szCs w:val="24"/>
        </w:rPr>
      </w:pPr>
      <w:r w:rsidRPr="00ED6A25">
        <w:rPr>
          <w:rFonts w:ascii="Arial" w:hAnsi="Arial" w:cs="Arial"/>
          <w:b/>
          <w:sz w:val="22"/>
          <w:szCs w:val="24"/>
        </w:rPr>
        <w:t xml:space="preserve">Reviewed by </w:t>
      </w:r>
      <w:r w:rsidR="00D90479">
        <w:rPr>
          <w:rFonts w:ascii="Arial" w:hAnsi="Arial" w:cs="Arial"/>
          <w:b/>
          <w:sz w:val="22"/>
          <w:szCs w:val="24"/>
        </w:rPr>
        <w:t>Jenny Simpson, Tonkin &amp; Taylor Ltd</w:t>
      </w:r>
    </w:p>
    <w:p w14:paraId="390BBF9B" w14:textId="77777777" w:rsidR="00270CD3" w:rsidRPr="00ED6A25" w:rsidRDefault="00270CD3" w:rsidP="00270CD3">
      <w:pPr>
        <w:jc w:val="center"/>
        <w:rPr>
          <w:rFonts w:ascii="Arial" w:hAnsi="Arial" w:cs="Arial"/>
          <w:b/>
          <w:sz w:val="22"/>
          <w:szCs w:val="24"/>
        </w:rPr>
      </w:pPr>
    </w:p>
    <w:p w14:paraId="12C26278" w14:textId="77777777" w:rsidR="00270CD3" w:rsidRPr="00ED6A25" w:rsidRDefault="00270CD3" w:rsidP="00270CD3">
      <w:pPr>
        <w:jc w:val="center"/>
        <w:rPr>
          <w:rFonts w:ascii="Arial" w:hAnsi="Arial" w:cs="Arial"/>
          <w:b/>
          <w:sz w:val="22"/>
          <w:szCs w:val="24"/>
        </w:rPr>
      </w:pPr>
    </w:p>
    <w:p w14:paraId="4648622C" w14:textId="1F2BE8B2" w:rsidR="00AA4218" w:rsidRPr="00ED6A25" w:rsidRDefault="001C6FFD" w:rsidP="00270CD3">
      <w:pPr>
        <w:jc w:val="center"/>
        <w:rPr>
          <w:rFonts w:ascii="Arial" w:hAnsi="Arial" w:cs="Arial"/>
          <w:sz w:val="18"/>
        </w:rPr>
      </w:pPr>
      <w:r>
        <w:rPr>
          <w:rFonts w:ascii="Arial" w:hAnsi="Arial" w:cs="Arial"/>
          <w:b/>
          <w:sz w:val="22"/>
          <w:szCs w:val="24"/>
        </w:rPr>
        <w:t>August</w:t>
      </w:r>
      <w:r w:rsidR="00270CD3" w:rsidRPr="00ED6A25">
        <w:rPr>
          <w:rFonts w:ascii="Arial" w:hAnsi="Arial" w:cs="Arial"/>
          <w:b/>
          <w:sz w:val="22"/>
          <w:szCs w:val="24"/>
        </w:rPr>
        <w:t xml:space="preserve"> 201</w:t>
      </w:r>
      <w:r w:rsidR="00D90479">
        <w:rPr>
          <w:rFonts w:ascii="Arial" w:hAnsi="Arial" w:cs="Arial"/>
          <w:b/>
          <w:sz w:val="22"/>
          <w:szCs w:val="24"/>
        </w:rPr>
        <w:t>7</w:t>
      </w:r>
    </w:p>
    <w:p w14:paraId="61EAFDE3" w14:textId="77777777" w:rsidR="005360CF" w:rsidRPr="00270CD3" w:rsidRDefault="005360CF" w:rsidP="00106EC9">
      <w:pPr>
        <w:jc w:val="both"/>
        <w:rPr>
          <w:rFonts w:ascii="Arial" w:hAnsi="Arial" w:cs="Arial"/>
        </w:rPr>
      </w:pPr>
    </w:p>
    <w:p w14:paraId="0F1AC762" w14:textId="77777777" w:rsidR="00394F37" w:rsidRDefault="00394F37" w:rsidP="00106EC9">
      <w:pPr>
        <w:jc w:val="both"/>
        <w:rPr>
          <w:rFonts w:ascii="Verdana" w:hAnsi="Verdana"/>
        </w:rPr>
        <w:sectPr w:rsidR="00394F37" w:rsidSect="00394F37">
          <w:headerReference w:type="default" r:id="rId9"/>
          <w:footerReference w:type="default" r:id="rId10"/>
          <w:pgSz w:w="11907" w:h="16840" w:code="9"/>
          <w:pgMar w:top="1418" w:right="1418" w:bottom="1440" w:left="1418" w:header="720" w:footer="720" w:gutter="0"/>
          <w:pgNumType w:fmt="lowerRoman" w:start="1"/>
          <w:cols w:space="720"/>
          <w:titlePg/>
        </w:sectPr>
      </w:pPr>
    </w:p>
    <w:p w14:paraId="1E780902" w14:textId="77777777" w:rsidR="004D23FE" w:rsidRPr="00270CD3" w:rsidRDefault="004D23FE" w:rsidP="00994F11">
      <w:pPr>
        <w:jc w:val="center"/>
        <w:rPr>
          <w:rFonts w:ascii="Arial" w:hAnsi="Arial" w:cs="Arial"/>
          <w:b/>
          <w:sz w:val="28"/>
          <w:szCs w:val="28"/>
        </w:rPr>
      </w:pPr>
      <w:r w:rsidRPr="00270CD3">
        <w:rPr>
          <w:rFonts w:ascii="Arial" w:hAnsi="Arial" w:cs="Arial"/>
          <w:b/>
          <w:sz w:val="28"/>
          <w:szCs w:val="28"/>
        </w:rPr>
        <w:lastRenderedPageBreak/>
        <w:t>Executive Summary</w:t>
      </w:r>
    </w:p>
    <w:p w14:paraId="7DFE6053" w14:textId="77777777" w:rsidR="004D23FE" w:rsidRDefault="004D23FE" w:rsidP="003833D6">
      <w:pPr>
        <w:spacing w:line="300" w:lineRule="atLeast"/>
        <w:jc w:val="both"/>
        <w:rPr>
          <w:szCs w:val="18"/>
        </w:rPr>
      </w:pPr>
    </w:p>
    <w:p w14:paraId="22C23EC0" w14:textId="77777777" w:rsidR="00B77743" w:rsidRDefault="00D8449F" w:rsidP="00D3487E">
      <w:pPr>
        <w:spacing w:line="300" w:lineRule="atLeast"/>
        <w:jc w:val="both"/>
        <w:rPr>
          <w:szCs w:val="18"/>
        </w:rPr>
      </w:pPr>
      <w:r w:rsidRPr="00270CD3">
        <w:rPr>
          <w:szCs w:val="18"/>
        </w:rPr>
        <w:t xml:space="preserve">This report provides </w:t>
      </w:r>
      <w:r w:rsidR="008A4BA2">
        <w:rPr>
          <w:szCs w:val="18"/>
        </w:rPr>
        <w:t>an inventory of the annual distribution</w:t>
      </w:r>
      <w:r w:rsidR="00A14971" w:rsidRPr="00270CD3">
        <w:rPr>
          <w:szCs w:val="18"/>
        </w:rPr>
        <w:t xml:space="preserve"> </w:t>
      </w:r>
      <w:r w:rsidR="008A4BA2">
        <w:rPr>
          <w:szCs w:val="18"/>
        </w:rPr>
        <w:t xml:space="preserve">of mercury and mercury-containing goods and materials in </w:t>
      </w:r>
      <w:r w:rsidR="00A14971" w:rsidRPr="00270CD3">
        <w:rPr>
          <w:szCs w:val="18"/>
        </w:rPr>
        <w:t>New Zealand</w:t>
      </w:r>
      <w:r w:rsidR="0024649B">
        <w:rPr>
          <w:szCs w:val="18"/>
        </w:rPr>
        <w:t>,</w:t>
      </w:r>
      <w:r w:rsidR="0024649B" w:rsidRPr="0024649B">
        <w:rPr>
          <w:szCs w:val="18"/>
        </w:rPr>
        <w:t xml:space="preserve"> </w:t>
      </w:r>
      <w:r w:rsidR="0024649B">
        <w:rPr>
          <w:szCs w:val="18"/>
        </w:rPr>
        <w:t>from anthropogenic (man-made) sources</w:t>
      </w:r>
      <w:r w:rsidR="00D90479">
        <w:rPr>
          <w:szCs w:val="18"/>
        </w:rPr>
        <w:t>, for a base year of 2016</w:t>
      </w:r>
      <w:r w:rsidR="00A14971" w:rsidRPr="00270CD3">
        <w:rPr>
          <w:szCs w:val="18"/>
        </w:rPr>
        <w:t xml:space="preserve">. </w:t>
      </w:r>
      <w:r w:rsidRPr="00270CD3">
        <w:rPr>
          <w:szCs w:val="18"/>
        </w:rPr>
        <w:t xml:space="preserve">It has been </w:t>
      </w:r>
      <w:r w:rsidR="0024649B">
        <w:rPr>
          <w:szCs w:val="18"/>
        </w:rPr>
        <w:t>produced</w:t>
      </w:r>
      <w:r w:rsidR="0024649B" w:rsidRPr="00270CD3">
        <w:rPr>
          <w:szCs w:val="18"/>
        </w:rPr>
        <w:t xml:space="preserve"> </w:t>
      </w:r>
      <w:r w:rsidRPr="00270CD3">
        <w:rPr>
          <w:szCs w:val="18"/>
        </w:rPr>
        <w:t xml:space="preserve">under </w:t>
      </w:r>
      <w:r w:rsidR="0024649B">
        <w:rPr>
          <w:szCs w:val="18"/>
        </w:rPr>
        <w:t xml:space="preserve">a </w:t>
      </w:r>
      <w:r w:rsidRPr="00270CD3">
        <w:rPr>
          <w:szCs w:val="18"/>
        </w:rPr>
        <w:t xml:space="preserve">contract to the New Zealand </w:t>
      </w:r>
      <w:r w:rsidR="00A14971" w:rsidRPr="00270CD3">
        <w:rPr>
          <w:szCs w:val="18"/>
        </w:rPr>
        <w:t xml:space="preserve">Ministry for the </w:t>
      </w:r>
      <w:r w:rsidRPr="00270CD3">
        <w:rPr>
          <w:szCs w:val="18"/>
        </w:rPr>
        <w:t>Environment</w:t>
      </w:r>
      <w:r w:rsidR="00D90479">
        <w:rPr>
          <w:szCs w:val="18"/>
        </w:rPr>
        <w:t>, and builds on the information reported in previous inventories for 2008 and 2012</w:t>
      </w:r>
      <w:r w:rsidR="00D3487E">
        <w:rPr>
          <w:szCs w:val="18"/>
        </w:rPr>
        <w:t>.</w:t>
      </w:r>
    </w:p>
    <w:p w14:paraId="15FA9F05" w14:textId="3AE3B532" w:rsidR="004F73EE" w:rsidRPr="00804FC8" w:rsidRDefault="008A4BA2" w:rsidP="008D5436">
      <w:pPr>
        <w:spacing w:line="300" w:lineRule="atLeast"/>
        <w:jc w:val="both"/>
        <w:rPr>
          <w:lang w:val="en-AU"/>
        </w:rPr>
      </w:pPr>
      <w:r>
        <w:rPr>
          <w:szCs w:val="18"/>
        </w:rPr>
        <w:t xml:space="preserve">The inventory has been prepared generally in accordance with the guidance provided in </w:t>
      </w:r>
      <w:r>
        <w:t xml:space="preserve">the </w:t>
      </w:r>
      <w:r w:rsidRPr="00CF5EC6">
        <w:t xml:space="preserve">UNEP </w:t>
      </w:r>
      <w:r w:rsidRPr="002D6CD9">
        <w:rPr>
          <w:i/>
        </w:rPr>
        <w:t xml:space="preserve">Toolkit </w:t>
      </w:r>
      <w:r w:rsidRPr="0094046F">
        <w:rPr>
          <w:i/>
        </w:rPr>
        <w:t>for identification and quantification of mercury releases</w:t>
      </w:r>
      <w:r>
        <w:t xml:space="preserve"> (the Toolkit)</w:t>
      </w:r>
      <w:r w:rsidR="00520C8E">
        <w:t xml:space="preserve">. </w:t>
      </w:r>
      <w:r w:rsidR="004F73EE">
        <w:t xml:space="preserve">The latest version of the Toolkit </w:t>
      </w:r>
      <w:r w:rsidR="00EF389F">
        <w:t>has been used to provide the basic framework for this work</w:t>
      </w:r>
      <w:r w:rsidR="004F73EE">
        <w:t xml:space="preserve">. </w:t>
      </w:r>
      <w:r w:rsidR="004F73EE" w:rsidRPr="00804FC8">
        <w:rPr>
          <w:lang w:val="en-AU"/>
        </w:rPr>
        <w:t>Th</w:t>
      </w:r>
      <w:r w:rsidR="00EF389F">
        <w:rPr>
          <w:lang w:val="en-AU"/>
        </w:rPr>
        <w:t>e</w:t>
      </w:r>
      <w:r w:rsidR="004F73EE" w:rsidRPr="00804FC8">
        <w:rPr>
          <w:lang w:val="en-AU"/>
        </w:rPr>
        <w:t xml:space="preserve"> </w:t>
      </w:r>
      <w:r w:rsidR="004F73EE">
        <w:rPr>
          <w:lang w:val="en-AU"/>
        </w:rPr>
        <w:t xml:space="preserve">methodology </w:t>
      </w:r>
      <w:r w:rsidR="007966FC">
        <w:rPr>
          <w:lang w:val="en-AU"/>
        </w:rPr>
        <w:t xml:space="preserve">involves the collection of activity data for a wide range of possible mercury sources, coupled with calculations to determine the </w:t>
      </w:r>
      <w:r w:rsidR="008D5436" w:rsidRPr="008D5436">
        <w:rPr>
          <w:lang w:val="en-AU"/>
        </w:rPr>
        <w:t>quantities of mercury brought into, or mobilised, within the country</w:t>
      </w:r>
      <w:r w:rsidR="008D5436">
        <w:rPr>
          <w:lang w:val="en-AU"/>
        </w:rPr>
        <w:t xml:space="preserve"> (the </w:t>
      </w:r>
      <w:r w:rsidR="008D5436" w:rsidRPr="008D5436">
        <w:rPr>
          <w:b/>
          <w:lang w:val="en-AU"/>
        </w:rPr>
        <w:t>Inputs</w:t>
      </w:r>
      <w:r w:rsidR="008D5436">
        <w:rPr>
          <w:lang w:val="en-AU"/>
        </w:rPr>
        <w:t>)</w:t>
      </w:r>
      <w:r w:rsidR="00874536">
        <w:rPr>
          <w:lang w:val="en-AU"/>
        </w:rPr>
        <w:t>,</w:t>
      </w:r>
      <w:r w:rsidR="008D5436">
        <w:rPr>
          <w:lang w:val="en-AU"/>
        </w:rPr>
        <w:t xml:space="preserve"> and </w:t>
      </w:r>
      <w:r w:rsidR="008D5436" w:rsidRPr="008D5436">
        <w:rPr>
          <w:lang w:val="en-AU"/>
        </w:rPr>
        <w:t xml:space="preserve">the quantities of mercury released into </w:t>
      </w:r>
      <w:r w:rsidR="00874536">
        <w:rPr>
          <w:lang w:val="en-AU"/>
        </w:rPr>
        <w:t xml:space="preserve">the </w:t>
      </w:r>
      <w:r w:rsidR="008D5436" w:rsidRPr="008D5436">
        <w:rPr>
          <w:lang w:val="en-AU"/>
        </w:rPr>
        <w:t>different environmental compartments of air, water, land, and releases in wastes or in products</w:t>
      </w:r>
      <w:r w:rsidR="008D5436">
        <w:rPr>
          <w:lang w:val="en-AU"/>
        </w:rPr>
        <w:t xml:space="preserve"> (the </w:t>
      </w:r>
      <w:r w:rsidR="008D5436" w:rsidRPr="008D5436">
        <w:rPr>
          <w:b/>
          <w:lang w:val="en-AU"/>
        </w:rPr>
        <w:t>Outputs</w:t>
      </w:r>
      <w:r w:rsidR="008D5436">
        <w:rPr>
          <w:lang w:val="en-AU"/>
        </w:rPr>
        <w:t>)</w:t>
      </w:r>
      <w:r w:rsidR="008D5436" w:rsidRPr="008D5436">
        <w:rPr>
          <w:lang w:val="en-AU"/>
        </w:rPr>
        <w:t>.</w:t>
      </w:r>
    </w:p>
    <w:p w14:paraId="5A86D247" w14:textId="77777777" w:rsidR="007E24CE" w:rsidRPr="007E24CE" w:rsidRDefault="007E24CE" w:rsidP="003833D6">
      <w:pPr>
        <w:spacing w:line="300" w:lineRule="atLeast"/>
        <w:jc w:val="both"/>
        <w:rPr>
          <w:rFonts w:ascii="Arial" w:hAnsi="Arial" w:cs="Arial"/>
          <w:b/>
          <w:szCs w:val="18"/>
        </w:rPr>
      </w:pPr>
      <w:r w:rsidRPr="007E24CE">
        <w:rPr>
          <w:rFonts w:ascii="Arial" w:hAnsi="Arial" w:cs="Arial"/>
          <w:b/>
          <w:szCs w:val="18"/>
        </w:rPr>
        <w:t>Estimated mercury inputs and outputs</w:t>
      </w:r>
    </w:p>
    <w:p w14:paraId="600C126C" w14:textId="6F143A5F" w:rsidR="003C227D" w:rsidRDefault="002F11BC" w:rsidP="003833D6">
      <w:pPr>
        <w:spacing w:line="300" w:lineRule="atLeast"/>
        <w:jc w:val="both"/>
        <w:rPr>
          <w:szCs w:val="18"/>
        </w:rPr>
      </w:pPr>
      <w:r>
        <w:rPr>
          <w:szCs w:val="18"/>
        </w:rPr>
        <w:t>The primary results of this assessment ar</w:t>
      </w:r>
      <w:r w:rsidR="00D979D3">
        <w:rPr>
          <w:szCs w:val="18"/>
        </w:rPr>
        <w:t xml:space="preserve">e summarised in </w:t>
      </w:r>
      <w:r w:rsidR="00FA4378">
        <w:rPr>
          <w:szCs w:val="18"/>
        </w:rPr>
        <w:t>the table below</w:t>
      </w:r>
      <w:r w:rsidR="00D979D3">
        <w:rPr>
          <w:szCs w:val="18"/>
        </w:rPr>
        <w:t>.</w:t>
      </w:r>
    </w:p>
    <w:tbl>
      <w:tblPr>
        <w:tblStyle w:val="TableGrid"/>
        <w:tblW w:w="9072" w:type="dxa"/>
        <w:tblInd w:w="108" w:type="dxa"/>
        <w:tblLook w:val="04A0" w:firstRow="1" w:lastRow="0" w:firstColumn="1" w:lastColumn="0" w:noHBand="0" w:noVBand="1"/>
      </w:tblPr>
      <w:tblGrid>
        <w:gridCol w:w="1701"/>
        <w:gridCol w:w="1418"/>
        <w:gridCol w:w="1190"/>
        <w:gridCol w:w="1191"/>
        <w:gridCol w:w="1304"/>
        <w:gridCol w:w="1077"/>
        <w:gridCol w:w="1191"/>
      </w:tblGrid>
      <w:tr w:rsidR="003C227D" w:rsidRPr="007901FE" w14:paraId="54724784" w14:textId="77777777" w:rsidTr="00325CE9">
        <w:tc>
          <w:tcPr>
            <w:tcW w:w="1701" w:type="dxa"/>
            <w:vMerge w:val="restart"/>
            <w:vAlign w:val="center"/>
          </w:tcPr>
          <w:p w14:paraId="058AC802" w14:textId="77777777" w:rsidR="003C227D" w:rsidRPr="004E3E02" w:rsidRDefault="003C227D" w:rsidP="00325CE9">
            <w:pPr>
              <w:spacing w:before="60" w:after="60"/>
              <w:rPr>
                <w:rFonts w:ascii="Arial" w:hAnsi="Arial" w:cs="Arial"/>
                <w:b/>
                <w:sz w:val="16"/>
                <w:szCs w:val="16"/>
              </w:rPr>
            </w:pPr>
            <w:r w:rsidRPr="004E3E02">
              <w:rPr>
                <w:rFonts w:ascii="Arial" w:hAnsi="Arial" w:cs="Arial"/>
                <w:b/>
                <w:sz w:val="16"/>
                <w:szCs w:val="16"/>
              </w:rPr>
              <w:t>Category</w:t>
            </w:r>
          </w:p>
        </w:tc>
        <w:tc>
          <w:tcPr>
            <w:tcW w:w="1418" w:type="dxa"/>
            <w:vMerge w:val="restart"/>
            <w:vAlign w:val="center"/>
          </w:tcPr>
          <w:p w14:paraId="3827A9B4" w14:textId="77777777" w:rsidR="003C227D" w:rsidRPr="004E3E02" w:rsidRDefault="003C227D" w:rsidP="00325CE9">
            <w:pPr>
              <w:spacing w:before="60" w:after="60"/>
              <w:jc w:val="center"/>
              <w:rPr>
                <w:rFonts w:ascii="Arial" w:hAnsi="Arial" w:cs="Arial"/>
                <w:b/>
                <w:sz w:val="16"/>
                <w:szCs w:val="16"/>
              </w:rPr>
            </w:pPr>
            <w:r w:rsidRPr="004E3E02">
              <w:rPr>
                <w:rFonts w:ascii="Arial" w:hAnsi="Arial" w:cs="Arial"/>
                <w:b/>
                <w:sz w:val="16"/>
                <w:szCs w:val="16"/>
              </w:rPr>
              <w:t>Mercury Inputs, kg/year</w:t>
            </w:r>
          </w:p>
        </w:tc>
        <w:tc>
          <w:tcPr>
            <w:tcW w:w="5953" w:type="dxa"/>
            <w:gridSpan w:val="5"/>
            <w:vAlign w:val="center"/>
          </w:tcPr>
          <w:p w14:paraId="64A621F9" w14:textId="77777777" w:rsidR="003C227D" w:rsidRPr="004E3E02" w:rsidRDefault="003C227D" w:rsidP="00325CE9">
            <w:pPr>
              <w:spacing w:before="60" w:after="60"/>
              <w:jc w:val="center"/>
              <w:rPr>
                <w:rFonts w:ascii="Arial" w:hAnsi="Arial" w:cs="Arial"/>
                <w:b/>
                <w:sz w:val="16"/>
                <w:szCs w:val="16"/>
              </w:rPr>
            </w:pPr>
            <w:r w:rsidRPr="004E3E02">
              <w:rPr>
                <w:rFonts w:ascii="Arial" w:hAnsi="Arial" w:cs="Arial"/>
                <w:b/>
                <w:sz w:val="16"/>
                <w:szCs w:val="16"/>
              </w:rPr>
              <w:t>Mercury Outputs, kg/</w:t>
            </w:r>
            <w:proofErr w:type="spellStart"/>
            <w:r w:rsidRPr="004E3E02">
              <w:rPr>
                <w:rFonts w:ascii="Arial" w:hAnsi="Arial" w:cs="Arial"/>
                <w:b/>
                <w:sz w:val="16"/>
                <w:szCs w:val="16"/>
              </w:rPr>
              <w:t>yr</w:t>
            </w:r>
            <w:proofErr w:type="spellEnd"/>
          </w:p>
        </w:tc>
      </w:tr>
      <w:tr w:rsidR="003C227D" w:rsidRPr="007901FE" w14:paraId="31B826E6" w14:textId="77777777" w:rsidTr="00325CE9">
        <w:tc>
          <w:tcPr>
            <w:tcW w:w="1701" w:type="dxa"/>
            <w:vMerge/>
            <w:vAlign w:val="center"/>
          </w:tcPr>
          <w:p w14:paraId="3F2E68AC" w14:textId="77777777" w:rsidR="003C227D" w:rsidRPr="004E3E02" w:rsidRDefault="003C227D" w:rsidP="00325CE9">
            <w:pPr>
              <w:spacing w:before="60" w:after="60"/>
              <w:rPr>
                <w:rFonts w:ascii="Arial" w:hAnsi="Arial" w:cs="Arial"/>
                <w:b/>
                <w:sz w:val="16"/>
                <w:szCs w:val="16"/>
              </w:rPr>
            </w:pPr>
          </w:p>
        </w:tc>
        <w:tc>
          <w:tcPr>
            <w:tcW w:w="1418" w:type="dxa"/>
            <w:vMerge/>
          </w:tcPr>
          <w:p w14:paraId="72726087" w14:textId="77777777" w:rsidR="003C227D" w:rsidRPr="004E3E02" w:rsidRDefault="003C227D" w:rsidP="00325CE9">
            <w:pPr>
              <w:spacing w:before="60" w:after="60"/>
              <w:jc w:val="both"/>
              <w:rPr>
                <w:rFonts w:ascii="Arial" w:hAnsi="Arial" w:cs="Arial"/>
                <w:b/>
                <w:sz w:val="16"/>
                <w:szCs w:val="16"/>
              </w:rPr>
            </w:pPr>
          </w:p>
        </w:tc>
        <w:tc>
          <w:tcPr>
            <w:tcW w:w="1190" w:type="dxa"/>
            <w:vAlign w:val="center"/>
          </w:tcPr>
          <w:p w14:paraId="28EE1747" w14:textId="77777777" w:rsidR="003C227D" w:rsidRPr="004E3E02" w:rsidRDefault="003C227D" w:rsidP="00325CE9">
            <w:pPr>
              <w:spacing w:before="60" w:after="60"/>
              <w:jc w:val="center"/>
              <w:rPr>
                <w:rFonts w:ascii="Arial" w:hAnsi="Arial" w:cs="Arial"/>
                <w:b/>
                <w:sz w:val="16"/>
                <w:szCs w:val="16"/>
              </w:rPr>
            </w:pPr>
            <w:r w:rsidRPr="004E3E02">
              <w:rPr>
                <w:rFonts w:ascii="Arial" w:hAnsi="Arial" w:cs="Arial"/>
                <w:b/>
                <w:sz w:val="16"/>
                <w:szCs w:val="16"/>
              </w:rPr>
              <w:t>Air</w:t>
            </w:r>
          </w:p>
        </w:tc>
        <w:tc>
          <w:tcPr>
            <w:tcW w:w="1191" w:type="dxa"/>
            <w:vAlign w:val="center"/>
          </w:tcPr>
          <w:p w14:paraId="50FFB890" w14:textId="77777777" w:rsidR="003C227D" w:rsidRPr="004E3E02" w:rsidRDefault="003C227D" w:rsidP="00325CE9">
            <w:pPr>
              <w:spacing w:before="60" w:after="60"/>
              <w:jc w:val="center"/>
              <w:rPr>
                <w:rFonts w:ascii="Arial" w:hAnsi="Arial" w:cs="Arial"/>
                <w:b/>
                <w:sz w:val="16"/>
                <w:szCs w:val="16"/>
              </w:rPr>
            </w:pPr>
            <w:r w:rsidRPr="004E3E02">
              <w:rPr>
                <w:rFonts w:ascii="Arial" w:hAnsi="Arial" w:cs="Arial"/>
                <w:b/>
                <w:sz w:val="16"/>
                <w:szCs w:val="16"/>
              </w:rPr>
              <w:t>Water</w:t>
            </w:r>
          </w:p>
        </w:tc>
        <w:tc>
          <w:tcPr>
            <w:tcW w:w="1304" w:type="dxa"/>
            <w:vAlign w:val="center"/>
          </w:tcPr>
          <w:p w14:paraId="7D5847DF" w14:textId="77777777" w:rsidR="003C227D" w:rsidRPr="004E3E02" w:rsidRDefault="003C227D" w:rsidP="00325CE9">
            <w:pPr>
              <w:spacing w:before="60" w:after="60"/>
              <w:jc w:val="center"/>
              <w:rPr>
                <w:rFonts w:ascii="Arial" w:hAnsi="Arial" w:cs="Arial"/>
                <w:b/>
                <w:sz w:val="16"/>
                <w:szCs w:val="16"/>
              </w:rPr>
            </w:pPr>
            <w:r w:rsidRPr="004E3E02">
              <w:rPr>
                <w:rFonts w:ascii="Arial" w:hAnsi="Arial" w:cs="Arial"/>
                <w:b/>
                <w:sz w:val="16"/>
                <w:szCs w:val="16"/>
              </w:rPr>
              <w:t>Land</w:t>
            </w:r>
          </w:p>
        </w:tc>
        <w:tc>
          <w:tcPr>
            <w:tcW w:w="1077" w:type="dxa"/>
            <w:vAlign w:val="center"/>
          </w:tcPr>
          <w:p w14:paraId="3ECA34DE" w14:textId="77777777" w:rsidR="003C227D" w:rsidRPr="004E3E02" w:rsidRDefault="003C227D" w:rsidP="00325CE9">
            <w:pPr>
              <w:spacing w:before="60" w:after="60"/>
              <w:jc w:val="center"/>
              <w:rPr>
                <w:rFonts w:ascii="Arial" w:hAnsi="Arial" w:cs="Arial"/>
                <w:b/>
                <w:sz w:val="16"/>
                <w:szCs w:val="16"/>
              </w:rPr>
            </w:pPr>
            <w:r w:rsidRPr="004E3E02">
              <w:rPr>
                <w:rFonts w:ascii="Arial" w:hAnsi="Arial" w:cs="Arial"/>
                <w:b/>
                <w:sz w:val="16"/>
                <w:szCs w:val="16"/>
              </w:rPr>
              <w:t>Product</w:t>
            </w:r>
          </w:p>
        </w:tc>
        <w:tc>
          <w:tcPr>
            <w:tcW w:w="1191" w:type="dxa"/>
            <w:vAlign w:val="center"/>
          </w:tcPr>
          <w:p w14:paraId="6E5AF00D" w14:textId="77777777" w:rsidR="003C227D" w:rsidRPr="004E3E02" w:rsidRDefault="003C227D" w:rsidP="00325CE9">
            <w:pPr>
              <w:spacing w:before="60" w:after="60"/>
              <w:jc w:val="center"/>
              <w:rPr>
                <w:rFonts w:ascii="Arial" w:hAnsi="Arial" w:cs="Arial"/>
                <w:b/>
                <w:sz w:val="16"/>
                <w:szCs w:val="16"/>
              </w:rPr>
            </w:pPr>
            <w:r w:rsidRPr="004E3E02">
              <w:rPr>
                <w:rFonts w:ascii="Arial" w:hAnsi="Arial" w:cs="Arial"/>
                <w:b/>
                <w:sz w:val="16"/>
                <w:szCs w:val="16"/>
              </w:rPr>
              <w:t>Waste</w:t>
            </w:r>
          </w:p>
        </w:tc>
      </w:tr>
      <w:tr w:rsidR="003C227D" w:rsidRPr="007901FE" w14:paraId="6911FE37" w14:textId="77777777" w:rsidTr="00325CE9">
        <w:tc>
          <w:tcPr>
            <w:tcW w:w="1701" w:type="dxa"/>
            <w:vAlign w:val="center"/>
          </w:tcPr>
          <w:p w14:paraId="00B908EB" w14:textId="77777777" w:rsidR="003C227D" w:rsidRPr="00246738" w:rsidRDefault="003C227D" w:rsidP="00325CE9">
            <w:pPr>
              <w:spacing w:before="60" w:after="60"/>
              <w:rPr>
                <w:rFonts w:ascii="Arial" w:hAnsi="Arial" w:cs="Arial"/>
                <w:sz w:val="16"/>
                <w:szCs w:val="16"/>
              </w:rPr>
            </w:pPr>
            <w:r w:rsidRPr="00246738">
              <w:rPr>
                <w:rFonts w:ascii="Arial" w:hAnsi="Arial" w:cs="Arial"/>
                <w:sz w:val="16"/>
                <w:szCs w:val="16"/>
              </w:rPr>
              <w:t xml:space="preserve">1. Extraction and use of fuels/energy sources </w:t>
            </w:r>
          </w:p>
        </w:tc>
        <w:tc>
          <w:tcPr>
            <w:tcW w:w="1418" w:type="dxa"/>
            <w:vAlign w:val="center"/>
          </w:tcPr>
          <w:p w14:paraId="5597DE29" w14:textId="77777777" w:rsidR="003C227D" w:rsidRPr="00084096" w:rsidRDefault="003C227D" w:rsidP="00325CE9">
            <w:pPr>
              <w:spacing w:line="300" w:lineRule="atLeast"/>
              <w:jc w:val="center"/>
              <w:rPr>
                <w:rFonts w:ascii="Arial" w:hAnsi="Arial" w:cs="Arial"/>
                <w:sz w:val="16"/>
                <w:szCs w:val="16"/>
              </w:rPr>
            </w:pPr>
            <w:r>
              <w:rPr>
                <w:rFonts w:ascii="Arial" w:hAnsi="Arial" w:cs="Arial"/>
                <w:sz w:val="16"/>
                <w:szCs w:val="16"/>
              </w:rPr>
              <w:t>318.3 – 2515.7 (1417.0)</w:t>
            </w:r>
          </w:p>
        </w:tc>
        <w:tc>
          <w:tcPr>
            <w:tcW w:w="1190" w:type="dxa"/>
            <w:vAlign w:val="center"/>
          </w:tcPr>
          <w:p w14:paraId="3E32ACFA" w14:textId="77777777" w:rsidR="003C227D" w:rsidRPr="00EA3E23" w:rsidRDefault="003C227D" w:rsidP="00325CE9">
            <w:pPr>
              <w:spacing w:line="300" w:lineRule="atLeast"/>
              <w:jc w:val="center"/>
              <w:rPr>
                <w:rFonts w:ascii="Arial" w:hAnsi="Arial" w:cs="Arial"/>
                <w:sz w:val="16"/>
                <w:szCs w:val="16"/>
              </w:rPr>
            </w:pPr>
            <w:r w:rsidRPr="00EA3E23">
              <w:rPr>
                <w:rFonts w:ascii="Arial" w:hAnsi="Arial" w:cs="Arial"/>
                <w:sz w:val="16"/>
                <w:szCs w:val="16"/>
              </w:rPr>
              <w:t>302.4 – 2.133.8 (1,218.1)</w:t>
            </w:r>
          </w:p>
        </w:tc>
        <w:tc>
          <w:tcPr>
            <w:tcW w:w="1191" w:type="dxa"/>
            <w:vAlign w:val="center"/>
          </w:tcPr>
          <w:p w14:paraId="3922CF35" w14:textId="77777777" w:rsidR="003C227D" w:rsidRPr="00EA3E23" w:rsidRDefault="003C227D" w:rsidP="00325CE9">
            <w:pPr>
              <w:spacing w:line="300" w:lineRule="atLeast"/>
              <w:jc w:val="center"/>
              <w:rPr>
                <w:rFonts w:ascii="Arial" w:hAnsi="Arial" w:cs="Arial"/>
                <w:sz w:val="16"/>
                <w:szCs w:val="16"/>
              </w:rPr>
            </w:pPr>
            <w:r w:rsidRPr="00EA3E23">
              <w:rPr>
                <w:rFonts w:ascii="Arial" w:hAnsi="Arial" w:cs="Arial"/>
                <w:sz w:val="16"/>
                <w:szCs w:val="16"/>
              </w:rPr>
              <w:t>8.9 – 97.7 (53.3)</w:t>
            </w:r>
          </w:p>
        </w:tc>
        <w:tc>
          <w:tcPr>
            <w:tcW w:w="1304" w:type="dxa"/>
            <w:vAlign w:val="center"/>
          </w:tcPr>
          <w:p w14:paraId="0773FCAC" w14:textId="77777777" w:rsidR="003C227D" w:rsidRPr="00EA3E23" w:rsidRDefault="003C227D" w:rsidP="00325CE9">
            <w:pPr>
              <w:spacing w:line="300" w:lineRule="atLeast"/>
              <w:jc w:val="center"/>
              <w:rPr>
                <w:rFonts w:ascii="Arial" w:hAnsi="Arial" w:cs="Arial"/>
                <w:sz w:val="16"/>
                <w:szCs w:val="16"/>
              </w:rPr>
            </w:pPr>
            <w:r w:rsidRPr="00EA3E23">
              <w:rPr>
                <w:rFonts w:ascii="Arial" w:hAnsi="Arial" w:cs="Arial"/>
                <w:sz w:val="16"/>
                <w:szCs w:val="16"/>
              </w:rPr>
              <w:t>1.53 – 5.32 (3.42)</w:t>
            </w:r>
          </w:p>
        </w:tc>
        <w:tc>
          <w:tcPr>
            <w:tcW w:w="1077" w:type="dxa"/>
            <w:vAlign w:val="center"/>
          </w:tcPr>
          <w:p w14:paraId="07B112DA" w14:textId="77777777" w:rsidR="003C227D" w:rsidRPr="00EA3E23" w:rsidRDefault="003C227D" w:rsidP="00325CE9">
            <w:pPr>
              <w:spacing w:line="300" w:lineRule="atLeast"/>
              <w:jc w:val="center"/>
              <w:rPr>
                <w:rFonts w:ascii="Arial" w:hAnsi="Arial" w:cs="Arial"/>
                <w:sz w:val="16"/>
                <w:szCs w:val="16"/>
              </w:rPr>
            </w:pPr>
            <w:r w:rsidRPr="00EA3E23">
              <w:rPr>
                <w:rFonts w:ascii="Arial" w:hAnsi="Arial" w:cs="Arial"/>
                <w:sz w:val="16"/>
                <w:szCs w:val="16"/>
              </w:rPr>
              <w:t>-</w:t>
            </w:r>
          </w:p>
        </w:tc>
        <w:tc>
          <w:tcPr>
            <w:tcW w:w="1191" w:type="dxa"/>
            <w:vAlign w:val="center"/>
          </w:tcPr>
          <w:p w14:paraId="2F2CE9CC" w14:textId="77777777" w:rsidR="003C227D" w:rsidRPr="00EA3E23" w:rsidRDefault="003C227D" w:rsidP="00325CE9">
            <w:pPr>
              <w:spacing w:line="300" w:lineRule="atLeast"/>
              <w:jc w:val="center"/>
              <w:rPr>
                <w:rFonts w:ascii="Arial" w:hAnsi="Arial" w:cs="Arial"/>
                <w:sz w:val="16"/>
                <w:szCs w:val="16"/>
              </w:rPr>
            </w:pPr>
            <w:r w:rsidRPr="00EA3E23">
              <w:rPr>
                <w:rFonts w:ascii="Arial" w:hAnsi="Arial" w:cs="Arial"/>
                <w:sz w:val="16"/>
                <w:szCs w:val="16"/>
              </w:rPr>
              <w:t>5.51 – 278.8 (142.1)</w:t>
            </w:r>
          </w:p>
        </w:tc>
      </w:tr>
      <w:tr w:rsidR="003C227D" w:rsidRPr="007901FE" w14:paraId="0FDD4EB3" w14:textId="77777777" w:rsidTr="00325CE9">
        <w:tc>
          <w:tcPr>
            <w:tcW w:w="1701" w:type="dxa"/>
            <w:vAlign w:val="center"/>
          </w:tcPr>
          <w:p w14:paraId="72526C47" w14:textId="77777777" w:rsidR="003C227D" w:rsidRPr="00845746" w:rsidRDefault="003C227D" w:rsidP="00325CE9">
            <w:pPr>
              <w:spacing w:before="60" w:after="60"/>
              <w:ind w:left="34"/>
              <w:rPr>
                <w:rFonts w:ascii="Arial" w:hAnsi="Arial" w:cs="Arial"/>
                <w:sz w:val="16"/>
                <w:szCs w:val="16"/>
              </w:rPr>
            </w:pPr>
            <w:r w:rsidRPr="00845746">
              <w:rPr>
                <w:rFonts w:ascii="Arial" w:hAnsi="Arial" w:cs="Arial"/>
                <w:sz w:val="16"/>
                <w:szCs w:val="16"/>
              </w:rPr>
              <w:t xml:space="preserve">2. Primary (virgin) metal production </w:t>
            </w:r>
          </w:p>
        </w:tc>
        <w:tc>
          <w:tcPr>
            <w:tcW w:w="1418" w:type="dxa"/>
            <w:vAlign w:val="center"/>
          </w:tcPr>
          <w:p w14:paraId="5F10DA00" w14:textId="77777777" w:rsidR="003C227D" w:rsidRPr="00B33B70" w:rsidRDefault="003C227D" w:rsidP="00325CE9">
            <w:pPr>
              <w:spacing w:line="300" w:lineRule="atLeast"/>
              <w:jc w:val="center"/>
              <w:rPr>
                <w:rFonts w:ascii="Arial" w:hAnsi="Arial" w:cs="Arial"/>
                <w:sz w:val="16"/>
                <w:szCs w:val="16"/>
              </w:rPr>
            </w:pPr>
            <w:r w:rsidRPr="00B33B70">
              <w:rPr>
                <w:rFonts w:ascii="Arial" w:hAnsi="Arial" w:cs="Arial"/>
                <w:sz w:val="16"/>
                <w:szCs w:val="16"/>
              </w:rPr>
              <w:t>1570.8 – 13,305.2 (5,044.7)</w:t>
            </w:r>
          </w:p>
        </w:tc>
        <w:tc>
          <w:tcPr>
            <w:tcW w:w="1190" w:type="dxa"/>
            <w:vAlign w:val="center"/>
          </w:tcPr>
          <w:p w14:paraId="248815BB" w14:textId="77777777" w:rsidR="003C227D" w:rsidRPr="00B33B70" w:rsidRDefault="003C227D" w:rsidP="00325CE9">
            <w:pPr>
              <w:spacing w:line="300" w:lineRule="atLeast"/>
              <w:jc w:val="center"/>
              <w:rPr>
                <w:rFonts w:ascii="Arial" w:hAnsi="Arial" w:cs="Arial"/>
                <w:sz w:val="16"/>
                <w:szCs w:val="16"/>
              </w:rPr>
            </w:pPr>
            <w:r w:rsidRPr="00B33B70">
              <w:rPr>
                <w:rFonts w:ascii="Arial" w:hAnsi="Arial" w:cs="Arial"/>
                <w:sz w:val="16"/>
                <w:szCs w:val="16"/>
              </w:rPr>
              <w:t>85.7 – 614.2 (254.2)</w:t>
            </w:r>
          </w:p>
        </w:tc>
        <w:tc>
          <w:tcPr>
            <w:tcW w:w="1191" w:type="dxa"/>
            <w:vAlign w:val="center"/>
          </w:tcPr>
          <w:p w14:paraId="13B677B6" w14:textId="77777777" w:rsidR="003C227D" w:rsidRPr="00B33B70" w:rsidRDefault="003C227D" w:rsidP="00325CE9">
            <w:pPr>
              <w:spacing w:line="300" w:lineRule="atLeast"/>
              <w:jc w:val="center"/>
              <w:rPr>
                <w:rFonts w:ascii="Arial" w:hAnsi="Arial" w:cs="Arial"/>
                <w:sz w:val="16"/>
                <w:szCs w:val="16"/>
              </w:rPr>
            </w:pPr>
            <w:r w:rsidRPr="00B33B70">
              <w:rPr>
                <w:rFonts w:ascii="Arial" w:hAnsi="Arial" w:cs="Arial"/>
                <w:sz w:val="16"/>
                <w:szCs w:val="16"/>
              </w:rPr>
              <w:t>38.2 – 270.3 (106.4)</w:t>
            </w:r>
          </w:p>
        </w:tc>
        <w:tc>
          <w:tcPr>
            <w:tcW w:w="1304" w:type="dxa"/>
            <w:vAlign w:val="center"/>
          </w:tcPr>
          <w:p w14:paraId="5A1B2D40" w14:textId="77777777" w:rsidR="003C227D" w:rsidRPr="00B33B70" w:rsidRDefault="003C227D" w:rsidP="00325CE9">
            <w:pPr>
              <w:spacing w:line="300" w:lineRule="atLeast"/>
              <w:jc w:val="center"/>
              <w:rPr>
                <w:rFonts w:ascii="Arial" w:hAnsi="Arial" w:cs="Arial"/>
                <w:sz w:val="16"/>
                <w:szCs w:val="16"/>
              </w:rPr>
            </w:pPr>
            <w:r w:rsidRPr="00B33B70">
              <w:rPr>
                <w:rFonts w:ascii="Arial" w:hAnsi="Arial" w:cs="Arial"/>
                <w:sz w:val="16"/>
                <w:szCs w:val="16"/>
              </w:rPr>
              <w:t>1,365 – 11,811 (4.426)</w:t>
            </w:r>
          </w:p>
        </w:tc>
        <w:tc>
          <w:tcPr>
            <w:tcW w:w="1077" w:type="dxa"/>
            <w:vAlign w:val="center"/>
          </w:tcPr>
          <w:p w14:paraId="5FA3C990" w14:textId="77777777" w:rsidR="003C227D" w:rsidRPr="00B33B70" w:rsidRDefault="003C227D" w:rsidP="00325CE9">
            <w:pPr>
              <w:spacing w:line="300" w:lineRule="atLeast"/>
              <w:jc w:val="center"/>
              <w:rPr>
                <w:rFonts w:ascii="Arial" w:hAnsi="Arial" w:cs="Arial"/>
                <w:sz w:val="16"/>
                <w:szCs w:val="16"/>
              </w:rPr>
            </w:pPr>
            <w:r w:rsidRPr="00B33B70">
              <w:rPr>
                <w:rFonts w:ascii="Arial" w:hAnsi="Arial" w:cs="Arial"/>
                <w:sz w:val="16"/>
                <w:szCs w:val="16"/>
              </w:rPr>
              <w:t>60.3 – 525 (196.7)</w:t>
            </w:r>
          </w:p>
        </w:tc>
        <w:tc>
          <w:tcPr>
            <w:tcW w:w="1191" w:type="dxa"/>
            <w:vAlign w:val="center"/>
          </w:tcPr>
          <w:p w14:paraId="297886EF" w14:textId="77777777" w:rsidR="003C227D" w:rsidRPr="00B33B70" w:rsidRDefault="003C227D" w:rsidP="00325CE9">
            <w:pPr>
              <w:spacing w:line="300" w:lineRule="atLeast"/>
              <w:jc w:val="center"/>
              <w:rPr>
                <w:rFonts w:ascii="Arial" w:hAnsi="Arial" w:cs="Arial"/>
                <w:sz w:val="16"/>
                <w:szCs w:val="16"/>
              </w:rPr>
            </w:pPr>
            <w:r w:rsidRPr="00B33B70">
              <w:rPr>
                <w:rFonts w:ascii="Arial" w:hAnsi="Arial" w:cs="Arial"/>
                <w:sz w:val="16"/>
                <w:szCs w:val="16"/>
              </w:rPr>
              <w:t>21.4 -85.6 (53.5)</w:t>
            </w:r>
          </w:p>
        </w:tc>
      </w:tr>
      <w:tr w:rsidR="005B39DB" w:rsidRPr="007901FE" w14:paraId="6BE5943A" w14:textId="77777777" w:rsidTr="00325CE9">
        <w:tc>
          <w:tcPr>
            <w:tcW w:w="1701" w:type="dxa"/>
            <w:vAlign w:val="center"/>
          </w:tcPr>
          <w:p w14:paraId="3820F4A1" w14:textId="77777777" w:rsidR="005B39DB" w:rsidRPr="00246738" w:rsidRDefault="005B39DB" w:rsidP="005B39DB">
            <w:pPr>
              <w:spacing w:before="60" w:after="60"/>
              <w:ind w:left="34"/>
              <w:rPr>
                <w:rFonts w:ascii="Arial" w:hAnsi="Arial" w:cs="Arial"/>
                <w:sz w:val="16"/>
                <w:szCs w:val="16"/>
              </w:rPr>
            </w:pPr>
            <w:r w:rsidRPr="00246738">
              <w:rPr>
                <w:rFonts w:ascii="Arial" w:hAnsi="Arial" w:cs="Arial"/>
                <w:sz w:val="16"/>
                <w:szCs w:val="16"/>
              </w:rPr>
              <w:t>3. Production of other minerals and materials</w:t>
            </w:r>
          </w:p>
        </w:tc>
        <w:tc>
          <w:tcPr>
            <w:tcW w:w="1418" w:type="dxa"/>
            <w:vAlign w:val="center"/>
          </w:tcPr>
          <w:p w14:paraId="6355A8E4" w14:textId="5306B541" w:rsidR="005B39DB" w:rsidRPr="005B39DB" w:rsidRDefault="004A1C1C" w:rsidP="005B39DB">
            <w:pPr>
              <w:spacing w:line="300" w:lineRule="atLeast"/>
              <w:jc w:val="center"/>
              <w:rPr>
                <w:rFonts w:ascii="Arial" w:hAnsi="Arial" w:cs="Arial"/>
                <w:sz w:val="16"/>
                <w:szCs w:val="16"/>
              </w:rPr>
            </w:pPr>
            <w:r>
              <w:rPr>
                <w:rFonts w:ascii="Arial" w:hAnsi="Arial" w:cs="Arial"/>
                <w:sz w:val="16"/>
                <w:szCs w:val="16"/>
              </w:rPr>
              <w:t>61.4</w:t>
            </w:r>
            <w:r w:rsidR="005B39DB" w:rsidRPr="005B39DB">
              <w:rPr>
                <w:rFonts w:ascii="Arial" w:hAnsi="Arial" w:cs="Arial"/>
                <w:sz w:val="16"/>
                <w:szCs w:val="16"/>
              </w:rPr>
              <w:t xml:space="preserve"> – 123.</w:t>
            </w:r>
            <w:r>
              <w:rPr>
                <w:rFonts w:ascii="Arial" w:hAnsi="Arial" w:cs="Arial"/>
                <w:sz w:val="16"/>
                <w:szCs w:val="16"/>
              </w:rPr>
              <w:t>5</w:t>
            </w:r>
            <w:r w:rsidR="005B39DB" w:rsidRPr="005B39DB">
              <w:rPr>
                <w:rFonts w:ascii="Arial" w:hAnsi="Arial" w:cs="Arial"/>
                <w:sz w:val="16"/>
                <w:szCs w:val="16"/>
              </w:rPr>
              <w:t xml:space="preserve"> (92.4)</w:t>
            </w:r>
          </w:p>
        </w:tc>
        <w:tc>
          <w:tcPr>
            <w:tcW w:w="1190" w:type="dxa"/>
            <w:vAlign w:val="center"/>
          </w:tcPr>
          <w:p w14:paraId="683D1BF3" w14:textId="7E1D6F3A" w:rsidR="005B39DB" w:rsidRPr="005B39DB" w:rsidRDefault="005B39DB" w:rsidP="005B39DB">
            <w:pPr>
              <w:spacing w:line="300" w:lineRule="atLeast"/>
              <w:jc w:val="center"/>
              <w:rPr>
                <w:rFonts w:ascii="Arial" w:hAnsi="Arial" w:cs="Arial"/>
                <w:sz w:val="16"/>
                <w:szCs w:val="16"/>
              </w:rPr>
            </w:pPr>
            <w:r w:rsidRPr="005B39DB">
              <w:rPr>
                <w:rFonts w:ascii="Arial" w:hAnsi="Arial" w:cs="Arial"/>
                <w:sz w:val="16"/>
                <w:szCs w:val="16"/>
              </w:rPr>
              <w:t>1.19 – 3.77</w:t>
            </w:r>
            <w:r w:rsidR="00FF4EC3">
              <w:rPr>
                <w:rFonts w:ascii="Arial" w:hAnsi="Arial" w:cs="Arial"/>
                <w:sz w:val="16"/>
                <w:szCs w:val="16"/>
              </w:rPr>
              <w:t xml:space="preserve"> (2.5</w:t>
            </w:r>
            <w:r w:rsidRPr="005B39DB">
              <w:rPr>
                <w:rFonts w:ascii="Arial" w:hAnsi="Arial" w:cs="Arial"/>
                <w:sz w:val="16"/>
                <w:szCs w:val="16"/>
              </w:rPr>
              <w:t>)</w:t>
            </w:r>
          </w:p>
        </w:tc>
        <w:tc>
          <w:tcPr>
            <w:tcW w:w="1191" w:type="dxa"/>
            <w:vAlign w:val="center"/>
          </w:tcPr>
          <w:p w14:paraId="0B66336A" w14:textId="2B1412BF" w:rsidR="005B39DB" w:rsidRPr="005B39DB" w:rsidRDefault="005B39DB" w:rsidP="005B39DB">
            <w:pPr>
              <w:spacing w:line="300" w:lineRule="atLeast"/>
              <w:jc w:val="center"/>
              <w:rPr>
                <w:rFonts w:ascii="Arial" w:hAnsi="Arial" w:cs="Arial"/>
                <w:sz w:val="16"/>
                <w:szCs w:val="16"/>
              </w:rPr>
            </w:pPr>
            <w:r w:rsidRPr="005B39DB">
              <w:rPr>
                <w:rFonts w:ascii="Arial" w:hAnsi="Arial" w:cs="Arial"/>
                <w:sz w:val="16"/>
                <w:szCs w:val="16"/>
              </w:rPr>
              <w:t>-</w:t>
            </w:r>
          </w:p>
        </w:tc>
        <w:tc>
          <w:tcPr>
            <w:tcW w:w="1304" w:type="dxa"/>
            <w:vAlign w:val="center"/>
          </w:tcPr>
          <w:p w14:paraId="6ACF1FD4" w14:textId="3CBAD2D4" w:rsidR="005B39DB" w:rsidRPr="005B39DB" w:rsidRDefault="00FF4EC3" w:rsidP="005B39DB">
            <w:pPr>
              <w:spacing w:line="300" w:lineRule="atLeast"/>
              <w:jc w:val="center"/>
              <w:rPr>
                <w:rFonts w:ascii="Arial" w:hAnsi="Arial" w:cs="Arial"/>
                <w:sz w:val="16"/>
                <w:szCs w:val="16"/>
              </w:rPr>
            </w:pPr>
            <w:r>
              <w:rPr>
                <w:rFonts w:ascii="Arial" w:hAnsi="Arial" w:cs="Arial"/>
                <w:sz w:val="16"/>
                <w:szCs w:val="16"/>
              </w:rPr>
              <w:t>59.7 – 118.1 (88.</w:t>
            </w:r>
            <w:r w:rsidR="005B39DB" w:rsidRPr="005B39DB">
              <w:rPr>
                <w:rFonts w:ascii="Arial" w:hAnsi="Arial" w:cs="Arial"/>
                <w:sz w:val="16"/>
                <w:szCs w:val="16"/>
              </w:rPr>
              <w:t>9)</w:t>
            </w:r>
          </w:p>
        </w:tc>
        <w:tc>
          <w:tcPr>
            <w:tcW w:w="1077" w:type="dxa"/>
            <w:vAlign w:val="center"/>
          </w:tcPr>
          <w:p w14:paraId="2704FC4E" w14:textId="359D8D36" w:rsidR="005B39DB" w:rsidRPr="005B39DB" w:rsidRDefault="005B39DB" w:rsidP="005B39DB">
            <w:pPr>
              <w:spacing w:line="300" w:lineRule="atLeast"/>
              <w:jc w:val="center"/>
              <w:rPr>
                <w:rFonts w:ascii="Arial" w:hAnsi="Arial" w:cs="Arial"/>
                <w:sz w:val="16"/>
                <w:szCs w:val="16"/>
              </w:rPr>
            </w:pPr>
            <w:r w:rsidRPr="005B39DB">
              <w:rPr>
                <w:rFonts w:ascii="Arial" w:hAnsi="Arial" w:cs="Arial"/>
                <w:sz w:val="16"/>
                <w:szCs w:val="16"/>
              </w:rPr>
              <w:t>0.51 – 1.62</w:t>
            </w:r>
            <w:r w:rsidR="00FF4EC3">
              <w:rPr>
                <w:rFonts w:ascii="Arial" w:hAnsi="Arial" w:cs="Arial"/>
                <w:sz w:val="16"/>
                <w:szCs w:val="16"/>
              </w:rPr>
              <w:t xml:space="preserve"> (1.1</w:t>
            </w:r>
            <w:r w:rsidR="00E124F3">
              <w:rPr>
                <w:rFonts w:ascii="Arial" w:hAnsi="Arial" w:cs="Arial"/>
                <w:sz w:val="16"/>
                <w:szCs w:val="16"/>
              </w:rPr>
              <w:t xml:space="preserve"> </w:t>
            </w:r>
            <w:r w:rsidRPr="005B39DB">
              <w:rPr>
                <w:rFonts w:ascii="Arial" w:hAnsi="Arial" w:cs="Arial"/>
                <w:sz w:val="16"/>
                <w:szCs w:val="16"/>
              </w:rPr>
              <w:t>)</w:t>
            </w:r>
          </w:p>
        </w:tc>
        <w:tc>
          <w:tcPr>
            <w:tcW w:w="1191" w:type="dxa"/>
            <w:vAlign w:val="center"/>
          </w:tcPr>
          <w:p w14:paraId="05501295" w14:textId="272F1B37" w:rsidR="005B39DB" w:rsidRPr="005B39DB" w:rsidRDefault="005B39DB" w:rsidP="005B39DB">
            <w:pPr>
              <w:spacing w:line="300" w:lineRule="atLeast"/>
              <w:jc w:val="center"/>
              <w:rPr>
                <w:rFonts w:ascii="Arial" w:hAnsi="Arial" w:cs="Arial"/>
                <w:sz w:val="16"/>
                <w:szCs w:val="16"/>
              </w:rPr>
            </w:pPr>
            <w:r w:rsidRPr="005B39DB">
              <w:rPr>
                <w:rFonts w:ascii="Arial" w:hAnsi="Arial" w:cs="Arial"/>
                <w:sz w:val="16"/>
                <w:szCs w:val="16"/>
              </w:rPr>
              <w:t>-</w:t>
            </w:r>
          </w:p>
        </w:tc>
      </w:tr>
      <w:tr w:rsidR="003C227D" w:rsidRPr="007901FE" w14:paraId="0C7E1DC5" w14:textId="77777777" w:rsidTr="00325CE9">
        <w:tc>
          <w:tcPr>
            <w:tcW w:w="1701" w:type="dxa"/>
            <w:vAlign w:val="center"/>
          </w:tcPr>
          <w:p w14:paraId="61745474" w14:textId="77777777" w:rsidR="003C227D" w:rsidRPr="00246738" w:rsidRDefault="003C227D" w:rsidP="00325CE9">
            <w:pPr>
              <w:spacing w:before="60" w:after="60"/>
              <w:ind w:left="34"/>
              <w:rPr>
                <w:rFonts w:ascii="Arial" w:hAnsi="Arial" w:cs="Arial"/>
                <w:sz w:val="16"/>
                <w:szCs w:val="16"/>
              </w:rPr>
            </w:pPr>
            <w:r w:rsidRPr="00246738">
              <w:rPr>
                <w:rFonts w:ascii="Arial" w:hAnsi="Arial" w:cs="Arial"/>
                <w:sz w:val="16"/>
                <w:szCs w:val="16"/>
              </w:rPr>
              <w:t xml:space="preserve">4. Intentional use in industrial processes </w:t>
            </w:r>
          </w:p>
        </w:tc>
        <w:tc>
          <w:tcPr>
            <w:tcW w:w="1418" w:type="dxa"/>
            <w:vAlign w:val="center"/>
          </w:tcPr>
          <w:p w14:paraId="46D8C8D2" w14:textId="77777777" w:rsidR="003C227D" w:rsidRPr="00AA48C3" w:rsidRDefault="003C227D" w:rsidP="00325CE9">
            <w:pPr>
              <w:spacing w:before="60" w:after="60"/>
              <w:jc w:val="center"/>
              <w:rPr>
                <w:rFonts w:ascii="Arial" w:hAnsi="Arial" w:cs="Arial"/>
                <w:sz w:val="16"/>
                <w:szCs w:val="16"/>
              </w:rPr>
            </w:pPr>
            <w:r w:rsidRPr="00AA48C3">
              <w:rPr>
                <w:rFonts w:ascii="Arial" w:hAnsi="Arial" w:cs="Arial"/>
                <w:sz w:val="16"/>
                <w:szCs w:val="16"/>
              </w:rPr>
              <w:t>-</w:t>
            </w:r>
          </w:p>
        </w:tc>
        <w:tc>
          <w:tcPr>
            <w:tcW w:w="1190" w:type="dxa"/>
            <w:vAlign w:val="center"/>
          </w:tcPr>
          <w:p w14:paraId="059D0299" w14:textId="77777777" w:rsidR="003C227D" w:rsidRPr="00AA48C3" w:rsidRDefault="003C227D" w:rsidP="00325CE9">
            <w:pPr>
              <w:spacing w:before="60" w:after="60"/>
              <w:jc w:val="center"/>
              <w:rPr>
                <w:rFonts w:ascii="Arial" w:hAnsi="Arial" w:cs="Arial"/>
                <w:sz w:val="16"/>
                <w:szCs w:val="16"/>
              </w:rPr>
            </w:pPr>
            <w:r w:rsidRPr="00AA48C3">
              <w:rPr>
                <w:rFonts w:ascii="Arial" w:hAnsi="Arial" w:cs="Arial"/>
                <w:sz w:val="16"/>
                <w:szCs w:val="16"/>
              </w:rPr>
              <w:t>-</w:t>
            </w:r>
          </w:p>
        </w:tc>
        <w:tc>
          <w:tcPr>
            <w:tcW w:w="1191" w:type="dxa"/>
            <w:vAlign w:val="center"/>
          </w:tcPr>
          <w:p w14:paraId="7379670B" w14:textId="77777777" w:rsidR="003C227D" w:rsidRPr="00AA48C3" w:rsidRDefault="003C227D" w:rsidP="00325CE9">
            <w:pPr>
              <w:spacing w:before="60" w:after="60"/>
              <w:jc w:val="center"/>
              <w:rPr>
                <w:rFonts w:ascii="Arial" w:hAnsi="Arial" w:cs="Arial"/>
                <w:sz w:val="16"/>
                <w:szCs w:val="16"/>
              </w:rPr>
            </w:pPr>
            <w:r w:rsidRPr="00AA48C3">
              <w:rPr>
                <w:rFonts w:ascii="Arial" w:hAnsi="Arial" w:cs="Arial"/>
                <w:sz w:val="16"/>
                <w:szCs w:val="16"/>
              </w:rPr>
              <w:t>-</w:t>
            </w:r>
          </w:p>
        </w:tc>
        <w:tc>
          <w:tcPr>
            <w:tcW w:w="1304" w:type="dxa"/>
            <w:vAlign w:val="center"/>
          </w:tcPr>
          <w:p w14:paraId="13730B6F" w14:textId="77777777" w:rsidR="003C227D" w:rsidRPr="00AA48C3" w:rsidRDefault="003C227D" w:rsidP="00325CE9">
            <w:pPr>
              <w:spacing w:before="60" w:after="60"/>
              <w:jc w:val="center"/>
              <w:rPr>
                <w:rFonts w:ascii="Arial" w:hAnsi="Arial" w:cs="Arial"/>
                <w:sz w:val="16"/>
                <w:szCs w:val="16"/>
              </w:rPr>
            </w:pPr>
            <w:r w:rsidRPr="00AA48C3">
              <w:rPr>
                <w:rFonts w:ascii="Arial" w:hAnsi="Arial" w:cs="Arial"/>
                <w:sz w:val="16"/>
                <w:szCs w:val="16"/>
              </w:rPr>
              <w:t>-</w:t>
            </w:r>
          </w:p>
        </w:tc>
        <w:tc>
          <w:tcPr>
            <w:tcW w:w="1077" w:type="dxa"/>
            <w:vAlign w:val="center"/>
          </w:tcPr>
          <w:p w14:paraId="3F8A4D4F" w14:textId="77777777" w:rsidR="003C227D" w:rsidRPr="00AA48C3" w:rsidRDefault="003C227D" w:rsidP="00325CE9">
            <w:pPr>
              <w:spacing w:before="60" w:after="60"/>
              <w:jc w:val="center"/>
              <w:rPr>
                <w:rFonts w:ascii="Arial" w:hAnsi="Arial" w:cs="Arial"/>
                <w:sz w:val="16"/>
                <w:szCs w:val="16"/>
              </w:rPr>
            </w:pPr>
            <w:r w:rsidRPr="00AA48C3">
              <w:rPr>
                <w:rFonts w:ascii="Arial" w:hAnsi="Arial" w:cs="Arial"/>
                <w:sz w:val="16"/>
                <w:szCs w:val="16"/>
              </w:rPr>
              <w:t>-</w:t>
            </w:r>
          </w:p>
        </w:tc>
        <w:tc>
          <w:tcPr>
            <w:tcW w:w="1191" w:type="dxa"/>
            <w:vAlign w:val="center"/>
          </w:tcPr>
          <w:p w14:paraId="37C49B14" w14:textId="77777777" w:rsidR="003C227D" w:rsidRPr="00AA48C3" w:rsidRDefault="003C227D" w:rsidP="00325CE9">
            <w:pPr>
              <w:spacing w:before="60" w:after="60"/>
              <w:jc w:val="center"/>
              <w:rPr>
                <w:rFonts w:ascii="Arial" w:hAnsi="Arial" w:cs="Arial"/>
                <w:sz w:val="16"/>
                <w:szCs w:val="16"/>
              </w:rPr>
            </w:pPr>
            <w:r w:rsidRPr="00AA48C3">
              <w:rPr>
                <w:rFonts w:ascii="Arial" w:hAnsi="Arial" w:cs="Arial"/>
                <w:sz w:val="16"/>
                <w:szCs w:val="16"/>
              </w:rPr>
              <w:t>-</w:t>
            </w:r>
          </w:p>
        </w:tc>
      </w:tr>
      <w:tr w:rsidR="003C227D" w:rsidRPr="007901FE" w14:paraId="4F87E54E" w14:textId="77777777" w:rsidTr="00325CE9">
        <w:tc>
          <w:tcPr>
            <w:tcW w:w="1701" w:type="dxa"/>
            <w:vAlign w:val="center"/>
          </w:tcPr>
          <w:p w14:paraId="5D48B753" w14:textId="77777777" w:rsidR="003C227D" w:rsidRPr="00F85126" w:rsidRDefault="003C227D" w:rsidP="00325CE9">
            <w:pPr>
              <w:spacing w:before="60" w:after="60"/>
              <w:ind w:left="34"/>
              <w:rPr>
                <w:rFonts w:ascii="Arial" w:hAnsi="Arial" w:cs="Arial"/>
                <w:sz w:val="16"/>
                <w:szCs w:val="16"/>
                <w:highlight w:val="yellow"/>
              </w:rPr>
            </w:pPr>
            <w:r w:rsidRPr="00424224">
              <w:rPr>
                <w:rFonts w:ascii="Arial" w:hAnsi="Arial" w:cs="Arial"/>
                <w:sz w:val="16"/>
                <w:szCs w:val="16"/>
              </w:rPr>
              <w:t>5. Consumer products with intentional use</w:t>
            </w:r>
          </w:p>
        </w:tc>
        <w:tc>
          <w:tcPr>
            <w:tcW w:w="1418" w:type="dxa"/>
            <w:vAlign w:val="center"/>
          </w:tcPr>
          <w:p w14:paraId="49ADE429" w14:textId="14F52684" w:rsidR="003C227D" w:rsidRPr="00424224" w:rsidRDefault="004A1C1C" w:rsidP="00325CE9">
            <w:pPr>
              <w:spacing w:line="300" w:lineRule="atLeast"/>
              <w:jc w:val="center"/>
              <w:rPr>
                <w:rFonts w:ascii="Arial" w:hAnsi="Arial" w:cs="Arial"/>
                <w:sz w:val="16"/>
                <w:szCs w:val="16"/>
              </w:rPr>
            </w:pPr>
            <w:r>
              <w:rPr>
                <w:rFonts w:ascii="Arial" w:hAnsi="Arial" w:cs="Arial"/>
                <w:sz w:val="16"/>
                <w:szCs w:val="16"/>
              </w:rPr>
              <w:t>117.2 – 225.5</w:t>
            </w:r>
            <w:r w:rsidR="003C227D" w:rsidRPr="00424224">
              <w:rPr>
                <w:rFonts w:ascii="Arial" w:hAnsi="Arial" w:cs="Arial"/>
                <w:sz w:val="16"/>
                <w:szCs w:val="16"/>
              </w:rPr>
              <w:t xml:space="preserve"> (171.3)</w:t>
            </w:r>
          </w:p>
        </w:tc>
        <w:tc>
          <w:tcPr>
            <w:tcW w:w="1190" w:type="dxa"/>
            <w:vAlign w:val="center"/>
          </w:tcPr>
          <w:p w14:paraId="2F16E026" w14:textId="0F37D1D5" w:rsidR="003C227D" w:rsidRPr="00424224" w:rsidRDefault="004A1C1C" w:rsidP="00325CE9">
            <w:pPr>
              <w:spacing w:line="300" w:lineRule="atLeast"/>
              <w:jc w:val="center"/>
              <w:rPr>
                <w:rFonts w:ascii="Arial" w:hAnsi="Arial" w:cs="Arial"/>
                <w:sz w:val="16"/>
                <w:szCs w:val="16"/>
              </w:rPr>
            </w:pPr>
            <w:r>
              <w:rPr>
                <w:rFonts w:ascii="Arial" w:hAnsi="Arial" w:cs="Arial"/>
                <w:sz w:val="16"/>
                <w:szCs w:val="16"/>
              </w:rPr>
              <w:t>2.2 – 12.7</w:t>
            </w:r>
            <w:r w:rsidR="003C227D" w:rsidRPr="00424224">
              <w:rPr>
                <w:rFonts w:ascii="Arial" w:hAnsi="Arial" w:cs="Arial"/>
                <w:sz w:val="16"/>
                <w:szCs w:val="16"/>
              </w:rPr>
              <w:t xml:space="preserve"> (7.4)</w:t>
            </w:r>
          </w:p>
        </w:tc>
        <w:tc>
          <w:tcPr>
            <w:tcW w:w="1191" w:type="dxa"/>
            <w:vAlign w:val="center"/>
          </w:tcPr>
          <w:p w14:paraId="1BA1D0D2" w14:textId="44422C8E" w:rsidR="003C227D" w:rsidRPr="00424224" w:rsidRDefault="004A1C1C" w:rsidP="00325CE9">
            <w:pPr>
              <w:spacing w:line="300" w:lineRule="atLeast"/>
              <w:jc w:val="center"/>
              <w:rPr>
                <w:rFonts w:ascii="Arial" w:hAnsi="Arial" w:cs="Arial"/>
                <w:sz w:val="16"/>
                <w:szCs w:val="16"/>
              </w:rPr>
            </w:pPr>
            <w:r>
              <w:rPr>
                <w:rFonts w:ascii="Arial" w:hAnsi="Arial" w:cs="Arial"/>
                <w:sz w:val="16"/>
                <w:szCs w:val="16"/>
              </w:rPr>
              <w:t>0.6 – 5.7</w:t>
            </w:r>
            <w:r w:rsidR="003C227D" w:rsidRPr="00424224">
              <w:rPr>
                <w:rFonts w:ascii="Arial" w:hAnsi="Arial" w:cs="Arial"/>
                <w:sz w:val="16"/>
                <w:szCs w:val="16"/>
              </w:rPr>
              <w:t xml:space="preserve"> (3.1)</w:t>
            </w:r>
          </w:p>
        </w:tc>
        <w:tc>
          <w:tcPr>
            <w:tcW w:w="1304" w:type="dxa"/>
            <w:vAlign w:val="center"/>
          </w:tcPr>
          <w:p w14:paraId="29D4D8EA" w14:textId="60BE356B" w:rsidR="003C227D" w:rsidRPr="00424224" w:rsidRDefault="004A1C1C" w:rsidP="00325CE9">
            <w:pPr>
              <w:spacing w:line="300" w:lineRule="atLeast"/>
              <w:jc w:val="center"/>
              <w:rPr>
                <w:rFonts w:ascii="Arial" w:hAnsi="Arial" w:cs="Arial"/>
                <w:sz w:val="16"/>
                <w:szCs w:val="16"/>
              </w:rPr>
            </w:pPr>
            <w:r>
              <w:rPr>
                <w:rFonts w:ascii="Arial" w:hAnsi="Arial" w:cs="Arial"/>
                <w:sz w:val="16"/>
                <w:szCs w:val="16"/>
              </w:rPr>
              <w:t>0.9</w:t>
            </w:r>
            <w:r w:rsidR="003C227D" w:rsidRPr="00424224">
              <w:rPr>
                <w:rFonts w:ascii="Arial" w:hAnsi="Arial" w:cs="Arial"/>
                <w:sz w:val="16"/>
                <w:szCs w:val="16"/>
              </w:rPr>
              <w:t xml:space="preserve"> – 9.4 </w:t>
            </w:r>
            <w:r>
              <w:rPr>
                <w:rFonts w:ascii="Arial" w:hAnsi="Arial" w:cs="Arial"/>
                <w:sz w:val="16"/>
                <w:szCs w:val="16"/>
              </w:rPr>
              <w:br/>
            </w:r>
            <w:r w:rsidR="003C227D" w:rsidRPr="00424224">
              <w:rPr>
                <w:rFonts w:ascii="Arial" w:hAnsi="Arial" w:cs="Arial"/>
                <w:sz w:val="16"/>
                <w:szCs w:val="16"/>
              </w:rPr>
              <w:t>(5.2))</w:t>
            </w:r>
          </w:p>
        </w:tc>
        <w:tc>
          <w:tcPr>
            <w:tcW w:w="1077" w:type="dxa"/>
            <w:vAlign w:val="center"/>
          </w:tcPr>
          <w:p w14:paraId="65924D91" w14:textId="77777777" w:rsidR="003C227D" w:rsidRPr="00424224" w:rsidRDefault="003C227D" w:rsidP="00325CE9">
            <w:pPr>
              <w:spacing w:line="300" w:lineRule="atLeast"/>
              <w:jc w:val="center"/>
              <w:rPr>
                <w:rFonts w:ascii="Arial" w:hAnsi="Arial" w:cs="Arial"/>
                <w:sz w:val="16"/>
                <w:szCs w:val="16"/>
              </w:rPr>
            </w:pPr>
            <w:r w:rsidRPr="00424224">
              <w:rPr>
                <w:rFonts w:ascii="Arial" w:hAnsi="Arial" w:cs="Arial"/>
                <w:sz w:val="16"/>
                <w:szCs w:val="16"/>
              </w:rPr>
              <w:t>40.2</w:t>
            </w:r>
          </w:p>
        </w:tc>
        <w:tc>
          <w:tcPr>
            <w:tcW w:w="1191" w:type="dxa"/>
            <w:vAlign w:val="center"/>
          </w:tcPr>
          <w:p w14:paraId="38B6953C" w14:textId="5F50CB18" w:rsidR="003C227D" w:rsidRPr="00424224" w:rsidRDefault="004A1C1C" w:rsidP="00325CE9">
            <w:pPr>
              <w:spacing w:line="300" w:lineRule="atLeast"/>
              <w:jc w:val="center"/>
              <w:rPr>
                <w:rFonts w:ascii="Arial" w:hAnsi="Arial" w:cs="Arial"/>
                <w:sz w:val="16"/>
                <w:szCs w:val="16"/>
              </w:rPr>
            </w:pPr>
            <w:r>
              <w:rPr>
                <w:rFonts w:ascii="Arial" w:hAnsi="Arial" w:cs="Arial"/>
                <w:sz w:val="16"/>
                <w:szCs w:val="16"/>
              </w:rPr>
              <w:t>73.3 – 157.5</w:t>
            </w:r>
            <w:r w:rsidR="003C227D" w:rsidRPr="00424224">
              <w:rPr>
                <w:rFonts w:ascii="Arial" w:hAnsi="Arial" w:cs="Arial"/>
                <w:sz w:val="16"/>
                <w:szCs w:val="16"/>
              </w:rPr>
              <w:t xml:space="preserve"> (115.4)</w:t>
            </w:r>
          </w:p>
        </w:tc>
      </w:tr>
      <w:tr w:rsidR="003C227D" w:rsidRPr="007901FE" w14:paraId="4C63133F" w14:textId="77777777" w:rsidTr="00325CE9">
        <w:tc>
          <w:tcPr>
            <w:tcW w:w="1701" w:type="dxa"/>
            <w:vAlign w:val="center"/>
          </w:tcPr>
          <w:p w14:paraId="2B74B841" w14:textId="77777777" w:rsidR="003C227D" w:rsidRPr="00246738" w:rsidRDefault="003C227D" w:rsidP="00325CE9">
            <w:pPr>
              <w:spacing w:before="60" w:after="60"/>
              <w:ind w:left="34"/>
              <w:rPr>
                <w:rFonts w:ascii="Arial" w:hAnsi="Arial" w:cs="Arial"/>
                <w:sz w:val="16"/>
                <w:szCs w:val="16"/>
              </w:rPr>
            </w:pPr>
            <w:r w:rsidRPr="00246738">
              <w:rPr>
                <w:rFonts w:ascii="Arial" w:hAnsi="Arial" w:cs="Arial"/>
                <w:sz w:val="16"/>
                <w:szCs w:val="16"/>
              </w:rPr>
              <w:t xml:space="preserve">6. Other </w:t>
            </w:r>
            <w:r>
              <w:rPr>
                <w:rFonts w:ascii="Arial" w:hAnsi="Arial" w:cs="Arial"/>
                <w:sz w:val="16"/>
                <w:szCs w:val="16"/>
              </w:rPr>
              <w:t>intentional products/processes</w:t>
            </w:r>
            <w:r w:rsidRPr="00246738">
              <w:rPr>
                <w:rFonts w:ascii="Arial" w:hAnsi="Arial" w:cs="Arial"/>
                <w:sz w:val="16"/>
                <w:szCs w:val="16"/>
              </w:rPr>
              <w:t xml:space="preserve"> </w:t>
            </w:r>
          </w:p>
        </w:tc>
        <w:tc>
          <w:tcPr>
            <w:tcW w:w="1418" w:type="dxa"/>
            <w:vAlign w:val="center"/>
          </w:tcPr>
          <w:p w14:paraId="37CD6410" w14:textId="398C408B" w:rsidR="003C227D" w:rsidRPr="00F85126" w:rsidRDefault="00FA4378" w:rsidP="00325CE9">
            <w:pPr>
              <w:spacing w:line="300" w:lineRule="atLeast"/>
              <w:jc w:val="center"/>
              <w:rPr>
                <w:rFonts w:ascii="Arial" w:hAnsi="Arial" w:cs="Arial"/>
                <w:sz w:val="16"/>
                <w:szCs w:val="16"/>
              </w:rPr>
            </w:pPr>
            <w:r>
              <w:rPr>
                <w:rFonts w:ascii="Arial" w:hAnsi="Arial" w:cs="Arial"/>
                <w:sz w:val="16"/>
                <w:szCs w:val="16"/>
              </w:rPr>
              <w:t>43.8</w:t>
            </w:r>
          </w:p>
        </w:tc>
        <w:tc>
          <w:tcPr>
            <w:tcW w:w="1190" w:type="dxa"/>
            <w:vAlign w:val="center"/>
          </w:tcPr>
          <w:p w14:paraId="5D849A78" w14:textId="56894264" w:rsidR="003C227D" w:rsidRPr="00F85126" w:rsidRDefault="00E124F3" w:rsidP="00325CE9">
            <w:pPr>
              <w:spacing w:line="300" w:lineRule="atLeast"/>
              <w:jc w:val="center"/>
              <w:rPr>
                <w:rFonts w:ascii="Arial" w:hAnsi="Arial" w:cs="Arial"/>
                <w:sz w:val="16"/>
                <w:szCs w:val="16"/>
              </w:rPr>
            </w:pPr>
            <w:r>
              <w:rPr>
                <w:rFonts w:ascii="Arial" w:hAnsi="Arial" w:cs="Arial"/>
                <w:sz w:val="16"/>
                <w:szCs w:val="16"/>
              </w:rPr>
              <w:t>1.0</w:t>
            </w:r>
          </w:p>
        </w:tc>
        <w:tc>
          <w:tcPr>
            <w:tcW w:w="1191" w:type="dxa"/>
            <w:vAlign w:val="center"/>
          </w:tcPr>
          <w:p w14:paraId="4326D392" w14:textId="7131C348" w:rsidR="003C227D" w:rsidRPr="00F85126" w:rsidRDefault="004A1C1C" w:rsidP="00325CE9">
            <w:pPr>
              <w:spacing w:line="300" w:lineRule="atLeast"/>
              <w:jc w:val="center"/>
              <w:rPr>
                <w:rFonts w:ascii="Arial" w:hAnsi="Arial" w:cs="Arial"/>
                <w:sz w:val="16"/>
                <w:szCs w:val="16"/>
              </w:rPr>
            </w:pPr>
            <w:r>
              <w:rPr>
                <w:rFonts w:ascii="Arial" w:hAnsi="Arial" w:cs="Arial"/>
                <w:sz w:val="16"/>
                <w:szCs w:val="16"/>
              </w:rPr>
              <w:t>5.7</w:t>
            </w:r>
          </w:p>
        </w:tc>
        <w:tc>
          <w:tcPr>
            <w:tcW w:w="1304" w:type="dxa"/>
            <w:vAlign w:val="center"/>
          </w:tcPr>
          <w:p w14:paraId="438F6A0C" w14:textId="77777777" w:rsidR="003C227D" w:rsidRPr="00F85126" w:rsidRDefault="003C227D" w:rsidP="00325CE9">
            <w:pPr>
              <w:spacing w:line="300" w:lineRule="atLeast"/>
              <w:jc w:val="center"/>
              <w:rPr>
                <w:rFonts w:ascii="Arial" w:hAnsi="Arial" w:cs="Arial"/>
                <w:sz w:val="16"/>
                <w:szCs w:val="16"/>
              </w:rPr>
            </w:pPr>
            <w:r w:rsidRPr="00F85126">
              <w:rPr>
                <w:rFonts w:ascii="Arial" w:hAnsi="Arial" w:cs="Arial"/>
                <w:sz w:val="16"/>
                <w:szCs w:val="16"/>
              </w:rPr>
              <w:t>-</w:t>
            </w:r>
          </w:p>
        </w:tc>
        <w:tc>
          <w:tcPr>
            <w:tcW w:w="1077" w:type="dxa"/>
            <w:vAlign w:val="center"/>
          </w:tcPr>
          <w:p w14:paraId="6FE41850" w14:textId="1D1D93F3" w:rsidR="003C227D" w:rsidRPr="00F85126" w:rsidRDefault="00FA4378" w:rsidP="00325CE9">
            <w:pPr>
              <w:spacing w:line="300" w:lineRule="atLeast"/>
              <w:jc w:val="center"/>
              <w:rPr>
                <w:rFonts w:ascii="Arial" w:hAnsi="Arial" w:cs="Arial"/>
                <w:sz w:val="16"/>
                <w:szCs w:val="16"/>
              </w:rPr>
            </w:pPr>
            <w:r>
              <w:rPr>
                <w:rFonts w:ascii="Arial" w:hAnsi="Arial" w:cs="Arial"/>
                <w:sz w:val="16"/>
                <w:szCs w:val="16"/>
              </w:rPr>
              <w:t>24.1</w:t>
            </w:r>
          </w:p>
        </w:tc>
        <w:tc>
          <w:tcPr>
            <w:tcW w:w="1191" w:type="dxa"/>
            <w:vAlign w:val="center"/>
          </w:tcPr>
          <w:p w14:paraId="1C85999E" w14:textId="77777777" w:rsidR="003C227D" w:rsidRPr="00F85126" w:rsidRDefault="003C227D" w:rsidP="00325CE9">
            <w:pPr>
              <w:spacing w:line="300" w:lineRule="atLeast"/>
              <w:jc w:val="center"/>
              <w:rPr>
                <w:rFonts w:ascii="Arial" w:hAnsi="Arial" w:cs="Arial"/>
                <w:sz w:val="16"/>
                <w:szCs w:val="16"/>
              </w:rPr>
            </w:pPr>
            <w:r w:rsidRPr="00F85126">
              <w:rPr>
                <w:rFonts w:ascii="Arial" w:hAnsi="Arial" w:cs="Arial"/>
                <w:sz w:val="16"/>
                <w:szCs w:val="16"/>
              </w:rPr>
              <w:t>13.1</w:t>
            </w:r>
          </w:p>
        </w:tc>
      </w:tr>
      <w:tr w:rsidR="003C227D" w:rsidRPr="007901FE" w14:paraId="60DC470C" w14:textId="77777777" w:rsidTr="00325CE9">
        <w:tc>
          <w:tcPr>
            <w:tcW w:w="1701" w:type="dxa"/>
            <w:vAlign w:val="center"/>
          </w:tcPr>
          <w:p w14:paraId="0FE6315B" w14:textId="77777777" w:rsidR="003C227D" w:rsidRPr="00424224" w:rsidRDefault="003C227D" w:rsidP="00325CE9">
            <w:pPr>
              <w:spacing w:before="60" w:after="60"/>
              <w:ind w:left="34"/>
              <w:rPr>
                <w:rFonts w:ascii="Arial" w:hAnsi="Arial" w:cs="Arial"/>
                <w:sz w:val="16"/>
                <w:szCs w:val="16"/>
              </w:rPr>
            </w:pPr>
            <w:r w:rsidRPr="00424224">
              <w:rPr>
                <w:rFonts w:ascii="Arial" w:hAnsi="Arial" w:cs="Arial"/>
                <w:sz w:val="16"/>
                <w:szCs w:val="16"/>
              </w:rPr>
              <w:t xml:space="preserve">7. Production of recycled metals </w:t>
            </w:r>
          </w:p>
        </w:tc>
        <w:tc>
          <w:tcPr>
            <w:tcW w:w="1418" w:type="dxa"/>
            <w:vAlign w:val="center"/>
          </w:tcPr>
          <w:p w14:paraId="0D001EE4" w14:textId="77777777" w:rsidR="003C227D" w:rsidRPr="00424224" w:rsidRDefault="003C227D" w:rsidP="00325CE9">
            <w:pPr>
              <w:spacing w:before="60" w:after="60"/>
              <w:jc w:val="center"/>
              <w:rPr>
                <w:rFonts w:ascii="Arial" w:hAnsi="Arial" w:cs="Arial"/>
                <w:sz w:val="16"/>
                <w:szCs w:val="16"/>
              </w:rPr>
            </w:pPr>
            <w:r>
              <w:rPr>
                <w:rFonts w:ascii="Arial" w:hAnsi="Arial" w:cs="Arial"/>
                <w:sz w:val="16"/>
                <w:szCs w:val="16"/>
              </w:rPr>
              <w:t>20</w:t>
            </w:r>
          </w:p>
        </w:tc>
        <w:tc>
          <w:tcPr>
            <w:tcW w:w="1190" w:type="dxa"/>
            <w:vAlign w:val="center"/>
          </w:tcPr>
          <w:p w14:paraId="58ADD875" w14:textId="77777777" w:rsidR="003C227D" w:rsidRPr="00424224" w:rsidRDefault="003C227D" w:rsidP="00325CE9">
            <w:pPr>
              <w:spacing w:before="60" w:after="60"/>
              <w:jc w:val="center"/>
              <w:rPr>
                <w:rFonts w:ascii="Arial" w:hAnsi="Arial" w:cs="Arial"/>
                <w:sz w:val="16"/>
                <w:szCs w:val="16"/>
              </w:rPr>
            </w:pPr>
            <w:r>
              <w:rPr>
                <w:rFonts w:ascii="Arial" w:hAnsi="Arial" w:cs="Arial"/>
                <w:sz w:val="16"/>
                <w:szCs w:val="16"/>
              </w:rPr>
              <w:t>-</w:t>
            </w:r>
          </w:p>
        </w:tc>
        <w:tc>
          <w:tcPr>
            <w:tcW w:w="1191" w:type="dxa"/>
            <w:vAlign w:val="center"/>
          </w:tcPr>
          <w:p w14:paraId="2055F339" w14:textId="77777777" w:rsidR="003C227D" w:rsidRPr="00424224" w:rsidRDefault="003C227D" w:rsidP="00325CE9">
            <w:pPr>
              <w:spacing w:before="60" w:after="60"/>
              <w:jc w:val="center"/>
              <w:rPr>
                <w:rFonts w:ascii="Arial" w:hAnsi="Arial" w:cs="Arial"/>
                <w:sz w:val="16"/>
                <w:szCs w:val="16"/>
              </w:rPr>
            </w:pPr>
            <w:r w:rsidRPr="00424224">
              <w:rPr>
                <w:rFonts w:ascii="Arial" w:hAnsi="Arial" w:cs="Arial"/>
                <w:sz w:val="16"/>
                <w:szCs w:val="16"/>
              </w:rPr>
              <w:t>-</w:t>
            </w:r>
          </w:p>
        </w:tc>
        <w:tc>
          <w:tcPr>
            <w:tcW w:w="1304" w:type="dxa"/>
            <w:vAlign w:val="center"/>
          </w:tcPr>
          <w:p w14:paraId="1C6088B5" w14:textId="77777777" w:rsidR="003C227D" w:rsidRPr="00424224" w:rsidRDefault="003C227D" w:rsidP="00325CE9">
            <w:pPr>
              <w:spacing w:before="60" w:after="60"/>
              <w:jc w:val="center"/>
              <w:rPr>
                <w:rFonts w:ascii="Arial" w:hAnsi="Arial" w:cs="Arial"/>
                <w:sz w:val="16"/>
                <w:szCs w:val="16"/>
              </w:rPr>
            </w:pPr>
            <w:r w:rsidRPr="00424224">
              <w:rPr>
                <w:rFonts w:ascii="Arial" w:hAnsi="Arial" w:cs="Arial"/>
                <w:sz w:val="16"/>
                <w:szCs w:val="16"/>
              </w:rPr>
              <w:t>-</w:t>
            </w:r>
          </w:p>
        </w:tc>
        <w:tc>
          <w:tcPr>
            <w:tcW w:w="1077" w:type="dxa"/>
            <w:vAlign w:val="center"/>
          </w:tcPr>
          <w:p w14:paraId="3E6947AB" w14:textId="77777777" w:rsidR="003C227D" w:rsidRPr="00424224" w:rsidRDefault="003C227D" w:rsidP="00325CE9">
            <w:pPr>
              <w:spacing w:before="60" w:after="60"/>
              <w:jc w:val="center"/>
              <w:rPr>
                <w:rFonts w:ascii="Arial" w:hAnsi="Arial" w:cs="Arial"/>
                <w:sz w:val="16"/>
                <w:szCs w:val="16"/>
              </w:rPr>
            </w:pPr>
            <w:r>
              <w:rPr>
                <w:rFonts w:ascii="Arial" w:hAnsi="Arial" w:cs="Arial"/>
                <w:sz w:val="16"/>
                <w:szCs w:val="16"/>
              </w:rPr>
              <w:t>20</w:t>
            </w:r>
          </w:p>
        </w:tc>
        <w:tc>
          <w:tcPr>
            <w:tcW w:w="1191" w:type="dxa"/>
            <w:vAlign w:val="center"/>
          </w:tcPr>
          <w:p w14:paraId="67EF42A3" w14:textId="77777777" w:rsidR="003C227D" w:rsidRPr="00AA48C3" w:rsidRDefault="003C227D" w:rsidP="00325CE9">
            <w:pPr>
              <w:spacing w:before="60" w:after="60"/>
              <w:jc w:val="center"/>
              <w:rPr>
                <w:rFonts w:ascii="Arial" w:hAnsi="Arial" w:cs="Arial"/>
                <w:sz w:val="16"/>
                <w:szCs w:val="16"/>
              </w:rPr>
            </w:pPr>
            <w:r>
              <w:rPr>
                <w:rFonts w:ascii="Arial" w:hAnsi="Arial" w:cs="Arial"/>
                <w:sz w:val="16"/>
                <w:szCs w:val="16"/>
              </w:rPr>
              <w:t>-</w:t>
            </w:r>
          </w:p>
        </w:tc>
      </w:tr>
      <w:tr w:rsidR="003C227D" w:rsidRPr="007901FE" w14:paraId="64BF90F6" w14:textId="77777777" w:rsidTr="00325CE9">
        <w:tc>
          <w:tcPr>
            <w:tcW w:w="1701" w:type="dxa"/>
            <w:vAlign w:val="center"/>
          </w:tcPr>
          <w:p w14:paraId="7D9E7D69" w14:textId="77777777" w:rsidR="003C227D" w:rsidRPr="00246738" w:rsidRDefault="003C227D" w:rsidP="00325CE9">
            <w:pPr>
              <w:spacing w:before="60" w:after="60"/>
              <w:ind w:left="34"/>
              <w:rPr>
                <w:rFonts w:ascii="Arial" w:hAnsi="Arial" w:cs="Arial"/>
                <w:sz w:val="16"/>
                <w:szCs w:val="16"/>
              </w:rPr>
            </w:pPr>
            <w:r w:rsidRPr="00246738">
              <w:rPr>
                <w:rFonts w:ascii="Arial" w:hAnsi="Arial" w:cs="Arial"/>
                <w:sz w:val="16"/>
                <w:szCs w:val="16"/>
              </w:rPr>
              <w:t xml:space="preserve">8. Waste incineration </w:t>
            </w:r>
          </w:p>
        </w:tc>
        <w:tc>
          <w:tcPr>
            <w:tcW w:w="1418" w:type="dxa"/>
            <w:vAlign w:val="center"/>
          </w:tcPr>
          <w:p w14:paraId="443E0E1F" w14:textId="26A11FAE" w:rsidR="003C227D" w:rsidRPr="00F85126" w:rsidRDefault="004A1C1C" w:rsidP="00325CE9">
            <w:pPr>
              <w:spacing w:line="300" w:lineRule="atLeast"/>
              <w:jc w:val="center"/>
              <w:rPr>
                <w:rFonts w:ascii="Arial" w:hAnsi="Arial" w:cs="Arial"/>
                <w:sz w:val="16"/>
                <w:szCs w:val="16"/>
              </w:rPr>
            </w:pPr>
            <w:r>
              <w:rPr>
                <w:rFonts w:ascii="Arial" w:hAnsi="Arial" w:cs="Arial"/>
                <w:sz w:val="16"/>
                <w:szCs w:val="16"/>
              </w:rPr>
              <w:t>19.7</w:t>
            </w:r>
            <w:r w:rsidR="003C227D" w:rsidRPr="00F85126">
              <w:rPr>
                <w:rFonts w:ascii="Arial" w:hAnsi="Arial" w:cs="Arial"/>
                <w:sz w:val="16"/>
                <w:szCs w:val="16"/>
              </w:rPr>
              <w:t xml:space="preserve"> – 184.2 (102.4)</w:t>
            </w:r>
          </w:p>
        </w:tc>
        <w:tc>
          <w:tcPr>
            <w:tcW w:w="1190" w:type="dxa"/>
            <w:vAlign w:val="center"/>
          </w:tcPr>
          <w:p w14:paraId="1BB0812C" w14:textId="287A77C2" w:rsidR="003C227D" w:rsidRPr="00F85126" w:rsidRDefault="004A1C1C" w:rsidP="00325CE9">
            <w:pPr>
              <w:spacing w:line="300" w:lineRule="atLeast"/>
              <w:jc w:val="center"/>
              <w:rPr>
                <w:rFonts w:ascii="Arial" w:hAnsi="Arial" w:cs="Arial"/>
                <w:sz w:val="16"/>
                <w:szCs w:val="16"/>
              </w:rPr>
            </w:pPr>
            <w:r>
              <w:rPr>
                <w:rFonts w:ascii="Arial" w:hAnsi="Arial" w:cs="Arial"/>
                <w:sz w:val="16"/>
                <w:szCs w:val="16"/>
              </w:rPr>
              <w:t>18.9</w:t>
            </w:r>
            <w:r w:rsidR="003C227D" w:rsidRPr="00F85126">
              <w:rPr>
                <w:rFonts w:ascii="Arial" w:hAnsi="Arial" w:cs="Arial"/>
                <w:sz w:val="16"/>
                <w:szCs w:val="16"/>
              </w:rPr>
              <w:t xml:space="preserve"> – 183.4 (101.6)</w:t>
            </w:r>
          </w:p>
        </w:tc>
        <w:tc>
          <w:tcPr>
            <w:tcW w:w="1191" w:type="dxa"/>
            <w:vAlign w:val="center"/>
          </w:tcPr>
          <w:p w14:paraId="5D583A84" w14:textId="77777777" w:rsidR="003C227D" w:rsidRPr="00F85126" w:rsidRDefault="003C227D" w:rsidP="00325CE9">
            <w:pPr>
              <w:spacing w:line="300" w:lineRule="atLeast"/>
              <w:jc w:val="center"/>
              <w:rPr>
                <w:rFonts w:ascii="Arial" w:hAnsi="Arial" w:cs="Arial"/>
                <w:sz w:val="16"/>
                <w:szCs w:val="16"/>
              </w:rPr>
            </w:pPr>
            <w:r w:rsidRPr="00F85126">
              <w:rPr>
                <w:rFonts w:ascii="Arial" w:hAnsi="Arial" w:cs="Arial"/>
                <w:sz w:val="16"/>
                <w:szCs w:val="16"/>
              </w:rPr>
              <w:t>-</w:t>
            </w:r>
          </w:p>
        </w:tc>
        <w:tc>
          <w:tcPr>
            <w:tcW w:w="1304" w:type="dxa"/>
            <w:vAlign w:val="center"/>
          </w:tcPr>
          <w:p w14:paraId="1CC9C960" w14:textId="77777777" w:rsidR="003C227D" w:rsidRPr="00F85126" w:rsidRDefault="003C227D" w:rsidP="00325CE9">
            <w:pPr>
              <w:spacing w:line="300" w:lineRule="atLeast"/>
              <w:jc w:val="center"/>
              <w:rPr>
                <w:rFonts w:ascii="Arial" w:hAnsi="Arial" w:cs="Arial"/>
                <w:sz w:val="16"/>
                <w:szCs w:val="16"/>
              </w:rPr>
            </w:pPr>
            <w:r w:rsidRPr="00F85126">
              <w:rPr>
                <w:rFonts w:ascii="Arial" w:hAnsi="Arial" w:cs="Arial"/>
                <w:sz w:val="16"/>
                <w:szCs w:val="16"/>
              </w:rPr>
              <w:t>-</w:t>
            </w:r>
          </w:p>
        </w:tc>
        <w:tc>
          <w:tcPr>
            <w:tcW w:w="1077" w:type="dxa"/>
            <w:vAlign w:val="center"/>
          </w:tcPr>
          <w:p w14:paraId="043F1F2D" w14:textId="77777777" w:rsidR="003C227D" w:rsidRPr="00F85126" w:rsidRDefault="003C227D" w:rsidP="00325CE9">
            <w:pPr>
              <w:spacing w:line="300" w:lineRule="atLeast"/>
              <w:jc w:val="center"/>
              <w:rPr>
                <w:rFonts w:ascii="Arial" w:hAnsi="Arial" w:cs="Arial"/>
                <w:sz w:val="16"/>
                <w:szCs w:val="16"/>
              </w:rPr>
            </w:pPr>
            <w:r w:rsidRPr="00F85126">
              <w:rPr>
                <w:rFonts w:ascii="Arial" w:hAnsi="Arial" w:cs="Arial"/>
                <w:sz w:val="16"/>
                <w:szCs w:val="16"/>
              </w:rPr>
              <w:t>-</w:t>
            </w:r>
          </w:p>
        </w:tc>
        <w:tc>
          <w:tcPr>
            <w:tcW w:w="1191" w:type="dxa"/>
            <w:vAlign w:val="center"/>
          </w:tcPr>
          <w:p w14:paraId="049BB6C7" w14:textId="77777777" w:rsidR="003C227D" w:rsidRPr="00F85126" w:rsidRDefault="003C227D" w:rsidP="00325CE9">
            <w:pPr>
              <w:spacing w:line="300" w:lineRule="atLeast"/>
              <w:jc w:val="center"/>
              <w:rPr>
                <w:rFonts w:ascii="Arial" w:hAnsi="Arial" w:cs="Arial"/>
                <w:sz w:val="16"/>
                <w:szCs w:val="16"/>
              </w:rPr>
            </w:pPr>
            <w:r w:rsidRPr="00F85126">
              <w:rPr>
                <w:rFonts w:ascii="Arial" w:hAnsi="Arial" w:cs="Arial"/>
                <w:sz w:val="16"/>
                <w:szCs w:val="16"/>
              </w:rPr>
              <w:t>0.8</w:t>
            </w:r>
          </w:p>
        </w:tc>
      </w:tr>
      <w:tr w:rsidR="003C227D" w:rsidRPr="007901FE" w14:paraId="4C3BF556" w14:textId="77777777" w:rsidTr="00325CE9">
        <w:tc>
          <w:tcPr>
            <w:tcW w:w="1701" w:type="dxa"/>
            <w:vAlign w:val="center"/>
          </w:tcPr>
          <w:p w14:paraId="24290EB3" w14:textId="77777777" w:rsidR="003C227D" w:rsidRPr="00246738" w:rsidRDefault="003C227D" w:rsidP="00325CE9">
            <w:pPr>
              <w:spacing w:before="60" w:after="60"/>
              <w:ind w:left="34"/>
              <w:rPr>
                <w:rFonts w:ascii="Arial" w:hAnsi="Arial" w:cs="Arial"/>
                <w:sz w:val="16"/>
                <w:szCs w:val="16"/>
              </w:rPr>
            </w:pPr>
            <w:r w:rsidRPr="00246738">
              <w:rPr>
                <w:rFonts w:ascii="Arial" w:hAnsi="Arial" w:cs="Arial"/>
                <w:sz w:val="16"/>
                <w:szCs w:val="16"/>
              </w:rPr>
              <w:t xml:space="preserve">9. Waste deposit/landfill and wastewater treatment </w:t>
            </w:r>
          </w:p>
        </w:tc>
        <w:tc>
          <w:tcPr>
            <w:tcW w:w="1418" w:type="dxa"/>
            <w:vAlign w:val="center"/>
          </w:tcPr>
          <w:p w14:paraId="5625C0FE" w14:textId="2C1C2E95" w:rsidR="003C227D" w:rsidRPr="00F85126" w:rsidRDefault="004A1C1C" w:rsidP="00325CE9">
            <w:pPr>
              <w:spacing w:line="300" w:lineRule="atLeast"/>
              <w:jc w:val="center"/>
              <w:rPr>
                <w:rFonts w:ascii="Arial" w:hAnsi="Arial" w:cs="Arial"/>
                <w:sz w:val="16"/>
                <w:szCs w:val="16"/>
              </w:rPr>
            </w:pPr>
            <w:r>
              <w:rPr>
                <w:rFonts w:ascii="Arial" w:hAnsi="Arial" w:cs="Arial"/>
                <w:sz w:val="16"/>
                <w:szCs w:val="16"/>
              </w:rPr>
              <w:t>3,687.5 – 39,650 (21,668.8</w:t>
            </w:r>
            <w:r w:rsidR="003C227D" w:rsidRPr="00F85126">
              <w:rPr>
                <w:rFonts w:ascii="Arial" w:hAnsi="Arial" w:cs="Arial"/>
                <w:sz w:val="16"/>
                <w:szCs w:val="16"/>
              </w:rPr>
              <w:t>)</w:t>
            </w:r>
          </w:p>
        </w:tc>
        <w:tc>
          <w:tcPr>
            <w:tcW w:w="1190" w:type="dxa"/>
            <w:vAlign w:val="center"/>
          </w:tcPr>
          <w:p w14:paraId="0169B38F" w14:textId="77777777" w:rsidR="003C227D" w:rsidRPr="00F85126" w:rsidRDefault="003C227D" w:rsidP="00325CE9">
            <w:pPr>
              <w:spacing w:line="300" w:lineRule="atLeast"/>
              <w:jc w:val="center"/>
              <w:rPr>
                <w:rFonts w:ascii="Arial" w:hAnsi="Arial" w:cs="Arial"/>
                <w:sz w:val="16"/>
                <w:szCs w:val="16"/>
              </w:rPr>
            </w:pPr>
            <w:r w:rsidRPr="00F85126">
              <w:rPr>
                <w:rFonts w:ascii="Arial" w:hAnsi="Arial" w:cs="Arial"/>
                <w:sz w:val="16"/>
                <w:szCs w:val="16"/>
              </w:rPr>
              <w:t>34 – 341 (187.6)</w:t>
            </w:r>
          </w:p>
        </w:tc>
        <w:tc>
          <w:tcPr>
            <w:tcW w:w="1191" w:type="dxa"/>
            <w:vAlign w:val="center"/>
          </w:tcPr>
          <w:p w14:paraId="4F1A1BE9" w14:textId="77777777" w:rsidR="003C227D" w:rsidRPr="00F85126" w:rsidRDefault="003C227D" w:rsidP="00325CE9">
            <w:pPr>
              <w:spacing w:line="300" w:lineRule="atLeast"/>
              <w:jc w:val="center"/>
              <w:rPr>
                <w:rFonts w:ascii="Arial" w:hAnsi="Arial" w:cs="Arial"/>
                <w:sz w:val="16"/>
                <w:szCs w:val="16"/>
              </w:rPr>
            </w:pPr>
            <w:r w:rsidRPr="00F85126">
              <w:rPr>
                <w:rFonts w:ascii="Arial" w:hAnsi="Arial" w:cs="Arial"/>
                <w:sz w:val="16"/>
                <w:szCs w:val="16"/>
              </w:rPr>
              <w:t>139.1 – 2,778.4 (1,458.8)</w:t>
            </w:r>
          </w:p>
        </w:tc>
        <w:tc>
          <w:tcPr>
            <w:tcW w:w="1304" w:type="dxa"/>
            <w:vAlign w:val="center"/>
          </w:tcPr>
          <w:p w14:paraId="37ADA4DE" w14:textId="77777777" w:rsidR="003C227D" w:rsidRPr="00F85126" w:rsidRDefault="003C227D" w:rsidP="00325CE9">
            <w:pPr>
              <w:spacing w:line="300" w:lineRule="atLeast"/>
              <w:jc w:val="center"/>
              <w:rPr>
                <w:rFonts w:ascii="Arial" w:hAnsi="Arial" w:cs="Arial"/>
                <w:sz w:val="16"/>
                <w:szCs w:val="16"/>
              </w:rPr>
            </w:pPr>
            <w:r w:rsidRPr="00F85126">
              <w:rPr>
                <w:rFonts w:ascii="Arial" w:hAnsi="Arial" w:cs="Arial"/>
                <w:sz w:val="16"/>
                <w:szCs w:val="16"/>
              </w:rPr>
              <w:t>55.5 – 1110 (582.8)</w:t>
            </w:r>
          </w:p>
        </w:tc>
        <w:tc>
          <w:tcPr>
            <w:tcW w:w="1077" w:type="dxa"/>
            <w:vAlign w:val="center"/>
          </w:tcPr>
          <w:p w14:paraId="1B9ABB2F" w14:textId="19163C11" w:rsidR="003C227D" w:rsidRPr="00F85126" w:rsidRDefault="00937CBC" w:rsidP="00325CE9">
            <w:pPr>
              <w:spacing w:line="300" w:lineRule="atLeast"/>
              <w:jc w:val="center"/>
              <w:rPr>
                <w:rFonts w:ascii="Arial" w:hAnsi="Arial" w:cs="Arial"/>
                <w:sz w:val="16"/>
                <w:szCs w:val="16"/>
              </w:rPr>
            </w:pPr>
            <w:r>
              <w:rPr>
                <w:rFonts w:ascii="Arial" w:hAnsi="Arial" w:cs="Arial"/>
                <w:sz w:val="16"/>
                <w:szCs w:val="16"/>
              </w:rPr>
              <w:t>-</w:t>
            </w:r>
          </w:p>
        </w:tc>
        <w:tc>
          <w:tcPr>
            <w:tcW w:w="1191" w:type="dxa"/>
            <w:vAlign w:val="center"/>
          </w:tcPr>
          <w:p w14:paraId="1A0BA815" w14:textId="09B4EDFB" w:rsidR="003C227D" w:rsidRPr="00F85126" w:rsidRDefault="004A1C1C" w:rsidP="00325CE9">
            <w:pPr>
              <w:spacing w:line="300" w:lineRule="atLeast"/>
              <w:jc w:val="center"/>
              <w:rPr>
                <w:rFonts w:ascii="Arial" w:hAnsi="Arial" w:cs="Arial"/>
                <w:sz w:val="16"/>
                <w:szCs w:val="16"/>
              </w:rPr>
            </w:pPr>
            <w:r>
              <w:rPr>
                <w:rFonts w:ascii="Arial" w:hAnsi="Arial" w:cs="Arial"/>
                <w:sz w:val="16"/>
                <w:szCs w:val="16"/>
              </w:rPr>
              <w:t>83.3</w:t>
            </w:r>
            <w:r w:rsidR="00937CBC" w:rsidRPr="00F85126">
              <w:rPr>
                <w:rFonts w:ascii="Arial" w:hAnsi="Arial" w:cs="Arial"/>
                <w:sz w:val="16"/>
                <w:szCs w:val="16"/>
              </w:rPr>
              <w:t xml:space="preserve"> – 1,665 </w:t>
            </w:r>
            <w:r>
              <w:rPr>
                <w:rFonts w:ascii="Arial" w:hAnsi="Arial" w:cs="Arial"/>
                <w:sz w:val="16"/>
                <w:szCs w:val="16"/>
              </w:rPr>
              <w:t xml:space="preserve"> </w:t>
            </w:r>
            <w:r w:rsidR="00937CBC" w:rsidRPr="00F85126">
              <w:rPr>
                <w:rFonts w:ascii="Arial" w:hAnsi="Arial" w:cs="Arial"/>
                <w:sz w:val="16"/>
                <w:szCs w:val="16"/>
              </w:rPr>
              <w:t>(874.1)</w:t>
            </w:r>
          </w:p>
        </w:tc>
      </w:tr>
      <w:tr w:rsidR="003C227D" w:rsidRPr="007901FE" w14:paraId="1EFF7BD2" w14:textId="77777777" w:rsidTr="00325CE9">
        <w:tc>
          <w:tcPr>
            <w:tcW w:w="1701" w:type="dxa"/>
            <w:tcBorders>
              <w:bottom w:val="single" w:sz="12" w:space="0" w:color="auto"/>
            </w:tcBorders>
            <w:vAlign w:val="center"/>
          </w:tcPr>
          <w:p w14:paraId="333FB790" w14:textId="77777777" w:rsidR="003C227D" w:rsidRPr="00246738" w:rsidRDefault="003C227D" w:rsidP="00325CE9">
            <w:pPr>
              <w:spacing w:before="60" w:after="60"/>
              <w:ind w:left="-42"/>
              <w:rPr>
                <w:rFonts w:ascii="Arial" w:hAnsi="Arial" w:cs="Arial"/>
                <w:sz w:val="16"/>
                <w:szCs w:val="16"/>
              </w:rPr>
            </w:pPr>
            <w:r w:rsidRPr="00246738">
              <w:rPr>
                <w:rFonts w:ascii="Arial" w:hAnsi="Arial" w:cs="Arial"/>
                <w:sz w:val="16"/>
                <w:szCs w:val="16"/>
              </w:rPr>
              <w:t xml:space="preserve">10. Crematoria and cemeteries </w:t>
            </w:r>
          </w:p>
        </w:tc>
        <w:tc>
          <w:tcPr>
            <w:tcW w:w="1418" w:type="dxa"/>
            <w:vAlign w:val="center"/>
          </w:tcPr>
          <w:p w14:paraId="2E71E88E" w14:textId="77777777" w:rsidR="003C227D" w:rsidRPr="00F85126" w:rsidRDefault="003C227D" w:rsidP="00325CE9">
            <w:pPr>
              <w:spacing w:line="300" w:lineRule="atLeast"/>
              <w:jc w:val="center"/>
              <w:rPr>
                <w:rFonts w:ascii="Arial" w:hAnsi="Arial" w:cs="Arial"/>
                <w:sz w:val="16"/>
                <w:szCs w:val="16"/>
              </w:rPr>
            </w:pPr>
            <w:r w:rsidRPr="00F85126">
              <w:rPr>
                <w:rFonts w:ascii="Arial" w:hAnsi="Arial" w:cs="Arial"/>
                <w:sz w:val="16"/>
                <w:szCs w:val="16"/>
              </w:rPr>
              <w:t>31.3 – 125.3 (78.3)</w:t>
            </w:r>
          </w:p>
        </w:tc>
        <w:tc>
          <w:tcPr>
            <w:tcW w:w="1190" w:type="dxa"/>
            <w:vAlign w:val="center"/>
          </w:tcPr>
          <w:p w14:paraId="62F34FDF" w14:textId="77777777" w:rsidR="003C227D" w:rsidRPr="00F85126" w:rsidRDefault="003C227D" w:rsidP="00325CE9">
            <w:pPr>
              <w:spacing w:line="300" w:lineRule="atLeast"/>
              <w:jc w:val="center"/>
              <w:rPr>
                <w:rFonts w:ascii="Arial" w:hAnsi="Arial" w:cs="Arial"/>
                <w:sz w:val="16"/>
                <w:szCs w:val="16"/>
              </w:rPr>
            </w:pPr>
            <w:r w:rsidRPr="00F85126">
              <w:rPr>
                <w:rFonts w:ascii="Arial" w:hAnsi="Arial" w:cs="Arial"/>
                <w:sz w:val="16"/>
                <w:szCs w:val="16"/>
              </w:rPr>
              <w:t>20.1 – 80.5 (50.3)</w:t>
            </w:r>
          </w:p>
        </w:tc>
        <w:tc>
          <w:tcPr>
            <w:tcW w:w="1191" w:type="dxa"/>
            <w:vAlign w:val="center"/>
          </w:tcPr>
          <w:p w14:paraId="2B4C185F" w14:textId="77777777" w:rsidR="003C227D" w:rsidRPr="00F85126" w:rsidRDefault="003C227D" w:rsidP="00325CE9">
            <w:pPr>
              <w:spacing w:line="300" w:lineRule="atLeast"/>
              <w:jc w:val="center"/>
              <w:rPr>
                <w:rFonts w:ascii="Arial" w:hAnsi="Arial" w:cs="Arial"/>
                <w:sz w:val="16"/>
                <w:szCs w:val="16"/>
              </w:rPr>
            </w:pPr>
            <w:r w:rsidRPr="00F85126">
              <w:rPr>
                <w:rFonts w:ascii="Arial" w:hAnsi="Arial" w:cs="Arial"/>
                <w:sz w:val="16"/>
                <w:szCs w:val="16"/>
              </w:rPr>
              <w:t>-</w:t>
            </w:r>
          </w:p>
        </w:tc>
        <w:tc>
          <w:tcPr>
            <w:tcW w:w="1304" w:type="dxa"/>
            <w:vAlign w:val="center"/>
          </w:tcPr>
          <w:p w14:paraId="214FBFBE" w14:textId="77777777" w:rsidR="003C227D" w:rsidRPr="00F85126" w:rsidRDefault="003C227D" w:rsidP="00325CE9">
            <w:pPr>
              <w:spacing w:line="300" w:lineRule="atLeast"/>
              <w:jc w:val="center"/>
              <w:rPr>
                <w:rFonts w:ascii="Arial" w:hAnsi="Arial" w:cs="Arial"/>
                <w:sz w:val="16"/>
                <w:szCs w:val="16"/>
              </w:rPr>
            </w:pPr>
            <w:r w:rsidRPr="00F85126">
              <w:rPr>
                <w:rFonts w:ascii="Arial" w:hAnsi="Arial" w:cs="Arial"/>
                <w:sz w:val="16"/>
                <w:szCs w:val="16"/>
              </w:rPr>
              <w:t>11.2 – 44.8 (28.0)</w:t>
            </w:r>
          </w:p>
        </w:tc>
        <w:tc>
          <w:tcPr>
            <w:tcW w:w="1077" w:type="dxa"/>
            <w:vAlign w:val="center"/>
          </w:tcPr>
          <w:p w14:paraId="0B7B9D97" w14:textId="77777777" w:rsidR="003C227D" w:rsidRPr="00F85126" w:rsidRDefault="003C227D" w:rsidP="00325CE9">
            <w:pPr>
              <w:spacing w:line="300" w:lineRule="atLeast"/>
              <w:jc w:val="center"/>
              <w:rPr>
                <w:rFonts w:ascii="Arial" w:hAnsi="Arial" w:cs="Arial"/>
                <w:sz w:val="16"/>
                <w:szCs w:val="16"/>
              </w:rPr>
            </w:pPr>
            <w:r w:rsidRPr="00F85126">
              <w:rPr>
                <w:rFonts w:ascii="Arial" w:hAnsi="Arial" w:cs="Arial"/>
                <w:sz w:val="16"/>
                <w:szCs w:val="16"/>
              </w:rPr>
              <w:t>-</w:t>
            </w:r>
          </w:p>
        </w:tc>
        <w:tc>
          <w:tcPr>
            <w:tcW w:w="1191" w:type="dxa"/>
            <w:vAlign w:val="center"/>
          </w:tcPr>
          <w:p w14:paraId="20595ADC" w14:textId="77777777" w:rsidR="003C227D" w:rsidRPr="00F85126" w:rsidRDefault="003C227D" w:rsidP="00325CE9">
            <w:pPr>
              <w:spacing w:line="300" w:lineRule="atLeast"/>
              <w:jc w:val="center"/>
              <w:rPr>
                <w:rFonts w:ascii="Arial" w:hAnsi="Arial" w:cs="Arial"/>
                <w:sz w:val="16"/>
                <w:szCs w:val="16"/>
              </w:rPr>
            </w:pPr>
            <w:r w:rsidRPr="00F85126">
              <w:rPr>
                <w:rFonts w:ascii="Arial" w:hAnsi="Arial" w:cs="Arial"/>
                <w:sz w:val="16"/>
                <w:szCs w:val="16"/>
              </w:rPr>
              <w:t>-</w:t>
            </w:r>
          </w:p>
        </w:tc>
      </w:tr>
      <w:tr w:rsidR="003C227D" w:rsidRPr="007901FE" w14:paraId="5C8953B1" w14:textId="77777777" w:rsidTr="00325CE9">
        <w:tc>
          <w:tcPr>
            <w:tcW w:w="1701" w:type="dxa"/>
            <w:tcBorders>
              <w:top w:val="single" w:sz="12" w:space="0" w:color="auto"/>
              <w:left w:val="single" w:sz="12" w:space="0" w:color="auto"/>
              <w:bottom w:val="single" w:sz="12" w:space="0" w:color="auto"/>
              <w:right w:val="single" w:sz="12" w:space="0" w:color="auto"/>
            </w:tcBorders>
            <w:vAlign w:val="center"/>
          </w:tcPr>
          <w:p w14:paraId="4A3DEF38" w14:textId="278B64CF" w:rsidR="003C227D" w:rsidRPr="0030522C" w:rsidRDefault="004A1C1C" w:rsidP="00325CE9">
            <w:pPr>
              <w:spacing w:before="60" w:after="60"/>
              <w:ind w:left="-42"/>
              <w:rPr>
                <w:rFonts w:ascii="Arial" w:hAnsi="Arial" w:cs="Arial"/>
                <w:b/>
                <w:sz w:val="16"/>
                <w:szCs w:val="16"/>
              </w:rPr>
            </w:pPr>
            <w:r>
              <w:rPr>
                <w:rFonts w:ascii="Arial" w:hAnsi="Arial" w:cs="Arial"/>
                <w:b/>
                <w:sz w:val="16"/>
                <w:szCs w:val="16"/>
              </w:rPr>
              <w:t>Totals</w:t>
            </w:r>
          </w:p>
        </w:tc>
        <w:tc>
          <w:tcPr>
            <w:tcW w:w="1418" w:type="dxa"/>
            <w:tcBorders>
              <w:top w:val="single" w:sz="12" w:space="0" w:color="auto"/>
              <w:left w:val="single" w:sz="12" w:space="0" w:color="auto"/>
              <w:bottom w:val="single" w:sz="12" w:space="0" w:color="auto"/>
              <w:right w:val="single" w:sz="12" w:space="0" w:color="auto"/>
            </w:tcBorders>
            <w:vAlign w:val="center"/>
          </w:tcPr>
          <w:p w14:paraId="450F1F92" w14:textId="2D105E1B" w:rsidR="003C227D" w:rsidRPr="0030522C" w:rsidRDefault="005B39DB" w:rsidP="00325CE9">
            <w:pPr>
              <w:spacing w:before="60" w:after="60"/>
              <w:jc w:val="center"/>
              <w:rPr>
                <w:rFonts w:ascii="Arial" w:hAnsi="Arial" w:cs="Arial"/>
                <w:b/>
                <w:sz w:val="16"/>
                <w:szCs w:val="16"/>
              </w:rPr>
            </w:pPr>
            <w:r>
              <w:rPr>
                <w:rFonts w:ascii="Arial" w:hAnsi="Arial" w:cs="Arial"/>
                <w:b/>
                <w:sz w:val="16"/>
                <w:szCs w:val="16"/>
              </w:rPr>
              <w:t>5,857 – 56,192 (28,632</w:t>
            </w:r>
            <w:r w:rsidRPr="0030522C">
              <w:rPr>
                <w:rFonts w:ascii="Arial" w:hAnsi="Arial" w:cs="Arial"/>
                <w:b/>
                <w:sz w:val="16"/>
                <w:szCs w:val="16"/>
              </w:rPr>
              <w:t>)</w:t>
            </w:r>
          </w:p>
        </w:tc>
        <w:tc>
          <w:tcPr>
            <w:tcW w:w="1190" w:type="dxa"/>
            <w:tcBorders>
              <w:top w:val="single" w:sz="12" w:space="0" w:color="auto"/>
              <w:left w:val="single" w:sz="12" w:space="0" w:color="auto"/>
              <w:bottom w:val="single" w:sz="12" w:space="0" w:color="auto"/>
              <w:right w:val="single" w:sz="12" w:space="0" w:color="auto"/>
            </w:tcBorders>
            <w:vAlign w:val="center"/>
          </w:tcPr>
          <w:p w14:paraId="703AF0EA" w14:textId="77777777" w:rsidR="003C227D" w:rsidRPr="00424224" w:rsidRDefault="003C227D" w:rsidP="00325CE9">
            <w:pPr>
              <w:spacing w:before="60" w:after="60"/>
              <w:jc w:val="center"/>
              <w:rPr>
                <w:rFonts w:ascii="Arial" w:hAnsi="Arial" w:cs="Arial"/>
                <w:b/>
                <w:sz w:val="16"/>
                <w:szCs w:val="16"/>
              </w:rPr>
            </w:pPr>
            <w:r>
              <w:rPr>
                <w:rFonts w:ascii="Arial" w:hAnsi="Arial" w:cs="Arial"/>
                <w:b/>
                <w:sz w:val="16"/>
                <w:szCs w:val="16"/>
              </w:rPr>
              <w:t>465 – 3,370 (1,822)</w:t>
            </w:r>
          </w:p>
        </w:tc>
        <w:tc>
          <w:tcPr>
            <w:tcW w:w="1191" w:type="dxa"/>
            <w:tcBorders>
              <w:top w:val="single" w:sz="12" w:space="0" w:color="auto"/>
              <w:left w:val="single" w:sz="12" w:space="0" w:color="auto"/>
              <w:bottom w:val="single" w:sz="12" w:space="0" w:color="auto"/>
              <w:right w:val="single" w:sz="12" w:space="0" w:color="auto"/>
            </w:tcBorders>
            <w:vAlign w:val="center"/>
          </w:tcPr>
          <w:p w14:paraId="203928C9" w14:textId="77777777" w:rsidR="003C227D" w:rsidRPr="00424224" w:rsidRDefault="003C227D" w:rsidP="00325CE9">
            <w:pPr>
              <w:spacing w:before="60" w:after="60"/>
              <w:jc w:val="center"/>
              <w:rPr>
                <w:rFonts w:ascii="Arial" w:hAnsi="Arial" w:cs="Arial"/>
                <w:b/>
                <w:sz w:val="16"/>
                <w:szCs w:val="16"/>
              </w:rPr>
            </w:pPr>
            <w:r>
              <w:rPr>
                <w:rFonts w:ascii="Arial" w:hAnsi="Arial" w:cs="Arial"/>
                <w:b/>
                <w:sz w:val="16"/>
                <w:szCs w:val="16"/>
              </w:rPr>
              <w:t>192 – 3,158 (1,627)</w:t>
            </w:r>
          </w:p>
        </w:tc>
        <w:tc>
          <w:tcPr>
            <w:tcW w:w="1304" w:type="dxa"/>
            <w:tcBorders>
              <w:top w:val="single" w:sz="12" w:space="0" w:color="auto"/>
              <w:left w:val="single" w:sz="12" w:space="0" w:color="auto"/>
              <w:bottom w:val="single" w:sz="12" w:space="0" w:color="auto"/>
              <w:right w:val="single" w:sz="12" w:space="0" w:color="auto"/>
            </w:tcBorders>
            <w:vAlign w:val="center"/>
          </w:tcPr>
          <w:p w14:paraId="4BDE7086" w14:textId="77777777" w:rsidR="003C227D" w:rsidRPr="00424224" w:rsidRDefault="003C227D" w:rsidP="00325CE9">
            <w:pPr>
              <w:spacing w:before="60" w:after="60"/>
              <w:jc w:val="center"/>
              <w:rPr>
                <w:rFonts w:ascii="Arial" w:hAnsi="Arial" w:cs="Arial"/>
                <w:b/>
                <w:sz w:val="16"/>
                <w:szCs w:val="16"/>
              </w:rPr>
            </w:pPr>
            <w:r>
              <w:rPr>
                <w:rFonts w:ascii="Arial" w:hAnsi="Arial" w:cs="Arial"/>
                <w:b/>
                <w:sz w:val="16"/>
                <w:szCs w:val="16"/>
              </w:rPr>
              <w:t>1,494 – 13,098 (5,142)</w:t>
            </w:r>
          </w:p>
        </w:tc>
        <w:tc>
          <w:tcPr>
            <w:tcW w:w="1077" w:type="dxa"/>
            <w:tcBorders>
              <w:top w:val="single" w:sz="12" w:space="0" w:color="auto"/>
              <w:left w:val="single" w:sz="12" w:space="0" w:color="auto"/>
              <w:bottom w:val="single" w:sz="12" w:space="0" w:color="auto"/>
              <w:right w:val="single" w:sz="12" w:space="0" w:color="auto"/>
            </w:tcBorders>
            <w:vAlign w:val="center"/>
          </w:tcPr>
          <w:p w14:paraId="2F8FA5CA" w14:textId="77777777" w:rsidR="003C227D" w:rsidRPr="00424224" w:rsidRDefault="003C227D" w:rsidP="00325CE9">
            <w:pPr>
              <w:spacing w:before="60" w:after="60"/>
              <w:jc w:val="center"/>
              <w:rPr>
                <w:rFonts w:ascii="Arial" w:hAnsi="Arial" w:cs="Arial"/>
                <w:b/>
                <w:sz w:val="16"/>
                <w:szCs w:val="16"/>
              </w:rPr>
            </w:pPr>
            <w:r>
              <w:rPr>
                <w:rFonts w:ascii="Arial" w:hAnsi="Arial" w:cs="Arial"/>
                <w:b/>
                <w:sz w:val="16"/>
                <w:szCs w:val="16"/>
              </w:rPr>
              <w:t>145 – 610 (282)</w:t>
            </w:r>
          </w:p>
        </w:tc>
        <w:tc>
          <w:tcPr>
            <w:tcW w:w="1191" w:type="dxa"/>
            <w:tcBorders>
              <w:top w:val="single" w:sz="12" w:space="0" w:color="auto"/>
              <w:left w:val="single" w:sz="12" w:space="0" w:color="auto"/>
              <w:bottom w:val="single" w:sz="12" w:space="0" w:color="auto"/>
              <w:right w:val="single" w:sz="12" w:space="0" w:color="auto"/>
            </w:tcBorders>
            <w:vAlign w:val="center"/>
          </w:tcPr>
          <w:p w14:paraId="34D7F972" w14:textId="77777777" w:rsidR="003C227D" w:rsidRPr="00AA48C3" w:rsidRDefault="003C227D" w:rsidP="00325CE9">
            <w:pPr>
              <w:spacing w:before="60" w:after="60"/>
              <w:jc w:val="center"/>
              <w:rPr>
                <w:rFonts w:ascii="Arial" w:hAnsi="Arial" w:cs="Arial"/>
                <w:b/>
                <w:sz w:val="16"/>
                <w:szCs w:val="16"/>
              </w:rPr>
            </w:pPr>
            <w:r>
              <w:rPr>
                <w:rFonts w:ascii="Arial" w:hAnsi="Arial" w:cs="Arial"/>
                <w:b/>
                <w:sz w:val="16"/>
                <w:szCs w:val="16"/>
              </w:rPr>
              <w:t>185 – 2,200 (1,192)</w:t>
            </w:r>
          </w:p>
        </w:tc>
      </w:tr>
    </w:tbl>
    <w:p w14:paraId="0EDFD5B0" w14:textId="09CDF8FA" w:rsidR="00E124F3" w:rsidRDefault="0059685F" w:rsidP="00E124F3">
      <w:pPr>
        <w:spacing w:before="120" w:line="300" w:lineRule="atLeast"/>
        <w:jc w:val="both"/>
        <w:rPr>
          <w:szCs w:val="18"/>
        </w:rPr>
      </w:pPr>
      <w:r w:rsidRPr="0059685F">
        <w:rPr>
          <w:szCs w:val="18"/>
        </w:rPr>
        <w:lastRenderedPageBreak/>
        <w:t>(Note</w:t>
      </w:r>
      <w:r w:rsidR="00E124F3">
        <w:rPr>
          <w:szCs w:val="18"/>
        </w:rPr>
        <w:t xml:space="preserve">: </w:t>
      </w:r>
      <w:r w:rsidRPr="00E124F3">
        <w:rPr>
          <w:szCs w:val="18"/>
        </w:rPr>
        <w:t>the numbers shown in brackets in the table are the means of the reported ranges</w:t>
      </w:r>
      <w:r w:rsidR="00E124F3">
        <w:rPr>
          <w:szCs w:val="18"/>
        </w:rPr>
        <w:t>)</w:t>
      </w:r>
    </w:p>
    <w:p w14:paraId="5CC75725" w14:textId="104FD4EB" w:rsidR="00520C8E" w:rsidRPr="001A0AA1" w:rsidRDefault="00520C8E" w:rsidP="00520C8E">
      <w:pPr>
        <w:spacing w:line="300" w:lineRule="atLeast"/>
        <w:jc w:val="both"/>
        <w:rPr>
          <w:szCs w:val="18"/>
        </w:rPr>
      </w:pPr>
      <w:r w:rsidRPr="001A0AA1">
        <w:rPr>
          <w:szCs w:val="18"/>
        </w:rPr>
        <w:t xml:space="preserve">By far the greatest quantities in the inputs column are for category 9, waste disposal. </w:t>
      </w:r>
      <w:r w:rsidR="003E7FFB">
        <w:rPr>
          <w:szCs w:val="18"/>
        </w:rPr>
        <w:t>However, m</w:t>
      </w:r>
      <w:r>
        <w:rPr>
          <w:szCs w:val="18"/>
        </w:rPr>
        <w:t>ost of the mercury in the solid waste stream is placed into long-term storage (</w:t>
      </w:r>
      <w:proofErr w:type="spellStart"/>
      <w:r>
        <w:rPr>
          <w:szCs w:val="18"/>
        </w:rPr>
        <w:t>ie</w:t>
      </w:r>
      <w:proofErr w:type="spellEnd"/>
      <w:r>
        <w:rPr>
          <w:szCs w:val="18"/>
        </w:rPr>
        <w:t>. controlled landfill), rather than being mobilised into the environment.</w:t>
      </w:r>
      <w:r w:rsidR="00E124F3">
        <w:rPr>
          <w:szCs w:val="18"/>
        </w:rPr>
        <w:t xml:space="preserve"> This was assigned to a ‘Reservoir’ output category, which has not been included in the table.</w:t>
      </w:r>
      <w:r w:rsidR="00C009A1">
        <w:rPr>
          <w:szCs w:val="18"/>
        </w:rPr>
        <w:t xml:space="preserve"> As a result, the total quantity of outputs shown in the table is much less than the total inputs.</w:t>
      </w:r>
    </w:p>
    <w:p w14:paraId="6666FC15" w14:textId="2C117D26" w:rsidR="00520C8E" w:rsidRPr="001A0AA1" w:rsidRDefault="00520C8E" w:rsidP="00520C8E">
      <w:pPr>
        <w:spacing w:line="300" w:lineRule="atLeast"/>
        <w:jc w:val="both"/>
        <w:rPr>
          <w:szCs w:val="18"/>
        </w:rPr>
      </w:pPr>
      <w:r w:rsidRPr="001A0AA1">
        <w:rPr>
          <w:szCs w:val="18"/>
        </w:rPr>
        <w:t xml:space="preserve">Apart from the waste category, the next highest input is from primary metal production and, in particular gold and silver mining. In this case, the bulk of the inputs and outputs are associated with the extraction of very large volumes of ore, which </w:t>
      </w:r>
      <w:r>
        <w:rPr>
          <w:szCs w:val="18"/>
        </w:rPr>
        <w:t>contains very small amounts of</w:t>
      </w:r>
      <w:r w:rsidRPr="001A0AA1">
        <w:rPr>
          <w:szCs w:val="18"/>
        </w:rPr>
        <w:t xml:space="preserve"> mercury</w:t>
      </w:r>
      <w:r>
        <w:rPr>
          <w:szCs w:val="18"/>
        </w:rPr>
        <w:t xml:space="preserve">. The ore </w:t>
      </w:r>
      <w:r w:rsidRPr="001A0AA1">
        <w:rPr>
          <w:szCs w:val="18"/>
        </w:rPr>
        <w:t>is processed to remove the gold and silver, and then it is returned to the land.</w:t>
      </w:r>
    </w:p>
    <w:p w14:paraId="17E1A313" w14:textId="0368C229" w:rsidR="00520C8E" w:rsidRDefault="00520C8E" w:rsidP="00520C8E">
      <w:pPr>
        <w:spacing w:line="300" w:lineRule="atLeast"/>
        <w:jc w:val="both"/>
        <w:rPr>
          <w:szCs w:val="18"/>
        </w:rPr>
      </w:pPr>
      <w:r w:rsidRPr="001A0AA1">
        <w:rPr>
          <w:szCs w:val="18"/>
        </w:rPr>
        <w:t>The next highest input category is the extraction and use of fuels and other energy sources</w:t>
      </w:r>
      <w:r>
        <w:rPr>
          <w:szCs w:val="18"/>
        </w:rPr>
        <w:t>, with the dominant contributor here being geothermal energy</w:t>
      </w:r>
      <w:r w:rsidRPr="001A0AA1">
        <w:rPr>
          <w:szCs w:val="18"/>
        </w:rPr>
        <w:t>.</w:t>
      </w:r>
    </w:p>
    <w:p w14:paraId="6540B13C" w14:textId="3D52EDDC" w:rsidR="003E7FFB" w:rsidRPr="003E7FFB" w:rsidRDefault="003E7FFB" w:rsidP="002B63E7">
      <w:pPr>
        <w:spacing w:line="300" w:lineRule="atLeast"/>
        <w:jc w:val="both"/>
        <w:rPr>
          <w:rFonts w:ascii="Arial" w:hAnsi="Arial" w:cs="Arial"/>
          <w:b/>
          <w:szCs w:val="18"/>
        </w:rPr>
      </w:pPr>
      <w:r w:rsidRPr="003E7FFB">
        <w:rPr>
          <w:rFonts w:ascii="Arial" w:hAnsi="Arial" w:cs="Arial"/>
          <w:b/>
          <w:szCs w:val="18"/>
        </w:rPr>
        <w:t>Inputs from individual sources</w:t>
      </w:r>
    </w:p>
    <w:p w14:paraId="310EF1A7" w14:textId="2A7C7705" w:rsidR="00520C8E" w:rsidRDefault="00520C8E" w:rsidP="003E7FFB">
      <w:pPr>
        <w:spacing w:after="240" w:line="300" w:lineRule="atLeast"/>
        <w:jc w:val="both"/>
        <w:rPr>
          <w:szCs w:val="18"/>
        </w:rPr>
      </w:pPr>
      <w:r>
        <w:rPr>
          <w:szCs w:val="18"/>
        </w:rPr>
        <w:t xml:space="preserve">The relative inputs from each of the individual sources identified in the inventory are illustrated in the figure below, </w:t>
      </w:r>
      <w:r w:rsidRPr="00105F02">
        <w:rPr>
          <w:szCs w:val="18"/>
        </w:rPr>
        <w:t>with the size of each bar giving a</w:t>
      </w:r>
      <w:r>
        <w:rPr>
          <w:szCs w:val="18"/>
        </w:rPr>
        <w:t>n</w:t>
      </w:r>
      <w:r w:rsidRPr="00105F02">
        <w:rPr>
          <w:szCs w:val="18"/>
        </w:rPr>
        <w:t xml:space="preserve"> indication of the level of uncertainty associated with each estimate</w:t>
      </w:r>
      <w:r>
        <w:rPr>
          <w:szCs w:val="18"/>
        </w:rPr>
        <w:t>.</w:t>
      </w:r>
      <w:r w:rsidR="002B63E7" w:rsidRPr="002B63E7">
        <w:rPr>
          <w:szCs w:val="18"/>
        </w:rPr>
        <w:t xml:space="preserve"> </w:t>
      </w:r>
      <w:r w:rsidR="002B63E7">
        <w:rPr>
          <w:szCs w:val="18"/>
        </w:rPr>
        <w:t>As shown in the figure,</w:t>
      </w:r>
      <w:r w:rsidR="002B63E7" w:rsidRPr="001A0AA1">
        <w:rPr>
          <w:szCs w:val="18"/>
        </w:rPr>
        <w:t xml:space="preserve"> the </w:t>
      </w:r>
      <w:r w:rsidR="002B63E7">
        <w:rPr>
          <w:szCs w:val="18"/>
        </w:rPr>
        <w:t>most significant</w:t>
      </w:r>
      <w:r w:rsidR="002B63E7" w:rsidRPr="001A0AA1">
        <w:rPr>
          <w:szCs w:val="18"/>
        </w:rPr>
        <w:t xml:space="preserve"> input sources </w:t>
      </w:r>
      <w:r w:rsidR="002B63E7">
        <w:rPr>
          <w:szCs w:val="18"/>
        </w:rPr>
        <w:t>are solid</w:t>
      </w:r>
      <w:r w:rsidR="002B63E7" w:rsidRPr="001A0AA1">
        <w:rPr>
          <w:szCs w:val="18"/>
        </w:rPr>
        <w:t xml:space="preserve"> waste disposal</w:t>
      </w:r>
      <w:r w:rsidR="002B63E7">
        <w:rPr>
          <w:szCs w:val="18"/>
        </w:rPr>
        <w:t xml:space="preserve"> (landfills)</w:t>
      </w:r>
      <w:r w:rsidR="002B63E7" w:rsidRPr="001A0AA1">
        <w:rPr>
          <w:szCs w:val="18"/>
        </w:rPr>
        <w:t xml:space="preserve">, gold and silver mining, </w:t>
      </w:r>
      <w:r w:rsidR="002B63E7">
        <w:rPr>
          <w:szCs w:val="18"/>
        </w:rPr>
        <w:t xml:space="preserve">wastewater treatment and disposal, and the extraction and utilisation of </w:t>
      </w:r>
      <w:r w:rsidR="002B63E7" w:rsidRPr="001A0AA1">
        <w:rPr>
          <w:szCs w:val="18"/>
        </w:rPr>
        <w:t>geothermal energy</w:t>
      </w:r>
      <w:r w:rsidR="002B63E7">
        <w:rPr>
          <w:szCs w:val="18"/>
        </w:rPr>
        <w:t>. The</w:t>
      </w:r>
      <w:r w:rsidR="002B63E7" w:rsidRPr="001A0AA1">
        <w:rPr>
          <w:szCs w:val="18"/>
        </w:rPr>
        <w:t xml:space="preserve"> extractio</w:t>
      </w:r>
      <w:r w:rsidR="002B63E7">
        <w:rPr>
          <w:szCs w:val="18"/>
        </w:rPr>
        <w:t>n and processing of natural gas</w:t>
      </w:r>
      <w:r w:rsidR="002B63E7" w:rsidRPr="001A0AA1">
        <w:rPr>
          <w:szCs w:val="18"/>
        </w:rPr>
        <w:t xml:space="preserve"> </w:t>
      </w:r>
      <w:r w:rsidR="002B63E7">
        <w:rPr>
          <w:szCs w:val="18"/>
        </w:rPr>
        <w:t>may also be a significant contributor but the uncertainties associated with the estimates for this source are very high</w:t>
      </w:r>
      <w:r w:rsidR="00C009A1">
        <w:rPr>
          <w:szCs w:val="18"/>
        </w:rPr>
        <w:t xml:space="preserve">, as indicated by the </w:t>
      </w:r>
      <w:r w:rsidR="00617A9A">
        <w:rPr>
          <w:szCs w:val="18"/>
        </w:rPr>
        <w:t xml:space="preserve">relative </w:t>
      </w:r>
      <w:r w:rsidR="00C009A1">
        <w:rPr>
          <w:szCs w:val="18"/>
        </w:rPr>
        <w:t>size of</w:t>
      </w:r>
      <w:r w:rsidR="00617A9A">
        <w:rPr>
          <w:szCs w:val="18"/>
        </w:rPr>
        <w:t xml:space="preserve"> the error </w:t>
      </w:r>
      <w:r w:rsidR="003E35CE">
        <w:rPr>
          <w:szCs w:val="18"/>
        </w:rPr>
        <w:t>bar</w:t>
      </w:r>
      <w:r w:rsidR="002B63E7">
        <w:rPr>
          <w:szCs w:val="18"/>
        </w:rPr>
        <w:t>.</w:t>
      </w:r>
    </w:p>
    <w:p w14:paraId="2D3C0A01" w14:textId="1DBC53D1" w:rsidR="00935A9E" w:rsidRDefault="00935A9E" w:rsidP="003833D6">
      <w:pPr>
        <w:spacing w:line="300" w:lineRule="atLeast"/>
        <w:jc w:val="both"/>
        <w:rPr>
          <w:szCs w:val="18"/>
        </w:rPr>
      </w:pPr>
      <w:r>
        <w:rPr>
          <w:noProof/>
          <w:szCs w:val="18"/>
          <w:lang w:eastAsia="en-NZ"/>
        </w:rPr>
        <w:drawing>
          <wp:inline distT="0" distB="0" distL="0" distR="0" wp14:anchorId="37819F13" wp14:editId="352DA65E">
            <wp:extent cx="5861492" cy="324358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4907" cy="3262071"/>
                    </a:xfrm>
                    <a:prstGeom prst="rect">
                      <a:avLst/>
                    </a:prstGeom>
                    <a:noFill/>
                  </pic:spPr>
                </pic:pic>
              </a:graphicData>
            </a:graphic>
          </wp:inline>
        </w:drawing>
      </w:r>
    </w:p>
    <w:p w14:paraId="6F1EF06E" w14:textId="2E6F7374" w:rsidR="001F0EC5" w:rsidRPr="001F0EC5" w:rsidRDefault="001F0EC5" w:rsidP="002B63E7">
      <w:pPr>
        <w:spacing w:before="120" w:line="300" w:lineRule="atLeast"/>
        <w:rPr>
          <w:rFonts w:ascii="Arial" w:hAnsi="Arial" w:cs="Arial"/>
          <w:b/>
          <w:szCs w:val="18"/>
        </w:rPr>
      </w:pPr>
      <w:r w:rsidRPr="001F0EC5">
        <w:rPr>
          <w:rFonts w:ascii="Arial" w:hAnsi="Arial" w:cs="Arial"/>
          <w:b/>
          <w:szCs w:val="18"/>
        </w:rPr>
        <w:t>Changes in mercury inputs since 2012</w:t>
      </w:r>
    </w:p>
    <w:p w14:paraId="50A82E39" w14:textId="245BD443" w:rsidR="001F0EC5" w:rsidRDefault="001F0EC5" w:rsidP="001F0EC5">
      <w:pPr>
        <w:spacing w:line="300" w:lineRule="atLeast"/>
        <w:rPr>
          <w:szCs w:val="18"/>
        </w:rPr>
      </w:pPr>
      <w:r>
        <w:rPr>
          <w:szCs w:val="18"/>
        </w:rPr>
        <w:t>Many of the mercury input estimates for 2016 show changes from those given in the 2012 Inventory Report. Some of these changes are simply due to the normal year to year variations in commercial or industrial activity while others simply relate to changes in the population. However, the changes for about half of the sources are believed to be due to specific causes. These are discussed in section 14 and summarised briefly below.</w:t>
      </w:r>
    </w:p>
    <w:p w14:paraId="2C210B4B" w14:textId="29AB4A11" w:rsidR="001F0EC5" w:rsidRDefault="001F0EC5" w:rsidP="001F0EC5">
      <w:pPr>
        <w:spacing w:line="300" w:lineRule="atLeast"/>
        <w:ind w:left="912" w:hanging="513"/>
        <w:rPr>
          <w:szCs w:val="18"/>
        </w:rPr>
      </w:pPr>
      <w:r w:rsidRPr="001F0EC5">
        <w:rPr>
          <w:szCs w:val="18"/>
        </w:rPr>
        <w:t>Plant Closures</w:t>
      </w:r>
      <w:r>
        <w:rPr>
          <w:szCs w:val="18"/>
        </w:rPr>
        <w:t>: The estimates for cement manufacture are down by about 20% due to closure of the Westport plant, and those from secondary steel</w:t>
      </w:r>
      <w:r w:rsidRPr="00B027AE">
        <w:rPr>
          <w:szCs w:val="18"/>
        </w:rPr>
        <w:t xml:space="preserve"> </w:t>
      </w:r>
      <w:r>
        <w:rPr>
          <w:szCs w:val="18"/>
        </w:rPr>
        <w:t xml:space="preserve">production have been eliminated by the closure of the </w:t>
      </w:r>
      <w:r>
        <w:rPr>
          <w:szCs w:val="18"/>
        </w:rPr>
        <w:lastRenderedPageBreak/>
        <w:t>Pacific Steel plant in Auckland. The only known mercury recycling operation has ceased operation although there may be other unidentified small scale operators working in that area.</w:t>
      </w:r>
    </w:p>
    <w:p w14:paraId="3CE2AB7D" w14:textId="18B837DB" w:rsidR="001F0EC5" w:rsidRDefault="001F0EC5" w:rsidP="001F0EC5">
      <w:pPr>
        <w:spacing w:line="300" w:lineRule="atLeast"/>
        <w:ind w:left="912" w:hanging="513"/>
        <w:rPr>
          <w:szCs w:val="18"/>
        </w:rPr>
      </w:pPr>
      <w:r w:rsidRPr="001F0EC5">
        <w:rPr>
          <w:szCs w:val="18"/>
        </w:rPr>
        <w:t>Changes in Energy Production and Use</w:t>
      </w:r>
      <w:r>
        <w:rPr>
          <w:szCs w:val="18"/>
        </w:rPr>
        <w:t>: The estimated releases from coal burning at the Huntly Power station are down by more than 80% from 2012 because the use of the coal-fired units is being phased out as they reach the end of their operational life. The estimated releases from extraction and use of natural gas and geothermal energy are up by about 25 and 30%, respectively, due to the increased utilisation of these energy sources.</w:t>
      </w:r>
    </w:p>
    <w:p w14:paraId="366D8E07" w14:textId="77777777" w:rsidR="008E62E9" w:rsidRPr="008E62E9" w:rsidRDefault="001F0EC5" w:rsidP="008E62E9">
      <w:pPr>
        <w:spacing w:line="300" w:lineRule="atLeast"/>
        <w:ind w:left="912" w:hanging="513"/>
        <w:rPr>
          <w:szCs w:val="18"/>
        </w:rPr>
      </w:pPr>
      <w:r w:rsidRPr="001F0EC5">
        <w:rPr>
          <w:szCs w:val="18"/>
        </w:rPr>
        <w:t>Agriculture Activity</w:t>
      </w:r>
      <w:r>
        <w:rPr>
          <w:szCs w:val="18"/>
        </w:rPr>
        <w:t xml:space="preserve">: </w:t>
      </w:r>
      <w:r w:rsidR="008E62E9" w:rsidRPr="008E62E9">
        <w:rPr>
          <w:szCs w:val="18"/>
        </w:rPr>
        <w:t>The mercury releases from agricultural lime show a reduction of 30% but the activity data was based on 2011 and 2015 rather than 2012 and 2016. The national data for this mineral show marked fluctuations from year to year.</w:t>
      </w:r>
    </w:p>
    <w:p w14:paraId="13947D8E" w14:textId="5C70A914" w:rsidR="001F0EC5" w:rsidRDefault="001F0EC5" w:rsidP="001F0EC5">
      <w:pPr>
        <w:spacing w:line="300" w:lineRule="atLeast"/>
        <w:ind w:left="912" w:hanging="513"/>
        <w:rPr>
          <w:szCs w:val="18"/>
        </w:rPr>
      </w:pPr>
      <w:r w:rsidRPr="001F0EC5">
        <w:rPr>
          <w:szCs w:val="18"/>
        </w:rPr>
        <w:t>Reductions in Mercury Use in Consumer Goods and Related Products</w:t>
      </w:r>
      <w:r>
        <w:rPr>
          <w:szCs w:val="18"/>
        </w:rPr>
        <w:t xml:space="preserve">: There have been some marked reductions in this area and especially in the following: mercury </w:t>
      </w:r>
      <w:r w:rsidR="00597852">
        <w:rPr>
          <w:szCs w:val="18"/>
        </w:rPr>
        <w:t>thermometers</w:t>
      </w:r>
      <w:r>
        <w:rPr>
          <w:szCs w:val="18"/>
        </w:rPr>
        <w:t xml:space="preserve">, </w:t>
      </w:r>
      <w:r w:rsidR="00597852">
        <w:rPr>
          <w:szCs w:val="18"/>
        </w:rPr>
        <w:t>mercury-containing lamps, mercury-based l</w:t>
      </w:r>
      <w:r w:rsidR="00597852" w:rsidRPr="002465E8">
        <w:rPr>
          <w:szCs w:val="18"/>
        </w:rPr>
        <w:t>ight sources in computer screens</w:t>
      </w:r>
      <w:r w:rsidR="00597852">
        <w:rPr>
          <w:szCs w:val="18"/>
        </w:rPr>
        <w:t>, batteries, and dental amalgams.</w:t>
      </w:r>
    </w:p>
    <w:p w14:paraId="53087BB4" w14:textId="76648848" w:rsidR="001F0EC5" w:rsidRDefault="001F0EC5" w:rsidP="001F0EC5">
      <w:pPr>
        <w:spacing w:line="300" w:lineRule="atLeast"/>
        <w:ind w:left="912" w:hanging="513"/>
        <w:rPr>
          <w:szCs w:val="18"/>
        </w:rPr>
      </w:pPr>
      <w:r w:rsidRPr="001F0EC5">
        <w:rPr>
          <w:szCs w:val="18"/>
        </w:rPr>
        <w:t>Waste Disposal</w:t>
      </w:r>
      <w:r>
        <w:rPr>
          <w:szCs w:val="18"/>
        </w:rPr>
        <w:t>: The mercury input estimates for landfills increased by 35% which simply reflects the annual growth in national solid waste quantities.</w:t>
      </w:r>
    </w:p>
    <w:p w14:paraId="597B6D5A" w14:textId="31D4F651" w:rsidR="001F0EC5" w:rsidRDefault="001F0EC5" w:rsidP="001F0EC5">
      <w:pPr>
        <w:spacing w:line="300" w:lineRule="atLeast"/>
        <w:ind w:left="912" w:hanging="513"/>
        <w:rPr>
          <w:szCs w:val="18"/>
        </w:rPr>
      </w:pPr>
      <w:r w:rsidRPr="001F0EC5">
        <w:rPr>
          <w:szCs w:val="18"/>
        </w:rPr>
        <w:t>Data Quality Changes</w:t>
      </w:r>
      <w:r>
        <w:rPr>
          <w:szCs w:val="18"/>
        </w:rPr>
        <w:t xml:space="preserve">: </w:t>
      </w:r>
      <w:r w:rsidR="00597852">
        <w:rPr>
          <w:szCs w:val="18"/>
        </w:rPr>
        <w:t xml:space="preserve">Significant changes were also found in the </w:t>
      </w:r>
      <w:r>
        <w:rPr>
          <w:szCs w:val="18"/>
        </w:rPr>
        <w:t>estimates for gold and silver minin</w:t>
      </w:r>
      <w:r w:rsidR="00597852">
        <w:rPr>
          <w:szCs w:val="18"/>
        </w:rPr>
        <w:t xml:space="preserve">g, mercury use in sphygmomanometers, </w:t>
      </w:r>
      <w:r w:rsidR="008E62E9">
        <w:rPr>
          <w:szCs w:val="18"/>
        </w:rPr>
        <w:t xml:space="preserve">use of superphosphate fertiliser, </w:t>
      </w:r>
      <w:r w:rsidR="00597852">
        <w:rPr>
          <w:szCs w:val="18"/>
        </w:rPr>
        <w:t xml:space="preserve">and </w:t>
      </w:r>
      <w:r>
        <w:rPr>
          <w:szCs w:val="18"/>
        </w:rPr>
        <w:t>releases from wastewater</w:t>
      </w:r>
      <w:r w:rsidR="00597852">
        <w:rPr>
          <w:szCs w:val="18"/>
        </w:rPr>
        <w:t>. However, these were all due to</w:t>
      </w:r>
      <w:r>
        <w:rPr>
          <w:szCs w:val="18"/>
        </w:rPr>
        <w:t xml:space="preserve"> </w:t>
      </w:r>
      <w:r w:rsidR="00597852">
        <w:rPr>
          <w:szCs w:val="18"/>
        </w:rPr>
        <w:t xml:space="preserve">changes in the quality and/or in the amount of detail provided in the data used for the 2016 estimates </w:t>
      </w:r>
      <w:r>
        <w:rPr>
          <w:szCs w:val="18"/>
        </w:rPr>
        <w:t xml:space="preserve">as </w:t>
      </w:r>
      <w:r w:rsidR="00597852">
        <w:rPr>
          <w:szCs w:val="18"/>
        </w:rPr>
        <w:t xml:space="preserve">compared to </w:t>
      </w:r>
      <w:r>
        <w:rPr>
          <w:szCs w:val="18"/>
        </w:rPr>
        <w:t>that available in 2012.</w:t>
      </w:r>
    </w:p>
    <w:p w14:paraId="7358825B" w14:textId="2F9F1B19" w:rsidR="00935A9E" w:rsidRPr="00520C8E" w:rsidRDefault="00520C8E" w:rsidP="003833D6">
      <w:pPr>
        <w:spacing w:line="300" w:lineRule="atLeast"/>
        <w:jc w:val="both"/>
        <w:rPr>
          <w:rFonts w:ascii="Arial" w:hAnsi="Arial" w:cs="Arial"/>
          <w:b/>
          <w:szCs w:val="18"/>
        </w:rPr>
      </w:pPr>
      <w:r>
        <w:rPr>
          <w:rFonts w:ascii="Arial" w:hAnsi="Arial" w:cs="Arial"/>
          <w:b/>
          <w:szCs w:val="18"/>
        </w:rPr>
        <w:t xml:space="preserve">Estimated </w:t>
      </w:r>
      <w:r w:rsidRPr="00520C8E">
        <w:rPr>
          <w:rFonts w:ascii="Arial" w:hAnsi="Arial" w:cs="Arial"/>
          <w:b/>
          <w:szCs w:val="18"/>
        </w:rPr>
        <w:t>mercury outputs</w:t>
      </w:r>
    </w:p>
    <w:p w14:paraId="035FE52C" w14:textId="77777777" w:rsidR="001F0EC5" w:rsidRDefault="001F0EC5" w:rsidP="001F0EC5">
      <w:pPr>
        <w:spacing w:line="300" w:lineRule="atLeast"/>
        <w:rPr>
          <w:szCs w:val="18"/>
        </w:rPr>
      </w:pPr>
      <w:r>
        <w:rPr>
          <w:szCs w:val="18"/>
        </w:rPr>
        <w:t>The distributions of outputs to air, water, land, waste, and in products, are summarised in a series of charts given in Section 14 of this report, and the key points noted from these charts are as follows:</w:t>
      </w:r>
    </w:p>
    <w:p w14:paraId="0FD83652" w14:textId="77777777" w:rsidR="001F0EC5" w:rsidRPr="001A0AA1" w:rsidRDefault="001F0EC5" w:rsidP="001F0EC5">
      <w:pPr>
        <w:numPr>
          <w:ilvl w:val="0"/>
          <w:numId w:val="21"/>
        </w:numPr>
        <w:spacing w:line="300" w:lineRule="atLeast"/>
        <w:rPr>
          <w:szCs w:val="18"/>
        </w:rPr>
      </w:pPr>
      <w:r w:rsidRPr="001A0AA1">
        <w:rPr>
          <w:szCs w:val="18"/>
        </w:rPr>
        <w:t>The outputs to air are dominated by fuel/energy use, especially geothermal</w:t>
      </w:r>
      <w:r>
        <w:rPr>
          <w:szCs w:val="18"/>
        </w:rPr>
        <w:t>. Other notable contributors, in decreasing order of significance are</w:t>
      </w:r>
      <w:r w:rsidRPr="001A0AA1">
        <w:rPr>
          <w:szCs w:val="18"/>
        </w:rPr>
        <w:t xml:space="preserve"> primary metal production</w:t>
      </w:r>
      <w:r>
        <w:rPr>
          <w:szCs w:val="18"/>
        </w:rPr>
        <w:t xml:space="preserve"> (gold and silver), waste disposal,</w:t>
      </w:r>
      <w:r w:rsidRPr="001A0AA1">
        <w:rPr>
          <w:szCs w:val="18"/>
        </w:rPr>
        <w:t xml:space="preserve"> waste incineration</w:t>
      </w:r>
      <w:r w:rsidRPr="002D1CD9">
        <w:rPr>
          <w:szCs w:val="18"/>
        </w:rPr>
        <w:t xml:space="preserve"> </w:t>
      </w:r>
      <w:r w:rsidRPr="001A0AA1">
        <w:rPr>
          <w:szCs w:val="18"/>
        </w:rPr>
        <w:t>and</w:t>
      </w:r>
      <w:r>
        <w:rPr>
          <w:szCs w:val="18"/>
        </w:rPr>
        <w:t xml:space="preserve"> crematoria</w:t>
      </w:r>
      <w:r w:rsidRPr="001A0AA1">
        <w:rPr>
          <w:szCs w:val="18"/>
        </w:rPr>
        <w:t>.</w:t>
      </w:r>
    </w:p>
    <w:p w14:paraId="74A89964" w14:textId="77777777" w:rsidR="001F0EC5" w:rsidRPr="001A0AA1" w:rsidRDefault="001F0EC5" w:rsidP="001F0EC5">
      <w:pPr>
        <w:numPr>
          <w:ilvl w:val="0"/>
          <w:numId w:val="21"/>
        </w:numPr>
        <w:spacing w:line="300" w:lineRule="atLeast"/>
        <w:rPr>
          <w:szCs w:val="18"/>
        </w:rPr>
      </w:pPr>
      <w:r w:rsidRPr="001A0AA1">
        <w:rPr>
          <w:szCs w:val="18"/>
        </w:rPr>
        <w:t xml:space="preserve">The outputs to water are </w:t>
      </w:r>
      <w:r>
        <w:rPr>
          <w:szCs w:val="18"/>
        </w:rPr>
        <w:t xml:space="preserve">totally </w:t>
      </w:r>
      <w:r w:rsidRPr="001A0AA1">
        <w:rPr>
          <w:szCs w:val="18"/>
        </w:rPr>
        <w:t xml:space="preserve">dominated by </w:t>
      </w:r>
      <w:r>
        <w:rPr>
          <w:szCs w:val="18"/>
        </w:rPr>
        <w:t>waste disposal, especially wastewater discharges. P</w:t>
      </w:r>
      <w:r w:rsidRPr="001A0AA1">
        <w:rPr>
          <w:szCs w:val="18"/>
        </w:rPr>
        <w:t>rimary metal production</w:t>
      </w:r>
      <w:r>
        <w:rPr>
          <w:szCs w:val="18"/>
        </w:rPr>
        <w:t xml:space="preserve"> and </w:t>
      </w:r>
      <w:r w:rsidRPr="001A0AA1">
        <w:rPr>
          <w:szCs w:val="18"/>
        </w:rPr>
        <w:t xml:space="preserve">fuel/energy use </w:t>
      </w:r>
      <w:r>
        <w:rPr>
          <w:szCs w:val="18"/>
        </w:rPr>
        <w:t>are the next most significant contributors</w:t>
      </w:r>
      <w:r w:rsidRPr="001A0AA1">
        <w:rPr>
          <w:szCs w:val="18"/>
        </w:rPr>
        <w:t>.</w:t>
      </w:r>
    </w:p>
    <w:p w14:paraId="0311749D" w14:textId="77777777" w:rsidR="001F0EC5" w:rsidRPr="001A0AA1" w:rsidRDefault="001F0EC5" w:rsidP="001F0EC5">
      <w:pPr>
        <w:numPr>
          <w:ilvl w:val="0"/>
          <w:numId w:val="21"/>
        </w:numPr>
        <w:spacing w:line="300" w:lineRule="atLeast"/>
        <w:rPr>
          <w:szCs w:val="18"/>
        </w:rPr>
      </w:pPr>
      <w:r w:rsidRPr="001A0AA1">
        <w:rPr>
          <w:szCs w:val="18"/>
        </w:rPr>
        <w:t>The outputs to land are dominated by primary metal production</w:t>
      </w:r>
      <w:r>
        <w:rPr>
          <w:szCs w:val="18"/>
        </w:rPr>
        <w:t xml:space="preserve"> (gold and silver) with other notable contributions from waste disposal and the production and use of other minerals and materials.</w:t>
      </w:r>
    </w:p>
    <w:p w14:paraId="4FB35212" w14:textId="77777777" w:rsidR="001F0EC5" w:rsidRPr="00A20523" w:rsidRDefault="001F0EC5" w:rsidP="001F0EC5">
      <w:pPr>
        <w:numPr>
          <w:ilvl w:val="0"/>
          <w:numId w:val="21"/>
        </w:numPr>
        <w:spacing w:line="300" w:lineRule="atLeast"/>
        <w:rPr>
          <w:szCs w:val="18"/>
        </w:rPr>
      </w:pPr>
      <w:r w:rsidRPr="00A20523">
        <w:rPr>
          <w:szCs w:val="18"/>
        </w:rPr>
        <w:t xml:space="preserve">The outputs via products are </w:t>
      </w:r>
      <w:r>
        <w:rPr>
          <w:szCs w:val="18"/>
        </w:rPr>
        <w:t>dominated by</w:t>
      </w:r>
      <w:r w:rsidRPr="00A20523">
        <w:rPr>
          <w:szCs w:val="18"/>
        </w:rPr>
        <w:t xml:space="preserve"> </w:t>
      </w:r>
      <w:r w:rsidRPr="001A0AA1">
        <w:rPr>
          <w:szCs w:val="18"/>
        </w:rPr>
        <w:t>primary metal production</w:t>
      </w:r>
      <w:r>
        <w:rPr>
          <w:szCs w:val="18"/>
        </w:rPr>
        <w:t xml:space="preserve"> (gold and silver) </w:t>
      </w:r>
      <w:r w:rsidRPr="00A20523">
        <w:rPr>
          <w:szCs w:val="18"/>
        </w:rPr>
        <w:t>but with other significant contributions coming from other intentional products/processes, consumer products and</w:t>
      </w:r>
      <w:r>
        <w:rPr>
          <w:szCs w:val="18"/>
        </w:rPr>
        <w:t xml:space="preserve"> metal (mercury) recycling</w:t>
      </w:r>
      <w:r w:rsidRPr="00A20523">
        <w:rPr>
          <w:szCs w:val="18"/>
        </w:rPr>
        <w:t>.</w:t>
      </w:r>
    </w:p>
    <w:p w14:paraId="2D606EBC" w14:textId="77777777" w:rsidR="001F0EC5" w:rsidRPr="001A0AA1" w:rsidRDefault="001F0EC5" w:rsidP="001F0EC5">
      <w:pPr>
        <w:numPr>
          <w:ilvl w:val="0"/>
          <w:numId w:val="21"/>
        </w:numPr>
        <w:spacing w:line="300" w:lineRule="atLeast"/>
        <w:rPr>
          <w:szCs w:val="18"/>
        </w:rPr>
      </w:pPr>
      <w:r>
        <w:rPr>
          <w:szCs w:val="18"/>
        </w:rPr>
        <w:t>The outputs to waste</w:t>
      </w:r>
      <w:r w:rsidRPr="001A0AA1">
        <w:rPr>
          <w:szCs w:val="18"/>
        </w:rPr>
        <w:t xml:space="preserve"> are</w:t>
      </w:r>
      <w:r>
        <w:rPr>
          <w:szCs w:val="18"/>
        </w:rPr>
        <w:t xml:space="preserve"> dominated by the waste disposal category, with other notable contributions from </w:t>
      </w:r>
      <w:r w:rsidRPr="001A0AA1">
        <w:rPr>
          <w:szCs w:val="18"/>
        </w:rPr>
        <w:t xml:space="preserve">consumer products, fuel/energy use, primary metal production </w:t>
      </w:r>
      <w:r>
        <w:rPr>
          <w:szCs w:val="18"/>
        </w:rPr>
        <w:t xml:space="preserve">and </w:t>
      </w:r>
      <w:r w:rsidRPr="001A0AA1">
        <w:rPr>
          <w:szCs w:val="18"/>
        </w:rPr>
        <w:t xml:space="preserve">other </w:t>
      </w:r>
      <w:r>
        <w:rPr>
          <w:szCs w:val="18"/>
        </w:rPr>
        <w:t>intentional products/processes</w:t>
      </w:r>
      <w:r w:rsidRPr="001A0AA1">
        <w:rPr>
          <w:szCs w:val="18"/>
        </w:rPr>
        <w:t>.</w:t>
      </w:r>
    </w:p>
    <w:p w14:paraId="6F67AE66" w14:textId="77777777" w:rsidR="00520C8E" w:rsidRDefault="00520C8E" w:rsidP="003833D6">
      <w:pPr>
        <w:spacing w:line="300" w:lineRule="atLeast"/>
        <w:jc w:val="both"/>
        <w:rPr>
          <w:szCs w:val="18"/>
        </w:rPr>
      </w:pPr>
    </w:p>
    <w:p w14:paraId="03C91CF2" w14:textId="77777777" w:rsidR="00465E90" w:rsidRDefault="00465E90" w:rsidP="00CD619F">
      <w:pPr>
        <w:spacing w:line="300" w:lineRule="atLeast"/>
        <w:jc w:val="both"/>
        <w:rPr>
          <w:szCs w:val="18"/>
        </w:rPr>
      </w:pPr>
    </w:p>
    <w:p w14:paraId="55682EA1" w14:textId="77777777" w:rsidR="00251E8B" w:rsidRDefault="00251E8B" w:rsidP="00CD619F">
      <w:pPr>
        <w:spacing w:line="300" w:lineRule="atLeast"/>
        <w:jc w:val="both"/>
        <w:rPr>
          <w:szCs w:val="18"/>
        </w:rPr>
        <w:sectPr w:rsidR="00251E8B" w:rsidSect="00DA42D9">
          <w:footerReference w:type="default" r:id="rId12"/>
          <w:pgSz w:w="11907" w:h="16840" w:code="9"/>
          <w:pgMar w:top="1418" w:right="1418" w:bottom="1440" w:left="1418" w:header="720" w:footer="720" w:gutter="0"/>
          <w:pgNumType w:fmt="lowerRoman" w:start="1"/>
          <w:cols w:space="720"/>
        </w:sectPr>
      </w:pPr>
    </w:p>
    <w:p w14:paraId="18D1B19B" w14:textId="77777777" w:rsidR="00994F11" w:rsidRPr="00270CD3" w:rsidRDefault="00994F11" w:rsidP="003833D6">
      <w:pPr>
        <w:spacing w:line="300" w:lineRule="atLeast"/>
        <w:jc w:val="center"/>
        <w:rPr>
          <w:rFonts w:ascii="Arial" w:hAnsi="Arial" w:cs="Arial"/>
          <w:b/>
          <w:sz w:val="28"/>
          <w:szCs w:val="28"/>
        </w:rPr>
      </w:pPr>
      <w:r w:rsidRPr="00270CD3">
        <w:rPr>
          <w:rFonts w:ascii="Arial" w:hAnsi="Arial" w:cs="Arial"/>
          <w:b/>
          <w:sz w:val="28"/>
          <w:szCs w:val="28"/>
        </w:rPr>
        <w:lastRenderedPageBreak/>
        <w:t>Contents</w:t>
      </w:r>
    </w:p>
    <w:p w14:paraId="3F9735FD" w14:textId="77777777" w:rsidR="00C05182" w:rsidRPr="00FA4378" w:rsidRDefault="00C05182" w:rsidP="003833D6">
      <w:pPr>
        <w:spacing w:line="300" w:lineRule="atLeast"/>
        <w:jc w:val="both"/>
        <w:rPr>
          <w:rFonts w:asciiTheme="minorHAnsi" w:hAnsiTheme="minorHAnsi" w:cstheme="minorHAnsi"/>
        </w:rPr>
      </w:pPr>
    </w:p>
    <w:p w14:paraId="041373FF" w14:textId="77777777" w:rsidR="00FA4378" w:rsidRPr="00FA4378" w:rsidRDefault="00314951">
      <w:pPr>
        <w:pStyle w:val="TOC1"/>
        <w:rPr>
          <w:rFonts w:eastAsiaTheme="minorEastAsia" w:cstheme="minorHAnsi"/>
          <w:b w:val="0"/>
          <w:lang w:val="en-NZ" w:eastAsia="en-NZ"/>
        </w:rPr>
      </w:pPr>
      <w:r w:rsidRPr="00FA4378">
        <w:rPr>
          <w:rFonts w:cstheme="minorHAnsi"/>
        </w:rPr>
        <w:fldChar w:fldCharType="begin"/>
      </w:r>
      <w:r w:rsidRPr="00FA4378">
        <w:rPr>
          <w:rFonts w:cstheme="minorHAnsi"/>
        </w:rPr>
        <w:instrText xml:space="preserve"> TOC \o "1-2" \h \z \u </w:instrText>
      </w:r>
      <w:r w:rsidRPr="00FA4378">
        <w:rPr>
          <w:rFonts w:cstheme="minorHAnsi"/>
        </w:rPr>
        <w:fldChar w:fldCharType="separate"/>
      </w:r>
      <w:hyperlink w:anchor="_Toc484949555" w:history="1">
        <w:r w:rsidR="00FA4378" w:rsidRPr="00FA4378">
          <w:rPr>
            <w:rStyle w:val="Hyperlink"/>
            <w:rFonts w:cstheme="minorHAnsi"/>
          </w:rPr>
          <w:t>Units and abbreviations</w:t>
        </w:r>
        <w:r w:rsidR="00FA4378" w:rsidRPr="00FA4378">
          <w:rPr>
            <w:rFonts w:cstheme="minorHAnsi"/>
            <w:webHidden/>
          </w:rPr>
          <w:tab/>
        </w:r>
        <w:r w:rsidR="00FA4378" w:rsidRPr="00FA4378">
          <w:rPr>
            <w:rFonts w:cstheme="minorHAnsi"/>
            <w:webHidden/>
          </w:rPr>
          <w:fldChar w:fldCharType="begin"/>
        </w:r>
        <w:r w:rsidR="00FA4378" w:rsidRPr="00FA4378">
          <w:rPr>
            <w:rFonts w:cstheme="minorHAnsi"/>
            <w:webHidden/>
          </w:rPr>
          <w:instrText xml:space="preserve"> PAGEREF _Toc484949555 \h </w:instrText>
        </w:r>
        <w:r w:rsidR="00FA4378" w:rsidRPr="00FA4378">
          <w:rPr>
            <w:rFonts w:cstheme="minorHAnsi"/>
            <w:webHidden/>
          </w:rPr>
        </w:r>
        <w:r w:rsidR="00FA4378" w:rsidRPr="00FA4378">
          <w:rPr>
            <w:rFonts w:cstheme="minorHAnsi"/>
            <w:webHidden/>
          </w:rPr>
          <w:fldChar w:fldCharType="separate"/>
        </w:r>
        <w:r w:rsidR="00AD77DB">
          <w:rPr>
            <w:rFonts w:cstheme="minorHAnsi"/>
            <w:webHidden/>
          </w:rPr>
          <w:t>viii</w:t>
        </w:r>
        <w:r w:rsidR="00FA4378" w:rsidRPr="00FA4378">
          <w:rPr>
            <w:rFonts w:cstheme="minorHAnsi"/>
            <w:webHidden/>
          </w:rPr>
          <w:fldChar w:fldCharType="end"/>
        </w:r>
      </w:hyperlink>
    </w:p>
    <w:p w14:paraId="7955BDD9" w14:textId="77777777" w:rsidR="00FA4378" w:rsidRPr="00FA4378" w:rsidRDefault="005D7893">
      <w:pPr>
        <w:pStyle w:val="TOC1"/>
        <w:rPr>
          <w:rFonts w:eastAsiaTheme="minorEastAsia" w:cstheme="minorHAnsi"/>
          <w:b w:val="0"/>
          <w:lang w:val="en-NZ" w:eastAsia="en-NZ"/>
        </w:rPr>
      </w:pPr>
      <w:hyperlink w:anchor="_Toc484949556" w:history="1">
        <w:r w:rsidR="00FA4378" w:rsidRPr="00FA4378">
          <w:rPr>
            <w:rStyle w:val="Hyperlink"/>
            <w:rFonts w:cstheme="minorHAnsi"/>
            <w:bCs/>
          </w:rPr>
          <w:t>1</w:t>
        </w:r>
        <w:r w:rsidR="00FA4378" w:rsidRPr="00FA4378">
          <w:rPr>
            <w:rFonts w:eastAsiaTheme="minorEastAsia" w:cstheme="minorHAnsi"/>
            <w:b w:val="0"/>
            <w:lang w:val="en-NZ" w:eastAsia="en-NZ"/>
          </w:rPr>
          <w:tab/>
        </w:r>
        <w:r w:rsidR="00FA4378" w:rsidRPr="00FA4378">
          <w:rPr>
            <w:rStyle w:val="Hyperlink"/>
            <w:rFonts w:cstheme="minorHAnsi"/>
            <w:bCs/>
          </w:rPr>
          <w:t>Introduction</w:t>
        </w:r>
        <w:r w:rsidR="00FA4378" w:rsidRPr="00FA4378">
          <w:rPr>
            <w:rFonts w:cstheme="minorHAnsi"/>
            <w:webHidden/>
          </w:rPr>
          <w:tab/>
        </w:r>
        <w:r w:rsidR="00FA4378" w:rsidRPr="00FA4378">
          <w:rPr>
            <w:rFonts w:cstheme="minorHAnsi"/>
            <w:webHidden/>
          </w:rPr>
          <w:fldChar w:fldCharType="begin"/>
        </w:r>
        <w:r w:rsidR="00FA4378" w:rsidRPr="00FA4378">
          <w:rPr>
            <w:rFonts w:cstheme="minorHAnsi"/>
            <w:webHidden/>
          </w:rPr>
          <w:instrText xml:space="preserve"> PAGEREF _Toc484949556 \h </w:instrText>
        </w:r>
        <w:r w:rsidR="00FA4378" w:rsidRPr="00FA4378">
          <w:rPr>
            <w:rFonts w:cstheme="minorHAnsi"/>
            <w:webHidden/>
          </w:rPr>
        </w:r>
        <w:r w:rsidR="00FA4378" w:rsidRPr="00FA4378">
          <w:rPr>
            <w:rFonts w:cstheme="minorHAnsi"/>
            <w:webHidden/>
          </w:rPr>
          <w:fldChar w:fldCharType="separate"/>
        </w:r>
        <w:r w:rsidR="00AD77DB">
          <w:rPr>
            <w:rFonts w:cstheme="minorHAnsi"/>
            <w:webHidden/>
          </w:rPr>
          <w:t>1</w:t>
        </w:r>
        <w:r w:rsidR="00FA4378" w:rsidRPr="00FA4378">
          <w:rPr>
            <w:rFonts w:cstheme="minorHAnsi"/>
            <w:webHidden/>
          </w:rPr>
          <w:fldChar w:fldCharType="end"/>
        </w:r>
      </w:hyperlink>
    </w:p>
    <w:p w14:paraId="69612138"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57" w:history="1">
        <w:r w:rsidR="00FA4378" w:rsidRPr="00FA4378">
          <w:rPr>
            <w:rStyle w:val="Hyperlink"/>
            <w:rFonts w:asciiTheme="minorHAnsi" w:hAnsiTheme="minorHAnsi" w:cstheme="minorHAnsi"/>
            <w:noProof/>
          </w:rPr>
          <w:t>1.1</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Background</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_Toc484949557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1</w:t>
        </w:r>
        <w:r w:rsidR="00FA4378" w:rsidRPr="00FA4378">
          <w:rPr>
            <w:rFonts w:asciiTheme="minorHAnsi" w:hAnsiTheme="minorHAnsi" w:cstheme="minorHAnsi"/>
            <w:noProof/>
            <w:webHidden/>
          </w:rPr>
          <w:fldChar w:fldCharType="end"/>
        </w:r>
      </w:hyperlink>
    </w:p>
    <w:p w14:paraId="4E44570E"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58" w:history="1">
        <w:r w:rsidR="00FA4378" w:rsidRPr="00FA4378">
          <w:rPr>
            <w:rStyle w:val="Hyperlink"/>
            <w:rFonts w:asciiTheme="minorHAnsi" w:hAnsiTheme="minorHAnsi" w:cstheme="minorHAnsi"/>
            <w:noProof/>
          </w:rPr>
          <w:t>1.2</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Methodology</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_Toc484949558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1</w:t>
        </w:r>
        <w:r w:rsidR="00FA4378" w:rsidRPr="00FA4378">
          <w:rPr>
            <w:rFonts w:asciiTheme="minorHAnsi" w:hAnsiTheme="minorHAnsi" w:cstheme="minorHAnsi"/>
            <w:noProof/>
            <w:webHidden/>
          </w:rPr>
          <w:fldChar w:fldCharType="end"/>
        </w:r>
      </w:hyperlink>
    </w:p>
    <w:p w14:paraId="2ECC9BA3"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59" w:history="1">
        <w:r w:rsidR="00FA4378" w:rsidRPr="00FA4378">
          <w:rPr>
            <w:rStyle w:val="Hyperlink"/>
            <w:rFonts w:asciiTheme="minorHAnsi" w:hAnsiTheme="minorHAnsi" w:cstheme="minorHAnsi"/>
            <w:noProof/>
          </w:rPr>
          <w:t>1.3</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Report layout and content</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_Toc484949559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1</w:t>
        </w:r>
        <w:r w:rsidR="00FA4378" w:rsidRPr="00FA4378">
          <w:rPr>
            <w:rFonts w:asciiTheme="minorHAnsi" w:hAnsiTheme="minorHAnsi" w:cstheme="minorHAnsi"/>
            <w:noProof/>
            <w:webHidden/>
          </w:rPr>
          <w:fldChar w:fldCharType="end"/>
        </w:r>
      </w:hyperlink>
    </w:p>
    <w:p w14:paraId="7A7B971A" w14:textId="77777777" w:rsidR="00FA4378" w:rsidRPr="00FA4378" w:rsidRDefault="005D7893">
      <w:pPr>
        <w:pStyle w:val="TOC1"/>
        <w:rPr>
          <w:rFonts w:eastAsiaTheme="minorEastAsia" w:cstheme="minorHAnsi"/>
          <w:b w:val="0"/>
          <w:lang w:val="en-NZ" w:eastAsia="en-NZ"/>
        </w:rPr>
      </w:pPr>
      <w:hyperlink w:anchor="_Toc484949560" w:history="1">
        <w:r w:rsidR="00FA4378" w:rsidRPr="00FA4378">
          <w:rPr>
            <w:rStyle w:val="Hyperlink"/>
            <w:rFonts w:cstheme="minorHAnsi"/>
          </w:rPr>
          <w:t>2</w:t>
        </w:r>
        <w:r w:rsidR="00FA4378" w:rsidRPr="00FA4378">
          <w:rPr>
            <w:rFonts w:eastAsiaTheme="minorEastAsia" w:cstheme="minorHAnsi"/>
            <w:b w:val="0"/>
            <w:lang w:val="en-NZ" w:eastAsia="en-NZ"/>
          </w:rPr>
          <w:tab/>
        </w:r>
        <w:r w:rsidR="00FA4378" w:rsidRPr="00FA4378">
          <w:rPr>
            <w:rStyle w:val="Hyperlink"/>
            <w:rFonts w:cstheme="minorHAnsi"/>
          </w:rPr>
          <w:t>Inventory methodology</w:t>
        </w:r>
        <w:r w:rsidR="00FA4378" w:rsidRPr="00FA4378">
          <w:rPr>
            <w:rFonts w:cstheme="minorHAnsi"/>
            <w:webHidden/>
          </w:rPr>
          <w:tab/>
        </w:r>
        <w:r w:rsidR="00FA4378" w:rsidRPr="00FA4378">
          <w:rPr>
            <w:rFonts w:cstheme="minorHAnsi"/>
            <w:webHidden/>
          </w:rPr>
          <w:fldChar w:fldCharType="begin"/>
        </w:r>
        <w:r w:rsidR="00FA4378" w:rsidRPr="00FA4378">
          <w:rPr>
            <w:rFonts w:cstheme="minorHAnsi"/>
            <w:webHidden/>
          </w:rPr>
          <w:instrText xml:space="preserve"> PAGEREF _Toc484949560 \h </w:instrText>
        </w:r>
        <w:r w:rsidR="00FA4378" w:rsidRPr="00FA4378">
          <w:rPr>
            <w:rFonts w:cstheme="minorHAnsi"/>
            <w:webHidden/>
          </w:rPr>
        </w:r>
        <w:r w:rsidR="00FA4378" w:rsidRPr="00FA4378">
          <w:rPr>
            <w:rFonts w:cstheme="minorHAnsi"/>
            <w:webHidden/>
          </w:rPr>
          <w:fldChar w:fldCharType="separate"/>
        </w:r>
        <w:r w:rsidR="00AD77DB">
          <w:rPr>
            <w:rFonts w:cstheme="minorHAnsi"/>
            <w:webHidden/>
          </w:rPr>
          <w:t>2</w:t>
        </w:r>
        <w:r w:rsidR="00FA4378" w:rsidRPr="00FA4378">
          <w:rPr>
            <w:rFonts w:cstheme="minorHAnsi"/>
            <w:webHidden/>
          </w:rPr>
          <w:fldChar w:fldCharType="end"/>
        </w:r>
      </w:hyperlink>
    </w:p>
    <w:p w14:paraId="7260A6F2"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61" w:history="1">
        <w:r w:rsidR="00FA4378" w:rsidRPr="00FA4378">
          <w:rPr>
            <w:rStyle w:val="Hyperlink"/>
            <w:rFonts w:asciiTheme="minorHAnsi" w:hAnsiTheme="minorHAnsi" w:cstheme="minorHAnsi"/>
            <w:noProof/>
          </w:rPr>
          <w:t>2.1</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The UNEP Mercury Toolkit</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_Toc484949561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2</w:t>
        </w:r>
        <w:r w:rsidR="00FA4378" w:rsidRPr="00FA4378">
          <w:rPr>
            <w:rFonts w:asciiTheme="minorHAnsi" w:hAnsiTheme="minorHAnsi" w:cstheme="minorHAnsi"/>
            <w:noProof/>
            <w:webHidden/>
          </w:rPr>
          <w:fldChar w:fldCharType="end"/>
        </w:r>
      </w:hyperlink>
    </w:p>
    <w:p w14:paraId="00F17E57"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62" w:history="1">
        <w:r w:rsidR="00FA4378" w:rsidRPr="00FA4378">
          <w:rPr>
            <w:rStyle w:val="Hyperlink"/>
            <w:rFonts w:asciiTheme="minorHAnsi" w:hAnsiTheme="minorHAnsi" w:cstheme="minorHAnsi"/>
            <w:noProof/>
          </w:rPr>
          <w:t>2.2</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Toolkit methodology</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_Toc484949562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2</w:t>
        </w:r>
        <w:r w:rsidR="00FA4378" w:rsidRPr="00FA4378">
          <w:rPr>
            <w:rFonts w:asciiTheme="minorHAnsi" w:hAnsiTheme="minorHAnsi" w:cstheme="minorHAnsi"/>
            <w:noProof/>
            <w:webHidden/>
          </w:rPr>
          <w:fldChar w:fldCharType="end"/>
        </w:r>
      </w:hyperlink>
    </w:p>
    <w:p w14:paraId="4B887CC9"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63" w:history="1">
        <w:r w:rsidR="00FA4378" w:rsidRPr="00FA4378">
          <w:rPr>
            <w:rStyle w:val="Hyperlink"/>
            <w:rFonts w:asciiTheme="minorHAnsi" w:hAnsiTheme="minorHAnsi" w:cstheme="minorHAnsi"/>
            <w:noProof/>
          </w:rPr>
          <w:t>2.3</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Reference year</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_Toc484949563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3</w:t>
        </w:r>
        <w:r w:rsidR="00FA4378" w:rsidRPr="00FA4378">
          <w:rPr>
            <w:rFonts w:asciiTheme="minorHAnsi" w:hAnsiTheme="minorHAnsi" w:cstheme="minorHAnsi"/>
            <w:noProof/>
            <w:webHidden/>
          </w:rPr>
          <w:fldChar w:fldCharType="end"/>
        </w:r>
      </w:hyperlink>
    </w:p>
    <w:p w14:paraId="4E28192A"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64" w:history="1">
        <w:r w:rsidR="00FA4378" w:rsidRPr="00FA4378">
          <w:rPr>
            <w:rStyle w:val="Hyperlink"/>
            <w:rFonts w:asciiTheme="minorHAnsi" w:hAnsiTheme="minorHAnsi" w:cstheme="minorHAnsi"/>
            <w:noProof/>
          </w:rPr>
          <w:t>2.4</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Reporting</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_Toc484949564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4</w:t>
        </w:r>
        <w:r w:rsidR="00FA4378" w:rsidRPr="00FA4378">
          <w:rPr>
            <w:rFonts w:asciiTheme="minorHAnsi" w:hAnsiTheme="minorHAnsi" w:cstheme="minorHAnsi"/>
            <w:noProof/>
            <w:webHidden/>
          </w:rPr>
          <w:fldChar w:fldCharType="end"/>
        </w:r>
      </w:hyperlink>
    </w:p>
    <w:p w14:paraId="735A4602" w14:textId="77777777" w:rsidR="00FA4378" w:rsidRPr="00FA4378" w:rsidRDefault="005D7893">
      <w:pPr>
        <w:pStyle w:val="TOC1"/>
        <w:rPr>
          <w:rFonts w:eastAsiaTheme="minorEastAsia" w:cstheme="minorHAnsi"/>
          <w:b w:val="0"/>
          <w:lang w:val="en-NZ" w:eastAsia="en-NZ"/>
        </w:rPr>
      </w:pPr>
      <w:hyperlink w:anchor="_Toc484949565" w:history="1">
        <w:r w:rsidR="00FA4378" w:rsidRPr="00FA4378">
          <w:rPr>
            <w:rStyle w:val="Hyperlink"/>
            <w:rFonts w:cstheme="minorHAnsi"/>
            <w:bCs/>
          </w:rPr>
          <w:t>3</w:t>
        </w:r>
        <w:r w:rsidR="00FA4378" w:rsidRPr="00FA4378">
          <w:rPr>
            <w:rFonts w:eastAsiaTheme="minorEastAsia" w:cstheme="minorHAnsi"/>
            <w:b w:val="0"/>
            <w:lang w:val="en-NZ" w:eastAsia="en-NZ"/>
          </w:rPr>
          <w:tab/>
        </w:r>
        <w:r w:rsidR="00FA4378" w:rsidRPr="00FA4378">
          <w:rPr>
            <w:rStyle w:val="Hyperlink"/>
            <w:rFonts w:cstheme="minorHAnsi"/>
            <w:bCs/>
          </w:rPr>
          <w:t>Extraction and use of fuels/energy sources</w:t>
        </w:r>
        <w:r w:rsidR="00FA4378" w:rsidRPr="00FA4378">
          <w:rPr>
            <w:rFonts w:cstheme="minorHAnsi"/>
            <w:webHidden/>
          </w:rPr>
          <w:tab/>
        </w:r>
        <w:r w:rsidR="00FA4378" w:rsidRPr="00FA4378">
          <w:rPr>
            <w:rFonts w:cstheme="minorHAnsi"/>
            <w:webHidden/>
          </w:rPr>
          <w:fldChar w:fldCharType="begin"/>
        </w:r>
        <w:r w:rsidR="00FA4378" w:rsidRPr="00FA4378">
          <w:rPr>
            <w:rFonts w:cstheme="minorHAnsi"/>
            <w:webHidden/>
          </w:rPr>
          <w:instrText xml:space="preserve"> PAGEREF _Toc484949565 \h </w:instrText>
        </w:r>
        <w:r w:rsidR="00FA4378" w:rsidRPr="00FA4378">
          <w:rPr>
            <w:rFonts w:cstheme="minorHAnsi"/>
            <w:webHidden/>
          </w:rPr>
        </w:r>
        <w:r w:rsidR="00FA4378" w:rsidRPr="00FA4378">
          <w:rPr>
            <w:rFonts w:cstheme="minorHAnsi"/>
            <w:webHidden/>
          </w:rPr>
          <w:fldChar w:fldCharType="separate"/>
        </w:r>
        <w:r w:rsidR="00AD77DB">
          <w:rPr>
            <w:rFonts w:cstheme="minorHAnsi"/>
            <w:webHidden/>
          </w:rPr>
          <w:t>5</w:t>
        </w:r>
        <w:r w:rsidR="00FA4378" w:rsidRPr="00FA4378">
          <w:rPr>
            <w:rFonts w:cstheme="minorHAnsi"/>
            <w:webHidden/>
          </w:rPr>
          <w:fldChar w:fldCharType="end"/>
        </w:r>
      </w:hyperlink>
    </w:p>
    <w:p w14:paraId="693CAE30"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66" w:history="1">
        <w:r w:rsidR="00FA4378" w:rsidRPr="00FA4378">
          <w:rPr>
            <w:rStyle w:val="Hyperlink"/>
            <w:rFonts w:asciiTheme="minorHAnsi" w:hAnsiTheme="minorHAnsi" w:cstheme="minorHAnsi"/>
            <w:noProof/>
          </w:rPr>
          <w:t>3.1</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Coal combustion in large power plants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_Toc484949566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5</w:t>
        </w:r>
        <w:r w:rsidR="00FA4378" w:rsidRPr="00FA4378">
          <w:rPr>
            <w:rFonts w:asciiTheme="minorHAnsi" w:hAnsiTheme="minorHAnsi" w:cstheme="minorHAnsi"/>
            <w:noProof/>
            <w:webHidden/>
          </w:rPr>
          <w:fldChar w:fldCharType="end"/>
        </w:r>
      </w:hyperlink>
    </w:p>
    <w:p w14:paraId="57F36431"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67" w:history="1">
        <w:r w:rsidR="00FA4378" w:rsidRPr="00FA4378">
          <w:rPr>
            <w:rStyle w:val="Hyperlink"/>
            <w:rFonts w:asciiTheme="minorHAnsi" w:hAnsiTheme="minorHAnsi" w:cstheme="minorHAnsi"/>
            <w:noProof/>
          </w:rPr>
          <w:t>3.2</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Other coal use</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_Toc484949567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7</w:t>
        </w:r>
        <w:r w:rsidR="00FA4378" w:rsidRPr="00FA4378">
          <w:rPr>
            <w:rFonts w:asciiTheme="minorHAnsi" w:hAnsiTheme="minorHAnsi" w:cstheme="minorHAnsi"/>
            <w:noProof/>
            <w:webHidden/>
          </w:rPr>
          <w:fldChar w:fldCharType="end"/>
        </w:r>
      </w:hyperlink>
    </w:p>
    <w:p w14:paraId="2F579633"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68" w:history="1">
        <w:r w:rsidR="00FA4378" w:rsidRPr="00FA4378">
          <w:rPr>
            <w:rStyle w:val="Hyperlink"/>
            <w:rFonts w:asciiTheme="minorHAnsi" w:hAnsiTheme="minorHAnsi" w:cstheme="minorHAnsi"/>
            <w:noProof/>
          </w:rPr>
          <w:t>3.3</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Mineral oils - extraction, refining and use</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_Toc484949568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9</w:t>
        </w:r>
        <w:r w:rsidR="00FA4378" w:rsidRPr="00FA4378">
          <w:rPr>
            <w:rFonts w:asciiTheme="minorHAnsi" w:hAnsiTheme="minorHAnsi" w:cstheme="minorHAnsi"/>
            <w:noProof/>
            <w:webHidden/>
          </w:rPr>
          <w:fldChar w:fldCharType="end"/>
        </w:r>
      </w:hyperlink>
    </w:p>
    <w:p w14:paraId="4E29F9AB"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69" w:history="1">
        <w:r w:rsidR="00FA4378" w:rsidRPr="00FA4378">
          <w:rPr>
            <w:rStyle w:val="Hyperlink"/>
            <w:rFonts w:asciiTheme="minorHAnsi" w:hAnsiTheme="minorHAnsi" w:cstheme="minorHAnsi"/>
            <w:noProof/>
          </w:rPr>
          <w:t>3.4</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Natural gas - extraction, refining and use</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_Toc484949569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11</w:t>
        </w:r>
        <w:r w:rsidR="00FA4378" w:rsidRPr="00FA4378">
          <w:rPr>
            <w:rFonts w:asciiTheme="minorHAnsi" w:hAnsiTheme="minorHAnsi" w:cstheme="minorHAnsi"/>
            <w:noProof/>
            <w:webHidden/>
          </w:rPr>
          <w:fldChar w:fldCharType="end"/>
        </w:r>
      </w:hyperlink>
    </w:p>
    <w:p w14:paraId="3B5BF87A"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70" w:history="1">
        <w:r w:rsidR="00FA4378" w:rsidRPr="00FA4378">
          <w:rPr>
            <w:rStyle w:val="Hyperlink"/>
            <w:rFonts w:asciiTheme="minorHAnsi" w:eastAsia="Calibri" w:hAnsiTheme="minorHAnsi" w:cstheme="minorHAnsi"/>
            <w:noProof/>
          </w:rPr>
          <w:t>3.5</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eastAsia="Calibri" w:hAnsiTheme="minorHAnsi" w:cstheme="minorHAnsi"/>
            <w:noProof/>
          </w:rPr>
          <w:t>Other fossil fuels – extraction and use</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_Toc484949570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12</w:t>
        </w:r>
        <w:r w:rsidR="00FA4378" w:rsidRPr="00FA4378">
          <w:rPr>
            <w:rFonts w:asciiTheme="minorHAnsi" w:hAnsiTheme="minorHAnsi" w:cstheme="minorHAnsi"/>
            <w:noProof/>
            <w:webHidden/>
          </w:rPr>
          <w:fldChar w:fldCharType="end"/>
        </w:r>
      </w:hyperlink>
    </w:p>
    <w:p w14:paraId="5258349D"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71" w:history="1">
        <w:r w:rsidR="00FA4378" w:rsidRPr="00FA4378">
          <w:rPr>
            <w:rStyle w:val="Hyperlink"/>
            <w:rFonts w:asciiTheme="minorHAnsi" w:eastAsia="Calibri" w:hAnsiTheme="minorHAnsi" w:cstheme="minorHAnsi"/>
            <w:noProof/>
          </w:rPr>
          <w:t>3.6</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eastAsia="Calibri" w:hAnsiTheme="minorHAnsi" w:cstheme="minorHAnsi"/>
            <w:noProof/>
          </w:rPr>
          <w:t>Biomass-fired power and heat production</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_Toc484949571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12</w:t>
        </w:r>
        <w:r w:rsidR="00FA4378" w:rsidRPr="00FA4378">
          <w:rPr>
            <w:rFonts w:asciiTheme="minorHAnsi" w:hAnsiTheme="minorHAnsi" w:cstheme="minorHAnsi"/>
            <w:noProof/>
            <w:webHidden/>
          </w:rPr>
          <w:fldChar w:fldCharType="end"/>
        </w:r>
      </w:hyperlink>
    </w:p>
    <w:p w14:paraId="1CE75224"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72" w:history="1">
        <w:r w:rsidR="00FA4378" w:rsidRPr="00FA4378">
          <w:rPr>
            <w:rStyle w:val="Hyperlink"/>
            <w:rFonts w:asciiTheme="minorHAnsi" w:eastAsia="Calibri" w:hAnsiTheme="minorHAnsi" w:cstheme="minorHAnsi"/>
            <w:noProof/>
          </w:rPr>
          <w:t>3.7</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eastAsia="Calibri" w:hAnsiTheme="minorHAnsi" w:cstheme="minorHAnsi"/>
            <w:noProof/>
          </w:rPr>
          <w:t>Geothermal power production and use</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_Toc484949572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13</w:t>
        </w:r>
        <w:r w:rsidR="00FA4378" w:rsidRPr="00FA4378">
          <w:rPr>
            <w:rFonts w:asciiTheme="minorHAnsi" w:hAnsiTheme="minorHAnsi" w:cstheme="minorHAnsi"/>
            <w:noProof/>
            <w:webHidden/>
          </w:rPr>
          <w:fldChar w:fldCharType="end"/>
        </w:r>
      </w:hyperlink>
    </w:p>
    <w:p w14:paraId="7146E027"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73" w:history="1">
        <w:r w:rsidR="00FA4378" w:rsidRPr="00FA4378">
          <w:rPr>
            <w:rStyle w:val="Hyperlink"/>
            <w:rFonts w:asciiTheme="minorHAnsi" w:eastAsia="Calibri" w:hAnsiTheme="minorHAnsi" w:cstheme="minorHAnsi"/>
            <w:noProof/>
          </w:rPr>
          <w:t>3.8</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eastAsia="Calibri" w:hAnsiTheme="minorHAnsi" w:cstheme="minorHAnsi"/>
            <w:noProof/>
          </w:rPr>
          <w:t>Summary for this category</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_Toc484949573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14</w:t>
        </w:r>
        <w:r w:rsidR="00FA4378" w:rsidRPr="00FA4378">
          <w:rPr>
            <w:rFonts w:asciiTheme="minorHAnsi" w:hAnsiTheme="minorHAnsi" w:cstheme="minorHAnsi"/>
            <w:noProof/>
            <w:webHidden/>
          </w:rPr>
          <w:fldChar w:fldCharType="end"/>
        </w:r>
      </w:hyperlink>
    </w:p>
    <w:p w14:paraId="47123765" w14:textId="77777777" w:rsidR="00FA4378" w:rsidRPr="00FA4378" w:rsidRDefault="005D7893">
      <w:pPr>
        <w:pStyle w:val="TOC1"/>
        <w:rPr>
          <w:rFonts w:eastAsiaTheme="minorEastAsia" w:cstheme="minorHAnsi"/>
          <w:b w:val="0"/>
          <w:lang w:val="en-NZ" w:eastAsia="en-NZ"/>
        </w:rPr>
      </w:pPr>
      <w:hyperlink w:anchor="_Toc484949574" w:history="1">
        <w:r w:rsidR="00FA4378" w:rsidRPr="00FA4378">
          <w:rPr>
            <w:rStyle w:val="Hyperlink"/>
            <w:rFonts w:cstheme="minorHAnsi"/>
          </w:rPr>
          <w:t>4</w:t>
        </w:r>
        <w:r w:rsidR="00FA4378" w:rsidRPr="00FA4378">
          <w:rPr>
            <w:rFonts w:eastAsiaTheme="minorEastAsia" w:cstheme="minorHAnsi"/>
            <w:b w:val="0"/>
            <w:lang w:val="en-NZ" w:eastAsia="en-NZ"/>
          </w:rPr>
          <w:tab/>
        </w:r>
        <w:r w:rsidR="00FA4378" w:rsidRPr="00FA4378">
          <w:rPr>
            <w:rStyle w:val="Hyperlink"/>
            <w:rFonts w:cstheme="minorHAnsi"/>
          </w:rPr>
          <w:t>Primary (virgin) metal production</w:t>
        </w:r>
        <w:r w:rsidR="00FA4378" w:rsidRPr="00FA4378">
          <w:rPr>
            <w:rFonts w:cstheme="minorHAnsi"/>
            <w:webHidden/>
          </w:rPr>
          <w:tab/>
        </w:r>
        <w:r w:rsidR="00FA4378" w:rsidRPr="00FA4378">
          <w:rPr>
            <w:rFonts w:cstheme="minorHAnsi"/>
            <w:webHidden/>
          </w:rPr>
          <w:fldChar w:fldCharType="begin"/>
        </w:r>
        <w:r w:rsidR="00FA4378" w:rsidRPr="00FA4378">
          <w:rPr>
            <w:rFonts w:cstheme="minorHAnsi"/>
            <w:webHidden/>
          </w:rPr>
          <w:instrText xml:space="preserve"> PAGEREF _Toc484949574 \h </w:instrText>
        </w:r>
        <w:r w:rsidR="00FA4378" w:rsidRPr="00FA4378">
          <w:rPr>
            <w:rFonts w:cstheme="minorHAnsi"/>
            <w:webHidden/>
          </w:rPr>
        </w:r>
        <w:r w:rsidR="00FA4378" w:rsidRPr="00FA4378">
          <w:rPr>
            <w:rFonts w:cstheme="minorHAnsi"/>
            <w:webHidden/>
          </w:rPr>
          <w:fldChar w:fldCharType="separate"/>
        </w:r>
        <w:r w:rsidR="00AD77DB">
          <w:rPr>
            <w:rFonts w:cstheme="minorHAnsi"/>
            <w:webHidden/>
          </w:rPr>
          <w:t>15</w:t>
        </w:r>
        <w:r w:rsidR="00FA4378" w:rsidRPr="00FA4378">
          <w:rPr>
            <w:rFonts w:cstheme="minorHAnsi"/>
            <w:webHidden/>
          </w:rPr>
          <w:fldChar w:fldCharType="end"/>
        </w:r>
      </w:hyperlink>
    </w:p>
    <w:p w14:paraId="20E40804"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75" w:history="1">
        <w:r w:rsidR="00FA4378" w:rsidRPr="00FA4378">
          <w:rPr>
            <w:rStyle w:val="Hyperlink"/>
            <w:rFonts w:asciiTheme="minorHAnsi" w:hAnsiTheme="minorHAnsi" w:cstheme="minorHAnsi"/>
            <w:noProof/>
          </w:rPr>
          <w:t>4.1</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Primary metals not produced in New Zealand</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_Toc484949575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15</w:t>
        </w:r>
        <w:r w:rsidR="00FA4378" w:rsidRPr="00FA4378">
          <w:rPr>
            <w:rFonts w:asciiTheme="minorHAnsi" w:hAnsiTheme="minorHAnsi" w:cstheme="minorHAnsi"/>
            <w:noProof/>
            <w:webHidden/>
          </w:rPr>
          <w:fldChar w:fldCharType="end"/>
        </w:r>
      </w:hyperlink>
    </w:p>
    <w:p w14:paraId="671451A0"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76" w:history="1">
        <w:r w:rsidR="00FA4378" w:rsidRPr="00FA4378">
          <w:rPr>
            <w:rStyle w:val="Hyperlink"/>
            <w:rFonts w:asciiTheme="minorHAnsi" w:hAnsiTheme="minorHAnsi" w:cstheme="minorHAnsi"/>
            <w:noProof/>
          </w:rPr>
          <w:t>4.2</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Gold and silver, using mercury amalgamation</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_Toc484949576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15</w:t>
        </w:r>
        <w:r w:rsidR="00FA4378" w:rsidRPr="00FA4378">
          <w:rPr>
            <w:rFonts w:asciiTheme="minorHAnsi" w:hAnsiTheme="minorHAnsi" w:cstheme="minorHAnsi"/>
            <w:noProof/>
            <w:webHidden/>
          </w:rPr>
          <w:fldChar w:fldCharType="end"/>
        </w:r>
      </w:hyperlink>
    </w:p>
    <w:p w14:paraId="118C4E9B"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77" w:history="1">
        <w:r w:rsidR="00FA4378" w:rsidRPr="00FA4378">
          <w:rPr>
            <w:rStyle w:val="Hyperlink"/>
            <w:rFonts w:asciiTheme="minorHAnsi" w:hAnsiTheme="minorHAnsi" w:cstheme="minorHAnsi"/>
            <w:noProof/>
          </w:rPr>
          <w:t>4.3</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Gold and silver, not using mercury amalgamation</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_Toc484949577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16</w:t>
        </w:r>
        <w:r w:rsidR="00FA4378" w:rsidRPr="00FA4378">
          <w:rPr>
            <w:rFonts w:asciiTheme="minorHAnsi" w:hAnsiTheme="minorHAnsi" w:cstheme="minorHAnsi"/>
            <w:noProof/>
            <w:webHidden/>
          </w:rPr>
          <w:fldChar w:fldCharType="end"/>
        </w:r>
      </w:hyperlink>
    </w:p>
    <w:p w14:paraId="4EB03DDD"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78" w:history="1">
        <w:r w:rsidR="00FA4378" w:rsidRPr="00FA4378">
          <w:rPr>
            <w:rStyle w:val="Hyperlink"/>
            <w:rFonts w:asciiTheme="minorHAnsi" w:hAnsiTheme="minorHAnsi" w:cstheme="minorHAnsi"/>
            <w:noProof/>
          </w:rPr>
          <w:t>4.4</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Aluminium production</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_Toc484949578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17</w:t>
        </w:r>
        <w:r w:rsidR="00FA4378" w:rsidRPr="00FA4378">
          <w:rPr>
            <w:rFonts w:asciiTheme="minorHAnsi" w:hAnsiTheme="minorHAnsi" w:cstheme="minorHAnsi"/>
            <w:noProof/>
            <w:webHidden/>
          </w:rPr>
          <w:fldChar w:fldCharType="end"/>
        </w:r>
      </w:hyperlink>
    </w:p>
    <w:p w14:paraId="5A4231E8"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79" w:history="1">
        <w:r w:rsidR="00FA4378" w:rsidRPr="00FA4378">
          <w:rPr>
            <w:rStyle w:val="Hyperlink"/>
            <w:rFonts w:asciiTheme="minorHAnsi" w:hAnsiTheme="minorHAnsi" w:cstheme="minorHAnsi"/>
            <w:noProof/>
          </w:rPr>
          <w:t>4.5</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Ferrous metal production (iron and steel)</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_Toc484949579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17</w:t>
        </w:r>
        <w:r w:rsidR="00FA4378" w:rsidRPr="00FA4378">
          <w:rPr>
            <w:rFonts w:asciiTheme="minorHAnsi" w:hAnsiTheme="minorHAnsi" w:cstheme="minorHAnsi"/>
            <w:noProof/>
            <w:webHidden/>
          </w:rPr>
          <w:fldChar w:fldCharType="end"/>
        </w:r>
      </w:hyperlink>
    </w:p>
    <w:p w14:paraId="38817D54"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80" w:history="1">
        <w:r w:rsidR="00FA4378" w:rsidRPr="00FA4378">
          <w:rPr>
            <w:rStyle w:val="Hyperlink"/>
            <w:rFonts w:asciiTheme="minorHAnsi" w:eastAsia="Calibri" w:hAnsiTheme="minorHAnsi" w:cstheme="minorHAnsi"/>
            <w:noProof/>
          </w:rPr>
          <w:t>4.6</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eastAsia="Calibri" w:hAnsiTheme="minorHAnsi" w:cstheme="minorHAnsi"/>
            <w:noProof/>
          </w:rPr>
          <w:t>Summary for this category</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_Toc484949580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19</w:t>
        </w:r>
        <w:r w:rsidR="00FA4378" w:rsidRPr="00FA4378">
          <w:rPr>
            <w:rFonts w:asciiTheme="minorHAnsi" w:hAnsiTheme="minorHAnsi" w:cstheme="minorHAnsi"/>
            <w:noProof/>
            <w:webHidden/>
          </w:rPr>
          <w:fldChar w:fldCharType="end"/>
        </w:r>
      </w:hyperlink>
    </w:p>
    <w:p w14:paraId="5AB1D682" w14:textId="77777777" w:rsidR="00FA4378" w:rsidRPr="00FA4378" w:rsidRDefault="005D7893">
      <w:pPr>
        <w:pStyle w:val="TOC1"/>
        <w:rPr>
          <w:rFonts w:eastAsiaTheme="minorEastAsia" w:cstheme="minorHAnsi"/>
          <w:b w:val="0"/>
          <w:lang w:val="en-NZ" w:eastAsia="en-NZ"/>
        </w:rPr>
      </w:pPr>
      <w:hyperlink w:anchor="_Toc484949581" w:history="1">
        <w:r w:rsidR="00FA4378" w:rsidRPr="00FA4378">
          <w:rPr>
            <w:rStyle w:val="Hyperlink"/>
            <w:rFonts w:cstheme="minorHAnsi"/>
          </w:rPr>
          <w:t>5</w:t>
        </w:r>
        <w:r w:rsidR="00FA4378" w:rsidRPr="00FA4378">
          <w:rPr>
            <w:rFonts w:eastAsiaTheme="minorEastAsia" w:cstheme="minorHAnsi"/>
            <w:b w:val="0"/>
            <w:lang w:val="en-NZ" w:eastAsia="en-NZ"/>
          </w:rPr>
          <w:tab/>
        </w:r>
        <w:r w:rsidR="00FA4378" w:rsidRPr="00FA4378">
          <w:rPr>
            <w:rStyle w:val="Hyperlink"/>
            <w:rFonts w:cstheme="minorHAnsi"/>
          </w:rPr>
          <w:t>Production of minerals and materials with mercury impurities</w:t>
        </w:r>
        <w:r w:rsidR="00FA4378" w:rsidRPr="00FA4378">
          <w:rPr>
            <w:rFonts w:cstheme="minorHAnsi"/>
            <w:webHidden/>
          </w:rPr>
          <w:tab/>
        </w:r>
        <w:r w:rsidR="00FA4378" w:rsidRPr="00FA4378">
          <w:rPr>
            <w:rFonts w:cstheme="minorHAnsi"/>
            <w:webHidden/>
          </w:rPr>
          <w:fldChar w:fldCharType="begin"/>
        </w:r>
        <w:r w:rsidR="00FA4378" w:rsidRPr="00FA4378">
          <w:rPr>
            <w:rFonts w:cstheme="minorHAnsi"/>
            <w:webHidden/>
          </w:rPr>
          <w:instrText xml:space="preserve"> PAGEREF _Toc484949581 \h </w:instrText>
        </w:r>
        <w:r w:rsidR="00FA4378" w:rsidRPr="00FA4378">
          <w:rPr>
            <w:rFonts w:cstheme="minorHAnsi"/>
            <w:webHidden/>
          </w:rPr>
        </w:r>
        <w:r w:rsidR="00FA4378" w:rsidRPr="00FA4378">
          <w:rPr>
            <w:rFonts w:cstheme="minorHAnsi"/>
            <w:webHidden/>
          </w:rPr>
          <w:fldChar w:fldCharType="separate"/>
        </w:r>
        <w:r w:rsidR="00AD77DB">
          <w:rPr>
            <w:rFonts w:cstheme="minorHAnsi"/>
            <w:webHidden/>
          </w:rPr>
          <w:t>20</w:t>
        </w:r>
        <w:r w:rsidR="00FA4378" w:rsidRPr="00FA4378">
          <w:rPr>
            <w:rFonts w:cstheme="minorHAnsi"/>
            <w:webHidden/>
          </w:rPr>
          <w:fldChar w:fldCharType="end"/>
        </w:r>
      </w:hyperlink>
    </w:p>
    <w:p w14:paraId="737F0EA4"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82" w:history="1">
        <w:r w:rsidR="00FA4378" w:rsidRPr="00FA4378">
          <w:rPr>
            <w:rStyle w:val="Hyperlink"/>
            <w:rFonts w:asciiTheme="minorHAnsi" w:hAnsiTheme="minorHAnsi" w:cstheme="minorHAnsi"/>
            <w:noProof/>
          </w:rPr>
          <w:t>5.1</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Cement production</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_Toc484949582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20</w:t>
        </w:r>
        <w:r w:rsidR="00FA4378" w:rsidRPr="00FA4378">
          <w:rPr>
            <w:rFonts w:asciiTheme="minorHAnsi" w:hAnsiTheme="minorHAnsi" w:cstheme="minorHAnsi"/>
            <w:noProof/>
            <w:webHidden/>
          </w:rPr>
          <w:fldChar w:fldCharType="end"/>
        </w:r>
      </w:hyperlink>
    </w:p>
    <w:p w14:paraId="6C61AC7A"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83" w:history="1">
        <w:r w:rsidR="00FA4378" w:rsidRPr="00FA4378">
          <w:rPr>
            <w:rStyle w:val="Hyperlink"/>
            <w:rFonts w:asciiTheme="minorHAnsi" w:hAnsiTheme="minorHAnsi" w:cstheme="minorHAnsi"/>
            <w:noProof/>
          </w:rPr>
          <w:t>5.2</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Pulp and paper production</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_Toc484949583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21</w:t>
        </w:r>
        <w:r w:rsidR="00FA4378" w:rsidRPr="00FA4378">
          <w:rPr>
            <w:rFonts w:asciiTheme="minorHAnsi" w:hAnsiTheme="minorHAnsi" w:cstheme="minorHAnsi"/>
            <w:noProof/>
            <w:webHidden/>
          </w:rPr>
          <w:fldChar w:fldCharType="end"/>
        </w:r>
      </w:hyperlink>
    </w:p>
    <w:p w14:paraId="7A22AABE"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84" w:history="1">
        <w:r w:rsidR="00FA4378" w:rsidRPr="00FA4378">
          <w:rPr>
            <w:rStyle w:val="Hyperlink"/>
            <w:rFonts w:asciiTheme="minorHAnsi" w:hAnsiTheme="minorHAnsi" w:cstheme="minorHAnsi"/>
            <w:noProof/>
          </w:rPr>
          <w:t>5.3</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Production of lime and light-weight aggregate</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_Toc484949584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21</w:t>
        </w:r>
        <w:r w:rsidR="00FA4378" w:rsidRPr="00FA4378">
          <w:rPr>
            <w:rFonts w:asciiTheme="minorHAnsi" w:hAnsiTheme="minorHAnsi" w:cstheme="minorHAnsi"/>
            <w:noProof/>
            <w:webHidden/>
          </w:rPr>
          <w:fldChar w:fldCharType="end"/>
        </w:r>
      </w:hyperlink>
    </w:p>
    <w:p w14:paraId="1EFD46EB"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85" w:history="1">
        <w:r w:rsidR="00FA4378" w:rsidRPr="00FA4378">
          <w:rPr>
            <w:rStyle w:val="Hyperlink"/>
            <w:rFonts w:asciiTheme="minorHAnsi" w:hAnsiTheme="minorHAnsi" w:cstheme="minorHAnsi"/>
            <w:noProof/>
          </w:rPr>
          <w:t>5.4</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Other minerals and materials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_Toc484949585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22</w:t>
        </w:r>
        <w:r w:rsidR="00FA4378" w:rsidRPr="00FA4378">
          <w:rPr>
            <w:rFonts w:asciiTheme="minorHAnsi" w:hAnsiTheme="minorHAnsi" w:cstheme="minorHAnsi"/>
            <w:noProof/>
            <w:webHidden/>
          </w:rPr>
          <w:fldChar w:fldCharType="end"/>
        </w:r>
      </w:hyperlink>
    </w:p>
    <w:p w14:paraId="75965DA4"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86" w:history="1">
        <w:r w:rsidR="00FA4378" w:rsidRPr="00FA4378">
          <w:rPr>
            <w:rStyle w:val="Hyperlink"/>
            <w:rFonts w:asciiTheme="minorHAnsi" w:eastAsia="Calibri" w:hAnsiTheme="minorHAnsi" w:cstheme="minorHAnsi"/>
            <w:noProof/>
          </w:rPr>
          <w:t>5.5</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eastAsia="Calibri" w:hAnsiTheme="minorHAnsi" w:cstheme="minorHAnsi"/>
            <w:noProof/>
          </w:rPr>
          <w:t>Summary for this category</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_Toc484949586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24</w:t>
        </w:r>
        <w:r w:rsidR="00FA4378" w:rsidRPr="00FA4378">
          <w:rPr>
            <w:rFonts w:asciiTheme="minorHAnsi" w:hAnsiTheme="minorHAnsi" w:cstheme="minorHAnsi"/>
            <w:noProof/>
            <w:webHidden/>
          </w:rPr>
          <w:fldChar w:fldCharType="end"/>
        </w:r>
      </w:hyperlink>
    </w:p>
    <w:p w14:paraId="2493463B" w14:textId="77777777" w:rsidR="00FA4378" w:rsidRPr="00FA4378" w:rsidRDefault="005D7893">
      <w:pPr>
        <w:pStyle w:val="TOC1"/>
        <w:rPr>
          <w:rFonts w:eastAsiaTheme="minorEastAsia" w:cstheme="minorHAnsi"/>
          <w:b w:val="0"/>
          <w:lang w:val="en-NZ" w:eastAsia="en-NZ"/>
        </w:rPr>
      </w:pPr>
      <w:hyperlink w:anchor="_Toc484949587" w:history="1">
        <w:r w:rsidR="00FA4378" w:rsidRPr="00FA4378">
          <w:rPr>
            <w:rStyle w:val="Hyperlink"/>
            <w:rFonts w:cstheme="minorHAnsi"/>
          </w:rPr>
          <w:t>6</w:t>
        </w:r>
        <w:r w:rsidR="00FA4378" w:rsidRPr="00FA4378">
          <w:rPr>
            <w:rFonts w:eastAsiaTheme="minorEastAsia" w:cstheme="minorHAnsi"/>
            <w:b w:val="0"/>
            <w:lang w:val="en-NZ" w:eastAsia="en-NZ"/>
          </w:rPr>
          <w:tab/>
        </w:r>
        <w:r w:rsidR="00FA4378" w:rsidRPr="00FA4378">
          <w:rPr>
            <w:rStyle w:val="Hyperlink"/>
            <w:rFonts w:cstheme="minorHAnsi"/>
          </w:rPr>
          <w:t>Intentional use of mercury in industrial processes</w:t>
        </w:r>
        <w:r w:rsidR="00FA4378" w:rsidRPr="00FA4378">
          <w:rPr>
            <w:rFonts w:cstheme="minorHAnsi"/>
            <w:webHidden/>
          </w:rPr>
          <w:tab/>
        </w:r>
        <w:r w:rsidR="00FA4378" w:rsidRPr="00FA4378">
          <w:rPr>
            <w:rFonts w:cstheme="minorHAnsi"/>
            <w:webHidden/>
          </w:rPr>
          <w:fldChar w:fldCharType="begin"/>
        </w:r>
        <w:r w:rsidR="00FA4378" w:rsidRPr="00FA4378">
          <w:rPr>
            <w:rFonts w:cstheme="minorHAnsi"/>
            <w:webHidden/>
          </w:rPr>
          <w:instrText xml:space="preserve"> PAGEREF _Toc484949587 \h </w:instrText>
        </w:r>
        <w:r w:rsidR="00FA4378" w:rsidRPr="00FA4378">
          <w:rPr>
            <w:rFonts w:cstheme="minorHAnsi"/>
            <w:webHidden/>
          </w:rPr>
        </w:r>
        <w:r w:rsidR="00FA4378" w:rsidRPr="00FA4378">
          <w:rPr>
            <w:rFonts w:cstheme="minorHAnsi"/>
            <w:webHidden/>
          </w:rPr>
          <w:fldChar w:fldCharType="separate"/>
        </w:r>
        <w:r w:rsidR="00AD77DB">
          <w:rPr>
            <w:rFonts w:cstheme="minorHAnsi"/>
            <w:webHidden/>
          </w:rPr>
          <w:t>25</w:t>
        </w:r>
        <w:r w:rsidR="00FA4378" w:rsidRPr="00FA4378">
          <w:rPr>
            <w:rFonts w:cstheme="minorHAnsi"/>
            <w:webHidden/>
          </w:rPr>
          <w:fldChar w:fldCharType="end"/>
        </w:r>
      </w:hyperlink>
    </w:p>
    <w:p w14:paraId="40F9FD68"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88" w:history="1">
        <w:r w:rsidR="00FA4378" w:rsidRPr="00FA4378">
          <w:rPr>
            <w:rStyle w:val="Hyperlink"/>
            <w:rFonts w:asciiTheme="minorHAnsi" w:hAnsiTheme="minorHAnsi" w:cstheme="minorHAnsi"/>
            <w:noProof/>
          </w:rPr>
          <w:t>6.1</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Industrial uses of mercury in New Zealand</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_Toc484949588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25</w:t>
        </w:r>
        <w:r w:rsidR="00FA4378" w:rsidRPr="00FA4378">
          <w:rPr>
            <w:rFonts w:asciiTheme="minorHAnsi" w:hAnsiTheme="minorHAnsi" w:cstheme="minorHAnsi"/>
            <w:noProof/>
            <w:webHidden/>
          </w:rPr>
          <w:fldChar w:fldCharType="end"/>
        </w:r>
      </w:hyperlink>
    </w:p>
    <w:p w14:paraId="517B4C8E" w14:textId="77777777" w:rsidR="00FA4378" w:rsidRPr="00FA4378" w:rsidRDefault="005D7893">
      <w:pPr>
        <w:pStyle w:val="TOC1"/>
        <w:rPr>
          <w:rFonts w:eastAsiaTheme="minorEastAsia" w:cstheme="minorHAnsi"/>
          <w:b w:val="0"/>
          <w:lang w:val="en-NZ" w:eastAsia="en-NZ"/>
        </w:rPr>
      </w:pPr>
      <w:hyperlink w:anchor="_Toc484949589" w:history="1">
        <w:r w:rsidR="00FA4378" w:rsidRPr="00FA4378">
          <w:rPr>
            <w:rStyle w:val="Hyperlink"/>
            <w:rFonts w:cstheme="minorHAnsi"/>
          </w:rPr>
          <w:t>7</w:t>
        </w:r>
        <w:r w:rsidR="00FA4378" w:rsidRPr="00FA4378">
          <w:rPr>
            <w:rFonts w:eastAsiaTheme="minorEastAsia" w:cstheme="minorHAnsi"/>
            <w:b w:val="0"/>
            <w:lang w:val="en-NZ" w:eastAsia="en-NZ"/>
          </w:rPr>
          <w:tab/>
        </w:r>
        <w:r w:rsidR="00FA4378" w:rsidRPr="00FA4378">
          <w:rPr>
            <w:rStyle w:val="Hyperlink"/>
            <w:rFonts w:cstheme="minorHAnsi"/>
          </w:rPr>
          <w:t>Consumer products with intentional use of mercury</w:t>
        </w:r>
        <w:r w:rsidR="00FA4378" w:rsidRPr="00FA4378">
          <w:rPr>
            <w:rFonts w:cstheme="minorHAnsi"/>
            <w:webHidden/>
          </w:rPr>
          <w:tab/>
        </w:r>
        <w:r w:rsidR="00FA4378" w:rsidRPr="00FA4378">
          <w:rPr>
            <w:rFonts w:cstheme="minorHAnsi"/>
            <w:webHidden/>
          </w:rPr>
          <w:fldChar w:fldCharType="begin"/>
        </w:r>
        <w:r w:rsidR="00FA4378" w:rsidRPr="00FA4378">
          <w:rPr>
            <w:rFonts w:cstheme="minorHAnsi"/>
            <w:webHidden/>
          </w:rPr>
          <w:instrText xml:space="preserve"> PAGEREF _Toc484949589 \h </w:instrText>
        </w:r>
        <w:r w:rsidR="00FA4378" w:rsidRPr="00FA4378">
          <w:rPr>
            <w:rFonts w:cstheme="minorHAnsi"/>
            <w:webHidden/>
          </w:rPr>
        </w:r>
        <w:r w:rsidR="00FA4378" w:rsidRPr="00FA4378">
          <w:rPr>
            <w:rFonts w:cstheme="minorHAnsi"/>
            <w:webHidden/>
          </w:rPr>
          <w:fldChar w:fldCharType="separate"/>
        </w:r>
        <w:r w:rsidR="00AD77DB">
          <w:rPr>
            <w:rFonts w:cstheme="minorHAnsi"/>
            <w:webHidden/>
          </w:rPr>
          <w:t>26</w:t>
        </w:r>
        <w:r w:rsidR="00FA4378" w:rsidRPr="00FA4378">
          <w:rPr>
            <w:rFonts w:cstheme="minorHAnsi"/>
            <w:webHidden/>
          </w:rPr>
          <w:fldChar w:fldCharType="end"/>
        </w:r>
      </w:hyperlink>
    </w:p>
    <w:p w14:paraId="0234D242"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90" w:history="1">
        <w:r w:rsidR="00FA4378" w:rsidRPr="00FA4378">
          <w:rPr>
            <w:rStyle w:val="Hyperlink"/>
            <w:rFonts w:asciiTheme="minorHAnsi" w:hAnsiTheme="minorHAnsi" w:cstheme="minorHAnsi"/>
            <w:noProof/>
          </w:rPr>
          <w:t>7.1</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Mercury thermometers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_Toc484949590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26</w:t>
        </w:r>
        <w:r w:rsidR="00FA4378" w:rsidRPr="00FA4378">
          <w:rPr>
            <w:rFonts w:asciiTheme="minorHAnsi" w:hAnsiTheme="minorHAnsi" w:cstheme="minorHAnsi"/>
            <w:noProof/>
            <w:webHidden/>
          </w:rPr>
          <w:fldChar w:fldCharType="end"/>
        </w:r>
      </w:hyperlink>
    </w:p>
    <w:p w14:paraId="3F72EC51"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91" w:history="1">
        <w:r w:rsidR="00FA4378" w:rsidRPr="00FA4378">
          <w:rPr>
            <w:rStyle w:val="Hyperlink"/>
            <w:rFonts w:asciiTheme="minorHAnsi" w:hAnsiTheme="minorHAnsi" w:cstheme="minorHAnsi"/>
            <w:noProof/>
          </w:rPr>
          <w:t>7.2</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Electrical and electronic switches, contacts and relays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_Toc484949591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27</w:t>
        </w:r>
        <w:r w:rsidR="00FA4378" w:rsidRPr="00FA4378">
          <w:rPr>
            <w:rFonts w:asciiTheme="minorHAnsi" w:hAnsiTheme="minorHAnsi" w:cstheme="minorHAnsi"/>
            <w:noProof/>
            <w:webHidden/>
          </w:rPr>
          <w:fldChar w:fldCharType="end"/>
        </w:r>
      </w:hyperlink>
    </w:p>
    <w:p w14:paraId="36E0BE10"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92" w:history="1">
        <w:r w:rsidR="00FA4378" w:rsidRPr="00FA4378">
          <w:rPr>
            <w:rStyle w:val="Hyperlink"/>
            <w:rFonts w:asciiTheme="minorHAnsi" w:hAnsiTheme="minorHAnsi" w:cstheme="minorHAnsi"/>
            <w:noProof/>
          </w:rPr>
          <w:t>7.3</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Light sources (lamps)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_Toc484949592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28</w:t>
        </w:r>
        <w:r w:rsidR="00FA4378" w:rsidRPr="00FA4378">
          <w:rPr>
            <w:rFonts w:asciiTheme="minorHAnsi" w:hAnsiTheme="minorHAnsi" w:cstheme="minorHAnsi"/>
            <w:noProof/>
            <w:webHidden/>
          </w:rPr>
          <w:fldChar w:fldCharType="end"/>
        </w:r>
      </w:hyperlink>
    </w:p>
    <w:p w14:paraId="66E84619"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93" w:history="1">
        <w:r w:rsidR="00FA4378" w:rsidRPr="00FA4378">
          <w:rPr>
            <w:rStyle w:val="Hyperlink"/>
            <w:rFonts w:asciiTheme="minorHAnsi" w:hAnsiTheme="minorHAnsi" w:cstheme="minorHAnsi"/>
            <w:noProof/>
          </w:rPr>
          <w:t>7.4</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Light sources (LCD screens)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_Toc484949593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30</w:t>
        </w:r>
        <w:r w:rsidR="00FA4378" w:rsidRPr="00FA4378">
          <w:rPr>
            <w:rFonts w:asciiTheme="minorHAnsi" w:hAnsiTheme="minorHAnsi" w:cstheme="minorHAnsi"/>
            <w:noProof/>
            <w:webHidden/>
          </w:rPr>
          <w:fldChar w:fldCharType="end"/>
        </w:r>
      </w:hyperlink>
    </w:p>
    <w:p w14:paraId="77D62890"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94" w:history="1">
        <w:r w:rsidR="00FA4378" w:rsidRPr="00FA4378">
          <w:rPr>
            <w:rStyle w:val="Hyperlink"/>
            <w:rFonts w:asciiTheme="minorHAnsi" w:hAnsiTheme="minorHAnsi" w:cstheme="minorHAnsi"/>
            <w:noProof/>
          </w:rPr>
          <w:t>7.5</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Batteries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_Toc484949594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31</w:t>
        </w:r>
        <w:r w:rsidR="00FA4378" w:rsidRPr="00FA4378">
          <w:rPr>
            <w:rFonts w:asciiTheme="minorHAnsi" w:hAnsiTheme="minorHAnsi" w:cstheme="minorHAnsi"/>
            <w:noProof/>
            <w:webHidden/>
          </w:rPr>
          <w:fldChar w:fldCharType="end"/>
        </w:r>
      </w:hyperlink>
    </w:p>
    <w:p w14:paraId="6DDF0356"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95" w:history="1">
        <w:r w:rsidR="00FA4378" w:rsidRPr="00FA4378">
          <w:rPr>
            <w:rStyle w:val="Hyperlink"/>
            <w:rFonts w:asciiTheme="minorHAnsi" w:hAnsiTheme="minorHAnsi" w:cstheme="minorHAnsi"/>
            <w:noProof/>
          </w:rPr>
          <w:t>7.6</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Polyurethanes with mercury catalyst</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_Toc484949595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32</w:t>
        </w:r>
        <w:r w:rsidR="00FA4378" w:rsidRPr="00FA4378">
          <w:rPr>
            <w:rFonts w:asciiTheme="minorHAnsi" w:hAnsiTheme="minorHAnsi" w:cstheme="minorHAnsi"/>
            <w:noProof/>
            <w:webHidden/>
          </w:rPr>
          <w:fldChar w:fldCharType="end"/>
        </w:r>
      </w:hyperlink>
    </w:p>
    <w:p w14:paraId="1F8FF128"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96" w:history="1">
        <w:r w:rsidR="00FA4378" w:rsidRPr="00FA4378">
          <w:rPr>
            <w:rStyle w:val="Hyperlink"/>
            <w:rFonts w:asciiTheme="minorHAnsi" w:hAnsiTheme="minorHAnsi" w:cstheme="minorHAnsi"/>
            <w:noProof/>
          </w:rPr>
          <w:t>7.7</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Biocides and pesticides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_Toc484949596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33</w:t>
        </w:r>
        <w:r w:rsidR="00FA4378" w:rsidRPr="00FA4378">
          <w:rPr>
            <w:rFonts w:asciiTheme="minorHAnsi" w:hAnsiTheme="minorHAnsi" w:cstheme="minorHAnsi"/>
            <w:noProof/>
            <w:webHidden/>
          </w:rPr>
          <w:fldChar w:fldCharType="end"/>
        </w:r>
      </w:hyperlink>
    </w:p>
    <w:p w14:paraId="70234932"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97" w:history="1">
        <w:r w:rsidR="00FA4378" w:rsidRPr="00FA4378">
          <w:rPr>
            <w:rStyle w:val="Hyperlink"/>
            <w:rFonts w:asciiTheme="minorHAnsi" w:hAnsiTheme="minorHAnsi" w:cstheme="minorHAnsi"/>
            <w:noProof/>
          </w:rPr>
          <w:t>7.8</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Paints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_Toc484949597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33</w:t>
        </w:r>
        <w:r w:rsidR="00FA4378" w:rsidRPr="00FA4378">
          <w:rPr>
            <w:rFonts w:asciiTheme="minorHAnsi" w:hAnsiTheme="minorHAnsi" w:cstheme="minorHAnsi"/>
            <w:noProof/>
            <w:webHidden/>
          </w:rPr>
          <w:fldChar w:fldCharType="end"/>
        </w:r>
      </w:hyperlink>
    </w:p>
    <w:p w14:paraId="14BBEFD0"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98" w:history="1">
        <w:r w:rsidR="00FA4378" w:rsidRPr="00FA4378">
          <w:rPr>
            <w:rStyle w:val="Hyperlink"/>
            <w:rFonts w:asciiTheme="minorHAnsi" w:hAnsiTheme="minorHAnsi" w:cstheme="minorHAnsi"/>
            <w:noProof/>
          </w:rPr>
          <w:t>7.9</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Pharmaceuticals for human and veterinary use</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_Toc484949598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33</w:t>
        </w:r>
        <w:r w:rsidR="00FA4378" w:rsidRPr="00FA4378">
          <w:rPr>
            <w:rFonts w:asciiTheme="minorHAnsi" w:hAnsiTheme="minorHAnsi" w:cstheme="minorHAnsi"/>
            <w:noProof/>
            <w:webHidden/>
          </w:rPr>
          <w:fldChar w:fldCharType="end"/>
        </w:r>
      </w:hyperlink>
    </w:p>
    <w:p w14:paraId="08EBC0BA"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599" w:history="1">
        <w:r w:rsidR="00FA4378" w:rsidRPr="00FA4378">
          <w:rPr>
            <w:rStyle w:val="Hyperlink"/>
            <w:rFonts w:asciiTheme="minorHAnsi" w:hAnsiTheme="minorHAnsi" w:cstheme="minorHAnsi"/>
            <w:noProof/>
          </w:rPr>
          <w:t>7.10</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Cosmetics and related products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_Toc484949599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34</w:t>
        </w:r>
        <w:r w:rsidR="00FA4378" w:rsidRPr="00FA4378">
          <w:rPr>
            <w:rFonts w:asciiTheme="minorHAnsi" w:hAnsiTheme="minorHAnsi" w:cstheme="minorHAnsi"/>
            <w:noProof/>
            <w:webHidden/>
          </w:rPr>
          <w:fldChar w:fldCharType="end"/>
        </w:r>
      </w:hyperlink>
    </w:p>
    <w:p w14:paraId="574D61F5"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600" w:history="1">
        <w:r w:rsidR="00FA4378" w:rsidRPr="00FA4378">
          <w:rPr>
            <w:rStyle w:val="Hyperlink"/>
            <w:rFonts w:asciiTheme="minorHAnsi" w:eastAsia="Calibri" w:hAnsiTheme="minorHAnsi" w:cstheme="minorHAnsi"/>
            <w:noProof/>
          </w:rPr>
          <w:t>7.11</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eastAsia="Calibri" w:hAnsiTheme="minorHAnsi" w:cstheme="minorHAnsi"/>
            <w:noProof/>
          </w:rPr>
          <w:t>Summary for this category</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_Toc484949600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34</w:t>
        </w:r>
        <w:r w:rsidR="00FA4378" w:rsidRPr="00FA4378">
          <w:rPr>
            <w:rFonts w:asciiTheme="minorHAnsi" w:hAnsiTheme="minorHAnsi" w:cstheme="minorHAnsi"/>
            <w:noProof/>
            <w:webHidden/>
          </w:rPr>
          <w:fldChar w:fldCharType="end"/>
        </w:r>
      </w:hyperlink>
    </w:p>
    <w:p w14:paraId="4EB3CB4B" w14:textId="77777777" w:rsidR="00FA4378" w:rsidRPr="00FA4378" w:rsidRDefault="005D7893">
      <w:pPr>
        <w:pStyle w:val="TOC1"/>
        <w:rPr>
          <w:rFonts w:eastAsiaTheme="minorEastAsia" w:cstheme="minorHAnsi"/>
          <w:b w:val="0"/>
          <w:lang w:val="en-NZ" w:eastAsia="en-NZ"/>
        </w:rPr>
      </w:pPr>
      <w:hyperlink w:anchor="_Toc484949601" w:history="1">
        <w:r w:rsidR="00FA4378" w:rsidRPr="00FA4378">
          <w:rPr>
            <w:rStyle w:val="Hyperlink"/>
            <w:rFonts w:cstheme="minorHAnsi"/>
          </w:rPr>
          <w:t>8</w:t>
        </w:r>
        <w:r w:rsidR="00FA4378" w:rsidRPr="00FA4378">
          <w:rPr>
            <w:rFonts w:eastAsiaTheme="minorEastAsia" w:cstheme="minorHAnsi"/>
            <w:b w:val="0"/>
            <w:lang w:val="en-NZ" w:eastAsia="en-NZ"/>
          </w:rPr>
          <w:tab/>
        </w:r>
        <w:r w:rsidR="00FA4378" w:rsidRPr="00FA4378">
          <w:rPr>
            <w:rStyle w:val="Hyperlink"/>
            <w:rFonts w:cstheme="minorHAnsi"/>
          </w:rPr>
          <w:t>Other intentional product/process uses</w:t>
        </w:r>
        <w:r w:rsidR="00FA4378" w:rsidRPr="00FA4378">
          <w:rPr>
            <w:rFonts w:cstheme="minorHAnsi"/>
            <w:webHidden/>
          </w:rPr>
          <w:tab/>
        </w:r>
        <w:r w:rsidR="00FA4378" w:rsidRPr="00FA4378">
          <w:rPr>
            <w:rFonts w:cstheme="minorHAnsi"/>
            <w:webHidden/>
          </w:rPr>
          <w:fldChar w:fldCharType="begin"/>
        </w:r>
        <w:r w:rsidR="00FA4378" w:rsidRPr="00FA4378">
          <w:rPr>
            <w:rFonts w:cstheme="minorHAnsi"/>
            <w:webHidden/>
          </w:rPr>
          <w:instrText xml:space="preserve"> PAGEREF _Toc484949601 \h </w:instrText>
        </w:r>
        <w:r w:rsidR="00FA4378" w:rsidRPr="00FA4378">
          <w:rPr>
            <w:rFonts w:cstheme="minorHAnsi"/>
            <w:webHidden/>
          </w:rPr>
        </w:r>
        <w:r w:rsidR="00FA4378" w:rsidRPr="00FA4378">
          <w:rPr>
            <w:rFonts w:cstheme="minorHAnsi"/>
            <w:webHidden/>
          </w:rPr>
          <w:fldChar w:fldCharType="separate"/>
        </w:r>
        <w:r w:rsidR="00AD77DB">
          <w:rPr>
            <w:rFonts w:cstheme="minorHAnsi"/>
            <w:webHidden/>
          </w:rPr>
          <w:t>35</w:t>
        </w:r>
        <w:r w:rsidR="00FA4378" w:rsidRPr="00FA4378">
          <w:rPr>
            <w:rFonts w:cstheme="minorHAnsi"/>
            <w:webHidden/>
          </w:rPr>
          <w:fldChar w:fldCharType="end"/>
        </w:r>
      </w:hyperlink>
    </w:p>
    <w:p w14:paraId="628AED89"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602" w:history="1">
        <w:r w:rsidR="00FA4378" w:rsidRPr="00FA4378">
          <w:rPr>
            <w:rStyle w:val="Hyperlink"/>
            <w:rFonts w:asciiTheme="minorHAnsi" w:hAnsiTheme="minorHAnsi" w:cstheme="minorHAnsi"/>
            <w:noProof/>
          </w:rPr>
          <w:t>8.1</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Dental mercury amalgam fillings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_Toc484949602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35</w:t>
        </w:r>
        <w:r w:rsidR="00FA4378" w:rsidRPr="00FA4378">
          <w:rPr>
            <w:rFonts w:asciiTheme="minorHAnsi" w:hAnsiTheme="minorHAnsi" w:cstheme="minorHAnsi"/>
            <w:noProof/>
            <w:webHidden/>
          </w:rPr>
          <w:fldChar w:fldCharType="end"/>
        </w:r>
      </w:hyperlink>
    </w:p>
    <w:p w14:paraId="06C79330"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603" w:history="1">
        <w:r w:rsidR="00FA4378" w:rsidRPr="00FA4378">
          <w:rPr>
            <w:rStyle w:val="Hyperlink"/>
            <w:rFonts w:asciiTheme="minorHAnsi" w:hAnsiTheme="minorHAnsi" w:cstheme="minorHAnsi"/>
            <w:noProof/>
          </w:rPr>
          <w:t>8.2</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Manometers and gauges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_Toc484949603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36</w:t>
        </w:r>
        <w:r w:rsidR="00FA4378" w:rsidRPr="00FA4378">
          <w:rPr>
            <w:rFonts w:asciiTheme="minorHAnsi" w:hAnsiTheme="minorHAnsi" w:cstheme="minorHAnsi"/>
            <w:noProof/>
            <w:webHidden/>
          </w:rPr>
          <w:fldChar w:fldCharType="end"/>
        </w:r>
      </w:hyperlink>
    </w:p>
    <w:p w14:paraId="316659ED"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604" w:history="1">
        <w:r w:rsidR="00FA4378" w:rsidRPr="00FA4378">
          <w:rPr>
            <w:rStyle w:val="Hyperlink"/>
            <w:rFonts w:asciiTheme="minorHAnsi" w:hAnsiTheme="minorHAnsi" w:cstheme="minorHAnsi"/>
            <w:noProof/>
          </w:rPr>
          <w:t>8.3</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Laboratory chemicals and equipment</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_Toc484949604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36</w:t>
        </w:r>
        <w:r w:rsidR="00FA4378" w:rsidRPr="00FA4378">
          <w:rPr>
            <w:rFonts w:asciiTheme="minorHAnsi" w:hAnsiTheme="minorHAnsi" w:cstheme="minorHAnsi"/>
            <w:noProof/>
            <w:webHidden/>
          </w:rPr>
          <w:fldChar w:fldCharType="end"/>
        </w:r>
      </w:hyperlink>
    </w:p>
    <w:p w14:paraId="3E94A97F"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605" w:history="1">
        <w:r w:rsidR="00FA4378" w:rsidRPr="00FA4378">
          <w:rPr>
            <w:rStyle w:val="Hyperlink"/>
            <w:rFonts w:asciiTheme="minorHAnsi" w:hAnsiTheme="minorHAnsi" w:cstheme="minorHAnsi"/>
            <w:noProof/>
          </w:rPr>
          <w:t>8.4</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Mercury use in religious rituals and folklore medicine</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_Toc484949605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37</w:t>
        </w:r>
        <w:r w:rsidR="00FA4378" w:rsidRPr="00FA4378">
          <w:rPr>
            <w:rFonts w:asciiTheme="minorHAnsi" w:hAnsiTheme="minorHAnsi" w:cstheme="minorHAnsi"/>
            <w:noProof/>
            <w:webHidden/>
          </w:rPr>
          <w:fldChar w:fldCharType="end"/>
        </w:r>
      </w:hyperlink>
    </w:p>
    <w:p w14:paraId="68374327"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606" w:history="1">
        <w:r w:rsidR="00FA4378" w:rsidRPr="00FA4378">
          <w:rPr>
            <w:rStyle w:val="Hyperlink"/>
            <w:rFonts w:asciiTheme="minorHAnsi" w:hAnsiTheme="minorHAnsi" w:cstheme="minorHAnsi"/>
            <w:noProof/>
          </w:rPr>
          <w:t>8.5</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Miscellaneous product uses and other sources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_Toc484949606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37</w:t>
        </w:r>
        <w:r w:rsidR="00FA4378" w:rsidRPr="00FA4378">
          <w:rPr>
            <w:rFonts w:asciiTheme="minorHAnsi" w:hAnsiTheme="minorHAnsi" w:cstheme="minorHAnsi"/>
            <w:noProof/>
            <w:webHidden/>
          </w:rPr>
          <w:fldChar w:fldCharType="end"/>
        </w:r>
      </w:hyperlink>
    </w:p>
    <w:p w14:paraId="2B181D17"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607" w:history="1">
        <w:r w:rsidR="00FA4378" w:rsidRPr="00FA4378">
          <w:rPr>
            <w:rStyle w:val="Hyperlink"/>
            <w:rFonts w:asciiTheme="minorHAnsi" w:eastAsia="Calibri" w:hAnsiTheme="minorHAnsi" w:cstheme="minorHAnsi"/>
            <w:noProof/>
          </w:rPr>
          <w:t>8.6</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eastAsia="Calibri" w:hAnsiTheme="minorHAnsi" w:cstheme="minorHAnsi"/>
            <w:noProof/>
          </w:rPr>
          <w:t>Summary for this category</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_Toc484949607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38</w:t>
        </w:r>
        <w:r w:rsidR="00FA4378" w:rsidRPr="00FA4378">
          <w:rPr>
            <w:rFonts w:asciiTheme="minorHAnsi" w:hAnsiTheme="minorHAnsi" w:cstheme="minorHAnsi"/>
            <w:noProof/>
            <w:webHidden/>
          </w:rPr>
          <w:fldChar w:fldCharType="end"/>
        </w:r>
      </w:hyperlink>
    </w:p>
    <w:p w14:paraId="5720C0BD" w14:textId="77777777" w:rsidR="00FA4378" w:rsidRPr="00FA4378" w:rsidRDefault="005D7893">
      <w:pPr>
        <w:pStyle w:val="TOC1"/>
        <w:rPr>
          <w:rFonts w:eastAsiaTheme="minorEastAsia" w:cstheme="minorHAnsi"/>
          <w:b w:val="0"/>
          <w:lang w:val="en-NZ" w:eastAsia="en-NZ"/>
        </w:rPr>
      </w:pPr>
      <w:hyperlink w:anchor="_Toc484949608" w:history="1">
        <w:r w:rsidR="00FA4378" w:rsidRPr="00FA4378">
          <w:rPr>
            <w:rStyle w:val="Hyperlink"/>
            <w:rFonts w:cstheme="minorHAnsi"/>
          </w:rPr>
          <w:t>9</w:t>
        </w:r>
        <w:r w:rsidR="00FA4378" w:rsidRPr="00FA4378">
          <w:rPr>
            <w:rFonts w:eastAsiaTheme="minorEastAsia" w:cstheme="minorHAnsi"/>
            <w:b w:val="0"/>
            <w:lang w:val="en-NZ" w:eastAsia="en-NZ"/>
          </w:rPr>
          <w:tab/>
        </w:r>
        <w:r w:rsidR="00FA4378" w:rsidRPr="00FA4378">
          <w:rPr>
            <w:rStyle w:val="Hyperlink"/>
            <w:rFonts w:cstheme="minorHAnsi"/>
          </w:rPr>
          <w:t>Production of recycled metals (secondary metal production)</w:t>
        </w:r>
        <w:r w:rsidR="00FA4378" w:rsidRPr="00FA4378">
          <w:rPr>
            <w:rFonts w:cstheme="minorHAnsi"/>
            <w:webHidden/>
          </w:rPr>
          <w:tab/>
        </w:r>
        <w:r w:rsidR="00FA4378" w:rsidRPr="00FA4378">
          <w:rPr>
            <w:rFonts w:cstheme="minorHAnsi"/>
            <w:webHidden/>
          </w:rPr>
          <w:fldChar w:fldCharType="begin"/>
        </w:r>
        <w:r w:rsidR="00FA4378" w:rsidRPr="00FA4378">
          <w:rPr>
            <w:rFonts w:cstheme="minorHAnsi"/>
            <w:webHidden/>
          </w:rPr>
          <w:instrText xml:space="preserve"> PAGEREF _Toc484949608 \h </w:instrText>
        </w:r>
        <w:r w:rsidR="00FA4378" w:rsidRPr="00FA4378">
          <w:rPr>
            <w:rFonts w:cstheme="minorHAnsi"/>
            <w:webHidden/>
          </w:rPr>
        </w:r>
        <w:r w:rsidR="00FA4378" w:rsidRPr="00FA4378">
          <w:rPr>
            <w:rFonts w:cstheme="minorHAnsi"/>
            <w:webHidden/>
          </w:rPr>
          <w:fldChar w:fldCharType="separate"/>
        </w:r>
        <w:r w:rsidR="00AD77DB">
          <w:rPr>
            <w:rFonts w:cstheme="minorHAnsi"/>
            <w:webHidden/>
          </w:rPr>
          <w:t>39</w:t>
        </w:r>
        <w:r w:rsidR="00FA4378" w:rsidRPr="00FA4378">
          <w:rPr>
            <w:rFonts w:cstheme="minorHAnsi"/>
            <w:webHidden/>
          </w:rPr>
          <w:fldChar w:fldCharType="end"/>
        </w:r>
      </w:hyperlink>
    </w:p>
    <w:p w14:paraId="1E8EF425"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609" w:history="1">
        <w:r w:rsidR="00FA4378" w:rsidRPr="00FA4378">
          <w:rPr>
            <w:rStyle w:val="Hyperlink"/>
            <w:rFonts w:asciiTheme="minorHAnsi" w:hAnsiTheme="minorHAnsi" w:cstheme="minorHAnsi"/>
            <w:noProof/>
          </w:rPr>
          <w:t>9.1</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Recycled mercury</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_Toc484949609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39</w:t>
        </w:r>
        <w:r w:rsidR="00FA4378" w:rsidRPr="00FA4378">
          <w:rPr>
            <w:rFonts w:asciiTheme="minorHAnsi" w:hAnsiTheme="minorHAnsi" w:cstheme="minorHAnsi"/>
            <w:noProof/>
            <w:webHidden/>
          </w:rPr>
          <w:fldChar w:fldCharType="end"/>
        </w:r>
      </w:hyperlink>
    </w:p>
    <w:p w14:paraId="6D38EEFA"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610" w:history="1">
        <w:r w:rsidR="00FA4378" w:rsidRPr="00FA4378">
          <w:rPr>
            <w:rStyle w:val="Hyperlink"/>
            <w:rFonts w:asciiTheme="minorHAnsi" w:hAnsiTheme="minorHAnsi" w:cstheme="minorHAnsi"/>
            <w:noProof/>
          </w:rPr>
          <w:t>9.2</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Ferrous metals (secondary steel)</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_Toc484949610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40</w:t>
        </w:r>
        <w:r w:rsidR="00FA4378" w:rsidRPr="00FA4378">
          <w:rPr>
            <w:rFonts w:asciiTheme="minorHAnsi" w:hAnsiTheme="minorHAnsi" w:cstheme="minorHAnsi"/>
            <w:noProof/>
            <w:webHidden/>
          </w:rPr>
          <w:fldChar w:fldCharType="end"/>
        </w:r>
      </w:hyperlink>
    </w:p>
    <w:p w14:paraId="3C34EE39"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611" w:history="1">
        <w:r w:rsidR="00FA4378" w:rsidRPr="00FA4378">
          <w:rPr>
            <w:rStyle w:val="Hyperlink"/>
            <w:rFonts w:asciiTheme="minorHAnsi" w:hAnsiTheme="minorHAnsi" w:cstheme="minorHAnsi"/>
            <w:noProof/>
          </w:rPr>
          <w:t>9.3</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Production of other recycled metals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_Toc484949611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40</w:t>
        </w:r>
        <w:r w:rsidR="00FA4378" w:rsidRPr="00FA4378">
          <w:rPr>
            <w:rFonts w:asciiTheme="minorHAnsi" w:hAnsiTheme="minorHAnsi" w:cstheme="minorHAnsi"/>
            <w:noProof/>
            <w:webHidden/>
          </w:rPr>
          <w:fldChar w:fldCharType="end"/>
        </w:r>
      </w:hyperlink>
    </w:p>
    <w:p w14:paraId="55A3CEDB"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612" w:history="1">
        <w:r w:rsidR="00FA4378" w:rsidRPr="00FA4378">
          <w:rPr>
            <w:rStyle w:val="Hyperlink"/>
            <w:rFonts w:asciiTheme="minorHAnsi" w:eastAsia="Calibri" w:hAnsiTheme="minorHAnsi" w:cstheme="minorHAnsi"/>
            <w:noProof/>
          </w:rPr>
          <w:t>9.4</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eastAsia="Calibri" w:hAnsiTheme="minorHAnsi" w:cstheme="minorHAnsi"/>
            <w:noProof/>
          </w:rPr>
          <w:t>Summary for this category</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_Toc484949612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40</w:t>
        </w:r>
        <w:r w:rsidR="00FA4378" w:rsidRPr="00FA4378">
          <w:rPr>
            <w:rFonts w:asciiTheme="minorHAnsi" w:hAnsiTheme="minorHAnsi" w:cstheme="minorHAnsi"/>
            <w:noProof/>
            <w:webHidden/>
          </w:rPr>
          <w:fldChar w:fldCharType="end"/>
        </w:r>
      </w:hyperlink>
    </w:p>
    <w:p w14:paraId="084392B6" w14:textId="77777777" w:rsidR="00FA4378" w:rsidRPr="00FA4378" w:rsidRDefault="005D7893">
      <w:pPr>
        <w:pStyle w:val="TOC1"/>
        <w:rPr>
          <w:rFonts w:eastAsiaTheme="minorEastAsia" w:cstheme="minorHAnsi"/>
          <w:b w:val="0"/>
          <w:lang w:val="en-NZ" w:eastAsia="en-NZ"/>
        </w:rPr>
      </w:pPr>
      <w:hyperlink w:anchor="_Toc484949613" w:history="1">
        <w:r w:rsidR="00FA4378" w:rsidRPr="00FA4378">
          <w:rPr>
            <w:rStyle w:val="Hyperlink"/>
            <w:rFonts w:cstheme="minorHAnsi"/>
          </w:rPr>
          <w:t>10</w:t>
        </w:r>
        <w:r w:rsidR="00FA4378" w:rsidRPr="00FA4378">
          <w:rPr>
            <w:rFonts w:eastAsiaTheme="minorEastAsia" w:cstheme="minorHAnsi"/>
            <w:b w:val="0"/>
            <w:lang w:val="en-NZ" w:eastAsia="en-NZ"/>
          </w:rPr>
          <w:tab/>
        </w:r>
        <w:r w:rsidR="00FA4378" w:rsidRPr="00FA4378">
          <w:rPr>
            <w:rStyle w:val="Hyperlink"/>
            <w:rFonts w:cstheme="minorHAnsi"/>
          </w:rPr>
          <w:t>Waste incineration</w:t>
        </w:r>
        <w:r w:rsidR="00FA4378" w:rsidRPr="00FA4378">
          <w:rPr>
            <w:rFonts w:cstheme="minorHAnsi"/>
            <w:webHidden/>
          </w:rPr>
          <w:tab/>
        </w:r>
        <w:r w:rsidR="00FA4378" w:rsidRPr="00FA4378">
          <w:rPr>
            <w:rFonts w:cstheme="minorHAnsi"/>
            <w:webHidden/>
          </w:rPr>
          <w:fldChar w:fldCharType="begin"/>
        </w:r>
        <w:r w:rsidR="00FA4378" w:rsidRPr="00FA4378">
          <w:rPr>
            <w:rFonts w:cstheme="minorHAnsi"/>
            <w:webHidden/>
          </w:rPr>
          <w:instrText xml:space="preserve"> PAGEREF _Toc484949613 \h </w:instrText>
        </w:r>
        <w:r w:rsidR="00FA4378" w:rsidRPr="00FA4378">
          <w:rPr>
            <w:rFonts w:cstheme="minorHAnsi"/>
            <w:webHidden/>
          </w:rPr>
        </w:r>
        <w:r w:rsidR="00FA4378" w:rsidRPr="00FA4378">
          <w:rPr>
            <w:rFonts w:cstheme="minorHAnsi"/>
            <w:webHidden/>
          </w:rPr>
          <w:fldChar w:fldCharType="separate"/>
        </w:r>
        <w:r w:rsidR="00AD77DB">
          <w:rPr>
            <w:rFonts w:cstheme="minorHAnsi"/>
            <w:webHidden/>
          </w:rPr>
          <w:t>41</w:t>
        </w:r>
        <w:r w:rsidR="00FA4378" w:rsidRPr="00FA4378">
          <w:rPr>
            <w:rFonts w:cstheme="minorHAnsi"/>
            <w:webHidden/>
          </w:rPr>
          <w:fldChar w:fldCharType="end"/>
        </w:r>
      </w:hyperlink>
    </w:p>
    <w:p w14:paraId="235FF9DB"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614" w:history="1">
        <w:r w:rsidR="00FA4378" w:rsidRPr="00FA4378">
          <w:rPr>
            <w:rStyle w:val="Hyperlink"/>
            <w:rFonts w:asciiTheme="minorHAnsi" w:hAnsiTheme="minorHAnsi" w:cstheme="minorHAnsi"/>
            <w:noProof/>
          </w:rPr>
          <w:t>10.1</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Municipal waste incineration</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_Toc484949614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41</w:t>
        </w:r>
        <w:r w:rsidR="00FA4378" w:rsidRPr="00FA4378">
          <w:rPr>
            <w:rFonts w:asciiTheme="minorHAnsi" w:hAnsiTheme="minorHAnsi" w:cstheme="minorHAnsi"/>
            <w:noProof/>
            <w:webHidden/>
          </w:rPr>
          <w:fldChar w:fldCharType="end"/>
        </w:r>
      </w:hyperlink>
    </w:p>
    <w:p w14:paraId="340100B4"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615" w:history="1">
        <w:r w:rsidR="00FA4378" w:rsidRPr="00FA4378">
          <w:rPr>
            <w:rStyle w:val="Hyperlink"/>
            <w:rFonts w:asciiTheme="minorHAnsi" w:hAnsiTheme="minorHAnsi" w:cstheme="minorHAnsi"/>
            <w:noProof/>
          </w:rPr>
          <w:t>10.2</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Hazardous waste incineration</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_Toc484949615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41</w:t>
        </w:r>
        <w:r w:rsidR="00FA4378" w:rsidRPr="00FA4378">
          <w:rPr>
            <w:rFonts w:asciiTheme="minorHAnsi" w:hAnsiTheme="minorHAnsi" w:cstheme="minorHAnsi"/>
            <w:noProof/>
            <w:webHidden/>
          </w:rPr>
          <w:fldChar w:fldCharType="end"/>
        </w:r>
      </w:hyperlink>
    </w:p>
    <w:p w14:paraId="2584D16F"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616" w:history="1">
        <w:r w:rsidR="00FA4378" w:rsidRPr="00FA4378">
          <w:rPr>
            <w:rStyle w:val="Hyperlink"/>
            <w:rFonts w:asciiTheme="minorHAnsi" w:hAnsiTheme="minorHAnsi" w:cstheme="minorHAnsi"/>
            <w:noProof/>
          </w:rPr>
          <w:t>10.3</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Medical waste incineration</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_Toc484949616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42</w:t>
        </w:r>
        <w:r w:rsidR="00FA4378" w:rsidRPr="00FA4378">
          <w:rPr>
            <w:rFonts w:asciiTheme="minorHAnsi" w:hAnsiTheme="minorHAnsi" w:cstheme="minorHAnsi"/>
            <w:noProof/>
            <w:webHidden/>
          </w:rPr>
          <w:fldChar w:fldCharType="end"/>
        </w:r>
      </w:hyperlink>
    </w:p>
    <w:p w14:paraId="73635335"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617" w:history="1">
        <w:r w:rsidR="00FA4378" w:rsidRPr="00FA4378">
          <w:rPr>
            <w:rStyle w:val="Hyperlink"/>
            <w:rFonts w:asciiTheme="minorHAnsi" w:hAnsiTheme="minorHAnsi" w:cstheme="minorHAnsi"/>
            <w:noProof/>
          </w:rPr>
          <w:t>10.4</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Sewage sludge incineration</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_Toc484949617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42</w:t>
        </w:r>
        <w:r w:rsidR="00FA4378" w:rsidRPr="00FA4378">
          <w:rPr>
            <w:rFonts w:asciiTheme="minorHAnsi" w:hAnsiTheme="minorHAnsi" w:cstheme="minorHAnsi"/>
            <w:noProof/>
            <w:webHidden/>
          </w:rPr>
          <w:fldChar w:fldCharType="end"/>
        </w:r>
      </w:hyperlink>
    </w:p>
    <w:p w14:paraId="447C07D2"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618" w:history="1">
        <w:r w:rsidR="00FA4378" w:rsidRPr="00FA4378">
          <w:rPr>
            <w:rStyle w:val="Hyperlink"/>
            <w:rFonts w:asciiTheme="minorHAnsi" w:hAnsiTheme="minorHAnsi" w:cstheme="minorHAnsi"/>
            <w:noProof/>
          </w:rPr>
          <w:t>10.5</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Informal incineration</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_Toc484949618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43</w:t>
        </w:r>
        <w:r w:rsidR="00FA4378" w:rsidRPr="00FA4378">
          <w:rPr>
            <w:rFonts w:asciiTheme="minorHAnsi" w:hAnsiTheme="minorHAnsi" w:cstheme="minorHAnsi"/>
            <w:noProof/>
            <w:webHidden/>
          </w:rPr>
          <w:fldChar w:fldCharType="end"/>
        </w:r>
      </w:hyperlink>
    </w:p>
    <w:p w14:paraId="6544EEF6"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619" w:history="1">
        <w:r w:rsidR="00FA4378" w:rsidRPr="00FA4378">
          <w:rPr>
            <w:rStyle w:val="Hyperlink"/>
            <w:rFonts w:asciiTheme="minorHAnsi" w:hAnsiTheme="minorHAnsi" w:cstheme="minorHAnsi"/>
            <w:noProof/>
          </w:rPr>
          <w:t>10.6</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Other incineration</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_Toc484949619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43</w:t>
        </w:r>
        <w:r w:rsidR="00FA4378" w:rsidRPr="00FA4378">
          <w:rPr>
            <w:rFonts w:asciiTheme="minorHAnsi" w:hAnsiTheme="minorHAnsi" w:cstheme="minorHAnsi"/>
            <w:noProof/>
            <w:webHidden/>
          </w:rPr>
          <w:fldChar w:fldCharType="end"/>
        </w:r>
      </w:hyperlink>
    </w:p>
    <w:p w14:paraId="20902DE2"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620" w:history="1">
        <w:r w:rsidR="00FA4378" w:rsidRPr="00FA4378">
          <w:rPr>
            <w:rStyle w:val="Hyperlink"/>
            <w:rFonts w:asciiTheme="minorHAnsi" w:eastAsia="Calibri" w:hAnsiTheme="minorHAnsi" w:cstheme="minorHAnsi"/>
            <w:noProof/>
          </w:rPr>
          <w:t>10.7</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eastAsia="Calibri" w:hAnsiTheme="minorHAnsi" w:cstheme="minorHAnsi"/>
            <w:noProof/>
          </w:rPr>
          <w:t>Summary for this category for 2016</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_Toc484949620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44</w:t>
        </w:r>
        <w:r w:rsidR="00FA4378" w:rsidRPr="00FA4378">
          <w:rPr>
            <w:rFonts w:asciiTheme="minorHAnsi" w:hAnsiTheme="minorHAnsi" w:cstheme="minorHAnsi"/>
            <w:noProof/>
            <w:webHidden/>
          </w:rPr>
          <w:fldChar w:fldCharType="end"/>
        </w:r>
      </w:hyperlink>
    </w:p>
    <w:p w14:paraId="563CFAC3" w14:textId="77777777" w:rsidR="00FA4378" w:rsidRPr="00FA4378" w:rsidRDefault="005D7893">
      <w:pPr>
        <w:pStyle w:val="TOC1"/>
        <w:rPr>
          <w:rFonts w:eastAsiaTheme="minorEastAsia" w:cstheme="minorHAnsi"/>
          <w:b w:val="0"/>
          <w:lang w:val="en-NZ" w:eastAsia="en-NZ"/>
        </w:rPr>
      </w:pPr>
      <w:hyperlink w:anchor="_Toc484949621" w:history="1">
        <w:r w:rsidR="00FA4378" w:rsidRPr="00FA4378">
          <w:rPr>
            <w:rStyle w:val="Hyperlink"/>
            <w:rFonts w:cstheme="minorHAnsi"/>
          </w:rPr>
          <w:t>11</w:t>
        </w:r>
        <w:r w:rsidR="00FA4378" w:rsidRPr="00FA4378">
          <w:rPr>
            <w:rFonts w:eastAsiaTheme="minorEastAsia" w:cstheme="minorHAnsi"/>
            <w:b w:val="0"/>
            <w:lang w:val="en-NZ" w:eastAsia="en-NZ"/>
          </w:rPr>
          <w:tab/>
        </w:r>
        <w:r w:rsidR="00FA4378" w:rsidRPr="00FA4378">
          <w:rPr>
            <w:rStyle w:val="Hyperlink"/>
            <w:rFonts w:cstheme="minorHAnsi"/>
          </w:rPr>
          <w:t>Waste deposition/landfilling and wastewater treatment</w:t>
        </w:r>
        <w:r w:rsidR="00FA4378" w:rsidRPr="00FA4378">
          <w:rPr>
            <w:rFonts w:cstheme="minorHAnsi"/>
            <w:webHidden/>
          </w:rPr>
          <w:tab/>
        </w:r>
        <w:r w:rsidR="00FA4378" w:rsidRPr="00FA4378">
          <w:rPr>
            <w:rFonts w:cstheme="minorHAnsi"/>
            <w:webHidden/>
          </w:rPr>
          <w:fldChar w:fldCharType="begin"/>
        </w:r>
        <w:r w:rsidR="00FA4378" w:rsidRPr="00FA4378">
          <w:rPr>
            <w:rFonts w:cstheme="minorHAnsi"/>
            <w:webHidden/>
          </w:rPr>
          <w:instrText xml:space="preserve"> PAGEREF _Toc484949621 \h </w:instrText>
        </w:r>
        <w:r w:rsidR="00FA4378" w:rsidRPr="00FA4378">
          <w:rPr>
            <w:rFonts w:cstheme="minorHAnsi"/>
            <w:webHidden/>
          </w:rPr>
        </w:r>
        <w:r w:rsidR="00FA4378" w:rsidRPr="00FA4378">
          <w:rPr>
            <w:rFonts w:cstheme="minorHAnsi"/>
            <w:webHidden/>
          </w:rPr>
          <w:fldChar w:fldCharType="separate"/>
        </w:r>
        <w:r w:rsidR="00AD77DB">
          <w:rPr>
            <w:rFonts w:cstheme="minorHAnsi"/>
            <w:webHidden/>
          </w:rPr>
          <w:t>45</w:t>
        </w:r>
        <w:r w:rsidR="00FA4378" w:rsidRPr="00FA4378">
          <w:rPr>
            <w:rFonts w:cstheme="minorHAnsi"/>
            <w:webHidden/>
          </w:rPr>
          <w:fldChar w:fldCharType="end"/>
        </w:r>
      </w:hyperlink>
    </w:p>
    <w:p w14:paraId="7C6CE580"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622" w:history="1">
        <w:r w:rsidR="00FA4378" w:rsidRPr="00FA4378">
          <w:rPr>
            <w:rStyle w:val="Hyperlink"/>
            <w:rFonts w:asciiTheme="minorHAnsi" w:hAnsiTheme="minorHAnsi" w:cstheme="minorHAnsi"/>
            <w:noProof/>
          </w:rPr>
          <w:t>11.1</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Controlled landfill/deposition</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_Toc484949622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45</w:t>
        </w:r>
        <w:r w:rsidR="00FA4378" w:rsidRPr="00FA4378">
          <w:rPr>
            <w:rFonts w:asciiTheme="minorHAnsi" w:hAnsiTheme="minorHAnsi" w:cstheme="minorHAnsi"/>
            <w:noProof/>
            <w:webHidden/>
          </w:rPr>
          <w:fldChar w:fldCharType="end"/>
        </w:r>
      </w:hyperlink>
    </w:p>
    <w:p w14:paraId="78AD5775"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623" w:history="1">
        <w:r w:rsidR="00FA4378" w:rsidRPr="00FA4378">
          <w:rPr>
            <w:rStyle w:val="Hyperlink"/>
            <w:rFonts w:asciiTheme="minorHAnsi" w:hAnsiTheme="minorHAnsi" w:cstheme="minorHAnsi"/>
            <w:noProof/>
          </w:rPr>
          <w:t>11.2</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Diffuse deposition, informal disposal and dumping</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_Toc484949623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46</w:t>
        </w:r>
        <w:r w:rsidR="00FA4378" w:rsidRPr="00FA4378">
          <w:rPr>
            <w:rFonts w:asciiTheme="minorHAnsi" w:hAnsiTheme="minorHAnsi" w:cstheme="minorHAnsi"/>
            <w:noProof/>
            <w:webHidden/>
          </w:rPr>
          <w:fldChar w:fldCharType="end"/>
        </w:r>
      </w:hyperlink>
    </w:p>
    <w:p w14:paraId="2D011C5D"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624" w:history="1">
        <w:r w:rsidR="00FA4378" w:rsidRPr="00FA4378">
          <w:rPr>
            <w:rStyle w:val="Hyperlink"/>
            <w:rFonts w:asciiTheme="minorHAnsi" w:hAnsiTheme="minorHAnsi" w:cstheme="minorHAnsi"/>
            <w:noProof/>
          </w:rPr>
          <w:t>11.3</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Wastewater treatment systems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_Toc484949624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46</w:t>
        </w:r>
        <w:r w:rsidR="00FA4378" w:rsidRPr="00FA4378">
          <w:rPr>
            <w:rFonts w:asciiTheme="minorHAnsi" w:hAnsiTheme="minorHAnsi" w:cstheme="minorHAnsi"/>
            <w:noProof/>
            <w:webHidden/>
          </w:rPr>
          <w:fldChar w:fldCharType="end"/>
        </w:r>
      </w:hyperlink>
    </w:p>
    <w:p w14:paraId="1EA9F52D"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625" w:history="1">
        <w:r w:rsidR="00FA4378" w:rsidRPr="00FA4378">
          <w:rPr>
            <w:rStyle w:val="Hyperlink"/>
            <w:rFonts w:asciiTheme="minorHAnsi" w:hAnsiTheme="minorHAnsi" w:cstheme="minorHAnsi"/>
            <w:noProof/>
          </w:rPr>
          <w:t>11.4</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Specialist waste disposal services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_Toc484949625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48</w:t>
        </w:r>
        <w:r w:rsidR="00FA4378" w:rsidRPr="00FA4378">
          <w:rPr>
            <w:rFonts w:asciiTheme="minorHAnsi" w:hAnsiTheme="minorHAnsi" w:cstheme="minorHAnsi"/>
            <w:noProof/>
            <w:webHidden/>
          </w:rPr>
          <w:fldChar w:fldCharType="end"/>
        </w:r>
      </w:hyperlink>
    </w:p>
    <w:p w14:paraId="792F8D92"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626" w:history="1">
        <w:r w:rsidR="00FA4378" w:rsidRPr="00FA4378">
          <w:rPr>
            <w:rStyle w:val="Hyperlink"/>
            <w:rFonts w:asciiTheme="minorHAnsi" w:eastAsia="Calibri" w:hAnsiTheme="minorHAnsi" w:cstheme="minorHAnsi"/>
            <w:noProof/>
          </w:rPr>
          <w:t>11.5</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eastAsia="Calibri" w:hAnsiTheme="minorHAnsi" w:cstheme="minorHAnsi"/>
            <w:noProof/>
          </w:rPr>
          <w:t>Summary for this category</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_Toc484949626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48</w:t>
        </w:r>
        <w:r w:rsidR="00FA4378" w:rsidRPr="00FA4378">
          <w:rPr>
            <w:rFonts w:asciiTheme="minorHAnsi" w:hAnsiTheme="minorHAnsi" w:cstheme="minorHAnsi"/>
            <w:noProof/>
            <w:webHidden/>
          </w:rPr>
          <w:fldChar w:fldCharType="end"/>
        </w:r>
      </w:hyperlink>
    </w:p>
    <w:p w14:paraId="30570C28" w14:textId="77777777" w:rsidR="00FA4378" w:rsidRPr="00FA4378" w:rsidRDefault="005D7893">
      <w:pPr>
        <w:pStyle w:val="TOC1"/>
        <w:rPr>
          <w:rFonts w:eastAsiaTheme="minorEastAsia" w:cstheme="minorHAnsi"/>
          <w:b w:val="0"/>
          <w:lang w:val="en-NZ" w:eastAsia="en-NZ"/>
        </w:rPr>
      </w:pPr>
      <w:hyperlink w:anchor="_Toc484949627" w:history="1">
        <w:r w:rsidR="00FA4378" w:rsidRPr="00FA4378">
          <w:rPr>
            <w:rStyle w:val="Hyperlink"/>
            <w:rFonts w:cstheme="minorHAnsi"/>
          </w:rPr>
          <w:t>12</w:t>
        </w:r>
        <w:r w:rsidR="00FA4378" w:rsidRPr="00FA4378">
          <w:rPr>
            <w:rFonts w:eastAsiaTheme="minorEastAsia" w:cstheme="minorHAnsi"/>
            <w:b w:val="0"/>
            <w:lang w:val="en-NZ" w:eastAsia="en-NZ"/>
          </w:rPr>
          <w:tab/>
        </w:r>
        <w:r w:rsidR="00FA4378" w:rsidRPr="00FA4378">
          <w:rPr>
            <w:rStyle w:val="Hyperlink"/>
            <w:rFonts w:cstheme="minorHAnsi"/>
          </w:rPr>
          <w:t>Crematoria and cemeteries</w:t>
        </w:r>
        <w:r w:rsidR="00FA4378" w:rsidRPr="00FA4378">
          <w:rPr>
            <w:rFonts w:cstheme="minorHAnsi"/>
            <w:webHidden/>
          </w:rPr>
          <w:tab/>
        </w:r>
        <w:r w:rsidR="00FA4378" w:rsidRPr="00FA4378">
          <w:rPr>
            <w:rFonts w:cstheme="minorHAnsi"/>
            <w:webHidden/>
          </w:rPr>
          <w:fldChar w:fldCharType="begin"/>
        </w:r>
        <w:r w:rsidR="00FA4378" w:rsidRPr="00FA4378">
          <w:rPr>
            <w:rFonts w:cstheme="minorHAnsi"/>
            <w:webHidden/>
          </w:rPr>
          <w:instrText xml:space="preserve"> PAGEREF _Toc484949627 \h </w:instrText>
        </w:r>
        <w:r w:rsidR="00FA4378" w:rsidRPr="00FA4378">
          <w:rPr>
            <w:rFonts w:cstheme="minorHAnsi"/>
            <w:webHidden/>
          </w:rPr>
        </w:r>
        <w:r w:rsidR="00FA4378" w:rsidRPr="00FA4378">
          <w:rPr>
            <w:rFonts w:cstheme="minorHAnsi"/>
            <w:webHidden/>
          </w:rPr>
          <w:fldChar w:fldCharType="separate"/>
        </w:r>
        <w:r w:rsidR="00AD77DB">
          <w:rPr>
            <w:rFonts w:cstheme="minorHAnsi"/>
            <w:webHidden/>
          </w:rPr>
          <w:t>49</w:t>
        </w:r>
        <w:r w:rsidR="00FA4378" w:rsidRPr="00FA4378">
          <w:rPr>
            <w:rFonts w:cstheme="minorHAnsi"/>
            <w:webHidden/>
          </w:rPr>
          <w:fldChar w:fldCharType="end"/>
        </w:r>
      </w:hyperlink>
    </w:p>
    <w:p w14:paraId="167A2696"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628" w:history="1">
        <w:r w:rsidR="00FA4378" w:rsidRPr="00FA4378">
          <w:rPr>
            <w:rStyle w:val="Hyperlink"/>
            <w:rFonts w:asciiTheme="minorHAnsi" w:hAnsiTheme="minorHAnsi" w:cstheme="minorHAnsi"/>
            <w:noProof/>
          </w:rPr>
          <w:t>12.1</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Crematoria and cemeteries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_Toc484949628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49</w:t>
        </w:r>
        <w:r w:rsidR="00FA4378" w:rsidRPr="00FA4378">
          <w:rPr>
            <w:rFonts w:asciiTheme="minorHAnsi" w:hAnsiTheme="minorHAnsi" w:cstheme="minorHAnsi"/>
            <w:noProof/>
            <w:webHidden/>
          </w:rPr>
          <w:fldChar w:fldCharType="end"/>
        </w:r>
      </w:hyperlink>
    </w:p>
    <w:p w14:paraId="672709FA"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629" w:history="1">
        <w:r w:rsidR="00FA4378" w:rsidRPr="00FA4378">
          <w:rPr>
            <w:rStyle w:val="Hyperlink"/>
            <w:rFonts w:asciiTheme="minorHAnsi" w:eastAsia="Calibri" w:hAnsiTheme="minorHAnsi" w:cstheme="minorHAnsi"/>
            <w:noProof/>
          </w:rPr>
          <w:t>12.2</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eastAsia="Calibri" w:hAnsiTheme="minorHAnsi" w:cstheme="minorHAnsi"/>
            <w:noProof/>
          </w:rPr>
          <w:t>Summary for this category</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_Toc484949629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50</w:t>
        </w:r>
        <w:r w:rsidR="00FA4378" w:rsidRPr="00FA4378">
          <w:rPr>
            <w:rFonts w:asciiTheme="minorHAnsi" w:hAnsiTheme="minorHAnsi" w:cstheme="minorHAnsi"/>
            <w:noProof/>
            <w:webHidden/>
          </w:rPr>
          <w:fldChar w:fldCharType="end"/>
        </w:r>
      </w:hyperlink>
    </w:p>
    <w:p w14:paraId="5FB6B294" w14:textId="77777777" w:rsidR="00FA4378" w:rsidRPr="00FA4378" w:rsidRDefault="005D7893">
      <w:pPr>
        <w:pStyle w:val="TOC1"/>
        <w:rPr>
          <w:rFonts w:eastAsiaTheme="minorEastAsia" w:cstheme="minorHAnsi"/>
          <w:b w:val="0"/>
          <w:lang w:val="en-NZ" w:eastAsia="en-NZ"/>
        </w:rPr>
      </w:pPr>
      <w:hyperlink w:anchor="_Toc484949630" w:history="1">
        <w:r w:rsidR="00FA4378" w:rsidRPr="00FA4378">
          <w:rPr>
            <w:rStyle w:val="Hyperlink"/>
            <w:rFonts w:cstheme="minorHAnsi"/>
          </w:rPr>
          <w:t>13</w:t>
        </w:r>
        <w:r w:rsidR="00FA4378" w:rsidRPr="00FA4378">
          <w:rPr>
            <w:rFonts w:eastAsiaTheme="minorEastAsia" w:cstheme="minorHAnsi"/>
            <w:b w:val="0"/>
            <w:lang w:val="en-NZ" w:eastAsia="en-NZ"/>
          </w:rPr>
          <w:tab/>
        </w:r>
        <w:r w:rsidR="00FA4378" w:rsidRPr="00FA4378">
          <w:rPr>
            <w:rStyle w:val="Hyperlink"/>
            <w:rFonts w:cstheme="minorHAnsi"/>
          </w:rPr>
          <w:t>Potential hotspots</w:t>
        </w:r>
        <w:r w:rsidR="00FA4378" w:rsidRPr="00FA4378">
          <w:rPr>
            <w:rFonts w:cstheme="minorHAnsi"/>
            <w:webHidden/>
          </w:rPr>
          <w:tab/>
        </w:r>
        <w:r w:rsidR="00FA4378" w:rsidRPr="00FA4378">
          <w:rPr>
            <w:rFonts w:cstheme="minorHAnsi"/>
            <w:webHidden/>
          </w:rPr>
          <w:fldChar w:fldCharType="begin"/>
        </w:r>
        <w:r w:rsidR="00FA4378" w:rsidRPr="00FA4378">
          <w:rPr>
            <w:rFonts w:cstheme="minorHAnsi"/>
            <w:webHidden/>
          </w:rPr>
          <w:instrText xml:space="preserve"> PAGEREF _Toc484949630 \h </w:instrText>
        </w:r>
        <w:r w:rsidR="00FA4378" w:rsidRPr="00FA4378">
          <w:rPr>
            <w:rFonts w:cstheme="minorHAnsi"/>
            <w:webHidden/>
          </w:rPr>
        </w:r>
        <w:r w:rsidR="00FA4378" w:rsidRPr="00FA4378">
          <w:rPr>
            <w:rFonts w:cstheme="minorHAnsi"/>
            <w:webHidden/>
          </w:rPr>
          <w:fldChar w:fldCharType="separate"/>
        </w:r>
        <w:r w:rsidR="00AD77DB">
          <w:rPr>
            <w:rFonts w:cstheme="minorHAnsi"/>
            <w:webHidden/>
          </w:rPr>
          <w:t>51</w:t>
        </w:r>
        <w:r w:rsidR="00FA4378" w:rsidRPr="00FA4378">
          <w:rPr>
            <w:rFonts w:cstheme="minorHAnsi"/>
            <w:webHidden/>
          </w:rPr>
          <w:fldChar w:fldCharType="end"/>
        </w:r>
      </w:hyperlink>
    </w:p>
    <w:p w14:paraId="7EEDD425" w14:textId="77777777" w:rsidR="00FA4378" w:rsidRPr="00FA4378" w:rsidRDefault="005D7893">
      <w:pPr>
        <w:pStyle w:val="TOC1"/>
        <w:rPr>
          <w:rFonts w:eastAsiaTheme="minorEastAsia" w:cstheme="minorHAnsi"/>
          <w:b w:val="0"/>
          <w:lang w:val="en-NZ" w:eastAsia="en-NZ"/>
        </w:rPr>
      </w:pPr>
      <w:hyperlink w:anchor="_Toc484949631" w:history="1">
        <w:r w:rsidR="00FA4378" w:rsidRPr="00FA4378">
          <w:rPr>
            <w:rStyle w:val="Hyperlink"/>
            <w:rFonts w:cstheme="minorHAnsi"/>
          </w:rPr>
          <w:t>14</w:t>
        </w:r>
        <w:r w:rsidR="00FA4378" w:rsidRPr="00FA4378">
          <w:rPr>
            <w:rFonts w:eastAsiaTheme="minorEastAsia" w:cstheme="minorHAnsi"/>
            <w:b w:val="0"/>
            <w:lang w:val="en-NZ" w:eastAsia="en-NZ"/>
          </w:rPr>
          <w:tab/>
        </w:r>
        <w:r w:rsidR="00FA4378" w:rsidRPr="00FA4378">
          <w:rPr>
            <w:rStyle w:val="Hyperlink"/>
            <w:rFonts w:cstheme="minorHAnsi"/>
          </w:rPr>
          <w:t>Summary and discussion</w:t>
        </w:r>
        <w:r w:rsidR="00FA4378" w:rsidRPr="00FA4378">
          <w:rPr>
            <w:rFonts w:cstheme="minorHAnsi"/>
            <w:webHidden/>
          </w:rPr>
          <w:tab/>
        </w:r>
        <w:r w:rsidR="00FA4378" w:rsidRPr="00FA4378">
          <w:rPr>
            <w:rFonts w:cstheme="minorHAnsi"/>
            <w:webHidden/>
          </w:rPr>
          <w:fldChar w:fldCharType="begin"/>
        </w:r>
        <w:r w:rsidR="00FA4378" w:rsidRPr="00FA4378">
          <w:rPr>
            <w:rFonts w:cstheme="minorHAnsi"/>
            <w:webHidden/>
          </w:rPr>
          <w:instrText xml:space="preserve"> PAGEREF _Toc484949631 \h </w:instrText>
        </w:r>
        <w:r w:rsidR="00FA4378" w:rsidRPr="00FA4378">
          <w:rPr>
            <w:rFonts w:cstheme="minorHAnsi"/>
            <w:webHidden/>
          </w:rPr>
        </w:r>
        <w:r w:rsidR="00FA4378" w:rsidRPr="00FA4378">
          <w:rPr>
            <w:rFonts w:cstheme="minorHAnsi"/>
            <w:webHidden/>
          </w:rPr>
          <w:fldChar w:fldCharType="separate"/>
        </w:r>
        <w:r w:rsidR="00AD77DB">
          <w:rPr>
            <w:rFonts w:cstheme="minorHAnsi"/>
            <w:webHidden/>
          </w:rPr>
          <w:t>52</w:t>
        </w:r>
        <w:r w:rsidR="00FA4378" w:rsidRPr="00FA4378">
          <w:rPr>
            <w:rFonts w:cstheme="minorHAnsi"/>
            <w:webHidden/>
          </w:rPr>
          <w:fldChar w:fldCharType="end"/>
        </w:r>
      </w:hyperlink>
    </w:p>
    <w:p w14:paraId="04F07D5D"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632" w:history="1">
        <w:r w:rsidR="00FA4378" w:rsidRPr="00FA4378">
          <w:rPr>
            <w:rStyle w:val="Hyperlink"/>
            <w:rFonts w:asciiTheme="minorHAnsi" w:hAnsiTheme="minorHAnsi" w:cstheme="minorHAnsi"/>
            <w:noProof/>
          </w:rPr>
          <w:t>14.1</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High level summary of mercury inputs and outputs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_Toc484949632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52</w:t>
        </w:r>
        <w:r w:rsidR="00FA4378" w:rsidRPr="00FA4378">
          <w:rPr>
            <w:rFonts w:asciiTheme="minorHAnsi" w:hAnsiTheme="minorHAnsi" w:cstheme="minorHAnsi"/>
            <w:noProof/>
            <w:webHidden/>
          </w:rPr>
          <w:fldChar w:fldCharType="end"/>
        </w:r>
      </w:hyperlink>
    </w:p>
    <w:p w14:paraId="19061E3F"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633" w:history="1">
        <w:r w:rsidR="00FA4378" w:rsidRPr="00FA4378">
          <w:rPr>
            <w:rStyle w:val="Hyperlink"/>
            <w:rFonts w:asciiTheme="minorHAnsi" w:hAnsiTheme="minorHAnsi" w:cstheme="minorHAnsi"/>
            <w:noProof/>
          </w:rPr>
          <w:t>14.2</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Source by source summary of mercury inputs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_Toc484949633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53</w:t>
        </w:r>
        <w:r w:rsidR="00FA4378" w:rsidRPr="00FA4378">
          <w:rPr>
            <w:rFonts w:asciiTheme="minorHAnsi" w:hAnsiTheme="minorHAnsi" w:cstheme="minorHAnsi"/>
            <w:noProof/>
            <w:webHidden/>
          </w:rPr>
          <w:fldChar w:fldCharType="end"/>
        </w:r>
      </w:hyperlink>
    </w:p>
    <w:p w14:paraId="1AC318FA"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634" w:history="1">
        <w:r w:rsidR="00FA4378" w:rsidRPr="00FA4378">
          <w:rPr>
            <w:rStyle w:val="Hyperlink"/>
            <w:rFonts w:asciiTheme="minorHAnsi" w:hAnsiTheme="minorHAnsi" w:cstheme="minorHAnsi"/>
            <w:noProof/>
          </w:rPr>
          <w:t>14.3</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Changes in mercury inputs since 2012</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_Toc484949634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54</w:t>
        </w:r>
        <w:r w:rsidR="00FA4378" w:rsidRPr="00FA4378">
          <w:rPr>
            <w:rFonts w:asciiTheme="minorHAnsi" w:hAnsiTheme="minorHAnsi" w:cstheme="minorHAnsi"/>
            <w:noProof/>
            <w:webHidden/>
          </w:rPr>
          <w:fldChar w:fldCharType="end"/>
        </w:r>
      </w:hyperlink>
    </w:p>
    <w:p w14:paraId="49A1EA3D" w14:textId="77777777" w:rsidR="00FA4378" w:rsidRPr="00FA4378" w:rsidRDefault="005D7893">
      <w:pPr>
        <w:pStyle w:val="TOC2"/>
        <w:tabs>
          <w:tab w:val="left" w:pos="880"/>
          <w:tab w:val="right" w:leader="dot" w:pos="9061"/>
        </w:tabs>
        <w:rPr>
          <w:rFonts w:asciiTheme="minorHAnsi" w:eastAsiaTheme="minorEastAsia" w:hAnsiTheme="minorHAnsi" w:cstheme="minorHAnsi"/>
          <w:noProof/>
          <w:lang w:eastAsia="en-NZ"/>
        </w:rPr>
      </w:pPr>
      <w:hyperlink w:anchor="_Toc484949635" w:history="1">
        <w:r w:rsidR="00FA4378" w:rsidRPr="00FA4378">
          <w:rPr>
            <w:rStyle w:val="Hyperlink"/>
            <w:rFonts w:asciiTheme="minorHAnsi" w:hAnsiTheme="minorHAnsi" w:cstheme="minorHAnsi"/>
            <w:noProof/>
          </w:rPr>
          <w:t>14.4</w:t>
        </w:r>
        <w:r w:rsidR="00FA4378" w:rsidRPr="00FA4378">
          <w:rPr>
            <w:rFonts w:asciiTheme="minorHAnsi" w:eastAsiaTheme="minorEastAsia" w:hAnsiTheme="minorHAnsi" w:cstheme="minorHAnsi"/>
            <w:noProof/>
            <w:lang w:eastAsia="en-NZ"/>
          </w:rPr>
          <w:tab/>
        </w:r>
        <w:r w:rsidR="00FA4378" w:rsidRPr="00FA4378">
          <w:rPr>
            <w:rStyle w:val="Hyperlink"/>
            <w:rFonts w:asciiTheme="minorHAnsi" w:hAnsiTheme="minorHAnsi" w:cstheme="minorHAnsi"/>
            <w:noProof/>
          </w:rPr>
          <w:t>Summary of mercury outputs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_Toc484949635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55</w:t>
        </w:r>
        <w:r w:rsidR="00FA4378" w:rsidRPr="00FA4378">
          <w:rPr>
            <w:rFonts w:asciiTheme="minorHAnsi" w:hAnsiTheme="minorHAnsi" w:cstheme="minorHAnsi"/>
            <w:noProof/>
            <w:webHidden/>
          </w:rPr>
          <w:fldChar w:fldCharType="end"/>
        </w:r>
      </w:hyperlink>
    </w:p>
    <w:p w14:paraId="63A40192" w14:textId="77777777" w:rsidR="00FA4378" w:rsidRPr="00FA4378" w:rsidRDefault="005D7893">
      <w:pPr>
        <w:pStyle w:val="TOC1"/>
        <w:rPr>
          <w:rFonts w:eastAsiaTheme="minorEastAsia" w:cstheme="minorHAnsi"/>
          <w:b w:val="0"/>
          <w:lang w:val="en-NZ" w:eastAsia="en-NZ"/>
        </w:rPr>
      </w:pPr>
      <w:hyperlink w:anchor="_Toc484949636" w:history="1">
        <w:r w:rsidR="00FA4378" w:rsidRPr="00FA4378">
          <w:rPr>
            <w:rStyle w:val="Hyperlink"/>
            <w:rFonts w:cstheme="minorHAnsi"/>
          </w:rPr>
          <w:t>15</w:t>
        </w:r>
        <w:r w:rsidR="00FA4378" w:rsidRPr="00FA4378">
          <w:rPr>
            <w:rFonts w:eastAsiaTheme="minorEastAsia" w:cstheme="minorHAnsi"/>
            <w:b w:val="0"/>
            <w:lang w:val="en-NZ" w:eastAsia="en-NZ"/>
          </w:rPr>
          <w:tab/>
        </w:r>
        <w:r w:rsidR="00FA4378" w:rsidRPr="00FA4378">
          <w:rPr>
            <w:rStyle w:val="Hyperlink"/>
            <w:rFonts w:cstheme="minorHAnsi"/>
          </w:rPr>
          <w:t>List of References</w:t>
        </w:r>
        <w:r w:rsidR="00FA4378" w:rsidRPr="00FA4378">
          <w:rPr>
            <w:rFonts w:cstheme="minorHAnsi"/>
            <w:webHidden/>
          </w:rPr>
          <w:tab/>
        </w:r>
        <w:r w:rsidR="00FA4378" w:rsidRPr="00FA4378">
          <w:rPr>
            <w:rFonts w:cstheme="minorHAnsi"/>
            <w:webHidden/>
          </w:rPr>
          <w:fldChar w:fldCharType="begin"/>
        </w:r>
        <w:r w:rsidR="00FA4378" w:rsidRPr="00FA4378">
          <w:rPr>
            <w:rFonts w:cstheme="minorHAnsi"/>
            <w:webHidden/>
          </w:rPr>
          <w:instrText xml:space="preserve"> PAGEREF _Toc484949636 \h </w:instrText>
        </w:r>
        <w:r w:rsidR="00FA4378" w:rsidRPr="00FA4378">
          <w:rPr>
            <w:rFonts w:cstheme="minorHAnsi"/>
            <w:webHidden/>
          </w:rPr>
        </w:r>
        <w:r w:rsidR="00FA4378" w:rsidRPr="00FA4378">
          <w:rPr>
            <w:rFonts w:cstheme="minorHAnsi"/>
            <w:webHidden/>
          </w:rPr>
          <w:fldChar w:fldCharType="separate"/>
        </w:r>
        <w:r w:rsidR="00AD77DB">
          <w:rPr>
            <w:rFonts w:cstheme="minorHAnsi"/>
            <w:webHidden/>
          </w:rPr>
          <w:t>61</w:t>
        </w:r>
        <w:r w:rsidR="00FA4378" w:rsidRPr="00FA4378">
          <w:rPr>
            <w:rFonts w:cstheme="minorHAnsi"/>
            <w:webHidden/>
          </w:rPr>
          <w:fldChar w:fldCharType="end"/>
        </w:r>
      </w:hyperlink>
    </w:p>
    <w:p w14:paraId="5B6E1FD3" w14:textId="77777777" w:rsidR="00C869FA" w:rsidRDefault="00314951" w:rsidP="004C49D1">
      <w:pPr>
        <w:spacing w:after="0" w:line="360" w:lineRule="auto"/>
        <w:jc w:val="both"/>
        <w:rPr>
          <w:rFonts w:ascii="Arial" w:hAnsi="Arial" w:cs="Arial"/>
        </w:rPr>
      </w:pPr>
      <w:r w:rsidRPr="00FA4378">
        <w:rPr>
          <w:rFonts w:asciiTheme="minorHAnsi" w:hAnsiTheme="minorHAnsi" w:cstheme="minorHAnsi"/>
        </w:rPr>
        <w:fldChar w:fldCharType="end"/>
      </w:r>
    </w:p>
    <w:p w14:paraId="2AC7D51E" w14:textId="77777777" w:rsidR="00C869FA" w:rsidRPr="00270CD3" w:rsidRDefault="00C869FA" w:rsidP="00C869FA">
      <w:pPr>
        <w:spacing w:line="300" w:lineRule="atLeast"/>
        <w:jc w:val="center"/>
        <w:rPr>
          <w:rFonts w:ascii="Arial" w:hAnsi="Arial" w:cs="Arial"/>
          <w:b/>
          <w:sz w:val="28"/>
          <w:szCs w:val="28"/>
        </w:rPr>
      </w:pPr>
      <w:r>
        <w:rPr>
          <w:rFonts w:ascii="Arial" w:hAnsi="Arial" w:cs="Arial"/>
          <w:b/>
          <w:sz w:val="28"/>
          <w:szCs w:val="28"/>
        </w:rPr>
        <w:t>Table of Tables</w:t>
      </w:r>
    </w:p>
    <w:p w14:paraId="4F47B637" w14:textId="77777777" w:rsidR="00C869FA" w:rsidRDefault="00C869FA" w:rsidP="00C869FA">
      <w:pPr>
        <w:spacing w:after="0" w:line="300" w:lineRule="atLeast"/>
        <w:jc w:val="both"/>
        <w:rPr>
          <w:rFonts w:ascii="Arial" w:hAnsi="Arial" w:cs="Arial"/>
        </w:rPr>
      </w:pPr>
    </w:p>
    <w:p w14:paraId="522193D0" w14:textId="77777777" w:rsidR="00FA4378" w:rsidRPr="00FA4378" w:rsidRDefault="002E4B98"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r w:rsidRPr="00FA4378">
        <w:rPr>
          <w:rFonts w:asciiTheme="minorHAnsi" w:hAnsiTheme="minorHAnsi" w:cstheme="minorHAnsi"/>
        </w:rPr>
        <w:fldChar w:fldCharType="begin"/>
      </w:r>
      <w:r w:rsidRPr="00FA4378">
        <w:rPr>
          <w:rFonts w:asciiTheme="minorHAnsi" w:hAnsiTheme="minorHAnsi" w:cstheme="minorHAnsi"/>
        </w:rPr>
        <w:instrText xml:space="preserve"> TOC \h \z \c "Table" </w:instrText>
      </w:r>
      <w:r w:rsidRPr="00FA4378">
        <w:rPr>
          <w:rFonts w:asciiTheme="minorHAnsi" w:hAnsiTheme="minorHAnsi" w:cstheme="minorHAnsi"/>
        </w:rPr>
        <w:fldChar w:fldCharType="separate"/>
      </w:r>
      <w:hyperlink w:anchor="_Toc484949637" w:history="1">
        <w:r w:rsidR="00FA4378" w:rsidRPr="00FA4378">
          <w:rPr>
            <w:rStyle w:val="Hyperlink"/>
            <w:rFonts w:asciiTheme="minorHAnsi" w:hAnsiTheme="minorHAnsi" w:cstheme="minorHAnsi"/>
            <w:noProof/>
          </w:rPr>
          <w:t>Table 3</w:t>
        </w:r>
        <w:r w:rsidR="00FA4378" w:rsidRPr="00FA4378">
          <w:rPr>
            <w:rStyle w:val="Hyperlink"/>
            <w:rFonts w:asciiTheme="minorHAnsi" w:hAnsiTheme="minorHAnsi" w:cstheme="minorHAnsi"/>
            <w:noProof/>
          </w:rPr>
          <w:noBreakHyphen/>
          <w:t>1: Toolkit framework for category 1 - extraction and use of fuels/energy sources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_Toc484949637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5</w:t>
        </w:r>
        <w:r w:rsidR="00FA4378" w:rsidRPr="00FA4378">
          <w:rPr>
            <w:rFonts w:asciiTheme="minorHAnsi" w:hAnsiTheme="minorHAnsi" w:cstheme="minorHAnsi"/>
            <w:noProof/>
            <w:webHidden/>
          </w:rPr>
          <w:fldChar w:fldCharType="end"/>
        </w:r>
      </w:hyperlink>
    </w:p>
    <w:p w14:paraId="6D306CD9"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38" w:history="1">
        <w:r w:rsidR="00FA4378" w:rsidRPr="00FA4378">
          <w:rPr>
            <w:rStyle w:val="Hyperlink"/>
            <w:rFonts w:asciiTheme="minorHAnsi" w:hAnsiTheme="minorHAnsi" w:cstheme="minorHAnsi"/>
            <w:noProof/>
          </w:rPr>
          <w:t>Table 3</w:t>
        </w:r>
        <w:r w:rsidR="00FA4378" w:rsidRPr="00FA4378">
          <w:rPr>
            <w:rStyle w:val="Hyperlink"/>
            <w:rFonts w:asciiTheme="minorHAnsi" w:hAnsiTheme="minorHAnsi" w:cstheme="minorHAnsi"/>
            <w:noProof/>
          </w:rPr>
          <w:noBreakHyphen/>
          <w:t>2:  Input and output estimates for coal combustion in large power plants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_Toc484949638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6</w:t>
        </w:r>
        <w:r w:rsidR="00FA4378" w:rsidRPr="00FA4378">
          <w:rPr>
            <w:rFonts w:asciiTheme="minorHAnsi" w:hAnsiTheme="minorHAnsi" w:cstheme="minorHAnsi"/>
            <w:noProof/>
            <w:webHidden/>
          </w:rPr>
          <w:fldChar w:fldCharType="end"/>
        </w:r>
      </w:hyperlink>
    </w:p>
    <w:p w14:paraId="75CCBC50"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39" w:history="1">
        <w:r w:rsidR="00FA4378" w:rsidRPr="00FA4378">
          <w:rPr>
            <w:rStyle w:val="Hyperlink"/>
            <w:rFonts w:asciiTheme="minorHAnsi" w:hAnsiTheme="minorHAnsi" w:cstheme="minorHAnsi"/>
            <w:noProof/>
          </w:rPr>
          <w:t>Table 3</w:t>
        </w:r>
        <w:r w:rsidR="00FA4378" w:rsidRPr="00FA4378">
          <w:rPr>
            <w:rStyle w:val="Hyperlink"/>
            <w:rFonts w:asciiTheme="minorHAnsi" w:hAnsiTheme="minorHAnsi" w:cstheme="minorHAnsi"/>
            <w:noProof/>
          </w:rPr>
          <w:noBreakHyphen/>
          <w:t>3:  Input and output estimates for other coal combustion</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_Toc484949639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8</w:t>
        </w:r>
        <w:r w:rsidR="00FA4378" w:rsidRPr="00FA4378">
          <w:rPr>
            <w:rFonts w:asciiTheme="minorHAnsi" w:hAnsiTheme="minorHAnsi" w:cstheme="minorHAnsi"/>
            <w:noProof/>
            <w:webHidden/>
          </w:rPr>
          <w:fldChar w:fldCharType="end"/>
        </w:r>
      </w:hyperlink>
    </w:p>
    <w:p w14:paraId="4A613017"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40" w:history="1">
        <w:r w:rsidR="00FA4378" w:rsidRPr="00FA4378">
          <w:rPr>
            <w:rStyle w:val="Hyperlink"/>
            <w:rFonts w:asciiTheme="minorHAnsi" w:hAnsiTheme="minorHAnsi" w:cstheme="minorHAnsi"/>
            <w:noProof/>
          </w:rPr>
          <w:t>Table 3</w:t>
        </w:r>
        <w:r w:rsidR="00FA4378" w:rsidRPr="00FA4378">
          <w:rPr>
            <w:rStyle w:val="Hyperlink"/>
            <w:rFonts w:asciiTheme="minorHAnsi" w:hAnsiTheme="minorHAnsi" w:cstheme="minorHAnsi"/>
            <w:noProof/>
          </w:rPr>
          <w:noBreakHyphen/>
          <w:t>4: Input and output estimates for mineral oils - extraction, refining and use</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_Toc484949640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10</w:t>
        </w:r>
        <w:r w:rsidR="00FA4378" w:rsidRPr="00FA4378">
          <w:rPr>
            <w:rFonts w:asciiTheme="minorHAnsi" w:hAnsiTheme="minorHAnsi" w:cstheme="minorHAnsi"/>
            <w:noProof/>
            <w:webHidden/>
          </w:rPr>
          <w:fldChar w:fldCharType="end"/>
        </w:r>
      </w:hyperlink>
    </w:p>
    <w:p w14:paraId="0D7EB2E8"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41" w:history="1">
        <w:r w:rsidR="00FA4378" w:rsidRPr="00FA4378">
          <w:rPr>
            <w:rStyle w:val="Hyperlink"/>
            <w:rFonts w:asciiTheme="minorHAnsi" w:hAnsiTheme="minorHAnsi" w:cstheme="minorHAnsi"/>
            <w:noProof/>
          </w:rPr>
          <w:t>Table 3</w:t>
        </w:r>
        <w:r w:rsidR="00FA4378" w:rsidRPr="00FA4378">
          <w:rPr>
            <w:rStyle w:val="Hyperlink"/>
            <w:rFonts w:asciiTheme="minorHAnsi" w:hAnsiTheme="minorHAnsi" w:cstheme="minorHAnsi"/>
            <w:noProof/>
          </w:rPr>
          <w:noBreakHyphen/>
          <w:t>5: Input and output estimates for natural gas - extraction, refining and use</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_Toc484949641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11</w:t>
        </w:r>
        <w:r w:rsidR="00FA4378" w:rsidRPr="00FA4378">
          <w:rPr>
            <w:rFonts w:asciiTheme="minorHAnsi" w:hAnsiTheme="minorHAnsi" w:cstheme="minorHAnsi"/>
            <w:noProof/>
            <w:webHidden/>
          </w:rPr>
          <w:fldChar w:fldCharType="end"/>
        </w:r>
      </w:hyperlink>
    </w:p>
    <w:p w14:paraId="50A22BDF"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42" w:history="1">
        <w:r w:rsidR="00FA4378" w:rsidRPr="00FA4378">
          <w:rPr>
            <w:rStyle w:val="Hyperlink"/>
            <w:rFonts w:asciiTheme="minorHAnsi" w:hAnsiTheme="minorHAnsi" w:cstheme="minorHAnsi"/>
            <w:noProof/>
          </w:rPr>
          <w:t>Table 3</w:t>
        </w:r>
        <w:r w:rsidR="00FA4378" w:rsidRPr="00FA4378">
          <w:rPr>
            <w:rStyle w:val="Hyperlink"/>
            <w:rFonts w:asciiTheme="minorHAnsi" w:hAnsiTheme="minorHAnsi" w:cstheme="minorHAnsi"/>
            <w:noProof/>
          </w:rPr>
          <w:noBreakHyphen/>
          <w:t>6:  Input and output estimates for biomass-fired power and heat production</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_Toc484949642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12</w:t>
        </w:r>
        <w:r w:rsidR="00FA4378" w:rsidRPr="00FA4378">
          <w:rPr>
            <w:rFonts w:asciiTheme="minorHAnsi" w:hAnsiTheme="minorHAnsi" w:cstheme="minorHAnsi"/>
            <w:noProof/>
            <w:webHidden/>
          </w:rPr>
          <w:fldChar w:fldCharType="end"/>
        </w:r>
      </w:hyperlink>
    </w:p>
    <w:p w14:paraId="7879EFB0"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43" w:history="1">
        <w:r w:rsidR="00FA4378" w:rsidRPr="00FA4378">
          <w:rPr>
            <w:rStyle w:val="Hyperlink"/>
            <w:rFonts w:asciiTheme="minorHAnsi" w:hAnsiTheme="minorHAnsi" w:cstheme="minorHAnsi"/>
            <w:noProof/>
          </w:rPr>
          <w:t>Table 3</w:t>
        </w:r>
        <w:r w:rsidR="00FA4378" w:rsidRPr="00FA4378">
          <w:rPr>
            <w:rStyle w:val="Hyperlink"/>
            <w:rFonts w:asciiTheme="minorHAnsi" w:hAnsiTheme="minorHAnsi" w:cstheme="minorHAnsi"/>
            <w:noProof/>
          </w:rPr>
          <w:noBreakHyphen/>
          <w:t>7:  Input and output estimates for geothermal power production and use</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_Toc484949643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13</w:t>
        </w:r>
        <w:r w:rsidR="00FA4378" w:rsidRPr="00FA4378">
          <w:rPr>
            <w:rFonts w:asciiTheme="minorHAnsi" w:hAnsiTheme="minorHAnsi" w:cstheme="minorHAnsi"/>
            <w:noProof/>
            <w:webHidden/>
          </w:rPr>
          <w:fldChar w:fldCharType="end"/>
        </w:r>
      </w:hyperlink>
    </w:p>
    <w:p w14:paraId="78ED1F6E"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44" w:history="1">
        <w:r w:rsidR="00FA4378" w:rsidRPr="00FA4378">
          <w:rPr>
            <w:rStyle w:val="Hyperlink"/>
            <w:rFonts w:asciiTheme="minorHAnsi" w:hAnsiTheme="minorHAnsi" w:cstheme="minorHAnsi"/>
            <w:noProof/>
          </w:rPr>
          <w:t>Table 3</w:t>
        </w:r>
        <w:r w:rsidR="00FA4378" w:rsidRPr="00FA4378">
          <w:rPr>
            <w:rStyle w:val="Hyperlink"/>
            <w:rFonts w:asciiTheme="minorHAnsi" w:hAnsiTheme="minorHAnsi" w:cstheme="minorHAnsi"/>
            <w:noProof/>
          </w:rPr>
          <w:noBreakHyphen/>
          <w:t>8: Summary of inputs and outputs for the fuel use category, for 2016</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_Toc484949644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14</w:t>
        </w:r>
        <w:r w:rsidR="00FA4378" w:rsidRPr="00FA4378">
          <w:rPr>
            <w:rFonts w:asciiTheme="minorHAnsi" w:hAnsiTheme="minorHAnsi" w:cstheme="minorHAnsi"/>
            <w:noProof/>
            <w:webHidden/>
          </w:rPr>
          <w:fldChar w:fldCharType="end"/>
        </w:r>
      </w:hyperlink>
    </w:p>
    <w:p w14:paraId="3BDBBFC3"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45" w:history="1">
        <w:r w:rsidR="00FA4378" w:rsidRPr="00FA4378">
          <w:rPr>
            <w:rStyle w:val="Hyperlink"/>
            <w:rFonts w:asciiTheme="minorHAnsi" w:hAnsiTheme="minorHAnsi" w:cstheme="minorHAnsi"/>
            <w:noProof/>
          </w:rPr>
          <w:t>Table 4</w:t>
        </w:r>
        <w:r w:rsidR="00FA4378" w:rsidRPr="00FA4378">
          <w:rPr>
            <w:rStyle w:val="Hyperlink"/>
            <w:rFonts w:asciiTheme="minorHAnsi" w:hAnsiTheme="minorHAnsi" w:cstheme="minorHAnsi"/>
            <w:noProof/>
          </w:rPr>
          <w:noBreakHyphen/>
          <w:t>1:  Toolkit framework for category 2 – primary metal production</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_Toc484949645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15</w:t>
        </w:r>
        <w:r w:rsidR="00FA4378" w:rsidRPr="00FA4378">
          <w:rPr>
            <w:rFonts w:asciiTheme="minorHAnsi" w:hAnsiTheme="minorHAnsi" w:cstheme="minorHAnsi"/>
            <w:noProof/>
            <w:webHidden/>
          </w:rPr>
          <w:fldChar w:fldCharType="end"/>
        </w:r>
      </w:hyperlink>
    </w:p>
    <w:p w14:paraId="78587EF8"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46" w:history="1">
        <w:r w:rsidR="00FA4378" w:rsidRPr="00FA4378">
          <w:rPr>
            <w:rStyle w:val="Hyperlink"/>
            <w:rFonts w:asciiTheme="minorHAnsi" w:hAnsiTheme="minorHAnsi" w:cstheme="minorHAnsi"/>
            <w:noProof/>
          </w:rPr>
          <w:t>Table 4</w:t>
        </w:r>
        <w:r w:rsidR="00FA4378" w:rsidRPr="00FA4378">
          <w:rPr>
            <w:rStyle w:val="Hyperlink"/>
            <w:rFonts w:asciiTheme="minorHAnsi" w:hAnsiTheme="minorHAnsi" w:cstheme="minorHAnsi"/>
            <w:noProof/>
          </w:rPr>
          <w:noBreakHyphen/>
          <w:t>2:  Input and output estimates for gold and silver production using mercury</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_Toc484949646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16</w:t>
        </w:r>
        <w:r w:rsidR="00FA4378" w:rsidRPr="00FA4378">
          <w:rPr>
            <w:rFonts w:asciiTheme="minorHAnsi" w:hAnsiTheme="minorHAnsi" w:cstheme="minorHAnsi"/>
            <w:noProof/>
            <w:webHidden/>
          </w:rPr>
          <w:fldChar w:fldCharType="end"/>
        </w:r>
      </w:hyperlink>
    </w:p>
    <w:p w14:paraId="760BD5D8"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47" w:history="1">
        <w:r w:rsidR="00FA4378" w:rsidRPr="00FA4378">
          <w:rPr>
            <w:rStyle w:val="Hyperlink"/>
            <w:rFonts w:asciiTheme="minorHAnsi" w:hAnsiTheme="minorHAnsi" w:cstheme="minorHAnsi"/>
            <w:noProof/>
          </w:rPr>
          <w:t>Table 4</w:t>
        </w:r>
        <w:r w:rsidR="00FA4378" w:rsidRPr="00FA4378">
          <w:rPr>
            <w:rStyle w:val="Hyperlink"/>
            <w:rFonts w:asciiTheme="minorHAnsi" w:hAnsiTheme="minorHAnsi" w:cstheme="minorHAnsi"/>
            <w:noProof/>
          </w:rPr>
          <w:noBreakHyphen/>
          <w:t>3:  Input and output estimates for gold and silver production not using mercury</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_Toc484949647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17</w:t>
        </w:r>
        <w:r w:rsidR="00FA4378" w:rsidRPr="00FA4378">
          <w:rPr>
            <w:rFonts w:asciiTheme="minorHAnsi" w:hAnsiTheme="minorHAnsi" w:cstheme="minorHAnsi"/>
            <w:noProof/>
            <w:webHidden/>
          </w:rPr>
          <w:fldChar w:fldCharType="end"/>
        </w:r>
      </w:hyperlink>
    </w:p>
    <w:p w14:paraId="3F17B315"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48" w:history="1">
        <w:r w:rsidR="00FA4378" w:rsidRPr="00FA4378">
          <w:rPr>
            <w:rStyle w:val="Hyperlink"/>
            <w:rFonts w:asciiTheme="minorHAnsi" w:hAnsiTheme="minorHAnsi" w:cstheme="minorHAnsi"/>
            <w:noProof/>
          </w:rPr>
          <w:t>Table 4</w:t>
        </w:r>
        <w:r w:rsidR="00FA4378" w:rsidRPr="00FA4378">
          <w:rPr>
            <w:rStyle w:val="Hyperlink"/>
            <w:rFonts w:asciiTheme="minorHAnsi" w:hAnsiTheme="minorHAnsi" w:cstheme="minorHAnsi"/>
            <w:noProof/>
          </w:rPr>
          <w:noBreakHyphen/>
          <w:t>4:  Input and output estimates for primary ferrous metal production</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_Toc484949648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18</w:t>
        </w:r>
        <w:r w:rsidR="00FA4378" w:rsidRPr="00FA4378">
          <w:rPr>
            <w:rFonts w:asciiTheme="minorHAnsi" w:hAnsiTheme="minorHAnsi" w:cstheme="minorHAnsi"/>
            <w:noProof/>
            <w:webHidden/>
          </w:rPr>
          <w:fldChar w:fldCharType="end"/>
        </w:r>
      </w:hyperlink>
    </w:p>
    <w:p w14:paraId="0B3E10F6"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49" w:history="1">
        <w:r w:rsidR="00FA4378" w:rsidRPr="00FA4378">
          <w:rPr>
            <w:rStyle w:val="Hyperlink"/>
            <w:rFonts w:asciiTheme="minorHAnsi" w:hAnsiTheme="minorHAnsi" w:cstheme="minorHAnsi"/>
            <w:noProof/>
          </w:rPr>
          <w:t>Table 4</w:t>
        </w:r>
        <w:r w:rsidR="00FA4378" w:rsidRPr="00FA4378">
          <w:rPr>
            <w:rStyle w:val="Hyperlink"/>
            <w:rFonts w:asciiTheme="minorHAnsi" w:hAnsiTheme="minorHAnsi" w:cstheme="minorHAnsi"/>
            <w:noProof/>
          </w:rPr>
          <w:noBreakHyphen/>
          <w:t>5: Summary of inputs and outputs for the primary metal production category for 2016</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_Toc484949649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19</w:t>
        </w:r>
        <w:r w:rsidR="00FA4378" w:rsidRPr="00FA4378">
          <w:rPr>
            <w:rFonts w:asciiTheme="minorHAnsi" w:hAnsiTheme="minorHAnsi" w:cstheme="minorHAnsi"/>
            <w:noProof/>
            <w:webHidden/>
          </w:rPr>
          <w:fldChar w:fldCharType="end"/>
        </w:r>
      </w:hyperlink>
    </w:p>
    <w:p w14:paraId="671D6928"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50" w:history="1">
        <w:r w:rsidR="00FA4378" w:rsidRPr="00FA4378">
          <w:rPr>
            <w:rStyle w:val="Hyperlink"/>
            <w:rFonts w:asciiTheme="minorHAnsi" w:hAnsiTheme="minorHAnsi" w:cstheme="minorHAnsi"/>
            <w:noProof/>
          </w:rPr>
          <w:t>Table 5</w:t>
        </w:r>
        <w:r w:rsidR="00FA4378" w:rsidRPr="00FA4378">
          <w:rPr>
            <w:rStyle w:val="Hyperlink"/>
            <w:rFonts w:asciiTheme="minorHAnsi" w:hAnsiTheme="minorHAnsi" w:cstheme="minorHAnsi"/>
            <w:noProof/>
          </w:rPr>
          <w:noBreakHyphen/>
          <w:t>1:  Toolkit framework for category 3 –production of minerals and materials with mercury impurities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_Toc484949650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20</w:t>
        </w:r>
        <w:r w:rsidR="00FA4378" w:rsidRPr="00FA4378">
          <w:rPr>
            <w:rFonts w:asciiTheme="minorHAnsi" w:hAnsiTheme="minorHAnsi" w:cstheme="minorHAnsi"/>
            <w:noProof/>
            <w:webHidden/>
          </w:rPr>
          <w:fldChar w:fldCharType="end"/>
        </w:r>
      </w:hyperlink>
    </w:p>
    <w:p w14:paraId="6E5821C8"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51" w:history="1">
        <w:r w:rsidR="00FA4378" w:rsidRPr="00FA4378">
          <w:rPr>
            <w:rStyle w:val="Hyperlink"/>
            <w:rFonts w:asciiTheme="minorHAnsi" w:hAnsiTheme="minorHAnsi" w:cstheme="minorHAnsi"/>
            <w:noProof/>
          </w:rPr>
          <w:t>Table 5</w:t>
        </w:r>
        <w:r w:rsidR="00FA4378" w:rsidRPr="00FA4378">
          <w:rPr>
            <w:rStyle w:val="Hyperlink"/>
            <w:rFonts w:asciiTheme="minorHAnsi" w:hAnsiTheme="minorHAnsi" w:cstheme="minorHAnsi"/>
            <w:noProof/>
          </w:rPr>
          <w:noBreakHyphen/>
          <w:t>2:  Input and output estimates for cement production</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_Toc484949651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21</w:t>
        </w:r>
        <w:r w:rsidR="00FA4378" w:rsidRPr="00FA4378">
          <w:rPr>
            <w:rFonts w:asciiTheme="minorHAnsi" w:hAnsiTheme="minorHAnsi" w:cstheme="minorHAnsi"/>
            <w:noProof/>
            <w:webHidden/>
          </w:rPr>
          <w:fldChar w:fldCharType="end"/>
        </w:r>
      </w:hyperlink>
    </w:p>
    <w:p w14:paraId="4614F855"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52" w:history="1">
        <w:r w:rsidR="00FA4378" w:rsidRPr="00FA4378">
          <w:rPr>
            <w:rStyle w:val="Hyperlink"/>
            <w:rFonts w:asciiTheme="minorHAnsi" w:hAnsiTheme="minorHAnsi" w:cstheme="minorHAnsi"/>
            <w:noProof/>
          </w:rPr>
          <w:t>Table 5</w:t>
        </w:r>
        <w:r w:rsidR="00FA4378" w:rsidRPr="00FA4378">
          <w:rPr>
            <w:rStyle w:val="Hyperlink"/>
            <w:rFonts w:asciiTheme="minorHAnsi" w:hAnsiTheme="minorHAnsi" w:cstheme="minorHAnsi"/>
            <w:noProof/>
          </w:rPr>
          <w:noBreakHyphen/>
          <w:t>3:  Input and output estimates for lime production</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_Toc484949652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22</w:t>
        </w:r>
        <w:r w:rsidR="00FA4378" w:rsidRPr="00FA4378">
          <w:rPr>
            <w:rFonts w:asciiTheme="minorHAnsi" w:hAnsiTheme="minorHAnsi" w:cstheme="minorHAnsi"/>
            <w:noProof/>
            <w:webHidden/>
          </w:rPr>
          <w:fldChar w:fldCharType="end"/>
        </w:r>
      </w:hyperlink>
    </w:p>
    <w:p w14:paraId="2D87A654"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53" w:history="1">
        <w:r w:rsidR="00FA4378" w:rsidRPr="00FA4378">
          <w:rPr>
            <w:rStyle w:val="Hyperlink"/>
            <w:rFonts w:asciiTheme="minorHAnsi" w:hAnsiTheme="minorHAnsi" w:cstheme="minorHAnsi"/>
            <w:noProof/>
          </w:rPr>
          <w:t>Table 5</w:t>
        </w:r>
        <w:r w:rsidR="00FA4378" w:rsidRPr="00FA4378">
          <w:rPr>
            <w:rStyle w:val="Hyperlink"/>
            <w:rFonts w:asciiTheme="minorHAnsi" w:hAnsiTheme="minorHAnsi" w:cstheme="minorHAnsi"/>
            <w:noProof/>
          </w:rPr>
          <w:noBreakHyphen/>
          <w:t>4:  Input and output estimates for other mineral products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_Toc484949653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23</w:t>
        </w:r>
        <w:r w:rsidR="00FA4378" w:rsidRPr="00FA4378">
          <w:rPr>
            <w:rFonts w:asciiTheme="minorHAnsi" w:hAnsiTheme="minorHAnsi" w:cstheme="minorHAnsi"/>
            <w:noProof/>
            <w:webHidden/>
          </w:rPr>
          <w:fldChar w:fldCharType="end"/>
        </w:r>
      </w:hyperlink>
    </w:p>
    <w:p w14:paraId="4804A900"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54" w:history="1">
        <w:r w:rsidR="00FA4378" w:rsidRPr="00FA4378">
          <w:rPr>
            <w:rStyle w:val="Hyperlink"/>
            <w:rFonts w:asciiTheme="minorHAnsi" w:hAnsiTheme="minorHAnsi" w:cstheme="minorHAnsi"/>
            <w:noProof/>
          </w:rPr>
          <w:t>Table 5</w:t>
        </w:r>
        <w:r w:rsidR="00FA4378" w:rsidRPr="00FA4378">
          <w:rPr>
            <w:rStyle w:val="Hyperlink"/>
            <w:rFonts w:asciiTheme="minorHAnsi" w:hAnsiTheme="minorHAnsi" w:cstheme="minorHAnsi"/>
            <w:noProof/>
          </w:rPr>
          <w:noBreakHyphen/>
          <w:t>5: Summary of inputs and outputs for production of minerals and related materials with mercury impurities for 2016</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_Toc484949654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24</w:t>
        </w:r>
        <w:r w:rsidR="00FA4378" w:rsidRPr="00FA4378">
          <w:rPr>
            <w:rFonts w:asciiTheme="minorHAnsi" w:hAnsiTheme="minorHAnsi" w:cstheme="minorHAnsi"/>
            <w:noProof/>
            <w:webHidden/>
          </w:rPr>
          <w:fldChar w:fldCharType="end"/>
        </w:r>
      </w:hyperlink>
    </w:p>
    <w:p w14:paraId="75D43F96"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55" w:history="1">
        <w:r w:rsidR="00FA4378" w:rsidRPr="00FA4378">
          <w:rPr>
            <w:rStyle w:val="Hyperlink"/>
            <w:rFonts w:asciiTheme="minorHAnsi" w:hAnsiTheme="minorHAnsi" w:cstheme="minorHAnsi"/>
            <w:noProof/>
          </w:rPr>
          <w:t>Table 6</w:t>
        </w:r>
        <w:r w:rsidR="00FA4378" w:rsidRPr="00FA4378">
          <w:rPr>
            <w:rStyle w:val="Hyperlink"/>
            <w:rFonts w:asciiTheme="minorHAnsi" w:hAnsiTheme="minorHAnsi" w:cstheme="minorHAnsi"/>
            <w:noProof/>
          </w:rPr>
          <w:noBreakHyphen/>
          <w:t>1:  Toolkit framework for category 4 – intentional use of mercury in industrial processes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_Toc484949655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25</w:t>
        </w:r>
        <w:r w:rsidR="00FA4378" w:rsidRPr="00FA4378">
          <w:rPr>
            <w:rFonts w:asciiTheme="minorHAnsi" w:hAnsiTheme="minorHAnsi" w:cstheme="minorHAnsi"/>
            <w:noProof/>
            <w:webHidden/>
          </w:rPr>
          <w:fldChar w:fldCharType="end"/>
        </w:r>
      </w:hyperlink>
    </w:p>
    <w:p w14:paraId="6A984E7B"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56" w:history="1">
        <w:r w:rsidR="00FA4378" w:rsidRPr="00FA4378">
          <w:rPr>
            <w:rStyle w:val="Hyperlink"/>
            <w:rFonts w:asciiTheme="minorHAnsi" w:hAnsiTheme="minorHAnsi" w:cstheme="minorHAnsi"/>
            <w:noProof/>
          </w:rPr>
          <w:t>Table 7</w:t>
        </w:r>
        <w:r w:rsidR="00FA4378" w:rsidRPr="00FA4378">
          <w:rPr>
            <w:rStyle w:val="Hyperlink"/>
            <w:rFonts w:asciiTheme="minorHAnsi" w:hAnsiTheme="minorHAnsi" w:cstheme="minorHAnsi"/>
            <w:noProof/>
          </w:rPr>
          <w:noBreakHyphen/>
          <w:t>1:  Toolkit framework for category 5 – consumer products with intentional use of mercury</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_Toc484949656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26</w:t>
        </w:r>
        <w:r w:rsidR="00FA4378" w:rsidRPr="00FA4378">
          <w:rPr>
            <w:rFonts w:asciiTheme="minorHAnsi" w:hAnsiTheme="minorHAnsi" w:cstheme="minorHAnsi"/>
            <w:noProof/>
            <w:webHidden/>
          </w:rPr>
          <w:fldChar w:fldCharType="end"/>
        </w:r>
      </w:hyperlink>
    </w:p>
    <w:p w14:paraId="7007C196"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57" w:history="1">
        <w:r w:rsidR="00FA4378" w:rsidRPr="00FA4378">
          <w:rPr>
            <w:rStyle w:val="Hyperlink"/>
            <w:rFonts w:asciiTheme="minorHAnsi" w:hAnsiTheme="minorHAnsi" w:cstheme="minorHAnsi"/>
            <w:noProof/>
          </w:rPr>
          <w:t>Table 7</w:t>
        </w:r>
        <w:r w:rsidR="00FA4378" w:rsidRPr="00FA4378">
          <w:rPr>
            <w:rStyle w:val="Hyperlink"/>
            <w:rFonts w:asciiTheme="minorHAnsi" w:hAnsiTheme="minorHAnsi" w:cstheme="minorHAnsi"/>
            <w:noProof/>
          </w:rPr>
          <w:noBreakHyphen/>
          <w:t>2:  Input and output estimates for mercury thermometers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_Toc484949657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27</w:t>
        </w:r>
        <w:r w:rsidR="00FA4378" w:rsidRPr="00FA4378">
          <w:rPr>
            <w:rFonts w:asciiTheme="minorHAnsi" w:hAnsiTheme="minorHAnsi" w:cstheme="minorHAnsi"/>
            <w:noProof/>
            <w:webHidden/>
          </w:rPr>
          <w:fldChar w:fldCharType="end"/>
        </w:r>
      </w:hyperlink>
    </w:p>
    <w:p w14:paraId="749A8FD3"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58" w:history="1">
        <w:r w:rsidR="00FA4378" w:rsidRPr="00FA4378">
          <w:rPr>
            <w:rStyle w:val="Hyperlink"/>
            <w:rFonts w:asciiTheme="minorHAnsi" w:hAnsiTheme="minorHAnsi" w:cstheme="minorHAnsi"/>
            <w:noProof/>
          </w:rPr>
          <w:t>Table 7</w:t>
        </w:r>
        <w:r w:rsidR="00FA4378" w:rsidRPr="00FA4378">
          <w:rPr>
            <w:rStyle w:val="Hyperlink"/>
            <w:rFonts w:asciiTheme="minorHAnsi" w:hAnsiTheme="minorHAnsi" w:cstheme="minorHAnsi"/>
            <w:noProof/>
          </w:rPr>
          <w:noBreakHyphen/>
          <w:t>3:  Input and output estimates for mercury switches and relays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_Toc484949658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28</w:t>
        </w:r>
        <w:r w:rsidR="00FA4378" w:rsidRPr="00FA4378">
          <w:rPr>
            <w:rFonts w:asciiTheme="minorHAnsi" w:hAnsiTheme="minorHAnsi" w:cstheme="minorHAnsi"/>
            <w:noProof/>
            <w:webHidden/>
          </w:rPr>
          <w:fldChar w:fldCharType="end"/>
        </w:r>
      </w:hyperlink>
    </w:p>
    <w:p w14:paraId="688C8710"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59" w:history="1">
        <w:r w:rsidR="00FA4378" w:rsidRPr="00FA4378">
          <w:rPr>
            <w:rStyle w:val="Hyperlink"/>
            <w:rFonts w:asciiTheme="minorHAnsi" w:hAnsiTheme="minorHAnsi" w:cstheme="minorHAnsi"/>
            <w:noProof/>
          </w:rPr>
          <w:t>Table 7</w:t>
        </w:r>
        <w:r w:rsidR="00FA4378" w:rsidRPr="00FA4378">
          <w:rPr>
            <w:rStyle w:val="Hyperlink"/>
            <w:rFonts w:asciiTheme="minorHAnsi" w:hAnsiTheme="minorHAnsi" w:cstheme="minorHAnsi"/>
            <w:noProof/>
          </w:rPr>
          <w:noBreakHyphen/>
          <w:t>4: Input estimates for lamps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_Toc484949659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30</w:t>
        </w:r>
        <w:r w:rsidR="00FA4378" w:rsidRPr="00FA4378">
          <w:rPr>
            <w:rFonts w:asciiTheme="minorHAnsi" w:hAnsiTheme="minorHAnsi" w:cstheme="minorHAnsi"/>
            <w:noProof/>
            <w:webHidden/>
          </w:rPr>
          <w:fldChar w:fldCharType="end"/>
        </w:r>
      </w:hyperlink>
    </w:p>
    <w:p w14:paraId="722662ED"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60" w:history="1">
        <w:r w:rsidR="00FA4378" w:rsidRPr="00FA4378">
          <w:rPr>
            <w:rStyle w:val="Hyperlink"/>
            <w:rFonts w:asciiTheme="minorHAnsi" w:hAnsiTheme="minorHAnsi" w:cstheme="minorHAnsi"/>
            <w:noProof/>
          </w:rPr>
          <w:t>Table 7</w:t>
        </w:r>
        <w:r w:rsidR="00FA4378" w:rsidRPr="00FA4378">
          <w:rPr>
            <w:rStyle w:val="Hyperlink"/>
            <w:rFonts w:asciiTheme="minorHAnsi" w:hAnsiTheme="minorHAnsi" w:cstheme="minorHAnsi"/>
            <w:noProof/>
          </w:rPr>
          <w:noBreakHyphen/>
          <w:t>5:  Input and output estimates for mercury lamps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_Toc484949660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30</w:t>
        </w:r>
        <w:r w:rsidR="00FA4378" w:rsidRPr="00FA4378">
          <w:rPr>
            <w:rFonts w:asciiTheme="minorHAnsi" w:hAnsiTheme="minorHAnsi" w:cstheme="minorHAnsi"/>
            <w:noProof/>
            <w:webHidden/>
          </w:rPr>
          <w:fldChar w:fldCharType="end"/>
        </w:r>
      </w:hyperlink>
    </w:p>
    <w:p w14:paraId="45AE1070"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61" w:history="1">
        <w:r w:rsidR="00FA4378" w:rsidRPr="00FA4378">
          <w:rPr>
            <w:rStyle w:val="Hyperlink"/>
            <w:rFonts w:asciiTheme="minorHAnsi" w:hAnsiTheme="minorHAnsi" w:cstheme="minorHAnsi"/>
            <w:noProof/>
          </w:rPr>
          <w:t>Table 7</w:t>
        </w:r>
        <w:r w:rsidR="00FA4378" w:rsidRPr="00FA4378">
          <w:rPr>
            <w:rStyle w:val="Hyperlink"/>
            <w:rFonts w:asciiTheme="minorHAnsi" w:hAnsiTheme="minorHAnsi" w:cstheme="minorHAnsi"/>
            <w:noProof/>
          </w:rPr>
          <w:noBreakHyphen/>
          <w:t>6:  Estimated mercury inputs for batteries, 2016</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_Toc484949661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32</w:t>
        </w:r>
        <w:r w:rsidR="00FA4378" w:rsidRPr="00FA4378">
          <w:rPr>
            <w:rFonts w:asciiTheme="minorHAnsi" w:hAnsiTheme="minorHAnsi" w:cstheme="minorHAnsi"/>
            <w:noProof/>
            <w:webHidden/>
          </w:rPr>
          <w:fldChar w:fldCharType="end"/>
        </w:r>
      </w:hyperlink>
    </w:p>
    <w:p w14:paraId="41B979B8"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62" w:history="1">
        <w:r w:rsidR="00FA4378" w:rsidRPr="00FA4378">
          <w:rPr>
            <w:rStyle w:val="Hyperlink"/>
            <w:rFonts w:asciiTheme="minorHAnsi" w:hAnsiTheme="minorHAnsi" w:cstheme="minorHAnsi"/>
            <w:noProof/>
          </w:rPr>
          <w:t>Table 7</w:t>
        </w:r>
        <w:r w:rsidR="00FA4378" w:rsidRPr="00FA4378">
          <w:rPr>
            <w:rStyle w:val="Hyperlink"/>
            <w:rFonts w:asciiTheme="minorHAnsi" w:hAnsiTheme="minorHAnsi" w:cstheme="minorHAnsi"/>
            <w:noProof/>
          </w:rPr>
          <w:noBreakHyphen/>
          <w:t>7:  Input and output estimates for batteries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_Toc484949662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32</w:t>
        </w:r>
        <w:r w:rsidR="00FA4378" w:rsidRPr="00FA4378">
          <w:rPr>
            <w:rFonts w:asciiTheme="minorHAnsi" w:hAnsiTheme="minorHAnsi" w:cstheme="minorHAnsi"/>
            <w:noProof/>
            <w:webHidden/>
          </w:rPr>
          <w:fldChar w:fldCharType="end"/>
        </w:r>
      </w:hyperlink>
    </w:p>
    <w:p w14:paraId="037F6A4E"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63" w:history="1">
        <w:r w:rsidR="00FA4378" w:rsidRPr="00FA4378">
          <w:rPr>
            <w:rStyle w:val="Hyperlink"/>
            <w:rFonts w:asciiTheme="minorHAnsi" w:hAnsiTheme="minorHAnsi" w:cstheme="minorHAnsi"/>
            <w:noProof/>
          </w:rPr>
          <w:t>Table 7</w:t>
        </w:r>
        <w:r w:rsidR="00FA4378" w:rsidRPr="00FA4378">
          <w:rPr>
            <w:rStyle w:val="Hyperlink"/>
            <w:rFonts w:asciiTheme="minorHAnsi" w:hAnsiTheme="minorHAnsi" w:cstheme="minorHAnsi"/>
            <w:noProof/>
          </w:rPr>
          <w:noBreakHyphen/>
          <w:t>8: Summary of inputs and outputs for consumer products with intentional use of mercury for 2016</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_Toc484949663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34</w:t>
        </w:r>
        <w:r w:rsidR="00FA4378" w:rsidRPr="00FA4378">
          <w:rPr>
            <w:rFonts w:asciiTheme="minorHAnsi" w:hAnsiTheme="minorHAnsi" w:cstheme="minorHAnsi"/>
            <w:noProof/>
            <w:webHidden/>
          </w:rPr>
          <w:fldChar w:fldCharType="end"/>
        </w:r>
      </w:hyperlink>
    </w:p>
    <w:p w14:paraId="4A1DD960"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64" w:history="1">
        <w:r w:rsidR="00FA4378" w:rsidRPr="00FA4378">
          <w:rPr>
            <w:rStyle w:val="Hyperlink"/>
            <w:rFonts w:asciiTheme="minorHAnsi" w:hAnsiTheme="minorHAnsi" w:cstheme="minorHAnsi"/>
            <w:noProof/>
          </w:rPr>
          <w:t>Table 8</w:t>
        </w:r>
        <w:r w:rsidR="00FA4378" w:rsidRPr="00FA4378">
          <w:rPr>
            <w:rStyle w:val="Hyperlink"/>
            <w:rFonts w:asciiTheme="minorHAnsi" w:hAnsiTheme="minorHAnsi" w:cstheme="minorHAnsi"/>
            <w:noProof/>
          </w:rPr>
          <w:noBreakHyphen/>
          <w:t>1:  Toolkit framework for category 6 – other intentional product/process uses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_Toc484949664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35</w:t>
        </w:r>
        <w:r w:rsidR="00FA4378" w:rsidRPr="00FA4378">
          <w:rPr>
            <w:rFonts w:asciiTheme="minorHAnsi" w:hAnsiTheme="minorHAnsi" w:cstheme="minorHAnsi"/>
            <w:noProof/>
            <w:webHidden/>
          </w:rPr>
          <w:fldChar w:fldCharType="end"/>
        </w:r>
      </w:hyperlink>
    </w:p>
    <w:p w14:paraId="762903B3"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65" w:history="1">
        <w:r w:rsidR="00FA4378" w:rsidRPr="00FA4378">
          <w:rPr>
            <w:rStyle w:val="Hyperlink"/>
            <w:rFonts w:asciiTheme="minorHAnsi" w:hAnsiTheme="minorHAnsi" w:cstheme="minorHAnsi"/>
            <w:noProof/>
          </w:rPr>
          <w:t>Table 8</w:t>
        </w:r>
        <w:r w:rsidR="00FA4378" w:rsidRPr="00FA4378">
          <w:rPr>
            <w:rStyle w:val="Hyperlink"/>
            <w:rFonts w:asciiTheme="minorHAnsi" w:hAnsiTheme="minorHAnsi" w:cstheme="minorHAnsi"/>
            <w:noProof/>
          </w:rPr>
          <w:noBreakHyphen/>
          <w:t>2:  Input and output estimates for mercury dental amalgam</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_Toc484949665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36</w:t>
        </w:r>
        <w:r w:rsidR="00FA4378" w:rsidRPr="00FA4378">
          <w:rPr>
            <w:rFonts w:asciiTheme="minorHAnsi" w:hAnsiTheme="minorHAnsi" w:cstheme="minorHAnsi"/>
            <w:noProof/>
            <w:webHidden/>
          </w:rPr>
          <w:fldChar w:fldCharType="end"/>
        </w:r>
      </w:hyperlink>
    </w:p>
    <w:p w14:paraId="1E7FE357"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66" w:history="1">
        <w:r w:rsidR="00FA4378" w:rsidRPr="00FA4378">
          <w:rPr>
            <w:rStyle w:val="Hyperlink"/>
            <w:rFonts w:asciiTheme="minorHAnsi" w:hAnsiTheme="minorHAnsi" w:cstheme="minorHAnsi"/>
            <w:noProof/>
          </w:rPr>
          <w:t>Table 8</w:t>
        </w:r>
        <w:r w:rsidR="00FA4378" w:rsidRPr="00FA4378">
          <w:rPr>
            <w:rStyle w:val="Hyperlink"/>
            <w:rFonts w:asciiTheme="minorHAnsi" w:hAnsiTheme="minorHAnsi" w:cstheme="minorHAnsi"/>
            <w:noProof/>
          </w:rPr>
          <w:noBreakHyphen/>
          <w:t>3:  Input and output estimates for laboratory chemicals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_Toc484949666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37</w:t>
        </w:r>
        <w:r w:rsidR="00FA4378" w:rsidRPr="00FA4378">
          <w:rPr>
            <w:rFonts w:asciiTheme="minorHAnsi" w:hAnsiTheme="minorHAnsi" w:cstheme="minorHAnsi"/>
            <w:noProof/>
            <w:webHidden/>
          </w:rPr>
          <w:fldChar w:fldCharType="end"/>
        </w:r>
      </w:hyperlink>
    </w:p>
    <w:p w14:paraId="2B413714"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67" w:history="1">
        <w:r w:rsidR="00FA4378" w:rsidRPr="00FA4378">
          <w:rPr>
            <w:rStyle w:val="Hyperlink"/>
            <w:rFonts w:asciiTheme="minorHAnsi" w:hAnsiTheme="minorHAnsi" w:cstheme="minorHAnsi"/>
            <w:noProof/>
          </w:rPr>
          <w:t>Table 8</w:t>
        </w:r>
        <w:r w:rsidR="00FA4378" w:rsidRPr="00FA4378">
          <w:rPr>
            <w:rStyle w:val="Hyperlink"/>
            <w:rFonts w:asciiTheme="minorHAnsi" w:hAnsiTheme="minorHAnsi" w:cstheme="minorHAnsi"/>
            <w:noProof/>
          </w:rPr>
          <w:noBreakHyphen/>
          <w:t>4: Summary of inputs and outputs for other intentional product/process uses for 2016</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_Toc484949667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38</w:t>
        </w:r>
        <w:r w:rsidR="00FA4378" w:rsidRPr="00FA4378">
          <w:rPr>
            <w:rFonts w:asciiTheme="minorHAnsi" w:hAnsiTheme="minorHAnsi" w:cstheme="minorHAnsi"/>
            <w:noProof/>
            <w:webHidden/>
          </w:rPr>
          <w:fldChar w:fldCharType="end"/>
        </w:r>
      </w:hyperlink>
    </w:p>
    <w:p w14:paraId="7FEAD620"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68" w:history="1">
        <w:r w:rsidR="00FA4378" w:rsidRPr="00FA4378">
          <w:rPr>
            <w:rStyle w:val="Hyperlink"/>
            <w:rFonts w:asciiTheme="minorHAnsi" w:hAnsiTheme="minorHAnsi" w:cstheme="minorHAnsi"/>
            <w:noProof/>
          </w:rPr>
          <w:t>Table 9</w:t>
        </w:r>
        <w:r w:rsidR="00FA4378" w:rsidRPr="00FA4378">
          <w:rPr>
            <w:rStyle w:val="Hyperlink"/>
            <w:rFonts w:asciiTheme="minorHAnsi" w:hAnsiTheme="minorHAnsi" w:cstheme="minorHAnsi"/>
            <w:noProof/>
          </w:rPr>
          <w:noBreakHyphen/>
          <w:t>1:  Toolkit framework for category 7 –production of recycled metals (secondary metal production)</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_Toc484949668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39</w:t>
        </w:r>
        <w:r w:rsidR="00FA4378" w:rsidRPr="00FA4378">
          <w:rPr>
            <w:rFonts w:asciiTheme="minorHAnsi" w:hAnsiTheme="minorHAnsi" w:cstheme="minorHAnsi"/>
            <w:noProof/>
            <w:webHidden/>
          </w:rPr>
          <w:fldChar w:fldCharType="end"/>
        </w:r>
      </w:hyperlink>
    </w:p>
    <w:p w14:paraId="6F257DFC"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69" w:history="1">
        <w:r w:rsidR="00FA4378" w:rsidRPr="00FA4378">
          <w:rPr>
            <w:rStyle w:val="Hyperlink"/>
            <w:rFonts w:asciiTheme="minorHAnsi" w:hAnsiTheme="minorHAnsi" w:cstheme="minorHAnsi"/>
            <w:noProof/>
          </w:rPr>
          <w:t>Table 9</w:t>
        </w:r>
        <w:r w:rsidR="00FA4378" w:rsidRPr="00FA4378">
          <w:rPr>
            <w:rStyle w:val="Hyperlink"/>
            <w:rFonts w:asciiTheme="minorHAnsi" w:hAnsiTheme="minorHAnsi" w:cstheme="minorHAnsi"/>
            <w:noProof/>
          </w:rPr>
          <w:noBreakHyphen/>
          <w:t>2: Summary of inputs and outputs for production of recycled metals for 2016</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_Toc484949669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40</w:t>
        </w:r>
        <w:r w:rsidR="00FA4378" w:rsidRPr="00FA4378">
          <w:rPr>
            <w:rFonts w:asciiTheme="minorHAnsi" w:hAnsiTheme="minorHAnsi" w:cstheme="minorHAnsi"/>
            <w:noProof/>
            <w:webHidden/>
          </w:rPr>
          <w:fldChar w:fldCharType="end"/>
        </w:r>
      </w:hyperlink>
    </w:p>
    <w:p w14:paraId="0C5F3033"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70" w:history="1">
        <w:r w:rsidR="00FA4378" w:rsidRPr="00FA4378">
          <w:rPr>
            <w:rStyle w:val="Hyperlink"/>
            <w:rFonts w:asciiTheme="minorHAnsi" w:hAnsiTheme="minorHAnsi" w:cstheme="minorHAnsi"/>
            <w:noProof/>
          </w:rPr>
          <w:t>Table 10</w:t>
        </w:r>
        <w:r w:rsidR="00FA4378" w:rsidRPr="00FA4378">
          <w:rPr>
            <w:rStyle w:val="Hyperlink"/>
            <w:rFonts w:asciiTheme="minorHAnsi" w:hAnsiTheme="minorHAnsi" w:cstheme="minorHAnsi"/>
            <w:noProof/>
          </w:rPr>
          <w:noBreakHyphen/>
          <w:t>1:  Toolkit framework for category 8 – waste incineration</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_Toc484949670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41</w:t>
        </w:r>
        <w:r w:rsidR="00FA4378" w:rsidRPr="00FA4378">
          <w:rPr>
            <w:rFonts w:asciiTheme="minorHAnsi" w:hAnsiTheme="minorHAnsi" w:cstheme="minorHAnsi"/>
            <w:noProof/>
            <w:webHidden/>
          </w:rPr>
          <w:fldChar w:fldCharType="end"/>
        </w:r>
      </w:hyperlink>
    </w:p>
    <w:p w14:paraId="3AC8CD8C"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71" w:history="1">
        <w:r w:rsidR="00FA4378" w:rsidRPr="00FA4378">
          <w:rPr>
            <w:rStyle w:val="Hyperlink"/>
            <w:rFonts w:asciiTheme="minorHAnsi" w:hAnsiTheme="minorHAnsi" w:cstheme="minorHAnsi"/>
            <w:noProof/>
          </w:rPr>
          <w:t>Table 10</w:t>
        </w:r>
        <w:r w:rsidR="00FA4378" w:rsidRPr="00FA4378">
          <w:rPr>
            <w:rStyle w:val="Hyperlink"/>
            <w:rFonts w:asciiTheme="minorHAnsi" w:hAnsiTheme="minorHAnsi" w:cstheme="minorHAnsi"/>
            <w:noProof/>
          </w:rPr>
          <w:noBreakHyphen/>
          <w:t>2: Summary of inputs and outputs for waste incineration for 2016</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_Toc484949671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44</w:t>
        </w:r>
        <w:r w:rsidR="00FA4378" w:rsidRPr="00FA4378">
          <w:rPr>
            <w:rFonts w:asciiTheme="minorHAnsi" w:hAnsiTheme="minorHAnsi" w:cstheme="minorHAnsi"/>
            <w:noProof/>
            <w:webHidden/>
          </w:rPr>
          <w:fldChar w:fldCharType="end"/>
        </w:r>
      </w:hyperlink>
    </w:p>
    <w:p w14:paraId="44825677"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72" w:history="1">
        <w:r w:rsidR="00FA4378" w:rsidRPr="00FA4378">
          <w:rPr>
            <w:rStyle w:val="Hyperlink"/>
            <w:rFonts w:asciiTheme="minorHAnsi" w:hAnsiTheme="minorHAnsi" w:cstheme="minorHAnsi"/>
            <w:noProof/>
          </w:rPr>
          <w:t>Table 11</w:t>
        </w:r>
        <w:r w:rsidR="00FA4378" w:rsidRPr="00FA4378">
          <w:rPr>
            <w:rStyle w:val="Hyperlink"/>
            <w:rFonts w:asciiTheme="minorHAnsi" w:hAnsiTheme="minorHAnsi" w:cstheme="minorHAnsi"/>
            <w:noProof/>
          </w:rPr>
          <w:noBreakHyphen/>
          <w:t>1:  Toolkit framework for category 9 – waste deposition/landfilling and wastewater treatment</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_Toc484949672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45</w:t>
        </w:r>
        <w:r w:rsidR="00FA4378" w:rsidRPr="00FA4378">
          <w:rPr>
            <w:rFonts w:asciiTheme="minorHAnsi" w:hAnsiTheme="minorHAnsi" w:cstheme="minorHAnsi"/>
            <w:noProof/>
            <w:webHidden/>
          </w:rPr>
          <w:fldChar w:fldCharType="end"/>
        </w:r>
      </w:hyperlink>
    </w:p>
    <w:p w14:paraId="573BEE91"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73" w:history="1">
        <w:r w:rsidR="00FA4378" w:rsidRPr="00FA4378">
          <w:rPr>
            <w:rStyle w:val="Hyperlink"/>
            <w:rFonts w:asciiTheme="minorHAnsi" w:hAnsiTheme="minorHAnsi" w:cstheme="minorHAnsi"/>
            <w:noProof/>
          </w:rPr>
          <w:t>Table 11</w:t>
        </w:r>
        <w:r w:rsidR="00FA4378" w:rsidRPr="00FA4378">
          <w:rPr>
            <w:rStyle w:val="Hyperlink"/>
            <w:rFonts w:asciiTheme="minorHAnsi" w:hAnsiTheme="minorHAnsi" w:cstheme="minorHAnsi"/>
            <w:noProof/>
          </w:rPr>
          <w:noBreakHyphen/>
          <w:t>2:  Input and output estimates for controlled landfill</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_Toc484949673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46</w:t>
        </w:r>
        <w:r w:rsidR="00FA4378" w:rsidRPr="00FA4378">
          <w:rPr>
            <w:rFonts w:asciiTheme="minorHAnsi" w:hAnsiTheme="minorHAnsi" w:cstheme="minorHAnsi"/>
            <w:noProof/>
            <w:webHidden/>
          </w:rPr>
          <w:fldChar w:fldCharType="end"/>
        </w:r>
      </w:hyperlink>
    </w:p>
    <w:p w14:paraId="313C1AA0"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74" w:history="1">
        <w:r w:rsidR="00FA4378" w:rsidRPr="00FA4378">
          <w:rPr>
            <w:rStyle w:val="Hyperlink"/>
            <w:rFonts w:asciiTheme="minorHAnsi" w:hAnsiTheme="minorHAnsi" w:cstheme="minorHAnsi"/>
            <w:noProof/>
          </w:rPr>
          <w:t>Table 11</w:t>
        </w:r>
        <w:r w:rsidR="00FA4378" w:rsidRPr="00FA4378">
          <w:rPr>
            <w:rStyle w:val="Hyperlink"/>
            <w:rFonts w:asciiTheme="minorHAnsi" w:hAnsiTheme="minorHAnsi" w:cstheme="minorHAnsi"/>
            <w:noProof/>
          </w:rPr>
          <w:noBreakHyphen/>
          <w:t>3:  Input and output estimates for wastewater treatment plants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_Toc484949674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47</w:t>
        </w:r>
        <w:r w:rsidR="00FA4378" w:rsidRPr="00FA4378">
          <w:rPr>
            <w:rFonts w:asciiTheme="minorHAnsi" w:hAnsiTheme="minorHAnsi" w:cstheme="minorHAnsi"/>
            <w:noProof/>
            <w:webHidden/>
          </w:rPr>
          <w:fldChar w:fldCharType="end"/>
        </w:r>
      </w:hyperlink>
    </w:p>
    <w:p w14:paraId="69D63FD1"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75" w:history="1">
        <w:r w:rsidR="00FA4378" w:rsidRPr="00FA4378">
          <w:rPr>
            <w:rStyle w:val="Hyperlink"/>
            <w:rFonts w:asciiTheme="minorHAnsi" w:hAnsiTheme="minorHAnsi" w:cstheme="minorHAnsi"/>
            <w:noProof/>
          </w:rPr>
          <w:t>Table 11</w:t>
        </w:r>
        <w:r w:rsidR="00FA4378" w:rsidRPr="00FA4378">
          <w:rPr>
            <w:rStyle w:val="Hyperlink"/>
            <w:rFonts w:asciiTheme="minorHAnsi" w:hAnsiTheme="minorHAnsi" w:cstheme="minorHAnsi"/>
            <w:noProof/>
          </w:rPr>
          <w:noBreakHyphen/>
          <w:t>4: Summary of inputs and outputs for waste deposition/landfilling and wastewater treatment for 2016</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_Toc484949675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48</w:t>
        </w:r>
        <w:r w:rsidR="00FA4378" w:rsidRPr="00FA4378">
          <w:rPr>
            <w:rFonts w:asciiTheme="minorHAnsi" w:hAnsiTheme="minorHAnsi" w:cstheme="minorHAnsi"/>
            <w:noProof/>
            <w:webHidden/>
          </w:rPr>
          <w:fldChar w:fldCharType="end"/>
        </w:r>
      </w:hyperlink>
    </w:p>
    <w:p w14:paraId="5B5B3101"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76" w:history="1">
        <w:r w:rsidR="00FA4378" w:rsidRPr="00FA4378">
          <w:rPr>
            <w:rStyle w:val="Hyperlink"/>
            <w:rFonts w:asciiTheme="minorHAnsi" w:hAnsiTheme="minorHAnsi" w:cstheme="minorHAnsi"/>
            <w:noProof/>
          </w:rPr>
          <w:t>Table 12</w:t>
        </w:r>
        <w:r w:rsidR="00FA4378" w:rsidRPr="00FA4378">
          <w:rPr>
            <w:rStyle w:val="Hyperlink"/>
            <w:rFonts w:asciiTheme="minorHAnsi" w:hAnsiTheme="minorHAnsi" w:cstheme="minorHAnsi"/>
            <w:noProof/>
          </w:rPr>
          <w:noBreakHyphen/>
          <w:t>1:  Toolkit framework for category 10 – crematoria and cemeteries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_Toc484949676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49</w:t>
        </w:r>
        <w:r w:rsidR="00FA4378" w:rsidRPr="00FA4378">
          <w:rPr>
            <w:rFonts w:asciiTheme="minorHAnsi" w:hAnsiTheme="minorHAnsi" w:cstheme="minorHAnsi"/>
            <w:noProof/>
            <w:webHidden/>
          </w:rPr>
          <w:fldChar w:fldCharType="end"/>
        </w:r>
      </w:hyperlink>
    </w:p>
    <w:p w14:paraId="5473EBC6"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77" w:history="1">
        <w:r w:rsidR="00FA4378" w:rsidRPr="00FA4378">
          <w:rPr>
            <w:rStyle w:val="Hyperlink"/>
            <w:rFonts w:asciiTheme="minorHAnsi" w:hAnsiTheme="minorHAnsi" w:cstheme="minorHAnsi"/>
            <w:noProof/>
          </w:rPr>
          <w:t>Table 12</w:t>
        </w:r>
        <w:r w:rsidR="00FA4378" w:rsidRPr="00FA4378">
          <w:rPr>
            <w:rStyle w:val="Hyperlink"/>
            <w:rFonts w:asciiTheme="minorHAnsi" w:hAnsiTheme="minorHAnsi" w:cstheme="minorHAnsi"/>
            <w:noProof/>
          </w:rPr>
          <w:noBreakHyphen/>
          <w:t>2:  Input and output estimates for cremation and cemeteries</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_Toc484949677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49</w:t>
        </w:r>
        <w:r w:rsidR="00FA4378" w:rsidRPr="00FA4378">
          <w:rPr>
            <w:rFonts w:asciiTheme="minorHAnsi" w:hAnsiTheme="minorHAnsi" w:cstheme="minorHAnsi"/>
            <w:noProof/>
            <w:webHidden/>
          </w:rPr>
          <w:fldChar w:fldCharType="end"/>
        </w:r>
      </w:hyperlink>
    </w:p>
    <w:p w14:paraId="7E28E0CB"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78" w:history="1">
        <w:r w:rsidR="00FA4378" w:rsidRPr="00FA4378">
          <w:rPr>
            <w:rStyle w:val="Hyperlink"/>
            <w:rFonts w:asciiTheme="minorHAnsi" w:hAnsiTheme="minorHAnsi" w:cstheme="minorHAnsi"/>
            <w:noProof/>
          </w:rPr>
          <w:t>Table 12</w:t>
        </w:r>
        <w:r w:rsidR="00FA4378" w:rsidRPr="00FA4378">
          <w:rPr>
            <w:rStyle w:val="Hyperlink"/>
            <w:rFonts w:asciiTheme="minorHAnsi" w:hAnsiTheme="minorHAnsi" w:cstheme="minorHAnsi"/>
            <w:noProof/>
          </w:rPr>
          <w:noBreakHyphen/>
          <w:t>3: Summary of inputs and outputs for crematoria and cemeteries for 2016</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_Toc484949678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50</w:t>
        </w:r>
        <w:r w:rsidR="00FA4378" w:rsidRPr="00FA4378">
          <w:rPr>
            <w:rFonts w:asciiTheme="minorHAnsi" w:hAnsiTheme="minorHAnsi" w:cstheme="minorHAnsi"/>
            <w:noProof/>
            <w:webHidden/>
          </w:rPr>
          <w:fldChar w:fldCharType="end"/>
        </w:r>
      </w:hyperlink>
    </w:p>
    <w:p w14:paraId="0144D219" w14:textId="77777777" w:rsidR="00FA4378" w:rsidRPr="00FA4378" w:rsidRDefault="005D7893" w:rsidP="00FA4378">
      <w:pPr>
        <w:pStyle w:val="TableofFigures"/>
        <w:tabs>
          <w:tab w:val="right" w:leader="dot" w:pos="9061"/>
        </w:tabs>
        <w:spacing w:line="360" w:lineRule="auto"/>
        <w:rPr>
          <w:rFonts w:asciiTheme="minorHAnsi" w:eastAsiaTheme="minorEastAsia" w:hAnsiTheme="minorHAnsi" w:cstheme="minorHAnsi"/>
          <w:noProof/>
          <w:sz w:val="22"/>
          <w:szCs w:val="22"/>
          <w:lang w:eastAsia="en-NZ"/>
        </w:rPr>
      </w:pPr>
      <w:hyperlink w:anchor="_Toc484949679" w:history="1">
        <w:r w:rsidR="00FA4378" w:rsidRPr="00FA4378">
          <w:rPr>
            <w:rStyle w:val="Hyperlink"/>
            <w:rFonts w:asciiTheme="minorHAnsi" w:hAnsiTheme="minorHAnsi" w:cstheme="minorHAnsi"/>
            <w:noProof/>
          </w:rPr>
          <w:t>Table 14</w:t>
        </w:r>
        <w:r w:rsidR="00FA4378" w:rsidRPr="00FA4378">
          <w:rPr>
            <w:rStyle w:val="Hyperlink"/>
            <w:rFonts w:asciiTheme="minorHAnsi" w:hAnsiTheme="minorHAnsi" w:cstheme="minorHAnsi"/>
            <w:noProof/>
          </w:rPr>
          <w:noBreakHyphen/>
          <w:t>1:  High level summary of mercury inputs and outputs for New Zealand, 2016*</w:t>
        </w:r>
        <w:r w:rsidR="00FA4378" w:rsidRPr="00FA4378">
          <w:rPr>
            <w:rFonts w:asciiTheme="minorHAnsi" w:hAnsiTheme="minorHAnsi" w:cstheme="minorHAnsi"/>
            <w:noProof/>
            <w:webHidden/>
          </w:rPr>
          <w:tab/>
        </w:r>
        <w:r w:rsidR="00FA4378" w:rsidRPr="00FA4378">
          <w:rPr>
            <w:rFonts w:asciiTheme="minorHAnsi" w:hAnsiTheme="minorHAnsi" w:cstheme="minorHAnsi"/>
            <w:noProof/>
            <w:webHidden/>
          </w:rPr>
          <w:fldChar w:fldCharType="begin"/>
        </w:r>
        <w:r w:rsidR="00FA4378" w:rsidRPr="00FA4378">
          <w:rPr>
            <w:rFonts w:asciiTheme="minorHAnsi" w:hAnsiTheme="minorHAnsi" w:cstheme="minorHAnsi"/>
            <w:noProof/>
            <w:webHidden/>
          </w:rPr>
          <w:instrText xml:space="preserve"> PAGEREF _Toc484949679 \h </w:instrText>
        </w:r>
        <w:r w:rsidR="00FA4378" w:rsidRPr="00FA4378">
          <w:rPr>
            <w:rFonts w:asciiTheme="minorHAnsi" w:hAnsiTheme="minorHAnsi" w:cstheme="minorHAnsi"/>
            <w:noProof/>
            <w:webHidden/>
          </w:rPr>
        </w:r>
        <w:r w:rsidR="00FA4378" w:rsidRPr="00FA4378">
          <w:rPr>
            <w:rFonts w:asciiTheme="minorHAnsi" w:hAnsiTheme="minorHAnsi" w:cstheme="minorHAnsi"/>
            <w:noProof/>
            <w:webHidden/>
          </w:rPr>
          <w:fldChar w:fldCharType="separate"/>
        </w:r>
        <w:r w:rsidR="00AD77DB">
          <w:rPr>
            <w:rFonts w:asciiTheme="minorHAnsi" w:hAnsiTheme="minorHAnsi" w:cstheme="minorHAnsi"/>
            <w:noProof/>
            <w:webHidden/>
          </w:rPr>
          <w:t>52</w:t>
        </w:r>
        <w:r w:rsidR="00FA4378" w:rsidRPr="00FA4378">
          <w:rPr>
            <w:rFonts w:asciiTheme="minorHAnsi" w:hAnsiTheme="minorHAnsi" w:cstheme="minorHAnsi"/>
            <w:noProof/>
            <w:webHidden/>
          </w:rPr>
          <w:fldChar w:fldCharType="end"/>
        </w:r>
      </w:hyperlink>
    </w:p>
    <w:p w14:paraId="6CBF97E4" w14:textId="77777777" w:rsidR="00C869FA" w:rsidRPr="00277208" w:rsidRDefault="002E4B98" w:rsidP="00FA4378">
      <w:pPr>
        <w:spacing w:after="0" w:line="360" w:lineRule="auto"/>
        <w:jc w:val="both"/>
        <w:rPr>
          <w:rFonts w:ascii="Arial" w:hAnsi="Arial" w:cs="Arial"/>
        </w:rPr>
      </w:pPr>
      <w:r w:rsidRPr="00FA4378">
        <w:rPr>
          <w:rFonts w:asciiTheme="minorHAnsi" w:hAnsiTheme="minorHAnsi" w:cstheme="minorHAnsi"/>
        </w:rPr>
        <w:fldChar w:fldCharType="end"/>
      </w:r>
    </w:p>
    <w:p w14:paraId="0D32EE95" w14:textId="77777777" w:rsidR="00CB22D5" w:rsidRDefault="00CB22D5" w:rsidP="00164767">
      <w:pPr>
        <w:tabs>
          <w:tab w:val="left" w:pos="1134"/>
        </w:tabs>
        <w:outlineLvl w:val="0"/>
        <w:rPr>
          <w:rFonts w:ascii="Arial" w:hAnsi="Arial"/>
          <w:b/>
          <w:sz w:val="28"/>
          <w:lang w:val="en-US"/>
        </w:rPr>
      </w:pPr>
      <w:r w:rsidRPr="00CB22D5">
        <w:rPr>
          <w:rFonts w:ascii="Arial" w:hAnsi="Arial"/>
          <w:b/>
          <w:lang w:val="en-US"/>
        </w:rPr>
        <w:br w:type="page"/>
      </w:r>
      <w:bookmarkStart w:id="0" w:name="_Toc476462699"/>
      <w:bookmarkStart w:id="1" w:name="_Toc476463075"/>
      <w:bookmarkStart w:id="2" w:name="_Toc275531156"/>
      <w:bookmarkStart w:id="3" w:name="_Toc275532171"/>
      <w:bookmarkStart w:id="4" w:name="_Toc484949555"/>
      <w:r w:rsidRPr="00CB22D5">
        <w:rPr>
          <w:rFonts w:ascii="Arial" w:hAnsi="Arial"/>
          <w:b/>
          <w:sz w:val="28"/>
          <w:lang w:val="en-US"/>
        </w:rPr>
        <w:lastRenderedPageBreak/>
        <w:t>Units and abbreviations</w:t>
      </w:r>
      <w:bookmarkEnd w:id="0"/>
      <w:bookmarkEnd w:id="1"/>
      <w:bookmarkEnd w:id="2"/>
      <w:bookmarkEnd w:id="3"/>
      <w:bookmarkEnd w:id="4"/>
    </w:p>
    <w:p w14:paraId="75F77B34" w14:textId="77777777" w:rsidR="00CB22D5" w:rsidRPr="00CB22D5" w:rsidRDefault="00CB22D5" w:rsidP="00CB22D5">
      <w:pPr>
        <w:rPr>
          <w:lang w:val="en-US"/>
        </w:rPr>
      </w:pPr>
    </w:p>
    <w:tbl>
      <w:tblPr>
        <w:tblW w:w="0" w:type="auto"/>
        <w:tblLayout w:type="fixed"/>
        <w:tblLook w:val="0000" w:firstRow="0" w:lastRow="0" w:firstColumn="0" w:lastColumn="0" w:noHBand="0" w:noVBand="0"/>
      </w:tblPr>
      <w:tblGrid>
        <w:gridCol w:w="1818"/>
        <w:gridCol w:w="6654"/>
      </w:tblGrid>
      <w:tr w:rsidR="007E3C3B" w:rsidRPr="00CB22D5" w14:paraId="21B95E39" w14:textId="77777777" w:rsidTr="00B075A6">
        <w:trPr>
          <w:cantSplit/>
          <w:trHeight w:val="340"/>
        </w:trPr>
        <w:tc>
          <w:tcPr>
            <w:tcW w:w="8472" w:type="dxa"/>
            <w:gridSpan w:val="2"/>
            <w:vAlign w:val="center"/>
          </w:tcPr>
          <w:p w14:paraId="323E791F" w14:textId="77777777" w:rsidR="007E3C3B" w:rsidRPr="00CB22D5" w:rsidRDefault="007E3C3B" w:rsidP="007E3C3B">
            <w:pPr>
              <w:spacing w:line="300" w:lineRule="atLeast"/>
              <w:ind w:left="284"/>
              <w:rPr>
                <w:rFonts w:ascii="Arial" w:hAnsi="Arial" w:cs="Arial"/>
                <w:b/>
                <w:sz w:val="22"/>
                <w:szCs w:val="22"/>
                <w:lang w:val="en-US"/>
              </w:rPr>
            </w:pPr>
            <w:r w:rsidRPr="00CB22D5">
              <w:rPr>
                <w:rFonts w:ascii="Arial" w:hAnsi="Arial" w:cs="Arial"/>
                <w:b/>
                <w:sz w:val="22"/>
                <w:szCs w:val="22"/>
                <w:lang w:val="en-US"/>
              </w:rPr>
              <w:t>Units</w:t>
            </w:r>
          </w:p>
        </w:tc>
      </w:tr>
      <w:tr w:rsidR="00CB22D5" w:rsidRPr="00CB22D5" w14:paraId="07E354E7" w14:textId="77777777" w:rsidTr="007E3C3B">
        <w:trPr>
          <w:cantSplit/>
          <w:trHeight w:val="340"/>
        </w:trPr>
        <w:tc>
          <w:tcPr>
            <w:tcW w:w="1818" w:type="dxa"/>
            <w:vAlign w:val="center"/>
          </w:tcPr>
          <w:p w14:paraId="5F6080E1" w14:textId="77777777" w:rsidR="00CB22D5" w:rsidRPr="00CB22D5" w:rsidRDefault="00CB22D5" w:rsidP="007E3C3B">
            <w:pPr>
              <w:spacing w:after="0" w:line="300" w:lineRule="atLeast"/>
              <w:ind w:left="284"/>
              <w:rPr>
                <w:lang w:val="en-US"/>
              </w:rPr>
            </w:pPr>
            <w:r w:rsidRPr="00CB22D5">
              <w:rPr>
                <w:lang w:val="en-US"/>
              </w:rPr>
              <w:t>°C</w:t>
            </w:r>
          </w:p>
        </w:tc>
        <w:tc>
          <w:tcPr>
            <w:tcW w:w="6654" w:type="dxa"/>
            <w:vAlign w:val="center"/>
          </w:tcPr>
          <w:p w14:paraId="143D1F38" w14:textId="77777777" w:rsidR="00CB22D5" w:rsidRPr="00CB22D5" w:rsidRDefault="00CB22D5" w:rsidP="007E3C3B">
            <w:pPr>
              <w:spacing w:after="0" w:line="300" w:lineRule="atLeast"/>
              <w:ind w:left="284"/>
              <w:rPr>
                <w:lang w:val="en-US"/>
              </w:rPr>
            </w:pPr>
            <w:r w:rsidRPr="00CB22D5">
              <w:rPr>
                <w:lang w:val="en-US"/>
              </w:rPr>
              <w:t>degrees Celsius or centigrade</w:t>
            </w:r>
          </w:p>
        </w:tc>
      </w:tr>
      <w:tr w:rsidR="00CB22D5" w:rsidRPr="00CB22D5" w14:paraId="4B1B51AF" w14:textId="77777777" w:rsidTr="007E3C3B">
        <w:trPr>
          <w:cantSplit/>
          <w:trHeight w:val="340"/>
        </w:trPr>
        <w:tc>
          <w:tcPr>
            <w:tcW w:w="1818" w:type="dxa"/>
            <w:vAlign w:val="center"/>
          </w:tcPr>
          <w:p w14:paraId="373CE62E" w14:textId="77777777" w:rsidR="00CB22D5" w:rsidRPr="00CB22D5" w:rsidRDefault="00CB22D5" w:rsidP="007E3C3B">
            <w:pPr>
              <w:spacing w:after="0" w:line="300" w:lineRule="atLeast"/>
              <w:ind w:left="284"/>
              <w:rPr>
                <w:lang w:val="en-US"/>
              </w:rPr>
            </w:pPr>
            <w:r w:rsidRPr="00CB22D5">
              <w:rPr>
                <w:lang w:val="en-US"/>
              </w:rPr>
              <w:t>g</w:t>
            </w:r>
          </w:p>
        </w:tc>
        <w:tc>
          <w:tcPr>
            <w:tcW w:w="6654" w:type="dxa"/>
            <w:vAlign w:val="center"/>
          </w:tcPr>
          <w:p w14:paraId="36573865" w14:textId="77777777" w:rsidR="00CB22D5" w:rsidRPr="00CB22D5" w:rsidRDefault="00CB22D5" w:rsidP="007E3C3B">
            <w:pPr>
              <w:spacing w:after="0" w:line="300" w:lineRule="atLeast"/>
              <w:ind w:left="284"/>
              <w:rPr>
                <w:lang w:val="en-US"/>
              </w:rPr>
            </w:pPr>
            <w:r w:rsidRPr="00CB22D5">
              <w:rPr>
                <w:lang w:val="en-US"/>
              </w:rPr>
              <w:t>gram</w:t>
            </w:r>
          </w:p>
        </w:tc>
      </w:tr>
      <w:tr w:rsidR="00CB22D5" w:rsidRPr="00CB22D5" w14:paraId="36843AA1" w14:textId="77777777" w:rsidTr="007E3C3B">
        <w:trPr>
          <w:cantSplit/>
          <w:trHeight w:val="340"/>
        </w:trPr>
        <w:tc>
          <w:tcPr>
            <w:tcW w:w="1818" w:type="dxa"/>
            <w:vAlign w:val="center"/>
          </w:tcPr>
          <w:p w14:paraId="72197BFD" w14:textId="77777777" w:rsidR="00CB22D5" w:rsidRPr="00CB22D5" w:rsidRDefault="00CB22D5" w:rsidP="007E3C3B">
            <w:pPr>
              <w:spacing w:after="0" w:line="300" w:lineRule="atLeast"/>
              <w:ind w:left="284"/>
              <w:rPr>
                <w:lang w:val="en-US"/>
              </w:rPr>
            </w:pPr>
            <w:r w:rsidRPr="00CB22D5">
              <w:rPr>
                <w:lang w:val="en-US"/>
              </w:rPr>
              <w:t>kg</w:t>
            </w:r>
          </w:p>
        </w:tc>
        <w:tc>
          <w:tcPr>
            <w:tcW w:w="6654" w:type="dxa"/>
            <w:vAlign w:val="center"/>
          </w:tcPr>
          <w:p w14:paraId="56B69BCF" w14:textId="77777777" w:rsidR="00CB22D5" w:rsidRPr="00CB22D5" w:rsidRDefault="00CB22D5" w:rsidP="007E3C3B">
            <w:pPr>
              <w:spacing w:after="0" w:line="300" w:lineRule="atLeast"/>
              <w:ind w:left="284"/>
              <w:rPr>
                <w:lang w:val="en-US"/>
              </w:rPr>
            </w:pPr>
            <w:r w:rsidRPr="00CB22D5">
              <w:rPr>
                <w:lang w:val="en-US"/>
              </w:rPr>
              <w:t>kilogram (10</w:t>
            </w:r>
            <w:r w:rsidRPr="00CB22D5">
              <w:rPr>
                <w:vertAlign w:val="superscript"/>
                <w:lang w:val="en-US"/>
              </w:rPr>
              <w:t>3</w:t>
            </w:r>
            <w:r w:rsidRPr="00CB22D5">
              <w:rPr>
                <w:lang w:val="en-US"/>
              </w:rPr>
              <w:t xml:space="preserve"> </w:t>
            </w:r>
            <w:r w:rsidR="007E3C3B">
              <w:rPr>
                <w:lang w:val="en-US"/>
              </w:rPr>
              <w:t>o</w:t>
            </w:r>
            <w:r w:rsidR="00444002">
              <w:rPr>
                <w:lang w:val="en-US"/>
              </w:rPr>
              <w:t>r</w:t>
            </w:r>
            <w:r w:rsidR="007E3C3B">
              <w:rPr>
                <w:lang w:val="en-US"/>
              </w:rPr>
              <w:t xml:space="preserve"> 1 thousand </w:t>
            </w:r>
            <w:r w:rsidRPr="00CB22D5">
              <w:rPr>
                <w:lang w:val="en-US"/>
              </w:rPr>
              <w:t>grams)</w:t>
            </w:r>
          </w:p>
        </w:tc>
      </w:tr>
      <w:tr w:rsidR="00CB22D5" w:rsidRPr="00CB22D5" w14:paraId="3F0C93DC" w14:textId="77777777" w:rsidTr="007E3C3B">
        <w:trPr>
          <w:cantSplit/>
          <w:trHeight w:val="340"/>
        </w:trPr>
        <w:tc>
          <w:tcPr>
            <w:tcW w:w="1818" w:type="dxa"/>
            <w:vAlign w:val="center"/>
          </w:tcPr>
          <w:p w14:paraId="09C9F195" w14:textId="77777777" w:rsidR="00CB22D5" w:rsidRPr="00CB22D5" w:rsidRDefault="00CB22D5" w:rsidP="007E3C3B">
            <w:pPr>
              <w:spacing w:after="0" w:line="300" w:lineRule="atLeast"/>
              <w:ind w:left="284"/>
              <w:rPr>
                <w:lang w:val="en-US"/>
              </w:rPr>
            </w:pPr>
            <w:proofErr w:type="spellStart"/>
            <w:r w:rsidRPr="00CB22D5">
              <w:rPr>
                <w:lang w:val="en-US"/>
              </w:rPr>
              <w:t>tonne</w:t>
            </w:r>
            <w:proofErr w:type="spellEnd"/>
          </w:p>
        </w:tc>
        <w:tc>
          <w:tcPr>
            <w:tcW w:w="6654" w:type="dxa"/>
            <w:vAlign w:val="center"/>
          </w:tcPr>
          <w:p w14:paraId="2345925C" w14:textId="77777777" w:rsidR="00CB22D5" w:rsidRPr="00CB22D5" w:rsidRDefault="00CB22D5" w:rsidP="007E3C3B">
            <w:pPr>
              <w:spacing w:after="0" w:line="300" w:lineRule="atLeast"/>
              <w:ind w:left="284"/>
              <w:rPr>
                <w:lang w:val="en-US"/>
              </w:rPr>
            </w:pPr>
            <w:r w:rsidRPr="00CB22D5">
              <w:rPr>
                <w:lang w:val="en-US"/>
              </w:rPr>
              <w:t>10</w:t>
            </w:r>
            <w:r w:rsidRPr="00CB22D5">
              <w:rPr>
                <w:vertAlign w:val="superscript"/>
                <w:lang w:val="en-US"/>
              </w:rPr>
              <w:t>6</w:t>
            </w:r>
            <w:r w:rsidRPr="00CB22D5">
              <w:rPr>
                <w:lang w:val="en-US"/>
              </w:rPr>
              <w:t xml:space="preserve"> </w:t>
            </w:r>
            <w:r w:rsidR="007E3C3B" w:rsidRPr="007E3C3B">
              <w:rPr>
                <w:lang w:val="en-US"/>
              </w:rPr>
              <w:t xml:space="preserve">or 1 million </w:t>
            </w:r>
            <w:r w:rsidRPr="00CB22D5">
              <w:rPr>
                <w:lang w:val="en-US"/>
              </w:rPr>
              <w:t>grams</w:t>
            </w:r>
          </w:p>
        </w:tc>
      </w:tr>
      <w:tr w:rsidR="00CB22D5" w:rsidRPr="00CB22D5" w14:paraId="0CF3C12D" w14:textId="77777777" w:rsidTr="007E3C3B">
        <w:trPr>
          <w:cantSplit/>
          <w:trHeight w:val="340"/>
        </w:trPr>
        <w:tc>
          <w:tcPr>
            <w:tcW w:w="1818" w:type="dxa"/>
            <w:vAlign w:val="center"/>
          </w:tcPr>
          <w:p w14:paraId="609140DA" w14:textId="77777777" w:rsidR="00CB22D5" w:rsidRPr="00CB22D5" w:rsidRDefault="00AB0741" w:rsidP="007E3C3B">
            <w:pPr>
              <w:spacing w:after="0" w:line="300" w:lineRule="atLeast"/>
              <w:ind w:left="284"/>
              <w:rPr>
                <w:lang w:val="en-US"/>
              </w:rPr>
            </w:pPr>
            <w:r>
              <w:rPr>
                <w:lang w:val="en-US"/>
              </w:rPr>
              <w:t>Mt</w:t>
            </w:r>
          </w:p>
        </w:tc>
        <w:tc>
          <w:tcPr>
            <w:tcW w:w="6654" w:type="dxa"/>
            <w:vAlign w:val="center"/>
          </w:tcPr>
          <w:p w14:paraId="3F71D48B" w14:textId="77777777" w:rsidR="00CB22D5" w:rsidRPr="00CB22D5" w:rsidRDefault="00AB0741" w:rsidP="007E3C3B">
            <w:pPr>
              <w:spacing w:after="0" w:line="300" w:lineRule="atLeast"/>
              <w:ind w:left="284"/>
              <w:rPr>
                <w:lang w:val="en-US"/>
              </w:rPr>
            </w:pPr>
            <w:proofErr w:type="spellStart"/>
            <w:r>
              <w:rPr>
                <w:lang w:val="en-US"/>
              </w:rPr>
              <w:t>mega</w:t>
            </w:r>
            <w:r w:rsidR="00CB22D5" w:rsidRPr="00CB22D5">
              <w:rPr>
                <w:lang w:val="en-US"/>
              </w:rPr>
              <w:t>tonne</w:t>
            </w:r>
            <w:proofErr w:type="spellEnd"/>
            <w:r w:rsidR="00CB22D5" w:rsidRPr="00CB22D5">
              <w:rPr>
                <w:lang w:val="en-US"/>
              </w:rPr>
              <w:t xml:space="preserve"> (10</w:t>
            </w:r>
            <w:r w:rsidR="00CB22D5" w:rsidRPr="00CB22D5">
              <w:rPr>
                <w:vertAlign w:val="superscript"/>
                <w:lang w:val="en-US"/>
              </w:rPr>
              <w:t>6</w:t>
            </w:r>
            <w:r w:rsidR="00CB22D5" w:rsidRPr="00CB22D5">
              <w:rPr>
                <w:lang w:val="en-US"/>
              </w:rPr>
              <w:t xml:space="preserve"> </w:t>
            </w:r>
            <w:r w:rsidR="007E3C3B">
              <w:rPr>
                <w:lang w:val="en-US"/>
              </w:rPr>
              <w:t xml:space="preserve">or 1 million </w:t>
            </w:r>
            <w:proofErr w:type="spellStart"/>
            <w:r w:rsidR="00CB22D5" w:rsidRPr="00CB22D5">
              <w:rPr>
                <w:lang w:val="en-US"/>
              </w:rPr>
              <w:t>tonnes</w:t>
            </w:r>
            <w:proofErr w:type="spellEnd"/>
            <w:r w:rsidR="00CB22D5" w:rsidRPr="00CB22D5">
              <w:rPr>
                <w:lang w:val="en-US"/>
              </w:rPr>
              <w:t>)</w:t>
            </w:r>
          </w:p>
        </w:tc>
      </w:tr>
      <w:tr w:rsidR="00CB22D5" w:rsidRPr="00CB22D5" w14:paraId="0C2AEF82" w14:textId="77777777" w:rsidTr="007E3C3B">
        <w:trPr>
          <w:cantSplit/>
          <w:trHeight w:val="340"/>
        </w:trPr>
        <w:tc>
          <w:tcPr>
            <w:tcW w:w="1818" w:type="dxa"/>
            <w:vAlign w:val="center"/>
          </w:tcPr>
          <w:p w14:paraId="7E46854E" w14:textId="77777777" w:rsidR="00CB22D5" w:rsidRPr="00CB22D5" w:rsidRDefault="00CB22D5" w:rsidP="007E3C3B">
            <w:pPr>
              <w:spacing w:after="0" w:line="300" w:lineRule="atLeast"/>
              <w:ind w:left="284"/>
              <w:rPr>
                <w:lang w:val="en-US"/>
              </w:rPr>
            </w:pPr>
            <w:r w:rsidRPr="00CB22D5">
              <w:rPr>
                <w:lang w:val="en-US"/>
              </w:rPr>
              <w:fldChar w:fldCharType="begin"/>
            </w:r>
            <w:r w:rsidRPr="00CB22D5">
              <w:rPr>
                <w:lang w:val="en-US"/>
              </w:rPr>
              <w:instrText>symbol 109 \f "Symbol" \s 10</w:instrText>
            </w:r>
            <w:r w:rsidRPr="00CB22D5">
              <w:rPr>
                <w:lang w:val="en-US"/>
              </w:rPr>
              <w:fldChar w:fldCharType="separate"/>
            </w:r>
            <w:r w:rsidRPr="00CB22D5">
              <w:rPr>
                <w:rFonts w:ascii="Symbol" w:hAnsi="Symbol"/>
                <w:lang w:val="en-US"/>
              </w:rPr>
              <w:t>m</w:t>
            </w:r>
            <w:r w:rsidRPr="00CB22D5">
              <w:rPr>
                <w:lang w:val="en-US"/>
              </w:rPr>
              <w:fldChar w:fldCharType="end"/>
            </w:r>
            <w:r w:rsidRPr="00CB22D5">
              <w:rPr>
                <w:lang w:val="en-US"/>
              </w:rPr>
              <w:t>g</w:t>
            </w:r>
          </w:p>
        </w:tc>
        <w:tc>
          <w:tcPr>
            <w:tcW w:w="6654" w:type="dxa"/>
            <w:vAlign w:val="center"/>
          </w:tcPr>
          <w:p w14:paraId="7274F6BF" w14:textId="77777777" w:rsidR="00CB22D5" w:rsidRPr="00CB22D5" w:rsidRDefault="00CB22D5" w:rsidP="007E3C3B">
            <w:pPr>
              <w:spacing w:after="0" w:line="300" w:lineRule="atLeast"/>
              <w:ind w:left="284"/>
              <w:rPr>
                <w:lang w:val="en-US"/>
              </w:rPr>
            </w:pPr>
            <w:r w:rsidRPr="00CB22D5">
              <w:rPr>
                <w:lang w:val="en-US"/>
              </w:rPr>
              <w:t>microgram (10</w:t>
            </w:r>
            <w:r w:rsidRPr="00CB22D5">
              <w:rPr>
                <w:vertAlign w:val="superscript"/>
                <w:lang w:val="en-US"/>
              </w:rPr>
              <w:t>-6</w:t>
            </w:r>
            <w:r w:rsidRPr="00CB22D5">
              <w:rPr>
                <w:lang w:val="en-US"/>
              </w:rPr>
              <w:t xml:space="preserve"> </w:t>
            </w:r>
            <w:r w:rsidR="007E3C3B" w:rsidRPr="00CB22D5">
              <w:rPr>
                <w:lang w:val="en-US"/>
              </w:rPr>
              <w:t>grams</w:t>
            </w:r>
            <w:r w:rsidR="007E3C3B">
              <w:rPr>
                <w:lang w:val="en-US"/>
              </w:rPr>
              <w:t xml:space="preserve"> or 1 millionth of a gram</w:t>
            </w:r>
            <w:r w:rsidRPr="00CB22D5">
              <w:rPr>
                <w:lang w:val="en-US"/>
              </w:rPr>
              <w:t>)</w:t>
            </w:r>
          </w:p>
        </w:tc>
      </w:tr>
      <w:tr w:rsidR="00CB22D5" w:rsidRPr="00CB22D5" w14:paraId="42D2AB52" w14:textId="77777777" w:rsidTr="007E3C3B">
        <w:trPr>
          <w:cantSplit/>
          <w:trHeight w:val="340"/>
        </w:trPr>
        <w:tc>
          <w:tcPr>
            <w:tcW w:w="1818" w:type="dxa"/>
            <w:vAlign w:val="center"/>
          </w:tcPr>
          <w:p w14:paraId="6632F3EA" w14:textId="77777777" w:rsidR="00CB22D5" w:rsidRPr="00CB22D5" w:rsidRDefault="00CB22D5" w:rsidP="007E3C3B">
            <w:pPr>
              <w:spacing w:after="0" w:line="300" w:lineRule="atLeast"/>
              <w:ind w:left="284"/>
              <w:rPr>
                <w:lang w:val="en-US"/>
              </w:rPr>
            </w:pPr>
            <w:r w:rsidRPr="00CB22D5">
              <w:rPr>
                <w:lang w:val="en-US"/>
              </w:rPr>
              <w:t>MJ</w:t>
            </w:r>
          </w:p>
        </w:tc>
        <w:tc>
          <w:tcPr>
            <w:tcW w:w="6654" w:type="dxa"/>
            <w:vAlign w:val="center"/>
          </w:tcPr>
          <w:p w14:paraId="4BC43FDC" w14:textId="77777777" w:rsidR="00CB22D5" w:rsidRPr="00CB22D5" w:rsidRDefault="00CB22D5" w:rsidP="007E3C3B">
            <w:pPr>
              <w:spacing w:after="0" w:line="300" w:lineRule="atLeast"/>
              <w:ind w:left="284"/>
              <w:rPr>
                <w:lang w:val="en-US"/>
              </w:rPr>
            </w:pPr>
            <w:proofErr w:type="spellStart"/>
            <w:r w:rsidRPr="00CB22D5">
              <w:rPr>
                <w:lang w:val="en-US"/>
              </w:rPr>
              <w:t>megajoule</w:t>
            </w:r>
            <w:proofErr w:type="spellEnd"/>
            <w:r w:rsidRPr="00CB22D5">
              <w:rPr>
                <w:lang w:val="en-US"/>
              </w:rPr>
              <w:t xml:space="preserve"> (10</w:t>
            </w:r>
            <w:r w:rsidRPr="00CB22D5">
              <w:rPr>
                <w:vertAlign w:val="superscript"/>
                <w:lang w:val="en-US"/>
              </w:rPr>
              <w:t>6</w:t>
            </w:r>
            <w:r w:rsidR="007E3C3B" w:rsidRPr="007E3C3B">
              <w:rPr>
                <w:lang w:val="en-US"/>
              </w:rPr>
              <w:t xml:space="preserve"> or 1 million </w:t>
            </w:r>
            <w:r w:rsidR="007E3C3B">
              <w:rPr>
                <w:lang w:val="en-US"/>
              </w:rPr>
              <w:t>j</w:t>
            </w:r>
            <w:r w:rsidRPr="00CB22D5">
              <w:rPr>
                <w:lang w:val="en-US"/>
              </w:rPr>
              <w:t>oules)</w:t>
            </w:r>
          </w:p>
        </w:tc>
      </w:tr>
      <w:tr w:rsidR="00CB22D5" w:rsidRPr="00CB22D5" w14:paraId="42ACA1DC" w14:textId="77777777" w:rsidTr="007E3C3B">
        <w:trPr>
          <w:cantSplit/>
          <w:trHeight w:val="340"/>
        </w:trPr>
        <w:tc>
          <w:tcPr>
            <w:tcW w:w="1818" w:type="dxa"/>
            <w:vAlign w:val="center"/>
          </w:tcPr>
          <w:p w14:paraId="27033ECF" w14:textId="77777777" w:rsidR="00CB22D5" w:rsidRPr="00CB22D5" w:rsidRDefault="00CB22D5" w:rsidP="007E3C3B">
            <w:pPr>
              <w:spacing w:after="0" w:line="300" w:lineRule="atLeast"/>
              <w:ind w:left="284"/>
              <w:rPr>
                <w:lang w:val="en-US"/>
              </w:rPr>
            </w:pPr>
            <w:r w:rsidRPr="00CB22D5">
              <w:rPr>
                <w:lang w:val="en-US"/>
              </w:rPr>
              <w:t>GJ</w:t>
            </w:r>
          </w:p>
        </w:tc>
        <w:tc>
          <w:tcPr>
            <w:tcW w:w="6654" w:type="dxa"/>
            <w:vAlign w:val="center"/>
          </w:tcPr>
          <w:p w14:paraId="428D52C2" w14:textId="77777777" w:rsidR="00CB22D5" w:rsidRPr="00CB22D5" w:rsidRDefault="00CB22D5" w:rsidP="007E3C3B">
            <w:pPr>
              <w:spacing w:after="0" w:line="300" w:lineRule="atLeast"/>
              <w:ind w:left="284"/>
              <w:rPr>
                <w:lang w:val="en-US"/>
              </w:rPr>
            </w:pPr>
            <w:r w:rsidRPr="00CB22D5">
              <w:rPr>
                <w:lang w:val="en-US"/>
              </w:rPr>
              <w:t>gigajoule (10</w:t>
            </w:r>
            <w:r w:rsidRPr="00CB22D5">
              <w:rPr>
                <w:vertAlign w:val="superscript"/>
                <w:lang w:val="en-US"/>
              </w:rPr>
              <w:t>9</w:t>
            </w:r>
            <w:r w:rsidRPr="00CB22D5">
              <w:rPr>
                <w:lang w:val="en-US"/>
              </w:rPr>
              <w:t xml:space="preserve"> </w:t>
            </w:r>
            <w:r w:rsidR="007E3C3B" w:rsidRPr="007E3C3B">
              <w:rPr>
                <w:lang w:val="en-US"/>
              </w:rPr>
              <w:t xml:space="preserve">or 1 </w:t>
            </w:r>
            <w:r w:rsidR="007E3C3B">
              <w:rPr>
                <w:lang w:val="en-US"/>
              </w:rPr>
              <w:t xml:space="preserve">thousand </w:t>
            </w:r>
            <w:r w:rsidR="007E3C3B" w:rsidRPr="007E3C3B">
              <w:rPr>
                <w:lang w:val="en-US"/>
              </w:rPr>
              <w:t xml:space="preserve">million </w:t>
            </w:r>
            <w:r w:rsidRPr="00CB22D5">
              <w:rPr>
                <w:lang w:val="en-US"/>
              </w:rPr>
              <w:t>joules)</w:t>
            </w:r>
          </w:p>
        </w:tc>
      </w:tr>
      <w:tr w:rsidR="00CB22D5" w:rsidRPr="00CB22D5" w14:paraId="1E5D8BD4" w14:textId="77777777" w:rsidTr="007E3C3B">
        <w:trPr>
          <w:cantSplit/>
          <w:trHeight w:val="340"/>
        </w:trPr>
        <w:tc>
          <w:tcPr>
            <w:tcW w:w="1818" w:type="dxa"/>
            <w:vAlign w:val="center"/>
          </w:tcPr>
          <w:p w14:paraId="73CA5667" w14:textId="77777777" w:rsidR="00CB22D5" w:rsidRPr="00CB22D5" w:rsidRDefault="00CB22D5" w:rsidP="007E3C3B">
            <w:pPr>
              <w:spacing w:after="0" w:line="300" w:lineRule="atLeast"/>
              <w:ind w:left="284"/>
              <w:rPr>
                <w:lang w:val="en-US"/>
              </w:rPr>
            </w:pPr>
            <w:r w:rsidRPr="00CB22D5">
              <w:rPr>
                <w:lang w:val="en-US"/>
              </w:rPr>
              <w:t>TJ</w:t>
            </w:r>
          </w:p>
        </w:tc>
        <w:tc>
          <w:tcPr>
            <w:tcW w:w="6654" w:type="dxa"/>
            <w:vAlign w:val="center"/>
          </w:tcPr>
          <w:p w14:paraId="34619352" w14:textId="77777777" w:rsidR="00CB22D5" w:rsidRPr="00CB22D5" w:rsidRDefault="00CB22D5" w:rsidP="007E3C3B">
            <w:pPr>
              <w:spacing w:after="0" w:line="300" w:lineRule="atLeast"/>
              <w:ind w:left="284"/>
              <w:rPr>
                <w:lang w:val="en-US"/>
              </w:rPr>
            </w:pPr>
            <w:proofErr w:type="spellStart"/>
            <w:r w:rsidRPr="00CB22D5">
              <w:rPr>
                <w:lang w:val="en-US"/>
              </w:rPr>
              <w:t>terajoule</w:t>
            </w:r>
            <w:proofErr w:type="spellEnd"/>
            <w:r w:rsidRPr="00CB22D5">
              <w:rPr>
                <w:lang w:val="en-US"/>
              </w:rPr>
              <w:t xml:space="preserve"> (10</w:t>
            </w:r>
            <w:r w:rsidRPr="00CB22D5">
              <w:rPr>
                <w:vertAlign w:val="superscript"/>
                <w:lang w:val="en-US"/>
              </w:rPr>
              <w:t>12</w:t>
            </w:r>
            <w:r w:rsidRPr="00CB22D5">
              <w:rPr>
                <w:lang w:val="en-US"/>
              </w:rPr>
              <w:t xml:space="preserve"> </w:t>
            </w:r>
            <w:r w:rsidR="007E3C3B" w:rsidRPr="007E3C3B">
              <w:rPr>
                <w:lang w:val="en-US"/>
              </w:rPr>
              <w:t xml:space="preserve">or 1 million </w:t>
            </w:r>
            <w:proofErr w:type="spellStart"/>
            <w:r w:rsidR="007E3C3B" w:rsidRPr="007E3C3B">
              <w:rPr>
                <w:lang w:val="en-US"/>
              </w:rPr>
              <w:t>million</w:t>
            </w:r>
            <w:proofErr w:type="spellEnd"/>
            <w:r w:rsidR="007E3C3B" w:rsidRPr="007E3C3B">
              <w:rPr>
                <w:lang w:val="en-US"/>
              </w:rPr>
              <w:t xml:space="preserve"> </w:t>
            </w:r>
            <w:r w:rsidRPr="00CB22D5">
              <w:rPr>
                <w:lang w:val="en-US"/>
              </w:rPr>
              <w:t>joules)</w:t>
            </w:r>
          </w:p>
        </w:tc>
      </w:tr>
      <w:tr w:rsidR="00CB22D5" w:rsidRPr="00CB22D5" w14:paraId="05C6BBFE" w14:textId="77777777" w:rsidTr="007E3C3B">
        <w:trPr>
          <w:cantSplit/>
          <w:trHeight w:val="340"/>
        </w:trPr>
        <w:tc>
          <w:tcPr>
            <w:tcW w:w="1818" w:type="dxa"/>
            <w:vAlign w:val="center"/>
          </w:tcPr>
          <w:p w14:paraId="05CA1218" w14:textId="77777777" w:rsidR="00CB22D5" w:rsidRPr="00CB22D5" w:rsidRDefault="00CB22D5" w:rsidP="007E3C3B">
            <w:pPr>
              <w:spacing w:after="0" w:line="300" w:lineRule="atLeast"/>
              <w:ind w:left="284"/>
              <w:rPr>
                <w:lang w:val="en-US"/>
              </w:rPr>
            </w:pPr>
            <w:r w:rsidRPr="00CB22D5">
              <w:rPr>
                <w:lang w:val="en-US"/>
              </w:rPr>
              <w:t>PJ</w:t>
            </w:r>
          </w:p>
        </w:tc>
        <w:tc>
          <w:tcPr>
            <w:tcW w:w="6654" w:type="dxa"/>
            <w:vAlign w:val="center"/>
          </w:tcPr>
          <w:p w14:paraId="3424E089" w14:textId="77777777" w:rsidR="00CB22D5" w:rsidRPr="00CB22D5" w:rsidRDefault="00CB22D5" w:rsidP="007E3C3B">
            <w:pPr>
              <w:spacing w:after="0" w:line="300" w:lineRule="atLeast"/>
              <w:ind w:left="284"/>
              <w:rPr>
                <w:lang w:val="en-US"/>
              </w:rPr>
            </w:pPr>
            <w:proofErr w:type="spellStart"/>
            <w:r w:rsidRPr="00CB22D5">
              <w:rPr>
                <w:lang w:val="en-US"/>
              </w:rPr>
              <w:t>petajoule</w:t>
            </w:r>
            <w:proofErr w:type="spellEnd"/>
            <w:r w:rsidRPr="00CB22D5">
              <w:rPr>
                <w:lang w:val="en-US"/>
              </w:rPr>
              <w:t xml:space="preserve"> (10</w:t>
            </w:r>
            <w:r w:rsidRPr="00CB22D5">
              <w:rPr>
                <w:vertAlign w:val="superscript"/>
                <w:lang w:val="en-US"/>
              </w:rPr>
              <w:t>15</w:t>
            </w:r>
            <w:r w:rsidRPr="00CB22D5">
              <w:rPr>
                <w:lang w:val="en-US"/>
              </w:rPr>
              <w:t xml:space="preserve"> </w:t>
            </w:r>
            <w:r w:rsidR="007E3C3B" w:rsidRPr="007E3C3B">
              <w:rPr>
                <w:lang w:val="en-US"/>
              </w:rPr>
              <w:t xml:space="preserve">or 1 </w:t>
            </w:r>
            <w:r w:rsidR="007E3C3B">
              <w:rPr>
                <w:lang w:val="en-US"/>
              </w:rPr>
              <w:t xml:space="preserve">thousand </w:t>
            </w:r>
            <w:r w:rsidR="007E3C3B" w:rsidRPr="007E3C3B">
              <w:rPr>
                <w:lang w:val="en-US"/>
              </w:rPr>
              <w:t>million</w:t>
            </w:r>
            <w:r w:rsidR="007E3C3B">
              <w:rPr>
                <w:lang w:val="en-US"/>
              </w:rPr>
              <w:t xml:space="preserve"> </w:t>
            </w:r>
            <w:proofErr w:type="spellStart"/>
            <w:r w:rsidR="007E3C3B">
              <w:rPr>
                <w:lang w:val="en-US"/>
              </w:rPr>
              <w:t>million</w:t>
            </w:r>
            <w:proofErr w:type="spellEnd"/>
            <w:r w:rsidR="007E3C3B">
              <w:rPr>
                <w:lang w:val="en-US"/>
              </w:rPr>
              <w:t xml:space="preserve"> </w:t>
            </w:r>
            <w:r w:rsidRPr="00CB22D5">
              <w:rPr>
                <w:lang w:val="en-US"/>
              </w:rPr>
              <w:t>joules)</w:t>
            </w:r>
          </w:p>
        </w:tc>
      </w:tr>
      <w:tr w:rsidR="00CB22D5" w:rsidRPr="00CB22D5" w14:paraId="26896471" w14:textId="77777777" w:rsidTr="007E3C3B">
        <w:trPr>
          <w:cantSplit/>
          <w:trHeight w:val="340"/>
        </w:trPr>
        <w:tc>
          <w:tcPr>
            <w:tcW w:w="1818" w:type="dxa"/>
            <w:vAlign w:val="center"/>
          </w:tcPr>
          <w:p w14:paraId="3426B90B" w14:textId="77777777" w:rsidR="00CB22D5" w:rsidRPr="00CB22D5" w:rsidRDefault="00CB22D5" w:rsidP="007E3C3B">
            <w:pPr>
              <w:spacing w:after="0" w:line="300" w:lineRule="atLeast"/>
              <w:ind w:left="284"/>
              <w:rPr>
                <w:lang w:val="en-US"/>
              </w:rPr>
            </w:pPr>
            <w:r w:rsidRPr="00CB22D5">
              <w:rPr>
                <w:lang w:val="en-US"/>
              </w:rPr>
              <w:t>L</w:t>
            </w:r>
          </w:p>
        </w:tc>
        <w:tc>
          <w:tcPr>
            <w:tcW w:w="6654" w:type="dxa"/>
            <w:vAlign w:val="center"/>
          </w:tcPr>
          <w:p w14:paraId="4C95B68F" w14:textId="77777777" w:rsidR="00CB22D5" w:rsidRPr="00CB22D5" w:rsidRDefault="00CB22D5" w:rsidP="007E3C3B">
            <w:pPr>
              <w:spacing w:after="0" w:line="300" w:lineRule="atLeast"/>
              <w:ind w:left="284"/>
              <w:rPr>
                <w:lang w:val="en-US"/>
              </w:rPr>
            </w:pPr>
            <w:proofErr w:type="spellStart"/>
            <w:r w:rsidRPr="00CB22D5">
              <w:rPr>
                <w:lang w:val="en-US"/>
              </w:rPr>
              <w:t>litre</w:t>
            </w:r>
            <w:proofErr w:type="spellEnd"/>
          </w:p>
        </w:tc>
      </w:tr>
      <w:tr w:rsidR="00CB22D5" w:rsidRPr="00CB22D5" w14:paraId="108264F9" w14:textId="77777777" w:rsidTr="007E3C3B">
        <w:trPr>
          <w:cantSplit/>
          <w:trHeight w:val="340"/>
        </w:trPr>
        <w:tc>
          <w:tcPr>
            <w:tcW w:w="1818" w:type="dxa"/>
            <w:vAlign w:val="center"/>
          </w:tcPr>
          <w:p w14:paraId="7FDF0A61" w14:textId="77777777" w:rsidR="00CB22D5" w:rsidRPr="00CB22D5" w:rsidRDefault="00CB22D5" w:rsidP="007E3C3B">
            <w:pPr>
              <w:spacing w:after="0" w:line="300" w:lineRule="atLeast"/>
              <w:ind w:left="284"/>
              <w:rPr>
                <w:lang w:val="en-US"/>
              </w:rPr>
            </w:pPr>
            <w:r w:rsidRPr="00CB22D5">
              <w:rPr>
                <w:lang w:val="en-US"/>
              </w:rPr>
              <w:t>m</w:t>
            </w:r>
            <w:r w:rsidRPr="00CB22D5">
              <w:rPr>
                <w:vertAlign w:val="superscript"/>
                <w:lang w:val="en-US"/>
              </w:rPr>
              <w:t>3</w:t>
            </w:r>
          </w:p>
        </w:tc>
        <w:tc>
          <w:tcPr>
            <w:tcW w:w="6654" w:type="dxa"/>
            <w:vAlign w:val="center"/>
          </w:tcPr>
          <w:p w14:paraId="2A9E2872" w14:textId="77777777" w:rsidR="00CB22D5" w:rsidRPr="00CB22D5" w:rsidRDefault="00CB22D5" w:rsidP="007E3C3B">
            <w:pPr>
              <w:spacing w:after="0" w:line="300" w:lineRule="atLeast"/>
              <w:ind w:left="284"/>
              <w:rPr>
                <w:lang w:val="en-US"/>
              </w:rPr>
            </w:pPr>
            <w:r w:rsidRPr="00CB22D5">
              <w:rPr>
                <w:lang w:val="en-US"/>
              </w:rPr>
              <w:t xml:space="preserve">cubic </w:t>
            </w:r>
            <w:proofErr w:type="spellStart"/>
            <w:r w:rsidRPr="00CB22D5">
              <w:rPr>
                <w:lang w:val="en-US"/>
              </w:rPr>
              <w:t>metre</w:t>
            </w:r>
            <w:proofErr w:type="spellEnd"/>
          </w:p>
        </w:tc>
      </w:tr>
      <w:tr w:rsidR="00CB22D5" w:rsidRPr="00CB22D5" w14:paraId="47BAE678" w14:textId="77777777" w:rsidTr="007E3C3B">
        <w:trPr>
          <w:cantSplit/>
          <w:trHeight w:val="340"/>
        </w:trPr>
        <w:tc>
          <w:tcPr>
            <w:tcW w:w="1818" w:type="dxa"/>
            <w:vAlign w:val="center"/>
          </w:tcPr>
          <w:p w14:paraId="756869D6" w14:textId="77777777" w:rsidR="00CB22D5" w:rsidRPr="00CB22D5" w:rsidRDefault="00CB22D5" w:rsidP="007E3C3B">
            <w:pPr>
              <w:spacing w:after="0" w:line="300" w:lineRule="atLeast"/>
              <w:ind w:left="284"/>
              <w:rPr>
                <w:lang w:val="en-US"/>
              </w:rPr>
            </w:pPr>
            <w:r w:rsidRPr="00CB22D5">
              <w:rPr>
                <w:lang w:val="en-US"/>
              </w:rPr>
              <w:t>ppm</w:t>
            </w:r>
          </w:p>
        </w:tc>
        <w:tc>
          <w:tcPr>
            <w:tcW w:w="6654" w:type="dxa"/>
            <w:vAlign w:val="center"/>
          </w:tcPr>
          <w:p w14:paraId="41B13E96" w14:textId="77777777" w:rsidR="00CB22D5" w:rsidRPr="00CB22D5" w:rsidRDefault="00CB22D5" w:rsidP="007E3C3B">
            <w:pPr>
              <w:spacing w:after="0" w:line="300" w:lineRule="atLeast"/>
              <w:ind w:left="284"/>
              <w:rPr>
                <w:lang w:val="en-US"/>
              </w:rPr>
            </w:pPr>
            <w:r w:rsidRPr="00CB22D5">
              <w:rPr>
                <w:lang w:val="en-US"/>
              </w:rPr>
              <w:t>parts per million</w:t>
            </w:r>
          </w:p>
        </w:tc>
      </w:tr>
      <w:tr w:rsidR="00CB22D5" w:rsidRPr="00CB22D5" w14:paraId="3DBFA81C" w14:textId="77777777" w:rsidTr="007E3C3B">
        <w:trPr>
          <w:cantSplit/>
          <w:trHeight w:val="340"/>
        </w:trPr>
        <w:tc>
          <w:tcPr>
            <w:tcW w:w="1818" w:type="dxa"/>
            <w:vAlign w:val="center"/>
          </w:tcPr>
          <w:p w14:paraId="68286B99" w14:textId="77777777" w:rsidR="00CB22D5" w:rsidRPr="00CB22D5" w:rsidRDefault="00CB22D5" w:rsidP="007E3C3B">
            <w:pPr>
              <w:spacing w:after="0" w:line="300" w:lineRule="atLeast"/>
              <w:ind w:left="284"/>
              <w:rPr>
                <w:lang w:val="en-US"/>
              </w:rPr>
            </w:pPr>
            <w:r w:rsidRPr="00CB22D5">
              <w:rPr>
                <w:lang w:val="en-US"/>
              </w:rPr>
              <w:t>kW</w:t>
            </w:r>
          </w:p>
        </w:tc>
        <w:tc>
          <w:tcPr>
            <w:tcW w:w="6654" w:type="dxa"/>
            <w:vAlign w:val="center"/>
          </w:tcPr>
          <w:p w14:paraId="71B4BCE6" w14:textId="77777777" w:rsidR="00CB22D5" w:rsidRPr="00CB22D5" w:rsidRDefault="00CB22D5" w:rsidP="007E3C3B">
            <w:pPr>
              <w:spacing w:after="0" w:line="300" w:lineRule="atLeast"/>
              <w:ind w:left="284"/>
              <w:rPr>
                <w:lang w:val="en-US"/>
              </w:rPr>
            </w:pPr>
            <w:r w:rsidRPr="00CB22D5">
              <w:rPr>
                <w:lang w:val="en-US"/>
              </w:rPr>
              <w:t>kilowatt (10</w:t>
            </w:r>
            <w:r w:rsidRPr="00CB22D5">
              <w:rPr>
                <w:vertAlign w:val="superscript"/>
                <w:lang w:val="en-US"/>
              </w:rPr>
              <w:t>3</w:t>
            </w:r>
            <w:r w:rsidRPr="00CB22D5">
              <w:rPr>
                <w:lang w:val="en-US"/>
              </w:rPr>
              <w:t xml:space="preserve"> </w:t>
            </w:r>
            <w:r w:rsidR="007E3C3B">
              <w:rPr>
                <w:lang w:val="en-US"/>
              </w:rPr>
              <w:t xml:space="preserve">or 1 thousand </w:t>
            </w:r>
            <w:r w:rsidRPr="00CB22D5">
              <w:rPr>
                <w:lang w:val="en-US"/>
              </w:rPr>
              <w:t>watts</w:t>
            </w:r>
            <w:r w:rsidR="007E3C3B">
              <w:rPr>
                <w:lang w:val="en-US"/>
              </w:rPr>
              <w:t xml:space="preserve"> of thermal or electrical energy</w:t>
            </w:r>
            <w:r w:rsidRPr="00CB22D5">
              <w:rPr>
                <w:lang w:val="en-US"/>
              </w:rPr>
              <w:t>)</w:t>
            </w:r>
          </w:p>
        </w:tc>
      </w:tr>
      <w:tr w:rsidR="00CB22D5" w:rsidRPr="00CB22D5" w14:paraId="684ED77F" w14:textId="77777777" w:rsidTr="007E3C3B">
        <w:trPr>
          <w:cantSplit/>
          <w:trHeight w:val="340"/>
        </w:trPr>
        <w:tc>
          <w:tcPr>
            <w:tcW w:w="1818" w:type="dxa"/>
            <w:vAlign w:val="center"/>
          </w:tcPr>
          <w:p w14:paraId="7CA10B04" w14:textId="77777777" w:rsidR="00CB22D5" w:rsidRPr="00CB22D5" w:rsidRDefault="00CB22D5" w:rsidP="007E3C3B">
            <w:pPr>
              <w:spacing w:after="0" w:line="300" w:lineRule="atLeast"/>
              <w:ind w:left="284"/>
              <w:rPr>
                <w:lang w:val="en-US"/>
              </w:rPr>
            </w:pPr>
            <w:r w:rsidRPr="00CB22D5">
              <w:rPr>
                <w:lang w:val="en-US"/>
              </w:rPr>
              <w:t>kWh</w:t>
            </w:r>
          </w:p>
        </w:tc>
        <w:tc>
          <w:tcPr>
            <w:tcW w:w="6654" w:type="dxa"/>
            <w:vAlign w:val="center"/>
          </w:tcPr>
          <w:p w14:paraId="49309848" w14:textId="77777777" w:rsidR="00CB22D5" w:rsidRPr="00CB22D5" w:rsidRDefault="00CB22D5" w:rsidP="007E3C3B">
            <w:pPr>
              <w:spacing w:after="0" w:line="300" w:lineRule="atLeast"/>
              <w:ind w:left="284"/>
              <w:rPr>
                <w:lang w:val="en-US"/>
              </w:rPr>
            </w:pPr>
            <w:r w:rsidRPr="00CB22D5">
              <w:rPr>
                <w:lang w:val="en-US"/>
              </w:rPr>
              <w:t>kilowatt-hour</w:t>
            </w:r>
            <w:r w:rsidR="007E3C3B">
              <w:rPr>
                <w:lang w:val="en-US"/>
              </w:rPr>
              <w:t xml:space="preserve"> (equivalent to 1 kilowatt generated or consumed over 1 hour)</w:t>
            </w:r>
          </w:p>
        </w:tc>
      </w:tr>
      <w:tr w:rsidR="00CB22D5" w:rsidRPr="00CB22D5" w14:paraId="7CE0F369" w14:textId="77777777" w:rsidTr="007E3C3B">
        <w:trPr>
          <w:cantSplit/>
          <w:trHeight w:val="340"/>
        </w:trPr>
        <w:tc>
          <w:tcPr>
            <w:tcW w:w="1818" w:type="dxa"/>
            <w:vAlign w:val="center"/>
          </w:tcPr>
          <w:p w14:paraId="33AE1F12" w14:textId="77777777" w:rsidR="00CB22D5" w:rsidRPr="00CB22D5" w:rsidRDefault="00CB22D5" w:rsidP="007E3C3B">
            <w:pPr>
              <w:spacing w:after="0" w:line="300" w:lineRule="atLeast"/>
              <w:ind w:left="284"/>
              <w:rPr>
                <w:lang w:val="en-US"/>
              </w:rPr>
            </w:pPr>
            <w:r w:rsidRPr="00CB22D5">
              <w:rPr>
                <w:lang w:val="en-US"/>
              </w:rPr>
              <w:t>MW</w:t>
            </w:r>
          </w:p>
        </w:tc>
        <w:tc>
          <w:tcPr>
            <w:tcW w:w="6654" w:type="dxa"/>
            <w:vAlign w:val="center"/>
          </w:tcPr>
          <w:p w14:paraId="39EAB9A6" w14:textId="77777777" w:rsidR="00CB22D5" w:rsidRPr="00CB22D5" w:rsidRDefault="00CB22D5" w:rsidP="007E3C3B">
            <w:pPr>
              <w:spacing w:after="0" w:line="300" w:lineRule="atLeast"/>
              <w:ind w:left="284"/>
              <w:rPr>
                <w:lang w:val="en-US"/>
              </w:rPr>
            </w:pPr>
            <w:r w:rsidRPr="00CB22D5">
              <w:rPr>
                <w:lang w:val="en-US"/>
              </w:rPr>
              <w:t>megawatt (10</w:t>
            </w:r>
            <w:r w:rsidRPr="00CB22D5">
              <w:rPr>
                <w:vertAlign w:val="superscript"/>
                <w:lang w:val="en-US"/>
              </w:rPr>
              <w:t>6</w:t>
            </w:r>
            <w:r w:rsidRPr="00CB22D5">
              <w:rPr>
                <w:lang w:val="en-US"/>
              </w:rPr>
              <w:t xml:space="preserve"> </w:t>
            </w:r>
            <w:r w:rsidR="007E3C3B" w:rsidRPr="007E3C3B">
              <w:rPr>
                <w:lang w:val="en-US"/>
              </w:rPr>
              <w:t xml:space="preserve">or 1 million </w:t>
            </w:r>
            <w:r w:rsidRPr="00CB22D5">
              <w:rPr>
                <w:lang w:val="en-US"/>
              </w:rPr>
              <w:t>watts</w:t>
            </w:r>
            <w:r w:rsidR="007E3C3B">
              <w:rPr>
                <w:lang w:val="en-US"/>
              </w:rPr>
              <w:t xml:space="preserve"> of thermal energy</w:t>
            </w:r>
            <w:r w:rsidRPr="00CB22D5">
              <w:rPr>
                <w:lang w:val="en-US"/>
              </w:rPr>
              <w:t>)</w:t>
            </w:r>
          </w:p>
        </w:tc>
      </w:tr>
      <w:tr w:rsidR="007E3C3B" w:rsidRPr="00CB22D5" w14:paraId="14E68AC1" w14:textId="77777777" w:rsidTr="007E3C3B">
        <w:trPr>
          <w:cantSplit/>
          <w:trHeight w:val="340"/>
        </w:trPr>
        <w:tc>
          <w:tcPr>
            <w:tcW w:w="1818" w:type="dxa"/>
            <w:vAlign w:val="center"/>
          </w:tcPr>
          <w:p w14:paraId="5CE708BE" w14:textId="77777777" w:rsidR="007E3C3B" w:rsidRPr="00CB22D5" w:rsidRDefault="007E3C3B" w:rsidP="007E3C3B">
            <w:pPr>
              <w:spacing w:after="0" w:line="300" w:lineRule="atLeast"/>
              <w:ind w:left="284"/>
              <w:rPr>
                <w:lang w:val="en-US"/>
              </w:rPr>
            </w:pPr>
            <w:proofErr w:type="spellStart"/>
            <w:r>
              <w:rPr>
                <w:lang w:val="en-US"/>
              </w:rPr>
              <w:t>MWe</w:t>
            </w:r>
            <w:proofErr w:type="spellEnd"/>
          </w:p>
        </w:tc>
        <w:tc>
          <w:tcPr>
            <w:tcW w:w="6654" w:type="dxa"/>
            <w:vAlign w:val="center"/>
          </w:tcPr>
          <w:p w14:paraId="264735C5" w14:textId="77777777" w:rsidR="007E3C3B" w:rsidRPr="00CB22D5" w:rsidRDefault="007E3C3B" w:rsidP="007E3C3B">
            <w:pPr>
              <w:spacing w:after="0" w:line="300" w:lineRule="atLeast"/>
              <w:ind w:left="284"/>
              <w:rPr>
                <w:lang w:val="en-US"/>
              </w:rPr>
            </w:pPr>
            <w:r>
              <w:rPr>
                <w:lang w:val="en-US"/>
              </w:rPr>
              <w:t>megawatt of electrical energy</w:t>
            </w:r>
          </w:p>
        </w:tc>
      </w:tr>
      <w:tr w:rsidR="00CB22D5" w:rsidRPr="00CB22D5" w14:paraId="48911308" w14:textId="77777777" w:rsidTr="007E3C3B">
        <w:trPr>
          <w:cantSplit/>
          <w:trHeight w:val="340"/>
        </w:trPr>
        <w:tc>
          <w:tcPr>
            <w:tcW w:w="1818" w:type="dxa"/>
            <w:vAlign w:val="center"/>
          </w:tcPr>
          <w:p w14:paraId="6B65CCD3" w14:textId="77777777" w:rsidR="00CB22D5" w:rsidRPr="00CB22D5" w:rsidRDefault="00CB22D5" w:rsidP="007E3C3B">
            <w:pPr>
              <w:spacing w:after="0" w:line="300" w:lineRule="atLeast"/>
              <w:ind w:left="284"/>
              <w:rPr>
                <w:lang w:val="en-US"/>
              </w:rPr>
            </w:pPr>
            <w:proofErr w:type="spellStart"/>
            <w:r w:rsidRPr="00CB22D5">
              <w:rPr>
                <w:lang w:val="en-US"/>
              </w:rPr>
              <w:t>GWh</w:t>
            </w:r>
            <w:proofErr w:type="spellEnd"/>
          </w:p>
        </w:tc>
        <w:tc>
          <w:tcPr>
            <w:tcW w:w="6654" w:type="dxa"/>
            <w:vAlign w:val="center"/>
          </w:tcPr>
          <w:p w14:paraId="3B6FBC21" w14:textId="77777777" w:rsidR="00CB22D5" w:rsidRPr="00CB22D5" w:rsidRDefault="00CB22D5" w:rsidP="007E3C3B">
            <w:pPr>
              <w:spacing w:after="0" w:line="300" w:lineRule="atLeast"/>
              <w:ind w:left="284"/>
              <w:rPr>
                <w:lang w:val="en-US"/>
              </w:rPr>
            </w:pPr>
            <w:r w:rsidRPr="00CB22D5">
              <w:rPr>
                <w:lang w:val="en-US"/>
              </w:rPr>
              <w:t>gigawatt-hour</w:t>
            </w:r>
            <w:r w:rsidR="007E3C3B">
              <w:rPr>
                <w:lang w:val="en-US"/>
              </w:rPr>
              <w:t xml:space="preserve"> (equivalent to 1 thousand million watts consumed over 1 hour)</w:t>
            </w:r>
          </w:p>
        </w:tc>
      </w:tr>
      <w:tr w:rsidR="007E3C3B" w:rsidRPr="00CB22D5" w14:paraId="47E94D53" w14:textId="77777777" w:rsidTr="00B075A6">
        <w:trPr>
          <w:cantSplit/>
          <w:trHeight w:val="340"/>
        </w:trPr>
        <w:tc>
          <w:tcPr>
            <w:tcW w:w="8472" w:type="dxa"/>
            <w:gridSpan w:val="2"/>
            <w:vAlign w:val="center"/>
          </w:tcPr>
          <w:p w14:paraId="0093F9F8" w14:textId="77777777" w:rsidR="007E3C3B" w:rsidRPr="00CB22D5" w:rsidRDefault="007E3C3B" w:rsidP="007E3C3B">
            <w:pPr>
              <w:spacing w:before="120" w:line="300" w:lineRule="atLeast"/>
              <w:ind w:left="284"/>
              <w:rPr>
                <w:rFonts w:ascii="Arial" w:hAnsi="Arial" w:cs="Arial"/>
                <w:b/>
                <w:sz w:val="22"/>
                <w:szCs w:val="22"/>
                <w:lang w:val="en-US"/>
              </w:rPr>
            </w:pPr>
            <w:r w:rsidRPr="00CB22D5">
              <w:rPr>
                <w:rFonts w:ascii="Arial" w:hAnsi="Arial" w:cs="Arial"/>
                <w:b/>
                <w:sz w:val="22"/>
                <w:szCs w:val="22"/>
                <w:lang w:val="en-US"/>
              </w:rPr>
              <w:t>Abbreviations</w:t>
            </w:r>
          </w:p>
        </w:tc>
      </w:tr>
      <w:tr w:rsidR="00B56CE9" w:rsidRPr="00CB22D5" w14:paraId="341DDB73" w14:textId="77777777" w:rsidTr="007E3C3B">
        <w:trPr>
          <w:cantSplit/>
          <w:trHeight w:val="340"/>
        </w:trPr>
        <w:tc>
          <w:tcPr>
            <w:tcW w:w="1818" w:type="dxa"/>
            <w:vAlign w:val="center"/>
          </w:tcPr>
          <w:p w14:paraId="660347AC" w14:textId="7878A271" w:rsidR="00B56CE9" w:rsidRDefault="00B56CE9" w:rsidP="007E3C3B">
            <w:pPr>
              <w:spacing w:after="0" w:line="300" w:lineRule="atLeast"/>
              <w:ind w:left="284"/>
              <w:rPr>
                <w:lang w:val="en-US"/>
              </w:rPr>
            </w:pPr>
            <w:r>
              <w:rPr>
                <w:lang w:val="en-US"/>
              </w:rPr>
              <w:t>EECA</w:t>
            </w:r>
          </w:p>
        </w:tc>
        <w:tc>
          <w:tcPr>
            <w:tcW w:w="6654" w:type="dxa"/>
            <w:vAlign w:val="center"/>
          </w:tcPr>
          <w:p w14:paraId="26E180FB" w14:textId="67FE742C" w:rsidR="00B56CE9" w:rsidRDefault="00B56CE9" w:rsidP="007E3C3B">
            <w:pPr>
              <w:spacing w:after="0" w:line="300" w:lineRule="atLeast"/>
              <w:ind w:left="284"/>
              <w:rPr>
                <w:lang w:val="en-US"/>
              </w:rPr>
            </w:pPr>
            <w:r>
              <w:rPr>
                <w:lang w:val="en-US"/>
              </w:rPr>
              <w:t>Energy Efficiency &amp; Conservation Authority</w:t>
            </w:r>
          </w:p>
        </w:tc>
      </w:tr>
      <w:tr w:rsidR="00687885" w:rsidRPr="00CB22D5" w14:paraId="076DC67A" w14:textId="77777777" w:rsidTr="007E3C3B">
        <w:trPr>
          <w:cantSplit/>
          <w:trHeight w:val="340"/>
        </w:trPr>
        <w:tc>
          <w:tcPr>
            <w:tcW w:w="1818" w:type="dxa"/>
            <w:vAlign w:val="center"/>
          </w:tcPr>
          <w:p w14:paraId="5C4845C3" w14:textId="77777777" w:rsidR="00687885" w:rsidRDefault="00687885" w:rsidP="007E3C3B">
            <w:pPr>
              <w:spacing w:after="0" w:line="300" w:lineRule="atLeast"/>
              <w:ind w:left="284"/>
              <w:rPr>
                <w:lang w:val="en-US"/>
              </w:rPr>
            </w:pPr>
            <w:r>
              <w:rPr>
                <w:lang w:val="en-US"/>
              </w:rPr>
              <w:t>EU</w:t>
            </w:r>
          </w:p>
        </w:tc>
        <w:tc>
          <w:tcPr>
            <w:tcW w:w="6654" w:type="dxa"/>
            <w:vAlign w:val="center"/>
          </w:tcPr>
          <w:p w14:paraId="5BA9429F" w14:textId="77777777" w:rsidR="00687885" w:rsidRDefault="00687885" w:rsidP="007E3C3B">
            <w:pPr>
              <w:spacing w:after="0" w:line="300" w:lineRule="atLeast"/>
              <w:ind w:left="284"/>
              <w:rPr>
                <w:lang w:val="en-US"/>
              </w:rPr>
            </w:pPr>
            <w:r>
              <w:rPr>
                <w:lang w:val="en-US"/>
              </w:rPr>
              <w:t>European Union</w:t>
            </w:r>
          </w:p>
        </w:tc>
      </w:tr>
      <w:tr w:rsidR="00CB22D5" w:rsidRPr="00CB22D5" w14:paraId="5E1CC5EB" w14:textId="77777777" w:rsidTr="007E3C3B">
        <w:trPr>
          <w:cantSplit/>
          <w:trHeight w:val="340"/>
        </w:trPr>
        <w:tc>
          <w:tcPr>
            <w:tcW w:w="1818" w:type="dxa"/>
            <w:vAlign w:val="center"/>
          </w:tcPr>
          <w:p w14:paraId="2A63B574" w14:textId="77777777" w:rsidR="00CB22D5" w:rsidRPr="00CB22D5" w:rsidRDefault="00CB22D5" w:rsidP="007E3C3B">
            <w:pPr>
              <w:spacing w:after="0" w:line="300" w:lineRule="atLeast"/>
              <w:ind w:left="284"/>
              <w:rPr>
                <w:lang w:val="en-US"/>
              </w:rPr>
            </w:pPr>
            <w:r w:rsidRPr="00CB22D5">
              <w:rPr>
                <w:lang w:val="en-US"/>
              </w:rPr>
              <w:t>LPG</w:t>
            </w:r>
          </w:p>
        </w:tc>
        <w:tc>
          <w:tcPr>
            <w:tcW w:w="6654" w:type="dxa"/>
            <w:vAlign w:val="center"/>
          </w:tcPr>
          <w:p w14:paraId="4E34E407" w14:textId="77777777" w:rsidR="00CB22D5" w:rsidRPr="00CB22D5" w:rsidRDefault="00CB22D5" w:rsidP="007E3C3B">
            <w:pPr>
              <w:spacing w:after="0" w:line="300" w:lineRule="atLeast"/>
              <w:ind w:left="284"/>
              <w:rPr>
                <w:lang w:val="en-US"/>
              </w:rPr>
            </w:pPr>
            <w:r w:rsidRPr="00CB22D5">
              <w:rPr>
                <w:lang w:val="en-US"/>
              </w:rPr>
              <w:t>liquefied petroleum gas</w:t>
            </w:r>
          </w:p>
        </w:tc>
      </w:tr>
      <w:tr w:rsidR="00D42F4F" w:rsidRPr="00CB22D5" w14:paraId="5107AEBD" w14:textId="77777777" w:rsidTr="007E3C3B">
        <w:trPr>
          <w:cantSplit/>
          <w:trHeight w:val="340"/>
        </w:trPr>
        <w:tc>
          <w:tcPr>
            <w:tcW w:w="1818" w:type="dxa"/>
            <w:vAlign w:val="center"/>
          </w:tcPr>
          <w:p w14:paraId="10E1BF5C" w14:textId="77777777" w:rsidR="00D42F4F" w:rsidRPr="00CB22D5" w:rsidRDefault="00D42F4F" w:rsidP="007E3C3B">
            <w:pPr>
              <w:spacing w:after="0" w:line="300" w:lineRule="atLeast"/>
              <w:ind w:left="284"/>
              <w:rPr>
                <w:lang w:val="en-US"/>
              </w:rPr>
            </w:pPr>
            <w:r>
              <w:rPr>
                <w:lang w:val="en-US"/>
              </w:rPr>
              <w:t>RMA</w:t>
            </w:r>
          </w:p>
        </w:tc>
        <w:tc>
          <w:tcPr>
            <w:tcW w:w="6654" w:type="dxa"/>
            <w:vAlign w:val="center"/>
          </w:tcPr>
          <w:p w14:paraId="3F76F0FB" w14:textId="77777777" w:rsidR="00D42F4F" w:rsidRPr="00CB22D5" w:rsidRDefault="00D42F4F" w:rsidP="007E3C3B">
            <w:pPr>
              <w:spacing w:after="0" w:line="300" w:lineRule="atLeast"/>
              <w:ind w:left="284"/>
              <w:rPr>
                <w:lang w:val="en-US"/>
              </w:rPr>
            </w:pPr>
            <w:r>
              <w:rPr>
                <w:lang w:val="en-US"/>
              </w:rPr>
              <w:t>Resource Management Act</w:t>
            </w:r>
            <w:r w:rsidR="00CD05AD">
              <w:rPr>
                <w:lang w:val="en-US"/>
              </w:rPr>
              <w:t xml:space="preserve"> 1991</w:t>
            </w:r>
          </w:p>
        </w:tc>
      </w:tr>
      <w:tr w:rsidR="00CB22D5" w:rsidRPr="00CB22D5" w14:paraId="60BE87D0" w14:textId="77777777" w:rsidTr="007E3C3B">
        <w:trPr>
          <w:cantSplit/>
          <w:trHeight w:val="340"/>
        </w:trPr>
        <w:tc>
          <w:tcPr>
            <w:tcW w:w="1818" w:type="dxa"/>
            <w:vAlign w:val="center"/>
          </w:tcPr>
          <w:p w14:paraId="7A3DBB99" w14:textId="77777777" w:rsidR="00CB22D5" w:rsidRPr="00CB22D5" w:rsidRDefault="00CB22D5" w:rsidP="007E3C3B">
            <w:pPr>
              <w:spacing w:after="0" w:line="300" w:lineRule="atLeast"/>
              <w:ind w:left="284"/>
              <w:rPr>
                <w:lang w:val="en-US"/>
              </w:rPr>
            </w:pPr>
            <w:r w:rsidRPr="00CB22D5">
              <w:rPr>
                <w:lang w:val="en-US"/>
              </w:rPr>
              <w:t>UNEP</w:t>
            </w:r>
          </w:p>
        </w:tc>
        <w:tc>
          <w:tcPr>
            <w:tcW w:w="6654" w:type="dxa"/>
            <w:vAlign w:val="center"/>
          </w:tcPr>
          <w:p w14:paraId="2D52E8ED" w14:textId="77777777" w:rsidR="00CB22D5" w:rsidRPr="00CB22D5" w:rsidRDefault="00CB22D5" w:rsidP="007E3C3B">
            <w:pPr>
              <w:spacing w:after="0" w:line="300" w:lineRule="atLeast"/>
              <w:ind w:left="284"/>
              <w:rPr>
                <w:lang w:val="en-US"/>
              </w:rPr>
            </w:pPr>
            <w:r w:rsidRPr="00CB22D5">
              <w:rPr>
                <w:lang w:val="en-US"/>
              </w:rPr>
              <w:t xml:space="preserve">United Nations Environment </w:t>
            </w:r>
            <w:proofErr w:type="spellStart"/>
            <w:r w:rsidRPr="00CB22D5">
              <w:rPr>
                <w:lang w:val="en-US"/>
              </w:rPr>
              <w:t>Programme</w:t>
            </w:r>
            <w:proofErr w:type="spellEnd"/>
          </w:p>
        </w:tc>
      </w:tr>
      <w:tr w:rsidR="00CB22D5" w:rsidRPr="00CB22D5" w14:paraId="345E9598" w14:textId="77777777" w:rsidTr="007E3C3B">
        <w:trPr>
          <w:cantSplit/>
          <w:trHeight w:val="340"/>
        </w:trPr>
        <w:tc>
          <w:tcPr>
            <w:tcW w:w="1818" w:type="dxa"/>
            <w:vAlign w:val="center"/>
          </w:tcPr>
          <w:p w14:paraId="1E2B254D" w14:textId="77777777" w:rsidR="00CB22D5" w:rsidRPr="00CB22D5" w:rsidRDefault="00CB22D5" w:rsidP="007E3C3B">
            <w:pPr>
              <w:spacing w:after="0" w:line="300" w:lineRule="atLeast"/>
              <w:ind w:left="284"/>
              <w:rPr>
                <w:lang w:val="en-US"/>
              </w:rPr>
            </w:pPr>
            <w:r w:rsidRPr="00CB22D5">
              <w:rPr>
                <w:lang w:val="en-US"/>
              </w:rPr>
              <w:t>USA</w:t>
            </w:r>
          </w:p>
        </w:tc>
        <w:tc>
          <w:tcPr>
            <w:tcW w:w="6654" w:type="dxa"/>
            <w:vAlign w:val="center"/>
          </w:tcPr>
          <w:p w14:paraId="7842C3CD" w14:textId="77777777" w:rsidR="00CB22D5" w:rsidRPr="00CB22D5" w:rsidRDefault="00CB22D5" w:rsidP="007E3C3B">
            <w:pPr>
              <w:spacing w:after="0" w:line="300" w:lineRule="atLeast"/>
              <w:ind w:left="284"/>
              <w:rPr>
                <w:lang w:val="en-US"/>
              </w:rPr>
            </w:pPr>
            <w:r w:rsidRPr="00CB22D5">
              <w:rPr>
                <w:lang w:val="en-US"/>
              </w:rPr>
              <w:t>United States of America</w:t>
            </w:r>
          </w:p>
        </w:tc>
      </w:tr>
      <w:tr w:rsidR="00CB22D5" w:rsidRPr="00CB22D5" w14:paraId="24F5C5C8" w14:textId="77777777" w:rsidTr="007E3C3B">
        <w:trPr>
          <w:cantSplit/>
          <w:trHeight w:val="340"/>
        </w:trPr>
        <w:tc>
          <w:tcPr>
            <w:tcW w:w="1818" w:type="dxa"/>
            <w:vAlign w:val="center"/>
          </w:tcPr>
          <w:p w14:paraId="2B9DC774" w14:textId="77777777" w:rsidR="00CB22D5" w:rsidRPr="00CB22D5" w:rsidRDefault="00CB22D5" w:rsidP="007E3C3B">
            <w:pPr>
              <w:spacing w:after="0" w:line="300" w:lineRule="atLeast"/>
              <w:ind w:left="284"/>
              <w:rPr>
                <w:lang w:val="en-US"/>
              </w:rPr>
            </w:pPr>
            <w:r w:rsidRPr="00CB22D5">
              <w:rPr>
                <w:lang w:val="en-US"/>
              </w:rPr>
              <w:t>US EPA</w:t>
            </w:r>
          </w:p>
        </w:tc>
        <w:tc>
          <w:tcPr>
            <w:tcW w:w="6654" w:type="dxa"/>
            <w:vAlign w:val="center"/>
          </w:tcPr>
          <w:p w14:paraId="5EF981CF" w14:textId="77777777" w:rsidR="00CB22D5" w:rsidRPr="00CB22D5" w:rsidRDefault="00CB22D5" w:rsidP="007E3C3B">
            <w:pPr>
              <w:spacing w:after="0" w:line="300" w:lineRule="atLeast"/>
              <w:ind w:left="284"/>
              <w:rPr>
                <w:lang w:val="en-US"/>
              </w:rPr>
            </w:pPr>
            <w:r w:rsidRPr="00CB22D5">
              <w:rPr>
                <w:lang w:val="en-US"/>
              </w:rPr>
              <w:t>United States Environmental Protection Agency</w:t>
            </w:r>
          </w:p>
        </w:tc>
      </w:tr>
      <w:tr w:rsidR="00CB22D5" w:rsidRPr="00CB22D5" w14:paraId="2AE07228" w14:textId="77777777" w:rsidTr="007E3C3B">
        <w:trPr>
          <w:cantSplit/>
          <w:trHeight w:val="340"/>
        </w:trPr>
        <w:tc>
          <w:tcPr>
            <w:tcW w:w="1818" w:type="dxa"/>
            <w:vAlign w:val="center"/>
          </w:tcPr>
          <w:p w14:paraId="03B14C7F" w14:textId="5647CCAC" w:rsidR="00CB22D5" w:rsidRPr="00CB22D5" w:rsidRDefault="00CB22D5" w:rsidP="007E3C3B">
            <w:pPr>
              <w:spacing w:after="0" w:line="300" w:lineRule="atLeast"/>
              <w:ind w:left="284"/>
              <w:rPr>
                <w:lang w:val="en-US"/>
              </w:rPr>
            </w:pPr>
          </w:p>
        </w:tc>
        <w:tc>
          <w:tcPr>
            <w:tcW w:w="6654" w:type="dxa"/>
            <w:vAlign w:val="center"/>
          </w:tcPr>
          <w:p w14:paraId="43D05883" w14:textId="477B0A52" w:rsidR="00CB22D5" w:rsidRPr="00CB22D5" w:rsidRDefault="00CB22D5" w:rsidP="007E3C3B">
            <w:pPr>
              <w:spacing w:after="0" w:line="300" w:lineRule="atLeast"/>
              <w:ind w:left="284"/>
              <w:rPr>
                <w:lang w:val="en-US"/>
              </w:rPr>
            </w:pPr>
          </w:p>
        </w:tc>
      </w:tr>
    </w:tbl>
    <w:p w14:paraId="7F8836D4" w14:textId="77777777" w:rsidR="00CB22D5" w:rsidRPr="00CB22D5" w:rsidRDefault="00CB22D5" w:rsidP="007E3C3B">
      <w:pPr>
        <w:widowControl w:val="0"/>
        <w:spacing w:after="0" w:line="300" w:lineRule="atLeast"/>
        <w:ind w:left="284"/>
        <w:rPr>
          <w:lang w:val="en-US"/>
        </w:rPr>
      </w:pPr>
    </w:p>
    <w:p w14:paraId="27AC5C1A" w14:textId="77777777" w:rsidR="00C05182" w:rsidRPr="00270CD3" w:rsidRDefault="00C05182" w:rsidP="003833D6">
      <w:pPr>
        <w:spacing w:line="300" w:lineRule="atLeast"/>
        <w:jc w:val="both"/>
      </w:pPr>
    </w:p>
    <w:p w14:paraId="1A56194E" w14:textId="77777777" w:rsidR="00C05182" w:rsidRPr="00270CD3" w:rsidRDefault="00C05182" w:rsidP="00270CD3">
      <w:pPr>
        <w:spacing w:line="360" w:lineRule="auto"/>
        <w:jc w:val="both"/>
        <w:sectPr w:rsidR="00C05182" w:rsidRPr="00270CD3" w:rsidSect="00251E8B">
          <w:headerReference w:type="default" r:id="rId13"/>
          <w:footerReference w:type="default" r:id="rId14"/>
          <w:pgSz w:w="11907" w:h="16840" w:code="9"/>
          <w:pgMar w:top="1418" w:right="1418" w:bottom="1440" w:left="1418" w:header="720" w:footer="720" w:gutter="0"/>
          <w:pgNumType w:fmt="lowerRoman"/>
          <w:cols w:space="720"/>
        </w:sectPr>
      </w:pPr>
    </w:p>
    <w:p w14:paraId="7415803A" w14:textId="77777777" w:rsidR="00394F37" w:rsidRPr="00270CD3" w:rsidRDefault="00A14971" w:rsidP="00394F37">
      <w:pPr>
        <w:jc w:val="center"/>
        <w:rPr>
          <w:rFonts w:ascii="Arial" w:hAnsi="Arial" w:cs="Arial"/>
          <w:b/>
          <w:sz w:val="28"/>
          <w:szCs w:val="28"/>
        </w:rPr>
      </w:pPr>
      <w:r w:rsidRPr="00270CD3">
        <w:rPr>
          <w:rFonts w:ascii="Arial" w:hAnsi="Arial" w:cs="Arial"/>
          <w:b/>
          <w:sz w:val="28"/>
          <w:szCs w:val="28"/>
        </w:rPr>
        <w:lastRenderedPageBreak/>
        <w:t xml:space="preserve">Mercury Inventory for New Zealand: </w:t>
      </w:r>
      <w:r w:rsidR="00E10B98">
        <w:rPr>
          <w:rFonts w:ascii="Arial" w:hAnsi="Arial" w:cs="Arial"/>
          <w:b/>
          <w:sz w:val="28"/>
          <w:szCs w:val="28"/>
        </w:rPr>
        <w:t>2016</w:t>
      </w:r>
    </w:p>
    <w:p w14:paraId="77E5286E" w14:textId="77777777" w:rsidR="00A62C53" w:rsidRPr="00270CD3" w:rsidRDefault="00A62C53" w:rsidP="003833D6">
      <w:pPr>
        <w:spacing w:line="300" w:lineRule="atLeast"/>
        <w:jc w:val="both"/>
        <w:rPr>
          <w:szCs w:val="18"/>
        </w:rPr>
      </w:pPr>
    </w:p>
    <w:p w14:paraId="2D4CEB70" w14:textId="77777777" w:rsidR="00F13B43" w:rsidRPr="00F0772D" w:rsidRDefault="00E721F0" w:rsidP="00903E7B">
      <w:pPr>
        <w:pStyle w:val="Heading1"/>
        <w:rPr>
          <w:rFonts w:cs="Arial"/>
          <w:b w:val="0"/>
          <w:bCs/>
        </w:rPr>
      </w:pPr>
      <w:bookmarkStart w:id="5" w:name="_Toc313528452"/>
      <w:bookmarkStart w:id="6" w:name="_Toc348266173"/>
      <w:bookmarkStart w:id="7" w:name="_Toc484949556"/>
      <w:r w:rsidRPr="00F0772D">
        <w:rPr>
          <w:rFonts w:cs="Arial"/>
          <w:bCs/>
        </w:rPr>
        <w:t>Introduction</w:t>
      </w:r>
      <w:bookmarkEnd w:id="5"/>
      <w:bookmarkEnd w:id="6"/>
      <w:bookmarkEnd w:id="7"/>
    </w:p>
    <w:p w14:paraId="7AF0FBAE" w14:textId="77777777" w:rsidR="0024649B" w:rsidRDefault="0024649B" w:rsidP="0024649B">
      <w:pPr>
        <w:spacing w:line="300" w:lineRule="atLeast"/>
        <w:jc w:val="both"/>
        <w:rPr>
          <w:szCs w:val="18"/>
        </w:rPr>
      </w:pPr>
      <w:r w:rsidRPr="00270CD3">
        <w:rPr>
          <w:szCs w:val="18"/>
        </w:rPr>
        <w:t xml:space="preserve">This report provides </w:t>
      </w:r>
      <w:r>
        <w:rPr>
          <w:szCs w:val="18"/>
        </w:rPr>
        <w:t>an inventory of the annual distribution</w:t>
      </w:r>
      <w:r w:rsidRPr="00270CD3">
        <w:rPr>
          <w:szCs w:val="18"/>
        </w:rPr>
        <w:t xml:space="preserve"> </w:t>
      </w:r>
      <w:r>
        <w:rPr>
          <w:szCs w:val="18"/>
        </w:rPr>
        <w:t xml:space="preserve">of mercury and mercury-containing goods and materials in </w:t>
      </w:r>
      <w:r w:rsidRPr="00270CD3">
        <w:rPr>
          <w:szCs w:val="18"/>
        </w:rPr>
        <w:t>New Zealand</w:t>
      </w:r>
      <w:r>
        <w:rPr>
          <w:szCs w:val="18"/>
        </w:rPr>
        <w:t>, from anthropogenic (man-made) sources</w:t>
      </w:r>
      <w:r w:rsidR="00E10B98">
        <w:rPr>
          <w:szCs w:val="18"/>
        </w:rPr>
        <w:t>,</w:t>
      </w:r>
      <w:r w:rsidR="00E10B98" w:rsidRPr="00E10B98">
        <w:rPr>
          <w:szCs w:val="18"/>
        </w:rPr>
        <w:t xml:space="preserve"> </w:t>
      </w:r>
      <w:r w:rsidR="00E10B98">
        <w:rPr>
          <w:szCs w:val="18"/>
        </w:rPr>
        <w:t>for a base year of 2016</w:t>
      </w:r>
      <w:r w:rsidR="00E10B98" w:rsidRPr="00270CD3">
        <w:rPr>
          <w:szCs w:val="18"/>
        </w:rPr>
        <w:t xml:space="preserve">. It has been </w:t>
      </w:r>
      <w:r w:rsidR="00E10B98">
        <w:rPr>
          <w:szCs w:val="18"/>
        </w:rPr>
        <w:t>produced</w:t>
      </w:r>
      <w:r w:rsidR="00E10B98" w:rsidRPr="00270CD3">
        <w:rPr>
          <w:szCs w:val="18"/>
        </w:rPr>
        <w:t xml:space="preserve"> under </w:t>
      </w:r>
      <w:r w:rsidR="00E10B98">
        <w:rPr>
          <w:szCs w:val="18"/>
        </w:rPr>
        <w:t xml:space="preserve">a </w:t>
      </w:r>
      <w:r w:rsidR="00E10B98" w:rsidRPr="00270CD3">
        <w:rPr>
          <w:szCs w:val="18"/>
        </w:rPr>
        <w:t>contract to the New Zealand Ministry for the Environment</w:t>
      </w:r>
      <w:r w:rsidR="00E10B98">
        <w:rPr>
          <w:szCs w:val="18"/>
        </w:rPr>
        <w:t>, and builds on the information reported in previous inventories for 2008 and 2012 (</w:t>
      </w:r>
      <w:proofErr w:type="spellStart"/>
      <w:r w:rsidR="00E10B98">
        <w:rPr>
          <w:szCs w:val="18"/>
        </w:rPr>
        <w:t>MfE</w:t>
      </w:r>
      <w:proofErr w:type="spellEnd"/>
      <w:r w:rsidR="00E10B98">
        <w:rPr>
          <w:szCs w:val="18"/>
        </w:rPr>
        <w:t xml:space="preserve">, 2008a and </w:t>
      </w:r>
      <w:proofErr w:type="spellStart"/>
      <w:r w:rsidR="00E10B98">
        <w:rPr>
          <w:szCs w:val="18"/>
        </w:rPr>
        <w:t>MfE</w:t>
      </w:r>
      <w:proofErr w:type="spellEnd"/>
      <w:r w:rsidR="00E10B98">
        <w:rPr>
          <w:szCs w:val="18"/>
        </w:rPr>
        <w:t>, 2013).</w:t>
      </w:r>
    </w:p>
    <w:p w14:paraId="09F433CE" w14:textId="77777777" w:rsidR="0024649B" w:rsidRPr="00270CD3" w:rsidRDefault="0024649B" w:rsidP="0024649B">
      <w:pPr>
        <w:spacing w:line="300" w:lineRule="atLeast"/>
        <w:jc w:val="both"/>
        <w:rPr>
          <w:szCs w:val="18"/>
        </w:rPr>
      </w:pPr>
      <w:r>
        <w:rPr>
          <w:szCs w:val="18"/>
        </w:rPr>
        <w:t xml:space="preserve">The inventory has been prepared generally in accordance with the guidance provided in </w:t>
      </w:r>
      <w:r>
        <w:t xml:space="preserve">the UNEP </w:t>
      </w:r>
      <w:r w:rsidRPr="002D6CD9">
        <w:rPr>
          <w:i/>
        </w:rPr>
        <w:t xml:space="preserve">Toolkit </w:t>
      </w:r>
      <w:r w:rsidRPr="00E00DC4">
        <w:rPr>
          <w:i/>
        </w:rPr>
        <w:t>for identification and quantification of mercury releases</w:t>
      </w:r>
      <w:r>
        <w:t xml:space="preserve"> (the UNEP Toolkit), which aims to </w:t>
      </w:r>
      <w:r w:rsidRPr="008A4BA2">
        <w:t xml:space="preserve">assist countries to build a knowledge base that identifies </w:t>
      </w:r>
      <w:r>
        <w:t xml:space="preserve">the </w:t>
      </w:r>
      <w:r w:rsidRPr="008A4BA2">
        <w:t>sources of mercury releases in their country and estimates or quantifies the releases</w:t>
      </w:r>
      <w:r>
        <w:t>. This information is expected to assist in decision-making with regard to possible control measures on mercury releases; in communicating with stakeholders; and in monitoring changes over time.</w:t>
      </w:r>
    </w:p>
    <w:p w14:paraId="78742765" w14:textId="77777777" w:rsidR="005A7C86" w:rsidRPr="00F0772D" w:rsidRDefault="000E7152" w:rsidP="002A030F">
      <w:pPr>
        <w:pStyle w:val="Heading2"/>
      </w:pPr>
      <w:bookmarkStart w:id="8" w:name="_Toc348266174"/>
      <w:bookmarkStart w:id="9" w:name="_Toc484949557"/>
      <w:r w:rsidRPr="002A030F">
        <w:t>Background</w:t>
      </w:r>
      <w:bookmarkEnd w:id="8"/>
      <w:bookmarkEnd w:id="9"/>
    </w:p>
    <w:p w14:paraId="1B184B6C" w14:textId="530915C3" w:rsidR="00193252" w:rsidRDefault="00E10B98" w:rsidP="003833D6">
      <w:pPr>
        <w:spacing w:line="300" w:lineRule="atLeast"/>
        <w:jc w:val="both"/>
      </w:pPr>
      <w:r>
        <w:t>T</w:t>
      </w:r>
      <w:r w:rsidR="00897AC4" w:rsidRPr="003833D6">
        <w:t xml:space="preserve">he </w:t>
      </w:r>
      <w:proofErr w:type="spellStart"/>
      <w:r w:rsidR="00CF7DB5">
        <w:t>Mina</w:t>
      </w:r>
      <w:r w:rsidR="00951635" w:rsidRPr="003833D6">
        <w:t>mata</w:t>
      </w:r>
      <w:proofErr w:type="spellEnd"/>
      <w:r w:rsidR="00897AC4" w:rsidRPr="003833D6">
        <w:t xml:space="preserve"> Convention on Mercury</w:t>
      </w:r>
      <w:r>
        <w:t xml:space="preserve"> was </w:t>
      </w:r>
      <w:r w:rsidR="0043621F">
        <w:t xml:space="preserve">formally </w:t>
      </w:r>
      <w:r>
        <w:t xml:space="preserve">adopted at a </w:t>
      </w:r>
      <w:r w:rsidR="00193252">
        <w:t xml:space="preserve">Diplomatic Conference </w:t>
      </w:r>
      <w:r>
        <w:t xml:space="preserve">in October 2013, and was signed by New Zealand </w:t>
      </w:r>
      <w:r w:rsidR="00193252">
        <w:t>at that time</w:t>
      </w:r>
      <w:r w:rsidR="00B56CE9">
        <w:t xml:space="preserve">. </w:t>
      </w:r>
      <w:r w:rsidR="00193252">
        <w:t xml:space="preserve">The New Zealand government is currently working towards ratification of the Convention, which </w:t>
      </w:r>
      <w:r w:rsidR="00B56CE9">
        <w:t>is due to</w:t>
      </w:r>
      <w:r w:rsidR="00193252">
        <w:t xml:space="preserve"> enter into force </w:t>
      </w:r>
      <w:r w:rsidR="00B56CE9">
        <w:t xml:space="preserve">on 16 August 2017. </w:t>
      </w:r>
    </w:p>
    <w:p w14:paraId="0E124049" w14:textId="77777777" w:rsidR="00897AC4" w:rsidRDefault="00897AC4" w:rsidP="003833D6">
      <w:pPr>
        <w:spacing w:line="300" w:lineRule="atLeast"/>
        <w:jc w:val="both"/>
      </w:pPr>
      <w:r w:rsidRPr="003833D6">
        <w:t xml:space="preserve">The Convention </w:t>
      </w:r>
      <w:r w:rsidR="00193252">
        <w:t xml:space="preserve">aims to </w:t>
      </w:r>
      <w:r w:rsidRPr="003833D6">
        <w:t>control</w:t>
      </w:r>
      <w:r w:rsidR="001A397A">
        <w:t xml:space="preserve"> most aspects of the mercury ‘life cycle’, including:</w:t>
      </w:r>
      <w:r w:rsidRPr="003833D6">
        <w:t xml:space="preserve"> man-made supplies</w:t>
      </w:r>
      <w:r w:rsidR="001A397A">
        <w:t xml:space="preserve"> and </w:t>
      </w:r>
      <w:r w:rsidRPr="003833D6">
        <w:t>uses</w:t>
      </w:r>
      <w:r w:rsidR="001A397A" w:rsidRPr="001A397A">
        <w:t xml:space="preserve"> </w:t>
      </w:r>
      <w:r w:rsidR="001A397A" w:rsidRPr="003833D6">
        <w:t>of mercury and mercury compounds</w:t>
      </w:r>
      <w:r w:rsidR="001A397A">
        <w:t>;</w:t>
      </w:r>
      <w:r w:rsidRPr="003833D6">
        <w:t xml:space="preserve"> emissions to air</w:t>
      </w:r>
      <w:r w:rsidR="00CF7DB5">
        <w:t>,</w:t>
      </w:r>
      <w:r w:rsidRPr="003833D6">
        <w:t xml:space="preserve"> and releases to land and water</w:t>
      </w:r>
      <w:r w:rsidR="001A397A">
        <w:t>; the environmentally sound management of mercury wastes and mercury-containing wastes, including trans-boundary movements; and the management of mercury contaminated sites</w:t>
      </w:r>
      <w:r w:rsidRPr="003833D6">
        <w:t xml:space="preserve">. </w:t>
      </w:r>
    </w:p>
    <w:p w14:paraId="6D38E006" w14:textId="77777777" w:rsidR="0028482F" w:rsidRPr="003833D6" w:rsidRDefault="003A65F5" w:rsidP="003833D6">
      <w:pPr>
        <w:spacing w:line="300" w:lineRule="atLeast"/>
        <w:jc w:val="both"/>
      </w:pPr>
      <w:r>
        <w:t xml:space="preserve">The </w:t>
      </w:r>
      <w:r w:rsidR="00193252">
        <w:t>previous New Zealand mercury inventor</w:t>
      </w:r>
      <w:r>
        <w:t>i</w:t>
      </w:r>
      <w:r w:rsidR="00193252">
        <w:t>e</w:t>
      </w:r>
      <w:r>
        <w:t xml:space="preserve">s </w:t>
      </w:r>
      <w:r w:rsidR="00193252">
        <w:t xml:space="preserve">provided background information for the government leading up to the decision to sign the Convention, while the current work is intended to provide an update of that information.  In particular it will assist in </w:t>
      </w:r>
      <w:r>
        <w:t>identif</w:t>
      </w:r>
      <w:r w:rsidR="00193252">
        <w:t>ying</w:t>
      </w:r>
      <w:r>
        <w:t xml:space="preserve"> the most significant sources of mercury and mercury-containing goods and materials</w:t>
      </w:r>
      <w:r w:rsidR="00193252">
        <w:t xml:space="preserve"> in New Zealand</w:t>
      </w:r>
      <w:r>
        <w:t xml:space="preserve">, and the activities, and key individuals or organisations, associated with these (the stakeholders). </w:t>
      </w:r>
    </w:p>
    <w:p w14:paraId="39F7262A" w14:textId="77777777" w:rsidR="00EB0BD0" w:rsidRPr="00F0772D" w:rsidRDefault="00EB0BD0" w:rsidP="00135B26">
      <w:pPr>
        <w:pStyle w:val="Heading2"/>
      </w:pPr>
      <w:bookmarkStart w:id="10" w:name="_Toc348266176"/>
      <w:bookmarkStart w:id="11" w:name="_Toc484949558"/>
      <w:r w:rsidRPr="00F0772D">
        <w:t>Methodology</w:t>
      </w:r>
      <w:bookmarkEnd w:id="10"/>
      <w:bookmarkEnd w:id="11"/>
    </w:p>
    <w:p w14:paraId="597FE6F5" w14:textId="77777777" w:rsidR="00804FC8" w:rsidRPr="00804FC8" w:rsidRDefault="00077237" w:rsidP="00804FC8">
      <w:pPr>
        <w:spacing w:line="300" w:lineRule="atLeast"/>
        <w:jc w:val="both"/>
        <w:rPr>
          <w:lang w:val="en-AU"/>
        </w:rPr>
      </w:pPr>
      <w:r>
        <w:t xml:space="preserve">The basic methodology used for this work was the latest version of the UNEP Toolkit, which was published in </w:t>
      </w:r>
      <w:r w:rsidR="00193252">
        <w:t>January 2017</w:t>
      </w:r>
      <w:r>
        <w:t>.</w:t>
      </w:r>
      <w:r w:rsidR="00193252">
        <w:t xml:space="preserve"> </w:t>
      </w:r>
      <w:r>
        <w:t xml:space="preserve"> </w:t>
      </w:r>
      <w:r w:rsidR="00804FC8" w:rsidRPr="00804FC8">
        <w:rPr>
          <w:lang w:val="en-AU"/>
        </w:rPr>
        <w:t xml:space="preserve">This </w:t>
      </w:r>
      <w:r w:rsidR="00804FC8">
        <w:rPr>
          <w:lang w:val="en-AU"/>
        </w:rPr>
        <w:t xml:space="preserve">methodology was applied </w:t>
      </w:r>
      <w:r w:rsidR="00804FC8" w:rsidRPr="00804FC8">
        <w:rPr>
          <w:lang w:val="en-AU"/>
        </w:rPr>
        <w:t>using the following general approach:</w:t>
      </w:r>
    </w:p>
    <w:p w14:paraId="1ACC2CB5" w14:textId="77777777" w:rsidR="00804FC8" w:rsidRPr="00804FC8" w:rsidRDefault="00E44C9D" w:rsidP="00804FC8">
      <w:pPr>
        <w:numPr>
          <w:ilvl w:val="0"/>
          <w:numId w:val="11"/>
        </w:numPr>
        <w:spacing w:line="300" w:lineRule="atLeast"/>
        <w:jc w:val="both"/>
        <w:rPr>
          <w:lang w:val="en-AU"/>
        </w:rPr>
      </w:pPr>
      <w:r w:rsidRPr="00804FC8">
        <w:rPr>
          <w:lang w:val="en-AU"/>
        </w:rPr>
        <w:t>Review</w:t>
      </w:r>
      <w:r>
        <w:rPr>
          <w:lang w:val="en-AU"/>
        </w:rPr>
        <w:t>s</w:t>
      </w:r>
      <w:r w:rsidRPr="00804FC8">
        <w:rPr>
          <w:lang w:val="en-AU"/>
        </w:rPr>
        <w:t xml:space="preserve"> </w:t>
      </w:r>
      <w:r w:rsidR="00804FC8" w:rsidRPr="00804FC8">
        <w:rPr>
          <w:lang w:val="en-AU"/>
        </w:rPr>
        <w:t xml:space="preserve">of the information given in the updated Toolkit for each source category, </w:t>
      </w:r>
      <w:r w:rsidR="00193252">
        <w:rPr>
          <w:lang w:val="en-AU"/>
        </w:rPr>
        <w:t>noting in particular any significant changes since the previous version, which was published in April 2013.</w:t>
      </w:r>
    </w:p>
    <w:p w14:paraId="25DBDE38" w14:textId="77777777" w:rsidR="00804FC8" w:rsidRPr="00804FC8" w:rsidRDefault="00E44C9D" w:rsidP="00804FC8">
      <w:pPr>
        <w:numPr>
          <w:ilvl w:val="0"/>
          <w:numId w:val="11"/>
        </w:numPr>
        <w:spacing w:line="300" w:lineRule="atLeast"/>
        <w:jc w:val="both"/>
        <w:rPr>
          <w:lang w:val="en-AU"/>
        </w:rPr>
      </w:pPr>
      <w:r w:rsidRPr="00804FC8">
        <w:rPr>
          <w:lang w:val="en-AU"/>
        </w:rPr>
        <w:t xml:space="preserve">Contacts </w:t>
      </w:r>
      <w:r w:rsidR="00804FC8" w:rsidRPr="00804FC8">
        <w:rPr>
          <w:lang w:val="en-AU"/>
        </w:rPr>
        <w:t>with government agencies, importers, manufacturers, industry associations, regional and local councils</w:t>
      </w:r>
      <w:r w:rsidR="00477C3B">
        <w:rPr>
          <w:lang w:val="en-AU"/>
        </w:rPr>
        <w:t>,</w:t>
      </w:r>
      <w:r w:rsidR="00804FC8" w:rsidRPr="00804FC8">
        <w:rPr>
          <w:lang w:val="en-AU"/>
        </w:rPr>
        <w:t xml:space="preserve"> as appropriate</w:t>
      </w:r>
      <w:r w:rsidR="00477C3B">
        <w:rPr>
          <w:lang w:val="en-AU"/>
        </w:rPr>
        <w:t>,</w:t>
      </w:r>
      <w:r w:rsidR="00804FC8" w:rsidRPr="00804FC8">
        <w:rPr>
          <w:lang w:val="en-AU"/>
        </w:rPr>
        <w:t xml:space="preserve"> to obtain up to date activity data and/or release </w:t>
      </w:r>
      <w:r>
        <w:rPr>
          <w:lang w:val="en-AU"/>
        </w:rPr>
        <w:t>information</w:t>
      </w:r>
      <w:r w:rsidR="00804FC8">
        <w:rPr>
          <w:lang w:val="en-AU"/>
        </w:rPr>
        <w:t>.</w:t>
      </w:r>
    </w:p>
    <w:p w14:paraId="7EE8C23D" w14:textId="77777777" w:rsidR="00804FC8" w:rsidRPr="00804FC8" w:rsidRDefault="00E44C9D" w:rsidP="00804FC8">
      <w:pPr>
        <w:numPr>
          <w:ilvl w:val="0"/>
          <w:numId w:val="11"/>
        </w:numPr>
        <w:spacing w:line="300" w:lineRule="atLeast"/>
        <w:jc w:val="both"/>
        <w:rPr>
          <w:lang w:val="en-AU"/>
        </w:rPr>
      </w:pPr>
      <w:r w:rsidRPr="00804FC8">
        <w:rPr>
          <w:lang w:val="en-AU"/>
        </w:rPr>
        <w:t>Input</w:t>
      </w:r>
      <w:r w:rsidR="00804FC8" w:rsidRPr="00804FC8">
        <w:rPr>
          <w:lang w:val="en-AU"/>
        </w:rPr>
        <w:t>/output calculations using the Toolkit spreadsheet and drafting of the relevant subsec</w:t>
      </w:r>
      <w:r w:rsidR="00804FC8">
        <w:rPr>
          <w:lang w:val="en-AU"/>
        </w:rPr>
        <w:t>tions of the inventory report</w:t>
      </w:r>
      <w:r>
        <w:rPr>
          <w:lang w:val="en-AU"/>
        </w:rPr>
        <w:t>, including overall summary and analysis sections</w:t>
      </w:r>
      <w:r w:rsidR="00804FC8">
        <w:rPr>
          <w:lang w:val="en-AU"/>
        </w:rPr>
        <w:t>.</w:t>
      </w:r>
    </w:p>
    <w:p w14:paraId="42708B55" w14:textId="77777777" w:rsidR="005A7C86" w:rsidRPr="00F0772D" w:rsidRDefault="005A7C86" w:rsidP="00135B26">
      <w:pPr>
        <w:pStyle w:val="Heading2"/>
      </w:pPr>
      <w:bookmarkStart w:id="12" w:name="_Toc348266177"/>
      <w:bookmarkStart w:id="13" w:name="_Toc484949559"/>
      <w:r w:rsidRPr="00F0772D">
        <w:t>Re</w:t>
      </w:r>
      <w:r w:rsidR="000B300C" w:rsidRPr="00F0772D">
        <w:t xml:space="preserve">port </w:t>
      </w:r>
      <w:r w:rsidR="00A97D5C" w:rsidRPr="00F0772D">
        <w:t>layout and content</w:t>
      </w:r>
      <w:bookmarkEnd w:id="12"/>
      <w:bookmarkEnd w:id="13"/>
    </w:p>
    <w:p w14:paraId="729E0861" w14:textId="77777777" w:rsidR="00D800A7" w:rsidRDefault="00E44C9D" w:rsidP="003833D6">
      <w:pPr>
        <w:spacing w:line="300" w:lineRule="atLeast"/>
        <w:jc w:val="both"/>
        <w:rPr>
          <w:lang w:val="en-AU"/>
        </w:rPr>
      </w:pPr>
      <w:r>
        <w:t xml:space="preserve">Details of the UNEP Toolkit methodology and </w:t>
      </w:r>
      <w:r w:rsidR="000F11EC">
        <w:t>related</w:t>
      </w:r>
      <w:r>
        <w:t xml:space="preserve"> aspects are presented in section 2</w:t>
      </w:r>
      <w:r w:rsidR="00193252">
        <w:t xml:space="preserve"> of this report</w:t>
      </w:r>
      <w:r>
        <w:t xml:space="preserve">. This is followed by individual sections covering each of the 11 Toolkit source categories, a summary and </w:t>
      </w:r>
      <w:r w:rsidR="00B95933">
        <w:t xml:space="preserve">discussion </w:t>
      </w:r>
      <w:r>
        <w:t xml:space="preserve">section, and a </w:t>
      </w:r>
      <w:r w:rsidR="00804FC8" w:rsidRPr="00804FC8">
        <w:rPr>
          <w:lang w:val="en-AU"/>
        </w:rPr>
        <w:t xml:space="preserve">section containing </w:t>
      </w:r>
      <w:r w:rsidR="000F11EC">
        <w:rPr>
          <w:lang w:val="en-AU"/>
        </w:rPr>
        <w:t>relevant industry profiles.</w:t>
      </w:r>
    </w:p>
    <w:p w14:paraId="33B45C89" w14:textId="77777777" w:rsidR="002B5F06" w:rsidRPr="00A311F7" w:rsidRDefault="00696CB4" w:rsidP="00060565">
      <w:pPr>
        <w:pStyle w:val="Heading1"/>
      </w:pPr>
      <w:r>
        <w:rPr>
          <w:rFonts w:ascii="Verdana" w:hAnsi="Verdana"/>
        </w:rPr>
        <w:br w:type="page"/>
      </w:r>
      <w:bookmarkStart w:id="14" w:name="_Toc484949560"/>
      <w:r w:rsidR="00A97D5C" w:rsidRPr="00A311F7">
        <w:lastRenderedPageBreak/>
        <w:t xml:space="preserve">Inventory </w:t>
      </w:r>
      <w:r w:rsidR="00E713A0">
        <w:t>methodology</w:t>
      </w:r>
      <w:bookmarkEnd w:id="14"/>
    </w:p>
    <w:p w14:paraId="294ED1CE" w14:textId="77777777" w:rsidR="0010783B" w:rsidRPr="003833D6" w:rsidRDefault="00E713A0" w:rsidP="00C13971">
      <w:pPr>
        <w:pStyle w:val="Heading2"/>
      </w:pPr>
      <w:bookmarkStart w:id="15" w:name="_Toc484949561"/>
      <w:r>
        <w:t>The UNEP Mercury Toolkit</w:t>
      </w:r>
      <w:bookmarkEnd w:id="15"/>
    </w:p>
    <w:p w14:paraId="4FD3A41A" w14:textId="3345CA36" w:rsidR="00440824" w:rsidRPr="00C817BD" w:rsidRDefault="003950F2" w:rsidP="003950F2">
      <w:pPr>
        <w:spacing w:line="300" w:lineRule="atLeast"/>
        <w:jc w:val="both"/>
        <w:rPr>
          <w:szCs w:val="24"/>
        </w:rPr>
      </w:pPr>
      <w:r w:rsidRPr="003950F2">
        <w:rPr>
          <w:szCs w:val="24"/>
        </w:rPr>
        <w:t>Th</w:t>
      </w:r>
      <w:r>
        <w:rPr>
          <w:szCs w:val="24"/>
        </w:rPr>
        <w:t>e UNEP</w:t>
      </w:r>
      <w:r w:rsidRPr="003950F2">
        <w:rPr>
          <w:szCs w:val="24"/>
        </w:rPr>
        <w:t xml:space="preserve"> Toolkit</w:t>
      </w:r>
      <w:r>
        <w:rPr>
          <w:szCs w:val="24"/>
        </w:rPr>
        <w:t xml:space="preserve"> </w:t>
      </w:r>
      <w:r w:rsidRPr="003950F2">
        <w:rPr>
          <w:szCs w:val="24"/>
        </w:rPr>
        <w:t xml:space="preserve">was </w:t>
      </w:r>
      <w:r>
        <w:rPr>
          <w:szCs w:val="24"/>
        </w:rPr>
        <w:t xml:space="preserve">first </w:t>
      </w:r>
      <w:r w:rsidRPr="003950F2">
        <w:rPr>
          <w:szCs w:val="24"/>
        </w:rPr>
        <w:t>published as a pilot draft in November 2005</w:t>
      </w:r>
      <w:r>
        <w:rPr>
          <w:szCs w:val="24"/>
        </w:rPr>
        <w:t>, and this was the version used in the preparation of the 2008 Inventory Report. A</w:t>
      </w:r>
      <w:r w:rsidRPr="003950F2">
        <w:rPr>
          <w:szCs w:val="24"/>
        </w:rPr>
        <w:t xml:space="preserve"> revised</w:t>
      </w:r>
      <w:r>
        <w:rPr>
          <w:szCs w:val="24"/>
        </w:rPr>
        <w:t xml:space="preserve"> v</w:t>
      </w:r>
      <w:r w:rsidRPr="003950F2">
        <w:rPr>
          <w:szCs w:val="24"/>
        </w:rPr>
        <w:t xml:space="preserve">ersion </w:t>
      </w:r>
      <w:r>
        <w:rPr>
          <w:szCs w:val="24"/>
        </w:rPr>
        <w:t>of the Toolkit (v</w:t>
      </w:r>
      <w:r w:rsidRPr="003950F2">
        <w:rPr>
          <w:szCs w:val="24"/>
        </w:rPr>
        <w:t>1.2</w:t>
      </w:r>
      <w:r>
        <w:rPr>
          <w:szCs w:val="24"/>
        </w:rPr>
        <w:t>)</w:t>
      </w:r>
      <w:r w:rsidRPr="003950F2">
        <w:rPr>
          <w:szCs w:val="24"/>
        </w:rPr>
        <w:t xml:space="preserve"> </w:t>
      </w:r>
      <w:r>
        <w:rPr>
          <w:szCs w:val="24"/>
        </w:rPr>
        <w:t xml:space="preserve">was published in </w:t>
      </w:r>
      <w:r w:rsidRPr="003950F2">
        <w:rPr>
          <w:szCs w:val="24"/>
        </w:rPr>
        <w:t>2013</w:t>
      </w:r>
      <w:r w:rsidR="00C55B14">
        <w:rPr>
          <w:szCs w:val="24"/>
        </w:rPr>
        <w:t xml:space="preserve"> (UNEP, 2013)</w:t>
      </w:r>
      <w:r>
        <w:rPr>
          <w:szCs w:val="24"/>
        </w:rPr>
        <w:t xml:space="preserve">, </w:t>
      </w:r>
      <w:r w:rsidR="00956DCF">
        <w:rPr>
          <w:szCs w:val="24"/>
        </w:rPr>
        <w:t>and that was used for the preparation of the 2012 inventory for New Zealand, while the most recent version (v1.4) was published in January 2017</w:t>
      </w:r>
      <w:r w:rsidR="002C7A52">
        <w:rPr>
          <w:szCs w:val="24"/>
        </w:rPr>
        <w:t xml:space="preserve"> (UNEP, 2017).</w:t>
      </w:r>
      <w:r w:rsidR="00956DCF">
        <w:rPr>
          <w:szCs w:val="24"/>
        </w:rPr>
        <w:t xml:space="preserve"> </w:t>
      </w:r>
      <w:r w:rsidR="002C7A52">
        <w:rPr>
          <w:szCs w:val="24"/>
        </w:rPr>
        <w:t>This version of the Toolkit was</w:t>
      </w:r>
      <w:r w:rsidR="00956DCF">
        <w:rPr>
          <w:szCs w:val="24"/>
        </w:rPr>
        <w:t xml:space="preserve"> used for the current work</w:t>
      </w:r>
      <w:r w:rsidR="002C7A52">
        <w:rPr>
          <w:szCs w:val="24"/>
        </w:rPr>
        <w:t>, although no significant changes were noted between that and the earlier version</w:t>
      </w:r>
      <w:r w:rsidR="001A0AA1">
        <w:rPr>
          <w:szCs w:val="24"/>
        </w:rPr>
        <w:t xml:space="preserve"> in relation to the various input and output factors applied to New Zealand sources</w:t>
      </w:r>
      <w:r w:rsidR="00956DCF">
        <w:rPr>
          <w:szCs w:val="24"/>
        </w:rPr>
        <w:t>.</w:t>
      </w:r>
    </w:p>
    <w:p w14:paraId="054B523D" w14:textId="77777777" w:rsidR="00E6084A" w:rsidRDefault="00E6084A" w:rsidP="00E6084A">
      <w:pPr>
        <w:spacing w:line="300" w:lineRule="atLeast"/>
        <w:jc w:val="both"/>
        <w:rPr>
          <w:szCs w:val="24"/>
        </w:rPr>
      </w:pPr>
      <w:r w:rsidRPr="00E6084A">
        <w:rPr>
          <w:szCs w:val="24"/>
        </w:rPr>
        <w:t xml:space="preserve">The Toolkit is </w:t>
      </w:r>
      <w:r>
        <w:rPr>
          <w:szCs w:val="24"/>
        </w:rPr>
        <w:t>intended</w:t>
      </w:r>
      <w:r w:rsidRPr="00E6084A">
        <w:rPr>
          <w:szCs w:val="24"/>
        </w:rPr>
        <w:t xml:space="preserve"> to pro</w:t>
      </w:r>
      <w:r>
        <w:rPr>
          <w:szCs w:val="24"/>
        </w:rPr>
        <w:t>vi</w:t>
      </w:r>
      <w:r w:rsidRPr="00E6084A">
        <w:rPr>
          <w:szCs w:val="24"/>
        </w:rPr>
        <w:t>de a simple methodology and accompanying database to enable</w:t>
      </w:r>
      <w:r>
        <w:rPr>
          <w:szCs w:val="24"/>
        </w:rPr>
        <w:t xml:space="preserve"> the </w:t>
      </w:r>
      <w:r w:rsidRPr="00E6084A">
        <w:rPr>
          <w:szCs w:val="24"/>
        </w:rPr>
        <w:t>assembly of consistent national and regional mercury inventories. It comprises a UNEP</w:t>
      </w:r>
      <w:r>
        <w:rPr>
          <w:szCs w:val="24"/>
        </w:rPr>
        <w:t xml:space="preserve"> </w:t>
      </w:r>
      <w:r w:rsidRPr="00E6084A">
        <w:rPr>
          <w:szCs w:val="24"/>
        </w:rPr>
        <w:t>recommended</w:t>
      </w:r>
      <w:r>
        <w:rPr>
          <w:szCs w:val="24"/>
        </w:rPr>
        <w:t xml:space="preserve"> </w:t>
      </w:r>
      <w:r w:rsidRPr="00E6084A">
        <w:rPr>
          <w:szCs w:val="24"/>
        </w:rPr>
        <w:t>procedure for the effective compilation of source and release inventories of mercury.</w:t>
      </w:r>
      <w:r>
        <w:rPr>
          <w:szCs w:val="24"/>
        </w:rPr>
        <w:t xml:space="preserve"> </w:t>
      </w:r>
      <w:r w:rsidRPr="00E6084A">
        <w:rPr>
          <w:szCs w:val="24"/>
        </w:rPr>
        <w:t xml:space="preserve">Comparable sets of mercury source release data </w:t>
      </w:r>
      <w:r w:rsidR="00956DCF">
        <w:rPr>
          <w:szCs w:val="24"/>
        </w:rPr>
        <w:t>are intended to</w:t>
      </w:r>
      <w:r w:rsidR="00532FBA">
        <w:rPr>
          <w:szCs w:val="24"/>
        </w:rPr>
        <w:t xml:space="preserve"> </w:t>
      </w:r>
      <w:r w:rsidRPr="00E6084A">
        <w:rPr>
          <w:szCs w:val="24"/>
        </w:rPr>
        <w:t>enhance international co-operation, discussion, goal</w:t>
      </w:r>
      <w:r>
        <w:rPr>
          <w:szCs w:val="24"/>
        </w:rPr>
        <w:t xml:space="preserve"> </w:t>
      </w:r>
      <w:r w:rsidRPr="00E6084A">
        <w:rPr>
          <w:szCs w:val="24"/>
        </w:rPr>
        <w:t>definition</w:t>
      </w:r>
      <w:r>
        <w:rPr>
          <w:szCs w:val="24"/>
        </w:rPr>
        <w:t xml:space="preserve"> </w:t>
      </w:r>
      <w:r w:rsidRPr="00E6084A">
        <w:rPr>
          <w:szCs w:val="24"/>
        </w:rPr>
        <w:t xml:space="preserve">and assistance. </w:t>
      </w:r>
    </w:p>
    <w:p w14:paraId="359EAB01" w14:textId="77777777" w:rsidR="00E6084A" w:rsidRDefault="00E6084A" w:rsidP="00E6084A">
      <w:pPr>
        <w:spacing w:line="300" w:lineRule="atLeast"/>
        <w:jc w:val="both"/>
        <w:rPr>
          <w:szCs w:val="24"/>
        </w:rPr>
      </w:pPr>
      <w:r>
        <w:rPr>
          <w:szCs w:val="24"/>
        </w:rPr>
        <w:t xml:space="preserve">The Toolkit includes two levels for inventory assessment; an overview Level 1, and a detailed source by source assessment, Level 2. The </w:t>
      </w:r>
      <w:r w:rsidRPr="00E6084A">
        <w:rPr>
          <w:szCs w:val="24"/>
        </w:rPr>
        <w:t xml:space="preserve">Level 2 </w:t>
      </w:r>
      <w:r>
        <w:rPr>
          <w:szCs w:val="24"/>
        </w:rPr>
        <w:t xml:space="preserve">option </w:t>
      </w:r>
      <w:r w:rsidRPr="00E6084A">
        <w:rPr>
          <w:szCs w:val="24"/>
        </w:rPr>
        <w:t>is designed to be adaptable</w:t>
      </w:r>
      <w:r>
        <w:rPr>
          <w:szCs w:val="24"/>
        </w:rPr>
        <w:t xml:space="preserve"> to differences between countries, but it must be stressed that i</w:t>
      </w:r>
      <w:r w:rsidRPr="00E6084A">
        <w:rPr>
          <w:szCs w:val="24"/>
        </w:rPr>
        <w:t xml:space="preserve">t is </w:t>
      </w:r>
      <w:r>
        <w:rPr>
          <w:szCs w:val="24"/>
        </w:rPr>
        <w:t xml:space="preserve">still just a </w:t>
      </w:r>
      <w:r w:rsidRPr="00E6084A">
        <w:rPr>
          <w:szCs w:val="24"/>
        </w:rPr>
        <w:t>screen</w:t>
      </w:r>
      <w:r>
        <w:rPr>
          <w:szCs w:val="24"/>
        </w:rPr>
        <w:t xml:space="preserve">ing tool. It </w:t>
      </w:r>
      <w:r w:rsidRPr="00E6084A">
        <w:rPr>
          <w:szCs w:val="24"/>
        </w:rPr>
        <w:t>is designed to ensure the positive identification of the bulk of significant sources</w:t>
      </w:r>
      <w:r>
        <w:rPr>
          <w:szCs w:val="24"/>
        </w:rPr>
        <w:t xml:space="preserve">, rather than </w:t>
      </w:r>
      <w:r w:rsidRPr="00E6084A">
        <w:rPr>
          <w:szCs w:val="24"/>
        </w:rPr>
        <w:t>the unattainable goal</w:t>
      </w:r>
      <w:r>
        <w:rPr>
          <w:szCs w:val="24"/>
        </w:rPr>
        <w:t xml:space="preserve"> </w:t>
      </w:r>
      <w:r w:rsidRPr="00E6084A">
        <w:rPr>
          <w:szCs w:val="24"/>
        </w:rPr>
        <w:t>of 100 per cent accuracy.</w:t>
      </w:r>
    </w:p>
    <w:p w14:paraId="23130BB9" w14:textId="77777777" w:rsidR="00E6084A" w:rsidRDefault="00566592" w:rsidP="00E6084A">
      <w:pPr>
        <w:spacing w:line="300" w:lineRule="atLeast"/>
        <w:jc w:val="both"/>
        <w:rPr>
          <w:szCs w:val="24"/>
        </w:rPr>
      </w:pPr>
      <w:r>
        <w:rPr>
          <w:szCs w:val="24"/>
        </w:rPr>
        <w:t>Both t</w:t>
      </w:r>
      <w:r w:rsidR="00E6084A">
        <w:rPr>
          <w:szCs w:val="24"/>
        </w:rPr>
        <w:t xml:space="preserve">he </w:t>
      </w:r>
      <w:r>
        <w:rPr>
          <w:szCs w:val="24"/>
        </w:rPr>
        <w:t xml:space="preserve">current inventory and that prepared for 2012 are based on the use of the </w:t>
      </w:r>
      <w:r w:rsidR="00E6084A">
        <w:rPr>
          <w:szCs w:val="24"/>
        </w:rPr>
        <w:t xml:space="preserve">Level 2 </w:t>
      </w:r>
      <w:r>
        <w:rPr>
          <w:szCs w:val="24"/>
        </w:rPr>
        <w:t>option.</w:t>
      </w:r>
      <w:r w:rsidR="00E6084A">
        <w:rPr>
          <w:szCs w:val="24"/>
        </w:rPr>
        <w:t xml:space="preserve"> The Toolkit documentation is supported by an Excel spreadsheet, which has also been used for this assessment.</w:t>
      </w:r>
    </w:p>
    <w:p w14:paraId="2CB58130" w14:textId="77777777" w:rsidR="0082411F" w:rsidRPr="003833D6" w:rsidRDefault="007506CA" w:rsidP="00135B26">
      <w:pPr>
        <w:pStyle w:val="Heading2"/>
      </w:pPr>
      <w:bookmarkStart w:id="16" w:name="_Toc484949562"/>
      <w:r>
        <w:t>Toolkit m</w:t>
      </w:r>
      <w:r w:rsidR="00E713A0">
        <w:t>ethodology</w:t>
      </w:r>
      <w:bookmarkEnd w:id="16"/>
    </w:p>
    <w:p w14:paraId="4A29E521" w14:textId="77777777" w:rsidR="00E713A0" w:rsidRDefault="00452DB7" w:rsidP="003833D6">
      <w:pPr>
        <w:spacing w:line="300" w:lineRule="atLeast"/>
        <w:jc w:val="both"/>
        <w:rPr>
          <w:szCs w:val="24"/>
        </w:rPr>
      </w:pPr>
      <w:r>
        <w:rPr>
          <w:szCs w:val="24"/>
        </w:rPr>
        <w:t>The Toolkit considers potential mercury inputs and outputs for the following s</w:t>
      </w:r>
      <w:r w:rsidR="00E713A0">
        <w:rPr>
          <w:szCs w:val="24"/>
        </w:rPr>
        <w:t>ource categories</w:t>
      </w:r>
      <w:r w:rsidR="00A013B3">
        <w:rPr>
          <w:rStyle w:val="FootnoteReference"/>
          <w:szCs w:val="24"/>
        </w:rPr>
        <w:footnoteReference w:id="1"/>
      </w:r>
      <w:r w:rsidR="00532FBA">
        <w:rPr>
          <w:szCs w:val="24"/>
        </w:rPr>
        <w:t>:</w:t>
      </w:r>
    </w:p>
    <w:p w14:paraId="444802E6" w14:textId="77777777" w:rsidR="00A013B3" w:rsidRPr="00A013B3" w:rsidRDefault="00A013B3" w:rsidP="00A013B3">
      <w:pPr>
        <w:numPr>
          <w:ilvl w:val="0"/>
          <w:numId w:val="12"/>
        </w:numPr>
        <w:spacing w:line="300" w:lineRule="atLeast"/>
        <w:jc w:val="both"/>
        <w:rPr>
          <w:szCs w:val="24"/>
        </w:rPr>
      </w:pPr>
      <w:r w:rsidRPr="00A013B3">
        <w:rPr>
          <w:szCs w:val="24"/>
        </w:rPr>
        <w:t xml:space="preserve">Extraction and use of fuels/energy sources </w:t>
      </w:r>
    </w:p>
    <w:p w14:paraId="19A3F837" w14:textId="77777777" w:rsidR="00A013B3" w:rsidRPr="00A013B3" w:rsidRDefault="00A013B3" w:rsidP="00A013B3">
      <w:pPr>
        <w:numPr>
          <w:ilvl w:val="0"/>
          <w:numId w:val="12"/>
        </w:numPr>
        <w:spacing w:line="300" w:lineRule="atLeast"/>
        <w:jc w:val="both"/>
        <w:rPr>
          <w:szCs w:val="24"/>
        </w:rPr>
      </w:pPr>
      <w:r w:rsidRPr="00A013B3">
        <w:rPr>
          <w:szCs w:val="24"/>
        </w:rPr>
        <w:t xml:space="preserve">Primary (virgin) metal production </w:t>
      </w:r>
    </w:p>
    <w:p w14:paraId="42761479" w14:textId="77777777" w:rsidR="00A013B3" w:rsidRPr="00A013B3" w:rsidRDefault="00A013B3" w:rsidP="00A013B3">
      <w:pPr>
        <w:numPr>
          <w:ilvl w:val="0"/>
          <w:numId w:val="12"/>
        </w:numPr>
        <w:spacing w:line="300" w:lineRule="atLeast"/>
        <w:jc w:val="both"/>
        <w:rPr>
          <w:szCs w:val="24"/>
        </w:rPr>
      </w:pPr>
      <w:r w:rsidRPr="00A013B3">
        <w:rPr>
          <w:szCs w:val="24"/>
        </w:rPr>
        <w:t>Production of other minerals and materials</w:t>
      </w:r>
      <w:r>
        <w:rPr>
          <w:szCs w:val="24"/>
        </w:rPr>
        <w:t xml:space="preserve"> </w:t>
      </w:r>
      <w:r w:rsidRPr="00A013B3">
        <w:rPr>
          <w:szCs w:val="24"/>
        </w:rPr>
        <w:t xml:space="preserve">with mercury impurities </w:t>
      </w:r>
    </w:p>
    <w:p w14:paraId="46FC2C2A" w14:textId="77777777" w:rsidR="00A013B3" w:rsidRPr="00A013B3" w:rsidRDefault="00A013B3" w:rsidP="00A013B3">
      <w:pPr>
        <w:numPr>
          <w:ilvl w:val="0"/>
          <w:numId w:val="12"/>
        </w:numPr>
        <w:spacing w:line="300" w:lineRule="atLeast"/>
        <w:jc w:val="both"/>
        <w:rPr>
          <w:szCs w:val="24"/>
        </w:rPr>
      </w:pPr>
      <w:r w:rsidRPr="00A013B3">
        <w:rPr>
          <w:szCs w:val="24"/>
        </w:rPr>
        <w:t>Intentional use of mercury in industrial</w:t>
      </w:r>
      <w:r>
        <w:rPr>
          <w:szCs w:val="24"/>
        </w:rPr>
        <w:t xml:space="preserve"> </w:t>
      </w:r>
      <w:r w:rsidRPr="00A013B3">
        <w:rPr>
          <w:szCs w:val="24"/>
        </w:rPr>
        <w:t xml:space="preserve">processes </w:t>
      </w:r>
    </w:p>
    <w:p w14:paraId="533728AA" w14:textId="77777777" w:rsidR="00A013B3" w:rsidRPr="00A013B3" w:rsidRDefault="00A013B3" w:rsidP="00A013B3">
      <w:pPr>
        <w:numPr>
          <w:ilvl w:val="0"/>
          <w:numId w:val="12"/>
        </w:numPr>
        <w:spacing w:line="300" w:lineRule="atLeast"/>
        <w:jc w:val="both"/>
        <w:rPr>
          <w:szCs w:val="24"/>
        </w:rPr>
      </w:pPr>
      <w:r w:rsidRPr="00A013B3">
        <w:rPr>
          <w:szCs w:val="24"/>
        </w:rPr>
        <w:t>Consumer products with intentional use of</w:t>
      </w:r>
      <w:r>
        <w:rPr>
          <w:szCs w:val="24"/>
        </w:rPr>
        <w:t xml:space="preserve"> </w:t>
      </w:r>
      <w:r w:rsidRPr="00A013B3">
        <w:rPr>
          <w:szCs w:val="24"/>
        </w:rPr>
        <w:t xml:space="preserve">mercury </w:t>
      </w:r>
    </w:p>
    <w:p w14:paraId="061FE0B2" w14:textId="77777777" w:rsidR="00A013B3" w:rsidRPr="00A013B3" w:rsidRDefault="00A013B3" w:rsidP="00A013B3">
      <w:pPr>
        <w:numPr>
          <w:ilvl w:val="0"/>
          <w:numId w:val="12"/>
        </w:numPr>
        <w:spacing w:line="300" w:lineRule="atLeast"/>
        <w:jc w:val="both"/>
        <w:rPr>
          <w:szCs w:val="24"/>
        </w:rPr>
      </w:pPr>
      <w:r w:rsidRPr="00A013B3">
        <w:rPr>
          <w:szCs w:val="24"/>
        </w:rPr>
        <w:t xml:space="preserve">Other intentional product/process uses </w:t>
      </w:r>
    </w:p>
    <w:p w14:paraId="0FFBC577" w14:textId="77777777" w:rsidR="00A013B3" w:rsidRPr="00A013B3" w:rsidRDefault="00A013B3" w:rsidP="00A013B3">
      <w:pPr>
        <w:numPr>
          <w:ilvl w:val="0"/>
          <w:numId w:val="12"/>
        </w:numPr>
        <w:spacing w:line="300" w:lineRule="atLeast"/>
        <w:jc w:val="both"/>
        <w:rPr>
          <w:szCs w:val="24"/>
        </w:rPr>
      </w:pPr>
      <w:r w:rsidRPr="00A013B3">
        <w:rPr>
          <w:szCs w:val="24"/>
        </w:rPr>
        <w:t>Production of recycled metals</w:t>
      </w:r>
      <w:r>
        <w:rPr>
          <w:szCs w:val="24"/>
        </w:rPr>
        <w:t xml:space="preserve"> (secondary</w:t>
      </w:r>
      <w:r w:rsidRPr="00A013B3">
        <w:rPr>
          <w:szCs w:val="24"/>
        </w:rPr>
        <w:t xml:space="preserve"> metal production) </w:t>
      </w:r>
    </w:p>
    <w:p w14:paraId="48D30D91" w14:textId="77777777" w:rsidR="00A013B3" w:rsidRPr="00A013B3" w:rsidRDefault="00A013B3" w:rsidP="00A013B3">
      <w:pPr>
        <w:numPr>
          <w:ilvl w:val="0"/>
          <w:numId w:val="12"/>
        </w:numPr>
        <w:spacing w:line="300" w:lineRule="atLeast"/>
        <w:jc w:val="both"/>
        <w:rPr>
          <w:szCs w:val="24"/>
        </w:rPr>
      </w:pPr>
      <w:r w:rsidRPr="00A013B3">
        <w:rPr>
          <w:szCs w:val="24"/>
        </w:rPr>
        <w:t xml:space="preserve">Waste incineration </w:t>
      </w:r>
    </w:p>
    <w:p w14:paraId="63BC5B60" w14:textId="77777777" w:rsidR="00A013B3" w:rsidRPr="00A013B3" w:rsidRDefault="00A013B3" w:rsidP="00A013B3">
      <w:pPr>
        <w:numPr>
          <w:ilvl w:val="0"/>
          <w:numId w:val="12"/>
        </w:numPr>
        <w:spacing w:line="300" w:lineRule="atLeast"/>
        <w:jc w:val="both"/>
        <w:rPr>
          <w:szCs w:val="24"/>
        </w:rPr>
      </w:pPr>
      <w:r w:rsidRPr="00A013B3">
        <w:rPr>
          <w:szCs w:val="24"/>
        </w:rPr>
        <w:t xml:space="preserve">Waste deposition/landfilling and wastewater treatment </w:t>
      </w:r>
    </w:p>
    <w:p w14:paraId="4C0A5AB3" w14:textId="77777777" w:rsidR="00A013B3" w:rsidRPr="00A013B3" w:rsidRDefault="00A013B3" w:rsidP="00A013B3">
      <w:pPr>
        <w:numPr>
          <w:ilvl w:val="0"/>
          <w:numId w:val="12"/>
        </w:numPr>
        <w:spacing w:line="300" w:lineRule="atLeast"/>
        <w:jc w:val="both"/>
        <w:rPr>
          <w:szCs w:val="24"/>
        </w:rPr>
      </w:pPr>
      <w:r w:rsidRPr="00A013B3">
        <w:rPr>
          <w:szCs w:val="24"/>
        </w:rPr>
        <w:t xml:space="preserve">Crematoria and cemeteries </w:t>
      </w:r>
    </w:p>
    <w:p w14:paraId="4446634A" w14:textId="77777777" w:rsidR="00452DB7" w:rsidRDefault="00A013B3" w:rsidP="00A013B3">
      <w:pPr>
        <w:numPr>
          <w:ilvl w:val="0"/>
          <w:numId w:val="12"/>
        </w:numPr>
        <w:spacing w:line="300" w:lineRule="atLeast"/>
        <w:jc w:val="both"/>
        <w:rPr>
          <w:szCs w:val="24"/>
        </w:rPr>
      </w:pPr>
      <w:r w:rsidRPr="00A013B3">
        <w:rPr>
          <w:szCs w:val="24"/>
        </w:rPr>
        <w:t>Identification of potential hot-spots</w:t>
      </w:r>
    </w:p>
    <w:p w14:paraId="5B5BD4B0" w14:textId="77777777" w:rsidR="006273FA" w:rsidRDefault="006273FA">
      <w:pPr>
        <w:spacing w:after="0"/>
        <w:rPr>
          <w:rFonts w:ascii="Arial" w:hAnsi="Arial" w:cs="Arial"/>
          <w:b/>
          <w:szCs w:val="24"/>
        </w:rPr>
      </w:pPr>
      <w:r>
        <w:rPr>
          <w:rFonts w:ascii="Arial" w:hAnsi="Arial" w:cs="Arial"/>
          <w:b/>
          <w:szCs w:val="24"/>
        </w:rPr>
        <w:br w:type="page"/>
      </w:r>
    </w:p>
    <w:p w14:paraId="6CFB56BA" w14:textId="77777777" w:rsidR="00A013B3" w:rsidRPr="00A013B3" w:rsidRDefault="009048D3" w:rsidP="003833D6">
      <w:pPr>
        <w:spacing w:line="300" w:lineRule="atLeast"/>
        <w:jc w:val="both"/>
        <w:rPr>
          <w:rFonts w:ascii="Arial" w:hAnsi="Arial" w:cs="Arial"/>
          <w:b/>
          <w:szCs w:val="24"/>
        </w:rPr>
      </w:pPr>
      <w:r w:rsidRPr="00A013B3">
        <w:rPr>
          <w:rFonts w:ascii="Arial" w:hAnsi="Arial" w:cs="Arial"/>
          <w:b/>
          <w:szCs w:val="24"/>
        </w:rPr>
        <w:lastRenderedPageBreak/>
        <w:t>Terminology</w:t>
      </w:r>
    </w:p>
    <w:p w14:paraId="013B01E7" w14:textId="77777777" w:rsidR="00FA6046" w:rsidRDefault="00695BF7" w:rsidP="003833D6">
      <w:pPr>
        <w:spacing w:line="300" w:lineRule="atLeast"/>
        <w:jc w:val="both"/>
        <w:rPr>
          <w:szCs w:val="24"/>
        </w:rPr>
      </w:pPr>
      <w:r>
        <w:rPr>
          <w:szCs w:val="24"/>
        </w:rPr>
        <w:t>The two key terms used in the Toolkit are inputs and outputs.</w:t>
      </w:r>
    </w:p>
    <w:p w14:paraId="4FC4B6C9" w14:textId="77777777" w:rsidR="00695BF7" w:rsidRDefault="00695BF7" w:rsidP="00695BF7">
      <w:pPr>
        <w:tabs>
          <w:tab w:val="left" w:pos="1701"/>
        </w:tabs>
        <w:spacing w:line="300" w:lineRule="atLeast"/>
        <w:ind w:left="720"/>
        <w:jc w:val="both"/>
        <w:rPr>
          <w:szCs w:val="24"/>
        </w:rPr>
      </w:pPr>
      <w:r w:rsidRPr="00695BF7">
        <w:rPr>
          <w:b/>
          <w:szCs w:val="24"/>
        </w:rPr>
        <w:t>Inputs</w:t>
      </w:r>
      <w:r>
        <w:rPr>
          <w:szCs w:val="24"/>
        </w:rPr>
        <w:t>:</w:t>
      </w:r>
      <w:r>
        <w:rPr>
          <w:szCs w:val="24"/>
        </w:rPr>
        <w:tab/>
        <w:t>refers to the quantities of mercury brought into, or mobilised, within the country.</w:t>
      </w:r>
    </w:p>
    <w:p w14:paraId="48A51BE1" w14:textId="77777777" w:rsidR="00695BF7" w:rsidRDefault="00695BF7" w:rsidP="00695BF7">
      <w:pPr>
        <w:tabs>
          <w:tab w:val="left" w:pos="1701"/>
        </w:tabs>
        <w:spacing w:line="300" w:lineRule="atLeast"/>
        <w:ind w:left="1701" w:hanging="981"/>
        <w:jc w:val="both"/>
        <w:rPr>
          <w:szCs w:val="24"/>
        </w:rPr>
      </w:pPr>
      <w:r w:rsidRPr="00695BF7">
        <w:rPr>
          <w:b/>
          <w:szCs w:val="24"/>
        </w:rPr>
        <w:t>Outputs</w:t>
      </w:r>
      <w:r w:rsidR="00532FBA">
        <w:rPr>
          <w:b/>
          <w:szCs w:val="24"/>
        </w:rPr>
        <w:t>:</w:t>
      </w:r>
      <w:r>
        <w:rPr>
          <w:szCs w:val="24"/>
        </w:rPr>
        <w:tab/>
        <w:t>refers to the quantities of mercury released into different environmental compartments of air, water, land, and releases in wastes or in products.</w:t>
      </w:r>
      <w:r w:rsidR="000B51C9">
        <w:rPr>
          <w:szCs w:val="24"/>
        </w:rPr>
        <w:t xml:space="preserve"> </w:t>
      </w:r>
    </w:p>
    <w:p w14:paraId="012B6A66" w14:textId="77777777" w:rsidR="00694457" w:rsidRDefault="00694457" w:rsidP="00694457">
      <w:pPr>
        <w:tabs>
          <w:tab w:val="left" w:pos="1701"/>
        </w:tabs>
        <w:spacing w:line="300" w:lineRule="atLeast"/>
        <w:jc w:val="both"/>
        <w:rPr>
          <w:szCs w:val="24"/>
        </w:rPr>
      </w:pPr>
      <w:r>
        <w:rPr>
          <w:szCs w:val="24"/>
        </w:rPr>
        <w:t xml:space="preserve">There is potential for confusion round the use of </w:t>
      </w:r>
      <w:r w:rsidR="00A76581">
        <w:rPr>
          <w:szCs w:val="24"/>
        </w:rPr>
        <w:t xml:space="preserve">some of </w:t>
      </w:r>
      <w:r>
        <w:rPr>
          <w:szCs w:val="24"/>
        </w:rPr>
        <w:t>the output terms, and especially the differen</w:t>
      </w:r>
      <w:r w:rsidR="00A76581">
        <w:rPr>
          <w:szCs w:val="24"/>
        </w:rPr>
        <w:t>ce</w:t>
      </w:r>
      <w:r w:rsidR="00190856">
        <w:rPr>
          <w:szCs w:val="24"/>
        </w:rPr>
        <w:t>s</w:t>
      </w:r>
      <w:r>
        <w:rPr>
          <w:szCs w:val="24"/>
        </w:rPr>
        <w:t xml:space="preserve"> between discharge</w:t>
      </w:r>
      <w:r w:rsidR="00190856">
        <w:rPr>
          <w:szCs w:val="24"/>
        </w:rPr>
        <w:t>s</w:t>
      </w:r>
      <w:r>
        <w:rPr>
          <w:szCs w:val="24"/>
        </w:rPr>
        <w:t xml:space="preserve"> to land</w:t>
      </w:r>
      <w:r w:rsidR="00190856">
        <w:rPr>
          <w:szCs w:val="24"/>
        </w:rPr>
        <w:t>, materials</w:t>
      </w:r>
      <w:r>
        <w:rPr>
          <w:szCs w:val="24"/>
        </w:rPr>
        <w:t xml:space="preserve"> </w:t>
      </w:r>
      <w:r w:rsidR="00190856">
        <w:rPr>
          <w:szCs w:val="24"/>
        </w:rPr>
        <w:t xml:space="preserve">disposed to land as </w:t>
      </w:r>
      <w:r>
        <w:rPr>
          <w:szCs w:val="24"/>
        </w:rPr>
        <w:t>waste</w:t>
      </w:r>
      <w:r w:rsidR="00190856">
        <w:rPr>
          <w:szCs w:val="24"/>
        </w:rPr>
        <w:t>s</w:t>
      </w:r>
      <w:r w:rsidR="00A76581">
        <w:rPr>
          <w:szCs w:val="24"/>
        </w:rPr>
        <w:t>; and wastes that are recycled or reused</w:t>
      </w:r>
      <w:r>
        <w:rPr>
          <w:szCs w:val="24"/>
        </w:rPr>
        <w:t xml:space="preserve">. </w:t>
      </w:r>
      <w:r w:rsidR="00A76581">
        <w:rPr>
          <w:szCs w:val="24"/>
        </w:rPr>
        <w:t>T</w:t>
      </w:r>
      <w:r>
        <w:rPr>
          <w:szCs w:val="24"/>
        </w:rPr>
        <w:t xml:space="preserve">he following approach has been adopted for </w:t>
      </w:r>
      <w:r w:rsidR="00A76581">
        <w:rPr>
          <w:szCs w:val="24"/>
        </w:rPr>
        <w:t xml:space="preserve">differentiating between </w:t>
      </w:r>
      <w:r>
        <w:rPr>
          <w:szCs w:val="24"/>
        </w:rPr>
        <w:t>these terms:</w:t>
      </w:r>
    </w:p>
    <w:p w14:paraId="799D6E7E" w14:textId="77777777" w:rsidR="00A76581" w:rsidRDefault="00A76581" w:rsidP="00190856">
      <w:pPr>
        <w:tabs>
          <w:tab w:val="left" w:pos="1701"/>
        </w:tabs>
        <w:spacing w:line="300" w:lineRule="atLeast"/>
        <w:ind w:left="720"/>
        <w:jc w:val="both"/>
        <w:rPr>
          <w:szCs w:val="24"/>
        </w:rPr>
      </w:pPr>
      <w:r>
        <w:rPr>
          <w:szCs w:val="24"/>
        </w:rPr>
        <w:t xml:space="preserve">The </w:t>
      </w:r>
      <w:r w:rsidRPr="0094046F">
        <w:rPr>
          <w:b/>
          <w:szCs w:val="24"/>
        </w:rPr>
        <w:t>land</w:t>
      </w:r>
      <w:r>
        <w:rPr>
          <w:szCs w:val="24"/>
        </w:rPr>
        <w:t xml:space="preserve"> output category </w:t>
      </w:r>
      <w:r w:rsidR="00DF3C50">
        <w:rPr>
          <w:szCs w:val="24"/>
        </w:rPr>
        <w:t>has only</w:t>
      </w:r>
      <w:r>
        <w:rPr>
          <w:szCs w:val="24"/>
        </w:rPr>
        <w:t xml:space="preserve"> be</w:t>
      </w:r>
      <w:r w:rsidR="00DF3C50">
        <w:rPr>
          <w:szCs w:val="24"/>
        </w:rPr>
        <w:t>en</w:t>
      </w:r>
      <w:r>
        <w:rPr>
          <w:szCs w:val="24"/>
        </w:rPr>
        <w:t xml:space="preserve"> used for materials which are deposited directly </w:t>
      </w:r>
      <w:r w:rsidR="00DF3C50">
        <w:rPr>
          <w:szCs w:val="24"/>
        </w:rPr>
        <w:t xml:space="preserve">to land </w:t>
      </w:r>
      <w:r>
        <w:rPr>
          <w:szCs w:val="24"/>
        </w:rPr>
        <w:t>during processing (</w:t>
      </w:r>
      <w:proofErr w:type="spellStart"/>
      <w:r>
        <w:rPr>
          <w:szCs w:val="24"/>
        </w:rPr>
        <w:t>eg</w:t>
      </w:r>
      <w:proofErr w:type="spellEnd"/>
      <w:r>
        <w:rPr>
          <w:szCs w:val="24"/>
        </w:rPr>
        <w:t xml:space="preserve"> drilling muds from oil exploration and production)</w:t>
      </w:r>
      <w:r w:rsidR="00DF3C50">
        <w:rPr>
          <w:szCs w:val="24"/>
        </w:rPr>
        <w:t xml:space="preserve"> or which are disposed in a waste treatment facility directly associated with the processing operation (</w:t>
      </w:r>
      <w:proofErr w:type="spellStart"/>
      <w:r w:rsidR="00DF3C50">
        <w:rPr>
          <w:szCs w:val="24"/>
        </w:rPr>
        <w:t>eg</w:t>
      </w:r>
      <w:proofErr w:type="spellEnd"/>
      <w:r w:rsidR="00DF3C50">
        <w:rPr>
          <w:szCs w:val="24"/>
        </w:rPr>
        <w:t>. a tailings dam for a mining operation, or an ash disposal facility for a large power plant).</w:t>
      </w:r>
    </w:p>
    <w:p w14:paraId="27A4D4C2" w14:textId="77777777" w:rsidR="00694457" w:rsidRDefault="00A76581" w:rsidP="00190856">
      <w:pPr>
        <w:tabs>
          <w:tab w:val="left" w:pos="1701"/>
        </w:tabs>
        <w:spacing w:line="300" w:lineRule="atLeast"/>
        <w:ind w:left="720"/>
        <w:jc w:val="both"/>
        <w:rPr>
          <w:szCs w:val="24"/>
        </w:rPr>
      </w:pPr>
      <w:r>
        <w:rPr>
          <w:szCs w:val="24"/>
        </w:rPr>
        <w:t xml:space="preserve">Wastes that are </w:t>
      </w:r>
      <w:r w:rsidR="00DF3C50">
        <w:rPr>
          <w:szCs w:val="24"/>
        </w:rPr>
        <w:t xml:space="preserve">sent directly to a municipal landfill and those taken away by a waste contractor for treatment and disposal (which may include </w:t>
      </w:r>
      <w:r w:rsidR="00190856">
        <w:rPr>
          <w:szCs w:val="24"/>
        </w:rPr>
        <w:t xml:space="preserve">disposal </w:t>
      </w:r>
      <w:r w:rsidR="00DF3C50">
        <w:rPr>
          <w:szCs w:val="24"/>
        </w:rPr>
        <w:t xml:space="preserve">to landfill) have all been classified as </w:t>
      </w:r>
      <w:r w:rsidR="00DF3C50" w:rsidRPr="0094046F">
        <w:rPr>
          <w:b/>
          <w:szCs w:val="24"/>
        </w:rPr>
        <w:t>wastes</w:t>
      </w:r>
      <w:r w:rsidR="00DF3C50">
        <w:rPr>
          <w:szCs w:val="24"/>
        </w:rPr>
        <w:t>.</w:t>
      </w:r>
    </w:p>
    <w:p w14:paraId="7982D497" w14:textId="77777777" w:rsidR="00DF3C50" w:rsidRDefault="00190856" w:rsidP="00190856">
      <w:pPr>
        <w:tabs>
          <w:tab w:val="left" w:pos="1701"/>
        </w:tabs>
        <w:spacing w:line="300" w:lineRule="atLeast"/>
        <w:ind w:left="720"/>
        <w:jc w:val="both"/>
        <w:rPr>
          <w:szCs w:val="24"/>
        </w:rPr>
      </w:pPr>
      <w:r>
        <w:rPr>
          <w:szCs w:val="24"/>
        </w:rPr>
        <w:t xml:space="preserve">Wastes that are sold, or taken away by a contractor, for recycling and reuse have been classified as </w:t>
      </w:r>
      <w:r w:rsidRPr="0094046F">
        <w:rPr>
          <w:b/>
          <w:szCs w:val="24"/>
        </w:rPr>
        <w:t>products</w:t>
      </w:r>
      <w:r>
        <w:rPr>
          <w:szCs w:val="24"/>
        </w:rPr>
        <w:t>.</w:t>
      </w:r>
    </w:p>
    <w:p w14:paraId="2B2294F3" w14:textId="77777777" w:rsidR="00A013B3" w:rsidRPr="00A013B3" w:rsidRDefault="00A013B3" w:rsidP="003833D6">
      <w:pPr>
        <w:spacing w:line="300" w:lineRule="atLeast"/>
        <w:jc w:val="both"/>
        <w:rPr>
          <w:rFonts w:ascii="Arial" w:hAnsi="Arial" w:cs="Arial"/>
          <w:b/>
          <w:szCs w:val="24"/>
        </w:rPr>
      </w:pPr>
      <w:r w:rsidRPr="00A013B3">
        <w:rPr>
          <w:rFonts w:ascii="Arial" w:hAnsi="Arial" w:cs="Arial"/>
          <w:b/>
          <w:szCs w:val="24"/>
        </w:rPr>
        <w:t>Methodology for estimating inputs and outputs</w:t>
      </w:r>
    </w:p>
    <w:p w14:paraId="68B8FDED" w14:textId="77777777" w:rsidR="00A013B3" w:rsidRDefault="00695BF7" w:rsidP="003833D6">
      <w:pPr>
        <w:spacing w:line="300" w:lineRule="atLeast"/>
        <w:jc w:val="both"/>
        <w:rPr>
          <w:szCs w:val="24"/>
        </w:rPr>
      </w:pPr>
      <w:r>
        <w:rPr>
          <w:szCs w:val="24"/>
        </w:rPr>
        <w:t>The basic methodology for estimating inputs and outputs starts with the annual activity rate for a source, which is multiplied by the mercury content of the input material. The activity data may be based on the numbers of individual items imported, the quantities of raw materials or fuels used, or the annual production rate.</w:t>
      </w:r>
    </w:p>
    <w:p w14:paraId="1BF24A29" w14:textId="77777777" w:rsidR="00695BF7" w:rsidRDefault="00695BF7" w:rsidP="003833D6">
      <w:pPr>
        <w:spacing w:line="300" w:lineRule="atLeast"/>
        <w:jc w:val="both"/>
        <w:rPr>
          <w:szCs w:val="24"/>
        </w:rPr>
      </w:pPr>
      <w:r>
        <w:rPr>
          <w:szCs w:val="24"/>
        </w:rPr>
        <w:t xml:space="preserve">The outputs are estimated from the information </w:t>
      </w:r>
      <w:r w:rsidR="00532FBA">
        <w:rPr>
          <w:szCs w:val="24"/>
        </w:rPr>
        <w:t xml:space="preserve">available </w:t>
      </w:r>
      <w:r>
        <w:rPr>
          <w:szCs w:val="24"/>
        </w:rPr>
        <w:t>for each source on the rates of release to the different environmental compartments. Generally this information takes the form of individual factors showing the proportion of inputs distributed to each compartment.</w:t>
      </w:r>
    </w:p>
    <w:p w14:paraId="3913D14D" w14:textId="77777777" w:rsidR="00695BF7" w:rsidRDefault="00695BF7" w:rsidP="003833D6">
      <w:pPr>
        <w:spacing w:line="300" w:lineRule="atLeast"/>
        <w:jc w:val="both"/>
        <w:rPr>
          <w:szCs w:val="24"/>
        </w:rPr>
      </w:pPr>
      <w:r>
        <w:rPr>
          <w:szCs w:val="24"/>
        </w:rPr>
        <w:t>The overall methodology is summarised in the Toolkit as follows:</w:t>
      </w:r>
    </w:p>
    <w:p w14:paraId="4851389C" w14:textId="77777777" w:rsidR="00695BF7" w:rsidRPr="00F44938" w:rsidRDefault="00695BF7" w:rsidP="00F44938">
      <w:pPr>
        <w:spacing w:line="300" w:lineRule="atLeast"/>
        <w:ind w:left="5760" w:hanging="5040"/>
        <w:jc w:val="both"/>
        <w:rPr>
          <w:i/>
          <w:szCs w:val="24"/>
        </w:rPr>
      </w:pPr>
      <w:r w:rsidRPr="00F44938">
        <w:rPr>
          <w:i/>
          <w:szCs w:val="24"/>
        </w:rPr>
        <w:t xml:space="preserve">Estimated mercury release to </w:t>
      </w:r>
      <w:r w:rsidR="00F44938" w:rsidRPr="00F44938">
        <w:rPr>
          <w:i/>
          <w:szCs w:val="24"/>
        </w:rPr>
        <w:t xml:space="preserve">each </w:t>
      </w:r>
      <w:r w:rsidRPr="00F44938">
        <w:rPr>
          <w:i/>
          <w:szCs w:val="24"/>
        </w:rPr>
        <w:t xml:space="preserve">pathway = activity rate * input factor * output distribution factor for </w:t>
      </w:r>
      <w:r w:rsidR="00F44938" w:rsidRPr="00F44938">
        <w:rPr>
          <w:i/>
          <w:szCs w:val="24"/>
        </w:rPr>
        <w:t>that pathway</w:t>
      </w:r>
    </w:p>
    <w:p w14:paraId="6EF59701" w14:textId="77777777" w:rsidR="00695BF7" w:rsidRPr="00695BF7" w:rsidRDefault="00F44938" w:rsidP="003833D6">
      <w:pPr>
        <w:spacing w:line="300" w:lineRule="atLeast"/>
        <w:jc w:val="both"/>
        <w:rPr>
          <w:rFonts w:ascii="Arial" w:hAnsi="Arial" w:cs="Arial"/>
          <w:b/>
          <w:szCs w:val="24"/>
        </w:rPr>
      </w:pPr>
      <w:r>
        <w:rPr>
          <w:rFonts w:ascii="Arial" w:hAnsi="Arial" w:cs="Arial"/>
          <w:b/>
          <w:szCs w:val="24"/>
        </w:rPr>
        <w:t xml:space="preserve">Toolkit </w:t>
      </w:r>
      <w:r w:rsidR="00695BF7" w:rsidRPr="00695BF7">
        <w:rPr>
          <w:rFonts w:ascii="Arial" w:hAnsi="Arial" w:cs="Arial"/>
          <w:b/>
          <w:szCs w:val="24"/>
        </w:rPr>
        <w:t>default factors</w:t>
      </w:r>
    </w:p>
    <w:p w14:paraId="5EAEF580" w14:textId="77777777" w:rsidR="00695BF7" w:rsidRDefault="00F44938" w:rsidP="003833D6">
      <w:pPr>
        <w:spacing w:line="300" w:lineRule="atLeast"/>
        <w:jc w:val="both"/>
        <w:rPr>
          <w:szCs w:val="24"/>
        </w:rPr>
      </w:pPr>
      <w:r>
        <w:rPr>
          <w:szCs w:val="24"/>
        </w:rPr>
        <w:t>The Toolkit provides default input and output factors for some, but not all, of the mercury sources. These are based on reviews of published information, and are intended for use when national factors are not available. Each of the default factors is usually expressed as a range of possible values, along with a recommended ‘intermediate’ value. The Toolkit default factors have been used for many of the current estimates.</w:t>
      </w:r>
    </w:p>
    <w:p w14:paraId="790D1E51" w14:textId="77777777" w:rsidR="00E713A0" w:rsidRDefault="00E713A0" w:rsidP="00E713A0">
      <w:pPr>
        <w:pStyle w:val="Heading2"/>
      </w:pPr>
      <w:bookmarkStart w:id="17" w:name="_Toc484949563"/>
      <w:r>
        <w:t>Reference year</w:t>
      </w:r>
      <w:bookmarkEnd w:id="17"/>
    </w:p>
    <w:p w14:paraId="0750FC12" w14:textId="77777777" w:rsidR="00E713A0" w:rsidRDefault="00F44938" w:rsidP="003833D6">
      <w:pPr>
        <w:spacing w:line="300" w:lineRule="atLeast"/>
        <w:jc w:val="both"/>
        <w:rPr>
          <w:szCs w:val="24"/>
        </w:rPr>
      </w:pPr>
      <w:r>
        <w:rPr>
          <w:szCs w:val="24"/>
        </w:rPr>
        <w:t>The reference yea</w:t>
      </w:r>
      <w:r w:rsidR="00566592">
        <w:rPr>
          <w:szCs w:val="24"/>
        </w:rPr>
        <w:t>r for this inventory is the 2016</w:t>
      </w:r>
      <w:r>
        <w:rPr>
          <w:szCs w:val="24"/>
        </w:rPr>
        <w:t xml:space="preserve"> calendar year, and </w:t>
      </w:r>
      <w:r w:rsidR="00722BBC">
        <w:rPr>
          <w:szCs w:val="24"/>
        </w:rPr>
        <w:t xml:space="preserve">the </w:t>
      </w:r>
      <w:r>
        <w:rPr>
          <w:szCs w:val="24"/>
        </w:rPr>
        <w:t xml:space="preserve">activity data </w:t>
      </w:r>
      <w:r w:rsidR="00722BBC">
        <w:rPr>
          <w:szCs w:val="24"/>
        </w:rPr>
        <w:t>for th</w:t>
      </w:r>
      <w:r w:rsidR="00532FBA">
        <w:rPr>
          <w:szCs w:val="24"/>
        </w:rPr>
        <w:t>at</w:t>
      </w:r>
      <w:r w:rsidR="00722BBC">
        <w:rPr>
          <w:szCs w:val="24"/>
        </w:rPr>
        <w:t xml:space="preserve"> year </w:t>
      </w:r>
      <w:r>
        <w:rPr>
          <w:szCs w:val="24"/>
        </w:rPr>
        <w:t xml:space="preserve">has been used wherever possible. However, the use of data from earlier years has been noted where relevant. </w:t>
      </w:r>
    </w:p>
    <w:p w14:paraId="3A443F3F" w14:textId="77777777" w:rsidR="0059685F" w:rsidRDefault="0059685F">
      <w:pPr>
        <w:spacing w:after="0"/>
        <w:rPr>
          <w:rFonts w:ascii="Arial" w:hAnsi="Arial"/>
          <w:b/>
          <w:sz w:val="24"/>
        </w:rPr>
      </w:pPr>
      <w:bookmarkStart w:id="18" w:name="_Toc484949564"/>
      <w:bookmarkStart w:id="19" w:name="_Toc313528457"/>
      <w:r>
        <w:br w:type="page"/>
      </w:r>
    </w:p>
    <w:p w14:paraId="44ECDAD1" w14:textId="6A9A3DDD" w:rsidR="003053AF" w:rsidRPr="003833D6" w:rsidRDefault="00E713A0" w:rsidP="00135B26">
      <w:pPr>
        <w:pStyle w:val="Heading2"/>
      </w:pPr>
      <w:r>
        <w:lastRenderedPageBreak/>
        <w:t>R</w:t>
      </w:r>
      <w:r w:rsidR="00F44938">
        <w:t>eporting</w:t>
      </w:r>
      <w:bookmarkEnd w:id="18"/>
    </w:p>
    <w:p w14:paraId="4D9352D3" w14:textId="77777777" w:rsidR="008E3038" w:rsidRDefault="00C440E0" w:rsidP="003833D6">
      <w:pPr>
        <w:spacing w:line="300" w:lineRule="atLeast"/>
        <w:jc w:val="both"/>
        <w:rPr>
          <w:szCs w:val="24"/>
        </w:rPr>
      </w:pPr>
      <w:r>
        <w:rPr>
          <w:szCs w:val="24"/>
        </w:rPr>
        <w:t>The estimated mercury inputs and outputs have been reported for each source in units of kilograms of mercury per year. In most cases, the results are reported as a range of values, to reflect the uncertainties in the estimates. The results for each source are also given certainty estimates, in accordance with the following general approach:</w:t>
      </w:r>
    </w:p>
    <w:p w14:paraId="27DD4CC2" w14:textId="77777777" w:rsidR="00C440E0" w:rsidRPr="00C440E0" w:rsidRDefault="00C440E0" w:rsidP="00C440E0">
      <w:pPr>
        <w:spacing w:line="300" w:lineRule="atLeast"/>
        <w:ind w:left="720"/>
        <w:jc w:val="both"/>
        <w:rPr>
          <w:b/>
          <w:szCs w:val="24"/>
          <w:lang w:val="en-US"/>
        </w:rPr>
      </w:pPr>
      <w:bookmarkStart w:id="20" w:name="_Toc313528459"/>
      <w:bookmarkEnd w:id="19"/>
      <w:r w:rsidRPr="00C440E0">
        <w:rPr>
          <w:b/>
          <w:szCs w:val="24"/>
          <w:lang w:val="en-US"/>
        </w:rPr>
        <w:t>Activity data</w:t>
      </w:r>
    </w:p>
    <w:p w14:paraId="6FD67BBA" w14:textId="77777777" w:rsidR="00C440E0" w:rsidRPr="00C440E0" w:rsidRDefault="00C440E0" w:rsidP="00C440E0">
      <w:pPr>
        <w:numPr>
          <w:ilvl w:val="0"/>
          <w:numId w:val="13"/>
        </w:numPr>
        <w:spacing w:line="300" w:lineRule="atLeast"/>
        <w:jc w:val="both"/>
        <w:rPr>
          <w:szCs w:val="24"/>
          <w:lang w:val="en-US"/>
        </w:rPr>
      </w:pPr>
      <w:r w:rsidRPr="00C440E0">
        <w:rPr>
          <w:szCs w:val="24"/>
          <w:lang w:val="en-US"/>
        </w:rPr>
        <w:t xml:space="preserve">A high certainty ranking was assigned if the </w:t>
      </w:r>
      <w:r>
        <w:rPr>
          <w:szCs w:val="24"/>
          <w:lang w:val="en-US"/>
        </w:rPr>
        <w:t xml:space="preserve">assessment was </w:t>
      </w:r>
      <w:r w:rsidRPr="00C440E0">
        <w:rPr>
          <w:szCs w:val="24"/>
          <w:lang w:val="en-US"/>
        </w:rPr>
        <w:t xml:space="preserve">based on </w:t>
      </w:r>
      <w:r>
        <w:rPr>
          <w:szCs w:val="24"/>
          <w:lang w:val="en-US"/>
        </w:rPr>
        <w:t xml:space="preserve">national or </w:t>
      </w:r>
      <w:r w:rsidRPr="00C440E0">
        <w:rPr>
          <w:szCs w:val="24"/>
          <w:lang w:val="en-US"/>
        </w:rPr>
        <w:t xml:space="preserve">specific industry data, or </w:t>
      </w:r>
      <w:r>
        <w:rPr>
          <w:szCs w:val="24"/>
          <w:lang w:val="en-US"/>
        </w:rPr>
        <w:t>was</w:t>
      </w:r>
      <w:r w:rsidRPr="00C440E0">
        <w:rPr>
          <w:szCs w:val="24"/>
          <w:lang w:val="en-US"/>
        </w:rPr>
        <w:t xml:space="preserve"> derived from comprehensive survey data;</w:t>
      </w:r>
    </w:p>
    <w:p w14:paraId="125572D4" w14:textId="77777777" w:rsidR="00C440E0" w:rsidRPr="00C440E0" w:rsidRDefault="00C440E0" w:rsidP="00C440E0">
      <w:pPr>
        <w:numPr>
          <w:ilvl w:val="0"/>
          <w:numId w:val="13"/>
        </w:numPr>
        <w:spacing w:line="300" w:lineRule="atLeast"/>
        <w:jc w:val="both"/>
        <w:rPr>
          <w:szCs w:val="24"/>
          <w:lang w:val="en-US"/>
        </w:rPr>
      </w:pPr>
      <w:r w:rsidRPr="00C440E0">
        <w:rPr>
          <w:szCs w:val="24"/>
          <w:lang w:val="en-US"/>
        </w:rPr>
        <w:t>A medium certainty ranking was applied if limited data were available, or the data were modified to account for confounding factors;</w:t>
      </w:r>
    </w:p>
    <w:p w14:paraId="7322E3FD" w14:textId="77777777" w:rsidR="00C440E0" w:rsidRPr="00C440E0" w:rsidRDefault="00C440E0" w:rsidP="00C440E0">
      <w:pPr>
        <w:numPr>
          <w:ilvl w:val="0"/>
          <w:numId w:val="13"/>
        </w:numPr>
        <w:spacing w:line="300" w:lineRule="atLeast"/>
        <w:jc w:val="both"/>
        <w:rPr>
          <w:szCs w:val="24"/>
          <w:lang w:val="en-US"/>
        </w:rPr>
      </w:pPr>
      <w:r w:rsidRPr="00C440E0">
        <w:rPr>
          <w:szCs w:val="24"/>
          <w:lang w:val="en-US"/>
        </w:rPr>
        <w:t>A low certainty ranking was assigned if there was no data available, and the level of activity was based on subjective assessment.</w:t>
      </w:r>
    </w:p>
    <w:p w14:paraId="1C914ADC" w14:textId="77777777" w:rsidR="00C440E0" w:rsidRPr="00C440E0" w:rsidRDefault="00C440E0" w:rsidP="00C440E0">
      <w:pPr>
        <w:spacing w:line="300" w:lineRule="atLeast"/>
        <w:ind w:left="720"/>
        <w:jc w:val="both"/>
        <w:rPr>
          <w:b/>
          <w:szCs w:val="24"/>
          <w:lang w:val="en-US"/>
        </w:rPr>
      </w:pPr>
      <w:r w:rsidRPr="00C440E0">
        <w:rPr>
          <w:b/>
          <w:szCs w:val="24"/>
          <w:lang w:val="en-US"/>
        </w:rPr>
        <w:t>Input and output estimates</w:t>
      </w:r>
    </w:p>
    <w:p w14:paraId="0CF1ADC5" w14:textId="77777777" w:rsidR="00C440E0" w:rsidRPr="00C440E0" w:rsidRDefault="00C440E0" w:rsidP="00C440E0">
      <w:pPr>
        <w:numPr>
          <w:ilvl w:val="0"/>
          <w:numId w:val="14"/>
        </w:numPr>
        <w:spacing w:line="300" w:lineRule="atLeast"/>
        <w:jc w:val="both"/>
        <w:rPr>
          <w:szCs w:val="24"/>
          <w:lang w:val="en-US"/>
        </w:rPr>
      </w:pPr>
      <w:r w:rsidRPr="00C440E0">
        <w:rPr>
          <w:szCs w:val="24"/>
          <w:lang w:val="en-US"/>
        </w:rPr>
        <w:t xml:space="preserve">A high certainty ranking was assigned if a reasonable amount of </w:t>
      </w:r>
      <w:r>
        <w:rPr>
          <w:szCs w:val="24"/>
          <w:lang w:val="en-US"/>
        </w:rPr>
        <w:t xml:space="preserve">mercury content data and/or </w:t>
      </w:r>
      <w:r w:rsidRPr="00C440E0">
        <w:rPr>
          <w:szCs w:val="24"/>
          <w:lang w:val="en-US"/>
        </w:rPr>
        <w:t>emissions data were available for the specific sources;</w:t>
      </w:r>
    </w:p>
    <w:p w14:paraId="2EA41BDC" w14:textId="77777777" w:rsidR="00C440E0" w:rsidRPr="00C440E0" w:rsidRDefault="00C440E0" w:rsidP="00C440E0">
      <w:pPr>
        <w:numPr>
          <w:ilvl w:val="0"/>
          <w:numId w:val="14"/>
        </w:numPr>
        <w:spacing w:line="300" w:lineRule="atLeast"/>
        <w:jc w:val="both"/>
        <w:rPr>
          <w:szCs w:val="24"/>
          <w:lang w:val="en-US"/>
        </w:rPr>
      </w:pPr>
      <w:r w:rsidRPr="00C440E0">
        <w:rPr>
          <w:szCs w:val="24"/>
          <w:lang w:val="en-US"/>
        </w:rPr>
        <w:t>A medium certainty ranking was assigned if the mercury content data and/or emissions data was limited</w:t>
      </w:r>
      <w:r>
        <w:rPr>
          <w:szCs w:val="24"/>
          <w:lang w:val="en-US"/>
        </w:rPr>
        <w:t>;</w:t>
      </w:r>
    </w:p>
    <w:p w14:paraId="68CD90B9" w14:textId="77777777" w:rsidR="00C440E0" w:rsidRPr="00C440E0" w:rsidRDefault="00C440E0" w:rsidP="00C440E0">
      <w:pPr>
        <w:numPr>
          <w:ilvl w:val="0"/>
          <w:numId w:val="14"/>
        </w:numPr>
        <w:spacing w:line="300" w:lineRule="atLeast"/>
        <w:jc w:val="both"/>
        <w:rPr>
          <w:szCs w:val="24"/>
          <w:lang w:val="en-US"/>
        </w:rPr>
      </w:pPr>
      <w:r w:rsidRPr="00C440E0">
        <w:rPr>
          <w:szCs w:val="24"/>
          <w:lang w:val="en-US"/>
        </w:rPr>
        <w:t>A low certainty was assigned if there were no New Zealand data available, and the estimate</w:t>
      </w:r>
      <w:r>
        <w:rPr>
          <w:szCs w:val="24"/>
          <w:lang w:val="en-US"/>
        </w:rPr>
        <w:t>s</w:t>
      </w:r>
      <w:r w:rsidRPr="00C440E0">
        <w:rPr>
          <w:szCs w:val="24"/>
          <w:lang w:val="en-US"/>
        </w:rPr>
        <w:t xml:space="preserve"> </w:t>
      </w:r>
      <w:r>
        <w:rPr>
          <w:szCs w:val="24"/>
          <w:lang w:val="en-US"/>
        </w:rPr>
        <w:t>were</w:t>
      </w:r>
      <w:r w:rsidRPr="00C440E0">
        <w:rPr>
          <w:szCs w:val="24"/>
          <w:lang w:val="en-US"/>
        </w:rPr>
        <w:t xml:space="preserve"> based solely on </w:t>
      </w:r>
      <w:r>
        <w:rPr>
          <w:szCs w:val="24"/>
          <w:lang w:val="en-US"/>
        </w:rPr>
        <w:t>the</w:t>
      </w:r>
      <w:r w:rsidRPr="00C440E0">
        <w:rPr>
          <w:szCs w:val="24"/>
          <w:lang w:val="en-US"/>
        </w:rPr>
        <w:t xml:space="preserve"> Toolkit</w:t>
      </w:r>
      <w:r>
        <w:rPr>
          <w:szCs w:val="24"/>
          <w:lang w:val="en-US"/>
        </w:rPr>
        <w:t xml:space="preserve"> default</w:t>
      </w:r>
      <w:r w:rsidRPr="00C440E0">
        <w:rPr>
          <w:szCs w:val="24"/>
          <w:lang w:val="en-US"/>
        </w:rPr>
        <w:t xml:space="preserve"> factors.</w:t>
      </w:r>
    </w:p>
    <w:p w14:paraId="31360630" w14:textId="77777777" w:rsidR="00BD3343" w:rsidRDefault="00BD3343" w:rsidP="00F44938">
      <w:pPr>
        <w:spacing w:line="300" w:lineRule="atLeast"/>
        <w:jc w:val="both"/>
        <w:rPr>
          <w:rFonts w:ascii="Arial" w:hAnsi="Arial" w:cs="Arial"/>
          <w:b/>
          <w:szCs w:val="24"/>
        </w:rPr>
      </w:pPr>
      <w:r>
        <w:rPr>
          <w:rFonts w:ascii="Arial" w:hAnsi="Arial" w:cs="Arial"/>
          <w:b/>
          <w:szCs w:val="24"/>
        </w:rPr>
        <w:t>Precision</w:t>
      </w:r>
    </w:p>
    <w:p w14:paraId="00983862" w14:textId="77777777" w:rsidR="00BD3343" w:rsidRDefault="00BD3343" w:rsidP="00BD3343">
      <w:pPr>
        <w:spacing w:line="300" w:lineRule="atLeast"/>
        <w:jc w:val="both"/>
        <w:rPr>
          <w:szCs w:val="24"/>
        </w:rPr>
      </w:pPr>
      <w:r>
        <w:rPr>
          <w:szCs w:val="24"/>
        </w:rPr>
        <w:t>The input and output estimates have been calculated to a high level of precision – typically to 1 to 3 decimal places. However, the results have been rounded off when calculating group and overall totals, to better reflect the uncertainties in the estimates. As a result, the t</w:t>
      </w:r>
      <w:r w:rsidRPr="00BD3343">
        <w:rPr>
          <w:szCs w:val="24"/>
        </w:rPr>
        <w:t xml:space="preserve">otals </w:t>
      </w:r>
      <w:r>
        <w:rPr>
          <w:szCs w:val="24"/>
        </w:rPr>
        <w:t xml:space="preserve">shown in some tables </w:t>
      </w:r>
      <w:r w:rsidRPr="00BD3343">
        <w:rPr>
          <w:szCs w:val="24"/>
        </w:rPr>
        <w:t>may not exactly equal</w:t>
      </w:r>
      <w:r>
        <w:rPr>
          <w:szCs w:val="24"/>
        </w:rPr>
        <w:t xml:space="preserve"> </w:t>
      </w:r>
      <w:r w:rsidRPr="00BD3343">
        <w:rPr>
          <w:szCs w:val="24"/>
        </w:rPr>
        <w:t xml:space="preserve">the sum of </w:t>
      </w:r>
      <w:r>
        <w:rPr>
          <w:szCs w:val="24"/>
        </w:rPr>
        <w:t xml:space="preserve">the </w:t>
      </w:r>
      <w:r w:rsidRPr="00BD3343">
        <w:rPr>
          <w:szCs w:val="24"/>
        </w:rPr>
        <w:t>displayed</w:t>
      </w:r>
      <w:r>
        <w:rPr>
          <w:szCs w:val="24"/>
        </w:rPr>
        <w:t xml:space="preserve"> data.</w:t>
      </w:r>
    </w:p>
    <w:p w14:paraId="6AB7AC04" w14:textId="77777777" w:rsidR="00F44938" w:rsidRPr="00D21533" w:rsidRDefault="00F44938" w:rsidP="00F44938">
      <w:pPr>
        <w:spacing w:line="300" w:lineRule="atLeast"/>
        <w:jc w:val="both"/>
        <w:rPr>
          <w:rFonts w:ascii="Arial" w:hAnsi="Arial" w:cs="Arial"/>
          <w:b/>
          <w:szCs w:val="24"/>
        </w:rPr>
      </w:pPr>
      <w:r w:rsidRPr="00D21533">
        <w:rPr>
          <w:rFonts w:ascii="Arial" w:hAnsi="Arial" w:cs="Arial"/>
          <w:b/>
          <w:szCs w:val="24"/>
        </w:rPr>
        <w:t>Double accounting</w:t>
      </w:r>
    </w:p>
    <w:p w14:paraId="234EF9EF" w14:textId="77777777" w:rsidR="00C440E0" w:rsidRDefault="00C440E0" w:rsidP="00F44938">
      <w:pPr>
        <w:spacing w:line="300" w:lineRule="atLeast"/>
        <w:jc w:val="both"/>
        <w:rPr>
          <w:szCs w:val="24"/>
        </w:rPr>
      </w:pPr>
      <w:r>
        <w:rPr>
          <w:szCs w:val="24"/>
        </w:rPr>
        <w:t xml:space="preserve">Wherever possible, double accounting has been avoided. For example the inputs and outputs from the coal used in steel manufacture </w:t>
      </w:r>
      <w:r w:rsidR="00D21533">
        <w:rPr>
          <w:szCs w:val="24"/>
        </w:rPr>
        <w:t>were</w:t>
      </w:r>
      <w:r>
        <w:rPr>
          <w:szCs w:val="24"/>
        </w:rPr>
        <w:t xml:space="preserve"> subtracted from the estimates for national coal usage. </w:t>
      </w:r>
      <w:r w:rsidR="00190856">
        <w:rPr>
          <w:szCs w:val="24"/>
        </w:rPr>
        <w:t>Another example of potential</w:t>
      </w:r>
      <w:r w:rsidR="00D21533">
        <w:rPr>
          <w:szCs w:val="24"/>
        </w:rPr>
        <w:t xml:space="preserve"> double accounting </w:t>
      </w:r>
      <w:r w:rsidR="0098345B">
        <w:rPr>
          <w:szCs w:val="24"/>
        </w:rPr>
        <w:t>relates to the differentiation noted previously for waste materials that are taken away for recycling and reuse</w:t>
      </w:r>
      <w:r w:rsidR="00D21533">
        <w:rPr>
          <w:szCs w:val="24"/>
        </w:rPr>
        <w:t xml:space="preserve">. </w:t>
      </w:r>
      <w:r w:rsidR="0098345B">
        <w:rPr>
          <w:szCs w:val="24"/>
        </w:rPr>
        <w:t>One</w:t>
      </w:r>
      <w:r w:rsidR="00D21533">
        <w:rPr>
          <w:szCs w:val="24"/>
        </w:rPr>
        <w:t xml:space="preserve"> example of this is liquid mercury</w:t>
      </w:r>
      <w:r w:rsidR="0098345B">
        <w:rPr>
          <w:szCs w:val="24"/>
        </w:rPr>
        <w:t>,</w:t>
      </w:r>
      <w:r w:rsidR="00532FBA">
        <w:rPr>
          <w:szCs w:val="24"/>
        </w:rPr>
        <w:t xml:space="preserve"> </w:t>
      </w:r>
      <w:r w:rsidR="0098345B">
        <w:rPr>
          <w:szCs w:val="24"/>
        </w:rPr>
        <w:t xml:space="preserve">which can be </w:t>
      </w:r>
      <w:r w:rsidR="00D21533">
        <w:rPr>
          <w:szCs w:val="24"/>
        </w:rPr>
        <w:t xml:space="preserve">collected </w:t>
      </w:r>
      <w:r w:rsidR="0098345B">
        <w:rPr>
          <w:szCs w:val="24"/>
        </w:rPr>
        <w:t>from a variety of sources</w:t>
      </w:r>
      <w:r w:rsidR="00D21533">
        <w:rPr>
          <w:szCs w:val="24"/>
        </w:rPr>
        <w:t>; but is then transferred to a mercury recycler; and is then sold to small-scale gold miners and ultimately becomes a discharge to air, water and land.</w:t>
      </w:r>
      <w:r w:rsidR="0098345B">
        <w:rPr>
          <w:szCs w:val="24"/>
        </w:rPr>
        <w:t xml:space="preserve"> The double accounting here has been avoided by classifying the initial waste as a product.</w:t>
      </w:r>
    </w:p>
    <w:p w14:paraId="27D71B05" w14:textId="77777777" w:rsidR="00F44938" w:rsidRPr="00D21533" w:rsidRDefault="00D21533" w:rsidP="00F44938">
      <w:pPr>
        <w:spacing w:line="300" w:lineRule="atLeast"/>
        <w:jc w:val="both"/>
        <w:rPr>
          <w:rFonts w:ascii="Arial" w:hAnsi="Arial" w:cs="Arial"/>
          <w:b/>
          <w:szCs w:val="24"/>
        </w:rPr>
      </w:pPr>
      <w:r w:rsidRPr="00D21533">
        <w:rPr>
          <w:rFonts w:ascii="Arial" w:hAnsi="Arial" w:cs="Arial"/>
          <w:b/>
          <w:szCs w:val="24"/>
        </w:rPr>
        <w:t>Reservoirs/stock</w:t>
      </w:r>
      <w:r w:rsidR="00351FE2">
        <w:rPr>
          <w:rFonts w:ascii="Arial" w:hAnsi="Arial" w:cs="Arial"/>
          <w:b/>
          <w:szCs w:val="24"/>
        </w:rPr>
        <w:t>s</w:t>
      </w:r>
      <w:r w:rsidRPr="00D21533">
        <w:rPr>
          <w:rFonts w:ascii="Arial" w:hAnsi="Arial" w:cs="Arial"/>
          <w:b/>
          <w:szCs w:val="24"/>
        </w:rPr>
        <w:t>/exports</w:t>
      </w:r>
    </w:p>
    <w:p w14:paraId="02345674" w14:textId="77777777" w:rsidR="00F42639" w:rsidRDefault="00D21533" w:rsidP="003833D6">
      <w:pPr>
        <w:spacing w:line="300" w:lineRule="atLeast"/>
        <w:jc w:val="both"/>
        <w:rPr>
          <w:szCs w:val="24"/>
        </w:rPr>
      </w:pPr>
      <w:r>
        <w:rPr>
          <w:szCs w:val="24"/>
        </w:rPr>
        <w:t>The focus of the inventory is on annual inputs and outputs for New Zealand. However, there are also some significant reservoirs</w:t>
      </w:r>
      <w:r w:rsidR="00351FE2">
        <w:rPr>
          <w:szCs w:val="24"/>
        </w:rPr>
        <w:t xml:space="preserve"> or stock holdings</w:t>
      </w:r>
      <w:r>
        <w:rPr>
          <w:szCs w:val="24"/>
        </w:rPr>
        <w:t xml:space="preserve">, which may not change very much from year to year. One example of this is the mercury in blood pressure devices </w:t>
      </w:r>
      <w:r w:rsidR="00202370">
        <w:rPr>
          <w:szCs w:val="24"/>
        </w:rPr>
        <w:t xml:space="preserve">(sphygmomanometers) </w:t>
      </w:r>
      <w:r>
        <w:rPr>
          <w:szCs w:val="24"/>
        </w:rPr>
        <w:t>that are still used by many medical professional</w:t>
      </w:r>
      <w:r w:rsidR="00C8044F">
        <w:rPr>
          <w:szCs w:val="24"/>
        </w:rPr>
        <w:t>s</w:t>
      </w:r>
      <w:r>
        <w:rPr>
          <w:szCs w:val="24"/>
        </w:rPr>
        <w:t xml:space="preserve">. </w:t>
      </w:r>
      <w:r w:rsidR="00202370">
        <w:rPr>
          <w:szCs w:val="24"/>
        </w:rPr>
        <w:t xml:space="preserve">These reservoirs or stocks have been noted at the relevant points in the main body of the report and </w:t>
      </w:r>
      <w:r w:rsidR="00C8044F">
        <w:rPr>
          <w:szCs w:val="24"/>
        </w:rPr>
        <w:t xml:space="preserve">have </w:t>
      </w:r>
      <w:r w:rsidR="00202370">
        <w:rPr>
          <w:szCs w:val="24"/>
        </w:rPr>
        <w:t>also be</w:t>
      </w:r>
      <w:r w:rsidR="00C8044F">
        <w:rPr>
          <w:szCs w:val="24"/>
        </w:rPr>
        <w:t>en</w:t>
      </w:r>
      <w:r w:rsidR="00202370">
        <w:rPr>
          <w:szCs w:val="24"/>
        </w:rPr>
        <w:t xml:space="preserve"> identified separately in the data summaries.</w:t>
      </w:r>
    </w:p>
    <w:p w14:paraId="2CE54621" w14:textId="1C5534F7" w:rsidR="00202370" w:rsidRPr="00C817BD" w:rsidRDefault="00202370" w:rsidP="003833D6">
      <w:pPr>
        <w:spacing w:line="300" w:lineRule="atLeast"/>
        <w:jc w:val="both"/>
        <w:rPr>
          <w:szCs w:val="24"/>
        </w:rPr>
      </w:pPr>
      <w:r>
        <w:rPr>
          <w:szCs w:val="24"/>
        </w:rPr>
        <w:t xml:space="preserve">Another matter that </w:t>
      </w:r>
      <w:r w:rsidR="00C8044F">
        <w:rPr>
          <w:szCs w:val="24"/>
        </w:rPr>
        <w:t xml:space="preserve">has </w:t>
      </w:r>
      <w:r>
        <w:rPr>
          <w:szCs w:val="24"/>
        </w:rPr>
        <w:t>also be</w:t>
      </w:r>
      <w:r w:rsidR="00C8044F">
        <w:rPr>
          <w:szCs w:val="24"/>
        </w:rPr>
        <w:t>en</w:t>
      </w:r>
      <w:r>
        <w:rPr>
          <w:szCs w:val="24"/>
        </w:rPr>
        <w:t xml:space="preserve"> noted is the export </w:t>
      </w:r>
      <w:r w:rsidR="00CE0DFE">
        <w:rPr>
          <w:szCs w:val="24"/>
        </w:rPr>
        <w:t>of mercury-containing products and materials</w:t>
      </w:r>
      <w:r>
        <w:rPr>
          <w:szCs w:val="24"/>
        </w:rPr>
        <w:t xml:space="preserve">. These </w:t>
      </w:r>
      <w:r w:rsidR="00CE0DFE">
        <w:rPr>
          <w:szCs w:val="24"/>
        </w:rPr>
        <w:t>are</w:t>
      </w:r>
      <w:r>
        <w:rPr>
          <w:szCs w:val="24"/>
        </w:rPr>
        <w:t xml:space="preserve"> identified in the overall national accounting, usually as a </w:t>
      </w:r>
      <w:r w:rsidR="00CE0DFE">
        <w:rPr>
          <w:szCs w:val="24"/>
        </w:rPr>
        <w:t xml:space="preserve">product </w:t>
      </w:r>
      <w:r>
        <w:rPr>
          <w:szCs w:val="24"/>
        </w:rPr>
        <w:t>or</w:t>
      </w:r>
      <w:r w:rsidR="00CE0DFE" w:rsidRPr="00CE0DFE">
        <w:rPr>
          <w:szCs w:val="24"/>
        </w:rPr>
        <w:t xml:space="preserve"> </w:t>
      </w:r>
      <w:r w:rsidR="00CE0DFE">
        <w:rPr>
          <w:szCs w:val="24"/>
        </w:rPr>
        <w:t>waste</w:t>
      </w:r>
      <w:r>
        <w:rPr>
          <w:szCs w:val="24"/>
        </w:rPr>
        <w:t xml:space="preserve">, but </w:t>
      </w:r>
      <w:r w:rsidR="00C8044F">
        <w:rPr>
          <w:szCs w:val="24"/>
        </w:rPr>
        <w:t xml:space="preserve">should </w:t>
      </w:r>
      <w:r>
        <w:rPr>
          <w:szCs w:val="24"/>
        </w:rPr>
        <w:t>also be flagged as eventually being removed from the national stocks.</w:t>
      </w:r>
    </w:p>
    <w:bookmarkEnd w:id="20"/>
    <w:p w14:paraId="72C03D59" w14:textId="77777777" w:rsidR="00047702" w:rsidRPr="00A311F7" w:rsidRDefault="00870D23" w:rsidP="00047702">
      <w:pPr>
        <w:pStyle w:val="Heading1"/>
        <w:spacing w:line="260" w:lineRule="exact"/>
        <w:rPr>
          <w:rFonts w:cs="Arial"/>
          <w:b w:val="0"/>
          <w:bCs/>
        </w:rPr>
      </w:pPr>
      <w:r>
        <w:rPr>
          <w:rFonts w:ascii="Verdana" w:hAnsi="Verdana"/>
          <w:bCs/>
        </w:rPr>
        <w:br w:type="page"/>
      </w:r>
      <w:bookmarkStart w:id="21" w:name="_Toc484949565"/>
      <w:bookmarkStart w:id="22" w:name="_Toc313528461"/>
      <w:r w:rsidR="00B11F8B" w:rsidRPr="00A311F7">
        <w:rPr>
          <w:rFonts w:cs="Arial"/>
          <w:bCs/>
        </w:rPr>
        <w:lastRenderedPageBreak/>
        <w:t xml:space="preserve">Extraction and </w:t>
      </w:r>
      <w:r w:rsidR="00A97D5C" w:rsidRPr="00A311F7">
        <w:rPr>
          <w:rFonts w:cs="Arial"/>
          <w:bCs/>
        </w:rPr>
        <w:t>use of fuels/energy sources</w:t>
      </w:r>
      <w:bookmarkEnd w:id="21"/>
    </w:p>
    <w:p w14:paraId="53FE7C9C" w14:textId="77777777" w:rsidR="00AC7DC8" w:rsidRPr="003833D6" w:rsidRDefault="00AC7DC8" w:rsidP="003833D6">
      <w:pPr>
        <w:spacing w:line="300" w:lineRule="atLeast"/>
        <w:jc w:val="both"/>
        <w:rPr>
          <w:szCs w:val="18"/>
        </w:rPr>
      </w:pPr>
    </w:p>
    <w:p w14:paraId="64FF617C" w14:textId="26E5C6ED" w:rsidR="00A63D3B" w:rsidRPr="003833D6" w:rsidRDefault="000F06F4" w:rsidP="003833D6">
      <w:pPr>
        <w:spacing w:line="300" w:lineRule="atLeast"/>
        <w:jc w:val="both"/>
        <w:rPr>
          <w:szCs w:val="18"/>
        </w:rPr>
      </w:pPr>
      <w:r w:rsidRPr="003833D6">
        <w:rPr>
          <w:szCs w:val="18"/>
        </w:rPr>
        <w:t xml:space="preserve">This category </w:t>
      </w:r>
      <w:r w:rsidR="00BC73AD">
        <w:rPr>
          <w:szCs w:val="18"/>
        </w:rPr>
        <w:t>covers all forms of energy use including fossil fuels, biomass, biogas and geothermal energy</w:t>
      </w:r>
      <w:r w:rsidR="00C738EC">
        <w:rPr>
          <w:szCs w:val="18"/>
        </w:rPr>
        <w:t xml:space="preserve"> (UNEP, 2017</w:t>
      </w:r>
      <w:r w:rsidR="00C817BD">
        <w:rPr>
          <w:szCs w:val="18"/>
        </w:rPr>
        <w:t>)</w:t>
      </w:r>
      <w:r w:rsidR="00BC73AD">
        <w:rPr>
          <w:szCs w:val="18"/>
        </w:rPr>
        <w:t>. It includes the fuel and energy used for electricity generation and in cogeneration plants, direct fuel use in industrial facilities</w:t>
      </w:r>
      <w:r w:rsidR="00BC73AD">
        <w:rPr>
          <w:rStyle w:val="FootnoteReference"/>
          <w:szCs w:val="18"/>
        </w:rPr>
        <w:footnoteReference w:id="2"/>
      </w:r>
      <w:r w:rsidR="00BC73AD">
        <w:rPr>
          <w:szCs w:val="18"/>
        </w:rPr>
        <w:t xml:space="preserve">, and </w:t>
      </w:r>
      <w:r w:rsidR="00094C6A">
        <w:rPr>
          <w:szCs w:val="18"/>
        </w:rPr>
        <w:t xml:space="preserve">the </w:t>
      </w:r>
      <w:r w:rsidR="00BC73AD">
        <w:rPr>
          <w:szCs w:val="18"/>
        </w:rPr>
        <w:t xml:space="preserve">fuel used for commercial and residential cooking and heating. It also covers fuel used for transportation, and the energy used in the initial production (refining) of that fuel. </w:t>
      </w:r>
      <w:r w:rsidRPr="003833D6">
        <w:rPr>
          <w:szCs w:val="18"/>
        </w:rPr>
        <w:t xml:space="preserve">The seven sub-categories within this source </w:t>
      </w:r>
      <w:r w:rsidR="00E1319A">
        <w:rPr>
          <w:szCs w:val="18"/>
        </w:rPr>
        <w:t>group</w:t>
      </w:r>
      <w:r w:rsidRPr="003833D6">
        <w:rPr>
          <w:szCs w:val="18"/>
        </w:rPr>
        <w:t xml:space="preserve"> are shown</w:t>
      </w:r>
      <w:r w:rsidR="00BC73AD">
        <w:rPr>
          <w:szCs w:val="18"/>
        </w:rPr>
        <w:t xml:space="preserve"> in </w:t>
      </w:r>
      <w:r w:rsidR="00BC73AD" w:rsidRPr="00BC73AD">
        <w:rPr>
          <w:szCs w:val="18"/>
        </w:rPr>
        <w:fldChar w:fldCharType="begin"/>
      </w:r>
      <w:r w:rsidR="00BC73AD" w:rsidRPr="00BC73AD">
        <w:rPr>
          <w:szCs w:val="18"/>
        </w:rPr>
        <w:instrText xml:space="preserve"> REF _Ref358187561 \h </w:instrText>
      </w:r>
      <w:r w:rsidR="00BC73AD">
        <w:rPr>
          <w:szCs w:val="18"/>
        </w:rPr>
        <w:instrText xml:space="preserve"> \* MERGEFORMAT </w:instrText>
      </w:r>
      <w:r w:rsidR="00BC73AD" w:rsidRPr="00BC73AD">
        <w:rPr>
          <w:szCs w:val="18"/>
        </w:rPr>
      </w:r>
      <w:r w:rsidR="00BC73AD" w:rsidRPr="00BC73AD">
        <w:rPr>
          <w:szCs w:val="18"/>
        </w:rPr>
        <w:fldChar w:fldCharType="separate"/>
      </w:r>
      <w:r w:rsidR="00423FC9" w:rsidRPr="00423FC9">
        <w:t xml:space="preserve">Table </w:t>
      </w:r>
      <w:r w:rsidR="00423FC9" w:rsidRPr="00423FC9">
        <w:rPr>
          <w:noProof/>
        </w:rPr>
        <w:t>3</w:t>
      </w:r>
      <w:r w:rsidR="00423FC9" w:rsidRPr="00423FC9">
        <w:rPr>
          <w:noProof/>
        </w:rPr>
        <w:noBreakHyphen/>
        <w:t>1</w:t>
      </w:r>
      <w:r w:rsidR="00BC73AD" w:rsidRPr="00BC73AD">
        <w:rPr>
          <w:szCs w:val="18"/>
        </w:rPr>
        <w:fldChar w:fldCharType="end"/>
      </w:r>
      <w:r w:rsidR="00BC73AD">
        <w:rPr>
          <w:szCs w:val="18"/>
        </w:rPr>
        <w:t xml:space="preserve"> </w:t>
      </w:r>
      <w:r w:rsidRPr="003833D6">
        <w:rPr>
          <w:szCs w:val="18"/>
        </w:rPr>
        <w:t>below</w:t>
      </w:r>
      <w:r w:rsidR="00DB09D1">
        <w:rPr>
          <w:szCs w:val="18"/>
        </w:rPr>
        <w:t>, which has been copied directly from the Toolkit</w:t>
      </w:r>
      <w:r w:rsidRPr="003833D6">
        <w:rPr>
          <w:szCs w:val="18"/>
        </w:rPr>
        <w:t xml:space="preserve">. The main pathways of mercury releases are </w:t>
      </w:r>
      <w:r w:rsidR="00094C6A">
        <w:rPr>
          <w:szCs w:val="18"/>
        </w:rPr>
        <w:t xml:space="preserve">to </w:t>
      </w:r>
      <w:r w:rsidRPr="003833D6">
        <w:rPr>
          <w:szCs w:val="18"/>
        </w:rPr>
        <w:t xml:space="preserve">air, water and waste/residues. Land may also be a release pathway in domestic heating and cooking, either using </w:t>
      </w:r>
      <w:r w:rsidR="00094C6A" w:rsidRPr="003833D6">
        <w:rPr>
          <w:szCs w:val="18"/>
        </w:rPr>
        <w:t>wood</w:t>
      </w:r>
      <w:r w:rsidR="00094C6A">
        <w:rPr>
          <w:szCs w:val="18"/>
        </w:rPr>
        <w:t>y</w:t>
      </w:r>
      <w:r w:rsidR="00094C6A" w:rsidRPr="003833D6">
        <w:rPr>
          <w:szCs w:val="18"/>
        </w:rPr>
        <w:t xml:space="preserve"> </w:t>
      </w:r>
      <w:r w:rsidRPr="003833D6">
        <w:rPr>
          <w:szCs w:val="18"/>
        </w:rPr>
        <w:t xml:space="preserve">biomass or fossil fuels, and from </w:t>
      </w:r>
      <w:r w:rsidR="00094C6A">
        <w:rPr>
          <w:szCs w:val="18"/>
        </w:rPr>
        <w:t xml:space="preserve">the </w:t>
      </w:r>
      <w:r w:rsidRPr="003833D6">
        <w:rPr>
          <w:szCs w:val="18"/>
        </w:rPr>
        <w:t xml:space="preserve">extraction of mineral oil. </w:t>
      </w:r>
      <w:r w:rsidR="00094C6A">
        <w:rPr>
          <w:szCs w:val="18"/>
        </w:rPr>
        <w:t>In addition, land is often the ultimate receptor for wastes and residues</w:t>
      </w:r>
      <w:r w:rsidRPr="003833D6">
        <w:rPr>
          <w:szCs w:val="18"/>
        </w:rPr>
        <w:t>.</w:t>
      </w:r>
    </w:p>
    <w:p w14:paraId="344BB2B5" w14:textId="77777777" w:rsidR="00A63D3B" w:rsidRPr="003D7CC9" w:rsidRDefault="00A63D3B" w:rsidP="008F11FE">
      <w:pPr>
        <w:pStyle w:val="Caption"/>
        <w:spacing w:before="240"/>
        <w:rPr>
          <w:rFonts w:ascii="Arial" w:hAnsi="Arial" w:cs="Arial"/>
        </w:rPr>
      </w:pPr>
      <w:bookmarkStart w:id="23" w:name="_Ref358187561"/>
      <w:bookmarkStart w:id="24" w:name="_Toc484949637"/>
      <w:r w:rsidRPr="003D7CC9">
        <w:rPr>
          <w:rFonts w:ascii="Arial" w:hAnsi="Arial" w:cs="Arial"/>
        </w:rPr>
        <w:t xml:space="preserve">Table </w:t>
      </w:r>
      <w:r w:rsidR="00390C9F">
        <w:rPr>
          <w:rFonts w:ascii="Arial" w:hAnsi="Arial" w:cs="Arial"/>
        </w:rPr>
        <w:fldChar w:fldCharType="begin"/>
      </w:r>
      <w:r w:rsidR="00390C9F">
        <w:rPr>
          <w:rFonts w:ascii="Arial" w:hAnsi="Arial" w:cs="Arial"/>
        </w:rPr>
        <w:instrText xml:space="preserve"> STYLEREF 1 \s </w:instrText>
      </w:r>
      <w:r w:rsidR="00390C9F">
        <w:rPr>
          <w:rFonts w:ascii="Arial" w:hAnsi="Arial" w:cs="Arial"/>
        </w:rPr>
        <w:fldChar w:fldCharType="separate"/>
      </w:r>
      <w:r w:rsidR="00423FC9">
        <w:rPr>
          <w:rFonts w:ascii="Arial" w:hAnsi="Arial" w:cs="Arial"/>
          <w:noProof/>
        </w:rPr>
        <w:t>3</w:t>
      </w:r>
      <w:r w:rsidR="00390C9F">
        <w:rPr>
          <w:rFonts w:ascii="Arial" w:hAnsi="Arial" w:cs="Arial"/>
        </w:rPr>
        <w:fldChar w:fldCharType="end"/>
      </w:r>
      <w:r w:rsidR="00390C9F">
        <w:rPr>
          <w:rFonts w:ascii="Arial" w:hAnsi="Arial" w:cs="Arial"/>
        </w:rPr>
        <w:noBreakHyphen/>
      </w:r>
      <w:r w:rsidR="00390C9F">
        <w:rPr>
          <w:rFonts w:ascii="Arial" w:hAnsi="Arial" w:cs="Arial"/>
        </w:rPr>
        <w:fldChar w:fldCharType="begin"/>
      </w:r>
      <w:r w:rsidR="00390C9F">
        <w:rPr>
          <w:rFonts w:ascii="Arial" w:hAnsi="Arial" w:cs="Arial"/>
        </w:rPr>
        <w:instrText xml:space="preserve"> SEQ Table \* ARABIC \s 1 </w:instrText>
      </w:r>
      <w:r w:rsidR="00390C9F">
        <w:rPr>
          <w:rFonts w:ascii="Arial" w:hAnsi="Arial" w:cs="Arial"/>
        </w:rPr>
        <w:fldChar w:fldCharType="separate"/>
      </w:r>
      <w:r w:rsidR="00423FC9">
        <w:rPr>
          <w:rFonts w:ascii="Arial" w:hAnsi="Arial" w:cs="Arial"/>
          <w:noProof/>
        </w:rPr>
        <w:t>1</w:t>
      </w:r>
      <w:r w:rsidR="00390C9F">
        <w:rPr>
          <w:rFonts w:ascii="Arial" w:hAnsi="Arial" w:cs="Arial"/>
        </w:rPr>
        <w:fldChar w:fldCharType="end"/>
      </w:r>
      <w:bookmarkEnd w:id="23"/>
      <w:r>
        <w:rPr>
          <w:rFonts w:ascii="Arial" w:hAnsi="Arial" w:cs="Arial"/>
        </w:rPr>
        <w:t>:</w:t>
      </w:r>
      <w:r w:rsidRPr="003D7CC9">
        <w:rPr>
          <w:rFonts w:ascii="Arial" w:hAnsi="Arial" w:cs="Arial"/>
        </w:rPr>
        <w:t xml:space="preserve"> T</w:t>
      </w:r>
      <w:r>
        <w:rPr>
          <w:rFonts w:ascii="Arial" w:hAnsi="Arial" w:cs="Arial"/>
        </w:rPr>
        <w:t xml:space="preserve">oolkit </w:t>
      </w:r>
      <w:r w:rsidR="00A97D5C">
        <w:rPr>
          <w:rFonts w:ascii="Arial" w:hAnsi="Arial" w:cs="Arial"/>
        </w:rPr>
        <w:t>framework for category 1 -</w:t>
      </w:r>
      <w:r w:rsidR="00A97D5C" w:rsidRPr="003D7CC9">
        <w:rPr>
          <w:rFonts w:ascii="Arial" w:hAnsi="Arial" w:cs="Arial"/>
        </w:rPr>
        <w:t xml:space="preserve"> extraction and use of fuels/energy sources</w:t>
      </w:r>
      <w:bookmarkEnd w:id="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850"/>
        <w:gridCol w:w="851"/>
        <w:gridCol w:w="851"/>
        <w:gridCol w:w="992"/>
        <w:gridCol w:w="992"/>
        <w:gridCol w:w="1099"/>
      </w:tblGrid>
      <w:tr w:rsidR="004901F2" w:rsidRPr="004901F2" w14:paraId="49846884" w14:textId="77777777" w:rsidTr="00A63D3B">
        <w:tc>
          <w:tcPr>
            <w:tcW w:w="851" w:type="dxa"/>
            <w:shd w:val="clear" w:color="auto" w:fill="auto"/>
            <w:vAlign w:val="center"/>
          </w:tcPr>
          <w:p w14:paraId="5713895E" w14:textId="77777777" w:rsidR="00263924" w:rsidRPr="004901F2" w:rsidRDefault="00F2709B" w:rsidP="004901F2">
            <w:pPr>
              <w:spacing w:before="40" w:after="40" w:line="300" w:lineRule="atLeast"/>
              <w:jc w:val="center"/>
              <w:rPr>
                <w:rFonts w:ascii="Arial" w:hAnsi="Arial" w:cs="Arial"/>
                <w:b/>
                <w:sz w:val="16"/>
                <w:szCs w:val="16"/>
              </w:rPr>
            </w:pPr>
            <w:r w:rsidRPr="004901F2">
              <w:rPr>
                <w:rFonts w:ascii="Arial" w:hAnsi="Arial" w:cs="Arial"/>
                <w:b/>
                <w:sz w:val="16"/>
                <w:szCs w:val="16"/>
              </w:rPr>
              <w:t xml:space="preserve">Toolkit </w:t>
            </w:r>
            <w:r w:rsidR="00263924" w:rsidRPr="004901F2">
              <w:rPr>
                <w:rFonts w:ascii="Arial" w:hAnsi="Arial" w:cs="Arial"/>
                <w:b/>
                <w:sz w:val="16"/>
                <w:szCs w:val="16"/>
              </w:rPr>
              <w:t>Chapter</w:t>
            </w:r>
          </w:p>
        </w:tc>
        <w:tc>
          <w:tcPr>
            <w:tcW w:w="2693" w:type="dxa"/>
            <w:shd w:val="clear" w:color="auto" w:fill="auto"/>
            <w:vAlign w:val="center"/>
          </w:tcPr>
          <w:p w14:paraId="2389BD28" w14:textId="77777777" w:rsidR="00263924" w:rsidRPr="004901F2" w:rsidRDefault="00263924" w:rsidP="004901F2">
            <w:pPr>
              <w:spacing w:before="40" w:after="40" w:line="300" w:lineRule="atLeast"/>
              <w:jc w:val="center"/>
              <w:rPr>
                <w:rFonts w:ascii="Arial" w:hAnsi="Arial" w:cs="Arial"/>
                <w:b/>
                <w:sz w:val="16"/>
                <w:szCs w:val="16"/>
              </w:rPr>
            </w:pPr>
            <w:r w:rsidRPr="004901F2">
              <w:rPr>
                <w:rFonts w:ascii="Arial" w:hAnsi="Arial" w:cs="Arial"/>
                <w:b/>
                <w:sz w:val="16"/>
                <w:szCs w:val="16"/>
              </w:rPr>
              <w:t>Sub-category</w:t>
            </w:r>
          </w:p>
        </w:tc>
        <w:tc>
          <w:tcPr>
            <w:tcW w:w="850" w:type="dxa"/>
            <w:shd w:val="clear" w:color="auto" w:fill="auto"/>
            <w:vAlign w:val="center"/>
          </w:tcPr>
          <w:p w14:paraId="762A717C" w14:textId="77777777" w:rsidR="00263924" w:rsidRPr="004901F2" w:rsidRDefault="00F2709B" w:rsidP="004901F2">
            <w:pPr>
              <w:spacing w:before="40" w:after="40" w:line="300" w:lineRule="atLeast"/>
              <w:jc w:val="center"/>
              <w:rPr>
                <w:rFonts w:ascii="Arial" w:hAnsi="Arial" w:cs="Arial"/>
                <w:b/>
                <w:sz w:val="16"/>
                <w:szCs w:val="16"/>
              </w:rPr>
            </w:pPr>
            <w:r w:rsidRPr="004901F2">
              <w:rPr>
                <w:rFonts w:ascii="Arial" w:hAnsi="Arial" w:cs="Arial"/>
                <w:b/>
                <w:sz w:val="16"/>
                <w:szCs w:val="16"/>
              </w:rPr>
              <w:t>Air</w:t>
            </w:r>
          </w:p>
        </w:tc>
        <w:tc>
          <w:tcPr>
            <w:tcW w:w="851" w:type="dxa"/>
            <w:shd w:val="clear" w:color="auto" w:fill="auto"/>
            <w:vAlign w:val="center"/>
          </w:tcPr>
          <w:p w14:paraId="5550869A" w14:textId="77777777" w:rsidR="00263924" w:rsidRPr="004901F2" w:rsidRDefault="00F2709B" w:rsidP="004901F2">
            <w:pPr>
              <w:spacing w:before="40" w:after="40" w:line="300" w:lineRule="atLeast"/>
              <w:jc w:val="center"/>
              <w:rPr>
                <w:rFonts w:ascii="Arial" w:hAnsi="Arial" w:cs="Arial"/>
                <w:b/>
                <w:sz w:val="16"/>
                <w:szCs w:val="16"/>
              </w:rPr>
            </w:pPr>
            <w:r w:rsidRPr="004901F2">
              <w:rPr>
                <w:rFonts w:ascii="Arial" w:hAnsi="Arial" w:cs="Arial"/>
                <w:b/>
                <w:sz w:val="16"/>
                <w:szCs w:val="16"/>
              </w:rPr>
              <w:t>Water</w:t>
            </w:r>
          </w:p>
        </w:tc>
        <w:tc>
          <w:tcPr>
            <w:tcW w:w="851" w:type="dxa"/>
            <w:shd w:val="clear" w:color="auto" w:fill="auto"/>
            <w:vAlign w:val="center"/>
          </w:tcPr>
          <w:p w14:paraId="0D4892CC" w14:textId="77777777" w:rsidR="00263924" w:rsidRPr="004901F2" w:rsidRDefault="00F2709B" w:rsidP="004901F2">
            <w:pPr>
              <w:spacing w:before="40" w:after="40" w:line="300" w:lineRule="atLeast"/>
              <w:jc w:val="center"/>
              <w:rPr>
                <w:rFonts w:ascii="Arial" w:hAnsi="Arial" w:cs="Arial"/>
                <w:b/>
                <w:sz w:val="16"/>
                <w:szCs w:val="16"/>
              </w:rPr>
            </w:pPr>
            <w:r w:rsidRPr="004901F2">
              <w:rPr>
                <w:rFonts w:ascii="Arial" w:hAnsi="Arial" w:cs="Arial"/>
                <w:b/>
                <w:sz w:val="16"/>
                <w:szCs w:val="16"/>
              </w:rPr>
              <w:t>Land</w:t>
            </w:r>
          </w:p>
        </w:tc>
        <w:tc>
          <w:tcPr>
            <w:tcW w:w="992" w:type="dxa"/>
            <w:shd w:val="clear" w:color="auto" w:fill="auto"/>
            <w:vAlign w:val="center"/>
          </w:tcPr>
          <w:p w14:paraId="34344F36" w14:textId="77777777" w:rsidR="00263924" w:rsidRPr="004901F2" w:rsidRDefault="00F2709B" w:rsidP="004901F2">
            <w:pPr>
              <w:spacing w:before="40" w:after="40" w:line="300" w:lineRule="atLeast"/>
              <w:jc w:val="center"/>
              <w:rPr>
                <w:rFonts w:ascii="Arial" w:hAnsi="Arial" w:cs="Arial"/>
                <w:b/>
                <w:sz w:val="16"/>
                <w:szCs w:val="16"/>
              </w:rPr>
            </w:pPr>
            <w:r w:rsidRPr="004901F2">
              <w:rPr>
                <w:rFonts w:ascii="Arial" w:hAnsi="Arial" w:cs="Arial"/>
                <w:b/>
                <w:sz w:val="16"/>
                <w:szCs w:val="16"/>
              </w:rPr>
              <w:t>Product</w:t>
            </w:r>
          </w:p>
        </w:tc>
        <w:tc>
          <w:tcPr>
            <w:tcW w:w="992" w:type="dxa"/>
            <w:shd w:val="clear" w:color="auto" w:fill="auto"/>
            <w:vAlign w:val="center"/>
          </w:tcPr>
          <w:p w14:paraId="55CF9FCF" w14:textId="77777777" w:rsidR="00263924" w:rsidRPr="004901F2" w:rsidRDefault="00F2709B" w:rsidP="004901F2">
            <w:pPr>
              <w:spacing w:before="40" w:after="40" w:line="300" w:lineRule="atLeast"/>
              <w:jc w:val="center"/>
              <w:rPr>
                <w:rFonts w:ascii="Arial" w:hAnsi="Arial" w:cs="Arial"/>
                <w:b/>
                <w:sz w:val="16"/>
                <w:szCs w:val="16"/>
              </w:rPr>
            </w:pPr>
            <w:r w:rsidRPr="004901F2">
              <w:rPr>
                <w:rFonts w:ascii="Arial" w:hAnsi="Arial" w:cs="Arial"/>
                <w:b/>
                <w:sz w:val="16"/>
                <w:szCs w:val="16"/>
              </w:rPr>
              <w:t>Waste/ residue</w:t>
            </w:r>
          </w:p>
        </w:tc>
        <w:tc>
          <w:tcPr>
            <w:tcW w:w="1099" w:type="dxa"/>
            <w:shd w:val="clear" w:color="auto" w:fill="auto"/>
            <w:vAlign w:val="center"/>
          </w:tcPr>
          <w:p w14:paraId="1932B632" w14:textId="77777777" w:rsidR="00263924" w:rsidRPr="004901F2" w:rsidRDefault="00F2709B" w:rsidP="004901F2">
            <w:pPr>
              <w:spacing w:before="40" w:after="40" w:line="300" w:lineRule="atLeast"/>
              <w:jc w:val="center"/>
              <w:rPr>
                <w:rFonts w:ascii="Arial" w:hAnsi="Arial" w:cs="Arial"/>
                <w:b/>
                <w:sz w:val="16"/>
                <w:szCs w:val="16"/>
              </w:rPr>
            </w:pPr>
            <w:r w:rsidRPr="004901F2">
              <w:rPr>
                <w:rFonts w:ascii="Arial" w:hAnsi="Arial" w:cs="Arial"/>
                <w:b/>
                <w:sz w:val="16"/>
                <w:szCs w:val="16"/>
              </w:rPr>
              <w:t>Main approach</w:t>
            </w:r>
          </w:p>
        </w:tc>
      </w:tr>
      <w:tr w:rsidR="004901F2" w:rsidRPr="004901F2" w14:paraId="4A3085BF" w14:textId="77777777" w:rsidTr="00A63D3B">
        <w:tc>
          <w:tcPr>
            <w:tcW w:w="851" w:type="dxa"/>
            <w:shd w:val="clear" w:color="auto" w:fill="auto"/>
            <w:vAlign w:val="center"/>
          </w:tcPr>
          <w:p w14:paraId="77AA6D50" w14:textId="77777777" w:rsidR="00263924" w:rsidRPr="004901F2" w:rsidRDefault="00F2709B" w:rsidP="004901F2">
            <w:pPr>
              <w:spacing w:before="40" w:after="40" w:line="300" w:lineRule="atLeast"/>
              <w:rPr>
                <w:rFonts w:ascii="Arial" w:hAnsi="Arial" w:cs="Arial"/>
                <w:sz w:val="16"/>
                <w:szCs w:val="16"/>
              </w:rPr>
            </w:pPr>
            <w:r w:rsidRPr="004901F2">
              <w:rPr>
                <w:rFonts w:ascii="Arial" w:hAnsi="Arial" w:cs="Arial"/>
                <w:sz w:val="16"/>
                <w:szCs w:val="16"/>
              </w:rPr>
              <w:t>5.1.1</w:t>
            </w:r>
          </w:p>
        </w:tc>
        <w:tc>
          <w:tcPr>
            <w:tcW w:w="2693" w:type="dxa"/>
            <w:shd w:val="clear" w:color="auto" w:fill="auto"/>
            <w:vAlign w:val="center"/>
          </w:tcPr>
          <w:p w14:paraId="60307C57" w14:textId="77777777" w:rsidR="00263924" w:rsidRPr="004901F2" w:rsidRDefault="00263924" w:rsidP="004901F2">
            <w:pPr>
              <w:spacing w:line="300" w:lineRule="atLeast"/>
              <w:rPr>
                <w:rFonts w:ascii="Arial" w:hAnsi="Arial" w:cs="Arial"/>
                <w:sz w:val="16"/>
                <w:szCs w:val="16"/>
              </w:rPr>
            </w:pPr>
            <w:bookmarkStart w:id="25" w:name="_GoBack"/>
            <w:r w:rsidRPr="004901F2">
              <w:rPr>
                <w:rFonts w:ascii="Arial" w:hAnsi="Arial" w:cs="Arial"/>
                <w:sz w:val="16"/>
                <w:szCs w:val="16"/>
              </w:rPr>
              <w:t>Coal</w:t>
            </w:r>
            <w:bookmarkEnd w:id="25"/>
            <w:r w:rsidRPr="004901F2">
              <w:rPr>
                <w:rFonts w:ascii="Arial" w:hAnsi="Arial" w:cs="Arial"/>
                <w:sz w:val="16"/>
                <w:szCs w:val="16"/>
              </w:rPr>
              <w:t xml:space="preserve"> combustion in large power plants</w:t>
            </w:r>
          </w:p>
        </w:tc>
        <w:tc>
          <w:tcPr>
            <w:tcW w:w="850" w:type="dxa"/>
            <w:shd w:val="clear" w:color="auto" w:fill="auto"/>
            <w:vAlign w:val="center"/>
          </w:tcPr>
          <w:p w14:paraId="3F1EED32" w14:textId="77777777" w:rsidR="00263924" w:rsidRPr="004901F2" w:rsidRDefault="00F2709B" w:rsidP="004901F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207E7DF8" w14:textId="77777777" w:rsidR="00263924" w:rsidRPr="004901F2" w:rsidRDefault="00F2709B" w:rsidP="004901F2">
            <w:pPr>
              <w:spacing w:before="40" w:after="40" w:line="300" w:lineRule="atLeast"/>
              <w:jc w:val="center"/>
              <w:rPr>
                <w:rFonts w:ascii="Arial" w:hAnsi="Arial" w:cs="Arial"/>
                <w:sz w:val="16"/>
                <w:szCs w:val="16"/>
              </w:rPr>
            </w:pPr>
            <w:r w:rsidRPr="004901F2">
              <w:rPr>
                <w:rFonts w:ascii="Arial" w:hAnsi="Arial" w:cs="Arial"/>
                <w:sz w:val="16"/>
                <w:szCs w:val="16"/>
              </w:rPr>
              <w:t>x</w:t>
            </w:r>
          </w:p>
        </w:tc>
        <w:tc>
          <w:tcPr>
            <w:tcW w:w="851" w:type="dxa"/>
            <w:shd w:val="clear" w:color="auto" w:fill="auto"/>
            <w:vAlign w:val="center"/>
          </w:tcPr>
          <w:p w14:paraId="2FB34EAA" w14:textId="77777777" w:rsidR="00263924" w:rsidRPr="004901F2" w:rsidRDefault="00F2709B" w:rsidP="004901F2">
            <w:pPr>
              <w:spacing w:before="40" w:after="40" w:line="300" w:lineRule="atLeast"/>
              <w:jc w:val="center"/>
              <w:rPr>
                <w:rFonts w:ascii="Arial" w:hAnsi="Arial" w:cs="Arial"/>
                <w:sz w:val="16"/>
                <w:szCs w:val="16"/>
              </w:rPr>
            </w:pPr>
            <w:r w:rsidRPr="004901F2">
              <w:rPr>
                <w:rFonts w:ascii="Arial" w:hAnsi="Arial" w:cs="Arial"/>
                <w:sz w:val="16"/>
                <w:szCs w:val="16"/>
              </w:rPr>
              <w:t>x</w:t>
            </w:r>
          </w:p>
        </w:tc>
        <w:tc>
          <w:tcPr>
            <w:tcW w:w="992" w:type="dxa"/>
            <w:shd w:val="clear" w:color="auto" w:fill="auto"/>
            <w:vAlign w:val="center"/>
          </w:tcPr>
          <w:p w14:paraId="0CDD92BF" w14:textId="77777777" w:rsidR="00263924" w:rsidRPr="004901F2" w:rsidRDefault="00F2709B" w:rsidP="004901F2">
            <w:pPr>
              <w:spacing w:before="40" w:after="40" w:line="300" w:lineRule="atLeast"/>
              <w:jc w:val="center"/>
              <w:rPr>
                <w:rFonts w:ascii="Arial" w:hAnsi="Arial" w:cs="Arial"/>
                <w:sz w:val="16"/>
                <w:szCs w:val="16"/>
              </w:rPr>
            </w:pPr>
            <w:r w:rsidRPr="004901F2">
              <w:rPr>
                <w:rFonts w:ascii="Arial" w:hAnsi="Arial" w:cs="Arial"/>
                <w:sz w:val="16"/>
                <w:szCs w:val="16"/>
              </w:rPr>
              <w:t>x</w:t>
            </w:r>
          </w:p>
        </w:tc>
        <w:tc>
          <w:tcPr>
            <w:tcW w:w="992" w:type="dxa"/>
            <w:shd w:val="clear" w:color="auto" w:fill="auto"/>
            <w:vAlign w:val="center"/>
          </w:tcPr>
          <w:p w14:paraId="2B536BB3" w14:textId="77777777" w:rsidR="00263924" w:rsidRPr="004901F2" w:rsidRDefault="00F2709B" w:rsidP="004901F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1099" w:type="dxa"/>
            <w:shd w:val="clear" w:color="auto" w:fill="auto"/>
            <w:vAlign w:val="center"/>
          </w:tcPr>
          <w:p w14:paraId="3A57825A" w14:textId="77777777" w:rsidR="00263924" w:rsidRPr="004901F2" w:rsidRDefault="00F2709B" w:rsidP="004901F2">
            <w:pPr>
              <w:spacing w:before="40" w:after="40" w:line="300" w:lineRule="atLeast"/>
              <w:jc w:val="center"/>
              <w:rPr>
                <w:rFonts w:ascii="Arial" w:hAnsi="Arial" w:cs="Arial"/>
                <w:sz w:val="16"/>
                <w:szCs w:val="16"/>
              </w:rPr>
            </w:pPr>
            <w:r w:rsidRPr="004901F2">
              <w:rPr>
                <w:rFonts w:ascii="Arial" w:hAnsi="Arial" w:cs="Arial"/>
                <w:sz w:val="16"/>
                <w:szCs w:val="16"/>
              </w:rPr>
              <w:t>PS</w:t>
            </w:r>
          </w:p>
        </w:tc>
      </w:tr>
      <w:tr w:rsidR="004901F2" w:rsidRPr="004901F2" w14:paraId="39B98AC7" w14:textId="77777777" w:rsidTr="00A63D3B">
        <w:tc>
          <w:tcPr>
            <w:tcW w:w="851" w:type="dxa"/>
            <w:shd w:val="clear" w:color="auto" w:fill="auto"/>
            <w:vAlign w:val="center"/>
          </w:tcPr>
          <w:p w14:paraId="4287BC11" w14:textId="77777777" w:rsidR="00263924" w:rsidRPr="004901F2" w:rsidRDefault="00F2709B" w:rsidP="004901F2">
            <w:pPr>
              <w:spacing w:before="40" w:after="40" w:line="300" w:lineRule="atLeast"/>
              <w:rPr>
                <w:rFonts w:ascii="Arial" w:hAnsi="Arial" w:cs="Arial"/>
                <w:sz w:val="16"/>
                <w:szCs w:val="16"/>
              </w:rPr>
            </w:pPr>
            <w:r w:rsidRPr="004901F2">
              <w:rPr>
                <w:rFonts w:ascii="Arial" w:hAnsi="Arial" w:cs="Arial"/>
                <w:sz w:val="16"/>
                <w:szCs w:val="16"/>
              </w:rPr>
              <w:t>5.1.2</w:t>
            </w:r>
          </w:p>
        </w:tc>
        <w:tc>
          <w:tcPr>
            <w:tcW w:w="2693" w:type="dxa"/>
            <w:shd w:val="clear" w:color="auto" w:fill="auto"/>
            <w:vAlign w:val="center"/>
          </w:tcPr>
          <w:p w14:paraId="6C469D2F" w14:textId="77777777" w:rsidR="00263924" w:rsidRPr="004901F2" w:rsidRDefault="00263924" w:rsidP="004901F2">
            <w:pPr>
              <w:spacing w:before="40" w:after="40" w:line="300" w:lineRule="atLeast"/>
              <w:rPr>
                <w:rFonts w:ascii="Arial" w:hAnsi="Arial" w:cs="Arial"/>
                <w:sz w:val="16"/>
                <w:szCs w:val="16"/>
              </w:rPr>
            </w:pPr>
            <w:r w:rsidRPr="004901F2">
              <w:rPr>
                <w:rFonts w:ascii="Arial" w:hAnsi="Arial" w:cs="Arial"/>
                <w:sz w:val="16"/>
                <w:szCs w:val="16"/>
              </w:rPr>
              <w:t>Other coal combustion</w:t>
            </w:r>
          </w:p>
        </w:tc>
        <w:tc>
          <w:tcPr>
            <w:tcW w:w="850" w:type="dxa"/>
            <w:shd w:val="clear" w:color="auto" w:fill="auto"/>
            <w:vAlign w:val="center"/>
          </w:tcPr>
          <w:p w14:paraId="6C08F913" w14:textId="77777777" w:rsidR="00263924" w:rsidRPr="004901F2" w:rsidRDefault="00F2709B" w:rsidP="004901F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2F484869" w14:textId="77777777" w:rsidR="00263924" w:rsidRPr="004901F2" w:rsidRDefault="00263924" w:rsidP="004901F2">
            <w:pPr>
              <w:spacing w:before="40" w:after="40" w:line="300" w:lineRule="atLeast"/>
              <w:jc w:val="center"/>
              <w:rPr>
                <w:rFonts w:ascii="Arial" w:hAnsi="Arial" w:cs="Arial"/>
                <w:sz w:val="16"/>
                <w:szCs w:val="16"/>
              </w:rPr>
            </w:pPr>
          </w:p>
        </w:tc>
        <w:tc>
          <w:tcPr>
            <w:tcW w:w="851" w:type="dxa"/>
            <w:shd w:val="clear" w:color="auto" w:fill="auto"/>
            <w:vAlign w:val="center"/>
          </w:tcPr>
          <w:p w14:paraId="030EBD63" w14:textId="77777777" w:rsidR="00263924" w:rsidRPr="004901F2" w:rsidRDefault="00F2709B" w:rsidP="004901F2">
            <w:pPr>
              <w:spacing w:before="40" w:after="40" w:line="300" w:lineRule="atLeast"/>
              <w:jc w:val="center"/>
              <w:rPr>
                <w:rFonts w:ascii="Arial" w:hAnsi="Arial" w:cs="Arial"/>
                <w:sz w:val="16"/>
                <w:szCs w:val="16"/>
              </w:rPr>
            </w:pPr>
            <w:r w:rsidRPr="004901F2">
              <w:rPr>
                <w:rFonts w:ascii="Arial" w:hAnsi="Arial" w:cs="Arial"/>
                <w:sz w:val="16"/>
                <w:szCs w:val="16"/>
              </w:rPr>
              <w:t>x</w:t>
            </w:r>
          </w:p>
        </w:tc>
        <w:tc>
          <w:tcPr>
            <w:tcW w:w="992" w:type="dxa"/>
            <w:shd w:val="clear" w:color="auto" w:fill="auto"/>
            <w:vAlign w:val="center"/>
          </w:tcPr>
          <w:p w14:paraId="67843F40" w14:textId="77777777" w:rsidR="00263924" w:rsidRPr="004901F2" w:rsidRDefault="00F2709B" w:rsidP="004901F2">
            <w:pPr>
              <w:spacing w:before="40" w:after="40" w:line="300" w:lineRule="atLeast"/>
              <w:jc w:val="center"/>
              <w:rPr>
                <w:rFonts w:ascii="Arial" w:hAnsi="Arial" w:cs="Arial"/>
                <w:sz w:val="16"/>
                <w:szCs w:val="16"/>
              </w:rPr>
            </w:pPr>
            <w:r w:rsidRPr="004901F2">
              <w:rPr>
                <w:rFonts w:ascii="Arial" w:hAnsi="Arial" w:cs="Arial"/>
                <w:sz w:val="16"/>
                <w:szCs w:val="16"/>
              </w:rPr>
              <w:t>x</w:t>
            </w:r>
          </w:p>
        </w:tc>
        <w:tc>
          <w:tcPr>
            <w:tcW w:w="992" w:type="dxa"/>
            <w:shd w:val="clear" w:color="auto" w:fill="auto"/>
            <w:vAlign w:val="center"/>
          </w:tcPr>
          <w:p w14:paraId="577B749C" w14:textId="77777777" w:rsidR="00263924" w:rsidRPr="004901F2" w:rsidRDefault="00F2709B" w:rsidP="004901F2">
            <w:pPr>
              <w:spacing w:before="40" w:after="40" w:line="300" w:lineRule="atLeast"/>
              <w:jc w:val="center"/>
              <w:rPr>
                <w:rFonts w:ascii="Arial" w:hAnsi="Arial" w:cs="Arial"/>
                <w:sz w:val="16"/>
                <w:szCs w:val="16"/>
              </w:rPr>
            </w:pPr>
            <w:r w:rsidRPr="004901F2">
              <w:rPr>
                <w:rFonts w:ascii="Arial" w:hAnsi="Arial" w:cs="Arial"/>
                <w:sz w:val="16"/>
                <w:szCs w:val="16"/>
              </w:rPr>
              <w:t>x</w:t>
            </w:r>
          </w:p>
        </w:tc>
        <w:tc>
          <w:tcPr>
            <w:tcW w:w="1099" w:type="dxa"/>
            <w:shd w:val="clear" w:color="auto" w:fill="auto"/>
            <w:vAlign w:val="center"/>
          </w:tcPr>
          <w:p w14:paraId="363566E7" w14:textId="77777777" w:rsidR="00263924" w:rsidRPr="004901F2" w:rsidRDefault="00F2709B" w:rsidP="004901F2">
            <w:pPr>
              <w:spacing w:before="40" w:after="40" w:line="300" w:lineRule="atLeast"/>
              <w:jc w:val="center"/>
              <w:rPr>
                <w:rFonts w:ascii="Arial" w:hAnsi="Arial" w:cs="Arial"/>
                <w:sz w:val="16"/>
                <w:szCs w:val="16"/>
              </w:rPr>
            </w:pPr>
            <w:r w:rsidRPr="004901F2">
              <w:rPr>
                <w:rFonts w:ascii="Arial" w:hAnsi="Arial" w:cs="Arial"/>
                <w:sz w:val="16"/>
                <w:szCs w:val="16"/>
              </w:rPr>
              <w:t>OW</w:t>
            </w:r>
          </w:p>
        </w:tc>
      </w:tr>
      <w:tr w:rsidR="004901F2" w:rsidRPr="004901F2" w14:paraId="2DC8A889" w14:textId="77777777" w:rsidTr="00A63D3B">
        <w:tc>
          <w:tcPr>
            <w:tcW w:w="851" w:type="dxa"/>
            <w:shd w:val="clear" w:color="auto" w:fill="auto"/>
            <w:vAlign w:val="center"/>
          </w:tcPr>
          <w:p w14:paraId="1E0DCC7C" w14:textId="77777777" w:rsidR="00263924" w:rsidRPr="004901F2" w:rsidRDefault="00F2709B" w:rsidP="004901F2">
            <w:pPr>
              <w:spacing w:before="40" w:after="40" w:line="300" w:lineRule="atLeast"/>
              <w:rPr>
                <w:rFonts w:ascii="Arial" w:hAnsi="Arial" w:cs="Arial"/>
                <w:sz w:val="16"/>
                <w:szCs w:val="16"/>
              </w:rPr>
            </w:pPr>
            <w:r w:rsidRPr="004901F2">
              <w:rPr>
                <w:rFonts w:ascii="Arial" w:hAnsi="Arial" w:cs="Arial"/>
                <w:sz w:val="16"/>
                <w:szCs w:val="16"/>
              </w:rPr>
              <w:t>5.1.3</w:t>
            </w:r>
          </w:p>
        </w:tc>
        <w:tc>
          <w:tcPr>
            <w:tcW w:w="2693" w:type="dxa"/>
            <w:shd w:val="clear" w:color="auto" w:fill="auto"/>
            <w:vAlign w:val="center"/>
          </w:tcPr>
          <w:p w14:paraId="126A82DF" w14:textId="77777777" w:rsidR="00263924" w:rsidRPr="004901F2" w:rsidRDefault="00263924" w:rsidP="004901F2">
            <w:pPr>
              <w:spacing w:line="300" w:lineRule="atLeast"/>
              <w:rPr>
                <w:rFonts w:ascii="Arial" w:hAnsi="Arial" w:cs="Arial"/>
                <w:sz w:val="16"/>
                <w:szCs w:val="16"/>
              </w:rPr>
            </w:pPr>
            <w:r w:rsidRPr="004901F2">
              <w:rPr>
                <w:rFonts w:ascii="Arial" w:hAnsi="Arial" w:cs="Arial"/>
                <w:sz w:val="16"/>
                <w:szCs w:val="16"/>
              </w:rPr>
              <w:t>Extraction, refining and use of mineral oil</w:t>
            </w:r>
          </w:p>
        </w:tc>
        <w:tc>
          <w:tcPr>
            <w:tcW w:w="850" w:type="dxa"/>
            <w:shd w:val="clear" w:color="auto" w:fill="auto"/>
            <w:vAlign w:val="center"/>
          </w:tcPr>
          <w:p w14:paraId="1B2B65FA" w14:textId="77777777" w:rsidR="00263924" w:rsidRPr="004901F2" w:rsidRDefault="00F2709B" w:rsidP="004901F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6AF3EDCD" w14:textId="77777777" w:rsidR="00263924" w:rsidRPr="004901F2" w:rsidRDefault="00F2709B" w:rsidP="004901F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2AF6C457" w14:textId="77777777" w:rsidR="00263924" w:rsidRPr="004901F2" w:rsidRDefault="00F2709B" w:rsidP="004901F2">
            <w:pPr>
              <w:spacing w:before="40" w:after="40" w:line="300" w:lineRule="atLeast"/>
              <w:jc w:val="center"/>
              <w:rPr>
                <w:rFonts w:ascii="Arial" w:hAnsi="Arial" w:cs="Arial"/>
                <w:sz w:val="16"/>
                <w:szCs w:val="16"/>
              </w:rPr>
            </w:pPr>
            <w:r w:rsidRPr="004901F2">
              <w:rPr>
                <w:rFonts w:ascii="Arial" w:hAnsi="Arial" w:cs="Arial"/>
                <w:sz w:val="16"/>
                <w:szCs w:val="16"/>
              </w:rPr>
              <w:t>x</w:t>
            </w:r>
          </w:p>
        </w:tc>
        <w:tc>
          <w:tcPr>
            <w:tcW w:w="992" w:type="dxa"/>
            <w:shd w:val="clear" w:color="auto" w:fill="auto"/>
            <w:vAlign w:val="center"/>
          </w:tcPr>
          <w:p w14:paraId="57D7029D" w14:textId="77777777" w:rsidR="00263924" w:rsidRPr="004901F2" w:rsidRDefault="00F2709B" w:rsidP="004901F2">
            <w:pPr>
              <w:spacing w:before="40" w:after="40" w:line="300" w:lineRule="atLeast"/>
              <w:jc w:val="center"/>
              <w:rPr>
                <w:rFonts w:ascii="Arial" w:hAnsi="Arial" w:cs="Arial"/>
                <w:sz w:val="16"/>
                <w:szCs w:val="16"/>
              </w:rPr>
            </w:pPr>
            <w:r w:rsidRPr="004901F2">
              <w:rPr>
                <w:rFonts w:ascii="Arial" w:hAnsi="Arial" w:cs="Arial"/>
                <w:sz w:val="16"/>
                <w:szCs w:val="16"/>
              </w:rPr>
              <w:t>x</w:t>
            </w:r>
          </w:p>
        </w:tc>
        <w:tc>
          <w:tcPr>
            <w:tcW w:w="992" w:type="dxa"/>
            <w:shd w:val="clear" w:color="auto" w:fill="auto"/>
            <w:vAlign w:val="center"/>
          </w:tcPr>
          <w:p w14:paraId="6E8C2609" w14:textId="77777777" w:rsidR="00263924" w:rsidRPr="004901F2" w:rsidRDefault="00F2709B" w:rsidP="004901F2">
            <w:pPr>
              <w:spacing w:before="40" w:after="40" w:line="300" w:lineRule="atLeast"/>
              <w:jc w:val="center"/>
              <w:rPr>
                <w:rFonts w:ascii="Arial" w:hAnsi="Arial" w:cs="Arial"/>
                <w:sz w:val="16"/>
                <w:szCs w:val="16"/>
              </w:rPr>
            </w:pPr>
            <w:r w:rsidRPr="004901F2">
              <w:rPr>
                <w:rFonts w:ascii="Arial" w:hAnsi="Arial" w:cs="Arial"/>
                <w:sz w:val="16"/>
                <w:szCs w:val="16"/>
              </w:rPr>
              <w:t>x</w:t>
            </w:r>
          </w:p>
        </w:tc>
        <w:tc>
          <w:tcPr>
            <w:tcW w:w="1099" w:type="dxa"/>
            <w:shd w:val="clear" w:color="auto" w:fill="auto"/>
            <w:vAlign w:val="center"/>
          </w:tcPr>
          <w:p w14:paraId="119C21C8" w14:textId="77777777" w:rsidR="00263924" w:rsidRPr="004901F2" w:rsidRDefault="00F2709B" w:rsidP="004901F2">
            <w:pPr>
              <w:spacing w:before="40" w:after="40" w:line="300" w:lineRule="atLeast"/>
              <w:jc w:val="center"/>
              <w:rPr>
                <w:rFonts w:ascii="Arial" w:hAnsi="Arial" w:cs="Arial"/>
                <w:sz w:val="16"/>
                <w:szCs w:val="16"/>
              </w:rPr>
            </w:pPr>
            <w:r w:rsidRPr="004901F2">
              <w:rPr>
                <w:rFonts w:ascii="Arial" w:hAnsi="Arial" w:cs="Arial"/>
                <w:sz w:val="16"/>
                <w:szCs w:val="16"/>
              </w:rPr>
              <w:t>OW/PS</w:t>
            </w:r>
          </w:p>
        </w:tc>
      </w:tr>
      <w:tr w:rsidR="004901F2" w:rsidRPr="004901F2" w14:paraId="337BC0C5" w14:textId="77777777" w:rsidTr="00A63D3B">
        <w:tc>
          <w:tcPr>
            <w:tcW w:w="851" w:type="dxa"/>
            <w:shd w:val="clear" w:color="auto" w:fill="auto"/>
            <w:vAlign w:val="center"/>
          </w:tcPr>
          <w:p w14:paraId="05F65010" w14:textId="77777777" w:rsidR="00263924" w:rsidRPr="004901F2" w:rsidRDefault="00F2709B" w:rsidP="004901F2">
            <w:pPr>
              <w:spacing w:before="40" w:after="40" w:line="300" w:lineRule="atLeast"/>
              <w:rPr>
                <w:rFonts w:ascii="Arial" w:hAnsi="Arial" w:cs="Arial"/>
                <w:sz w:val="16"/>
                <w:szCs w:val="16"/>
              </w:rPr>
            </w:pPr>
            <w:r w:rsidRPr="004901F2">
              <w:rPr>
                <w:rFonts w:ascii="Arial" w:hAnsi="Arial" w:cs="Arial"/>
                <w:sz w:val="16"/>
                <w:szCs w:val="16"/>
              </w:rPr>
              <w:t>5.1.4</w:t>
            </w:r>
          </w:p>
        </w:tc>
        <w:tc>
          <w:tcPr>
            <w:tcW w:w="2693" w:type="dxa"/>
            <w:shd w:val="clear" w:color="auto" w:fill="auto"/>
            <w:vAlign w:val="center"/>
          </w:tcPr>
          <w:p w14:paraId="556A2371" w14:textId="77777777" w:rsidR="00263924" w:rsidRPr="004901F2" w:rsidRDefault="00263924" w:rsidP="004901F2">
            <w:pPr>
              <w:spacing w:line="300" w:lineRule="atLeast"/>
              <w:rPr>
                <w:rFonts w:ascii="Arial" w:hAnsi="Arial" w:cs="Arial"/>
                <w:sz w:val="16"/>
                <w:szCs w:val="16"/>
              </w:rPr>
            </w:pPr>
            <w:r w:rsidRPr="004901F2">
              <w:rPr>
                <w:rFonts w:ascii="Arial" w:hAnsi="Arial" w:cs="Arial"/>
                <w:sz w:val="16"/>
                <w:szCs w:val="16"/>
              </w:rPr>
              <w:t>Extraction, refining and use of natural gas</w:t>
            </w:r>
          </w:p>
        </w:tc>
        <w:tc>
          <w:tcPr>
            <w:tcW w:w="850" w:type="dxa"/>
            <w:shd w:val="clear" w:color="auto" w:fill="auto"/>
            <w:vAlign w:val="center"/>
          </w:tcPr>
          <w:p w14:paraId="63DE97A4" w14:textId="77777777" w:rsidR="00263924" w:rsidRPr="004901F2" w:rsidRDefault="00F2709B" w:rsidP="004901F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6D6C5680" w14:textId="77777777" w:rsidR="00263924" w:rsidRPr="004901F2" w:rsidRDefault="00F2709B" w:rsidP="004901F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703F6A3A" w14:textId="77777777" w:rsidR="00263924" w:rsidRPr="004901F2" w:rsidRDefault="00F2709B" w:rsidP="004901F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992" w:type="dxa"/>
            <w:shd w:val="clear" w:color="auto" w:fill="auto"/>
            <w:vAlign w:val="center"/>
          </w:tcPr>
          <w:p w14:paraId="4BDB2B7B" w14:textId="77777777" w:rsidR="00263924" w:rsidRPr="004901F2" w:rsidRDefault="00263924" w:rsidP="004901F2">
            <w:pPr>
              <w:spacing w:before="40" w:after="40" w:line="300" w:lineRule="atLeast"/>
              <w:jc w:val="center"/>
              <w:rPr>
                <w:rFonts w:ascii="Arial" w:hAnsi="Arial" w:cs="Arial"/>
                <w:sz w:val="16"/>
                <w:szCs w:val="16"/>
              </w:rPr>
            </w:pPr>
          </w:p>
        </w:tc>
        <w:tc>
          <w:tcPr>
            <w:tcW w:w="992" w:type="dxa"/>
            <w:shd w:val="clear" w:color="auto" w:fill="auto"/>
            <w:vAlign w:val="center"/>
          </w:tcPr>
          <w:p w14:paraId="321FE3A1" w14:textId="77777777" w:rsidR="00263924" w:rsidRPr="004901F2" w:rsidRDefault="00F2709B" w:rsidP="004901F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1099" w:type="dxa"/>
            <w:shd w:val="clear" w:color="auto" w:fill="auto"/>
            <w:vAlign w:val="center"/>
          </w:tcPr>
          <w:p w14:paraId="0C6C5814" w14:textId="77777777" w:rsidR="00263924" w:rsidRPr="004901F2" w:rsidRDefault="00F2709B" w:rsidP="004901F2">
            <w:pPr>
              <w:spacing w:before="40" w:after="40" w:line="300" w:lineRule="atLeast"/>
              <w:jc w:val="center"/>
              <w:rPr>
                <w:rFonts w:ascii="Arial" w:hAnsi="Arial" w:cs="Arial"/>
                <w:sz w:val="16"/>
                <w:szCs w:val="16"/>
              </w:rPr>
            </w:pPr>
            <w:r w:rsidRPr="004901F2">
              <w:rPr>
                <w:rFonts w:ascii="Arial" w:hAnsi="Arial" w:cs="Arial"/>
                <w:sz w:val="16"/>
                <w:szCs w:val="16"/>
              </w:rPr>
              <w:t>OW/PS</w:t>
            </w:r>
          </w:p>
        </w:tc>
      </w:tr>
      <w:tr w:rsidR="004901F2" w:rsidRPr="004901F2" w14:paraId="1FF85739" w14:textId="77777777" w:rsidTr="00A63D3B">
        <w:tc>
          <w:tcPr>
            <w:tcW w:w="851" w:type="dxa"/>
            <w:shd w:val="clear" w:color="auto" w:fill="auto"/>
            <w:vAlign w:val="center"/>
          </w:tcPr>
          <w:p w14:paraId="2D9F26AD" w14:textId="77777777" w:rsidR="00263924" w:rsidRPr="004901F2" w:rsidRDefault="00F2709B" w:rsidP="004901F2">
            <w:pPr>
              <w:spacing w:before="40" w:after="40" w:line="300" w:lineRule="atLeast"/>
              <w:rPr>
                <w:rFonts w:ascii="Arial" w:hAnsi="Arial" w:cs="Arial"/>
                <w:sz w:val="16"/>
                <w:szCs w:val="16"/>
              </w:rPr>
            </w:pPr>
            <w:r w:rsidRPr="004901F2">
              <w:rPr>
                <w:rFonts w:ascii="Arial" w:hAnsi="Arial" w:cs="Arial"/>
                <w:sz w:val="16"/>
                <w:szCs w:val="16"/>
              </w:rPr>
              <w:t>5.1.5</w:t>
            </w:r>
          </w:p>
        </w:tc>
        <w:tc>
          <w:tcPr>
            <w:tcW w:w="2693" w:type="dxa"/>
            <w:shd w:val="clear" w:color="auto" w:fill="auto"/>
            <w:vAlign w:val="center"/>
          </w:tcPr>
          <w:p w14:paraId="4D9B7DE8" w14:textId="77777777" w:rsidR="00263924" w:rsidRPr="004901F2" w:rsidRDefault="00F2709B" w:rsidP="004901F2">
            <w:pPr>
              <w:spacing w:line="300" w:lineRule="atLeast"/>
              <w:rPr>
                <w:rFonts w:ascii="Arial" w:hAnsi="Arial" w:cs="Arial"/>
                <w:sz w:val="16"/>
                <w:szCs w:val="16"/>
              </w:rPr>
            </w:pPr>
            <w:r w:rsidRPr="004901F2">
              <w:rPr>
                <w:rFonts w:ascii="Arial" w:hAnsi="Arial" w:cs="Arial"/>
                <w:sz w:val="16"/>
                <w:szCs w:val="16"/>
              </w:rPr>
              <w:t>Extraction and use of other fossil fuels</w:t>
            </w:r>
          </w:p>
        </w:tc>
        <w:tc>
          <w:tcPr>
            <w:tcW w:w="850" w:type="dxa"/>
            <w:shd w:val="clear" w:color="auto" w:fill="auto"/>
            <w:vAlign w:val="center"/>
          </w:tcPr>
          <w:p w14:paraId="613A1CEC" w14:textId="77777777" w:rsidR="00263924" w:rsidRPr="004901F2" w:rsidRDefault="00F2709B" w:rsidP="004901F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0D747C4E" w14:textId="77777777" w:rsidR="00263924" w:rsidRPr="004901F2" w:rsidRDefault="00F2709B" w:rsidP="004901F2">
            <w:pPr>
              <w:spacing w:before="40" w:after="40" w:line="300" w:lineRule="atLeast"/>
              <w:jc w:val="center"/>
              <w:rPr>
                <w:rFonts w:ascii="Arial" w:hAnsi="Arial" w:cs="Arial"/>
                <w:sz w:val="16"/>
                <w:szCs w:val="16"/>
              </w:rPr>
            </w:pPr>
            <w:r w:rsidRPr="004901F2">
              <w:rPr>
                <w:rFonts w:ascii="Arial" w:hAnsi="Arial" w:cs="Arial"/>
                <w:sz w:val="16"/>
                <w:szCs w:val="16"/>
              </w:rPr>
              <w:t>x</w:t>
            </w:r>
          </w:p>
        </w:tc>
        <w:tc>
          <w:tcPr>
            <w:tcW w:w="851" w:type="dxa"/>
            <w:shd w:val="clear" w:color="auto" w:fill="auto"/>
            <w:vAlign w:val="center"/>
          </w:tcPr>
          <w:p w14:paraId="48D16565" w14:textId="77777777" w:rsidR="00263924" w:rsidRPr="004901F2" w:rsidRDefault="00F2709B" w:rsidP="004901F2">
            <w:pPr>
              <w:spacing w:before="40" w:after="40" w:line="300" w:lineRule="atLeast"/>
              <w:jc w:val="center"/>
              <w:rPr>
                <w:rFonts w:ascii="Arial" w:hAnsi="Arial" w:cs="Arial"/>
                <w:sz w:val="16"/>
                <w:szCs w:val="16"/>
              </w:rPr>
            </w:pPr>
            <w:r w:rsidRPr="004901F2">
              <w:rPr>
                <w:rFonts w:ascii="Arial" w:hAnsi="Arial" w:cs="Arial"/>
                <w:sz w:val="16"/>
                <w:szCs w:val="16"/>
              </w:rPr>
              <w:t>x</w:t>
            </w:r>
          </w:p>
        </w:tc>
        <w:tc>
          <w:tcPr>
            <w:tcW w:w="992" w:type="dxa"/>
            <w:shd w:val="clear" w:color="auto" w:fill="auto"/>
            <w:vAlign w:val="center"/>
          </w:tcPr>
          <w:p w14:paraId="242BC236" w14:textId="77777777" w:rsidR="00263924" w:rsidRPr="004901F2" w:rsidRDefault="00263924" w:rsidP="004901F2">
            <w:pPr>
              <w:spacing w:before="40" w:after="40" w:line="300" w:lineRule="atLeast"/>
              <w:jc w:val="center"/>
              <w:rPr>
                <w:rFonts w:ascii="Arial" w:hAnsi="Arial" w:cs="Arial"/>
                <w:sz w:val="16"/>
                <w:szCs w:val="16"/>
              </w:rPr>
            </w:pPr>
          </w:p>
        </w:tc>
        <w:tc>
          <w:tcPr>
            <w:tcW w:w="992" w:type="dxa"/>
            <w:shd w:val="clear" w:color="auto" w:fill="auto"/>
            <w:vAlign w:val="center"/>
          </w:tcPr>
          <w:p w14:paraId="3DC66862" w14:textId="77777777" w:rsidR="00263924" w:rsidRPr="004901F2" w:rsidRDefault="00F2709B" w:rsidP="004901F2">
            <w:pPr>
              <w:spacing w:before="40" w:after="40" w:line="300" w:lineRule="atLeast"/>
              <w:jc w:val="center"/>
              <w:rPr>
                <w:rFonts w:ascii="Arial" w:hAnsi="Arial" w:cs="Arial"/>
                <w:sz w:val="16"/>
                <w:szCs w:val="16"/>
              </w:rPr>
            </w:pPr>
            <w:r w:rsidRPr="004901F2">
              <w:rPr>
                <w:rFonts w:ascii="Arial" w:hAnsi="Arial" w:cs="Arial"/>
                <w:sz w:val="16"/>
                <w:szCs w:val="16"/>
              </w:rPr>
              <w:t>x</w:t>
            </w:r>
          </w:p>
        </w:tc>
        <w:tc>
          <w:tcPr>
            <w:tcW w:w="1099" w:type="dxa"/>
            <w:shd w:val="clear" w:color="auto" w:fill="auto"/>
            <w:vAlign w:val="center"/>
          </w:tcPr>
          <w:p w14:paraId="7F9F5E79" w14:textId="77777777" w:rsidR="00263924" w:rsidRPr="004901F2" w:rsidRDefault="00F2709B" w:rsidP="004901F2">
            <w:pPr>
              <w:spacing w:before="40" w:after="40" w:line="300" w:lineRule="atLeast"/>
              <w:jc w:val="center"/>
              <w:rPr>
                <w:rFonts w:ascii="Arial" w:hAnsi="Arial" w:cs="Arial"/>
                <w:sz w:val="16"/>
                <w:szCs w:val="16"/>
              </w:rPr>
            </w:pPr>
            <w:r w:rsidRPr="004901F2">
              <w:rPr>
                <w:rFonts w:ascii="Arial" w:hAnsi="Arial" w:cs="Arial"/>
                <w:sz w:val="16"/>
                <w:szCs w:val="16"/>
              </w:rPr>
              <w:t>OW</w:t>
            </w:r>
          </w:p>
        </w:tc>
      </w:tr>
      <w:tr w:rsidR="004901F2" w:rsidRPr="004901F2" w14:paraId="054F8E88" w14:textId="77777777" w:rsidTr="00A63D3B">
        <w:tc>
          <w:tcPr>
            <w:tcW w:w="851" w:type="dxa"/>
            <w:shd w:val="clear" w:color="auto" w:fill="auto"/>
            <w:vAlign w:val="center"/>
          </w:tcPr>
          <w:p w14:paraId="1536E493" w14:textId="77777777" w:rsidR="00263924" w:rsidRPr="004901F2" w:rsidRDefault="00F2709B" w:rsidP="004901F2">
            <w:pPr>
              <w:spacing w:before="40" w:after="40" w:line="300" w:lineRule="atLeast"/>
              <w:rPr>
                <w:rFonts w:ascii="Arial" w:hAnsi="Arial" w:cs="Arial"/>
                <w:sz w:val="16"/>
                <w:szCs w:val="16"/>
              </w:rPr>
            </w:pPr>
            <w:r w:rsidRPr="004901F2">
              <w:rPr>
                <w:rFonts w:ascii="Arial" w:hAnsi="Arial" w:cs="Arial"/>
                <w:sz w:val="16"/>
                <w:szCs w:val="16"/>
              </w:rPr>
              <w:t>5.1.6</w:t>
            </w:r>
          </w:p>
        </w:tc>
        <w:tc>
          <w:tcPr>
            <w:tcW w:w="2693" w:type="dxa"/>
            <w:shd w:val="clear" w:color="auto" w:fill="auto"/>
            <w:vAlign w:val="center"/>
          </w:tcPr>
          <w:p w14:paraId="75EB9E16" w14:textId="77777777" w:rsidR="00263924" w:rsidRPr="004901F2" w:rsidRDefault="00F2709B" w:rsidP="004901F2">
            <w:pPr>
              <w:spacing w:before="40" w:after="40" w:line="300" w:lineRule="atLeast"/>
              <w:rPr>
                <w:rFonts w:ascii="Arial" w:hAnsi="Arial" w:cs="Arial"/>
                <w:sz w:val="16"/>
                <w:szCs w:val="16"/>
              </w:rPr>
            </w:pPr>
            <w:r w:rsidRPr="004901F2">
              <w:rPr>
                <w:rFonts w:ascii="Arial" w:hAnsi="Arial" w:cs="Arial"/>
                <w:sz w:val="16"/>
                <w:szCs w:val="16"/>
              </w:rPr>
              <w:t>Biomass fired power and heat production</w:t>
            </w:r>
          </w:p>
        </w:tc>
        <w:tc>
          <w:tcPr>
            <w:tcW w:w="850" w:type="dxa"/>
            <w:shd w:val="clear" w:color="auto" w:fill="auto"/>
            <w:vAlign w:val="center"/>
          </w:tcPr>
          <w:p w14:paraId="6B1CA528" w14:textId="77777777" w:rsidR="00263924" w:rsidRPr="004901F2" w:rsidRDefault="00F2709B" w:rsidP="004901F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44F8D06A" w14:textId="77777777" w:rsidR="00263924" w:rsidRPr="004901F2" w:rsidRDefault="00F2709B" w:rsidP="004901F2">
            <w:pPr>
              <w:spacing w:before="40" w:after="40" w:line="300" w:lineRule="atLeast"/>
              <w:jc w:val="center"/>
              <w:rPr>
                <w:rFonts w:ascii="Arial" w:hAnsi="Arial" w:cs="Arial"/>
                <w:sz w:val="16"/>
                <w:szCs w:val="16"/>
              </w:rPr>
            </w:pPr>
            <w:r w:rsidRPr="004901F2">
              <w:rPr>
                <w:rFonts w:ascii="Arial" w:hAnsi="Arial" w:cs="Arial"/>
                <w:sz w:val="16"/>
                <w:szCs w:val="16"/>
              </w:rPr>
              <w:t>x</w:t>
            </w:r>
          </w:p>
        </w:tc>
        <w:tc>
          <w:tcPr>
            <w:tcW w:w="851" w:type="dxa"/>
            <w:shd w:val="clear" w:color="auto" w:fill="auto"/>
            <w:vAlign w:val="center"/>
          </w:tcPr>
          <w:p w14:paraId="1860471B" w14:textId="77777777" w:rsidR="00263924" w:rsidRPr="004901F2" w:rsidRDefault="00F2709B" w:rsidP="004901F2">
            <w:pPr>
              <w:spacing w:before="40" w:after="40" w:line="300" w:lineRule="atLeast"/>
              <w:jc w:val="center"/>
              <w:rPr>
                <w:rFonts w:ascii="Arial" w:hAnsi="Arial" w:cs="Arial"/>
                <w:sz w:val="16"/>
                <w:szCs w:val="16"/>
              </w:rPr>
            </w:pPr>
            <w:r w:rsidRPr="004901F2">
              <w:rPr>
                <w:rFonts w:ascii="Arial" w:hAnsi="Arial" w:cs="Arial"/>
                <w:sz w:val="16"/>
                <w:szCs w:val="16"/>
              </w:rPr>
              <w:t>x</w:t>
            </w:r>
          </w:p>
        </w:tc>
        <w:tc>
          <w:tcPr>
            <w:tcW w:w="992" w:type="dxa"/>
            <w:shd w:val="clear" w:color="auto" w:fill="auto"/>
            <w:vAlign w:val="center"/>
          </w:tcPr>
          <w:p w14:paraId="40948D0F" w14:textId="77777777" w:rsidR="00263924" w:rsidRPr="004901F2" w:rsidRDefault="00263924" w:rsidP="004901F2">
            <w:pPr>
              <w:spacing w:before="40" w:after="40" w:line="300" w:lineRule="atLeast"/>
              <w:jc w:val="center"/>
              <w:rPr>
                <w:rFonts w:ascii="Arial" w:hAnsi="Arial" w:cs="Arial"/>
                <w:sz w:val="16"/>
                <w:szCs w:val="16"/>
              </w:rPr>
            </w:pPr>
          </w:p>
        </w:tc>
        <w:tc>
          <w:tcPr>
            <w:tcW w:w="992" w:type="dxa"/>
            <w:shd w:val="clear" w:color="auto" w:fill="auto"/>
            <w:vAlign w:val="center"/>
          </w:tcPr>
          <w:p w14:paraId="1DF43F69" w14:textId="77777777" w:rsidR="00263924" w:rsidRPr="004901F2" w:rsidRDefault="00F2709B" w:rsidP="004901F2">
            <w:pPr>
              <w:spacing w:before="40" w:after="40" w:line="300" w:lineRule="atLeast"/>
              <w:jc w:val="center"/>
              <w:rPr>
                <w:rFonts w:ascii="Arial" w:hAnsi="Arial" w:cs="Arial"/>
                <w:sz w:val="16"/>
                <w:szCs w:val="16"/>
              </w:rPr>
            </w:pPr>
            <w:r w:rsidRPr="004901F2">
              <w:rPr>
                <w:rFonts w:ascii="Arial" w:hAnsi="Arial" w:cs="Arial"/>
                <w:sz w:val="16"/>
                <w:szCs w:val="16"/>
              </w:rPr>
              <w:t>x</w:t>
            </w:r>
          </w:p>
        </w:tc>
        <w:tc>
          <w:tcPr>
            <w:tcW w:w="1099" w:type="dxa"/>
            <w:shd w:val="clear" w:color="auto" w:fill="auto"/>
            <w:vAlign w:val="center"/>
          </w:tcPr>
          <w:p w14:paraId="3E315325" w14:textId="77777777" w:rsidR="00263924" w:rsidRPr="004901F2" w:rsidRDefault="00F2709B" w:rsidP="004901F2">
            <w:pPr>
              <w:spacing w:before="40" w:after="40" w:line="300" w:lineRule="atLeast"/>
              <w:jc w:val="center"/>
              <w:rPr>
                <w:rFonts w:ascii="Arial" w:hAnsi="Arial" w:cs="Arial"/>
                <w:sz w:val="16"/>
                <w:szCs w:val="16"/>
              </w:rPr>
            </w:pPr>
            <w:r w:rsidRPr="004901F2">
              <w:rPr>
                <w:rFonts w:ascii="Arial" w:hAnsi="Arial" w:cs="Arial"/>
                <w:sz w:val="16"/>
                <w:szCs w:val="16"/>
              </w:rPr>
              <w:t>OW</w:t>
            </w:r>
          </w:p>
        </w:tc>
      </w:tr>
      <w:tr w:rsidR="004901F2" w:rsidRPr="004901F2" w14:paraId="00BB6CEE" w14:textId="77777777" w:rsidTr="00A63D3B">
        <w:tc>
          <w:tcPr>
            <w:tcW w:w="851" w:type="dxa"/>
            <w:shd w:val="clear" w:color="auto" w:fill="auto"/>
            <w:vAlign w:val="center"/>
          </w:tcPr>
          <w:p w14:paraId="581BB3F2" w14:textId="77777777" w:rsidR="00263924" w:rsidRPr="004901F2" w:rsidRDefault="00F2709B" w:rsidP="004901F2">
            <w:pPr>
              <w:spacing w:before="40" w:after="40" w:line="300" w:lineRule="atLeast"/>
              <w:rPr>
                <w:rFonts w:ascii="Arial" w:hAnsi="Arial" w:cs="Arial"/>
                <w:sz w:val="16"/>
                <w:szCs w:val="16"/>
              </w:rPr>
            </w:pPr>
            <w:r w:rsidRPr="004901F2">
              <w:rPr>
                <w:rFonts w:ascii="Arial" w:hAnsi="Arial" w:cs="Arial"/>
                <w:sz w:val="16"/>
                <w:szCs w:val="16"/>
              </w:rPr>
              <w:t>5.1.7</w:t>
            </w:r>
          </w:p>
        </w:tc>
        <w:tc>
          <w:tcPr>
            <w:tcW w:w="2693" w:type="dxa"/>
            <w:shd w:val="clear" w:color="auto" w:fill="auto"/>
            <w:vAlign w:val="center"/>
          </w:tcPr>
          <w:p w14:paraId="39D34220" w14:textId="77777777" w:rsidR="00263924" w:rsidRPr="004901F2" w:rsidRDefault="00F2709B" w:rsidP="004901F2">
            <w:pPr>
              <w:spacing w:before="40" w:after="40" w:line="300" w:lineRule="atLeast"/>
              <w:rPr>
                <w:rFonts w:ascii="Arial" w:hAnsi="Arial" w:cs="Arial"/>
                <w:sz w:val="16"/>
                <w:szCs w:val="16"/>
              </w:rPr>
            </w:pPr>
            <w:r w:rsidRPr="004901F2">
              <w:rPr>
                <w:rFonts w:ascii="Arial" w:hAnsi="Arial" w:cs="Arial"/>
                <w:sz w:val="16"/>
                <w:szCs w:val="16"/>
              </w:rPr>
              <w:t>Geothermal power production</w:t>
            </w:r>
          </w:p>
        </w:tc>
        <w:tc>
          <w:tcPr>
            <w:tcW w:w="850" w:type="dxa"/>
            <w:shd w:val="clear" w:color="auto" w:fill="auto"/>
            <w:vAlign w:val="center"/>
          </w:tcPr>
          <w:p w14:paraId="789C9F16" w14:textId="77777777" w:rsidR="00263924" w:rsidRPr="004901F2" w:rsidRDefault="00F2709B" w:rsidP="004901F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2B900A8D" w14:textId="77777777" w:rsidR="00263924" w:rsidRPr="004901F2" w:rsidRDefault="00263924" w:rsidP="004901F2">
            <w:pPr>
              <w:spacing w:before="40" w:after="40" w:line="300" w:lineRule="atLeast"/>
              <w:jc w:val="center"/>
              <w:rPr>
                <w:rFonts w:ascii="Arial" w:hAnsi="Arial" w:cs="Arial"/>
                <w:sz w:val="16"/>
                <w:szCs w:val="16"/>
              </w:rPr>
            </w:pPr>
          </w:p>
        </w:tc>
        <w:tc>
          <w:tcPr>
            <w:tcW w:w="851" w:type="dxa"/>
            <w:shd w:val="clear" w:color="auto" w:fill="auto"/>
            <w:vAlign w:val="center"/>
          </w:tcPr>
          <w:p w14:paraId="4FF18AEE" w14:textId="77777777" w:rsidR="00263924" w:rsidRPr="004901F2" w:rsidRDefault="00263924" w:rsidP="004901F2">
            <w:pPr>
              <w:spacing w:before="40" w:after="40" w:line="300" w:lineRule="atLeast"/>
              <w:jc w:val="center"/>
              <w:rPr>
                <w:rFonts w:ascii="Arial" w:hAnsi="Arial" w:cs="Arial"/>
                <w:sz w:val="16"/>
                <w:szCs w:val="16"/>
              </w:rPr>
            </w:pPr>
          </w:p>
        </w:tc>
        <w:tc>
          <w:tcPr>
            <w:tcW w:w="992" w:type="dxa"/>
            <w:shd w:val="clear" w:color="auto" w:fill="auto"/>
            <w:vAlign w:val="center"/>
          </w:tcPr>
          <w:p w14:paraId="006B9FC9" w14:textId="77777777" w:rsidR="00263924" w:rsidRPr="004901F2" w:rsidRDefault="00263924" w:rsidP="004901F2">
            <w:pPr>
              <w:spacing w:before="40" w:after="40" w:line="300" w:lineRule="atLeast"/>
              <w:jc w:val="center"/>
              <w:rPr>
                <w:rFonts w:ascii="Arial" w:hAnsi="Arial" w:cs="Arial"/>
                <w:sz w:val="16"/>
                <w:szCs w:val="16"/>
              </w:rPr>
            </w:pPr>
          </w:p>
        </w:tc>
        <w:tc>
          <w:tcPr>
            <w:tcW w:w="992" w:type="dxa"/>
            <w:shd w:val="clear" w:color="auto" w:fill="auto"/>
            <w:vAlign w:val="center"/>
          </w:tcPr>
          <w:p w14:paraId="3BDD94E5" w14:textId="77777777" w:rsidR="00263924" w:rsidRPr="004901F2" w:rsidRDefault="00263924" w:rsidP="004901F2">
            <w:pPr>
              <w:spacing w:before="40" w:after="40" w:line="300" w:lineRule="atLeast"/>
              <w:jc w:val="center"/>
              <w:rPr>
                <w:rFonts w:ascii="Arial" w:hAnsi="Arial" w:cs="Arial"/>
                <w:sz w:val="16"/>
                <w:szCs w:val="16"/>
              </w:rPr>
            </w:pPr>
          </w:p>
        </w:tc>
        <w:tc>
          <w:tcPr>
            <w:tcW w:w="1099" w:type="dxa"/>
            <w:shd w:val="clear" w:color="auto" w:fill="auto"/>
            <w:vAlign w:val="center"/>
          </w:tcPr>
          <w:p w14:paraId="3EA5FBD8" w14:textId="77777777" w:rsidR="00263924" w:rsidRPr="004901F2" w:rsidRDefault="00F2709B" w:rsidP="004901F2">
            <w:pPr>
              <w:spacing w:before="40" w:after="40" w:line="300" w:lineRule="atLeast"/>
              <w:jc w:val="center"/>
              <w:rPr>
                <w:rFonts w:ascii="Arial" w:hAnsi="Arial" w:cs="Arial"/>
                <w:sz w:val="16"/>
                <w:szCs w:val="16"/>
              </w:rPr>
            </w:pPr>
            <w:r w:rsidRPr="004901F2">
              <w:rPr>
                <w:rFonts w:ascii="Arial" w:hAnsi="Arial" w:cs="Arial"/>
                <w:sz w:val="16"/>
                <w:szCs w:val="16"/>
              </w:rPr>
              <w:t>PS</w:t>
            </w:r>
          </w:p>
        </w:tc>
      </w:tr>
    </w:tbl>
    <w:p w14:paraId="314EA9AC" w14:textId="77777777" w:rsidR="00263924" w:rsidRPr="00582EF2" w:rsidRDefault="00263924" w:rsidP="00D979C5">
      <w:pPr>
        <w:spacing w:before="60" w:after="60" w:line="260" w:lineRule="exact"/>
        <w:jc w:val="both"/>
        <w:rPr>
          <w:rFonts w:ascii="Arial" w:hAnsi="Arial" w:cs="Arial"/>
          <w:sz w:val="16"/>
          <w:szCs w:val="18"/>
        </w:rPr>
      </w:pPr>
      <w:r w:rsidRPr="00582EF2">
        <w:rPr>
          <w:rFonts w:ascii="Arial" w:hAnsi="Arial" w:cs="Arial"/>
          <w:sz w:val="16"/>
          <w:szCs w:val="18"/>
        </w:rPr>
        <w:t xml:space="preserve">Notes: </w:t>
      </w:r>
      <w:r w:rsidR="00F2709B" w:rsidRPr="00582EF2">
        <w:rPr>
          <w:rFonts w:ascii="Arial" w:hAnsi="Arial" w:cs="Arial"/>
          <w:sz w:val="16"/>
          <w:szCs w:val="18"/>
        </w:rPr>
        <w:tab/>
      </w:r>
      <w:r w:rsidRPr="00582EF2">
        <w:rPr>
          <w:rFonts w:ascii="Arial" w:hAnsi="Arial" w:cs="Arial"/>
          <w:sz w:val="16"/>
          <w:szCs w:val="18"/>
        </w:rPr>
        <w:t>PS = Point source by point source approach; OW = National/overview approach;</w:t>
      </w:r>
    </w:p>
    <w:p w14:paraId="31D002B4" w14:textId="77777777" w:rsidR="00263924" w:rsidRPr="00582EF2" w:rsidRDefault="00263924" w:rsidP="00D979C5">
      <w:pPr>
        <w:spacing w:after="60" w:line="260" w:lineRule="exact"/>
        <w:ind w:firstLine="720"/>
        <w:jc w:val="both"/>
        <w:rPr>
          <w:rFonts w:ascii="Arial" w:hAnsi="Arial" w:cs="Arial"/>
          <w:sz w:val="16"/>
          <w:szCs w:val="18"/>
        </w:rPr>
      </w:pPr>
      <w:r w:rsidRPr="00582EF2">
        <w:rPr>
          <w:rFonts w:ascii="Arial" w:hAnsi="Arial" w:cs="Arial"/>
          <w:b/>
          <w:sz w:val="16"/>
          <w:szCs w:val="18"/>
        </w:rPr>
        <w:t>X</w:t>
      </w:r>
      <w:r w:rsidRPr="00582EF2">
        <w:rPr>
          <w:rFonts w:ascii="Arial" w:hAnsi="Arial" w:cs="Arial"/>
          <w:sz w:val="16"/>
          <w:szCs w:val="18"/>
        </w:rPr>
        <w:t xml:space="preserve"> - Release pathway expected to be predominant for the sub-category;</w:t>
      </w:r>
    </w:p>
    <w:p w14:paraId="140482DB" w14:textId="77777777" w:rsidR="004A5E45" w:rsidRPr="00582EF2" w:rsidRDefault="00263924" w:rsidP="00D979C5">
      <w:pPr>
        <w:spacing w:after="60" w:line="260" w:lineRule="exact"/>
        <w:ind w:firstLine="720"/>
        <w:jc w:val="both"/>
        <w:rPr>
          <w:rFonts w:ascii="Arial" w:hAnsi="Arial" w:cs="Arial"/>
          <w:sz w:val="16"/>
          <w:szCs w:val="18"/>
        </w:rPr>
      </w:pPr>
      <w:r w:rsidRPr="00582EF2">
        <w:rPr>
          <w:rFonts w:ascii="Arial" w:hAnsi="Arial" w:cs="Arial"/>
          <w:sz w:val="16"/>
          <w:szCs w:val="18"/>
        </w:rPr>
        <w:t>x - Additional release pathways to be considered, depending on specific source and national situation.</w:t>
      </w:r>
    </w:p>
    <w:p w14:paraId="0C1CC405" w14:textId="77777777" w:rsidR="00A51AE5" w:rsidRPr="00A311F7" w:rsidRDefault="00B11F8B" w:rsidP="00135B26">
      <w:pPr>
        <w:pStyle w:val="Heading2"/>
      </w:pPr>
      <w:bookmarkStart w:id="26" w:name="_Toc484949566"/>
      <w:r w:rsidRPr="00A311F7">
        <w:t xml:space="preserve">Coal </w:t>
      </w:r>
      <w:r w:rsidR="00A97D5C" w:rsidRPr="00A311F7">
        <w:t>combustion in large power plants</w:t>
      </w:r>
      <w:bookmarkEnd w:id="26"/>
    </w:p>
    <w:p w14:paraId="4698B557" w14:textId="77777777" w:rsidR="00886F6F" w:rsidRDefault="002343BA" w:rsidP="003833D6">
      <w:pPr>
        <w:spacing w:line="300" w:lineRule="atLeast"/>
        <w:jc w:val="both"/>
        <w:rPr>
          <w:szCs w:val="18"/>
        </w:rPr>
      </w:pPr>
      <w:r>
        <w:rPr>
          <w:szCs w:val="18"/>
        </w:rPr>
        <w:t xml:space="preserve">The UNEP </w:t>
      </w:r>
      <w:r w:rsidR="00886F6F">
        <w:rPr>
          <w:szCs w:val="18"/>
        </w:rPr>
        <w:t xml:space="preserve">Toolkit </w:t>
      </w:r>
      <w:r>
        <w:rPr>
          <w:szCs w:val="18"/>
        </w:rPr>
        <w:t xml:space="preserve">defines large power plants as those with a capacity greater than </w:t>
      </w:r>
      <w:r w:rsidR="00886F6F">
        <w:rPr>
          <w:szCs w:val="18"/>
        </w:rPr>
        <w:t>300MW</w:t>
      </w:r>
      <w:r>
        <w:rPr>
          <w:szCs w:val="18"/>
        </w:rPr>
        <w:t>. The only coal-fired installation of this size within New Zealand is the Huntly Power Station which, when first built, had a capacity of 1000 MW (M</w:t>
      </w:r>
      <w:r w:rsidR="002600A4">
        <w:rPr>
          <w:szCs w:val="18"/>
        </w:rPr>
        <w:t>BI</w:t>
      </w:r>
      <w:r>
        <w:rPr>
          <w:szCs w:val="18"/>
        </w:rPr>
        <w:t>E</w:t>
      </w:r>
      <w:r w:rsidR="002600A4">
        <w:rPr>
          <w:szCs w:val="18"/>
        </w:rPr>
        <w:t>, 2013</w:t>
      </w:r>
      <w:r>
        <w:rPr>
          <w:szCs w:val="18"/>
        </w:rPr>
        <w:t xml:space="preserve">). This was based on four separate </w:t>
      </w:r>
      <w:r w:rsidR="00B2648D">
        <w:rPr>
          <w:szCs w:val="18"/>
        </w:rPr>
        <w:t>Rankine</w:t>
      </w:r>
      <w:r w:rsidR="0016055E">
        <w:rPr>
          <w:szCs w:val="18"/>
        </w:rPr>
        <w:t xml:space="preserve"> </w:t>
      </w:r>
      <w:r>
        <w:rPr>
          <w:szCs w:val="18"/>
        </w:rPr>
        <w:t>units of 250 MW each</w:t>
      </w:r>
      <w:r w:rsidR="0016055E">
        <w:rPr>
          <w:szCs w:val="18"/>
        </w:rPr>
        <w:t xml:space="preserve"> – known as Units 1 to 4</w:t>
      </w:r>
      <w:r w:rsidR="00142FE7">
        <w:rPr>
          <w:szCs w:val="18"/>
        </w:rPr>
        <w:t xml:space="preserve"> </w:t>
      </w:r>
      <w:r w:rsidR="0016055E">
        <w:rPr>
          <w:szCs w:val="18"/>
        </w:rPr>
        <w:t xml:space="preserve">- </w:t>
      </w:r>
      <w:r>
        <w:rPr>
          <w:szCs w:val="18"/>
        </w:rPr>
        <w:t xml:space="preserve">which could be fired on natural gas or coal. </w:t>
      </w:r>
      <w:r w:rsidR="00B2648D">
        <w:rPr>
          <w:szCs w:val="18"/>
        </w:rPr>
        <w:t>In 2004 and 2008</w:t>
      </w:r>
      <w:r>
        <w:rPr>
          <w:szCs w:val="18"/>
        </w:rPr>
        <w:t xml:space="preserve">, additional generation units </w:t>
      </w:r>
      <w:r w:rsidR="00B2648D">
        <w:rPr>
          <w:szCs w:val="18"/>
        </w:rPr>
        <w:t xml:space="preserve">were </w:t>
      </w:r>
      <w:r>
        <w:rPr>
          <w:szCs w:val="18"/>
        </w:rPr>
        <w:t>added to the power station</w:t>
      </w:r>
      <w:r w:rsidR="0016055E">
        <w:rPr>
          <w:szCs w:val="18"/>
        </w:rPr>
        <w:t xml:space="preserve"> (Units 5 and 6)</w:t>
      </w:r>
      <w:r>
        <w:rPr>
          <w:szCs w:val="18"/>
        </w:rPr>
        <w:t xml:space="preserve">, giving it a nominal total capacity of </w:t>
      </w:r>
      <w:r w:rsidR="0016055E">
        <w:rPr>
          <w:szCs w:val="18"/>
        </w:rPr>
        <w:t>14</w:t>
      </w:r>
      <w:r w:rsidR="00AE6DE9">
        <w:rPr>
          <w:szCs w:val="18"/>
        </w:rPr>
        <w:t>35</w:t>
      </w:r>
      <w:r w:rsidR="0016055E">
        <w:rPr>
          <w:szCs w:val="18"/>
        </w:rPr>
        <w:t xml:space="preserve"> MW. However, the newer units are gas-turbine systems, which use natural gas, and minor amounts of diesel.</w:t>
      </w:r>
      <w:r w:rsidR="007D6A79">
        <w:rPr>
          <w:szCs w:val="18"/>
        </w:rPr>
        <w:t xml:space="preserve">  In addition, two of the Rankine units have </w:t>
      </w:r>
      <w:r w:rsidR="00B2648D">
        <w:rPr>
          <w:szCs w:val="18"/>
        </w:rPr>
        <w:t xml:space="preserve">since </w:t>
      </w:r>
      <w:r w:rsidR="007D6A79">
        <w:rPr>
          <w:szCs w:val="18"/>
        </w:rPr>
        <w:t>been decommissioned, so that the current operational capacity of the power station is now only 935 MW (Genesis, 2017).</w:t>
      </w:r>
    </w:p>
    <w:p w14:paraId="6B71B1AB" w14:textId="77777777" w:rsidR="0016055E" w:rsidRDefault="004A7B0B" w:rsidP="003833D6">
      <w:pPr>
        <w:spacing w:line="300" w:lineRule="atLeast"/>
        <w:jc w:val="both"/>
        <w:rPr>
          <w:szCs w:val="18"/>
        </w:rPr>
      </w:pPr>
      <w:r>
        <w:rPr>
          <w:szCs w:val="18"/>
        </w:rPr>
        <w:lastRenderedPageBreak/>
        <w:t>Coal consumption at the power station has steadily decreased over the last decade from 54</w:t>
      </w:r>
      <w:r w:rsidRPr="005A72EC">
        <w:rPr>
          <w:szCs w:val="18"/>
        </w:rPr>
        <w:t xml:space="preserve"> </w:t>
      </w:r>
      <w:proofErr w:type="spellStart"/>
      <w:r>
        <w:rPr>
          <w:szCs w:val="18"/>
        </w:rPr>
        <w:t>PetaJoules</w:t>
      </w:r>
      <w:proofErr w:type="spellEnd"/>
      <w:r>
        <w:rPr>
          <w:szCs w:val="18"/>
        </w:rPr>
        <w:t xml:space="preserve"> (PJ)</w:t>
      </w:r>
      <w:r>
        <w:rPr>
          <w:rStyle w:val="FootnoteReference"/>
          <w:szCs w:val="18"/>
        </w:rPr>
        <w:footnoteReference w:id="3"/>
      </w:r>
      <w:r>
        <w:rPr>
          <w:szCs w:val="18"/>
        </w:rPr>
        <w:t xml:space="preserve"> per annum in 2005 to 4.8 PJ/annum in 2016. </w:t>
      </w:r>
      <w:proofErr w:type="gramStart"/>
      <w:r>
        <w:rPr>
          <w:szCs w:val="18"/>
        </w:rPr>
        <w:t>(MBIE, 2016)</w:t>
      </w:r>
      <w:r>
        <w:rPr>
          <w:rStyle w:val="FootnoteReference"/>
          <w:szCs w:val="18"/>
        </w:rPr>
        <w:footnoteReference w:id="4"/>
      </w:r>
      <w:r>
        <w:rPr>
          <w:szCs w:val="18"/>
        </w:rPr>
        <w:t>.</w:t>
      </w:r>
      <w:proofErr w:type="gramEnd"/>
    </w:p>
    <w:p w14:paraId="03B9D43A" w14:textId="77777777" w:rsidR="00164FEC" w:rsidRPr="003833D6" w:rsidRDefault="00142FE7" w:rsidP="003833D6">
      <w:pPr>
        <w:spacing w:line="300" w:lineRule="atLeast"/>
        <w:jc w:val="both"/>
        <w:rPr>
          <w:szCs w:val="18"/>
        </w:rPr>
      </w:pPr>
      <w:r>
        <w:rPr>
          <w:szCs w:val="18"/>
        </w:rPr>
        <w:t xml:space="preserve">The coal used at </w:t>
      </w:r>
      <w:r w:rsidR="00C05A03">
        <w:rPr>
          <w:szCs w:val="18"/>
        </w:rPr>
        <w:t xml:space="preserve">Huntly </w:t>
      </w:r>
      <w:r w:rsidR="00886F6F">
        <w:rPr>
          <w:szCs w:val="18"/>
        </w:rPr>
        <w:t>Power Station</w:t>
      </w:r>
      <w:r>
        <w:rPr>
          <w:szCs w:val="18"/>
        </w:rPr>
        <w:t xml:space="preserve"> is </w:t>
      </w:r>
      <w:r w:rsidR="00C00AE5">
        <w:rPr>
          <w:szCs w:val="18"/>
        </w:rPr>
        <w:t>a mixture of</w:t>
      </w:r>
      <w:r>
        <w:rPr>
          <w:szCs w:val="18"/>
        </w:rPr>
        <w:t xml:space="preserve"> W</w:t>
      </w:r>
      <w:r w:rsidR="00164FEC">
        <w:rPr>
          <w:szCs w:val="18"/>
        </w:rPr>
        <w:t>aikato sub-bituminous coal,</w:t>
      </w:r>
      <w:r>
        <w:rPr>
          <w:szCs w:val="18"/>
        </w:rPr>
        <w:t xml:space="preserve"> </w:t>
      </w:r>
      <w:r w:rsidR="00164FEC">
        <w:rPr>
          <w:szCs w:val="18"/>
        </w:rPr>
        <w:t xml:space="preserve">mainly from the </w:t>
      </w:r>
      <w:proofErr w:type="spellStart"/>
      <w:r w:rsidR="00164FEC">
        <w:rPr>
          <w:szCs w:val="18"/>
        </w:rPr>
        <w:t>Rotowaro</w:t>
      </w:r>
      <w:proofErr w:type="spellEnd"/>
      <w:r w:rsidR="00164FEC">
        <w:rPr>
          <w:szCs w:val="18"/>
        </w:rPr>
        <w:t xml:space="preserve"> mine</w:t>
      </w:r>
      <w:r w:rsidR="00C00AE5">
        <w:rPr>
          <w:szCs w:val="18"/>
        </w:rPr>
        <w:t>, and</w:t>
      </w:r>
      <w:r>
        <w:rPr>
          <w:szCs w:val="18"/>
        </w:rPr>
        <w:t xml:space="preserve"> </w:t>
      </w:r>
      <w:r w:rsidR="00164FEC">
        <w:rPr>
          <w:szCs w:val="18"/>
        </w:rPr>
        <w:t xml:space="preserve">coal </w:t>
      </w:r>
      <w:r>
        <w:rPr>
          <w:szCs w:val="18"/>
        </w:rPr>
        <w:t xml:space="preserve">imported </w:t>
      </w:r>
      <w:r w:rsidR="00164FEC">
        <w:rPr>
          <w:szCs w:val="18"/>
        </w:rPr>
        <w:t>from Indonesia</w:t>
      </w:r>
      <w:r>
        <w:rPr>
          <w:szCs w:val="18"/>
        </w:rPr>
        <w:t xml:space="preserve">. The latter supply accounted for about </w:t>
      </w:r>
      <w:r w:rsidR="00CA4B68">
        <w:rPr>
          <w:szCs w:val="18"/>
        </w:rPr>
        <w:t xml:space="preserve">10% </w:t>
      </w:r>
      <w:r>
        <w:rPr>
          <w:szCs w:val="18"/>
        </w:rPr>
        <w:t xml:space="preserve">of total coal consumption in </w:t>
      </w:r>
      <w:r w:rsidR="00CA4B68">
        <w:rPr>
          <w:szCs w:val="18"/>
        </w:rPr>
        <w:t xml:space="preserve">2012 </w:t>
      </w:r>
      <w:r w:rsidR="00713E0D">
        <w:rPr>
          <w:szCs w:val="18"/>
        </w:rPr>
        <w:t xml:space="preserve">and </w:t>
      </w:r>
      <w:r w:rsidR="002D3B47">
        <w:rPr>
          <w:szCs w:val="18"/>
        </w:rPr>
        <w:t xml:space="preserve">a </w:t>
      </w:r>
      <w:r w:rsidR="00713E0D">
        <w:rPr>
          <w:szCs w:val="18"/>
        </w:rPr>
        <w:t xml:space="preserve">similar </w:t>
      </w:r>
      <w:r w:rsidR="002D3B47">
        <w:rPr>
          <w:szCs w:val="18"/>
        </w:rPr>
        <w:t>proportion</w:t>
      </w:r>
      <w:r w:rsidR="00713E0D">
        <w:rPr>
          <w:szCs w:val="18"/>
        </w:rPr>
        <w:t xml:space="preserve"> will be assumed for 2016 as </w:t>
      </w:r>
      <w:r w:rsidR="002D3B47">
        <w:rPr>
          <w:szCs w:val="18"/>
        </w:rPr>
        <w:t>the current</w:t>
      </w:r>
      <w:r w:rsidR="00713E0D">
        <w:rPr>
          <w:szCs w:val="18"/>
        </w:rPr>
        <w:t xml:space="preserve"> stockpiles contain a </w:t>
      </w:r>
      <w:r w:rsidR="002D3B47">
        <w:rPr>
          <w:szCs w:val="18"/>
        </w:rPr>
        <w:t>mixture</w:t>
      </w:r>
      <w:r w:rsidR="00713E0D">
        <w:rPr>
          <w:szCs w:val="18"/>
        </w:rPr>
        <w:t xml:space="preserve"> of local and imported coal</w:t>
      </w:r>
      <w:r w:rsidR="00C00AE5">
        <w:rPr>
          <w:szCs w:val="18"/>
        </w:rPr>
        <w:t xml:space="preserve">. The total coal consumption by Huntly Power Station in </w:t>
      </w:r>
      <w:r w:rsidR="00713E0D">
        <w:rPr>
          <w:szCs w:val="18"/>
        </w:rPr>
        <w:t>2016</w:t>
      </w:r>
      <w:r w:rsidR="00CA4B68">
        <w:rPr>
          <w:szCs w:val="18"/>
        </w:rPr>
        <w:t xml:space="preserve"> was</w:t>
      </w:r>
      <w:r w:rsidR="00713E0D">
        <w:rPr>
          <w:szCs w:val="18"/>
        </w:rPr>
        <w:t xml:space="preserve"> 223,242 tonnes, compared to 550,006 tonnes in 2015 and</w:t>
      </w:r>
      <w:r w:rsidR="00CA4B68">
        <w:rPr>
          <w:szCs w:val="18"/>
        </w:rPr>
        <w:t xml:space="preserve"> 1,270,000 tonnes</w:t>
      </w:r>
      <w:r w:rsidR="004D2AB5">
        <w:rPr>
          <w:szCs w:val="18"/>
        </w:rPr>
        <w:t xml:space="preserve"> in 2012</w:t>
      </w:r>
      <w:r w:rsidR="00CA4B68">
        <w:rPr>
          <w:szCs w:val="18"/>
        </w:rPr>
        <w:t xml:space="preserve"> (</w:t>
      </w:r>
      <w:r w:rsidR="00713E0D">
        <w:rPr>
          <w:szCs w:val="18"/>
        </w:rPr>
        <w:t xml:space="preserve">N </w:t>
      </w:r>
      <w:proofErr w:type="spellStart"/>
      <w:r w:rsidR="00713E0D">
        <w:rPr>
          <w:szCs w:val="18"/>
        </w:rPr>
        <w:t>Goodhue</w:t>
      </w:r>
      <w:proofErr w:type="spellEnd"/>
      <w:r w:rsidR="00CA4B68">
        <w:rPr>
          <w:szCs w:val="18"/>
        </w:rPr>
        <w:t>,</w:t>
      </w:r>
      <w:r w:rsidR="00713E0D">
        <w:rPr>
          <w:szCs w:val="18"/>
        </w:rPr>
        <w:t xml:space="preserve"> Genesis Energy, </w:t>
      </w:r>
      <w:proofErr w:type="spellStart"/>
      <w:r w:rsidR="00713E0D">
        <w:rPr>
          <w:szCs w:val="18"/>
        </w:rPr>
        <w:t>pers</w:t>
      </w:r>
      <w:proofErr w:type="spellEnd"/>
      <w:r w:rsidR="00713E0D">
        <w:rPr>
          <w:szCs w:val="18"/>
        </w:rPr>
        <w:t xml:space="preserve"> </w:t>
      </w:r>
      <w:proofErr w:type="spellStart"/>
      <w:r w:rsidR="00713E0D">
        <w:rPr>
          <w:szCs w:val="18"/>
        </w:rPr>
        <w:t>comm</w:t>
      </w:r>
      <w:proofErr w:type="spellEnd"/>
      <w:r w:rsidR="00713E0D">
        <w:rPr>
          <w:szCs w:val="18"/>
        </w:rPr>
        <w:t>, 2017</w:t>
      </w:r>
      <w:r w:rsidR="00CA4B68">
        <w:rPr>
          <w:szCs w:val="18"/>
        </w:rPr>
        <w:t>)</w:t>
      </w:r>
      <w:r w:rsidR="00C00AE5">
        <w:rPr>
          <w:szCs w:val="18"/>
        </w:rPr>
        <w:t>.</w:t>
      </w:r>
    </w:p>
    <w:p w14:paraId="0B0F6627" w14:textId="77777777" w:rsidR="00E75E39" w:rsidRDefault="002821B0" w:rsidP="003833D6">
      <w:pPr>
        <w:spacing w:line="300" w:lineRule="atLeast"/>
        <w:jc w:val="both"/>
        <w:rPr>
          <w:szCs w:val="18"/>
        </w:rPr>
      </w:pPr>
      <w:r>
        <w:rPr>
          <w:szCs w:val="18"/>
        </w:rPr>
        <w:t>Information on the m</w:t>
      </w:r>
      <w:r w:rsidR="003A0193">
        <w:rPr>
          <w:szCs w:val="18"/>
        </w:rPr>
        <w:t xml:space="preserve">ercury content </w:t>
      </w:r>
      <w:r>
        <w:rPr>
          <w:szCs w:val="18"/>
        </w:rPr>
        <w:t xml:space="preserve">of the coal used at Huntly Power Station </w:t>
      </w:r>
      <w:r w:rsidR="00A236B5">
        <w:rPr>
          <w:szCs w:val="18"/>
        </w:rPr>
        <w:t>was summarised in the 2012</w:t>
      </w:r>
      <w:r w:rsidR="00885385">
        <w:rPr>
          <w:szCs w:val="18"/>
        </w:rPr>
        <w:t xml:space="preserve"> Inventory Report and no new data is available. </w:t>
      </w:r>
      <w:r w:rsidR="00E75E39">
        <w:rPr>
          <w:szCs w:val="18"/>
        </w:rPr>
        <w:t>The</w:t>
      </w:r>
      <w:r w:rsidR="00885385">
        <w:rPr>
          <w:szCs w:val="18"/>
        </w:rPr>
        <w:t>refore the</w:t>
      </w:r>
      <w:r w:rsidR="00E75E39">
        <w:rPr>
          <w:szCs w:val="18"/>
        </w:rPr>
        <w:t xml:space="preserve"> mercury input calculations </w:t>
      </w:r>
      <w:r w:rsidR="00885385">
        <w:rPr>
          <w:szCs w:val="18"/>
        </w:rPr>
        <w:t xml:space="preserve">have been based on the same range as used for the 2012 estimates </w:t>
      </w:r>
      <w:r w:rsidR="00E75E39">
        <w:rPr>
          <w:szCs w:val="18"/>
        </w:rPr>
        <w:t>(</w:t>
      </w:r>
      <w:proofErr w:type="spellStart"/>
      <w:r w:rsidR="00E75E39">
        <w:rPr>
          <w:szCs w:val="18"/>
        </w:rPr>
        <w:t>ie</w:t>
      </w:r>
      <w:proofErr w:type="spellEnd"/>
      <w:r w:rsidR="00E75E39">
        <w:rPr>
          <w:szCs w:val="18"/>
        </w:rPr>
        <w:t xml:space="preserve"> 0.0</w:t>
      </w:r>
      <w:r w:rsidR="00E1319A">
        <w:rPr>
          <w:szCs w:val="18"/>
        </w:rPr>
        <w:t>2</w:t>
      </w:r>
      <w:r w:rsidR="00885385">
        <w:rPr>
          <w:szCs w:val="18"/>
        </w:rPr>
        <w:t xml:space="preserve"> – 0.19 mg/kg</w:t>
      </w:r>
      <w:r w:rsidR="00E75E39">
        <w:rPr>
          <w:szCs w:val="18"/>
        </w:rPr>
        <w:t xml:space="preserve">, with no distinction between </w:t>
      </w:r>
      <w:r w:rsidR="00885385">
        <w:rPr>
          <w:szCs w:val="18"/>
        </w:rPr>
        <w:t>Waikato</w:t>
      </w:r>
      <w:r w:rsidR="00E75E39">
        <w:rPr>
          <w:szCs w:val="18"/>
        </w:rPr>
        <w:t xml:space="preserve"> and Indonesian coal</w:t>
      </w:r>
      <w:r w:rsidR="00885385">
        <w:rPr>
          <w:szCs w:val="18"/>
        </w:rPr>
        <w:t>)</w:t>
      </w:r>
      <w:r w:rsidR="00E75E39">
        <w:rPr>
          <w:szCs w:val="18"/>
        </w:rPr>
        <w:t>.</w:t>
      </w:r>
    </w:p>
    <w:p w14:paraId="68CE98AB" w14:textId="77777777" w:rsidR="00284760" w:rsidRDefault="00E75E39" w:rsidP="003833D6">
      <w:pPr>
        <w:spacing w:line="300" w:lineRule="atLeast"/>
        <w:jc w:val="both"/>
        <w:rPr>
          <w:szCs w:val="18"/>
        </w:rPr>
      </w:pPr>
      <w:r>
        <w:rPr>
          <w:szCs w:val="18"/>
        </w:rPr>
        <w:t>The Huntly Power Station units are fitted with electrostatic precipitators for the control of particulate emissions to air</w:t>
      </w:r>
      <w:r w:rsidR="00885385">
        <w:rPr>
          <w:szCs w:val="18"/>
        </w:rPr>
        <w:t xml:space="preserve">, and the output calculations are based on </w:t>
      </w:r>
      <w:r>
        <w:rPr>
          <w:szCs w:val="18"/>
        </w:rPr>
        <w:t xml:space="preserve">the Toolkit default factors </w:t>
      </w:r>
      <w:r w:rsidR="00885385">
        <w:rPr>
          <w:szCs w:val="18"/>
        </w:rPr>
        <w:t>of</w:t>
      </w:r>
      <w:r>
        <w:rPr>
          <w:szCs w:val="18"/>
        </w:rPr>
        <w:t xml:space="preserve"> 90% </w:t>
      </w:r>
      <w:r w:rsidR="00885385">
        <w:rPr>
          <w:szCs w:val="18"/>
        </w:rPr>
        <w:t xml:space="preserve">being released </w:t>
      </w:r>
      <w:r>
        <w:rPr>
          <w:szCs w:val="18"/>
        </w:rPr>
        <w:t>to air</w:t>
      </w:r>
      <w:r w:rsidR="002F4E3D">
        <w:rPr>
          <w:szCs w:val="18"/>
        </w:rPr>
        <w:t xml:space="preserve"> and</w:t>
      </w:r>
      <w:r>
        <w:rPr>
          <w:szCs w:val="18"/>
        </w:rPr>
        <w:t xml:space="preserve"> 10% to ash</w:t>
      </w:r>
      <w:r w:rsidR="00885385">
        <w:rPr>
          <w:szCs w:val="18"/>
        </w:rPr>
        <w:t xml:space="preserve">. </w:t>
      </w:r>
      <w:r w:rsidR="00555C25">
        <w:rPr>
          <w:szCs w:val="18"/>
        </w:rPr>
        <w:t>T</w:t>
      </w:r>
      <w:r>
        <w:rPr>
          <w:szCs w:val="18"/>
        </w:rPr>
        <w:t>he fly</w:t>
      </w:r>
      <w:r w:rsidR="00284760">
        <w:rPr>
          <w:szCs w:val="18"/>
        </w:rPr>
        <w:t xml:space="preserve"> </w:t>
      </w:r>
      <w:r>
        <w:rPr>
          <w:szCs w:val="18"/>
        </w:rPr>
        <w:t>ash collected by the Huntly precipitators is disposed to land in a specially designed ash disposal facility</w:t>
      </w:r>
      <w:r w:rsidR="002F4E3D">
        <w:rPr>
          <w:szCs w:val="18"/>
        </w:rPr>
        <w:t xml:space="preserve"> and</w:t>
      </w:r>
      <w:r w:rsidR="00555C25">
        <w:rPr>
          <w:szCs w:val="18"/>
        </w:rPr>
        <w:t>,</w:t>
      </w:r>
      <w:r w:rsidR="00555C25" w:rsidRPr="00555C25">
        <w:rPr>
          <w:szCs w:val="18"/>
        </w:rPr>
        <w:t xml:space="preserve"> </w:t>
      </w:r>
      <w:r w:rsidR="002F4E3D">
        <w:rPr>
          <w:szCs w:val="18"/>
        </w:rPr>
        <w:t>in accordance with the rationale provided in section 2.2, has been classed as a release to land.</w:t>
      </w:r>
    </w:p>
    <w:p w14:paraId="58C3C24B" w14:textId="3BD6299F" w:rsidR="00284760" w:rsidRDefault="00284760" w:rsidP="003833D6">
      <w:pPr>
        <w:spacing w:line="300" w:lineRule="atLeast"/>
        <w:jc w:val="both"/>
        <w:rPr>
          <w:szCs w:val="18"/>
        </w:rPr>
      </w:pPr>
      <w:r>
        <w:rPr>
          <w:szCs w:val="18"/>
        </w:rPr>
        <w:t>The mercury input and out</w:t>
      </w:r>
      <w:r w:rsidR="00964BDB">
        <w:rPr>
          <w:szCs w:val="18"/>
        </w:rPr>
        <w:t>put calculations for the power s</w:t>
      </w:r>
      <w:r>
        <w:rPr>
          <w:szCs w:val="18"/>
        </w:rPr>
        <w:t xml:space="preserve">tation are shown </w:t>
      </w:r>
      <w:r w:rsidRPr="00284760">
        <w:rPr>
          <w:szCs w:val="18"/>
        </w:rPr>
        <w:t xml:space="preserve">in </w:t>
      </w:r>
      <w:r w:rsidR="00964BDB" w:rsidRPr="00964BDB">
        <w:rPr>
          <w:szCs w:val="18"/>
        </w:rPr>
        <w:fldChar w:fldCharType="begin"/>
      </w:r>
      <w:r w:rsidR="00964BDB" w:rsidRPr="00964BDB">
        <w:rPr>
          <w:szCs w:val="18"/>
        </w:rPr>
        <w:instrText xml:space="preserve"> REF _Ref358282609 \h </w:instrText>
      </w:r>
      <w:r w:rsidR="00964BDB">
        <w:rPr>
          <w:szCs w:val="18"/>
        </w:rPr>
        <w:instrText xml:space="preserve"> \* MERGEFORMAT </w:instrText>
      </w:r>
      <w:r w:rsidR="00964BDB" w:rsidRPr="00964BDB">
        <w:rPr>
          <w:szCs w:val="18"/>
        </w:rPr>
      </w:r>
      <w:r w:rsidR="00964BDB" w:rsidRPr="00964BDB">
        <w:rPr>
          <w:szCs w:val="18"/>
        </w:rPr>
        <w:fldChar w:fldCharType="separate"/>
      </w:r>
      <w:r w:rsidR="00423FC9" w:rsidRPr="00423FC9">
        <w:t xml:space="preserve">Table </w:t>
      </w:r>
      <w:r w:rsidR="00423FC9" w:rsidRPr="00423FC9">
        <w:rPr>
          <w:noProof/>
        </w:rPr>
        <w:t>3</w:t>
      </w:r>
      <w:r w:rsidR="00423FC9" w:rsidRPr="00423FC9">
        <w:rPr>
          <w:noProof/>
        </w:rPr>
        <w:noBreakHyphen/>
        <w:t>2</w:t>
      </w:r>
      <w:r w:rsidR="00964BDB" w:rsidRPr="00964BDB">
        <w:rPr>
          <w:szCs w:val="18"/>
        </w:rPr>
        <w:fldChar w:fldCharType="end"/>
      </w:r>
      <w:r w:rsidR="00885385">
        <w:rPr>
          <w:szCs w:val="18"/>
        </w:rPr>
        <w:t>, along with the previous estimates for 2012. As shown, there has been a marked reduction in both inputs and outputs due to the reduction in total coal consumption.</w:t>
      </w:r>
    </w:p>
    <w:p w14:paraId="69019FD8" w14:textId="77777777" w:rsidR="00284760" w:rsidRPr="00284760" w:rsidRDefault="00284760" w:rsidP="008F11FE">
      <w:pPr>
        <w:pStyle w:val="Caption"/>
        <w:spacing w:before="240"/>
        <w:rPr>
          <w:rFonts w:ascii="Arial" w:hAnsi="Arial" w:cs="Arial"/>
          <w:szCs w:val="18"/>
        </w:rPr>
      </w:pPr>
      <w:bookmarkStart w:id="27" w:name="_Ref358282609"/>
      <w:bookmarkStart w:id="28" w:name="_Toc484949638"/>
      <w:r w:rsidRPr="00284760">
        <w:rPr>
          <w:rFonts w:ascii="Arial" w:hAnsi="Arial" w:cs="Arial"/>
        </w:rPr>
        <w:t xml:space="preserve">Table </w:t>
      </w:r>
      <w:r w:rsidR="00390C9F">
        <w:rPr>
          <w:rFonts w:ascii="Arial" w:hAnsi="Arial" w:cs="Arial"/>
        </w:rPr>
        <w:fldChar w:fldCharType="begin"/>
      </w:r>
      <w:r w:rsidR="00390C9F">
        <w:rPr>
          <w:rFonts w:ascii="Arial" w:hAnsi="Arial" w:cs="Arial"/>
        </w:rPr>
        <w:instrText xml:space="preserve"> STYLEREF 1 \s </w:instrText>
      </w:r>
      <w:r w:rsidR="00390C9F">
        <w:rPr>
          <w:rFonts w:ascii="Arial" w:hAnsi="Arial" w:cs="Arial"/>
        </w:rPr>
        <w:fldChar w:fldCharType="separate"/>
      </w:r>
      <w:r w:rsidR="00423FC9">
        <w:rPr>
          <w:rFonts w:ascii="Arial" w:hAnsi="Arial" w:cs="Arial"/>
          <w:noProof/>
        </w:rPr>
        <w:t>3</w:t>
      </w:r>
      <w:r w:rsidR="00390C9F">
        <w:rPr>
          <w:rFonts w:ascii="Arial" w:hAnsi="Arial" w:cs="Arial"/>
        </w:rPr>
        <w:fldChar w:fldCharType="end"/>
      </w:r>
      <w:r w:rsidR="00390C9F">
        <w:rPr>
          <w:rFonts w:ascii="Arial" w:hAnsi="Arial" w:cs="Arial"/>
        </w:rPr>
        <w:noBreakHyphen/>
      </w:r>
      <w:r w:rsidR="00390C9F">
        <w:rPr>
          <w:rFonts w:ascii="Arial" w:hAnsi="Arial" w:cs="Arial"/>
        </w:rPr>
        <w:fldChar w:fldCharType="begin"/>
      </w:r>
      <w:r w:rsidR="00390C9F">
        <w:rPr>
          <w:rFonts w:ascii="Arial" w:hAnsi="Arial" w:cs="Arial"/>
        </w:rPr>
        <w:instrText xml:space="preserve"> SEQ Table \* ARABIC \s 1 </w:instrText>
      </w:r>
      <w:r w:rsidR="00390C9F">
        <w:rPr>
          <w:rFonts w:ascii="Arial" w:hAnsi="Arial" w:cs="Arial"/>
        </w:rPr>
        <w:fldChar w:fldCharType="separate"/>
      </w:r>
      <w:r w:rsidR="00423FC9">
        <w:rPr>
          <w:rFonts w:ascii="Arial" w:hAnsi="Arial" w:cs="Arial"/>
          <w:noProof/>
        </w:rPr>
        <w:t>2</w:t>
      </w:r>
      <w:r w:rsidR="00390C9F">
        <w:rPr>
          <w:rFonts w:ascii="Arial" w:hAnsi="Arial" w:cs="Arial"/>
        </w:rPr>
        <w:fldChar w:fldCharType="end"/>
      </w:r>
      <w:bookmarkEnd w:id="27"/>
      <w:r w:rsidRPr="00284760">
        <w:rPr>
          <w:rFonts w:ascii="Arial" w:hAnsi="Arial" w:cs="Arial"/>
        </w:rPr>
        <w:t xml:space="preserve">: </w:t>
      </w:r>
      <w:r>
        <w:rPr>
          <w:rFonts w:ascii="Arial" w:hAnsi="Arial" w:cs="Arial"/>
        </w:rPr>
        <w:t xml:space="preserve"> </w:t>
      </w:r>
      <w:r w:rsidRPr="00284760">
        <w:rPr>
          <w:rFonts w:ascii="Arial" w:hAnsi="Arial" w:cs="Arial"/>
        </w:rPr>
        <w:t xml:space="preserve">Input and </w:t>
      </w:r>
      <w:r w:rsidR="00A97D5C" w:rsidRPr="00284760">
        <w:rPr>
          <w:rFonts w:ascii="Arial" w:hAnsi="Arial" w:cs="Arial"/>
        </w:rPr>
        <w:t>output estimates for coal combustion in large power plants</w:t>
      </w:r>
      <w:bookmarkEnd w:id="28"/>
    </w:p>
    <w:tbl>
      <w:tblPr>
        <w:tblStyle w:val="TableGrid"/>
        <w:tblW w:w="0" w:type="auto"/>
        <w:tblLook w:val="04A0" w:firstRow="1" w:lastRow="0" w:firstColumn="1" w:lastColumn="0" w:noHBand="0" w:noVBand="1"/>
      </w:tblPr>
      <w:tblGrid>
        <w:gridCol w:w="1951"/>
        <w:gridCol w:w="1276"/>
        <w:gridCol w:w="1416"/>
        <w:gridCol w:w="1548"/>
        <w:gridCol w:w="1572"/>
        <w:gridCol w:w="1524"/>
      </w:tblGrid>
      <w:tr w:rsidR="00F31685" w14:paraId="4720FC1E" w14:textId="77777777" w:rsidTr="00F31685">
        <w:tc>
          <w:tcPr>
            <w:tcW w:w="1951" w:type="dxa"/>
            <w:vMerge w:val="restart"/>
            <w:vAlign w:val="center"/>
          </w:tcPr>
          <w:p w14:paraId="7E5E112F" w14:textId="77777777" w:rsidR="00F31685" w:rsidRPr="00F31685" w:rsidRDefault="00F31685" w:rsidP="00F31685">
            <w:pPr>
              <w:spacing w:line="300" w:lineRule="atLeast"/>
              <w:jc w:val="center"/>
              <w:rPr>
                <w:rFonts w:ascii="Arial" w:hAnsi="Arial" w:cs="Arial"/>
                <w:b/>
                <w:sz w:val="16"/>
                <w:szCs w:val="16"/>
              </w:rPr>
            </w:pPr>
            <w:r w:rsidRPr="00F31685">
              <w:rPr>
                <w:rFonts w:ascii="Arial" w:hAnsi="Arial" w:cs="Arial"/>
                <w:b/>
                <w:sz w:val="16"/>
                <w:szCs w:val="16"/>
              </w:rPr>
              <w:t>Source</w:t>
            </w:r>
          </w:p>
        </w:tc>
        <w:tc>
          <w:tcPr>
            <w:tcW w:w="1276" w:type="dxa"/>
            <w:vMerge w:val="restart"/>
            <w:vAlign w:val="center"/>
          </w:tcPr>
          <w:p w14:paraId="79C6319B" w14:textId="77777777" w:rsidR="00F31685" w:rsidRPr="00F31685" w:rsidRDefault="00F31685" w:rsidP="00F31685">
            <w:pPr>
              <w:spacing w:line="300" w:lineRule="atLeast"/>
              <w:jc w:val="center"/>
              <w:rPr>
                <w:rFonts w:ascii="Arial" w:hAnsi="Arial" w:cs="Arial"/>
                <w:b/>
                <w:sz w:val="16"/>
                <w:szCs w:val="16"/>
              </w:rPr>
            </w:pPr>
            <w:r w:rsidRPr="00F31685">
              <w:rPr>
                <w:rFonts w:ascii="Arial" w:hAnsi="Arial" w:cs="Arial"/>
                <w:b/>
                <w:sz w:val="16"/>
                <w:szCs w:val="16"/>
              </w:rPr>
              <w:t>Activity Rate, tonnes/</w:t>
            </w:r>
            <w:proofErr w:type="spellStart"/>
            <w:r w:rsidRPr="00F31685">
              <w:rPr>
                <w:rFonts w:ascii="Arial" w:hAnsi="Arial" w:cs="Arial"/>
                <w:b/>
                <w:sz w:val="16"/>
                <w:szCs w:val="16"/>
              </w:rPr>
              <w:t>yr</w:t>
            </w:r>
            <w:proofErr w:type="spellEnd"/>
          </w:p>
        </w:tc>
        <w:tc>
          <w:tcPr>
            <w:tcW w:w="1416" w:type="dxa"/>
            <w:vMerge w:val="restart"/>
            <w:vAlign w:val="center"/>
          </w:tcPr>
          <w:p w14:paraId="4369F920" w14:textId="77777777" w:rsidR="00F31685" w:rsidRPr="00F31685" w:rsidRDefault="00F31685" w:rsidP="00F31685">
            <w:pPr>
              <w:spacing w:line="300" w:lineRule="atLeast"/>
              <w:jc w:val="center"/>
              <w:rPr>
                <w:rFonts w:ascii="Arial" w:hAnsi="Arial" w:cs="Arial"/>
                <w:b/>
                <w:sz w:val="16"/>
                <w:szCs w:val="16"/>
              </w:rPr>
            </w:pPr>
            <w:r w:rsidRPr="00F31685">
              <w:rPr>
                <w:rFonts w:ascii="Arial" w:hAnsi="Arial" w:cs="Arial"/>
                <w:b/>
                <w:sz w:val="16"/>
                <w:szCs w:val="16"/>
              </w:rPr>
              <w:t>Mercury content, mg/kg</w:t>
            </w:r>
          </w:p>
        </w:tc>
        <w:tc>
          <w:tcPr>
            <w:tcW w:w="1548" w:type="dxa"/>
            <w:vMerge w:val="restart"/>
            <w:vAlign w:val="center"/>
          </w:tcPr>
          <w:p w14:paraId="5387172B" w14:textId="77777777" w:rsidR="00F31685" w:rsidRPr="00F31685" w:rsidRDefault="00F31685" w:rsidP="00F31685">
            <w:pPr>
              <w:spacing w:line="300" w:lineRule="atLeast"/>
              <w:jc w:val="center"/>
              <w:rPr>
                <w:rFonts w:ascii="Arial" w:hAnsi="Arial" w:cs="Arial"/>
                <w:b/>
                <w:sz w:val="16"/>
                <w:szCs w:val="16"/>
              </w:rPr>
            </w:pPr>
            <w:r w:rsidRPr="00F31685">
              <w:rPr>
                <w:rFonts w:ascii="Arial" w:hAnsi="Arial" w:cs="Arial"/>
                <w:b/>
                <w:sz w:val="16"/>
                <w:szCs w:val="16"/>
              </w:rPr>
              <w:t>Annual Mercury Inputs, kg/</w:t>
            </w:r>
            <w:proofErr w:type="spellStart"/>
            <w:r w:rsidRPr="00F31685">
              <w:rPr>
                <w:rFonts w:ascii="Arial" w:hAnsi="Arial" w:cs="Arial"/>
                <w:b/>
                <w:sz w:val="16"/>
                <w:szCs w:val="16"/>
              </w:rPr>
              <w:t>yr</w:t>
            </w:r>
            <w:proofErr w:type="spellEnd"/>
          </w:p>
        </w:tc>
        <w:tc>
          <w:tcPr>
            <w:tcW w:w="3096" w:type="dxa"/>
            <w:gridSpan w:val="2"/>
            <w:vAlign w:val="center"/>
          </w:tcPr>
          <w:p w14:paraId="00909E99" w14:textId="77777777" w:rsidR="00F31685" w:rsidRPr="00F31685" w:rsidRDefault="00F31685" w:rsidP="00F31685">
            <w:pPr>
              <w:spacing w:line="300" w:lineRule="atLeast"/>
              <w:jc w:val="center"/>
              <w:rPr>
                <w:rFonts w:ascii="Arial" w:hAnsi="Arial" w:cs="Arial"/>
                <w:b/>
                <w:sz w:val="16"/>
                <w:szCs w:val="16"/>
              </w:rPr>
            </w:pPr>
            <w:r w:rsidRPr="00F31685">
              <w:rPr>
                <w:rFonts w:ascii="Arial" w:hAnsi="Arial" w:cs="Arial"/>
                <w:b/>
                <w:sz w:val="16"/>
                <w:szCs w:val="16"/>
              </w:rPr>
              <w:t>Annual Mercury Outputs, kg/</w:t>
            </w:r>
            <w:proofErr w:type="spellStart"/>
            <w:r w:rsidRPr="00F31685">
              <w:rPr>
                <w:rFonts w:ascii="Arial" w:hAnsi="Arial" w:cs="Arial"/>
                <w:b/>
                <w:sz w:val="16"/>
                <w:szCs w:val="16"/>
              </w:rPr>
              <w:t>yr</w:t>
            </w:r>
            <w:proofErr w:type="spellEnd"/>
          </w:p>
        </w:tc>
      </w:tr>
      <w:tr w:rsidR="00F31685" w14:paraId="4583A06B" w14:textId="77777777" w:rsidTr="0094046F">
        <w:tc>
          <w:tcPr>
            <w:tcW w:w="1951" w:type="dxa"/>
            <w:vMerge/>
            <w:vAlign w:val="center"/>
          </w:tcPr>
          <w:p w14:paraId="5774EF01" w14:textId="77777777" w:rsidR="00F31685" w:rsidRPr="00F31685" w:rsidRDefault="00F31685" w:rsidP="00F31685">
            <w:pPr>
              <w:spacing w:line="300" w:lineRule="atLeast"/>
              <w:jc w:val="center"/>
              <w:rPr>
                <w:rFonts w:ascii="Arial" w:hAnsi="Arial" w:cs="Arial"/>
                <w:b/>
                <w:sz w:val="16"/>
                <w:szCs w:val="16"/>
              </w:rPr>
            </w:pPr>
          </w:p>
        </w:tc>
        <w:tc>
          <w:tcPr>
            <w:tcW w:w="1276" w:type="dxa"/>
            <w:vMerge/>
            <w:vAlign w:val="center"/>
          </w:tcPr>
          <w:p w14:paraId="3C01D214" w14:textId="77777777" w:rsidR="00F31685" w:rsidRPr="00F31685" w:rsidRDefault="00F31685" w:rsidP="00F31685">
            <w:pPr>
              <w:spacing w:line="300" w:lineRule="atLeast"/>
              <w:jc w:val="center"/>
              <w:rPr>
                <w:rFonts w:ascii="Arial" w:hAnsi="Arial" w:cs="Arial"/>
                <w:b/>
                <w:sz w:val="16"/>
                <w:szCs w:val="16"/>
              </w:rPr>
            </w:pPr>
          </w:p>
        </w:tc>
        <w:tc>
          <w:tcPr>
            <w:tcW w:w="1416" w:type="dxa"/>
            <w:vMerge/>
            <w:vAlign w:val="center"/>
          </w:tcPr>
          <w:p w14:paraId="2CE52581" w14:textId="77777777" w:rsidR="00F31685" w:rsidRPr="00F31685" w:rsidRDefault="00F31685" w:rsidP="00F31685">
            <w:pPr>
              <w:spacing w:line="300" w:lineRule="atLeast"/>
              <w:jc w:val="center"/>
              <w:rPr>
                <w:rFonts w:ascii="Arial" w:hAnsi="Arial" w:cs="Arial"/>
                <w:b/>
                <w:sz w:val="16"/>
                <w:szCs w:val="16"/>
              </w:rPr>
            </w:pPr>
          </w:p>
        </w:tc>
        <w:tc>
          <w:tcPr>
            <w:tcW w:w="1548" w:type="dxa"/>
            <w:vMerge/>
            <w:vAlign w:val="center"/>
          </w:tcPr>
          <w:p w14:paraId="6DDC9057" w14:textId="77777777" w:rsidR="00F31685" w:rsidRPr="00F31685" w:rsidRDefault="00F31685" w:rsidP="00F31685">
            <w:pPr>
              <w:spacing w:line="300" w:lineRule="atLeast"/>
              <w:jc w:val="center"/>
              <w:rPr>
                <w:rFonts w:ascii="Arial" w:hAnsi="Arial" w:cs="Arial"/>
                <w:b/>
                <w:sz w:val="16"/>
                <w:szCs w:val="16"/>
              </w:rPr>
            </w:pPr>
          </w:p>
        </w:tc>
        <w:tc>
          <w:tcPr>
            <w:tcW w:w="1572" w:type="dxa"/>
            <w:vAlign w:val="center"/>
          </w:tcPr>
          <w:p w14:paraId="419A4893" w14:textId="77777777" w:rsidR="00F31685" w:rsidRPr="00F31685" w:rsidRDefault="00F31685" w:rsidP="00F31685">
            <w:pPr>
              <w:spacing w:line="300" w:lineRule="atLeast"/>
              <w:jc w:val="center"/>
              <w:rPr>
                <w:rFonts w:ascii="Arial" w:hAnsi="Arial" w:cs="Arial"/>
                <w:b/>
                <w:sz w:val="16"/>
                <w:szCs w:val="16"/>
              </w:rPr>
            </w:pPr>
            <w:r w:rsidRPr="00F31685">
              <w:rPr>
                <w:rFonts w:ascii="Arial" w:hAnsi="Arial" w:cs="Arial"/>
                <w:b/>
                <w:sz w:val="16"/>
                <w:szCs w:val="16"/>
              </w:rPr>
              <w:t>Air</w:t>
            </w:r>
          </w:p>
        </w:tc>
        <w:tc>
          <w:tcPr>
            <w:tcW w:w="1524" w:type="dxa"/>
            <w:vAlign w:val="center"/>
          </w:tcPr>
          <w:p w14:paraId="56DF09B1" w14:textId="77777777" w:rsidR="00F31685" w:rsidRPr="00F31685" w:rsidRDefault="002F4E3D" w:rsidP="00F31685">
            <w:pPr>
              <w:spacing w:line="300" w:lineRule="atLeast"/>
              <w:jc w:val="center"/>
              <w:rPr>
                <w:rFonts w:ascii="Arial" w:hAnsi="Arial" w:cs="Arial"/>
                <w:b/>
                <w:sz w:val="16"/>
                <w:szCs w:val="16"/>
              </w:rPr>
            </w:pPr>
            <w:r>
              <w:rPr>
                <w:rFonts w:ascii="Arial" w:hAnsi="Arial" w:cs="Arial"/>
                <w:b/>
                <w:sz w:val="16"/>
                <w:szCs w:val="16"/>
              </w:rPr>
              <w:t>Land</w:t>
            </w:r>
          </w:p>
        </w:tc>
      </w:tr>
      <w:tr w:rsidR="00F31685" w14:paraId="0AD7475B" w14:textId="77777777" w:rsidTr="0094046F">
        <w:tc>
          <w:tcPr>
            <w:tcW w:w="1951" w:type="dxa"/>
            <w:vAlign w:val="center"/>
          </w:tcPr>
          <w:p w14:paraId="65AE0FE5" w14:textId="77777777" w:rsidR="00F31685" w:rsidRPr="00F31685" w:rsidRDefault="00F31685" w:rsidP="0094046F">
            <w:pPr>
              <w:spacing w:line="300" w:lineRule="atLeast"/>
              <w:rPr>
                <w:rFonts w:ascii="Arial" w:hAnsi="Arial" w:cs="Arial"/>
                <w:sz w:val="16"/>
                <w:szCs w:val="16"/>
              </w:rPr>
            </w:pPr>
            <w:r w:rsidRPr="00F31685">
              <w:rPr>
                <w:rFonts w:ascii="Arial" w:hAnsi="Arial" w:cs="Arial"/>
                <w:sz w:val="16"/>
                <w:szCs w:val="16"/>
              </w:rPr>
              <w:t>Huntly Power Station</w:t>
            </w:r>
            <w:r w:rsidR="00885385">
              <w:rPr>
                <w:rFonts w:ascii="Arial" w:hAnsi="Arial" w:cs="Arial"/>
                <w:sz w:val="16"/>
                <w:szCs w:val="16"/>
              </w:rPr>
              <w:t xml:space="preserve">, </w:t>
            </w:r>
            <w:r w:rsidR="00885385" w:rsidRPr="0011501E">
              <w:rPr>
                <w:rFonts w:ascii="Arial" w:hAnsi="Arial" w:cs="Arial"/>
                <w:sz w:val="16"/>
                <w:szCs w:val="16"/>
              </w:rPr>
              <w:t>2012</w:t>
            </w:r>
          </w:p>
        </w:tc>
        <w:tc>
          <w:tcPr>
            <w:tcW w:w="1276" w:type="dxa"/>
            <w:vAlign w:val="center"/>
          </w:tcPr>
          <w:p w14:paraId="61A4BB07" w14:textId="77777777" w:rsidR="00F31685" w:rsidRPr="00F31685" w:rsidRDefault="00C57E98" w:rsidP="00C57E98">
            <w:pPr>
              <w:spacing w:line="300" w:lineRule="atLeast"/>
              <w:jc w:val="center"/>
              <w:rPr>
                <w:rFonts w:ascii="Arial" w:hAnsi="Arial" w:cs="Arial"/>
                <w:sz w:val="16"/>
                <w:szCs w:val="16"/>
              </w:rPr>
            </w:pPr>
            <w:r>
              <w:rPr>
                <w:rFonts w:ascii="Arial" w:hAnsi="Arial" w:cs="Arial"/>
                <w:sz w:val="16"/>
                <w:szCs w:val="16"/>
              </w:rPr>
              <w:t>1,2</w:t>
            </w:r>
            <w:r w:rsidR="00F31685" w:rsidRPr="00C57E98">
              <w:rPr>
                <w:rFonts w:ascii="Arial" w:hAnsi="Arial" w:cs="Arial"/>
                <w:sz w:val="16"/>
                <w:szCs w:val="16"/>
              </w:rPr>
              <w:t>70,000</w:t>
            </w:r>
          </w:p>
        </w:tc>
        <w:tc>
          <w:tcPr>
            <w:tcW w:w="1416" w:type="dxa"/>
            <w:vAlign w:val="center"/>
          </w:tcPr>
          <w:p w14:paraId="07A7D888" w14:textId="77777777" w:rsidR="00F31685" w:rsidRPr="00F31685" w:rsidRDefault="00E1319A" w:rsidP="00F31685">
            <w:pPr>
              <w:spacing w:line="300" w:lineRule="atLeast"/>
              <w:jc w:val="center"/>
              <w:rPr>
                <w:rFonts w:ascii="Arial" w:hAnsi="Arial" w:cs="Arial"/>
                <w:sz w:val="16"/>
                <w:szCs w:val="16"/>
              </w:rPr>
            </w:pPr>
            <w:r>
              <w:rPr>
                <w:rFonts w:ascii="Arial" w:hAnsi="Arial" w:cs="Arial"/>
                <w:sz w:val="16"/>
                <w:szCs w:val="16"/>
              </w:rPr>
              <w:t>0.02</w:t>
            </w:r>
            <w:r w:rsidR="00F31685">
              <w:rPr>
                <w:rFonts w:ascii="Arial" w:hAnsi="Arial" w:cs="Arial"/>
                <w:sz w:val="16"/>
                <w:szCs w:val="16"/>
              </w:rPr>
              <w:t xml:space="preserve"> - 0.19</w:t>
            </w:r>
          </w:p>
        </w:tc>
        <w:tc>
          <w:tcPr>
            <w:tcW w:w="1548" w:type="dxa"/>
            <w:vAlign w:val="center"/>
          </w:tcPr>
          <w:p w14:paraId="4D2A9CD7" w14:textId="77777777" w:rsidR="00F31685" w:rsidRPr="00F31685" w:rsidRDefault="00C57E98" w:rsidP="00C57E98">
            <w:pPr>
              <w:spacing w:line="300" w:lineRule="atLeast"/>
              <w:jc w:val="center"/>
              <w:rPr>
                <w:rFonts w:ascii="Arial" w:hAnsi="Arial" w:cs="Arial"/>
                <w:sz w:val="16"/>
                <w:szCs w:val="16"/>
              </w:rPr>
            </w:pPr>
            <w:r>
              <w:rPr>
                <w:rFonts w:ascii="Arial" w:hAnsi="Arial" w:cs="Arial"/>
                <w:sz w:val="16"/>
                <w:szCs w:val="16"/>
              </w:rPr>
              <w:t>25.4</w:t>
            </w:r>
            <w:r w:rsidR="00F31685">
              <w:rPr>
                <w:rFonts w:ascii="Arial" w:hAnsi="Arial" w:cs="Arial"/>
                <w:sz w:val="16"/>
                <w:szCs w:val="16"/>
              </w:rPr>
              <w:t xml:space="preserve"> </w:t>
            </w:r>
            <w:r w:rsidR="001E70FA">
              <w:rPr>
                <w:rFonts w:ascii="Arial" w:hAnsi="Arial" w:cs="Arial"/>
                <w:sz w:val="16"/>
                <w:szCs w:val="16"/>
              </w:rPr>
              <w:t>–</w:t>
            </w:r>
            <w:r w:rsidR="00F31685">
              <w:rPr>
                <w:rFonts w:ascii="Arial" w:hAnsi="Arial" w:cs="Arial"/>
                <w:sz w:val="16"/>
                <w:szCs w:val="16"/>
              </w:rPr>
              <w:t xml:space="preserve"> </w:t>
            </w:r>
            <w:r>
              <w:rPr>
                <w:rFonts w:ascii="Arial" w:hAnsi="Arial" w:cs="Arial"/>
                <w:sz w:val="16"/>
                <w:szCs w:val="16"/>
              </w:rPr>
              <w:t>241.3</w:t>
            </w:r>
            <w:r w:rsidR="001E70FA">
              <w:rPr>
                <w:rFonts w:ascii="Arial" w:hAnsi="Arial" w:cs="Arial"/>
                <w:sz w:val="16"/>
                <w:szCs w:val="16"/>
              </w:rPr>
              <w:t xml:space="preserve"> (</w:t>
            </w:r>
            <w:r>
              <w:rPr>
                <w:rFonts w:ascii="Arial" w:hAnsi="Arial" w:cs="Arial"/>
                <w:sz w:val="16"/>
                <w:szCs w:val="16"/>
              </w:rPr>
              <w:t>13</w:t>
            </w:r>
            <w:r w:rsidR="001E70FA">
              <w:rPr>
                <w:rFonts w:ascii="Arial" w:hAnsi="Arial" w:cs="Arial"/>
                <w:sz w:val="16"/>
                <w:szCs w:val="16"/>
              </w:rPr>
              <w:t>3.</w:t>
            </w:r>
            <w:r>
              <w:rPr>
                <w:rFonts w:ascii="Arial" w:hAnsi="Arial" w:cs="Arial"/>
                <w:sz w:val="16"/>
                <w:szCs w:val="16"/>
              </w:rPr>
              <w:t>4</w:t>
            </w:r>
            <w:r w:rsidR="001E70FA">
              <w:rPr>
                <w:rFonts w:ascii="Arial" w:hAnsi="Arial" w:cs="Arial"/>
                <w:sz w:val="16"/>
                <w:szCs w:val="16"/>
              </w:rPr>
              <w:t>)</w:t>
            </w:r>
          </w:p>
        </w:tc>
        <w:tc>
          <w:tcPr>
            <w:tcW w:w="1572" w:type="dxa"/>
            <w:vAlign w:val="center"/>
          </w:tcPr>
          <w:p w14:paraId="76CFD039" w14:textId="65DC7DD2" w:rsidR="00F31685" w:rsidRPr="00F31685" w:rsidRDefault="00C57E98" w:rsidP="00C57E98">
            <w:pPr>
              <w:spacing w:line="300" w:lineRule="atLeast"/>
              <w:jc w:val="center"/>
              <w:rPr>
                <w:rFonts w:ascii="Arial" w:hAnsi="Arial" w:cs="Arial"/>
                <w:sz w:val="16"/>
                <w:szCs w:val="16"/>
              </w:rPr>
            </w:pPr>
            <w:r>
              <w:rPr>
                <w:rFonts w:ascii="Arial" w:hAnsi="Arial" w:cs="Arial"/>
                <w:sz w:val="16"/>
                <w:szCs w:val="16"/>
              </w:rPr>
              <w:t>2</w:t>
            </w:r>
            <w:r w:rsidR="00F31685">
              <w:rPr>
                <w:rFonts w:ascii="Arial" w:hAnsi="Arial" w:cs="Arial"/>
                <w:sz w:val="16"/>
                <w:szCs w:val="16"/>
              </w:rPr>
              <w:t>2.</w:t>
            </w:r>
            <w:r w:rsidR="00CE2AE9">
              <w:rPr>
                <w:rFonts w:ascii="Arial" w:hAnsi="Arial" w:cs="Arial"/>
                <w:sz w:val="16"/>
                <w:szCs w:val="16"/>
              </w:rPr>
              <w:t>9</w:t>
            </w:r>
            <w:r w:rsidR="00F31685">
              <w:rPr>
                <w:rFonts w:ascii="Arial" w:hAnsi="Arial" w:cs="Arial"/>
                <w:sz w:val="16"/>
                <w:szCs w:val="16"/>
              </w:rPr>
              <w:t xml:space="preserve"> – </w:t>
            </w:r>
            <w:r>
              <w:rPr>
                <w:rFonts w:ascii="Arial" w:hAnsi="Arial" w:cs="Arial"/>
                <w:sz w:val="16"/>
                <w:szCs w:val="16"/>
              </w:rPr>
              <w:t>2</w:t>
            </w:r>
            <w:r w:rsidR="00F31685">
              <w:rPr>
                <w:rFonts w:ascii="Arial" w:hAnsi="Arial" w:cs="Arial"/>
                <w:sz w:val="16"/>
                <w:szCs w:val="16"/>
              </w:rPr>
              <w:t>1</w:t>
            </w:r>
            <w:r>
              <w:rPr>
                <w:rFonts w:ascii="Arial" w:hAnsi="Arial" w:cs="Arial"/>
                <w:sz w:val="16"/>
                <w:szCs w:val="16"/>
              </w:rPr>
              <w:t>7</w:t>
            </w:r>
            <w:r w:rsidR="00F31685">
              <w:rPr>
                <w:rFonts w:ascii="Arial" w:hAnsi="Arial" w:cs="Arial"/>
                <w:sz w:val="16"/>
                <w:szCs w:val="16"/>
              </w:rPr>
              <w:t>.</w:t>
            </w:r>
            <w:r>
              <w:rPr>
                <w:rFonts w:ascii="Arial" w:hAnsi="Arial" w:cs="Arial"/>
                <w:sz w:val="16"/>
                <w:szCs w:val="16"/>
              </w:rPr>
              <w:t>2 (120.0</w:t>
            </w:r>
            <w:r w:rsidR="001E70FA">
              <w:rPr>
                <w:rFonts w:ascii="Arial" w:hAnsi="Arial" w:cs="Arial"/>
                <w:sz w:val="16"/>
                <w:szCs w:val="16"/>
              </w:rPr>
              <w:t>)</w:t>
            </w:r>
          </w:p>
        </w:tc>
        <w:tc>
          <w:tcPr>
            <w:tcW w:w="1524" w:type="dxa"/>
            <w:vAlign w:val="center"/>
          </w:tcPr>
          <w:p w14:paraId="1D741F08" w14:textId="525DA928" w:rsidR="00F31685" w:rsidRPr="00F31685" w:rsidRDefault="00C57E98" w:rsidP="00C57E98">
            <w:pPr>
              <w:spacing w:line="300" w:lineRule="atLeast"/>
              <w:jc w:val="center"/>
              <w:rPr>
                <w:rFonts w:ascii="Arial" w:hAnsi="Arial" w:cs="Arial"/>
                <w:sz w:val="16"/>
                <w:szCs w:val="16"/>
              </w:rPr>
            </w:pPr>
            <w:r>
              <w:rPr>
                <w:rFonts w:ascii="Arial" w:hAnsi="Arial" w:cs="Arial"/>
                <w:sz w:val="16"/>
                <w:szCs w:val="16"/>
              </w:rPr>
              <w:t>2</w:t>
            </w:r>
            <w:r w:rsidR="00F31685">
              <w:rPr>
                <w:rFonts w:ascii="Arial" w:hAnsi="Arial" w:cs="Arial"/>
                <w:sz w:val="16"/>
                <w:szCs w:val="16"/>
              </w:rPr>
              <w:t>.</w:t>
            </w:r>
            <w:r>
              <w:rPr>
                <w:rFonts w:ascii="Arial" w:hAnsi="Arial" w:cs="Arial"/>
                <w:sz w:val="16"/>
                <w:szCs w:val="16"/>
              </w:rPr>
              <w:t>5</w:t>
            </w:r>
            <w:r w:rsidR="00F31685">
              <w:rPr>
                <w:rFonts w:ascii="Arial" w:hAnsi="Arial" w:cs="Arial"/>
                <w:sz w:val="16"/>
                <w:szCs w:val="16"/>
              </w:rPr>
              <w:t xml:space="preserve"> – </w:t>
            </w:r>
            <w:r>
              <w:rPr>
                <w:rFonts w:ascii="Arial" w:hAnsi="Arial" w:cs="Arial"/>
                <w:sz w:val="16"/>
                <w:szCs w:val="16"/>
              </w:rPr>
              <w:t>24</w:t>
            </w:r>
            <w:r w:rsidR="00F31685">
              <w:rPr>
                <w:rFonts w:ascii="Arial" w:hAnsi="Arial" w:cs="Arial"/>
                <w:sz w:val="16"/>
                <w:szCs w:val="16"/>
              </w:rPr>
              <w:t>.</w:t>
            </w:r>
            <w:r>
              <w:rPr>
                <w:rFonts w:ascii="Arial" w:hAnsi="Arial" w:cs="Arial"/>
                <w:sz w:val="16"/>
                <w:szCs w:val="16"/>
              </w:rPr>
              <w:t>1</w:t>
            </w:r>
            <w:r w:rsidR="001E70FA">
              <w:rPr>
                <w:rFonts w:ascii="Arial" w:hAnsi="Arial" w:cs="Arial"/>
                <w:sz w:val="16"/>
                <w:szCs w:val="16"/>
              </w:rPr>
              <w:t xml:space="preserve"> </w:t>
            </w:r>
            <w:r w:rsidR="00CE2AE9">
              <w:rPr>
                <w:rFonts w:ascii="Arial" w:hAnsi="Arial" w:cs="Arial"/>
                <w:sz w:val="16"/>
                <w:szCs w:val="16"/>
              </w:rPr>
              <w:br/>
            </w:r>
            <w:r w:rsidR="001E70FA">
              <w:rPr>
                <w:rFonts w:ascii="Arial" w:hAnsi="Arial" w:cs="Arial"/>
                <w:sz w:val="16"/>
                <w:szCs w:val="16"/>
              </w:rPr>
              <w:t>(</w:t>
            </w:r>
            <w:r w:rsidR="00CE2AE9">
              <w:rPr>
                <w:rFonts w:ascii="Arial" w:hAnsi="Arial" w:cs="Arial"/>
                <w:sz w:val="16"/>
                <w:szCs w:val="16"/>
              </w:rPr>
              <w:t>13.3</w:t>
            </w:r>
            <w:r w:rsidR="001E70FA">
              <w:rPr>
                <w:rFonts w:ascii="Arial" w:hAnsi="Arial" w:cs="Arial"/>
                <w:sz w:val="16"/>
                <w:szCs w:val="16"/>
              </w:rPr>
              <w:t>)</w:t>
            </w:r>
          </w:p>
        </w:tc>
      </w:tr>
      <w:tr w:rsidR="00885385" w14:paraId="557DB900" w14:textId="77777777" w:rsidTr="0094046F">
        <w:tc>
          <w:tcPr>
            <w:tcW w:w="1951" w:type="dxa"/>
            <w:vAlign w:val="center"/>
          </w:tcPr>
          <w:p w14:paraId="7FD9328A" w14:textId="77777777" w:rsidR="00885385" w:rsidRPr="0011501E" w:rsidRDefault="00885385" w:rsidP="00885385">
            <w:pPr>
              <w:spacing w:line="300" w:lineRule="atLeast"/>
              <w:rPr>
                <w:rFonts w:ascii="Arial" w:hAnsi="Arial" w:cs="Arial"/>
                <w:sz w:val="16"/>
                <w:szCs w:val="16"/>
              </w:rPr>
            </w:pPr>
            <w:r w:rsidRPr="0011501E">
              <w:rPr>
                <w:rFonts w:ascii="Arial" w:hAnsi="Arial" w:cs="Arial"/>
                <w:sz w:val="16"/>
                <w:szCs w:val="16"/>
              </w:rPr>
              <w:t>Huntly Power Station, 2016</w:t>
            </w:r>
          </w:p>
        </w:tc>
        <w:tc>
          <w:tcPr>
            <w:tcW w:w="1276" w:type="dxa"/>
            <w:vAlign w:val="center"/>
          </w:tcPr>
          <w:p w14:paraId="4A74D916" w14:textId="77777777" w:rsidR="00885385" w:rsidRPr="00F31685" w:rsidRDefault="00885385" w:rsidP="00885385">
            <w:pPr>
              <w:spacing w:line="300" w:lineRule="atLeast"/>
              <w:jc w:val="center"/>
              <w:rPr>
                <w:rFonts w:ascii="Arial" w:hAnsi="Arial" w:cs="Arial"/>
                <w:sz w:val="16"/>
                <w:szCs w:val="16"/>
              </w:rPr>
            </w:pPr>
            <w:r>
              <w:rPr>
                <w:rFonts w:ascii="Arial" w:hAnsi="Arial" w:cs="Arial"/>
                <w:sz w:val="16"/>
                <w:szCs w:val="16"/>
              </w:rPr>
              <w:t>223,242</w:t>
            </w:r>
          </w:p>
        </w:tc>
        <w:tc>
          <w:tcPr>
            <w:tcW w:w="1416" w:type="dxa"/>
            <w:vAlign w:val="center"/>
          </w:tcPr>
          <w:p w14:paraId="7FB8EBB1" w14:textId="77777777" w:rsidR="00885385" w:rsidRPr="00F31685" w:rsidRDefault="00885385" w:rsidP="00885385">
            <w:pPr>
              <w:spacing w:line="300" w:lineRule="atLeast"/>
              <w:jc w:val="center"/>
              <w:rPr>
                <w:rFonts w:ascii="Arial" w:hAnsi="Arial" w:cs="Arial"/>
                <w:sz w:val="16"/>
                <w:szCs w:val="16"/>
              </w:rPr>
            </w:pPr>
            <w:r>
              <w:rPr>
                <w:rFonts w:ascii="Arial" w:hAnsi="Arial" w:cs="Arial"/>
                <w:sz w:val="16"/>
                <w:szCs w:val="16"/>
              </w:rPr>
              <w:t>0.02 - 0.19</w:t>
            </w:r>
          </w:p>
        </w:tc>
        <w:tc>
          <w:tcPr>
            <w:tcW w:w="1548" w:type="dxa"/>
            <w:vAlign w:val="center"/>
          </w:tcPr>
          <w:p w14:paraId="7436E92C" w14:textId="069E5FE2" w:rsidR="00885385" w:rsidRPr="00F31685" w:rsidRDefault="00CE2AE9" w:rsidP="00CE2AE9">
            <w:pPr>
              <w:spacing w:line="300" w:lineRule="atLeast"/>
              <w:jc w:val="center"/>
              <w:rPr>
                <w:rFonts w:ascii="Arial" w:hAnsi="Arial" w:cs="Arial"/>
                <w:sz w:val="16"/>
                <w:szCs w:val="16"/>
              </w:rPr>
            </w:pPr>
            <w:r>
              <w:rPr>
                <w:rFonts w:ascii="Arial" w:hAnsi="Arial" w:cs="Arial"/>
                <w:sz w:val="16"/>
                <w:szCs w:val="16"/>
              </w:rPr>
              <w:t>4.5</w:t>
            </w:r>
            <w:r w:rsidR="00885385">
              <w:rPr>
                <w:rFonts w:ascii="Arial" w:hAnsi="Arial" w:cs="Arial"/>
                <w:sz w:val="16"/>
                <w:szCs w:val="16"/>
              </w:rPr>
              <w:t xml:space="preserve"> – 42.4 </w:t>
            </w:r>
            <w:r>
              <w:rPr>
                <w:rFonts w:ascii="Arial" w:hAnsi="Arial" w:cs="Arial"/>
                <w:sz w:val="16"/>
                <w:szCs w:val="16"/>
              </w:rPr>
              <w:br/>
            </w:r>
            <w:r w:rsidR="00885385">
              <w:rPr>
                <w:rFonts w:ascii="Arial" w:hAnsi="Arial" w:cs="Arial"/>
                <w:sz w:val="16"/>
                <w:szCs w:val="16"/>
              </w:rPr>
              <w:t>(23.4)</w:t>
            </w:r>
          </w:p>
        </w:tc>
        <w:tc>
          <w:tcPr>
            <w:tcW w:w="1572" w:type="dxa"/>
            <w:vAlign w:val="center"/>
          </w:tcPr>
          <w:p w14:paraId="799C3132" w14:textId="773AB137" w:rsidR="00885385" w:rsidRPr="00F31685" w:rsidRDefault="00885385" w:rsidP="00CE2AE9">
            <w:pPr>
              <w:spacing w:line="300" w:lineRule="atLeast"/>
              <w:jc w:val="center"/>
              <w:rPr>
                <w:rFonts w:ascii="Arial" w:hAnsi="Arial" w:cs="Arial"/>
                <w:sz w:val="16"/>
                <w:szCs w:val="16"/>
              </w:rPr>
            </w:pPr>
            <w:r>
              <w:rPr>
                <w:rFonts w:ascii="Arial" w:hAnsi="Arial" w:cs="Arial"/>
                <w:sz w:val="16"/>
                <w:szCs w:val="16"/>
              </w:rPr>
              <w:t>4.0– 38.</w:t>
            </w:r>
            <w:r w:rsidR="00CE2AE9">
              <w:rPr>
                <w:rFonts w:ascii="Arial" w:hAnsi="Arial" w:cs="Arial"/>
                <w:sz w:val="16"/>
                <w:szCs w:val="16"/>
              </w:rPr>
              <w:t>2</w:t>
            </w:r>
            <w:r w:rsidR="00CE2AE9">
              <w:rPr>
                <w:rFonts w:ascii="Arial" w:hAnsi="Arial" w:cs="Arial"/>
                <w:sz w:val="16"/>
                <w:szCs w:val="16"/>
              </w:rPr>
              <w:br/>
            </w:r>
            <w:r>
              <w:rPr>
                <w:rFonts w:ascii="Arial" w:hAnsi="Arial" w:cs="Arial"/>
                <w:sz w:val="16"/>
                <w:szCs w:val="16"/>
              </w:rPr>
              <w:t>(21.</w:t>
            </w:r>
            <w:r w:rsidR="003D3961">
              <w:rPr>
                <w:rFonts w:ascii="Arial" w:hAnsi="Arial" w:cs="Arial"/>
                <w:sz w:val="16"/>
                <w:szCs w:val="16"/>
              </w:rPr>
              <w:t>1</w:t>
            </w:r>
            <w:r>
              <w:rPr>
                <w:rFonts w:ascii="Arial" w:hAnsi="Arial" w:cs="Arial"/>
                <w:sz w:val="16"/>
                <w:szCs w:val="16"/>
              </w:rPr>
              <w:t>)</w:t>
            </w:r>
          </w:p>
        </w:tc>
        <w:tc>
          <w:tcPr>
            <w:tcW w:w="1524" w:type="dxa"/>
            <w:vAlign w:val="center"/>
          </w:tcPr>
          <w:p w14:paraId="781840E0" w14:textId="038D53DC" w:rsidR="00885385" w:rsidRPr="00F31685" w:rsidRDefault="00885385" w:rsidP="003D3961">
            <w:pPr>
              <w:spacing w:line="300" w:lineRule="atLeast"/>
              <w:jc w:val="center"/>
              <w:rPr>
                <w:rFonts w:ascii="Arial" w:hAnsi="Arial" w:cs="Arial"/>
                <w:sz w:val="16"/>
                <w:szCs w:val="16"/>
              </w:rPr>
            </w:pPr>
            <w:r>
              <w:rPr>
                <w:rFonts w:ascii="Arial" w:hAnsi="Arial" w:cs="Arial"/>
                <w:sz w:val="16"/>
                <w:szCs w:val="16"/>
              </w:rPr>
              <w:t>0</w:t>
            </w:r>
            <w:r w:rsidR="00CE2AE9">
              <w:rPr>
                <w:rFonts w:ascii="Arial" w:hAnsi="Arial" w:cs="Arial"/>
                <w:sz w:val="16"/>
                <w:szCs w:val="16"/>
              </w:rPr>
              <w:t>.</w:t>
            </w:r>
            <w:r w:rsidR="00882D32">
              <w:rPr>
                <w:rFonts w:ascii="Arial" w:hAnsi="Arial" w:cs="Arial"/>
                <w:sz w:val="16"/>
                <w:szCs w:val="16"/>
              </w:rPr>
              <w:t>5</w:t>
            </w:r>
            <w:r>
              <w:rPr>
                <w:rFonts w:ascii="Arial" w:hAnsi="Arial" w:cs="Arial"/>
                <w:sz w:val="16"/>
                <w:szCs w:val="16"/>
              </w:rPr>
              <w:t xml:space="preserve"> – 4.2 </w:t>
            </w:r>
            <w:r w:rsidR="00CE2AE9">
              <w:rPr>
                <w:rFonts w:ascii="Arial" w:hAnsi="Arial" w:cs="Arial"/>
                <w:sz w:val="16"/>
                <w:szCs w:val="16"/>
              </w:rPr>
              <w:br/>
              <w:t>(2.3</w:t>
            </w:r>
            <w:r>
              <w:rPr>
                <w:rFonts w:ascii="Arial" w:hAnsi="Arial" w:cs="Arial"/>
                <w:sz w:val="16"/>
                <w:szCs w:val="16"/>
              </w:rPr>
              <w:t>)</w:t>
            </w:r>
          </w:p>
        </w:tc>
      </w:tr>
    </w:tbl>
    <w:p w14:paraId="532F16EE" w14:textId="37D96C29" w:rsidR="008A3186" w:rsidRPr="0059685F" w:rsidRDefault="0059685F" w:rsidP="008F11FE">
      <w:pPr>
        <w:spacing w:before="120" w:line="300" w:lineRule="atLeast"/>
        <w:jc w:val="both"/>
        <w:rPr>
          <w:szCs w:val="18"/>
        </w:rPr>
      </w:pPr>
      <w:r w:rsidRPr="0059685F">
        <w:rPr>
          <w:szCs w:val="18"/>
        </w:rPr>
        <w:t>(Note: the numbers shown in brackets in this and most other tables are the means of the reported ranges)</w:t>
      </w:r>
    </w:p>
    <w:p w14:paraId="508F91CF" w14:textId="77777777" w:rsidR="0028681C" w:rsidRPr="00BE17CF" w:rsidRDefault="0028681C" w:rsidP="008F11FE">
      <w:pPr>
        <w:spacing w:before="120" w:line="300" w:lineRule="atLeast"/>
        <w:jc w:val="both"/>
        <w:rPr>
          <w:rFonts w:ascii="Arial" w:hAnsi="Arial" w:cs="Arial"/>
          <w:b/>
          <w:szCs w:val="18"/>
        </w:rPr>
      </w:pPr>
      <w:r w:rsidRPr="00BE17CF">
        <w:rPr>
          <w:rFonts w:ascii="Arial" w:hAnsi="Arial" w:cs="Arial"/>
          <w:b/>
          <w:szCs w:val="18"/>
        </w:rPr>
        <w:t xml:space="preserve">Certainty </w:t>
      </w:r>
      <w:r w:rsidR="00A97D5C" w:rsidRPr="00BE17CF">
        <w:rPr>
          <w:rFonts w:ascii="Arial" w:hAnsi="Arial" w:cs="Arial"/>
          <w:b/>
          <w:szCs w:val="18"/>
        </w:rPr>
        <w:t>assessment</w:t>
      </w:r>
    </w:p>
    <w:p w14:paraId="2ED99AE0" w14:textId="77777777" w:rsidR="00506F24" w:rsidRDefault="00506F24" w:rsidP="00506F24">
      <w:pPr>
        <w:tabs>
          <w:tab w:val="left" w:pos="1985"/>
        </w:tabs>
        <w:spacing w:line="300" w:lineRule="atLeast"/>
        <w:jc w:val="both"/>
        <w:rPr>
          <w:szCs w:val="18"/>
        </w:rPr>
      </w:pPr>
      <w:r>
        <w:rPr>
          <w:szCs w:val="18"/>
        </w:rPr>
        <w:t xml:space="preserve">Activity data: </w:t>
      </w:r>
      <w:r>
        <w:rPr>
          <w:szCs w:val="18"/>
        </w:rPr>
        <w:tab/>
        <w:t xml:space="preserve">HIGH (because it was obtained from </w:t>
      </w:r>
      <w:r w:rsidR="00B57DFF">
        <w:rPr>
          <w:szCs w:val="18"/>
        </w:rPr>
        <w:t>the plant operator</w:t>
      </w:r>
      <w:r>
        <w:rPr>
          <w:szCs w:val="18"/>
        </w:rPr>
        <w:t>)</w:t>
      </w:r>
    </w:p>
    <w:p w14:paraId="6D1753B2" w14:textId="77777777" w:rsidR="00506F24" w:rsidRDefault="00506F24" w:rsidP="00506F24">
      <w:pPr>
        <w:tabs>
          <w:tab w:val="left" w:pos="1985"/>
        </w:tabs>
        <w:spacing w:line="300" w:lineRule="atLeast"/>
        <w:jc w:val="both"/>
        <w:rPr>
          <w:szCs w:val="18"/>
        </w:rPr>
      </w:pPr>
      <w:r>
        <w:rPr>
          <w:szCs w:val="18"/>
        </w:rPr>
        <w:t xml:space="preserve">Input estimates: </w:t>
      </w:r>
      <w:r>
        <w:rPr>
          <w:szCs w:val="18"/>
        </w:rPr>
        <w:tab/>
        <w:t>MEDIUM (because they are based on a range of coal analyses)</w:t>
      </w:r>
    </w:p>
    <w:p w14:paraId="32F2C914" w14:textId="77777777" w:rsidR="00674F40" w:rsidRDefault="00506F24" w:rsidP="00506F24">
      <w:pPr>
        <w:tabs>
          <w:tab w:val="left" w:pos="1985"/>
        </w:tabs>
        <w:spacing w:line="300" w:lineRule="atLeast"/>
        <w:jc w:val="both"/>
        <w:rPr>
          <w:szCs w:val="18"/>
        </w:rPr>
      </w:pPr>
      <w:r>
        <w:rPr>
          <w:szCs w:val="18"/>
        </w:rPr>
        <w:t xml:space="preserve">Output estimates: </w:t>
      </w:r>
      <w:r>
        <w:rPr>
          <w:szCs w:val="18"/>
        </w:rPr>
        <w:tab/>
        <w:t>LOW (because they are based on the default Toolkit output factors).</w:t>
      </w:r>
    </w:p>
    <w:p w14:paraId="2718D005" w14:textId="77777777" w:rsidR="00674F40" w:rsidRDefault="00674F40">
      <w:pPr>
        <w:spacing w:after="0"/>
        <w:rPr>
          <w:szCs w:val="18"/>
        </w:rPr>
      </w:pPr>
      <w:r>
        <w:rPr>
          <w:szCs w:val="18"/>
        </w:rPr>
        <w:br w:type="page"/>
      </w:r>
    </w:p>
    <w:p w14:paraId="7DF11BCA" w14:textId="28EE4C7D" w:rsidR="00A51AE5" w:rsidRPr="00C0444A" w:rsidRDefault="00B11F8B" w:rsidP="00135B26">
      <w:pPr>
        <w:pStyle w:val="Heading2"/>
      </w:pPr>
      <w:bookmarkStart w:id="29" w:name="_Toc484949567"/>
      <w:r w:rsidRPr="00C0444A">
        <w:lastRenderedPageBreak/>
        <w:t xml:space="preserve">Other </w:t>
      </w:r>
      <w:r w:rsidR="00A97D5C" w:rsidRPr="00C0444A">
        <w:t>coal use</w:t>
      </w:r>
      <w:bookmarkEnd w:id="29"/>
    </w:p>
    <w:p w14:paraId="25C41BA1" w14:textId="77777777" w:rsidR="00871103" w:rsidRPr="00C0444A" w:rsidRDefault="00F0025A" w:rsidP="003833D6">
      <w:pPr>
        <w:spacing w:line="300" w:lineRule="atLeast"/>
        <w:jc w:val="both"/>
        <w:rPr>
          <w:szCs w:val="18"/>
        </w:rPr>
      </w:pPr>
      <w:r w:rsidRPr="00C0444A">
        <w:rPr>
          <w:szCs w:val="18"/>
        </w:rPr>
        <w:t>T</w:t>
      </w:r>
      <w:r w:rsidR="00871103" w:rsidRPr="00C0444A">
        <w:rPr>
          <w:szCs w:val="18"/>
        </w:rPr>
        <w:t xml:space="preserve">his Toolkit sub-category </w:t>
      </w:r>
      <w:r w:rsidR="00FD0BE8" w:rsidRPr="00C0444A">
        <w:rPr>
          <w:szCs w:val="18"/>
        </w:rPr>
        <w:t xml:space="preserve">covers all other uses of coal. </w:t>
      </w:r>
      <w:r w:rsidR="00871103" w:rsidRPr="00C0444A">
        <w:rPr>
          <w:szCs w:val="18"/>
        </w:rPr>
        <w:t xml:space="preserve">It also considers potential releases from </w:t>
      </w:r>
      <w:r w:rsidR="00FE04A2" w:rsidRPr="00C0444A">
        <w:rPr>
          <w:szCs w:val="18"/>
        </w:rPr>
        <w:t>coal washing</w:t>
      </w:r>
      <w:r w:rsidR="00DC6A03" w:rsidRPr="00C0444A">
        <w:rPr>
          <w:szCs w:val="18"/>
        </w:rPr>
        <w:t>.</w:t>
      </w:r>
      <w:r w:rsidR="00871103" w:rsidRPr="00C0444A">
        <w:rPr>
          <w:szCs w:val="18"/>
        </w:rPr>
        <w:t xml:space="preserve"> </w:t>
      </w:r>
    </w:p>
    <w:p w14:paraId="6F64C414" w14:textId="77777777" w:rsidR="00424C63" w:rsidRPr="00C0444A" w:rsidRDefault="00424C63" w:rsidP="003833D6">
      <w:pPr>
        <w:spacing w:line="300" w:lineRule="atLeast"/>
        <w:jc w:val="both"/>
        <w:rPr>
          <w:rFonts w:ascii="Arial" w:hAnsi="Arial" w:cs="Arial"/>
          <w:b/>
          <w:szCs w:val="18"/>
        </w:rPr>
      </w:pPr>
      <w:r w:rsidRPr="00C0444A">
        <w:rPr>
          <w:rFonts w:ascii="Arial" w:hAnsi="Arial" w:cs="Arial"/>
          <w:b/>
          <w:szCs w:val="18"/>
        </w:rPr>
        <w:t xml:space="preserve">Coal </w:t>
      </w:r>
      <w:r w:rsidR="00A97D5C" w:rsidRPr="00C0444A">
        <w:rPr>
          <w:rFonts w:ascii="Arial" w:hAnsi="Arial" w:cs="Arial"/>
          <w:b/>
          <w:szCs w:val="18"/>
        </w:rPr>
        <w:t>production and use</w:t>
      </w:r>
    </w:p>
    <w:p w14:paraId="0D15CA7B" w14:textId="77777777" w:rsidR="00C0444A" w:rsidRPr="001E553C" w:rsidRDefault="00C0444A" w:rsidP="00C0444A">
      <w:pPr>
        <w:spacing w:line="300" w:lineRule="atLeast"/>
        <w:jc w:val="both"/>
        <w:rPr>
          <w:szCs w:val="18"/>
        </w:rPr>
      </w:pPr>
      <w:r w:rsidRPr="001E553C">
        <w:rPr>
          <w:szCs w:val="18"/>
        </w:rPr>
        <w:t>The Energy Data File (</w:t>
      </w:r>
      <w:r>
        <w:rPr>
          <w:szCs w:val="18"/>
        </w:rPr>
        <w:t>MBIE, 2016</w:t>
      </w:r>
      <w:r w:rsidRPr="001E553C">
        <w:rPr>
          <w:szCs w:val="18"/>
        </w:rPr>
        <w:t>) shows a total national coal consumption in 201</w:t>
      </w:r>
      <w:r>
        <w:rPr>
          <w:szCs w:val="18"/>
        </w:rPr>
        <w:t>6</w:t>
      </w:r>
      <w:r w:rsidRPr="001E553C">
        <w:rPr>
          <w:szCs w:val="18"/>
        </w:rPr>
        <w:t xml:space="preserve"> of </w:t>
      </w:r>
      <w:r>
        <w:rPr>
          <w:szCs w:val="18"/>
        </w:rPr>
        <w:t>about 2,391,573</w:t>
      </w:r>
      <w:r w:rsidRPr="001E553C">
        <w:rPr>
          <w:szCs w:val="18"/>
        </w:rPr>
        <w:t xml:space="preserve"> tonnes, with a further </w:t>
      </w:r>
      <w:r>
        <w:rPr>
          <w:szCs w:val="18"/>
        </w:rPr>
        <w:t>1,187,133</w:t>
      </w:r>
      <w:r w:rsidRPr="001E553C">
        <w:rPr>
          <w:szCs w:val="18"/>
        </w:rPr>
        <w:t xml:space="preserve"> tonnes being exported, entirely from the West Coast. The distribution of the domestic coal consumption across different sectors was as follows:</w:t>
      </w:r>
    </w:p>
    <w:p w14:paraId="18057FBE" w14:textId="77777777" w:rsidR="00C0444A" w:rsidRPr="001E553C" w:rsidRDefault="00C0444A" w:rsidP="00C0444A">
      <w:pPr>
        <w:tabs>
          <w:tab w:val="left" w:pos="5387"/>
        </w:tabs>
        <w:spacing w:line="300" w:lineRule="atLeast"/>
        <w:ind w:firstLine="720"/>
        <w:jc w:val="both"/>
        <w:rPr>
          <w:szCs w:val="18"/>
        </w:rPr>
      </w:pPr>
      <w:r w:rsidRPr="001E553C">
        <w:rPr>
          <w:szCs w:val="18"/>
        </w:rPr>
        <w:t>Electricity gen</w:t>
      </w:r>
      <w:r>
        <w:rPr>
          <w:szCs w:val="18"/>
        </w:rPr>
        <w:t>eration (Huntly)</w:t>
      </w:r>
      <w:r>
        <w:rPr>
          <w:szCs w:val="18"/>
        </w:rPr>
        <w:tab/>
        <w:t>226,727</w:t>
      </w:r>
      <w:r w:rsidRPr="001E553C">
        <w:rPr>
          <w:rStyle w:val="FootnoteReference"/>
          <w:szCs w:val="18"/>
        </w:rPr>
        <w:footnoteReference w:id="5"/>
      </w:r>
    </w:p>
    <w:p w14:paraId="26025233" w14:textId="77777777" w:rsidR="00C0444A" w:rsidRPr="001E553C" w:rsidRDefault="00C0444A" w:rsidP="00C0444A">
      <w:pPr>
        <w:tabs>
          <w:tab w:val="left" w:pos="5387"/>
        </w:tabs>
        <w:spacing w:line="300" w:lineRule="atLeast"/>
        <w:ind w:firstLine="720"/>
        <w:jc w:val="both"/>
        <w:rPr>
          <w:szCs w:val="18"/>
        </w:rPr>
      </w:pPr>
      <w:r w:rsidRPr="001E553C">
        <w:rPr>
          <w:szCs w:val="18"/>
        </w:rPr>
        <w:t>Use</w:t>
      </w:r>
      <w:r>
        <w:rPr>
          <w:szCs w:val="18"/>
        </w:rPr>
        <w:t xml:space="preserve"> in co-generation plants</w:t>
      </w:r>
      <w:r>
        <w:rPr>
          <w:szCs w:val="18"/>
        </w:rPr>
        <w:tab/>
        <w:t>355,120</w:t>
      </w:r>
      <w:r w:rsidRPr="001E553C">
        <w:rPr>
          <w:szCs w:val="18"/>
        </w:rPr>
        <w:t xml:space="preserve"> tonnes</w:t>
      </w:r>
    </w:p>
    <w:p w14:paraId="42182E84" w14:textId="77777777" w:rsidR="00C0444A" w:rsidRPr="001E553C" w:rsidRDefault="00C0444A" w:rsidP="00C0444A">
      <w:pPr>
        <w:tabs>
          <w:tab w:val="left" w:pos="5387"/>
        </w:tabs>
        <w:spacing w:line="300" w:lineRule="atLeast"/>
        <w:ind w:firstLine="720"/>
        <w:jc w:val="both"/>
        <w:rPr>
          <w:szCs w:val="18"/>
        </w:rPr>
      </w:pPr>
      <w:r w:rsidRPr="001E553C">
        <w:rPr>
          <w:szCs w:val="18"/>
        </w:rPr>
        <w:t>Other transformation (ste</w:t>
      </w:r>
      <w:r>
        <w:rPr>
          <w:szCs w:val="18"/>
        </w:rPr>
        <w:t>el manufacture)</w:t>
      </w:r>
      <w:r>
        <w:rPr>
          <w:szCs w:val="18"/>
        </w:rPr>
        <w:tab/>
        <w:t>540,705</w:t>
      </w:r>
      <w:r w:rsidRPr="001E553C">
        <w:rPr>
          <w:szCs w:val="18"/>
        </w:rPr>
        <w:t xml:space="preserve"> tonnes</w:t>
      </w:r>
    </w:p>
    <w:p w14:paraId="34BD5C70" w14:textId="77777777" w:rsidR="00C0444A" w:rsidRPr="001E553C" w:rsidRDefault="00C0444A" w:rsidP="00C0444A">
      <w:pPr>
        <w:tabs>
          <w:tab w:val="left" w:pos="5387"/>
        </w:tabs>
        <w:spacing w:line="300" w:lineRule="atLeast"/>
        <w:ind w:firstLine="720"/>
        <w:jc w:val="both"/>
        <w:rPr>
          <w:szCs w:val="18"/>
        </w:rPr>
      </w:pPr>
      <w:r w:rsidRPr="001E553C">
        <w:rPr>
          <w:szCs w:val="18"/>
        </w:rPr>
        <w:t>Industrial use, agricul</w:t>
      </w:r>
      <w:r>
        <w:rPr>
          <w:szCs w:val="18"/>
        </w:rPr>
        <w:t>ture, forestry and fishing</w:t>
      </w:r>
      <w:r>
        <w:rPr>
          <w:szCs w:val="18"/>
        </w:rPr>
        <w:tab/>
        <w:t>1,097,206</w:t>
      </w:r>
      <w:r w:rsidRPr="001E553C">
        <w:rPr>
          <w:szCs w:val="18"/>
        </w:rPr>
        <w:t xml:space="preserve"> tonnes</w:t>
      </w:r>
    </w:p>
    <w:p w14:paraId="5F901066" w14:textId="77777777" w:rsidR="00C0444A" w:rsidRPr="001E553C" w:rsidRDefault="00C0444A" w:rsidP="00C0444A">
      <w:pPr>
        <w:tabs>
          <w:tab w:val="left" w:pos="5387"/>
        </w:tabs>
        <w:spacing w:line="300" w:lineRule="atLeast"/>
        <w:ind w:firstLine="720"/>
        <w:jc w:val="both"/>
        <w:rPr>
          <w:szCs w:val="18"/>
        </w:rPr>
      </w:pPr>
      <w:r w:rsidRPr="001E553C">
        <w:rPr>
          <w:szCs w:val="18"/>
        </w:rPr>
        <w:t>Com</w:t>
      </w:r>
      <w:r>
        <w:rPr>
          <w:szCs w:val="18"/>
        </w:rPr>
        <w:t>mercial/institutional use</w:t>
      </w:r>
      <w:r>
        <w:rPr>
          <w:szCs w:val="18"/>
        </w:rPr>
        <w:tab/>
        <w:t>66,151</w:t>
      </w:r>
      <w:r w:rsidRPr="001E553C">
        <w:rPr>
          <w:szCs w:val="18"/>
        </w:rPr>
        <w:t xml:space="preserve"> tonnes</w:t>
      </w:r>
    </w:p>
    <w:p w14:paraId="34D1FF7C" w14:textId="77777777" w:rsidR="00C0444A" w:rsidRPr="001E553C" w:rsidRDefault="00C0444A" w:rsidP="00C0444A">
      <w:pPr>
        <w:tabs>
          <w:tab w:val="left" w:pos="5387"/>
        </w:tabs>
        <w:spacing w:line="300" w:lineRule="atLeast"/>
        <w:ind w:firstLine="720"/>
        <w:jc w:val="both"/>
        <w:rPr>
          <w:szCs w:val="18"/>
        </w:rPr>
      </w:pPr>
      <w:r>
        <w:rPr>
          <w:szCs w:val="18"/>
        </w:rPr>
        <w:t>Transport</w:t>
      </w:r>
      <w:r>
        <w:rPr>
          <w:szCs w:val="18"/>
        </w:rPr>
        <w:tab/>
        <w:t>76</w:t>
      </w:r>
      <w:r w:rsidRPr="001E553C">
        <w:rPr>
          <w:szCs w:val="18"/>
        </w:rPr>
        <w:t xml:space="preserve"> tonnes</w:t>
      </w:r>
    </w:p>
    <w:p w14:paraId="7742F722" w14:textId="77777777" w:rsidR="00C0444A" w:rsidRPr="001E553C" w:rsidRDefault="00C0444A" w:rsidP="00C0444A">
      <w:pPr>
        <w:tabs>
          <w:tab w:val="left" w:pos="5387"/>
        </w:tabs>
        <w:spacing w:line="300" w:lineRule="atLeast"/>
        <w:ind w:firstLine="720"/>
        <w:jc w:val="both"/>
        <w:rPr>
          <w:szCs w:val="18"/>
        </w:rPr>
      </w:pPr>
      <w:r>
        <w:rPr>
          <w:szCs w:val="18"/>
        </w:rPr>
        <w:t>Residential use</w:t>
      </w:r>
      <w:r>
        <w:rPr>
          <w:szCs w:val="18"/>
        </w:rPr>
        <w:tab/>
        <w:t>18,979</w:t>
      </w:r>
      <w:r w:rsidRPr="001E553C">
        <w:rPr>
          <w:szCs w:val="18"/>
        </w:rPr>
        <w:t xml:space="preserve"> tonnes</w:t>
      </w:r>
    </w:p>
    <w:p w14:paraId="5F0FD14E" w14:textId="77777777" w:rsidR="00C0444A" w:rsidRPr="001E553C" w:rsidRDefault="00C0444A" w:rsidP="00C0444A">
      <w:pPr>
        <w:tabs>
          <w:tab w:val="left" w:pos="5387"/>
        </w:tabs>
        <w:spacing w:line="300" w:lineRule="atLeast"/>
        <w:ind w:firstLine="720"/>
        <w:jc w:val="both"/>
        <w:rPr>
          <w:szCs w:val="18"/>
        </w:rPr>
      </w:pPr>
      <w:r>
        <w:rPr>
          <w:szCs w:val="18"/>
        </w:rPr>
        <w:t>Production losses</w:t>
      </w:r>
      <w:r>
        <w:rPr>
          <w:szCs w:val="18"/>
        </w:rPr>
        <w:tab/>
        <w:t>86,609</w:t>
      </w:r>
      <w:r w:rsidRPr="001E553C">
        <w:rPr>
          <w:szCs w:val="18"/>
        </w:rPr>
        <w:t xml:space="preserve"> tonnes</w:t>
      </w:r>
    </w:p>
    <w:p w14:paraId="7CDD8436" w14:textId="77777777" w:rsidR="00C0444A" w:rsidRPr="001E553C" w:rsidRDefault="00C0444A" w:rsidP="00C0444A">
      <w:pPr>
        <w:spacing w:line="300" w:lineRule="atLeast"/>
        <w:jc w:val="both"/>
        <w:rPr>
          <w:szCs w:val="18"/>
        </w:rPr>
      </w:pPr>
      <w:r w:rsidRPr="001E553C">
        <w:rPr>
          <w:szCs w:val="18"/>
        </w:rPr>
        <w:t>The figure for total coal consump</w:t>
      </w:r>
      <w:r>
        <w:rPr>
          <w:szCs w:val="18"/>
        </w:rPr>
        <w:t>tion (2,391,573</w:t>
      </w:r>
      <w:r w:rsidRPr="001E553C">
        <w:rPr>
          <w:szCs w:val="18"/>
        </w:rPr>
        <w:t xml:space="preserve"> tonnes) has been used as a starting point for the input estimates. However, the following uses have been subtracted from this total, because they are covered elsewhere: </w:t>
      </w:r>
    </w:p>
    <w:p w14:paraId="5925F484" w14:textId="77777777" w:rsidR="00C0444A" w:rsidRPr="001E553C" w:rsidRDefault="00C0444A" w:rsidP="00C0444A">
      <w:pPr>
        <w:tabs>
          <w:tab w:val="left" w:pos="3969"/>
        </w:tabs>
        <w:spacing w:line="300" w:lineRule="atLeast"/>
        <w:ind w:left="720"/>
        <w:jc w:val="both"/>
        <w:rPr>
          <w:szCs w:val="18"/>
        </w:rPr>
      </w:pPr>
      <w:r>
        <w:rPr>
          <w:szCs w:val="18"/>
        </w:rPr>
        <w:t>Electricity generation</w:t>
      </w:r>
      <w:r>
        <w:rPr>
          <w:szCs w:val="18"/>
        </w:rPr>
        <w:tab/>
        <w:t>226,727</w:t>
      </w:r>
      <w:r w:rsidRPr="001E553C">
        <w:rPr>
          <w:szCs w:val="18"/>
        </w:rPr>
        <w:t xml:space="preserve"> tonnes</w:t>
      </w:r>
    </w:p>
    <w:p w14:paraId="2022512F" w14:textId="77777777" w:rsidR="00C0444A" w:rsidRPr="001E553C" w:rsidRDefault="00C0444A" w:rsidP="00C0444A">
      <w:pPr>
        <w:tabs>
          <w:tab w:val="left" w:pos="3969"/>
        </w:tabs>
        <w:spacing w:line="300" w:lineRule="atLeast"/>
        <w:ind w:left="720"/>
        <w:jc w:val="both"/>
        <w:rPr>
          <w:szCs w:val="18"/>
        </w:rPr>
      </w:pPr>
      <w:r>
        <w:rPr>
          <w:szCs w:val="18"/>
        </w:rPr>
        <w:t>Steel manufacturing</w:t>
      </w:r>
      <w:r>
        <w:rPr>
          <w:szCs w:val="18"/>
        </w:rPr>
        <w:tab/>
        <w:t>847,920</w:t>
      </w:r>
      <w:r w:rsidRPr="001E553C">
        <w:rPr>
          <w:szCs w:val="18"/>
        </w:rPr>
        <w:t xml:space="preserve"> tonnes</w:t>
      </w:r>
      <w:r w:rsidRPr="001E553C">
        <w:rPr>
          <w:rStyle w:val="FootnoteReference"/>
          <w:szCs w:val="18"/>
        </w:rPr>
        <w:footnoteReference w:id="6"/>
      </w:r>
    </w:p>
    <w:p w14:paraId="5F913AC2" w14:textId="664795D8" w:rsidR="00C0444A" w:rsidRPr="001E553C" w:rsidRDefault="00C0444A" w:rsidP="00DF16F4">
      <w:pPr>
        <w:tabs>
          <w:tab w:val="left" w:pos="3969"/>
        </w:tabs>
        <w:spacing w:line="300" w:lineRule="atLeast"/>
        <w:ind w:left="3969" w:hanging="3249"/>
        <w:jc w:val="both"/>
        <w:rPr>
          <w:szCs w:val="18"/>
        </w:rPr>
      </w:pPr>
      <w:r w:rsidRPr="001E553C">
        <w:rPr>
          <w:szCs w:val="18"/>
        </w:rPr>
        <w:t>Cement and lime manufacturing</w:t>
      </w:r>
      <w:r w:rsidRPr="001E553C">
        <w:rPr>
          <w:szCs w:val="18"/>
        </w:rPr>
        <w:tab/>
        <w:t>140,000 tonnes.</w:t>
      </w:r>
      <w:r>
        <w:rPr>
          <w:szCs w:val="18"/>
        </w:rPr>
        <w:t xml:space="preserve"> (Note this is </w:t>
      </w:r>
      <w:r w:rsidR="00DF16F4">
        <w:rPr>
          <w:szCs w:val="18"/>
        </w:rPr>
        <w:t>based on</w:t>
      </w:r>
      <w:r>
        <w:rPr>
          <w:szCs w:val="18"/>
        </w:rPr>
        <w:t xml:space="preserve"> 2012</w:t>
      </w:r>
      <w:r w:rsidR="00DF16F4">
        <w:rPr>
          <w:szCs w:val="18"/>
        </w:rPr>
        <w:t xml:space="preserve"> data since a more recent figure is not available. The quantity may have dropped in 2016 due to the closure of the Westport cement plant.</w:t>
      </w:r>
      <w:r>
        <w:rPr>
          <w:szCs w:val="18"/>
        </w:rPr>
        <w:t>)</w:t>
      </w:r>
    </w:p>
    <w:p w14:paraId="618817A4" w14:textId="77777777" w:rsidR="00C0444A" w:rsidRPr="001E553C" w:rsidRDefault="00C0444A" w:rsidP="00C0444A">
      <w:pPr>
        <w:spacing w:line="300" w:lineRule="atLeast"/>
        <w:jc w:val="both"/>
        <w:rPr>
          <w:szCs w:val="18"/>
        </w:rPr>
      </w:pPr>
      <w:r w:rsidRPr="001E553C">
        <w:rPr>
          <w:szCs w:val="18"/>
        </w:rPr>
        <w:t>This gives a result for total coal consumption for the O</w:t>
      </w:r>
      <w:r>
        <w:rPr>
          <w:szCs w:val="18"/>
        </w:rPr>
        <w:t>ther Coal Use category, of 1.177</w:t>
      </w:r>
      <w:r w:rsidRPr="001E553C">
        <w:rPr>
          <w:szCs w:val="18"/>
        </w:rPr>
        <w:t xml:space="preserve"> million tonnes. This coal is produced in different parts of the country, with the following approximate distribution, which is based on the distributi</w:t>
      </w:r>
      <w:r>
        <w:rPr>
          <w:szCs w:val="18"/>
        </w:rPr>
        <w:t>on of the coal production data for 2015</w:t>
      </w:r>
      <w:r w:rsidRPr="001E553C">
        <w:rPr>
          <w:rStyle w:val="FootnoteReference"/>
          <w:szCs w:val="18"/>
        </w:rPr>
        <w:footnoteReference w:id="7"/>
      </w:r>
      <w:r w:rsidRPr="001E553C">
        <w:rPr>
          <w:szCs w:val="18"/>
        </w:rPr>
        <w:t>, after adjustment for the major uses noted previously:</w:t>
      </w:r>
    </w:p>
    <w:p w14:paraId="3CFFCF63" w14:textId="77777777" w:rsidR="00C0444A" w:rsidRPr="001E553C" w:rsidRDefault="00C0444A" w:rsidP="00C0444A">
      <w:pPr>
        <w:tabs>
          <w:tab w:val="left" w:pos="3969"/>
        </w:tabs>
        <w:spacing w:line="300" w:lineRule="atLeast"/>
        <w:ind w:left="720"/>
        <w:jc w:val="both"/>
        <w:rPr>
          <w:szCs w:val="18"/>
        </w:rPr>
      </w:pPr>
      <w:r>
        <w:rPr>
          <w:szCs w:val="18"/>
        </w:rPr>
        <w:t>Waikato coal</w:t>
      </w:r>
      <w:r>
        <w:rPr>
          <w:szCs w:val="18"/>
        </w:rPr>
        <w:tab/>
        <w:t>224</w:t>
      </w:r>
      <w:r w:rsidRPr="001E553C">
        <w:rPr>
          <w:szCs w:val="18"/>
        </w:rPr>
        <w:t>,000 tonnes</w:t>
      </w:r>
    </w:p>
    <w:p w14:paraId="3CC3D684" w14:textId="77777777" w:rsidR="00C0444A" w:rsidRPr="001E553C" w:rsidRDefault="00C0444A" w:rsidP="00C0444A">
      <w:pPr>
        <w:tabs>
          <w:tab w:val="left" w:pos="3969"/>
        </w:tabs>
        <w:spacing w:line="300" w:lineRule="atLeast"/>
        <w:ind w:left="720"/>
        <w:jc w:val="both"/>
        <w:rPr>
          <w:szCs w:val="18"/>
        </w:rPr>
      </w:pPr>
      <w:r w:rsidRPr="001E553C">
        <w:rPr>
          <w:szCs w:val="18"/>
        </w:rPr>
        <w:t>South Island coal</w:t>
      </w:r>
      <w:r w:rsidRPr="001E553C">
        <w:rPr>
          <w:rStyle w:val="FootnoteReference"/>
          <w:szCs w:val="18"/>
        </w:rPr>
        <w:footnoteReference w:id="8"/>
      </w:r>
      <w:r>
        <w:rPr>
          <w:szCs w:val="18"/>
        </w:rPr>
        <w:tab/>
        <w:t>640</w:t>
      </w:r>
      <w:r w:rsidRPr="001E553C">
        <w:rPr>
          <w:szCs w:val="18"/>
        </w:rPr>
        <w:t>,000 tonnes</w:t>
      </w:r>
    </w:p>
    <w:p w14:paraId="40095FB8" w14:textId="77777777" w:rsidR="00C0444A" w:rsidRPr="001E553C" w:rsidRDefault="00C0444A" w:rsidP="00C0444A">
      <w:pPr>
        <w:tabs>
          <w:tab w:val="left" w:pos="3969"/>
        </w:tabs>
        <w:spacing w:line="300" w:lineRule="atLeast"/>
        <w:ind w:left="720"/>
        <w:jc w:val="both"/>
        <w:rPr>
          <w:szCs w:val="18"/>
        </w:rPr>
      </w:pPr>
      <w:r>
        <w:rPr>
          <w:szCs w:val="18"/>
        </w:rPr>
        <w:t>Southland lignite</w:t>
      </w:r>
      <w:r>
        <w:rPr>
          <w:szCs w:val="18"/>
        </w:rPr>
        <w:tab/>
        <w:t>313</w:t>
      </w:r>
      <w:r w:rsidRPr="001E553C">
        <w:rPr>
          <w:szCs w:val="18"/>
        </w:rPr>
        <w:t>,000 tonnes</w:t>
      </w:r>
    </w:p>
    <w:p w14:paraId="365FB631" w14:textId="77777777" w:rsidR="0098484A" w:rsidRPr="00C0444A" w:rsidRDefault="0098484A" w:rsidP="009048D3">
      <w:pPr>
        <w:spacing w:line="300" w:lineRule="atLeast"/>
        <w:jc w:val="both"/>
        <w:rPr>
          <w:rFonts w:ascii="Arial" w:hAnsi="Arial" w:cs="Arial"/>
          <w:b/>
          <w:szCs w:val="18"/>
        </w:rPr>
      </w:pPr>
      <w:r w:rsidRPr="00C0444A">
        <w:rPr>
          <w:rFonts w:ascii="Arial" w:hAnsi="Arial" w:cs="Arial"/>
          <w:b/>
          <w:szCs w:val="18"/>
        </w:rPr>
        <w:t xml:space="preserve">Coal </w:t>
      </w:r>
      <w:r w:rsidR="00A97D5C" w:rsidRPr="00C0444A">
        <w:rPr>
          <w:rFonts w:ascii="Arial" w:hAnsi="Arial" w:cs="Arial"/>
          <w:b/>
          <w:szCs w:val="18"/>
        </w:rPr>
        <w:t>mercury content</w:t>
      </w:r>
    </w:p>
    <w:p w14:paraId="10DD399D" w14:textId="77777777" w:rsidR="00AE2761" w:rsidRPr="00C0444A" w:rsidRDefault="005522E7" w:rsidP="009048D3">
      <w:pPr>
        <w:spacing w:line="300" w:lineRule="atLeast"/>
        <w:jc w:val="both"/>
        <w:rPr>
          <w:szCs w:val="18"/>
        </w:rPr>
      </w:pPr>
      <w:r w:rsidRPr="00C0444A">
        <w:rPr>
          <w:szCs w:val="18"/>
        </w:rPr>
        <w:lastRenderedPageBreak/>
        <w:t xml:space="preserve">The mercury content of coal varies </w:t>
      </w:r>
      <w:r w:rsidR="00E2046D" w:rsidRPr="00C0444A">
        <w:rPr>
          <w:szCs w:val="18"/>
        </w:rPr>
        <w:t>across different coal mines, and can also vary markedly within each coal seam. For example, Li (2002) reported a range of 0.009 to 0.193 mg/kg, with a mean value of 0.034 mg/kg, for thirty samples taken from within a single coal s</w:t>
      </w:r>
      <w:r w:rsidR="00AE2761" w:rsidRPr="00C0444A">
        <w:rPr>
          <w:szCs w:val="18"/>
        </w:rPr>
        <w:t>eam at the Stockton mine.</w:t>
      </w:r>
    </w:p>
    <w:p w14:paraId="11F7FE46" w14:textId="77777777" w:rsidR="002454C3" w:rsidRPr="00C0444A" w:rsidRDefault="00AE2761" w:rsidP="009048D3">
      <w:pPr>
        <w:spacing w:line="300" w:lineRule="atLeast"/>
        <w:jc w:val="both"/>
        <w:rPr>
          <w:szCs w:val="18"/>
        </w:rPr>
      </w:pPr>
      <w:r w:rsidRPr="00C0444A">
        <w:rPr>
          <w:szCs w:val="18"/>
        </w:rPr>
        <w:t>The only published data available on the mercury content of New Zealand coals is that quoted previously for Huntly Power Station, the Stockton data noted above, and the following indicative values listed by Li (2002) from an unpublished CRL Energy report: West Coast coal</w:t>
      </w:r>
      <w:r w:rsidR="00644004" w:rsidRPr="00C0444A">
        <w:rPr>
          <w:szCs w:val="18"/>
        </w:rPr>
        <w:t>,</w:t>
      </w:r>
      <w:r w:rsidRPr="00C0444A">
        <w:rPr>
          <w:szCs w:val="18"/>
        </w:rPr>
        <w:t xml:space="preserve"> 0.07 mg/kg; </w:t>
      </w:r>
      <w:r w:rsidR="00644004" w:rsidRPr="00C0444A">
        <w:rPr>
          <w:szCs w:val="18"/>
        </w:rPr>
        <w:t xml:space="preserve">Southland coal, </w:t>
      </w:r>
      <w:r w:rsidR="00964BDB" w:rsidRPr="00C0444A">
        <w:rPr>
          <w:szCs w:val="18"/>
        </w:rPr>
        <w:t xml:space="preserve">0.06 - </w:t>
      </w:r>
      <w:r w:rsidR="00644004" w:rsidRPr="00C0444A">
        <w:rPr>
          <w:szCs w:val="18"/>
        </w:rPr>
        <w:t xml:space="preserve">0.07 mg/kg; </w:t>
      </w:r>
      <w:r w:rsidRPr="00C0444A">
        <w:rPr>
          <w:szCs w:val="18"/>
        </w:rPr>
        <w:t>Waikato coal</w:t>
      </w:r>
      <w:r w:rsidR="00644004" w:rsidRPr="00C0444A">
        <w:rPr>
          <w:szCs w:val="18"/>
        </w:rPr>
        <w:t>,</w:t>
      </w:r>
      <w:r w:rsidRPr="00C0444A">
        <w:rPr>
          <w:szCs w:val="18"/>
        </w:rPr>
        <w:t xml:space="preserve"> 0.07 – 0.12 mg/kg. </w:t>
      </w:r>
      <w:r w:rsidR="00E71F3E" w:rsidRPr="00C0444A">
        <w:rPr>
          <w:szCs w:val="18"/>
        </w:rPr>
        <w:t>In addition, CRL Energy has provided the following indicative values: Waikato coal, 0.2 mg/kg; West Coast coal, 0.1 mg/kg, Southland lignite, 0.25 mg/kg (N. Newman,</w:t>
      </w:r>
      <w:r w:rsidR="00FD0BE8" w:rsidRPr="00C0444A">
        <w:rPr>
          <w:szCs w:val="18"/>
        </w:rPr>
        <w:t xml:space="preserve"> </w:t>
      </w:r>
      <w:r w:rsidR="00964BDB" w:rsidRPr="00C0444A">
        <w:rPr>
          <w:szCs w:val="18"/>
        </w:rPr>
        <w:t>CRL Energy,</w:t>
      </w:r>
      <w:r w:rsidR="00E71F3E" w:rsidRPr="00C0444A">
        <w:rPr>
          <w:szCs w:val="18"/>
        </w:rPr>
        <w:t xml:space="preserve"> </w:t>
      </w:r>
      <w:proofErr w:type="spellStart"/>
      <w:r w:rsidR="00E71F3E" w:rsidRPr="00C0444A">
        <w:rPr>
          <w:szCs w:val="18"/>
        </w:rPr>
        <w:t>pers</w:t>
      </w:r>
      <w:proofErr w:type="spellEnd"/>
      <w:r w:rsidR="00E71F3E" w:rsidRPr="00C0444A">
        <w:rPr>
          <w:szCs w:val="18"/>
        </w:rPr>
        <w:t xml:space="preserve"> </w:t>
      </w:r>
      <w:proofErr w:type="spellStart"/>
      <w:r w:rsidR="00E71F3E" w:rsidRPr="00C0444A">
        <w:rPr>
          <w:szCs w:val="18"/>
        </w:rPr>
        <w:t>comm</w:t>
      </w:r>
      <w:proofErr w:type="spellEnd"/>
      <w:r w:rsidR="00E71F3E" w:rsidRPr="00C0444A">
        <w:rPr>
          <w:szCs w:val="18"/>
        </w:rPr>
        <w:t>, 2013).</w:t>
      </w:r>
      <w:r w:rsidR="00980390" w:rsidRPr="00C0444A">
        <w:rPr>
          <w:szCs w:val="18"/>
        </w:rPr>
        <w:t xml:space="preserve"> </w:t>
      </w:r>
    </w:p>
    <w:p w14:paraId="71E28CC8" w14:textId="77777777" w:rsidR="009048D3" w:rsidRPr="00C0444A" w:rsidRDefault="002454C3" w:rsidP="009048D3">
      <w:pPr>
        <w:spacing w:line="300" w:lineRule="atLeast"/>
        <w:jc w:val="both"/>
        <w:rPr>
          <w:szCs w:val="18"/>
        </w:rPr>
      </w:pPr>
      <w:r w:rsidRPr="00C0444A">
        <w:rPr>
          <w:szCs w:val="18"/>
        </w:rPr>
        <w:t xml:space="preserve">The </w:t>
      </w:r>
      <w:r w:rsidR="0098484A" w:rsidRPr="00C0444A">
        <w:rPr>
          <w:szCs w:val="18"/>
        </w:rPr>
        <w:t xml:space="preserve">CRL Energy estimates for mercury content </w:t>
      </w:r>
      <w:r w:rsidRPr="00C0444A">
        <w:rPr>
          <w:szCs w:val="18"/>
        </w:rPr>
        <w:t xml:space="preserve">are either towards the top of, or </w:t>
      </w:r>
      <w:r w:rsidR="00FD0BE8" w:rsidRPr="00C0444A">
        <w:rPr>
          <w:szCs w:val="18"/>
        </w:rPr>
        <w:t>above,</w:t>
      </w:r>
      <w:r w:rsidRPr="00C0444A">
        <w:rPr>
          <w:szCs w:val="18"/>
        </w:rPr>
        <w:t xml:space="preserve"> the ranges given in the published sources, and </w:t>
      </w:r>
      <w:r w:rsidR="00542258" w:rsidRPr="00C0444A">
        <w:rPr>
          <w:szCs w:val="18"/>
        </w:rPr>
        <w:t>have been</w:t>
      </w:r>
      <w:r w:rsidRPr="00C0444A">
        <w:rPr>
          <w:szCs w:val="18"/>
        </w:rPr>
        <w:t xml:space="preserve"> taken as upper estimates </w:t>
      </w:r>
      <w:r w:rsidR="0098484A" w:rsidRPr="00C0444A">
        <w:rPr>
          <w:szCs w:val="18"/>
        </w:rPr>
        <w:t xml:space="preserve">for the range of possible </w:t>
      </w:r>
      <w:r w:rsidRPr="00C0444A">
        <w:rPr>
          <w:szCs w:val="18"/>
        </w:rPr>
        <w:t>mercury content</w:t>
      </w:r>
      <w:r w:rsidR="00964BDB" w:rsidRPr="00C0444A">
        <w:rPr>
          <w:szCs w:val="18"/>
        </w:rPr>
        <w:t xml:space="preserve">s. </w:t>
      </w:r>
      <w:r w:rsidR="0098484A" w:rsidRPr="00C0444A">
        <w:rPr>
          <w:szCs w:val="18"/>
        </w:rPr>
        <w:t xml:space="preserve">In addition, the West Coast figure </w:t>
      </w:r>
      <w:r w:rsidR="00542258" w:rsidRPr="00C0444A">
        <w:rPr>
          <w:szCs w:val="18"/>
        </w:rPr>
        <w:t>has been</w:t>
      </w:r>
      <w:r w:rsidR="0098484A" w:rsidRPr="00C0444A">
        <w:rPr>
          <w:szCs w:val="18"/>
        </w:rPr>
        <w:t xml:space="preserve"> assumed to apply to </w:t>
      </w:r>
      <w:r w:rsidR="00500691" w:rsidRPr="00C0444A">
        <w:rPr>
          <w:szCs w:val="18"/>
        </w:rPr>
        <w:t xml:space="preserve">all </w:t>
      </w:r>
      <w:r w:rsidR="0098484A" w:rsidRPr="00C0444A">
        <w:rPr>
          <w:szCs w:val="18"/>
        </w:rPr>
        <w:t>South</w:t>
      </w:r>
      <w:r w:rsidR="00500691" w:rsidRPr="00C0444A">
        <w:rPr>
          <w:szCs w:val="18"/>
        </w:rPr>
        <w:t xml:space="preserve"> Is</w:t>
      </w:r>
      <w:r w:rsidR="0098484A" w:rsidRPr="00C0444A">
        <w:rPr>
          <w:szCs w:val="18"/>
        </w:rPr>
        <w:t>land coal.</w:t>
      </w:r>
      <w:r w:rsidRPr="00C0444A">
        <w:rPr>
          <w:szCs w:val="18"/>
        </w:rPr>
        <w:t xml:space="preserve"> The lower limit for each of the coal types </w:t>
      </w:r>
      <w:r w:rsidR="00542258" w:rsidRPr="00C0444A">
        <w:rPr>
          <w:szCs w:val="18"/>
        </w:rPr>
        <w:t>has been</w:t>
      </w:r>
      <w:r w:rsidRPr="00C0444A">
        <w:rPr>
          <w:szCs w:val="18"/>
        </w:rPr>
        <w:t xml:space="preserve"> based on the following values: Waikato coal, 0.0</w:t>
      </w:r>
      <w:r w:rsidR="007D0B62" w:rsidRPr="00C0444A">
        <w:rPr>
          <w:szCs w:val="18"/>
        </w:rPr>
        <w:t>4</w:t>
      </w:r>
      <w:r w:rsidRPr="00C0444A">
        <w:rPr>
          <w:szCs w:val="18"/>
        </w:rPr>
        <w:t xml:space="preserve"> mg/kg; South</w:t>
      </w:r>
      <w:r w:rsidR="00500691" w:rsidRPr="00C0444A">
        <w:rPr>
          <w:szCs w:val="18"/>
        </w:rPr>
        <w:t xml:space="preserve"> Is</w:t>
      </w:r>
      <w:r w:rsidRPr="00C0444A">
        <w:rPr>
          <w:szCs w:val="18"/>
        </w:rPr>
        <w:t>land coal, 0.0</w:t>
      </w:r>
      <w:r w:rsidR="007D0B62" w:rsidRPr="00C0444A">
        <w:rPr>
          <w:szCs w:val="18"/>
        </w:rPr>
        <w:t>3</w:t>
      </w:r>
      <w:r w:rsidRPr="00C0444A">
        <w:rPr>
          <w:szCs w:val="18"/>
        </w:rPr>
        <w:t xml:space="preserve"> mg/kg; Southland lignite, 0.</w:t>
      </w:r>
      <w:r w:rsidR="007D0B62" w:rsidRPr="00C0444A">
        <w:rPr>
          <w:szCs w:val="18"/>
        </w:rPr>
        <w:t>06</w:t>
      </w:r>
      <w:r w:rsidRPr="00C0444A">
        <w:rPr>
          <w:szCs w:val="18"/>
        </w:rPr>
        <w:t xml:space="preserve"> mg/kg.</w:t>
      </w:r>
      <w:r w:rsidR="004421BB" w:rsidRPr="00C0444A">
        <w:rPr>
          <w:szCs w:val="18"/>
        </w:rPr>
        <w:t xml:space="preserve"> </w:t>
      </w:r>
    </w:p>
    <w:p w14:paraId="1B3FCE31" w14:textId="77777777" w:rsidR="00500691" w:rsidRPr="00C0444A" w:rsidRDefault="00500691" w:rsidP="00964BDB">
      <w:pPr>
        <w:spacing w:line="300" w:lineRule="atLeast"/>
        <w:jc w:val="both"/>
        <w:rPr>
          <w:rFonts w:ascii="Arial" w:hAnsi="Arial" w:cs="Arial"/>
          <w:b/>
          <w:szCs w:val="18"/>
        </w:rPr>
      </w:pPr>
      <w:r w:rsidRPr="00C0444A">
        <w:rPr>
          <w:rFonts w:ascii="Arial" w:hAnsi="Arial" w:cs="Arial"/>
          <w:b/>
          <w:szCs w:val="18"/>
        </w:rPr>
        <w:t xml:space="preserve">Input and </w:t>
      </w:r>
      <w:r w:rsidR="00A97D5C" w:rsidRPr="00C0444A">
        <w:rPr>
          <w:rFonts w:ascii="Arial" w:hAnsi="Arial" w:cs="Arial"/>
          <w:b/>
          <w:szCs w:val="18"/>
        </w:rPr>
        <w:t>output estimates</w:t>
      </w:r>
    </w:p>
    <w:p w14:paraId="79D5F940" w14:textId="2662323D" w:rsidR="00D72C9B" w:rsidRPr="00C0444A" w:rsidRDefault="004B39B7" w:rsidP="00964BDB">
      <w:pPr>
        <w:spacing w:line="300" w:lineRule="atLeast"/>
        <w:jc w:val="both"/>
        <w:rPr>
          <w:szCs w:val="18"/>
        </w:rPr>
      </w:pPr>
      <w:r w:rsidRPr="00C0444A">
        <w:rPr>
          <w:szCs w:val="18"/>
        </w:rPr>
        <w:t xml:space="preserve">The coal usage in this category is split across numerous industrial and commercial boilers, with a very minor proportion (0.1%) used for domestic heating and cooking. </w:t>
      </w:r>
      <w:r w:rsidR="003E567B" w:rsidRPr="00C0444A">
        <w:rPr>
          <w:szCs w:val="18"/>
        </w:rPr>
        <w:t xml:space="preserve">There are about </w:t>
      </w:r>
      <w:r w:rsidR="002227CB" w:rsidRPr="00C0444A">
        <w:rPr>
          <w:szCs w:val="18"/>
        </w:rPr>
        <w:t>1</w:t>
      </w:r>
      <w:r w:rsidR="003E567B" w:rsidRPr="00C0444A">
        <w:rPr>
          <w:szCs w:val="18"/>
        </w:rPr>
        <w:t xml:space="preserve">60 coal-fired boilers in New Zealand ranging in size from 1 to </w:t>
      </w:r>
      <w:r w:rsidR="002227CB" w:rsidRPr="00C0444A">
        <w:rPr>
          <w:szCs w:val="18"/>
        </w:rPr>
        <w:t>43</w:t>
      </w:r>
      <w:r w:rsidR="003E567B" w:rsidRPr="00C0444A">
        <w:rPr>
          <w:szCs w:val="18"/>
        </w:rPr>
        <w:t xml:space="preserve"> MW (</w:t>
      </w:r>
      <w:r w:rsidR="00C768F3" w:rsidRPr="00C0444A">
        <w:rPr>
          <w:szCs w:val="18"/>
        </w:rPr>
        <w:t>CRL Energy</w:t>
      </w:r>
      <w:r w:rsidR="003E567B" w:rsidRPr="00C0444A">
        <w:rPr>
          <w:szCs w:val="18"/>
        </w:rPr>
        <w:t>, 201</w:t>
      </w:r>
      <w:r w:rsidR="00C768F3" w:rsidRPr="00C0444A">
        <w:rPr>
          <w:szCs w:val="18"/>
        </w:rPr>
        <w:t>1</w:t>
      </w:r>
      <w:r w:rsidR="003E567B" w:rsidRPr="00C0444A">
        <w:rPr>
          <w:szCs w:val="18"/>
        </w:rPr>
        <w:t xml:space="preserve">). Most New Zealand boilers have cyclones for the control of particulate emissions and some also have bag filters. However, the Toolkit makes no distinction between these systems and suggests default </w:t>
      </w:r>
      <w:r w:rsidR="00D72C9B" w:rsidRPr="00C0444A">
        <w:rPr>
          <w:szCs w:val="18"/>
        </w:rPr>
        <w:t xml:space="preserve">distribution factors </w:t>
      </w:r>
      <w:r w:rsidR="003E567B" w:rsidRPr="00C0444A">
        <w:rPr>
          <w:szCs w:val="18"/>
        </w:rPr>
        <w:t xml:space="preserve">of </w:t>
      </w:r>
      <w:r w:rsidR="00D72C9B" w:rsidRPr="00C0444A">
        <w:rPr>
          <w:szCs w:val="18"/>
        </w:rPr>
        <w:t>9</w:t>
      </w:r>
      <w:r w:rsidR="003E567B" w:rsidRPr="00C0444A">
        <w:rPr>
          <w:szCs w:val="18"/>
        </w:rPr>
        <w:t>5</w:t>
      </w:r>
      <w:r w:rsidR="00D72C9B" w:rsidRPr="00C0444A">
        <w:rPr>
          <w:szCs w:val="18"/>
        </w:rPr>
        <w:t xml:space="preserve">% </w:t>
      </w:r>
      <w:r w:rsidR="003E567B" w:rsidRPr="00C0444A">
        <w:rPr>
          <w:szCs w:val="18"/>
        </w:rPr>
        <w:t xml:space="preserve">mercury discharges to </w:t>
      </w:r>
      <w:r w:rsidR="00D72C9B" w:rsidRPr="00C0444A">
        <w:rPr>
          <w:szCs w:val="18"/>
        </w:rPr>
        <w:t>air</w:t>
      </w:r>
      <w:r w:rsidR="003E567B" w:rsidRPr="00C0444A">
        <w:rPr>
          <w:szCs w:val="18"/>
        </w:rPr>
        <w:t xml:space="preserve"> and 5</w:t>
      </w:r>
      <w:r w:rsidR="00D72C9B" w:rsidRPr="00C0444A">
        <w:rPr>
          <w:szCs w:val="18"/>
        </w:rPr>
        <w:t xml:space="preserve">% </w:t>
      </w:r>
      <w:r w:rsidR="003E567B" w:rsidRPr="00C0444A">
        <w:rPr>
          <w:szCs w:val="18"/>
        </w:rPr>
        <w:t>to waste</w:t>
      </w:r>
      <w:r w:rsidR="00D72C9B" w:rsidRPr="00C0444A">
        <w:rPr>
          <w:szCs w:val="18"/>
        </w:rPr>
        <w:t>.</w:t>
      </w:r>
      <w:r w:rsidR="003E567B" w:rsidRPr="00C0444A">
        <w:rPr>
          <w:szCs w:val="18"/>
        </w:rPr>
        <w:t xml:space="preserve"> </w:t>
      </w:r>
      <w:r w:rsidR="00B075A6" w:rsidRPr="00C0444A">
        <w:rPr>
          <w:szCs w:val="18"/>
        </w:rPr>
        <w:t>As noted previously in section 3.1, some of the studies noted in the Toolkit have suggested a 7</w:t>
      </w:r>
      <w:r w:rsidR="00520B74" w:rsidRPr="00C0444A">
        <w:rPr>
          <w:szCs w:val="18"/>
        </w:rPr>
        <w:t>5</w:t>
      </w:r>
      <w:r w:rsidR="00B075A6" w:rsidRPr="00C0444A">
        <w:rPr>
          <w:szCs w:val="18"/>
        </w:rPr>
        <w:t>/25% distribution. Hence, the output calculations shown below may be over-estimating the releases to air and under-estimating the releases via ash.</w:t>
      </w:r>
      <w:r w:rsidR="003E567B" w:rsidRPr="00C0444A">
        <w:rPr>
          <w:szCs w:val="18"/>
        </w:rPr>
        <w:t xml:space="preserve"> The</w:t>
      </w:r>
      <w:r w:rsidR="00B075A6" w:rsidRPr="00C0444A">
        <w:rPr>
          <w:szCs w:val="18"/>
        </w:rPr>
        <w:t xml:space="preserve"> Toolkit default</w:t>
      </w:r>
      <w:r w:rsidR="003E567B" w:rsidRPr="00C0444A">
        <w:rPr>
          <w:szCs w:val="18"/>
        </w:rPr>
        <w:t xml:space="preserve"> factors </w:t>
      </w:r>
      <w:r w:rsidR="00B075A6" w:rsidRPr="00C0444A">
        <w:rPr>
          <w:szCs w:val="18"/>
        </w:rPr>
        <w:t>have been</w:t>
      </w:r>
      <w:r w:rsidR="003E567B" w:rsidRPr="00C0444A">
        <w:rPr>
          <w:szCs w:val="18"/>
        </w:rPr>
        <w:t xml:space="preserve"> applied to all of the coal usage in this category.</w:t>
      </w:r>
    </w:p>
    <w:p w14:paraId="20C80915" w14:textId="77777777" w:rsidR="00964BDB" w:rsidRPr="00C0444A" w:rsidRDefault="00964BDB" w:rsidP="006C2851">
      <w:pPr>
        <w:spacing w:line="300" w:lineRule="atLeast"/>
        <w:jc w:val="both"/>
        <w:rPr>
          <w:szCs w:val="18"/>
        </w:rPr>
      </w:pPr>
      <w:r w:rsidRPr="00C0444A">
        <w:rPr>
          <w:szCs w:val="18"/>
        </w:rPr>
        <w:t xml:space="preserve">The mercury input and output calculations for </w:t>
      </w:r>
      <w:r w:rsidR="00500691" w:rsidRPr="00C0444A">
        <w:rPr>
          <w:szCs w:val="18"/>
        </w:rPr>
        <w:t>Other Coal Combustion</w:t>
      </w:r>
      <w:r w:rsidRPr="00C0444A">
        <w:rPr>
          <w:szCs w:val="18"/>
        </w:rPr>
        <w:t xml:space="preserve"> are shown in</w:t>
      </w:r>
      <w:r w:rsidR="006C2851" w:rsidRPr="00C0444A">
        <w:rPr>
          <w:szCs w:val="18"/>
        </w:rPr>
        <w:t xml:space="preserve"> Table 3-3. </w:t>
      </w:r>
    </w:p>
    <w:p w14:paraId="351135C8" w14:textId="77777777" w:rsidR="00964BDB" w:rsidRPr="00C0444A" w:rsidRDefault="00964BDB" w:rsidP="00C768F3">
      <w:pPr>
        <w:pStyle w:val="Caption"/>
        <w:spacing w:before="240"/>
        <w:rPr>
          <w:rFonts w:ascii="Arial" w:hAnsi="Arial" w:cs="Arial"/>
          <w:szCs w:val="18"/>
        </w:rPr>
      </w:pPr>
      <w:bookmarkStart w:id="30" w:name="_Ref358282673"/>
      <w:bookmarkStart w:id="31" w:name="_Toc484949639"/>
      <w:r w:rsidRPr="00C0444A">
        <w:rPr>
          <w:rFonts w:ascii="Arial" w:hAnsi="Arial" w:cs="Arial"/>
        </w:rPr>
        <w:t xml:space="preserve">Table </w:t>
      </w:r>
      <w:r w:rsidR="00390C9F" w:rsidRPr="00C0444A">
        <w:rPr>
          <w:rFonts w:ascii="Arial" w:hAnsi="Arial" w:cs="Arial"/>
        </w:rPr>
        <w:fldChar w:fldCharType="begin"/>
      </w:r>
      <w:r w:rsidR="00390C9F" w:rsidRPr="00C0444A">
        <w:rPr>
          <w:rFonts w:ascii="Arial" w:hAnsi="Arial" w:cs="Arial"/>
        </w:rPr>
        <w:instrText xml:space="preserve"> STYLEREF 1 \s </w:instrText>
      </w:r>
      <w:r w:rsidR="00390C9F" w:rsidRPr="00C0444A">
        <w:rPr>
          <w:rFonts w:ascii="Arial" w:hAnsi="Arial" w:cs="Arial"/>
        </w:rPr>
        <w:fldChar w:fldCharType="separate"/>
      </w:r>
      <w:r w:rsidR="00423FC9">
        <w:rPr>
          <w:rFonts w:ascii="Arial" w:hAnsi="Arial" w:cs="Arial"/>
          <w:noProof/>
        </w:rPr>
        <w:t>3</w:t>
      </w:r>
      <w:r w:rsidR="00390C9F" w:rsidRPr="00C0444A">
        <w:rPr>
          <w:rFonts w:ascii="Arial" w:hAnsi="Arial" w:cs="Arial"/>
        </w:rPr>
        <w:fldChar w:fldCharType="end"/>
      </w:r>
      <w:r w:rsidR="00390C9F" w:rsidRPr="00C0444A">
        <w:rPr>
          <w:rFonts w:ascii="Arial" w:hAnsi="Arial" w:cs="Arial"/>
        </w:rPr>
        <w:noBreakHyphen/>
      </w:r>
      <w:r w:rsidR="00390C9F" w:rsidRPr="00C0444A">
        <w:rPr>
          <w:rFonts w:ascii="Arial" w:hAnsi="Arial" w:cs="Arial"/>
        </w:rPr>
        <w:fldChar w:fldCharType="begin"/>
      </w:r>
      <w:r w:rsidR="00390C9F" w:rsidRPr="00C0444A">
        <w:rPr>
          <w:rFonts w:ascii="Arial" w:hAnsi="Arial" w:cs="Arial"/>
        </w:rPr>
        <w:instrText xml:space="preserve"> SEQ Table \* ARABIC \s 1 </w:instrText>
      </w:r>
      <w:r w:rsidR="00390C9F" w:rsidRPr="00C0444A">
        <w:rPr>
          <w:rFonts w:ascii="Arial" w:hAnsi="Arial" w:cs="Arial"/>
        </w:rPr>
        <w:fldChar w:fldCharType="separate"/>
      </w:r>
      <w:r w:rsidR="00423FC9">
        <w:rPr>
          <w:rFonts w:ascii="Arial" w:hAnsi="Arial" w:cs="Arial"/>
          <w:noProof/>
        </w:rPr>
        <w:t>3</w:t>
      </w:r>
      <w:r w:rsidR="00390C9F" w:rsidRPr="00C0444A">
        <w:rPr>
          <w:rFonts w:ascii="Arial" w:hAnsi="Arial" w:cs="Arial"/>
        </w:rPr>
        <w:fldChar w:fldCharType="end"/>
      </w:r>
      <w:bookmarkEnd w:id="30"/>
      <w:r w:rsidRPr="00C0444A">
        <w:rPr>
          <w:rFonts w:ascii="Arial" w:hAnsi="Arial" w:cs="Arial"/>
        </w:rPr>
        <w:t xml:space="preserve">:  Input and </w:t>
      </w:r>
      <w:r w:rsidR="00A97D5C" w:rsidRPr="00C0444A">
        <w:rPr>
          <w:rFonts w:ascii="Arial" w:hAnsi="Arial" w:cs="Arial"/>
        </w:rPr>
        <w:t>output estimates for other coal combustion</w:t>
      </w:r>
      <w:bookmarkEnd w:id="31"/>
    </w:p>
    <w:tbl>
      <w:tblPr>
        <w:tblStyle w:val="TableGrid"/>
        <w:tblW w:w="0" w:type="auto"/>
        <w:tblLook w:val="04A0" w:firstRow="1" w:lastRow="0" w:firstColumn="1" w:lastColumn="0" w:noHBand="0" w:noVBand="1"/>
      </w:tblPr>
      <w:tblGrid>
        <w:gridCol w:w="1898"/>
        <w:gridCol w:w="1258"/>
        <w:gridCol w:w="1386"/>
        <w:gridCol w:w="1511"/>
        <w:gridCol w:w="1505"/>
        <w:gridCol w:w="1503"/>
      </w:tblGrid>
      <w:tr w:rsidR="00964BDB" w:rsidRPr="00C0444A" w14:paraId="5BE569E4" w14:textId="77777777" w:rsidTr="00C0444A">
        <w:tc>
          <w:tcPr>
            <w:tcW w:w="1898" w:type="dxa"/>
            <w:vMerge w:val="restart"/>
            <w:vAlign w:val="center"/>
          </w:tcPr>
          <w:p w14:paraId="70491A9C" w14:textId="77777777" w:rsidR="00964BDB" w:rsidRPr="00C0444A" w:rsidRDefault="00964BDB" w:rsidP="00F0288A">
            <w:pPr>
              <w:spacing w:line="300" w:lineRule="atLeast"/>
              <w:jc w:val="center"/>
              <w:rPr>
                <w:rFonts w:ascii="Arial" w:hAnsi="Arial" w:cs="Arial"/>
                <w:b/>
                <w:sz w:val="16"/>
                <w:szCs w:val="16"/>
              </w:rPr>
            </w:pPr>
            <w:r w:rsidRPr="00C0444A">
              <w:rPr>
                <w:rFonts w:ascii="Arial" w:hAnsi="Arial" w:cs="Arial"/>
                <w:b/>
                <w:sz w:val="16"/>
                <w:szCs w:val="16"/>
              </w:rPr>
              <w:t>Source</w:t>
            </w:r>
          </w:p>
        </w:tc>
        <w:tc>
          <w:tcPr>
            <w:tcW w:w="1258" w:type="dxa"/>
            <w:vMerge w:val="restart"/>
            <w:vAlign w:val="center"/>
          </w:tcPr>
          <w:p w14:paraId="3F8ED486" w14:textId="77777777" w:rsidR="00964BDB" w:rsidRPr="00C0444A" w:rsidRDefault="00964BDB" w:rsidP="00F0288A">
            <w:pPr>
              <w:spacing w:line="300" w:lineRule="atLeast"/>
              <w:jc w:val="center"/>
              <w:rPr>
                <w:rFonts w:ascii="Arial" w:hAnsi="Arial" w:cs="Arial"/>
                <w:b/>
                <w:sz w:val="16"/>
                <w:szCs w:val="16"/>
              </w:rPr>
            </w:pPr>
            <w:r w:rsidRPr="00C0444A">
              <w:rPr>
                <w:rFonts w:ascii="Arial" w:hAnsi="Arial" w:cs="Arial"/>
                <w:b/>
                <w:sz w:val="16"/>
                <w:szCs w:val="16"/>
              </w:rPr>
              <w:t>Activity Rate, tonnes/</w:t>
            </w:r>
            <w:proofErr w:type="spellStart"/>
            <w:r w:rsidRPr="00C0444A">
              <w:rPr>
                <w:rFonts w:ascii="Arial" w:hAnsi="Arial" w:cs="Arial"/>
                <w:b/>
                <w:sz w:val="16"/>
                <w:szCs w:val="16"/>
              </w:rPr>
              <w:t>yr</w:t>
            </w:r>
            <w:proofErr w:type="spellEnd"/>
          </w:p>
        </w:tc>
        <w:tc>
          <w:tcPr>
            <w:tcW w:w="1386" w:type="dxa"/>
            <w:vMerge w:val="restart"/>
            <w:vAlign w:val="center"/>
          </w:tcPr>
          <w:p w14:paraId="657BEA46" w14:textId="77777777" w:rsidR="00964BDB" w:rsidRPr="00C0444A" w:rsidRDefault="00964BDB" w:rsidP="00F0288A">
            <w:pPr>
              <w:spacing w:line="300" w:lineRule="atLeast"/>
              <w:jc w:val="center"/>
              <w:rPr>
                <w:rFonts w:ascii="Arial" w:hAnsi="Arial" w:cs="Arial"/>
                <w:b/>
                <w:sz w:val="16"/>
                <w:szCs w:val="16"/>
              </w:rPr>
            </w:pPr>
            <w:r w:rsidRPr="00C0444A">
              <w:rPr>
                <w:rFonts w:ascii="Arial" w:hAnsi="Arial" w:cs="Arial"/>
                <w:b/>
                <w:sz w:val="16"/>
                <w:szCs w:val="16"/>
              </w:rPr>
              <w:t>Mercury content, mg/kg</w:t>
            </w:r>
          </w:p>
        </w:tc>
        <w:tc>
          <w:tcPr>
            <w:tcW w:w="1511" w:type="dxa"/>
            <w:vMerge w:val="restart"/>
            <w:vAlign w:val="center"/>
          </w:tcPr>
          <w:p w14:paraId="5DD77836" w14:textId="77777777" w:rsidR="00964BDB" w:rsidRPr="00C0444A" w:rsidRDefault="00964BDB" w:rsidP="00F0288A">
            <w:pPr>
              <w:spacing w:line="300" w:lineRule="atLeast"/>
              <w:jc w:val="center"/>
              <w:rPr>
                <w:rFonts w:ascii="Arial" w:hAnsi="Arial" w:cs="Arial"/>
                <w:b/>
                <w:sz w:val="16"/>
                <w:szCs w:val="16"/>
              </w:rPr>
            </w:pPr>
            <w:r w:rsidRPr="00C0444A">
              <w:rPr>
                <w:rFonts w:ascii="Arial" w:hAnsi="Arial" w:cs="Arial"/>
                <w:b/>
                <w:sz w:val="16"/>
                <w:szCs w:val="16"/>
              </w:rPr>
              <w:t>Annual Mercury Inputs, kg/</w:t>
            </w:r>
            <w:proofErr w:type="spellStart"/>
            <w:r w:rsidRPr="00C0444A">
              <w:rPr>
                <w:rFonts w:ascii="Arial" w:hAnsi="Arial" w:cs="Arial"/>
                <w:b/>
                <w:sz w:val="16"/>
                <w:szCs w:val="16"/>
              </w:rPr>
              <w:t>yr</w:t>
            </w:r>
            <w:proofErr w:type="spellEnd"/>
          </w:p>
        </w:tc>
        <w:tc>
          <w:tcPr>
            <w:tcW w:w="3008" w:type="dxa"/>
            <w:gridSpan w:val="2"/>
            <w:vAlign w:val="center"/>
          </w:tcPr>
          <w:p w14:paraId="2E2BA854" w14:textId="77777777" w:rsidR="00964BDB" w:rsidRPr="00C0444A" w:rsidRDefault="00964BDB" w:rsidP="00F0288A">
            <w:pPr>
              <w:spacing w:line="300" w:lineRule="atLeast"/>
              <w:jc w:val="center"/>
              <w:rPr>
                <w:rFonts w:ascii="Arial" w:hAnsi="Arial" w:cs="Arial"/>
                <w:b/>
                <w:sz w:val="16"/>
                <w:szCs w:val="16"/>
              </w:rPr>
            </w:pPr>
            <w:r w:rsidRPr="00C0444A">
              <w:rPr>
                <w:rFonts w:ascii="Arial" w:hAnsi="Arial" w:cs="Arial"/>
                <w:b/>
                <w:sz w:val="16"/>
                <w:szCs w:val="16"/>
              </w:rPr>
              <w:t>Annual Mercury Outputs, kg/</w:t>
            </w:r>
            <w:proofErr w:type="spellStart"/>
            <w:r w:rsidRPr="00C0444A">
              <w:rPr>
                <w:rFonts w:ascii="Arial" w:hAnsi="Arial" w:cs="Arial"/>
                <w:b/>
                <w:sz w:val="16"/>
                <w:szCs w:val="16"/>
              </w:rPr>
              <w:t>yr</w:t>
            </w:r>
            <w:proofErr w:type="spellEnd"/>
          </w:p>
        </w:tc>
      </w:tr>
      <w:tr w:rsidR="00964BDB" w:rsidRPr="00C0444A" w14:paraId="5D95C3B6" w14:textId="77777777" w:rsidTr="00C0444A">
        <w:tc>
          <w:tcPr>
            <w:tcW w:w="1898" w:type="dxa"/>
            <w:vMerge/>
            <w:vAlign w:val="center"/>
          </w:tcPr>
          <w:p w14:paraId="0B1C45B2" w14:textId="77777777" w:rsidR="00964BDB" w:rsidRPr="00C0444A" w:rsidRDefault="00964BDB" w:rsidP="00F0288A">
            <w:pPr>
              <w:spacing w:line="300" w:lineRule="atLeast"/>
              <w:jc w:val="center"/>
              <w:rPr>
                <w:rFonts w:ascii="Arial" w:hAnsi="Arial" w:cs="Arial"/>
                <w:b/>
                <w:sz w:val="16"/>
                <w:szCs w:val="16"/>
              </w:rPr>
            </w:pPr>
          </w:p>
        </w:tc>
        <w:tc>
          <w:tcPr>
            <w:tcW w:w="1258" w:type="dxa"/>
            <w:vMerge/>
            <w:vAlign w:val="center"/>
          </w:tcPr>
          <w:p w14:paraId="56AA666D" w14:textId="77777777" w:rsidR="00964BDB" w:rsidRPr="00C0444A" w:rsidRDefault="00964BDB" w:rsidP="00F0288A">
            <w:pPr>
              <w:spacing w:line="300" w:lineRule="atLeast"/>
              <w:jc w:val="center"/>
              <w:rPr>
                <w:rFonts w:ascii="Arial" w:hAnsi="Arial" w:cs="Arial"/>
                <w:b/>
                <w:sz w:val="16"/>
                <w:szCs w:val="16"/>
              </w:rPr>
            </w:pPr>
          </w:p>
        </w:tc>
        <w:tc>
          <w:tcPr>
            <w:tcW w:w="1386" w:type="dxa"/>
            <w:vMerge/>
            <w:vAlign w:val="center"/>
          </w:tcPr>
          <w:p w14:paraId="6228363E" w14:textId="77777777" w:rsidR="00964BDB" w:rsidRPr="00C0444A" w:rsidRDefault="00964BDB" w:rsidP="00F0288A">
            <w:pPr>
              <w:spacing w:line="300" w:lineRule="atLeast"/>
              <w:jc w:val="center"/>
              <w:rPr>
                <w:rFonts w:ascii="Arial" w:hAnsi="Arial" w:cs="Arial"/>
                <w:b/>
                <w:sz w:val="16"/>
                <w:szCs w:val="16"/>
              </w:rPr>
            </w:pPr>
          </w:p>
        </w:tc>
        <w:tc>
          <w:tcPr>
            <w:tcW w:w="1511" w:type="dxa"/>
            <w:vMerge/>
            <w:vAlign w:val="center"/>
          </w:tcPr>
          <w:p w14:paraId="3BB5CFC6" w14:textId="77777777" w:rsidR="00964BDB" w:rsidRPr="00C0444A" w:rsidRDefault="00964BDB" w:rsidP="00F0288A">
            <w:pPr>
              <w:spacing w:line="300" w:lineRule="atLeast"/>
              <w:jc w:val="center"/>
              <w:rPr>
                <w:rFonts w:ascii="Arial" w:hAnsi="Arial" w:cs="Arial"/>
                <w:b/>
                <w:sz w:val="16"/>
                <w:szCs w:val="16"/>
              </w:rPr>
            </w:pPr>
          </w:p>
        </w:tc>
        <w:tc>
          <w:tcPr>
            <w:tcW w:w="1505" w:type="dxa"/>
            <w:vAlign w:val="center"/>
          </w:tcPr>
          <w:p w14:paraId="48F0C44F" w14:textId="77777777" w:rsidR="00964BDB" w:rsidRPr="00C0444A" w:rsidRDefault="00964BDB" w:rsidP="00F0288A">
            <w:pPr>
              <w:spacing w:line="300" w:lineRule="atLeast"/>
              <w:jc w:val="center"/>
              <w:rPr>
                <w:rFonts w:ascii="Arial" w:hAnsi="Arial" w:cs="Arial"/>
                <w:b/>
                <w:sz w:val="16"/>
                <w:szCs w:val="16"/>
              </w:rPr>
            </w:pPr>
            <w:r w:rsidRPr="00C0444A">
              <w:rPr>
                <w:rFonts w:ascii="Arial" w:hAnsi="Arial" w:cs="Arial"/>
                <w:b/>
                <w:sz w:val="16"/>
                <w:szCs w:val="16"/>
              </w:rPr>
              <w:t>Air</w:t>
            </w:r>
          </w:p>
        </w:tc>
        <w:tc>
          <w:tcPr>
            <w:tcW w:w="1503" w:type="dxa"/>
            <w:vAlign w:val="center"/>
          </w:tcPr>
          <w:p w14:paraId="57A7DB52" w14:textId="77777777" w:rsidR="00964BDB" w:rsidRPr="00C0444A" w:rsidRDefault="00964BDB" w:rsidP="00F0288A">
            <w:pPr>
              <w:spacing w:line="300" w:lineRule="atLeast"/>
              <w:jc w:val="center"/>
              <w:rPr>
                <w:rFonts w:ascii="Arial" w:hAnsi="Arial" w:cs="Arial"/>
                <w:b/>
                <w:sz w:val="16"/>
                <w:szCs w:val="16"/>
              </w:rPr>
            </w:pPr>
            <w:r w:rsidRPr="00C0444A">
              <w:rPr>
                <w:rFonts w:ascii="Arial" w:hAnsi="Arial" w:cs="Arial"/>
                <w:b/>
                <w:sz w:val="16"/>
                <w:szCs w:val="16"/>
              </w:rPr>
              <w:t>Waste</w:t>
            </w:r>
          </w:p>
        </w:tc>
      </w:tr>
      <w:tr w:rsidR="00964BDB" w:rsidRPr="00C0444A" w14:paraId="2CCD8615" w14:textId="77777777" w:rsidTr="00661D0D">
        <w:tc>
          <w:tcPr>
            <w:tcW w:w="1898" w:type="dxa"/>
            <w:tcBorders>
              <w:bottom w:val="single" w:sz="4" w:space="0" w:color="auto"/>
            </w:tcBorders>
          </w:tcPr>
          <w:p w14:paraId="5581FEAC" w14:textId="42079C46" w:rsidR="00964BDB" w:rsidRPr="00C0444A" w:rsidRDefault="00964BDB" w:rsidP="00F0288A">
            <w:pPr>
              <w:spacing w:line="300" w:lineRule="atLeast"/>
              <w:jc w:val="both"/>
              <w:rPr>
                <w:rFonts w:ascii="Arial" w:hAnsi="Arial" w:cs="Arial"/>
                <w:sz w:val="16"/>
                <w:szCs w:val="16"/>
              </w:rPr>
            </w:pPr>
            <w:r w:rsidRPr="00C0444A">
              <w:rPr>
                <w:rFonts w:ascii="Arial" w:hAnsi="Arial" w:cs="Arial"/>
                <w:sz w:val="16"/>
                <w:szCs w:val="16"/>
              </w:rPr>
              <w:t>Waikato Coal</w:t>
            </w:r>
            <w:r w:rsidR="00C0444A">
              <w:rPr>
                <w:rFonts w:ascii="Arial" w:hAnsi="Arial" w:cs="Arial"/>
                <w:sz w:val="16"/>
                <w:szCs w:val="16"/>
              </w:rPr>
              <w:t>, 2012</w:t>
            </w:r>
          </w:p>
        </w:tc>
        <w:tc>
          <w:tcPr>
            <w:tcW w:w="1258" w:type="dxa"/>
            <w:tcBorders>
              <w:bottom w:val="single" w:sz="4" w:space="0" w:color="auto"/>
            </w:tcBorders>
            <w:vAlign w:val="center"/>
          </w:tcPr>
          <w:p w14:paraId="7713F95A" w14:textId="77777777" w:rsidR="00964BDB" w:rsidRPr="00C0444A" w:rsidRDefault="00500691" w:rsidP="00F0288A">
            <w:pPr>
              <w:spacing w:line="300" w:lineRule="atLeast"/>
              <w:jc w:val="center"/>
              <w:rPr>
                <w:rFonts w:ascii="Arial" w:hAnsi="Arial" w:cs="Arial"/>
                <w:sz w:val="16"/>
                <w:szCs w:val="16"/>
              </w:rPr>
            </w:pPr>
            <w:r w:rsidRPr="00C0444A">
              <w:rPr>
                <w:rFonts w:ascii="Arial" w:hAnsi="Arial" w:cs="Arial"/>
                <w:sz w:val="16"/>
                <w:szCs w:val="16"/>
              </w:rPr>
              <w:t>3</w:t>
            </w:r>
            <w:r w:rsidR="00693D71" w:rsidRPr="00C0444A">
              <w:rPr>
                <w:rFonts w:ascii="Arial" w:hAnsi="Arial" w:cs="Arial"/>
                <w:sz w:val="16"/>
                <w:szCs w:val="16"/>
              </w:rPr>
              <w:t>00</w:t>
            </w:r>
            <w:r w:rsidRPr="00C0444A">
              <w:rPr>
                <w:rFonts w:ascii="Arial" w:hAnsi="Arial" w:cs="Arial"/>
                <w:sz w:val="16"/>
                <w:szCs w:val="16"/>
              </w:rPr>
              <w:t>,000</w:t>
            </w:r>
          </w:p>
        </w:tc>
        <w:tc>
          <w:tcPr>
            <w:tcW w:w="1386" w:type="dxa"/>
            <w:tcBorders>
              <w:bottom w:val="single" w:sz="4" w:space="0" w:color="auto"/>
            </w:tcBorders>
            <w:vAlign w:val="center"/>
          </w:tcPr>
          <w:p w14:paraId="5451EEF9" w14:textId="77777777" w:rsidR="00964BDB" w:rsidRPr="00C0444A" w:rsidRDefault="00964BDB" w:rsidP="00693D71">
            <w:pPr>
              <w:spacing w:line="300" w:lineRule="atLeast"/>
              <w:jc w:val="center"/>
              <w:rPr>
                <w:rFonts w:ascii="Arial" w:hAnsi="Arial" w:cs="Arial"/>
                <w:sz w:val="16"/>
                <w:szCs w:val="16"/>
              </w:rPr>
            </w:pPr>
            <w:r w:rsidRPr="00C0444A">
              <w:rPr>
                <w:rFonts w:ascii="Arial" w:hAnsi="Arial" w:cs="Arial"/>
                <w:sz w:val="16"/>
                <w:szCs w:val="16"/>
              </w:rPr>
              <w:t>0.0</w:t>
            </w:r>
            <w:r w:rsidR="00693D71" w:rsidRPr="00C0444A">
              <w:rPr>
                <w:rFonts w:ascii="Arial" w:hAnsi="Arial" w:cs="Arial"/>
                <w:sz w:val="16"/>
                <w:szCs w:val="16"/>
              </w:rPr>
              <w:t>4</w:t>
            </w:r>
            <w:r w:rsidRPr="00C0444A">
              <w:rPr>
                <w:rFonts w:ascii="Arial" w:hAnsi="Arial" w:cs="Arial"/>
                <w:sz w:val="16"/>
                <w:szCs w:val="16"/>
              </w:rPr>
              <w:t xml:space="preserve"> - 0.</w:t>
            </w:r>
            <w:r w:rsidR="00500691" w:rsidRPr="00C0444A">
              <w:rPr>
                <w:rFonts w:ascii="Arial" w:hAnsi="Arial" w:cs="Arial"/>
                <w:sz w:val="16"/>
                <w:szCs w:val="16"/>
              </w:rPr>
              <w:t>20</w:t>
            </w:r>
          </w:p>
        </w:tc>
        <w:tc>
          <w:tcPr>
            <w:tcW w:w="1511" w:type="dxa"/>
            <w:tcBorders>
              <w:bottom w:val="single" w:sz="4" w:space="0" w:color="auto"/>
            </w:tcBorders>
            <w:vAlign w:val="center"/>
          </w:tcPr>
          <w:p w14:paraId="6649BB45" w14:textId="77777777" w:rsidR="00964BDB" w:rsidRPr="00C0444A" w:rsidRDefault="00E95C70" w:rsidP="00F0288A">
            <w:pPr>
              <w:spacing w:line="300" w:lineRule="atLeast"/>
              <w:jc w:val="center"/>
              <w:rPr>
                <w:rFonts w:ascii="Arial" w:hAnsi="Arial" w:cs="Arial"/>
                <w:sz w:val="16"/>
                <w:szCs w:val="16"/>
              </w:rPr>
            </w:pPr>
            <w:r w:rsidRPr="00C0444A">
              <w:rPr>
                <w:rFonts w:ascii="Arial" w:hAnsi="Arial" w:cs="Arial"/>
                <w:sz w:val="16"/>
                <w:szCs w:val="16"/>
              </w:rPr>
              <w:t>12 - 60</w:t>
            </w:r>
          </w:p>
        </w:tc>
        <w:tc>
          <w:tcPr>
            <w:tcW w:w="1505" w:type="dxa"/>
            <w:tcBorders>
              <w:bottom w:val="single" w:sz="4" w:space="0" w:color="auto"/>
            </w:tcBorders>
            <w:vAlign w:val="center"/>
          </w:tcPr>
          <w:p w14:paraId="35A226BA" w14:textId="77777777" w:rsidR="00964BDB" w:rsidRPr="00C0444A" w:rsidRDefault="003120FE" w:rsidP="00F0288A">
            <w:pPr>
              <w:spacing w:line="300" w:lineRule="atLeast"/>
              <w:jc w:val="center"/>
              <w:rPr>
                <w:rFonts w:ascii="Arial" w:hAnsi="Arial" w:cs="Arial"/>
                <w:sz w:val="16"/>
                <w:szCs w:val="16"/>
              </w:rPr>
            </w:pPr>
            <w:r w:rsidRPr="00C0444A">
              <w:rPr>
                <w:rFonts w:ascii="Arial" w:hAnsi="Arial" w:cs="Arial"/>
                <w:sz w:val="16"/>
                <w:szCs w:val="16"/>
              </w:rPr>
              <w:t>11.4 – 57</w:t>
            </w:r>
            <w:r w:rsidR="00E95C70" w:rsidRPr="00C0444A">
              <w:rPr>
                <w:rFonts w:ascii="Arial" w:hAnsi="Arial" w:cs="Arial"/>
                <w:sz w:val="16"/>
                <w:szCs w:val="16"/>
              </w:rPr>
              <w:t>.0</w:t>
            </w:r>
          </w:p>
        </w:tc>
        <w:tc>
          <w:tcPr>
            <w:tcW w:w="1503" w:type="dxa"/>
            <w:tcBorders>
              <w:bottom w:val="single" w:sz="4" w:space="0" w:color="auto"/>
            </w:tcBorders>
            <w:vAlign w:val="center"/>
          </w:tcPr>
          <w:p w14:paraId="28B46D30" w14:textId="599AFBE0" w:rsidR="00964BDB" w:rsidRPr="00C0444A" w:rsidRDefault="003120FE" w:rsidP="003120FE">
            <w:pPr>
              <w:spacing w:line="300" w:lineRule="atLeast"/>
              <w:jc w:val="center"/>
              <w:rPr>
                <w:rFonts w:ascii="Arial" w:hAnsi="Arial" w:cs="Arial"/>
                <w:sz w:val="16"/>
                <w:szCs w:val="16"/>
              </w:rPr>
            </w:pPr>
            <w:r w:rsidRPr="00C0444A">
              <w:rPr>
                <w:rFonts w:ascii="Arial" w:hAnsi="Arial" w:cs="Arial"/>
                <w:sz w:val="16"/>
                <w:szCs w:val="16"/>
              </w:rPr>
              <w:t>0.6</w:t>
            </w:r>
            <w:r w:rsidR="00E95C70" w:rsidRPr="00C0444A">
              <w:rPr>
                <w:rFonts w:ascii="Arial" w:hAnsi="Arial" w:cs="Arial"/>
                <w:sz w:val="16"/>
                <w:szCs w:val="16"/>
              </w:rPr>
              <w:t xml:space="preserve"> </w:t>
            </w:r>
            <w:r w:rsidR="00CE2AE9">
              <w:rPr>
                <w:rFonts w:ascii="Arial" w:hAnsi="Arial" w:cs="Arial"/>
                <w:sz w:val="16"/>
                <w:szCs w:val="16"/>
              </w:rPr>
              <w:t>–</w:t>
            </w:r>
            <w:r w:rsidR="00E95C70" w:rsidRPr="00C0444A">
              <w:rPr>
                <w:rFonts w:ascii="Arial" w:hAnsi="Arial" w:cs="Arial"/>
                <w:sz w:val="16"/>
                <w:szCs w:val="16"/>
              </w:rPr>
              <w:t xml:space="preserve"> </w:t>
            </w:r>
            <w:r w:rsidRPr="00C0444A">
              <w:rPr>
                <w:rFonts w:ascii="Arial" w:hAnsi="Arial" w:cs="Arial"/>
                <w:sz w:val="16"/>
                <w:szCs w:val="16"/>
              </w:rPr>
              <w:t>3</w:t>
            </w:r>
            <w:r w:rsidR="00CE2AE9">
              <w:rPr>
                <w:rFonts w:ascii="Arial" w:hAnsi="Arial" w:cs="Arial"/>
                <w:sz w:val="16"/>
                <w:szCs w:val="16"/>
              </w:rPr>
              <w:t>.0</w:t>
            </w:r>
          </w:p>
        </w:tc>
      </w:tr>
      <w:tr w:rsidR="00C0444A" w:rsidRPr="00C0444A" w14:paraId="504589C1" w14:textId="77777777" w:rsidTr="00661D0D">
        <w:tc>
          <w:tcPr>
            <w:tcW w:w="1898" w:type="dxa"/>
            <w:tcBorders>
              <w:bottom w:val="double" w:sz="4" w:space="0" w:color="auto"/>
            </w:tcBorders>
          </w:tcPr>
          <w:p w14:paraId="6DD13A5D" w14:textId="39030A3D" w:rsidR="00C0444A" w:rsidRPr="00C0444A" w:rsidRDefault="00C0444A" w:rsidP="00C0444A">
            <w:pPr>
              <w:spacing w:line="300" w:lineRule="atLeast"/>
              <w:jc w:val="both"/>
              <w:rPr>
                <w:rFonts w:ascii="Arial" w:hAnsi="Arial" w:cs="Arial"/>
                <w:sz w:val="16"/>
                <w:szCs w:val="16"/>
              </w:rPr>
            </w:pPr>
            <w:r>
              <w:rPr>
                <w:rFonts w:ascii="Arial" w:hAnsi="Arial" w:cs="Arial"/>
                <w:sz w:val="16"/>
                <w:szCs w:val="16"/>
              </w:rPr>
              <w:t>Waikato Coal, 2016</w:t>
            </w:r>
          </w:p>
        </w:tc>
        <w:tc>
          <w:tcPr>
            <w:tcW w:w="1258" w:type="dxa"/>
            <w:tcBorders>
              <w:bottom w:val="double" w:sz="4" w:space="0" w:color="auto"/>
            </w:tcBorders>
            <w:vAlign w:val="center"/>
          </w:tcPr>
          <w:p w14:paraId="0EB8FFF8" w14:textId="54B99E99" w:rsidR="00C0444A" w:rsidRPr="00C0444A" w:rsidRDefault="00C0444A" w:rsidP="00C0444A">
            <w:pPr>
              <w:spacing w:line="300" w:lineRule="atLeast"/>
              <w:jc w:val="center"/>
              <w:rPr>
                <w:rFonts w:ascii="Arial" w:hAnsi="Arial" w:cs="Arial"/>
                <w:sz w:val="16"/>
                <w:szCs w:val="16"/>
              </w:rPr>
            </w:pPr>
            <w:r>
              <w:rPr>
                <w:rFonts w:ascii="Arial" w:hAnsi="Arial" w:cs="Arial"/>
                <w:sz w:val="16"/>
                <w:szCs w:val="16"/>
              </w:rPr>
              <w:t>224,000</w:t>
            </w:r>
          </w:p>
        </w:tc>
        <w:tc>
          <w:tcPr>
            <w:tcW w:w="1386" w:type="dxa"/>
            <w:tcBorders>
              <w:bottom w:val="double" w:sz="4" w:space="0" w:color="auto"/>
            </w:tcBorders>
            <w:vAlign w:val="center"/>
          </w:tcPr>
          <w:p w14:paraId="6A407C12" w14:textId="7006488B" w:rsidR="00C0444A" w:rsidRPr="00C0444A" w:rsidRDefault="00C0444A" w:rsidP="00C0444A">
            <w:pPr>
              <w:spacing w:line="300" w:lineRule="atLeast"/>
              <w:jc w:val="center"/>
              <w:rPr>
                <w:rFonts w:ascii="Arial" w:hAnsi="Arial" w:cs="Arial"/>
                <w:sz w:val="16"/>
                <w:szCs w:val="16"/>
              </w:rPr>
            </w:pPr>
            <w:r>
              <w:rPr>
                <w:rFonts w:ascii="Arial" w:hAnsi="Arial" w:cs="Arial"/>
                <w:sz w:val="16"/>
                <w:szCs w:val="16"/>
              </w:rPr>
              <w:t>0.04 – 0.20</w:t>
            </w:r>
          </w:p>
        </w:tc>
        <w:tc>
          <w:tcPr>
            <w:tcW w:w="1511" w:type="dxa"/>
            <w:tcBorders>
              <w:bottom w:val="double" w:sz="4" w:space="0" w:color="auto"/>
            </w:tcBorders>
            <w:vAlign w:val="center"/>
          </w:tcPr>
          <w:p w14:paraId="46E4BA78" w14:textId="70C50997" w:rsidR="00C0444A" w:rsidRPr="00C0444A" w:rsidRDefault="00CE2AE9" w:rsidP="00CE2AE9">
            <w:pPr>
              <w:spacing w:line="300" w:lineRule="atLeast"/>
              <w:jc w:val="center"/>
              <w:rPr>
                <w:rFonts w:ascii="Arial" w:hAnsi="Arial" w:cs="Arial"/>
                <w:sz w:val="16"/>
                <w:szCs w:val="16"/>
              </w:rPr>
            </w:pPr>
            <w:r>
              <w:rPr>
                <w:rFonts w:ascii="Arial" w:hAnsi="Arial" w:cs="Arial"/>
                <w:sz w:val="16"/>
                <w:szCs w:val="16"/>
              </w:rPr>
              <w:t>9</w:t>
            </w:r>
            <w:r w:rsidR="00C0444A">
              <w:rPr>
                <w:rFonts w:ascii="Arial" w:hAnsi="Arial" w:cs="Arial"/>
                <w:sz w:val="16"/>
                <w:szCs w:val="16"/>
              </w:rPr>
              <w:t>.</w:t>
            </w:r>
            <w:r>
              <w:rPr>
                <w:rFonts w:ascii="Arial" w:hAnsi="Arial" w:cs="Arial"/>
                <w:sz w:val="16"/>
                <w:szCs w:val="16"/>
              </w:rPr>
              <w:t>0</w:t>
            </w:r>
            <w:r w:rsidR="00C0444A">
              <w:rPr>
                <w:rFonts w:ascii="Arial" w:hAnsi="Arial" w:cs="Arial"/>
                <w:sz w:val="16"/>
                <w:szCs w:val="16"/>
              </w:rPr>
              <w:t xml:space="preserve"> – 44.8</w:t>
            </w:r>
          </w:p>
        </w:tc>
        <w:tc>
          <w:tcPr>
            <w:tcW w:w="1505" w:type="dxa"/>
            <w:tcBorders>
              <w:bottom w:val="double" w:sz="4" w:space="0" w:color="auto"/>
            </w:tcBorders>
            <w:vAlign w:val="center"/>
          </w:tcPr>
          <w:p w14:paraId="4FD27811" w14:textId="495CAF17" w:rsidR="00C0444A" w:rsidRPr="00C0444A" w:rsidRDefault="00C0444A" w:rsidP="00C0444A">
            <w:pPr>
              <w:spacing w:line="300" w:lineRule="atLeast"/>
              <w:jc w:val="center"/>
              <w:rPr>
                <w:rFonts w:ascii="Arial" w:hAnsi="Arial" w:cs="Arial"/>
                <w:sz w:val="16"/>
                <w:szCs w:val="16"/>
              </w:rPr>
            </w:pPr>
            <w:r>
              <w:rPr>
                <w:rFonts w:ascii="Arial" w:hAnsi="Arial" w:cs="Arial"/>
                <w:sz w:val="16"/>
                <w:szCs w:val="16"/>
              </w:rPr>
              <w:t>8.5 – 42.6</w:t>
            </w:r>
          </w:p>
        </w:tc>
        <w:tc>
          <w:tcPr>
            <w:tcW w:w="1503" w:type="dxa"/>
            <w:tcBorders>
              <w:bottom w:val="double" w:sz="4" w:space="0" w:color="auto"/>
            </w:tcBorders>
            <w:vAlign w:val="center"/>
          </w:tcPr>
          <w:p w14:paraId="58550249" w14:textId="3D142F05" w:rsidR="00C0444A" w:rsidRPr="00C0444A" w:rsidRDefault="00CE2AE9" w:rsidP="00C0444A">
            <w:pPr>
              <w:spacing w:line="300" w:lineRule="atLeast"/>
              <w:jc w:val="center"/>
              <w:rPr>
                <w:rFonts w:ascii="Arial" w:hAnsi="Arial" w:cs="Arial"/>
                <w:sz w:val="16"/>
                <w:szCs w:val="16"/>
              </w:rPr>
            </w:pPr>
            <w:r>
              <w:rPr>
                <w:rFonts w:ascii="Arial" w:hAnsi="Arial" w:cs="Arial"/>
                <w:sz w:val="16"/>
                <w:szCs w:val="16"/>
              </w:rPr>
              <w:t>0.</w:t>
            </w:r>
            <w:r w:rsidR="00C0444A">
              <w:rPr>
                <w:rFonts w:ascii="Arial" w:hAnsi="Arial" w:cs="Arial"/>
                <w:sz w:val="16"/>
                <w:szCs w:val="16"/>
              </w:rPr>
              <w:t>5 – 2.1</w:t>
            </w:r>
          </w:p>
        </w:tc>
      </w:tr>
      <w:tr w:rsidR="00964BDB" w:rsidRPr="00C0444A" w14:paraId="55535838" w14:textId="77777777" w:rsidTr="00661D0D">
        <w:tc>
          <w:tcPr>
            <w:tcW w:w="1898" w:type="dxa"/>
            <w:tcBorders>
              <w:top w:val="double" w:sz="4" w:space="0" w:color="auto"/>
              <w:bottom w:val="single" w:sz="4" w:space="0" w:color="auto"/>
            </w:tcBorders>
          </w:tcPr>
          <w:p w14:paraId="639D9D95" w14:textId="6E6256CD" w:rsidR="00964BDB" w:rsidRPr="00C0444A" w:rsidRDefault="00964BDB" w:rsidP="00F0288A">
            <w:pPr>
              <w:spacing w:line="300" w:lineRule="atLeast"/>
              <w:jc w:val="both"/>
              <w:rPr>
                <w:rFonts w:ascii="Arial" w:hAnsi="Arial" w:cs="Arial"/>
                <w:sz w:val="16"/>
                <w:szCs w:val="16"/>
              </w:rPr>
            </w:pPr>
            <w:r w:rsidRPr="00C0444A">
              <w:rPr>
                <w:rFonts w:ascii="Arial" w:hAnsi="Arial" w:cs="Arial"/>
                <w:sz w:val="16"/>
                <w:szCs w:val="16"/>
              </w:rPr>
              <w:t xml:space="preserve">South </w:t>
            </w:r>
            <w:r w:rsidR="00C0444A">
              <w:rPr>
                <w:rFonts w:ascii="Arial" w:hAnsi="Arial" w:cs="Arial"/>
                <w:sz w:val="16"/>
                <w:szCs w:val="16"/>
              </w:rPr>
              <w:t>Island C</w:t>
            </w:r>
            <w:r w:rsidRPr="00C0444A">
              <w:rPr>
                <w:rFonts w:ascii="Arial" w:hAnsi="Arial" w:cs="Arial"/>
                <w:sz w:val="16"/>
                <w:szCs w:val="16"/>
              </w:rPr>
              <w:t>oal</w:t>
            </w:r>
            <w:r w:rsidR="00C0444A">
              <w:rPr>
                <w:rFonts w:ascii="Arial" w:hAnsi="Arial" w:cs="Arial"/>
                <w:sz w:val="16"/>
                <w:szCs w:val="16"/>
              </w:rPr>
              <w:t>, 2012</w:t>
            </w:r>
          </w:p>
        </w:tc>
        <w:tc>
          <w:tcPr>
            <w:tcW w:w="1258" w:type="dxa"/>
            <w:tcBorders>
              <w:top w:val="double" w:sz="4" w:space="0" w:color="auto"/>
              <w:bottom w:val="single" w:sz="4" w:space="0" w:color="auto"/>
            </w:tcBorders>
            <w:vAlign w:val="center"/>
          </w:tcPr>
          <w:p w14:paraId="30B341AF" w14:textId="77777777" w:rsidR="00964BDB" w:rsidRPr="00C0444A" w:rsidRDefault="00500691" w:rsidP="00F0288A">
            <w:pPr>
              <w:spacing w:line="300" w:lineRule="atLeast"/>
              <w:jc w:val="center"/>
              <w:rPr>
                <w:rFonts w:ascii="Arial" w:hAnsi="Arial" w:cs="Arial"/>
                <w:sz w:val="16"/>
                <w:szCs w:val="16"/>
              </w:rPr>
            </w:pPr>
            <w:r w:rsidRPr="00C0444A">
              <w:rPr>
                <w:rFonts w:ascii="Arial" w:hAnsi="Arial" w:cs="Arial"/>
                <w:sz w:val="16"/>
                <w:szCs w:val="16"/>
              </w:rPr>
              <w:t>5</w:t>
            </w:r>
            <w:r w:rsidR="00693D71" w:rsidRPr="00C0444A">
              <w:rPr>
                <w:rFonts w:ascii="Arial" w:hAnsi="Arial" w:cs="Arial"/>
                <w:sz w:val="16"/>
                <w:szCs w:val="16"/>
              </w:rPr>
              <w:t>0</w:t>
            </w:r>
            <w:r w:rsidRPr="00C0444A">
              <w:rPr>
                <w:rFonts w:ascii="Arial" w:hAnsi="Arial" w:cs="Arial"/>
                <w:sz w:val="16"/>
                <w:szCs w:val="16"/>
              </w:rPr>
              <w:t>5,000</w:t>
            </w:r>
          </w:p>
        </w:tc>
        <w:tc>
          <w:tcPr>
            <w:tcW w:w="1386" w:type="dxa"/>
            <w:tcBorders>
              <w:top w:val="double" w:sz="4" w:space="0" w:color="auto"/>
              <w:bottom w:val="single" w:sz="4" w:space="0" w:color="auto"/>
            </w:tcBorders>
            <w:vAlign w:val="center"/>
          </w:tcPr>
          <w:p w14:paraId="67EBA745" w14:textId="77777777" w:rsidR="00964BDB" w:rsidRPr="00C0444A" w:rsidRDefault="00500691" w:rsidP="00693D71">
            <w:pPr>
              <w:spacing w:line="300" w:lineRule="atLeast"/>
              <w:jc w:val="center"/>
              <w:rPr>
                <w:rFonts w:ascii="Arial" w:hAnsi="Arial" w:cs="Arial"/>
                <w:sz w:val="16"/>
                <w:szCs w:val="16"/>
              </w:rPr>
            </w:pPr>
            <w:r w:rsidRPr="00C0444A">
              <w:rPr>
                <w:rFonts w:ascii="Arial" w:hAnsi="Arial" w:cs="Arial"/>
                <w:sz w:val="16"/>
                <w:szCs w:val="16"/>
              </w:rPr>
              <w:t>0.0</w:t>
            </w:r>
            <w:r w:rsidR="00693D71" w:rsidRPr="00C0444A">
              <w:rPr>
                <w:rFonts w:ascii="Arial" w:hAnsi="Arial" w:cs="Arial"/>
                <w:sz w:val="16"/>
                <w:szCs w:val="16"/>
              </w:rPr>
              <w:t>3</w:t>
            </w:r>
            <w:r w:rsidRPr="00C0444A">
              <w:rPr>
                <w:rFonts w:ascii="Arial" w:hAnsi="Arial" w:cs="Arial"/>
                <w:sz w:val="16"/>
                <w:szCs w:val="16"/>
              </w:rPr>
              <w:t xml:space="preserve"> – 0.10</w:t>
            </w:r>
          </w:p>
        </w:tc>
        <w:tc>
          <w:tcPr>
            <w:tcW w:w="1511" w:type="dxa"/>
            <w:tcBorders>
              <w:top w:val="double" w:sz="4" w:space="0" w:color="auto"/>
              <w:bottom w:val="single" w:sz="4" w:space="0" w:color="auto"/>
            </w:tcBorders>
            <w:vAlign w:val="center"/>
          </w:tcPr>
          <w:p w14:paraId="567CF3F5" w14:textId="7AE937A3" w:rsidR="00964BDB" w:rsidRPr="00C0444A" w:rsidRDefault="00CE2AE9" w:rsidP="00F0288A">
            <w:pPr>
              <w:spacing w:line="300" w:lineRule="atLeast"/>
              <w:jc w:val="center"/>
              <w:rPr>
                <w:rFonts w:ascii="Arial" w:hAnsi="Arial" w:cs="Arial"/>
                <w:sz w:val="16"/>
                <w:szCs w:val="16"/>
              </w:rPr>
            </w:pPr>
            <w:r>
              <w:rPr>
                <w:rFonts w:ascii="Arial" w:hAnsi="Arial" w:cs="Arial"/>
                <w:sz w:val="16"/>
                <w:szCs w:val="16"/>
              </w:rPr>
              <w:t>15.2</w:t>
            </w:r>
            <w:r w:rsidR="00E95C70" w:rsidRPr="00C0444A">
              <w:rPr>
                <w:rFonts w:ascii="Arial" w:hAnsi="Arial" w:cs="Arial"/>
                <w:sz w:val="16"/>
                <w:szCs w:val="16"/>
              </w:rPr>
              <w:t xml:space="preserve"> – 50.5</w:t>
            </w:r>
          </w:p>
        </w:tc>
        <w:tc>
          <w:tcPr>
            <w:tcW w:w="1505" w:type="dxa"/>
            <w:tcBorders>
              <w:top w:val="double" w:sz="4" w:space="0" w:color="auto"/>
              <w:bottom w:val="single" w:sz="4" w:space="0" w:color="auto"/>
            </w:tcBorders>
            <w:vAlign w:val="center"/>
          </w:tcPr>
          <w:p w14:paraId="12A7DB71" w14:textId="77777777" w:rsidR="00964BDB" w:rsidRPr="00C0444A" w:rsidRDefault="003120FE" w:rsidP="003120FE">
            <w:pPr>
              <w:spacing w:line="300" w:lineRule="atLeast"/>
              <w:jc w:val="center"/>
              <w:rPr>
                <w:rFonts w:ascii="Arial" w:hAnsi="Arial" w:cs="Arial"/>
                <w:sz w:val="16"/>
                <w:szCs w:val="16"/>
              </w:rPr>
            </w:pPr>
            <w:r w:rsidRPr="00C0444A">
              <w:rPr>
                <w:rFonts w:ascii="Arial" w:hAnsi="Arial" w:cs="Arial"/>
                <w:sz w:val="16"/>
                <w:szCs w:val="16"/>
              </w:rPr>
              <w:t>14.</w:t>
            </w:r>
            <w:r w:rsidR="00E95C70" w:rsidRPr="00C0444A">
              <w:rPr>
                <w:rFonts w:ascii="Arial" w:hAnsi="Arial" w:cs="Arial"/>
                <w:sz w:val="16"/>
                <w:szCs w:val="16"/>
              </w:rPr>
              <w:t>4 – 4</w:t>
            </w:r>
            <w:r w:rsidRPr="00C0444A">
              <w:rPr>
                <w:rFonts w:ascii="Arial" w:hAnsi="Arial" w:cs="Arial"/>
                <w:sz w:val="16"/>
                <w:szCs w:val="16"/>
              </w:rPr>
              <w:t>8</w:t>
            </w:r>
            <w:r w:rsidR="00E95C70" w:rsidRPr="00C0444A">
              <w:rPr>
                <w:rFonts w:ascii="Arial" w:hAnsi="Arial" w:cs="Arial"/>
                <w:sz w:val="16"/>
                <w:szCs w:val="16"/>
              </w:rPr>
              <w:t>.</w:t>
            </w:r>
            <w:r w:rsidRPr="00C0444A">
              <w:rPr>
                <w:rFonts w:ascii="Arial" w:hAnsi="Arial" w:cs="Arial"/>
                <w:sz w:val="16"/>
                <w:szCs w:val="16"/>
              </w:rPr>
              <w:t>0</w:t>
            </w:r>
          </w:p>
        </w:tc>
        <w:tc>
          <w:tcPr>
            <w:tcW w:w="1503" w:type="dxa"/>
            <w:tcBorders>
              <w:top w:val="double" w:sz="4" w:space="0" w:color="auto"/>
              <w:bottom w:val="single" w:sz="4" w:space="0" w:color="auto"/>
            </w:tcBorders>
            <w:vAlign w:val="center"/>
          </w:tcPr>
          <w:p w14:paraId="4C9A44EF" w14:textId="61CE355A" w:rsidR="00964BDB" w:rsidRPr="00C0444A" w:rsidRDefault="00CE2AE9" w:rsidP="00F0288A">
            <w:pPr>
              <w:spacing w:line="300" w:lineRule="atLeast"/>
              <w:jc w:val="center"/>
              <w:rPr>
                <w:rFonts w:ascii="Arial" w:hAnsi="Arial" w:cs="Arial"/>
                <w:sz w:val="16"/>
                <w:szCs w:val="16"/>
              </w:rPr>
            </w:pPr>
            <w:r>
              <w:rPr>
                <w:rFonts w:ascii="Arial" w:hAnsi="Arial" w:cs="Arial"/>
                <w:sz w:val="16"/>
                <w:szCs w:val="16"/>
              </w:rPr>
              <w:t>0.8</w:t>
            </w:r>
            <w:r w:rsidR="003120FE" w:rsidRPr="00C0444A">
              <w:rPr>
                <w:rFonts w:ascii="Arial" w:hAnsi="Arial" w:cs="Arial"/>
                <w:sz w:val="16"/>
                <w:szCs w:val="16"/>
              </w:rPr>
              <w:t xml:space="preserve"> – 2.</w:t>
            </w:r>
            <w:r w:rsidR="00E95C70" w:rsidRPr="00C0444A">
              <w:rPr>
                <w:rFonts w:ascii="Arial" w:hAnsi="Arial" w:cs="Arial"/>
                <w:sz w:val="16"/>
                <w:szCs w:val="16"/>
              </w:rPr>
              <w:t>5</w:t>
            </w:r>
          </w:p>
        </w:tc>
      </w:tr>
      <w:tr w:rsidR="00C0444A" w:rsidRPr="00C0444A" w14:paraId="59FB3CF3" w14:textId="77777777" w:rsidTr="00661D0D">
        <w:tc>
          <w:tcPr>
            <w:tcW w:w="1898" w:type="dxa"/>
            <w:tcBorders>
              <w:bottom w:val="double" w:sz="4" w:space="0" w:color="auto"/>
            </w:tcBorders>
          </w:tcPr>
          <w:p w14:paraId="69E50F6A" w14:textId="4DA8FA59" w:rsidR="00C0444A" w:rsidRPr="00C0444A" w:rsidRDefault="00C0444A" w:rsidP="00C0444A">
            <w:pPr>
              <w:spacing w:line="300" w:lineRule="atLeast"/>
              <w:jc w:val="both"/>
              <w:rPr>
                <w:rFonts w:ascii="Arial" w:hAnsi="Arial" w:cs="Arial"/>
                <w:sz w:val="16"/>
                <w:szCs w:val="16"/>
              </w:rPr>
            </w:pPr>
            <w:r>
              <w:rPr>
                <w:rFonts w:ascii="Arial" w:hAnsi="Arial" w:cs="Arial"/>
                <w:sz w:val="16"/>
                <w:szCs w:val="16"/>
              </w:rPr>
              <w:t>South Island Coal, 2016</w:t>
            </w:r>
          </w:p>
        </w:tc>
        <w:tc>
          <w:tcPr>
            <w:tcW w:w="1258" w:type="dxa"/>
            <w:tcBorders>
              <w:bottom w:val="double" w:sz="4" w:space="0" w:color="auto"/>
            </w:tcBorders>
            <w:vAlign w:val="center"/>
          </w:tcPr>
          <w:p w14:paraId="138D43BB" w14:textId="61FFB78B" w:rsidR="00C0444A" w:rsidRPr="00C0444A" w:rsidRDefault="00C0444A" w:rsidP="00C0444A">
            <w:pPr>
              <w:spacing w:line="300" w:lineRule="atLeast"/>
              <w:jc w:val="center"/>
              <w:rPr>
                <w:rFonts w:ascii="Arial" w:hAnsi="Arial" w:cs="Arial"/>
                <w:sz w:val="16"/>
                <w:szCs w:val="16"/>
              </w:rPr>
            </w:pPr>
            <w:r>
              <w:rPr>
                <w:rFonts w:ascii="Arial" w:hAnsi="Arial" w:cs="Arial"/>
                <w:sz w:val="16"/>
                <w:szCs w:val="16"/>
              </w:rPr>
              <w:t>640,000</w:t>
            </w:r>
          </w:p>
        </w:tc>
        <w:tc>
          <w:tcPr>
            <w:tcW w:w="1386" w:type="dxa"/>
            <w:tcBorders>
              <w:bottom w:val="double" w:sz="4" w:space="0" w:color="auto"/>
            </w:tcBorders>
            <w:vAlign w:val="center"/>
          </w:tcPr>
          <w:p w14:paraId="2D6C17D4" w14:textId="2A312D62" w:rsidR="00C0444A" w:rsidRPr="00C0444A" w:rsidRDefault="00C0444A" w:rsidP="00C0444A">
            <w:pPr>
              <w:spacing w:line="300" w:lineRule="atLeast"/>
              <w:jc w:val="center"/>
              <w:rPr>
                <w:rFonts w:ascii="Arial" w:hAnsi="Arial" w:cs="Arial"/>
                <w:sz w:val="16"/>
                <w:szCs w:val="16"/>
              </w:rPr>
            </w:pPr>
            <w:r>
              <w:rPr>
                <w:rFonts w:ascii="Arial" w:hAnsi="Arial" w:cs="Arial"/>
                <w:sz w:val="16"/>
                <w:szCs w:val="16"/>
              </w:rPr>
              <w:t>0.03 – 0.10</w:t>
            </w:r>
          </w:p>
        </w:tc>
        <w:tc>
          <w:tcPr>
            <w:tcW w:w="1511" w:type="dxa"/>
            <w:tcBorders>
              <w:bottom w:val="double" w:sz="4" w:space="0" w:color="auto"/>
            </w:tcBorders>
            <w:vAlign w:val="center"/>
          </w:tcPr>
          <w:p w14:paraId="26DAF104" w14:textId="3BA6D2EE" w:rsidR="00C0444A" w:rsidRPr="00C0444A" w:rsidRDefault="00C0444A" w:rsidP="00C0444A">
            <w:pPr>
              <w:spacing w:line="300" w:lineRule="atLeast"/>
              <w:jc w:val="center"/>
              <w:rPr>
                <w:rFonts w:ascii="Arial" w:hAnsi="Arial" w:cs="Arial"/>
                <w:sz w:val="16"/>
                <w:szCs w:val="16"/>
              </w:rPr>
            </w:pPr>
            <w:r>
              <w:rPr>
                <w:rFonts w:ascii="Arial" w:hAnsi="Arial" w:cs="Arial"/>
                <w:sz w:val="16"/>
                <w:szCs w:val="16"/>
              </w:rPr>
              <w:t>19.2 - 64</w:t>
            </w:r>
          </w:p>
        </w:tc>
        <w:tc>
          <w:tcPr>
            <w:tcW w:w="1505" w:type="dxa"/>
            <w:tcBorders>
              <w:bottom w:val="double" w:sz="4" w:space="0" w:color="auto"/>
            </w:tcBorders>
            <w:vAlign w:val="center"/>
          </w:tcPr>
          <w:p w14:paraId="385CE77E" w14:textId="09F6D57F" w:rsidR="00C0444A" w:rsidRPr="00C0444A" w:rsidRDefault="00C0444A" w:rsidP="00C0444A">
            <w:pPr>
              <w:spacing w:line="300" w:lineRule="atLeast"/>
              <w:jc w:val="center"/>
              <w:rPr>
                <w:rFonts w:ascii="Arial" w:hAnsi="Arial" w:cs="Arial"/>
                <w:sz w:val="16"/>
                <w:szCs w:val="16"/>
              </w:rPr>
            </w:pPr>
            <w:r>
              <w:rPr>
                <w:rFonts w:ascii="Arial" w:hAnsi="Arial" w:cs="Arial"/>
                <w:sz w:val="16"/>
                <w:szCs w:val="16"/>
              </w:rPr>
              <w:t>18.2 – 60.8</w:t>
            </w:r>
          </w:p>
        </w:tc>
        <w:tc>
          <w:tcPr>
            <w:tcW w:w="1503" w:type="dxa"/>
            <w:tcBorders>
              <w:bottom w:val="double" w:sz="4" w:space="0" w:color="auto"/>
            </w:tcBorders>
            <w:vAlign w:val="center"/>
          </w:tcPr>
          <w:p w14:paraId="5F2999B9" w14:textId="0031DDFC" w:rsidR="00C0444A" w:rsidRPr="00C0444A" w:rsidRDefault="00CE2AE9" w:rsidP="00C0444A">
            <w:pPr>
              <w:spacing w:line="300" w:lineRule="atLeast"/>
              <w:jc w:val="center"/>
              <w:rPr>
                <w:rFonts w:ascii="Arial" w:hAnsi="Arial" w:cs="Arial"/>
                <w:sz w:val="16"/>
                <w:szCs w:val="16"/>
              </w:rPr>
            </w:pPr>
            <w:r>
              <w:rPr>
                <w:rFonts w:ascii="Arial" w:hAnsi="Arial" w:cs="Arial"/>
                <w:sz w:val="16"/>
                <w:szCs w:val="16"/>
              </w:rPr>
              <w:t>1.0</w:t>
            </w:r>
            <w:r w:rsidR="00C0444A">
              <w:rPr>
                <w:rFonts w:ascii="Arial" w:hAnsi="Arial" w:cs="Arial"/>
                <w:sz w:val="16"/>
                <w:szCs w:val="16"/>
              </w:rPr>
              <w:t xml:space="preserve"> – 3.2</w:t>
            </w:r>
          </w:p>
        </w:tc>
      </w:tr>
      <w:tr w:rsidR="00964BDB" w:rsidRPr="00C0444A" w14:paraId="725A2755" w14:textId="77777777" w:rsidTr="00661D0D">
        <w:tc>
          <w:tcPr>
            <w:tcW w:w="1898" w:type="dxa"/>
            <w:tcBorders>
              <w:top w:val="double" w:sz="4" w:space="0" w:color="auto"/>
              <w:bottom w:val="single" w:sz="4" w:space="0" w:color="auto"/>
            </w:tcBorders>
          </w:tcPr>
          <w:p w14:paraId="796C3C8C" w14:textId="6698F62E" w:rsidR="00964BDB" w:rsidRPr="00C0444A" w:rsidRDefault="00964BDB" w:rsidP="00F0288A">
            <w:pPr>
              <w:spacing w:line="300" w:lineRule="atLeast"/>
              <w:jc w:val="both"/>
              <w:rPr>
                <w:rFonts w:ascii="Arial" w:hAnsi="Arial" w:cs="Arial"/>
                <w:sz w:val="16"/>
                <w:szCs w:val="16"/>
              </w:rPr>
            </w:pPr>
            <w:r w:rsidRPr="00C0444A">
              <w:rPr>
                <w:rFonts w:ascii="Arial" w:hAnsi="Arial" w:cs="Arial"/>
                <w:sz w:val="16"/>
                <w:szCs w:val="16"/>
              </w:rPr>
              <w:t>Southland lignite</w:t>
            </w:r>
            <w:r w:rsidR="00C0444A">
              <w:rPr>
                <w:rFonts w:ascii="Arial" w:hAnsi="Arial" w:cs="Arial"/>
                <w:sz w:val="16"/>
                <w:szCs w:val="16"/>
              </w:rPr>
              <w:t>, 2012</w:t>
            </w:r>
          </w:p>
        </w:tc>
        <w:tc>
          <w:tcPr>
            <w:tcW w:w="1258" w:type="dxa"/>
            <w:tcBorders>
              <w:top w:val="double" w:sz="4" w:space="0" w:color="auto"/>
              <w:bottom w:val="single" w:sz="4" w:space="0" w:color="auto"/>
            </w:tcBorders>
            <w:vAlign w:val="center"/>
          </w:tcPr>
          <w:p w14:paraId="485BCFC1" w14:textId="77777777" w:rsidR="00964BDB" w:rsidRPr="00C0444A" w:rsidRDefault="00500691" w:rsidP="00E46AE0">
            <w:pPr>
              <w:spacing w:line="300" w:lineRule="atLeast"/>
              <w:jc w:val="center"/>
              <w:rPr>
                <w:rFonts w:ascii="Arial" w:hAnsi="Arial" w:cs="Arial"/>
                <w:sz w:val="16"/>
                <w:szCs w:val="16"/>
              </w:rPr>
            </w:pPr>
            <w:r w:rsidRPr="00C0444A">
              <w:rPr>
                <w:rFonts w:ascii="Arial" w:hAnsi="Arial" w:cs="Arial"/>
                <w:sz w:val="16"/>
                <w:szCs w:val="16"/>
              </w:rPr>
              <w:t>3</w:t>
            </w:r>
            <w:r w:rsidR="00E46AE0" w:rsidRPr="00C0444A">
              <w:rPr>
                <w:rFonts w:ascii="Arial" w:hAnsi="Arial" w:cs="Arial"/>
                <w:sz w:val="16"/>
                <w:szCs w:val="16"/>
              </w:rPr>
              <w:t>0</w:t>
            </w:r>
            <w:r w:rsidR="00693D71" w:rsidRPr="00C0444A">
              <w:rPr>
                <w:rFonts w:ascii="Arial" w:hAnsi="Arial" w:cs="Arial"/>
                <w:sz w:val="16"/>
                <w:szCs w:val="16"/>
              </w:rPr>
              <w:t>7</w:t>
            </w:r>
            <w:r w:rsidRPr="00C0444A">
              <w:rPr>
                <w:rFonts w:ascii="Arial" w:hAnsi="Arial" w:cs="Arial"/>
                <w:sz w:val="16"/>
                <w:szCs w:val="16"/>
              </w:rPr>
              <w:t>,000</w:t>
            </w:r>
          </w:p>
        </w:tc>
        <w:tc>
          <w:tcPr>
            <w:tcW w:w="1386" w:type="dxa"/>
            <w:tcBorders>
              <w:top w:val="double" w:sz="4" w:space="0" w:color="auto"/>
              <w:bottom w:val="single" w:sz="4" w:space="0" w:color="auto"/>
            </w:tcBorders>
            <w:vAlign w:val="center"/>
          </w:tcPr>
          <w:p w14:paraId="053DF390" w14:textId="77777777" w:rsidR="00964BDB" w:rsidRPr="00C0444A" w:rsidRDefault="00500691" w:rsidP="00693D71">
            <w:pPr>
              <w:spacing w:line="300" w:lineRule="atLeast"/>
              <w:jc w:val="center"/>
              <w:rPr>
                <w:rFonts w:ascii="Arial" w:hAnsi="Arial" w:cs="Arial"/>
                <w:sz w:val="16"/>
                <w:szCs w:val="16"/>
              </w:rPr>
            </w:pPr>
            <w:r w:rsidRPr="00C0444A">
              <w:rPr>
                <w:rFonts w:ascii="Arial" w:hAnsi="Arial" w:cs="Arial"/>
                <w:sz w:val="16"/>
                <w:szCs w:val="16"/>
              </w:rPr>
              <w:t>0.0</w:t>
            </w:r>
            <w:r w:rsidR="00693D71" w:rsidRPr="00C0444A">
              <w:rPr>
                <w:rFonts w:ascii="Arial" w:hAnsi="Arial" w:cs="Arial"/>
                <w:sz w:val="16"/>
                <w:szCs w:val="16"/>
              </w:rPr>
              <w:t>6</w:t>
            </w:r>
            <w:r w:rsidRPr="00C0444A">
              <w:rPr>
                <w:rFonts w:ascii="Arial" w:hAnsi="Arial" w:cs="Arial"/>
                <w:sz w:val="16"/>
                <w:szCs w:val="16"/>
              </w:rPr>
              <w:t xml:space="preserve"> – 0.25</w:t>
            </w:r>
          </w:p>
        </w:tc>
        <w:tc>
          <w:tcPr>
            <w:tcW w:w="1511" w:type="dxa"/>
            <w:tcBorders>
              <w:top w:val="double" w:sz="4" w:space="0" w:color="auto"/>
              <w:bottom w:val="single" w:sz="4" w:space="0" w:color="auto"/>
            </w:tcBorders>
            <w:vAlign w:val="center"/>
          </w:tcPr>
          <w:p w14:paraId="34B583A0" w14:textId="2BC96C26" w:rsidR="00964BDB" w:rsidRPr="00C0444A" w:rsidRDefault="00CE2AE9" w:rsidP="00F0288A">
            <w:pPr>
              <w:spacing w:line="300" w:lineRule="atLeast"/>
              <w:jc w:val="center"/>
              <w:rPr>
                <w:rFonts w:ascii="Arial" w:hAnsi="Arial" w:cs="Arial"/>
                <w:sz w:val="16"/>
                <w:szCs w:val="16"/>
              </w:rPr>
            </w:pPr>
            <w:r>
              <w:rPr>
                <w:rFonts w:ascii="Arial" w:hAnsi="Arial" w:cs="Arial"/>
                <w:sz w:val="16"/>
                <w:szCs w:val="16"/>
              </w:rPr>
              <w:t>18.4</w:t>
            </w:r>
            <w:r w:rsidR="00E95C70" w:rsidRPr="00C0444A">
              <w:rPr>
                <w:rFonts w:ascii="Arial" w:hAnsi="Arial" w:cs="Arial"/>
                <w:sz w:val="16"/>
                <w:szCs w:val="16"/>
              </w:rPr>
              <w:t xml:space="preserve"> –</w:t>
            </w:r>
            <w:r w:rsidR="0073495D" w:rsidRPr="00C0444A">
              <w:rPr>
                <w:rFonts w:ascii="Arial" w:hAnsi="Arial" w:cs="Arial"/>
                <w:sz w:val="16"/>
                <w:szCs w:val="16"/>
              </w:rPr>
              <w:t xml:space="preserve"> 76</w:t>
            </w:r>
            <w:r>
              <w:rPr>
                <w:rFonts w:ascii="Arial" w:hAnsi="Arial" w:cs="Arial"/>
                <w:sz w:val="16"/>
                <w:szCs w:val="16"/>
              </w:rPr>
              <w:t>.8</w:t>
            </w:r>
          </w:p>
        </w:tc>
        <w:tc>
          <w:tcPr>
            <w:tcW w:w="1505" w:type="dxa"/>
            <w:tcBorders>
              <w:top w:val="double" w:sz="4" w:space="0" w:color="auto"/>
              <w:bottom w:val="single" w:sz="4" w:space="0" w:color="auto"/>
            </w:tcBorders>
            <w:vAlign w:val="center"/>
          </w:tcPr>
          <w:p w14:paraId="32876053" w14:textId="77777777" w:rsidR="00964BDB" w:rsidRPr="00C0444A" w:rsidRDefault="003120FE" w:rsidP="00F0288A">
            <w:pPr>
              <w:spacing w:line="300" w:lineRule="atLeast"/>
              <w:jc w:val="center"/>
              <w:rPr>
                <w:rFonts w:ascii="Arial" w:hAnsi="Arial" w:cs="Arial"/>
                <w:sz w:val="16"/>
                <w:szCs w:val="16"/>
              </w:rPr>
            </w:pPr>
            <w:r w:rsidRPr="00C0444A">
              <w:rPr>
                <w:rFonts w:ascii="Arial" w:hAnsi="Arial" w:cs="Arial"/>
                <w:sz w:val="16"/>
                <w:szCs w:val="16"/>
              </w:rPr>
              <w:t>17.5 – 72</w:t>
            </w:r>
            <w:r w:rsidR="0073495D" w:rsidRPr="00C0444A">
              <w:rPr>
                <w:rFonts w:ascii="Arial" w:hAnsi="Arial" w:cs="Arial"/>
                <w:sz w:val="16"/>
                <w:szCs w:val="16"/>
              </w:rPr>
              <w:t>.</w:t>
            </w:r>
            <w:r w:rsidRPr="00C0444A">
              <w:rPr>
                <w:rFonts w:ascii="Arial" w:hAnsi="Arial" w:cs="Arial"/>
                <w:sz w:val="16"/>
                <w:szCs w:val="16"/>
              </w:rPr>
              <w:t>9</w:t>
            </w:r>
          </w:p>
        </w:tc>
        <w:tc>
          <w:tcPr>
            <w:tcW w:w="1503" w:type="dxa"/>
            <w:tcBorders>
              <w:top w:val="double" w:sz="4" w:space="0" w:color="auto"/>
              <w:bottom w:val="single" w:sz="4" w:space="0" w:color="auto"/>
            </w:tcBorders>
            <w:vAlign w:val="center"/>
          </w:tcPr>
          <w:p w14:paraId="0E8729C5" w14:textId="77777777" w:rsidR="00964BDB" w:rsidRPr="00C0444A" w:rsidRDefault="003120FE" w:rsidP="00F0288A">
            <w:pPr>
              <w:spacing w:line="300" w:lineRule="atLeast"/>
              <w:jc w:val="center"/>
              <w:rPr>
                <w:rFonts w:ascii="Arial" w:hAnsi="Arial" w:cs="Arial"/>
                <w:sz w:val="16"/>
                <w:szCs w:val="16"/>
              </w:rPr>
            </w:pPr>
            <w:r w:rsidRPr="00C0444A">
              <w:rPr>
                <w:rFonts w:ascii="Arial" w:hAnsi="Arial" w:cs="Arial"/>
                <w:sz w:val="16"/>
                <w:szCs w:val="16"/>
              </w:rPr>
              <w:t>0.9</w:t>
            </w:r>
            <w:r w:rsidR="00E95C70" w:rsidRPr="00C0444A">
              <w:rPr>
                <w:rFonts w:ascii="Arial" w:hAnsi="Arial" w:cs="Arial"/>
                <w:sz w:val="16"/>
                <w:szCs w:val="16"/>
              </w:rPr>
              <w:t xml:space="preserve"> –</w:t>
            </w:r>
            <w:r w:rsidR="0073495D" w:rsidRPr="00C0444A">
              <w:rPr>
                <w:rFonts w:ascii="Arial" w:hAnsi="Arial" w:cs="Arial"/>
                <w:sz w:val="16"/>
                <w:szCs w:val="16"/>
              </w:rPr>
              <w:t xml:space="preserve"> </w:t>
            </w:r>
            <w:r w:rsidRPr="00C0444A">
              <w:rPr>
                <w:rFonts w:ascii="Arial" w:hAnsi="Arial" w:cs="Arial"/>
                <w:sz w:val="16"/>
                <w:szCs w:val="16"/>
              </w:rPr>
              <w:t>3.8</w:t>
            </w:r>
          </w:p>
        </w:tc>
      </w:tr>
      <w:tr w:rsidR="00C0444A" w:rsidRPr="00C0444A" w14:paraId="19347E24" w14:textId="77777777" w:rsidTr="00661D0D">
        <w:tc>
          <w:tcPr>
            <w:tcW w:w="1898" w:type="dxa"/>
            <w:tcBorders>
              <w:bottom w:val="double" w:sz="4" w:space="0" w:color="auto"/>
            </w:tcBorders>
          </w:tcPr>
          <w:p w14:paraId="598873B7" w14:textId="1529385A" w:rsidR="00C0444A" w:rsidRPr="00C0444A" w:rsidRDefault="00C0444A" w:rsidP="00C0444A">
            <w:pPr>
              <w:spacing w:line="300" w:lineRule="atLeast"/>
              <w:jc w:val="both"/>
              <w:rPr>
                <w:rFonts w:ascii="Arial" w:hAnsi="Arial" w:cs="Arial"/>
                <w:sz w:val="16"/>
                <w:szCs w:val="16"/>
              </w:rPr>
            </w:pPr>
            <w:r>
              <w:rPr>
                <w:rFonts w:ascii="Arial" w:hAnsi="Arial" w:cs="Arial"/>
                <w:sz w:val="16"/>
                <w:szCs w:val="16"/>
              </w:rPr>
              <w:t>Southland Lignite, 2016</w:t>
            </w:r>
          </w:p>
        </w:tc>
        <w:tc>
          <w:tcPr>
            <w:tcW w:w="1258" w:type="dxa"/>
            <w:tcBorders>
              <w:bottom w:val="double" w:sz="4" w:space="0" w:color="auto"/>
            </w:tcBorders>
            <w:vAlign w:val="center"/>
          </w:tcPr>
          <w:p w14:paraId="62CC25F8" w14:textId="7A2471CB" w:rsidR="00C0444A" w:rsidRPr="00C0444A" w:rsidRDefault="00C0444A" w:rsidP="00C0444A">
            <w:pPr>
              <w:spacing w:line="300" w:lineRule="atLeast"/>
              <w:jc w:val="center"/>
              <w:rPr>
                <w:rFonts w:ascii="Arial" w:hAnsi="Arial" w:cs="Arial"/>
                <w:sz w:val="16"/>
                <w:szCs w:val="16"/>
              </w:rPr>
            </w:pPr>
            <w:r>
              <w:rPr>
                <w:rFonts w:ascii="Arial" w:hAnsi="Arial" w:cs="Arial"/>
                <w:sz w:val="16"/>
                <w:szCs w:val="16"/>
              </w:rPr>
              <w:t>313,000</w:t>
            </w:r>
          </w:p>
        </w:tc>
        <w:tc>
          <w:tcPr>
            <w:tcW w:w="1386" w:type="dxa"/>
            <w:tcBorders>
              <w:bottom w:val="double" w:sz="4" w:space="0" w:color="auto"/>
            </w:tcBorders>
            <w:vAlign w:val="center"/>
          </w:tcPr>
          <w:p w14:paraId="4CD989EA" w14:textId="632E7473" w:rsidR="00C0444A" w:rsidRPr="00C0444A" w:rsidRDefault="00C0444A" w:rsidP="00C0444A">
            <w:pPr>
              <w:spacing w:line="300" w:lineRule="atLeast"/>
              <w:jc w:val="center"/>
              <w:rPr>
                <w:rFonts w:ascii="Arial" w:hAnsi="Arial" w:cs="Arial"/>
                <w:sz w:val="16"/>
                <w:szCs w:val="16"/>
              </w:rPr>
            </w:pPr>
            <w:r>
              <w:rPr>
                <w:rFonts w:ascii="Arial" w:hAnsi="Arial" w:cs="Arial"/>
                <w:sz w:val="16"/>
                <w:szCs w:val="16"/>
              </w:rPr>
              <w:t>0.06 – 0.25</w:t>
            </w:r>
          </w:p>
        </w:tc>
        <w:tc>
          <w:tcPr>
            <w:tcW w:w="1511" w:type="dxa"/>
            <w:tcBorders>
              <w:bottom w:val="double" w:sz="4" w:space="0" w:color="auto"/>
            </w:tcBorders>
            <w:vAlign w:val="center"/>
          </w:tcPr>
          <w:p w14:paraId="508CA249" w14:textId="08365BCA" w:rsidR="00C0444A" w:rsidRPr="00C0444A" w:rsidRDefault="00C0444A" w:rsidP="00C0444A">
            <w:pPr>
              <w:spacing w:line="300" w:lineRule="atLeast"/>
              <w:jc w:val="center"/>
              <w:rPr>
                <w:rFonts w:ascii="Arial" w:hAnsi="Arial" w:cs="Arial"/>
                <w:sz w:val="16"/>
                <w:szCs w:val="16"/>
              </w:rPr>
            </w:pPr>
            <w:r>
              <w:rPr>
                <w:rFonts w:ascii="Arial" w:hAnsi="Arial" w:cs="Arial"/>
                <w:sz w:val="16"/>
                <w:szCs w:val="16"/>
              </w:rPr>
              <w:t>18.8 – 78.3</w:t>
            </w:r>
          </w:p>
        </w:tc>
        <w:tc>
          <w:tcPr>
            <w:tcW w:w="1505" w:type="dxa"/>
            <w:tcBorders>
              <w:bottom w:val="double" w:sz="4" w:space="0" w:color="auto"/>
            </w:tcBorders>
            <w:vAlign w:val="center"/>
          </w:tcPr>
          <w:p w14:paraId="3E3AA0EA" w14:textId="286BF919" w:rsidR="00C0444A" w:rsidRPr="00C0444A" w:rsidRDefault="00C0444A" w:rsidP="00C0444A">
            <w:pPr>
              <w:spacing w:line="300" w:lineRule="atLeast"/>
              <w:jc w:val="center"/>
              <w:rPr>
                <w:rFonts w:ascii="Arial" w:hAnsi="Arial" w:cs="Arial"/>
                <w:sz w:val="16"/>
                <w:szCs w:val="16"/>
              </w:rPr>
            </w:pPr>
            <w:r>
              <w:rPr>
                <w:rFonts w:ascii="Arial" w:hAnsi="Arial" w:cs="Arial"/>
                <w:sz w:val="16"/>
                <w:szCs w:val="16"/>
              </w:rPr>
              <w:t>17.9 – 74.4</w:t>
            </w:r>
          </w:p>
        </w:tc>
        <w:tc>
          <w:tcPr>
            <w:tcW w:w="1503" w:type="dxa"/>
            <w:tcBorders>
              <w:bottom w:val="double" w:sz="4" w:space="0" w:color="auto"/>
            </w:tcBorders>
            <w:vAlign w:val="center"/>
          </w:tcPr>
          <w:p w14:paraId="6A3BF50A" w14:textId="58243C1E" w:rsidR="00C0444A" w:rsidRPr="00C0444A" w:rsidRDefault="00CE2AE9" w:rsidP="00C0444A">
            <w:pPr>
              <w:spacing w:line="300" w:lineRule="atLeast"/>
              <w:jc w:val="center"/>
              <w:rPr>
                <w:rFonts w:ascii="Arial" w:hAnsi="Arial" w:cs="Arial"/>
                <w:sz w:val="16"/>
                <w:szCs w:val="16"/>
              </w:rPr>
            </w:pPr>
            <w:r>
              <w:rPr>
                <w:rFonts w:ascii="Arial" w:hAnsi="Arial" w:cs="Arial"/>
                <w:sz w:val="16"/>
                <w:szCs w:val="16"/>
              </w:rPr>
              <w:t>0.9</w:t>
            </w:r>
            <w:r w:rsidR="00C0444A">
              <w:rPr>
                <w:rFonts w:ascii="Arial" w:hAnsi="Arial" w:cs="Arial"/>
                <w:sz w:val="16"/>
                <w:szCs w:val="16"/>
              </w:rPr>
              <w:t xml:space="preserve"> – 3.9</w:t>
            </w:r>
          </w:p>
        </w:tc>
      </w:tr>
      <w:tr w:rsidR="00180B00" w:rsidRPr="00C0444A" w14:paraId="3F7E5196" w14:textId="77777777" w:rsidTr="00661D0D">
        <w:tc>
          <w:tcPr>
            <w:tcW w:w="1898" w:type="dxa"/>
            <w:tcBorders>
              <w:top w:val="double" w:sz="4" w:space="0" w:color="auto"/>
            </w:tcBorders>
            <w:vAlign w:val="center"/>
          </w:tcPr>
          <w:p w14:paraId="07A3CDA3" w14:textId="69638EEA" w:rsidR="00180B00" w:rsidRPr="00C0444A" w:rsidRDefault="00180B00" w:rsidP="00661D0D">
            <w:pPr>
              <w:spacing w:line="300" w:lineRule="atLeast"/>
              <w:rPr>
                <w:rFonts w:ascii="Arial" w:hAnsi="Arial" w:cs="Arial"/>
                <w:b/>
                <w:sz w:val="16"/>
                <w:szCs w:val="16"/>
              </w:rPr>
            </w:pPr>
            <w:r w:rsidRPr="00C0444A">
              <w:rPr>
                <w:rFonts w:ascii="Arial" w:hAnsi="Arial" w:cs="Arial"/>
                <w:b/>
                <w:sz w:val="16"/>
                <w:szCs w:val="16"/>
              </w:rPr>
              <w:t>Totals</w:t>
            </w:r>
            <w:r w:rsidR="00C0444A">
              <w:rPr>
                <w:rFonts w:ascii="Arial" w:hAnsi="Arial" w:cs="Arial"/>
                <w:b/>
                <w:sz w:val="16"/>
                <w:szCs w:val="16"/>
              </w:rPr>
              <w:t>, 2012</w:t>
            </w:r>
          </w:p>
        </w:tc>
        <w:tc>
          <w:tcPr>
            <w:tcW w:w="1258" w:type="dxa"/>
            <w:tcBorders>
              <w:top w:val="double" w:sz="4" w:space="0" w:color="auto"/>
            </w:tcBorders>
            <w:vAlign w:val="center"/>
          </w:tcPr>
          <w:p w14:paraId="32148D1B" w14:textId="77777777" w:rsidR="00180B00" w:rsidRPr="00C0444A" w:rsidRDefault="00180B00" w:rsidP="00693D71">
            <w:pPr>
              <w:spacing w:line="300" w:lineRule="atLeast"/>
              <w:jc w:val="center"/>
              <w:rPr>
                <w:rFonts w:ascii="Arial" w:hAnsi="Arial" w:cs="Arial"/>
                <w:b/>
                <w:sz w:val="16"/>
                <w:szCs w:val="16"/>
              </w:rPr>
            </w:pPr>
            <w:r w:rsidRPr="00C0444A">
              <w:rPr>
                <w:rFonts w:ascii="Arial" w:hAnsi="Arial" w:cs="Arial"/>
                <w:b/>
                <w:sz w:val="16"/>
                <w:szCs w:val="16"/>
              </w:rPr>
              <w:t>1,1</w:t>
            </w:r>
            <w:r w:rsidR="00693D71" w:rsidRPr="00C0444A">
              <w:rPr>
                <w:rFonts w:ascii="Arial" w:hAnsi="Arial" w:cs="Arial"/>
                <w:b/>
                <w:sz w:val="16"/>
                <w:szCs w:val="16"/>
              </w:rPr>
              <w:t>12</w:t>
            </w:r>
            <w:r w:rsidRPr="00C0444A">
              <w:rPr>
                <w:rFonts w:ascii="Arial" w:hAnsi="Arial" w:cs="Arial"/>
                <w:b/>
                <w:sz w:val="16"/>
                <w:szCs w:val="16"/>
              </w:rPr>
              <w:t>,000</w:t>
            </w:r>
          </w:p>
        </w:tc>
        <w:tc>
          <w:tcPr>
            <w:tcW w:w="1386" w:type="dxa"/>
            <w:tcBorders>
              <w:top w:val="double" w:sz="4" w:space="0" w:color="auto"/>
            </w:tcBorders>
            <w:vAlign w:val="center"/>
          </w:tcPr>
          <w:p w14:paraId="597602B3" w14:textId="77777777" w:rsidR="00180B00" w:rsidRPr="00C0444A" w:rsidRDefault="00180B00" w:rsidP="00F0288A">
            <w:pPr>
              <w:spacing w:line="300" w:lineRule="atLeast"/>
              <w:jc w:val="center"/>
              <w:rPr>
                <w:rFonts w:ascii="Arial" w:hAnsi="Arial" w:cs="Arial"/>
                <w:b/>
                <w:sz w:val="16"/>
                <w:szCs w:val="16"/>
              </w:rPr>
            </w:pPr>
          </w:p>
        </w:tc>
        <w:tc>
          <w:tcPr>
            <w:tcW w:w="1511" w:type="dxa"/>
            <w:tcBorders>
              <w:top w:val="double" w:sz="4" w:space="0" w:color="auto"/>
            </w:tcBorders>
            <w:vAlign w:val="center"/>
          </w:tcPr>
          <w:p w14:paraId="1F526838" w14:textId="77777777" w:rsidR="00180B00" w:rsidRPr="00C0444A" w:rsidRDefault="0073495D" w:rsidP="0073495D">
            <w:pPr>
              <w:spacing w:line="300" w:lineRule="atLeast"/>
              <w:jc w:val="center"/>
              <w:rPr>
                <w:rFonts w:ascii="Arial" w:hAnsi="Arial" w:cs="Arial"/>
                <w:b/>
                <w:sz w:val="16"/>
                <w:szCs w:val="16"/>
              </w:rPr>
            </w:pPr>
            <w:r w:rsidRPr="00C0444A">
              <w:rPr>
                <w:rFonts w:ascii="Arial" w:hAnsi="Arial" w:cs="Arial"/>
                <w:b/>
                <w:sz w:val="16"/>
                <w:szCs w:val="16"/>
              </w:rPr>
              <w:t>45.57</w:t>
            </w:r>
            <w:r w:rsidR="00E95C70" w:rsidRPr="00C0444A">
              <w:rPr>
                <w:rFonts w:ascii="Arial" w:hAnsi="Arial" w:cs="Arial"/>
                <w:b/>
                <w:sz w:val="16"/>
                <w:szCs w:val="16"/>
              </w:rPr>
              <w:t xml:space="preserve"> – 18</w:t>
            </w:r>
            <w:r w:rsidRPr="00C0444A">
              <w:rPr>
                <w:rFonts w:ascii="Arial" w:hAnsi="Arial" w:cs="Arial"/>
                <w:b/>
                <w:sz w:val="16"/>
                <w:szCs w:val="16"/>
              </w:rPr>
              <w:t>7.25 (116</w:t>
            </w:r>
            <w:r w:rsidR="00E95C70" w:rsidRPr="00C0444A">
              <w:rPr>
                <w:rFonts w:ascii="Arial" w:hAnsi="Arial" w:cs="Arial"/>
                <w:b/>
                <w:sz w:val="16"/>
                <w:szCs w:val="16"/>
              </w:rPr>
              <w:t>.</w:t>
            </w:r>
            <w:r w:rsidRPr="00C0444A">
              <w:rPr>
                <w:rFonts w:ascii="Arial" w:hAnsi="Arial" w:cs="Arial"/>
                <w:b/>
                <w:sz w:val="16"/>
                <w:szCs w:val="16"/>
              </w:rPr>
              <w:t>4</w:t>
            </w:r>
            <w:r w:rsidR="00E95C70" w:rsidRPr="00C0444A">
              <w:rPr>
                <w:rFonts w:ascii="Arial" w:hAnsi="Arial" w:cs="Arial"/>
                <w:b/>
                <w:sz w:val="16"/>
                <w:szCs w:val="16"/>
              </w:rPr>
              <w:t>)</w:t>
            </w:r>
          </w:p>
        </w:tc>
        <w:tc>
          <w:tcPr>
            <w:tcW w:w="1505" w:type="dxa"/>
            <w:tcBorders>
              <w:top w:val="double" w:sz="4" w:space="0" w:color="auto"/>
            </w:tcBorders>
            <w:vAlign w:val="center"/>
          </w:tcPr>
          <w:p w14:paraId="3774E1FE" w14:textId="77777777" w:rsidR="00180B00" w:rsidRPr="00C0444A" w:rsidRDefault="003120FE" w:rsidP="003120FE">
            <w:pPr>
              <w:spacing w:line="300" w:lineRule="atLeast"/>
              <w:jc w:val="center"/>
              <w:rPr>
                <w:rFonts w:ascii="Arial" w:hAnsi="Arial" w:cs="Arial"/>
                <w:b/>
                <w:sz w:val="16"/>
                <w:szCs w:val="16"/>
              </w:rPr>
            </w:pPr>
            <w:r w:rsidRPr="00C0444A">
              <w:rPr>
                <w:rFonts w:ascii="Arial" w:hAnsi="Arial" w:cs="Arial"/>
                <w:b/>
                <w:sz w:val="16"/>
                <w:szCs w:val="16"/>
              </w:rPr>
              <w:t>43.3</w:t>
            </w:r>
            <w:r w:rsidR="00E95C70" w:rsidRPr="00C0444A">
              <w:rPr>
                <w:rFonts w:ascii="Arial" w:hAnsi="Arial" w:cs="Arial"/>
                <w:b/>
                <w:sz w:val="16"/>
                <w:szCs w:val="16"/>
              </w:rPr>
              <w:t xml:space="preserve"> – 1</w:t>
            </w:r>
            <w:r w:rsidRPr="00C0444A">
              <w:rPr>
                <w:rFonts w:ascii="Arial" w:hAnsi="Arial" w:cs="Arial"/>
                <w:b/>
                <w:sz w:val="16"/>
                <w:szCs w:val="16"/>
              </w:rPr>
              <w:t>77</w:t>
            </w:r>
            <w:r w:rsidR="00E95C70" w:rsidRPr="00C0444A">
              <w:rPr>
                <w:rFonts w:ascii="Arial" w:hAnsi="Arial" w:cs="Arial"/>
                <w:b/>
                <w:sz w:val="16"/>
                <w:szCs w:val="16"/>
              </w:rPr>
              <w:t>.</w:t>
            </w:r>
            <w:r w:rsidRPr="00C0444A">
              <w:rPr>
                <w:rFonts w:ascii="Arial" w:hAnsi="Arial" w:cs="Arial"/>
                <w:b/>
                <w:sz w:val="16"/>
                <w:szCs w:val="16"/>
              </w:rPr>
              <w:t>9</w:t>
            </w:r>
            <w:r w:rsidR="0073495D" w:rsidRPr="00C0444A">
              <w:rPr>
                <w:rFonts w:ascii="Arial" w:hAnsi="Arial" w:cs="Arial"/>
                <w:b/>
                <w:sz w:val="16"/>
                <w:szCs w:val="16"/>
              </w:rPr>
              <w:t xml:space="preserve"> (1</w:t>
            </w:r>
            <w:r w:rsidRPr="00C0444A">
              <w:rPr>
                <w:rFonts w:ascii="Arial" w:hAnsi="Arial" w:cs="Arial"/>
                <w:b/>
                <w:sz w:val="16"/>
                <w:szCs w:val="16"/>
              </w:rPr>
              <w:t>1</w:t>
            </w:r>
            <w:r w:rsidR="0073495D" w:rsidRPr="00C0444A">
              <w:rPr>
                <w:rFonts w:ascii="Arial" w:hAnsi="Arial" w:cs="Arial"/>
                <w:b/>
                <w:sz w:val="16"/>
                <w:szCs w:val="16"/>
              </w:rPr>
              <w:t>0.</w:t>
            </w:r>
            <w:r w:rsidRPr="00C0444A">
              <w:rPr>
                <w:rFonts w:ascii="Arial" w:hAnsi="Arial" w:cs="Arial"/>
                <w:b/>
                <w:sz w:val="16"/>
                <w:szCs w:val="16"/>
              </w:rPr>
              <w:t>6</w:t>
            </w:r>
            <w:r w:rsidR="0073495D" w:rsidRPr="00C0444A">
              <w:rPr>
                <w:rFonts w:ascii="Arial" w:hAnsi="Arial" w:cs="Arial"/>
                <w:b/>
                <w:sz w:val="16"/>
                <w:szCs w:val="16"/>
              </w:rPr>
              <w:t>)</w:t>
            </w:r>
          </w:p>
        </w:tc>
        <w:tc>
          <w:tcPr>
            <w:tcW w:w="1503" w:type="dxa"/>
            <w:tcBorders>
              <w:top w:val="double" w:sz="4" w:space="0" w:color="auto"/>
            </w:tcBorders>
            <w:vAlign w:val="center"/>
          </w:tcPr>
          <w:p w14:paraId="1A0EA937" w14:textId="561682DF" w:rsidR="00180B00" w:rsidRPr="00C0444A" w:rsidRDefault="003120FE" w:rsidP="003120FE">
            <w:pPr>
              <w:spacing w:line="300" w:lineRule="atLeast"/>
              <w:jc w:val="center"/>
              <w:rPr>
                <w:rFonts w:ascii="Arial" w:hAnsi="Arial" w:cs="Arial"/>
                <w:b/>
                <w:sz w:val="16"/>
                <w:szCs w:val="16"/>
              </w:rPr>
            </w:pPr>
            <w:r w:rsidRPr="00C0444A">
              <w:rPr>
                <w:rFonts w:ascii="Arial" w:hAnsi="Arial" w:cs="Arial"/>
                <w:b/>
                <w:sz w:val="16"/>
                <w:szCs w:val="16"/>
              </w:rPr>
              <w:t>2</w:t>
            </w:r>
            <w:r w:rsidR="0073495D" w:rsidRPr="00C0444A">
              <w:rPr>
                <w:rFonts w:ascii="Arial" w:hAnsi="Arial" w:cs="Arial"/>
                <w:b/>
                <w:sz w:val="16"/>
                <w:szCs w:val="16"/>
              </w:rPr>
              <w:t>.</w:t>
            </w:r>
            <w:r w:rsidR="00CE2AE9">
              <w:rPr>
                <w:rFonts w:ascii="Arial" w:hAnsi="Arial" w:cs="Arial"/>
                <w:b/>
                <w:sz w:val="16"/>
                <w:szCs w:val="16"/>
              </w:rPr>
              <w:t>3</w:t>
            </w:r>
            <w:r w:rsidR="00E95C70" w:rsidRPr="00C0444A">
              <w:rPr>
                <w:rFonts w:ascii="Arial" w:hAnsi="Arial" w:cs="Arial"/>
                <w:b/>
                <w:sz w:val="16"/>
                <w:szCs w:val="16"/>
              </w:rPr>
              <w:t xml:space="preserve"> –</w:t>
            </w:r>
            <w:r w:rsidRPr="00C0444A">
              <w:rPr>
                <w:rFonts w:ascii="Arial" w:hAnsi="Arial" w:cs="Arial"/>
                <w:b/>
                <w:sz w:val="16"/>
                <w:szCs w:val="16"/>
              </w:rPr>
              <w:t xml:space="preserve"> 9.</w:t>
            </w:r>
            <w:r w:rsidR="00E95C70" w:rsidRPr="00C0444A">
              <w:rPr>
                <w:rFonts w:ascii="Arial" w:hAnsi="Arial" w:cs="Arial"/>
                <w:b/>
                <w:sz w:val="16"/>
                <w:szCs w:val="16"/>
              </w:rPr>
              <w:t>3</w:t>
            </w:r>
            <w:r w:rsidRPr="00C0444A">
              <w:rPr>
                <w:rFonts w:ascii="Arial" w:hAnsi="Arial" w:cs="Arial"/>
                <w:b/>
                <w:sz w:val="16"/>
                <w:szCs w:val="16"/>
              </w:rPr>
              <w:t xml:space="preserve"> </w:t>
            </w:r>
            <w:r w:rsidRPr="00C0444A">
              <w:rPr>
                <w:rFonts w:ascii="Arial" w:hAnsi="Arial" w:cs="Arial"/>
                <w:b/>
                <w:sz w:val="16"/>
                <w:szCs w:val="16"/>
              </w:rPr>
              <w:br/>
              <w:t>(5.8</w:t>
            </w:r>
            <w:r w:rsidR="0073495D" w:rsidRPr="00C0444A">
              <w:rPr>
                <w:rFonts w:ascii="Arial" w:hAnsi="Arial" w:cs="Arial"/>
                <w:b/>
                <w:sz w:val="16"/>
                <w:szCs w:val="16"/>
              </w:rPr>
              <w:t>)</w:t>
            </w:r>
          </w:p>
        </w:tc>
      </w:tr>
      <w:tr w:rsidR="00C0444A" w:rsidRPr="00C0444A" w14:paraId="677D03CC" w14:textId="77777777" w:rsidTr="00661D0D">
        <w:tc>
          <w:tcPr>
            <w:tcW w:w="1898" w:type="dxa"/>
            <w:vAlign w:val="center"/>
          </w:tcPr>
          <w:p w14:paraId="41D2378C" w14:textId="2B6E8605" w:rsidR="00C0444A" w:rsidRPr="00C0444A" w:rsidRDefault="00C0444A" w:rsidP="00661D0D">
            <w:pPr>
              <w:spacing w:line="300" w:lineRule="atLeast"/>
              <w:rPr>
                <w:rFonts w:ascii="Arial" w:hAnsi="Arial" w:cs="Arial"/>
                <w:b/>
                <w:sz w:val="16"/>
                <w:szCs w:val="16"/>
              </w:rPr>
            </w:pPr>
            <w:r>
              <w:rPr>
                <w:rFonts w:ascii="Arial" w:hAnsi="Arial" w:cs="Arial"/>
                <w:b/>
                <w:sz w:val="16"/>
                <w:szCs w:val="16"/>
              </w:rPr>
              <w:t>Totals, 2016</w:t>
            </w:r>
          </w:p>
        </w:tc>
        <w:tc>
          <w:tcPr>
            <w:tcW w:w="1258" w:type="dxa"/>
            <w:vAlign w:val="center"/>
          </w:tcPr>
          <w:p w14:paraId="38A9BE04" w14:textId="099823CE" w:rsidR="00C0444A" w:rsidRPr="00C0444A" w:rsidRDefault="00C0444A" w:rsidP="00C0444A">
            <w:pPr>
              <w:spacing w:line="300" w:lineRule="atLeast"/>
              <w:jc w:val="center"/>
              <w:rPr>
                <w:rFonts w:ascii="Arial" w:hAnsi="Arial" w:cs="Arial"/>
                <w:b/>
                <w:sz w:val="16"/>
                <w:szCs w:val="16"/>
              </w:rPr>
            </w:pPr>
            <w:r>
              <w:rPr>
                <w:rFonts w:ascii="Arial" w:hAnsi="Arial" w:cs="Arial"/>
                <w:b/>
                <w:sz w:val="16"/>
                <w:szCs w:val="16"/>
              </w:rPr>
              <w:t>1,177,000</w:t>
            </w:r>
          </w:p>
        </w:tc>
        <w:tc>
          <w:tcPr>
            <w:tcW w:w="1386" w:type="dxa"/>
            <w:vAlign w:val="center"/>
          </w:tcPr>
          <w:p w14:paraId="62EB7638" w14:textId="77777777" w:rsidR="00C0444A" w:rsidRPr="00C0444A" w:rsidRDefault="00C0444A" w:rsidP="00C0444A">
            <w:pPr>
              <w:spacing w:line="300" w:lineRule="atLeast"/>
              <w:jc w:val="center"/>
              <w:rPr>
                <w:rFonts w:ascii="Arial" w:hAnsi="Arial" w:cs="Arial"/>
                <w:b/>
                <w:sz w:val="16"/>
                <w:szCs w:val="16"/>
              </w:rPr>
            </w:pPr>
          </w:p>
        </w:tc>
        <w:tc>
          <w:tcPr>
            <w:tcW w:w="1511" w:type="dxa"/>
            <w:vAlign w:val="center"/>
          </w:tcPr>
          <w:p w14:paraId="7E232938" w14:textId="2CA24079" w:rsidR="00C0444A" w:rsidRPr="00C0444A" w:rsidRDefault="00C0444A" w:rsidP="00C0444A">
            <w:pPr>
              <w:spacing w:line="300" w:lineRule="atLeast"/>
              <w:jc w:val="center"/>
              <w:rPr>
                <w:rFonts w:ascii="Arial" w:hAnsi="Arial" w:cs="Arial"/>
                <w:b/>
                <w:sz w:val="16"/>
                <w:szCs w:val="16"/>
              </w:rPr>
            </w:pPr>
            <w:r>
              <w:rPr>
                <w:rFonts w:ascii="Arial" w:hAnsi="Arial" w:cs="Arial"/>
                <w:b/>
                <w:sz w:val="16"/>
                <w:szCs w:val="16"/>
              </w:rPr>
              <w:t>47.0 – 187.1 (117.1)</w:t>
            </w:r>
          </w:p>
        </w:tc>
        <w:tc>
          <w:tcPr>
            <w:tcW w:w="1505" w:type="dxa"/>
            <w:vAlign w:val="center"/>
          </w:tcPr>
          <w:p w14:paraId="25F1323F" w14:textId="679022FE" w:rsidR="00C0444A" w:rsidRPr="00C0444A" w:rsidRDefault="00C0444A" w:rsidP="00C0444A">
            <w:pPr>
              <w:spacing w:line="300" w:lineRule="atLeast"/>
              <w:jc w:val="center"/>
              <w:rPr>
                <w:rFonts w:ascii="Arial" w:hAnsi="Arial" w:cs="Arial"/>
                <w:b/>
                <w:sz w:val="16"/>
                <w:szCs w:val="16"/>
              </w:rPr>
            </w:pPr>
            <w:r>
              <w:rPr>
                <w:rFonts w:ascii="Arial" w:hAnsi="Arial" w:cs="Arial"/>
                <w:b/>
                <w:sz w:val="16"/>
                <w:szCs w:val="16"/>
              </w:rPr>
              <w:t>44.6 – 177.8 (111.2)</w:t>
            </w:r>
          </w:p>
        </w:tc>
        <w:tc>
          <w:tcPr>
            <w:tcW w:w="1503" w:type="dxa"/>
            <w:vAlign w:val="center"/>
          </w:tcPr>
          <w:p w14:paraId="312159C1" w14:textId="5CD5CAB4" w:rsidR="00C0444A" w:rsidRPr="00C0444A" w:rsidRDefault="00CE2AE9" w:rsidP="00C0444A">
            <w:pPr>
              <w:spacing w:line="300" w:lineRule="atLeast"/>
              <w:jc w:val="center"/>
              <w:rPr>
                <w:rFonts w:ascii="Arial" w:hAnsi="Arial" w:cs="Arial"/>
                <w:b/>
                <w:sz w:val="16"/>
                <w:szCs w:val="16"/>
              </w:rPr>
            </w:pPr>
            <w:r>
              <w:rPr>
                <w:rFonts w:ascii="Arial" w:hAnsi="Arial" w:cs="Arial"/>
                <w:b/>
                <w:sz w:val="16"/>
                <w:szCs w:val="16"/>
              </w:rPr>
              <w:t>2.4 – 9.2</w:t>
            </w:r>
            <w:r w:rsidR="00C0444A">
              <w:rPr>
                <w:rFonts w:ascii="Arial" w:hAnsi="Arial" w:cs="Arial"/>
                <w:b/>
                <w:sz w:val="16"/>
                <w:szCs w:val="16"/>
              </w:rPr>
              <w:t xml:space="preserve"> </w:t>
            </w:r>
            <w:r w:rsidR="00004D1A">
              <w:rPr>
                <w:rFonts w:ascii="Arial" w:hAnsi="Arial" w:cs="Arial"/>
                <w:b/>
                <w:sz w:val="16"/>
                <w:szCs w:val="16"/>
              </w:rPr>
              <w:t xml:space="preserve"> </w:t>
            </w:r>
            <w:r>
              <w:rPr>
                <w:rFonts w:ascii="Arial" w:hAnsi="Arial" w:cs="Arial"/>
                <w:b/>
                <w:sz w:val="16"/>
                <w:szCs w:val="16"/>
              </w:rPr>
              <w:br/>
              <w:t>(5.</w:t>
            </w:r>
            <w:r w:rsidR="00C0444A">
              <w:rPr>
                <w:rFonts w:ascii="Arial" w:hAnsi="Arial" w:cs="Arial"/>
                <w:b/>
                <w:sz w:val="16"/>
                <w:szCs w:val="16"/>
              </w:rPr>
              <w:t>8)</w:t>
            </w:r>
          </w:p>
        </w:tc>
      </w:tr>
    </w:tbl>
    <w:p w14:paraId="202E1379" w14:textId="77777777" w:rsidR="00C0444A" w:rsidRDefault="00C0444A" w:rsidP="00964BDB">
      <w:pPr>
        <w:spacing w:before="120" w:line="300" w:lineRule="atLeast"/>
        <w:jc w:val="both"/>
        <w:rPr>
          <w:rFonts w:ascii="Arial" w:hAnsi="Arial" w:cs="Arial"/>
          <w:b/>
          <w:szCs w:val="18"/>
        </w:rPr>
      </w:pPr>
    </w:p>
    <w:p w14:paraId="6C0CC094" w14:textId="77777777" w:rsidR="00964BDB" w:rsidRPr="00C0444A" w:rsidRDefault="00964BDB" w:rsidP="00964BDB">
      <w:pPr>
        <w:spacing w:before="120" w:line="300" w:lineRule="atLeast"/>
        <w:jc w:val="both"/>
        <w:rPr>
          <w:rFonts w:ascii="Arial" w:hAnsi="Arial" w:cs="Arial"/>
          <w:b/>
          <w:szCs w:val="18"/>
        </w:rPr>
      </w:pPr>
      <w:r w:rsidRPr="00C0444A">
        <w:rPr>
          <w:rFonts w:ascii="Arial" w:hAnsi="Arial" w:cs="Arial"/>
          <w:b/>
          <w:szCs w:val="18"/>
        </w:rPr>
        <w:t xml:space="preserve">Certainty </w:t>
      </w:r>
      <w:r w:rsidR="00A97D5C" w:rsidRPr="00C0444A">
        <w:rPr>
          <w:rFonts w:ascii="Arial" w:hAnsi="Arial" w:cs="Arial"/>
          <w:b/>
          <w:szCs w:val="18"/>
        </w:rPr>
        <w:t>assessment</w:t>
      </w:r>
    </w:p>
    <w:p w14:paraId="4044ECD8" w14:textId="77777777" w:rsidR="00964BDB" w:rsidRPr="00C0444A" w:rsidRDefault="00964BDB" w:rsidP="003F0477">
      <w:pPr>
        <w:tabs>
          <w:tab w:val="left" w:pos="1701"/>
        </w:tabs>
        <w:spacing w:line="300" w:lineRule="atLeast"/>
        <w:jc w:val="both"/>
        <w:rPr>
          <w:szCs w:val="18"/>
        </w:rPr>
      </w:pPr>
      <w:r w:rsidRPr="00C0444A">
        <w:rPr>
          <w:szCs w:val="18"/>
        </w:rPr>
        <w:t xml:space="preserve">Activity data: </w:t>
      </w:r>
      <w:r w:rsidRPr="00C0444A">
        <w:rPr>
          <w:szCs w:val="18"/>
        </w:rPr>
        <w:tab/>
        <w:t>HIGH (because it was obtained from a national database)</w:t>
      </w:r>
    </w:p>
    <w:p w14:paraId="2F3EF6B5" w14:textId="77777777" w:rsidR="00964BDB" w:rsidRPr="00C0444A" w:rsidRDefault="00964BDB" w:rsidP="003F0477">
      <w:pPr>
        <w:tabs>
          <w:tab w:val="left" w:pos="1701"/>
        </w:tabs>
        <w:spacing w:line="300" w:lineRule="atLeast"/>
        <w:jc w:val="both"/>
        <w:rPr>
          <w:szCs w:val="18"/>
        </w:rPr>
      </w:pPr>
      <w:r w:rsidRPr="00C0444A">
        <w:rPr>
          <w:szCs w:val="18"/>
        </w:rPr>
        <w:t xml:space="preserve">Input estimates: </w:t>
      </w:r>
      <w:r w:rsidRPr="00C0444A">
        <w:rPr>
          <w:szCs w:val="18"/>
        </w:rPr>
        <w:tab/>
      </w:r>
      <w:r w:rsidR="00BE17CF" w:rsidRPr="00C0444A">
        <w:rPr>
          <w:szCs w:val="18"/>
        </w:rPr>
        <w:t>LOW</w:t>
      </w:r>
      <w:r w:rsidRPr="00C0444A">
        <w:rPr>
          <w:szCs w:val="18"/>
        </w:rPr>
        <w:t xml:space="preserve"> (because they are based on a </w:t>
      </w:r>
      <w:r w:rsidR="00BE17CF" w:rsidRPr="00C0444A">
        <w:rPr>
          <w:szCs w:val="18"/>
        </w:rPr>
        <w:t xml:space="preserve">limited </w:t>
      </w:r>
      <w:r w:rsidRPr="00C0444A">
        <w:rPr>
          <w:szCs w:val="18"/>
        </w:rPr>
        <w:t xml:space="preserve">range of </w:t>
      </w:r>
      <w:r w:rsidR="00BE17CF" w:rsidRPr="00C0444A">
        <w:rPr>
          <w:szCs w:val="18"/>
        </w:rPr>
        <w:t xml:space="preserve">published </w:t>
      </w:r>
      <w:r w:rsidR="003F0477" w:rsidRPr="00C0444A">
        <w:rPr>
          <w:szCs w:val="18"/>
        </w:rPr>
        <w:t xml:space="preserve">data </w:t>
      </w:r>
      <w:r w:rsidR="00BE17CF" w:rsidRPr="00C0444A">
        <w:rPr>
          <w:szCs w:val="18"/>
        </w:rPr>
        <w:t>and industry estimates</w:t>
      </w:r>
      <w:r w:rsidRPr="00C0444A">
        <w:rPr>
          <w:szCs w:val="18"/>
        </w:rPr>
        <w:t>)</w:t>
      </w:r>
    </w:p>
    <w:p w14:paraId="1D8B483C" w14:textId="77777777" w:rsidR="00964BDB" w:rsidRPr="00C0444A" w:rsidRDefault="00964BDB" w:rsidP="003F0477">
      <w:pPr>
        <w:tabs>
          <w:tab w:val="left" w:pos="1701"/>
        </w:tabs>
        <w:spacing w:line="300" w:lineRule="atLeast"/>
        <w:jc w:val="both"/>
        <w:rPr>
          <w:szCs w:val="18"/>
        </w:rPr>
      </w:pPr>
      <w:r w:rsidRPr="00C0444A">
        <w:rPr>
          <w:szCs w:val="18"/>
        </w:rPr>
        <w:t xml:space="preserve">Output estimates: </w:t>
      </w:r>
      <w:r w:rsidRPr="00C0444A">
        <w:rPr>
          <w:szCs w:val="18"/>
        </w:rPr>
        <w:tab/>
        <w:t>LOW (because they are based on the default Toolkit output factors).</w:t>
      </w:r>
    </w:p>
    <w:p w14:paraId="035EEE68" w14:textId="77777777" w:rsidR="006D0512" w:rsidRPr="00C0444A" w:rsidRDefault="00450C4E" w:rsidP="00135B26">
      <w:pPr>
        <w:pStyle w:val="Heading2"/>
      </w:pPr>
      <w:bookmarkStart w:id="32" w:name="_Toc484949568"/>
      <w:r w:rsidRPr="00C0444A">
        <w:t xml:space="preserve">Mineral </w:t>
      </w:r>
      <w:r w:rsidR="00A97D5C" w:rsidRPr="00C0444A">
        <w:t>oils - extraction, refining and use</w:t>
      </w:r>
      <w:bookmarkEnd w:id="32"/>
    </w:p>
    <w:p w14:paraId="6BECBFA1" w14:textId="77777777" w:rsidR="004A02C0" w:rsidRDefault="00872E08" w:rsidP="00872E08">
      <w:pPr>
        <w:spacing w:line="300" w:lineRule="atLeast"/>
        <w:jc w:val="both"/>
        <w:rPr>
          <w:szCs w:val="18"/>
        </w:rPr>
      </w:pPr>
      <w:r w:rsidRPr="00872E08">
        <w:rPr>
          <w:szCs w:val="18"/>
        </w:rPr>
        <w:t xml:space="preserve">This </w:t>
      </w:r>
      <w:r>
        <w:rPr>
          <w:szCs w:val="18"/>
        </w:rPr>
        <w:t xml:space="preserve">Toolkit </w:t>
      </w:r>
      <w:r w:rsidR="004A02C0" w:rsidRPr="00872E08">
        <w:rPr>
          <w:szCs w:val="18"/>
        </w:rPr>
        <w:t xml:space="preserve">sub-category </w:t>
      </w:r>
      <w:r>
        <w:rPr>
          <w:szCs w:val="18"/>
        </w:rPr>
        <w:t>covers the</w:t>
      </w:r>
      <w:r w:rsidRPr="00872E08">
        <w:rPr>
          <w:szCs w:val="18"/>
        </w:rPr>
        <w:t xml:space="preserve"> extraction</w:t>
      </w:r>
      <w:r w:rsidR="004A02C0">
        <w:rPr>
          <w:szCs w:val="18"/>
        </w:rPr>
        <w:t xml:space="preserve">, refining, and uses of mineral </w:t>
      </w:r>
      <w:r w:rsidRPr="00872E08">
        <w:rPr>
          <w:szCs w:val="18"/>
        </w:rPr>
        <w:t>oil (</w:t>
      </w:r>
      <w:proofErr w:type="spellStart"/>
      <w:r w:rsidR="004A02C0">
        <w:rPr>
          <w:szCs w:val="18"/>
        </w:rPr>
        <w:t>ie</w:t>
      </w:r>
      <w:proofErr w:type="spellEnd"/>
      <w:r w:rsidR="004A02C0">
        <w:rPr>
          <w:szCs w:val="18"/>
        </w:rPr>
        <w:t xml:space="preserve">. </w:t>
      </w:r>
      <w:r w:rsidRPr="00872E08">
        <w:rPr>
          <w:szCs w:val="18"/>
        </w:rPr>
        <w:t xml:space="preserve">petroleum </w:t>
      </w:r>
      <w:r w:rsidR="004A02C0">
        <w:rPr>
          <w:szCs w:val="18"/>
        </w:rPr>
        <w:t>products</w:t>
      </w:r>
      <w:r w:rsidRPr="00872E08">
        <w:rPr>
          <w:szCs w:val="18"/>
        </w:rPr>
        <w:t>). This includes the combustion of oil to provide power, heat,</w:t>
      </w:r>
      <w:r>
        <w:rPr>
          <w:szCs w:val="18"/>
        </w:rPr>
        <w:t xml:space="preserve"> </w:t>
      </w:r>
      <w:r w:rsidRPr="00872E08">
        <w:rPr>
          <w:szCs w:val="18"/>
        </w:rPr>
        <w:t xml:space="preserve">and transportation, and other </w:t>
      </w:r>
      <w:r w:rsidR="004A02C0">
        <w:rPr>
          <w:szCs w:val="18"/>
        </w:rPr>
        <w:t>re</w:t>
      </w:r>
      <w:r w:rsidR="00D51729">
        <w:rPr>
          <w:szCs w:val="18"/>
        </w:rPr>
        <w:t>lated uses, such as in bitumen.</w:t>
      </w:r>
      <w:r w:rsidR="004846AC">
        <w:rPr>
          <w:szCs w:val="18"/>
        </w:rPr>
        <w:t xml:space="preserve"> However, despite the relative potential complexity of these different areas, the input and output estimates can be broken down into a set of relatively straightforward calculations for the following three basic stages: oil extraction, oil refining and oil/petroleum combustion.</w:t>
      </w:r>
    </w:p>
    <w:p w14:paraId="74807800" w14:textId="77777777" w:rsidR="004A02C0" w:rsidRPr="000F66B1" w:rsidRDefault="004846AC" w:rsidP="00872E08">
      <w:pPr>
        <w:spacing w:line="300" w:lineRule="atLeast"/>
        <w:jc w:val="both"/>
        <w:rPr>
          <w:rFonts w:ascii="Arial" w:hAnsi="Arial" w:cs="Arial"/>
          <w:b/>
          <w:szCs w:val="18"/>
        </w:rPr>
      </w:pPr>
      <w:r w:rsidRPr="000F66B1">
        <w:rPr>
          <w:rFonts w:ascii="Arial" w:hAnsi="Arial" w:cs="Arial"/>
          <w:b/>
          <w:szCs w:val="18"/>
        </w:rPr>
        <w:t xml:space="preserve">Oil </w:t>
      </w:r>
      <w:r w:rsidR="00A97D5C" w:rsidRPr="000F66B1">
        <w:rPr>
          <w:rFonts w:ascii="Arial" w:hAnsi="Arial" w:cs="Arial"/>
          <w:b/>
          <w:szCs w:val="18"/>
        </w:rPr>
        <w:t>extraction</w:t>
      </w:r>
    </w:p>
    <w:p w14:paraId="7F888338" w14:textId="77777777" w:rsidR="004846AC" w:rsidRDefault="00D14D6D" w:rsidP="00872E08">
      <w:pPr>
        <w:spacing w:line="300" w:lineRule="atLeast"/>
        <w:jc w:val="both"/>
        <w:rPr>
          <w:szCs w:val="18"/>
        </w:rPr>
      </w:pPr>
      <w:r>
        <w:rPr>
          <w:szCs w:val="18"/>
        </w:rPr>
        <w:t>There are currently 19</w:t>
      </w:r>
      <w:r w:rsidR="00BD603B">
        <w:rPr>
          <w:szCs w:val="18"/>
        </w:rPr>
        <w:t xml:space="preserve"> productive oil fields in New Zealand, although the majority of production is accounted for by </w:t>
      </w:r>
      <w:r>
        <w:rPr>
          <w:szCs w:val="18"/>
        </w:rPr>
        <w:t>six</w:t>
      </w:r>
      <w:r w:rsidR="00BD603B">
        <w:rPr>
          <w:szCs w:val="18"/>
        </w:rPr>
        <w:t xml:space="preserve"> of these; Maui, </w:t>
      </w:r>
      <w:proofErr w:type="spellStart"/>
      <w:r w:rsidR="00BD603B">
        <w:rPr>
          <w:szCs w:val="18"/>
        </w:rPr>
        <w:t>Pohokura</w:t>
      </w:r>
      <w:proofErr w:type="spellEnd"/>
      <w:r w:rsidR="00BD603B">
        <w:rPr>
          <w:szCs w:val="18"/>
        </w:rPr>
        <w:t xml:space="preserve">, </w:t>
      </w:r>
      <w:proofErr w:type="spellStart"/>
      <w:r w:rsidR="00BD603B">
        <w:rPr>
          <w:szCs w:val="18"/>
        </w:rPr>
        <w:t>Tui</w:t>
      </w:r>
      <w:proofErr w:type="spellEnd"/>
      <w:r w:rsidR="00BD603B">
        <w:rPr>
          <w:szCs w:val="18"/>
        </w:rPr>
        <w:t xml:space="preserve">, </w:t>
      </w:r>
      <w:proofErr w:type="spellStart"/>
      <w:r w:rsidR="00BD603B">
        <w:rPr>
          <w:szCs w:val="18"/>
        </w:rPr>
        <w:t>Maari</w:t>
      </w:r>
      <w:proofErr w:type="spellEnd"/>
      <w:r>
        <w:rPr>
          <w:szCs w:val="18"/>
        </w:rPr>
        <w:t xml:space="preserve">, </w:t>
      </w:r>
      <w:proofErr w:type="spellStart"/>
      <w:r>
        <w:rPr>
          <w:szCs w:val="18"/>
        </w:rPr>
        <w:t>Mangahewa</w:t>
      </w:r>
      <w:proofErr w:type="spellEnd"/>
      <w:r w:rsidR="00BD603B">
        <w:rPr>
          <w:szCs w:val="18"/>
        </w:rPr>
        <w:t xml:space="preserve"> and Kupe (</w:t>
      </w:r>
      <w:r>
        <w:rPr>
          <w:szCs w:val="18"/>
        </w:rPr>
        <w:t>MBIE, 2016</w:t>
      </w:r>
      <w:r w:rsidR="00BD603B">
        <w:rPr>
          <w:szCs w:val="18"/>
        </w:rPr>
        <w:t>).  The combined production is a mixture of crude oil</w:t>
      </w:r>
      <w:r>
        <w:rPr>
          <w:szCs w:val="18"/>
        </w:rPr>
        <w:t>,</w:t>
      </w:r>
      <w:r w:rsidR="00BD603B">
        <w:rPr>
          <w:szCs w:val="18"/>
        </w:rPr>
        <w:t xml:space="preserve"> natural gas liquids, condensates and naphtha, with a total production in 201</w:t>
      </w:r>
      <w:r>
        <w:rPr>
          <w:szCs w:val="18"/>
        </w:rPr>
        <w:t>6 of 1,584,650 tonnes.  This is about 15% lower than the</w:t>
      </w:r>
      <w:r w:rsidR="00BD603B">
        <w:rPr>
          <w:szCs w:val="18"/>
        </w:rPr>
        <w:t xml:space="preserve"> </w:t>
      </w:r>
      <w:r>
        <w:rPr>
          <w:szCs w:val="18"/>
        </w:rPr>
        <w:t xml:space="preserve">2012 production </w:t>
      </w:r>
      <w:r w:rsidR="00BD603B">
        <w:rPr>
          <w:szCs w:val="18"/>
        </w:rPr>
        <w:t xml:space="preserve">of </w:t>
      </w:r>
      <w:r w:rsidR="00735952">
        <w:rPr>
          <w:szCs w:val="18"/>
        </w:rPr>
        <w:t>1,851</w:t>
      </w:r>
      <w:r w:rsidR="00BD603B">
        <w:rPr>
          <w:szCs w:val="18"/>
        </w:rPr>
        <w:t>,</w:t>
      </w:r>
      <w:r w:rsidR="00735952">
        <w:rPr>
          <w:szCs w:val="18"/>
        </w:rPr>
        <w:t>7</w:t>
      </w:r>
      <w:r w:rsidR="00BD603B">
        <w:rPr>
          <w:szCs w:val="18"/>
        </w:rPr>
        <w:t>00 tonnes.</w:t>
      </w:r>
      <w:r w:rsidR="00F0288A">
        <w:rPr>
          <w:szCs w:val="18"/>
        </w:rPr>
        <w:t xml:space="preserve">  No data </w:t>
      </w:r>
      <w:r w:rsidR="00DE7890">
        <w:rPr>
          <w:szCs w:val="18"/>
        </w:rPr>
        <w:t>are available</w:t>
      </w:r>
      <w:r w:rsidR="00F0288A">
        <w:rPr>
          <w:szCs w:val="18"/>
        </w:rPr>
        <w:t xml:space="preserve"> on the mercury content of any of this production, but the Toolkit recommends a default factor of 3.4 mg/tonne. Using this factor gives a total annual mercury input for New Zealand oil </w:t>
      </w:r>
      <w:r w:rsidR="00A63B7A">
        <w:rPr>
          <w:szCs w:val="18"/>
        </w:rPr>
        <w:t xml:space="preserve">extraction </w:t>
      </w:r>
      <w:r w:rsidR="00F0288A">
        <w:rPr>
          <w:szCs w:val="18"/>
        </w:rPr>
        <w:t xml:space="preserve">of </w:t>
      </w:r>
      <w:r w:rsidR="00DE7890">
        <w:rPr>
          <w:szCs w:val="18"/>
        </w:rPr>
        <w:t>5.39 kg in 2016</w:t>
      </w:r>
      <w:r w:rsidR="00F0288A">
        <w:rPr>
          <w:szCs w:val="18"/>
        </w:rPr>
        <w:t>.</w:t>
      </w:r>
    </w:p>
    <w:p w14:paraId="331EF8DA" w14:textId="77777777" w:rsidR="004846AC" w:rsidRDefault="00F0288A" w:rsidP="00872E08">
      <w:pPr>
        <w:spacing w:line="300" w:lineRule="atLeast"/>
        <w:jc w:val="both"/>
        <w:rPr>
          <w:szCs w:val="18"/>
        </w:rPr>
      </w:pPr>
      <w:r>
        <w:rPr>
          <w:szCs w:val="18"/>
        </w:rPr>
        <w:t xml:space="preserve">The Toolkit indicates that there may be some minor releases of mercury (and other oil components) via the wastewater produced during oil extraction. This wastewater is </w:t>
      </w:r>
      <w:r w:rsidR="00A63B7A">
        <w:rPr>
          <w:szCs w:val="18"/>
        </w:rPr>
        <w:t xml:space="preserve">usually </w:t>
      </w:r>
      <w:r>
        <w:rPr>
          <w:szCs w:val="18"/>
        </w:rPr>
        <w:t xml:space="preserve">processed through oil/water separators so only minor amounts of contaminants are released via the </w:t>
      </w:r>
      <w:r w:rsidR="00A63B7A">
        <w:rPr>
          <w:szCs w:val="18"/>
        </w:rPr>
        <w:t xml:space="preserve">waste </w:t>
      </w:r>
      <w:r>
        <w:rPr>
          <w:szCs w:val="18"/>
        </w:rPr>
        <w:t xml:space="preserve">discharge. The Toolkit classifies the discharge as being to water but </w:t>
      </w:r>
      <w:r w:rsidR="006E3F1D">
        <w:rPr>
          <w:szCs w:val="18"/>
        </w:rPr>
        <w:t>at the</w:t>
      </w:r>
      <w:r>
        <w:rPr>
          <w:szCs w:val="18"/>
        </w:rPr>
        <w:t xml:space="preserve"> New Zealand</w:t>
      </w:r>
      <w:r w:rsidR="006E3F1D">
        <w:rPr>
          <w:szCs w:val="18"/>
        </w:rPr>
        <w:t xml:space="preserve"> </w:t>
      </w:r>
      <w:r w:rsidR="00D51729">
        <w:rPr>
          <w:szCs w:val="18"/>
        </w:rPr>
        <w:t xml:space="preserve">on-shore </w:t>
      </w:r>
      <w:r w:rsidR="006E3F1D">
        <w:rPr>
          <w:szCs w:val="18"/>
        </w:rPr>
        <w:t>oil fields</w:t>
      </w:r>
      <w:r>
        <w:rPr>
          <w:szCs w:val="18"/>
        </w:rPr>
        <w:t xml:space="preserve"> it is more likely to be to land.</w:t>
      </w:r>
      <w:r w:rsidR="006E3F1D">
        <w:rPr>
          <w:szCs w:val="18"/>
        </w:rPr>
        <w:t xml:space="preserve"> The default distribution factor is 0.2 (</w:t>
      </w:r>
      <w:proofErr w:type="spellStart"/>
      <w:r w:rsidR="006E3F1D">
        <w:rPr>
          <w:szCs w:val="18"/>
        </w:rPr>
        <w:t>ie</w:t>
      </w:r>
      <w:proofErr w:type="spellEnd"/>
      <w:r w:rsidR="006E3F1D">
        <w:rPr>
          <w:szCs w:val="18"/>
        </w:rPr>
        <w:t xml:space="preserve"> 20%), which indicates a potential release to land of 1.</w:t>
      </w:r>
      <w:r w:rsidR="00DE7890">
        <w:rPr>
          <w:szCs w:val="18"/>
        </w:rPr>
        <w:t>08</w:t>
      </w:r>
      <w:r w:rsidR="006E3F1D">
        <w:rPr>
          <w:szCs w:val="18"/>
        </w:rPr>
        <w:t xml:space="preserve"> kg/year.</w:t>
      </w:r>
    </w:p>
    <w:p w14:paraId="463D8043" w14:textId="77777777" w:rsidR="004846AC" w:rsidRDefault="006E3F1D" w:rsidP="00872E08">
      <w:pPr>
        <w:spacing w:line="300" w:lineRule="atLeast"/>
        <w:jc w:val="both"/>
        <w:rPr>
          <w:szCs w:val="18"/>
        </w:rPr>
      </w:pPr>
      <w:r>
        <w:rPr>
          <w:szCs w:val="18"/>
        </w:rPr>
        <w:t>Virtually all of New Zealand’s indigenous oil production is exported (</w:t>
      </w:r>
      <w:r w:rsidR="00DE7890">
        <w:rPr>
          <w:szCs w:val="18"/>
        </w:rPr>
        <w:t>MBIE, 2016</w:t>
      </w:r>
      <w:r>
        <w:rPr>
          <w:szCs w:val="18"/>
        </w:rPr>
        <w:t>)</w:t>
      </w:r>
      <w:r w:rsidR="00F0288A">
        <w:rPr>
          <w:szCs w:val="18"/>
        </w:rPr>
        <w:t>.</w:t>
      </w:r>
      <w:r>
        <w:rPr>
          <w:szCs w:val="18"/>
        </w:rPr>
        <w:t xml:space="preserve"> Hence, the remainder of the </w:t>
      </w:r>
      <w:r w:rsidR="00DE7890">
        <w:rPr>
          <w:szCs w:val="18"/>
        </w:rPr>
        <w:t>5</w:t>
      </w:r>
      <w:r w:rsidR="00735952">
        <w:rPr>
          <w:szCs w:val="18"/>
        </w:rPr>
        <w:t>.3</w:t>
      </w:r>
      <w:r w:rsidR="00DE7890">
        <w:rPr>
          <w:szCs w:val="18"/>
        </w:rPr>
        <w:t>9 kg</w:t>
      </w:r>
      <w:r>
        <w:rPr>
          <w:szCs w:val="18"/>
        </w:rPr>
        <w:t xml:space="preserve"> of mercury inputs noted above </w:t>
      </w:r>
      <w:r w:rsidR="00DE7890">
        <w:rPr>
          <w:szCs w:val="18"/>
        </w:rPr>
        <w:t>(</w:t>
      </w:r>
      <w:proofErr w:type="spellStart"/>
      <w:r w:rsidR="00DE7890">
        <w:rPr>
          <w:szCs w:val="18"/>
        </w:rPr>
        <w:t>ie</w:t>
      </w:r>
      <w:proofErr w:type="spellEnd"/>
      <w:r w:rsidR="00DE7890">
        <w:rPr>
          <w:szCs w:val="18"/>
        </w:rPr>
        <w:t>. 4.3 kg</w:t>
      </w:r>
      <w:r w:rsidR="00C653E2">
        <w:rPr>
          <w:szCs w:val="18"/>
        </w:rPr>
        <w:t xml:space="preserve">) </w:t>
      </w:r>
      <w:r w:rsidR="00735952">
        <w:rPr>
          <w:szCs w:val="18"/>
        </w:rPr>
        <w:t xml:space="preserve">has </w:t>
      </w:r>
      <w:r>
        <w:rPr>
          <w:szCs w:val="18"/>
        </w:rPr>
        <w:t xml:space="preserve">not </w:t>
      </w:r>
      <w:r w:rsidR="00735952">
        <w:rPr>
          <w:szCs w:val="18"/>
        </w:rPr>
        <w:t xml:space="preserve">been </w:t>
      </w:r>
      <w:r>
        <w:rPr>
          <w:szCs w:val="18"/>
        </w:rPr>
        <w:t>included in this inventory.</w:t>
      </w:r>
    </w:p>
    <w:p w14:paraId="406E659A" w14:textId="77777777" w:rsidR="004A02C0" w:rsidRPr="000B082F" w:rsidRDefault="006E3F1D" w:rsidP="00872E08">
      <w:pPr>
        <w:spacing w:line="300" w:lineRule="atLeast"/>
        <w:jc w:val="both"/>
        <w:rPr>
          <w:rFonts w:ascii="Arial" w:hAnsi="Arial" w:cs="Arial"/>
          <w:b/>
          <w:szCs w:val="18"/>
        </w:rPr>
      </w:pPr>
      <w:r w:rsidRPr="000B082F">
        <w:rPr>
          <w:rFonts w:ascii="Arial" w:hAnsi="Arial" w:cs="Arial"/>
          <w:b/>
          <w:szCs w:val="18"/>
        </w:rPr>
        <w:t xml:space="preserve">Oil </w:t>
      </w:r>
      <w:r w:rsidR="00A97D5C" w:rsidRPr="000B082F">
        <w:rPr>
          <w:rFonts w:ascii="Arial" w:hAnsi="Arial" w:cs="Arial"/>
          <w:b/>
          <w:szCs w:val="18"/>
        </w:rPr>
        <w:t>refining</w:t>
      </w:r>
    </w:p>
    <w:p w14:paraId="663CA7EC" w14:textId="50E1AEB4" w:rsidR="004A02C0" w:rsidRDefault="00637F61" w:rsidP="00872E08">
      <w:pPr>
        <w:spacing w:line="300" w:lineRule="atLeast"/>
        <w:jc w:val="both"/>
        <w:rPr>
          <w:szCs w:val="18"/>
        </w:rPr>
      </w:pPr>
      <w:r>
        <w:rPr>
          <w:szCs w:val="18"/>
        </w:rPr>
        <w:t>The total intake of crude oil and refinery feedstock for the Marsden Point oil refinery in 201</w:t>
      </w:r>
      <w:r w:rsidR="00DE7890">
        <w:rPr>
          <w:szCs w:val="18"/>
        </w:rPr>
        <w:t>6</w:t>
      </w:r>
      <w:r>
        <w:rPr>
          <w:szCs w:val="18"/>
        </w:rPr>
        <w:t xml:space="preserve"> was 5,</w:t>
      </w:r>
      <w:r w:rsidR="00735952">
        <w:rPr>
          <w:szCs w:val="18"/>
        </w:rPr>
        <w:t>5</w:t>
      </w:r>
      <w:r>
        <w:rPr>
          <w:szCs w:val="18"/>
        </w:rPr>
        <w:t>29,</w:t>
      </w:r>
      <w:r w:rsidR="00DE7890">
        <w:rPr>
          <w:szCs w:val="18"/>
        </w:rPr>
        <w:t>95</w:t>
      </w:r>
      <w:r>
        <w:rPr>
          <w:szCs w:val="18"/>
        </w:rPr>
        <w:t>0 tonnes (</w:t>
      </w:r>
      <w:r w:rsidR="00DE7890">
        <w:rPr>
          <w:szCs w:val="18"/>
        </w:rPr>
        <w:t>MBIE, 2016</w:t>
      </w:r>
      <w:r>
        <w:rPr>
          <w:szCs w:val="18"/>
        </w:rPr>
        <w:t>)</w:t>
      </w:r>
      <w:r w:rsidR="00DE7890">
        <w:rPr>
          <w:szCs w:val="18"/>
        </w:rPr>
        <w:t>, which is only slightly higher than the 5,529,000 tonnes reported for 2012.</w:t>
      </w:r>
      <w:r w:rsidR="00826C00">
        <w:rPr>
          <w:szCs w:val="18"/>
        </w:rPr>
        <w:t xml:space="preserve"> </w:t>
      </w:r>
      <w:r>
        <w:rPr>
          <w:szCs w:val="18"/>
        </w:rPr>
        <w:t xml:space="preserve">No data </w:t>
      </w:r>
      <w:r w:rsidR="00DE7890">
        <w:rPr>
          <w:szCs w:val="18"/>
        </w:rPr>
        <w:t>are available</w:t>
      </w:r>
      <w:r>
        <w:rPr>
          <w:szCs w:val="18"/>
        </w:rPr>
        <w:t xml:space="preserve"> on the mercury content </w:t>
      </w:r>
      <w:r w:rsidR="00826C00">
        <w:rPr>
          <w:szCs w:val="18"/>
        </w:rPr>
        <w:t xml:space="preserve">of any of the refinery inputs. </w:t>
      </w:r>
      <w:r>
        <w:rPr>
          <w:szCs w:val="18"/>
        </w:rPr>
        <w:t xml:space="preserve">The Toolkit default factor of 3.4 mg/tonne </w:t>
      </w:r>
      <w:r w:rsidR="00E0256F">
        <w:rPr>
          <w:szCs w:val="18"/>
        </w:rPr>
        <w:t>for crude oil</w:t>
      </w:r>
      <w:r>
        <w:rPr>
          <w:szCs w:val="18"/>
        </w:rPr>
        <w:t xml:space="preserve"> has been used for the input calculations, to give a mercury input to the refinery of 18</w:t>
      </w:r>
      <w:r w:rsidR="00640EAF">
        <w:rPr>
          <w:szCs w:val="18"/>
        </w:rPr>
        <w:t>.8</w:t>
      </w:r>
      <w:r>
        <w:rPr>
          <w:szCs w:val="18"/>
        </w:rPr>
        <w:t xml:space="preserve"> kg/year.</w:t>
      </w:r>
    </w:p>
    <w:p w14:paraId="400306EA" w14:textId="77777777" w:rsidR="000B082F" w:rsidRDefault="00637F61" w:rsidP="00872E08">
      <w:pPr>
        <w:spacing w:line="300" w:lineRule="atLeast"/>
        <w:jc w:val="both"/>
        <w:rPr>
          <w:szCs w:val="18"/>
        </w:rPr>
      </w:pPr>
      <w:r>
        <w:rPr>
          <w:szCs w:val="18"/>
        </w:rPr>
        <w:t xml:space="preserve">The </w:t>
      </w:r>
      <w:r w:rsidR="00FA47E8">
        <w:rPr>
          <w:szCs w:val="18"/>
        </w:rPr>
        <w:t>To</w:t>
      </w:r>
      <w:r w:rsidR="00D51729">
        <w:rPr>
          <w:szCs w:val="18"/>
        </w:rPr>
        <w:t>olkit indicates that just over 4</w:t>
      </w:r>
      <w:r w:rsidR="00FA47E8">
        <w:rPr>
          <w:szCs w:val="18"/>
        </w:rPr>
        <w:t>0% of the mercury inputs to a refinery are lost through discharges to air, and releases in refinery wastes and by-products, such as sulphur</w:t>
      </w:r>
      <w:r w:rsidR="009453F8">
        <w:rPr>
          <w:szCs w:val="18"/>
        </w:rPr>
        <w:t xml:space="preserve"> and bitumen</w:t>
      </w:r>
      <w:r w:rsidR="00DE7890">
        <w:rPr>
          <w:szCs w:val="18"/>
        </w:rPr>
        <w:t>. No data are</w:t>
      </w:r>
      <w:r w:rsidR="00FA47E8">
        <w:rPr>
          <w:szCs w:val="18"/>
        </w:rPr>
        <w:t xml:space="preserve"> available on the </w:t>
      </w:r>
      <w:r w:rsidR="009453F8">
        <w:rPr>
          <w:szCs w:val="18"/>
        </w:rPr>
        <w:t xml:space="preserve">actual </w:t>
      </w:r>
      <w:r w:rsidR="00FA47E8">
        <w:rPr>
          <w:szCs w:val="18"/>
        </w:rPr>
        <w:t xml:space="preserve">distribution through the Marsden Point refinery, so the Toolkit default factors </w:t>
      </w:r>
      <w:r w:rsidR="00735952">
        <w:rPr>
          <w:szCs w:val="18"/>
        </w:rPr>
        <w:t>have been</w:t>
      </w:r>
      <w:r w:rsidR="00FA47E8">
        <w:rPr>
          <w:szCs w:val="18"/>
        </w:rPr>
        <w:t xml:space="preserve"> used</w:t>
      </w:r>
      <w:r w:rsidR="00E0256F">
        <w:rPr>
          <w:szCs w:val="18"/>
        </w:rPr>
        <w:t>: 0.25 (25%) to</w:t>
      </w:r>
      <w:r w:rsidR="009B0A69">
        <w:rPr>
          <w:szCs w:val="18"/>
        </w:rPr>
        <w:t xml:space="preserve"> air, 0.01 (1%) to water and 0.15 (1</w:t>
      </w:r>
      <w:r w:rsidR="00E0256F">
        <w:rPr>
          <w:szCs w:val="18"/>
        </w:rPr>
        <w:t xml:space="preserve">5%) to </w:t>
      </w:r>
      <w:r w:rsidR="00DF4B11">
        <w:rPr>
          <w:szCs w:val="18"/>
        </w:rPr>
        <w:t>wastes</w:t>
      </w:r>
      <w:r w:rsidR="00E0256F">
        <w:rPr>
          <w:szCs w:val="18"/>
        </w:rPr>
        <w:t xml:space="preserve">. </w:t>
      </w:r>
      <w:r w:rsidR="009453F8">
        <w:rPr>
          <w:szCs w:val="18"/>
        </w:rPr>
        <w:t xml:space="preserve">The remaining </w:t>
      </w:r>
      <w:r w:rsidR="009B0A69">
        <w:rPr>
          <w:szCs w:val="18"/>
        </w:rPr>
        <w:t>5</w:t>
      </w:r>
      <w:r w:rsidR="00E0256F">
        <w:rPr>
          <w:szCs w:val="18"/>
        </w:rPr>
        <w:t xml:space="preserve">9% of mercury inputs </w:t>
      </w:r>
      <w:r w:rsidR="00E96FD2">
        <w:rPr>
          <w:szCs w:val="18"/>
        </w:rPr>
        <w:t>(</w:t>
      </w:r>
      <w:r w:rsidR="00640EAF">
        <w:rPr>
          <w:szCs w:val="18"/>
        </w:rPr>
        <w:t>1</w:t>
      </w:r>
      <w:r w:rsidR="009B0A69">
        <w:rPr>
          <w:szCs w:val="18"/>
        </w:rPr>
        <w:t>1</w:t>
      </w:r>
      <w:r w:rsidR="00640EAF">
        <w:rPr>
          <w:szCs w:val="18"/>
        </w:rPr>
        <w:t>.</w:t>
      </w:r>
      <w:r w:rsidR="009B0A69">
        <w:rPr>
          <w:szCs w:val="18"/>
        </w:rPr>
        <w:t>0</w:t>
      </w:r>
      <w:r w:rsidR="00640EAF">
        <w:rPr>
          <w:szCs w:val="18"/>
        </w:rPr>
        <w:t>9</w:t>
      </w:r>
      <w:r w:rsidR="00E96FD2">
        <w:rPr>
          <w:szCs w:val="18"/>
        </w:rPr>
        <w:t xml:space="preserve"> kg/year) </w:t>
      </w:r>
      <w:r w:rsidR="00E0256F">
        <w:rPr>
          <w:szCs w:val="18"/>
        </w:rPr>
        <w:t xml:space="preserve">are </w:t>
      </w:r>
      <w:r w:rsidR="009453F8">
        <w:rPr>
          <w:szCs w:val="18"/>
        </w:rPr>
        <w:t xml:space="preserve">assumed </w:t>
      </w:r>
      <w:r w:rsidR="00D833C8">
        <w:rPr>
          <w:szCs w:val="18"/>
        </w:rPr>
        <w:t xml:space="preserve">to </w:t>
      </w:r>
      <w:r w:rsidR="00C653E2" w:rsidRPr="00C653E2">
        <w:rPr>
          <w:szCs w:val="18"/>
        </w:rPr>
        <w:t>carry over into the refinery products, such as petrol, diesel, and heavy fuel oil, and are accounted for under the use category discussed below</w:t>
      </w:r>
      <w:r w:rsidR="009453F8">
        <w:rPr>
          <w:szCs w:val="18"/>
        </w:rPr>
        <w:t>.</w:t>
      </w:r>
    </w:p>
    <w:p w14:paraId="4F2D145A" w14:textId="77777777" w:rsidR="000B082F" w:rsidRPr="0042719D" w:rsidRDefault="0042719D" w:rsidP="00872E08">
      <w:pPr>
        <w:spacing w:line="300" w:lineRule="atLeast"/>
        <w:jc w:val="both"/>
        <w:rPr>
          <w:rFonts w:ascii="Arial" w:hAnsi="Arial" w:cs="Arial"/>
          <w:b/>
          <w:szCs w:val="18"/>
        </w:rPr>
      </w:pPr>
      <w:r w:rsidRPr="0042719D">
        <w:rPr>
          <w:rFonts w:ascii="Arial" w:hAnsi="Arial" w:cs="Arial"/>
          <w:b/>
          <w:szCs w:val="18"/>
        </w:rPr>
        <w:t xml:space="preserve">Use of </w:t>
      </w:r>
      <w:r w:rsidR="00A97D5C" w:rsidRPr="0042719D">
        <w:rPr>
          <w:rFonts w:ascii="Arial" w:hAnsi="Arial" w:cs="Arial"/>
          <w:b/>
          <w:szCs w:val="18"/>
        </w:rPr>
        <w:t>refined products</w:t>
      </w:r>
    </w:p>
    <w:p w14:paraId="0F729644" w14:textId="77777777" w:rsidR="008E3038" w:rsidRPr="003833D6" w:rsidRDefault="005330E8" w:rsidP="003833D6">
      <w:pPr>
        <w:spacing w:line="300" w:lineRule="atLeast"/>
        <w:jc w:val="both"/>
        <w:rPr>
          <w:szCs w:val="18"/>
        </w:rPr>
      </w:pPr>
      <w:r>
        <w:rPr>
          <w:szCs w:val="18"/>
        </w:rPr>
        <w:t xml:space="preserve">The Toolkit makes very little distinction between the different ways in which oil products may be used, because it assumes that most of them will ultimately be burned, and all of the mercury will be discharged to air. The only sub-classes considered are residential heating and cooking, and industrial combustion facilities with a high </w:t>
      </w:r>
      <w:r>
        <w:rPr>
          <w:szCs w:val="18"/>
        </w:rPr>
        <w:lastRenderedPageBreak/>
        <w:t xml:space="preserve">degree of emission control. Residential heating and cooking </w:t>
      </w:r>
      <w:r w:rsidR="00416C15">
        <w:rPr>
          <w:szCs w:val="18"/>
        </w:rPr>
        <w:t xml:space="preserve">is a very minor component </w:t>
      </w:r>
      <w:r>
        <w:rPr>
          <w:szCs w:val="18"/>
        </w:rPr>
        <w:t>of total petroleum product consumption in New Zealand (</w:t>
      </w:r>
      <w:r w:rsidR="00416C15">
        <w:rPr>
          <w:szCs w:val="18"/>
        </w:rPr>
        <w:t>MBIE, 2016</w:t>
      </w:r>
      <w:r>
        <w:rPr>
          <w:szCs w:val="18"/>
        </w:rPr>
        <w:t xml:space="preserve">), and there are no oil-fired industrial facilities in New Zealand with an advanced level of emission control. Hence the total consumption of refined oil products </w:t>
      </w:r>
      <w:r w:rsidR="00735952">
        <w:rPr>
          <w:szCs w:val="18"/>
        </w:rPr>
        <w:t>has been</w:t>
      </w:r>
      <w:r>
        <w:rPr>
          <w:szCs w:val="18"/>
        </w:rPr>
        <w:t xml:space="preserve"> accounted for under the ‘other combustion’ Toolkit category, which includes all uses in transportation, and in industrial and commercial applications.</w:t>
      </w:r>
    </w:p>
    <w:p w14:paraId="39FB72D0" w14:textId="77777777" w:rsidR="009048D3" w:rsidRPr="003833D6" w:rsidRDefault="00EF50BC" w:rsidP="009048D3">
      <w:pPr>
        <w:spacing w:line="300" w:lineRule="atLeast"/>
        <w:jc w:val="both"/>
        <w:rPr>
          <w:szCs w:val="18"/>
        </w:rPr>
      </w:pPr>
      <w:r>
        <w:rPr>
          <w:szCs w:val="18"/>
        </w:rPr>
        <w:t xml:space="preserve">As indicated above, the mercury inputs via products distributed from the Marsden Point refinery are </w:t>
      </w:r>
      <w:r w:rsidR="009B0A69">
        <w:rPr>
          <w:szCs w:val="18"/>
        </w:rPr>
        <w:t>1</w:t>
      </w:r>
      <w:r w:rsidR="00EC34C5">
        <w:rPr>
          <w:szCs w:val="18"/>
        </w:rPr>
        <w:t>1</w:t>
      </w:r>
      <w:r w:rsidR="009B0A69">
        <w:rPr>
          <w:szCs w:val="18"/>
        </w:rPr>
        <w:t>.</w:t>
      </w:r>
      <w:r w:rsidR="00EC34C5">
        <w:rPr>
          <w:szCs w:val="18"/>
        </w:rPr>
        <w:t>09</w:t>
      </w:r>
      <w:r w:rsidR="00416C15">
        <w:rPr>
          <w:szCs w:val="18"/>
        </w:rPr>
        <w:t xml:space="preserve"> kg/year.  However, 31</w:t>
      </w:r>
      <w:r>
        <w:rPr>
          <w:szCs w:val="18"/>
        </w:rPr>
        <w:t>% of New Zealand’s domestic petroleum consumption is contributed from imported refined product. There is no data available on the mercury co</w:t>
      </w:r>
      <w:r w:rsidR="00D51729">
        <w:rPr>
          <w:szCs w:val="18"/>
        </w:rPr>
        <w:t>ntent of these imports, but it sh</w:t>
      </w:r>
      <w:r>
        <w:rPr>
          <w:szCs w:val="18"/>
        </w:rPr>
        <w:t>ould be reasonable to assume they would be similar to those produced in-country. This indicates a total mercury input from petroleum products of about 1</w:t>
      </w:r>
      <w:r w:rsidR="008269C3">
        <w:rPr>
          <w:szCs w:val="18"/>
        </w:rPr>
        <w:t>4</w:t>
      </w:r>
      <w:r>
        <w:rPr>
          <w:szCs w:val="18"/>
        </w:rPr>
        <w:t>.</w:t>
      </w:r>
      <w:r w:rsidR="00416C15">
        <w:rPr>
          <w:szCs w:val="18"/>
        </w:rPr>
        <w:t>53</w:t>
      </w:r>
      <w:r>
        <w:rPr>
          <w:szCs w:val="18"/>
        </w:rPr>
        <w:t xml:space="preserve"> kg/year, and the same output quantity, in the form of discharges to air.</w:t>
      </w:r>
    </w:p>
    <w:p w14:paraId="7E7073AB" w14:textId="77777777" w:rsidR="005120F2" w:rsidRPr="00500691" w:rsidRDefault="005120F2" w:rsidP="005120F2">
      <w:pPr>
        <w:spacing w:line="300" w:lineRule="atLeast"/>
        <w:jc w:val="both"/>
        <w:rPr>
          <w:rFonts w:ascii="Arial" w:hAnsi="Arial" w:cs="Arial"/>
          <w:b/>
          <w:szCs w:val="18"/>
        </w:rPr>
      </w:pPr>
      <w:r w:rsidRPr="00500691">
        <w:rPr>
          <w:rFonts w:ascii="Arial" w:hAnsi="Arial" w:cs="Arial"/>
          <w:b/>
          <w:szCs w:val="18"/>
        </w:rPr>
        <w:t xml:space="preserve">Input and </w:t>
      </w:r>
      <w:r w:rsidR="00A97D5C" w:rsidRPr="00500691">
        <w:rPr>
          <w:rFonts w:ascii="Arial" w:hAnsi="Arial" w:cs="Arial"/>
          <w:b/>
          <w:szCs w:val="18"/>
        </w:rPr>
        <w:t>output estimates</w:t>
      </w:r>
    </w:p>
    <w:p w14:paraId="3B126CB8" w14:textId="61508CFF" w:rsidR="008A3186" w:rsidRPr="005120F2" w:rsidRDefault="005120F2" w:rsidP="005120F2">
      <w:pPr>
        <w:spacing w:line="300" w:lineRule="atLeast"/>
        <w:jc w:val="both"/>
        <w:rPr>
          <w:szCs w:val="18"/>
        </w:rPr>
      </w:pPr>
      <w:r w:rsidRPr="005120F2">
        <w:rPr>
          <w:szCs w:val="18"/>
        </w:rPr>
        <w:t xml:space="preserve">The mercury input and output calculations for </w:t>
      </w:r>
      <w:r w:rsidR="00D51729">
        <w:rPr>
          <w:szCs w:val="18"/>
        </w:rPr>
        <w:t>Mineral Oils – Extraction, Refining and Use</w:t>
      </w:r>
      <w:r w:rsidRPr="005120F2">
        <w:rPr>
          <w:szCs w:val="18"/>
        </w:rPr>
        <w:t xml:space="preserve"> are </w:t>
      </w:r>
      <w:r>
        <w:rPr>
          <w:szCs w:val="18"/>
        </w:rPr>
        <w:t>summarised</w:t>
      </w:r>
      <w:r w:rsidRPr="005120F2">
        <w:rPr>
          <w:szCs w:val="18"/>
        </w:rPr>
        <w:t xml:space="preserve"> in</w:t>
      </w:r>
      <w:r w:rsidR="0059685F">
        <w:rPr>
          <w:szCs w:val="18"/>
        </w:rPr>
        <w:t xml:space="preserve"> Table 3-4</w:t>
      </w:r>
      <w:r w:rsidR="00E11AC9">
        <w:rPr>
          <w:szCs w:val="18"/>
        </w:rPr>
        <w:t>.</w:t>
      </w:r>
    </w:p>
    <w:p w14:paraId="4CE1A396" w14:textId="77777777" w:rsidR="009048D3" w:rsidRPr="003833D6" w:rsidRDefault="005120F2" w:rsidP="005120F2">
      <w:pPr>
        <w:pStyle w:val="Caption"/>
        <w:spacing w:before="240"/>
        <w:rPr>
          <w:szCs w:val="18"/>
        </w:rPr>
      </w:pPr>
      <w:bookmarkStart w:id="33" w:name="_Ref358298544"/>
      <w:bookmarkStart w:id="34" w:name="_Toc484949640"/>
      <w:r w:rsidRPr="005120F2">
        <w:rPr>
          <w:rFonts w:ascii="Arial" w:hAnsi="Arial" w:cs="Arial"/>
        </w:rPr>
        <w:t xml:space="preserve">Table </w:t>
      </w:r>
      <w:r w:rsidR="00390C9F">
        <w:rPr>
          <w:rFonts w:ascii="Arial" w:hAnsi="Arial" w:cs="Arial"/>
        </w:rPr>
        <w:fldChar w:fldCharType="begin"/>
      </w:r>
      <w:r w:rsidR="00390C9F">
        <w:rPr>
          <w:rFonts w:ascii="Arial" w:hAnsi="Arial" w:cs="Arial"/>
        </w:rPr>
        <w:instrText xml:space="preserve"> STYLEREF 1 \s </w:instrText>
      </w:r>
      <w:r w:rsidR="00390C9F">
        <w:rPr>
          <w:rFonts w:ascii="Arial" w:hAnsi="Arial" w:cs="Arial"/>
        </w:rPr>
        <w:fldChar w:fldCharType="separate"/>
      </w:r>
      <w:r w:rsidR="00423FC9">
        <w:rPr>
          <w:rFonts w:ascii="Arial" w:hAnsi="Arial" w:cs="Arial"/>
          <w:noProof/>
        </w:rPr>
        <w:t>3</w:t>
      </w:r>
      <w:r w:rsidR="00390C9F">
        <w:rPr>
          <w:rFonts w:ascii="Arial" w:hAnsi="Arial" w:cs="Arial"/>
        </w:rPr>
        <w:fldChar w:fldCharType="end"/>
      </w:r>
      <w:r w:rsidR="00390C9F">
        <w:rPr>
          <w:rFonts w:ascii="Arial" w:hAnsi="Arial" w:cs="Arial"/>
        </w:rPr>
        <w:noBreakHyphen/>
      </w:r>
      <w:r w:rsidR="00390C9F">
        <w:rPr>
          <w:rFonts w:ascii="Arial" w:hAnsi="Arial" w:cs="Arial"/>
        </w:rPr>
        <w:fldChar w:fldCharType="begin"/>
      </w:r>
      <w:r w:rsidR="00390C9F">
        <w:rPr>
          <w:rFonts w:ascii="Arial" w:hAnsi="Arial" w:cs="Arial"/>
        </w:rPr>
        <w:instrText xml:space="preserve"> SEQ Table \* ARABIC \s 1 </w:instrText>
      </w:r>
      <w:r w:rsidR="00390C9F">
        <w:rPr>
          <w:rFonts w:ascii="Arial" w:hAnsi="Arial" w:cs="Arial"/>
        </w:rPr>
        <w:fldChar w:fldCharType="separate"/>
      </w:r>
      <w:r w:rsidR="00423FC9">
        <w:rPr>
          <w:rFonts w:ascii="Arial" w:hAnsi="Arial" w:cs="Arial"/>
          <w:noProof/>
        </w:rPr>
        <w:t>4</w:t>
      </w:r>
      <w:r w:rsidR="00390C9F">
        <w:rPr>
          <w:rFonts w:ascii="Arial" w:hAnsi="Arial" w:cs="Arial"/>
        </w:rPr>
        <w:fldChar w:fldCharType="end"/>
      </w:r>
      <w:bookmarkEnd w:id="33"/>
      <w:r w:rsidRPr="005120F2">
        <w:rPr>
          <w:rFonts w:ascii="Arial" w:hAnsi="Arial" w:cs="Arial"/>
        </w:rPr>
        <w:t>:</w:t>
      </w:r>
      <w:r>
        <w:t xml:space="preserve"> </w:t>
      </w:r>
      <w:r w:rsidRPr="00284760">
        <w:rPr>
          <w:rFonts w:ascii="Arial" w:hAnsi="Arial" w:cs="Arial"/>
        </w:rPr>
        <w:t xml:space="preserve">Input and </w:t>
      </w:r>
      <w:r w:rsidR="00A97D5C" w:rsidRPr="00284760">
        <w:rPr>
          <w:rFonts w:ascii="Arial" w:hAnsi="Arial" w:cs="Arial"/>
        </w:rPr>
        <w:t>output estimates for</w:t>
      </w:r>
      <w:r w:rsidR="00A97D5C">
        <w:rPr>
          <w:rFonts w:ascii="Arial" w:hAnsi="Arial" w:cs="Arial"/>
        </w:rPr>
        <w:t xml:space="preserve"> mineral oils - extraction, refining and use</w:t>
      </w:r>
      <w:bookmarkEnd w:id="34"/>
    </w:p>
    <w:tbl>
      <w:tblPr>
        <w:tblStyle w:val="TableGrid"/>
        <w:tblW w:w="0" w:type="auto"/>
        <w:tblLook w:val="04A0" w:firstRow="1" w:lastRow="0" w:firstColumn="1" w:lastColumn="0" w:noHBand="0" w:noVBand="1"/>
      </w:tblPr>
      <w:tblGrid>
        <w:gridCol w:w="1419"/>
        <w:gridCol w:w="1197"/>
        <w:gridCol w:w="1083"/>
        <w:gridCol w:w="1229"/>
        <w:gridCol w:w="1089"/>
        <w:gridCol w:w="1090"/>
        <w:gridCol w:w="1090"/>
        <w:gridCol w:w="1090"/>
      </w:tblGrid>
      <w:tr w:rsidR="009B0A69" w14:paraId="6C5586B3" w14:textId="77777777" w:rsidTr="00E11AC9">
        <w:trPr>
          <w:trHeight w:val="776"/>
        </w:trPr>
        <w:tc>
          <w:tcPr>
            <w:tcW w:w="1419" w:type="dxa"/>
            <w:vMerge w:val="restart"/>
            <w:vAlign w:val="center"/>
          </w:tcPr>
          <w:p w14:paraId="074D9C0B" w14:textId="77777777" w:rsidR="009B0A69" w:rsidRPr="00F31685" w:rsidRDefault="009B0A69" w:rsidP="00D51729">
            <w:pPr>
              <w:spacing w:line="300" w:lineRule="atLeast"/>
              <w:jc w:val="center"/>
              <w:rPr>
                <w:rFonts w:ascii="Arial" w:hAnsi="Arial" w:cs="Arial"/>
                <w:b/>
                <w:sz w:val="16"/>
                <w:szCs w:val="16"/>
              </w:rPr>
            </w:pPr>
            <w:r w:rsidRPr="00F31685">
              <w:rPr>
                <w:rFonts w:ascii="Arial" w:hAnsi="Arial" w:cs="Arial"/>
                <w:b/>
                <w:sz w:val="16"/>
                <w:szCs w:val="16"/>
              </w:rPr>
              <w:t>Source</w:t>
            </w:r>
          </w:p>
        </w:tc>
        <w:tc>
          <w:tcPr>
            <w:tcW w:w="1197" w:type="dxa"/>
            <w:vMerge w:val="restart"/>
            <w:vAlign w:val="center"/>
          </w:tcPr>
          <w:p w14:paraId="476810B6" w14:textId="77777777" w:rsidR="009B0A69" w:rsidRPr="00F31685" w:rsidRDefault="009B0A69" w:rsidP="00D51729">
            <w:pPr>
              <w:spacing w:line="300" w:lineRule="atLeast"/>
              <w:jc w:val="center"/>
              <w:rPr>
                <w:rFonts w:ascii="Arial" w:hAnsi="Arial" w:cs="Arial"/>
                <w:b/>
                <w:sz w:val="16"/>
                <w:szCs w:val="16"/>
              </w:rPr>
            </w:pPr>
            <w:r w:rsidRPr="00F31685">
              <w:rPr>
                <w:rFonts w:ascii="Arial" w:hAnsi="Arial" w:cs="Arial"/>
                <w:b/>
                <w:sz w:val="16"/>
                <w:szCs w:val="16"/>
              </w:rPr>
              <w:t>Activity Rate, tonnes/</w:t>
            </w:r>
            <w:proofErr w:type="spellStart"/>
            <w:r w:rsidRPr="00F31685">
              <w:rPr>
                <w:rFonts w:ascii="Arial" w:hAnsi="Arial" w:cs="Arial"/>
                <w:b/>
                <w:sz w:val="16"/>
                <w:szCs w:val="16"/>
              </w:rPr>
              <w:t>yr</w:t>
            </w:r>
            <w:proofErr w:type="spellEnd"/>
          </w:p>
        </w:tc>
        <w:tc>
          <w:tcPr>
            <w:tcW w:w="1083" w:type="dxa"/>
            <w:vMerge w:val="restart"/>
            <w:vAlign w:val="center"/>
          </w:tcPr>
          <w:p w14:paraId="7E55F13A" w14:textId="77777777" w:rsidR="009B0A69" w:rsidRPr="00F31685" w:rsidRDefault="009B0A69" w:rsidP="00D51729">
            <w:pPr>
              <w:spacing w:line="300" w:lineRule="atLeast"/>
              <w:jc w:val="center"/>
              <w:rPr>
                <w:rFonts w:ascii="Arial" w:hAnsi="Arial" w:cs="Arial"/>
                <w:b/>
                <w:sz w:val="16"/>
                <w:szCs w:val="16"/>
              </w:rPr>
            </w:pPr>
            <w:r w:rsidRPr="00F31685">
              <w:rPr>
                <w:rFonts w:ascii="Arial" w:hAnsi="Arial" w:cs="Arial"/>
                <w:b/>
                <w:sz w:val="16"/>
                <w:szCs w:val="16"/>
              </w:rPr>
              <w:t>Mercury content, mg/kg</w:t>
            </w:r>
          </w:p>
        </w:tc>
        <w:tc>
          <w:tcPr>
            <w:tcW w:w="1229" w:type="dxa"/>
            <w:vMerge w:val="restart"/>
            <w:vAlign w:val="center"/>
          </w:tcPr>
          <w:p w14:paraId="4214397A" w14:textId="77777777" w:rsidR="009B0A69" w:rsidRPr="00F31685" w:rsidRDefault="009B0A69" w:rsidP="00D51729">
            <w:pPr>
              <w:spacing w:line="300" w:lineRule="atLeast"/>
              <w:jc w:val="center"/>
              <w:rPr>
                <w:rFonts w:ascii="Arial" w:hAnsi="Arial" w:cs="Arial"/>
                <w:b/>
                <w:sz w:val="16"/>
                <w:szCs w:val="16"/>
              </w:rPr>
            </w:pPr>
            <w:r w:rsidRPr="00F31685">
              <w:rPr>
                <w:rFonts w:ascii="Arial" w:hAnsi="Arial" w:cs="Arial"/>
                <w:b/>
                <w:sz w:val="16"/>
                <w:szCs w:val="16"/>
              </w:rPr>
              <w:t>Annual Mercury Inputs, kg/</w:t>
            </w:r>
            <w:proofErr w:type="spellStart"/>
            <w:r w:rsidRPr="00F31685">
              <w:rPr>
                <w:rFonts w:ascii="Arial" w:hAnsi="Arial" w:cs="Arial"/>
                <w:b/>
                <w:sz w:val="16"/>
                <w:szCs w:val="16"/>
              </w:rPr>
              <w:t>yr</w:t>
            </w:r>
            <w:proofErr w:type="spellEnd"/>
          </w:p>
        </w:tc>
        <w:tc>
          <w:tcPr>
            <w:tcW w:w="4359" w:type="dxa"/>
            <w:gridSpan w:val="4"/>
            <w:vAlign w:val="center"/>
          </w:tcPr>
          <w:p w14:paraId="1CEDDD75" w14:textId="77777777" w:rsidR="009B0A69" w:rsidRPr="00F31685" w:rsidRDefault="009B0A69" w:rsidP="009B0A69">
            <w:pPr>
              <w:spacing w:line="300" w:lineRule="atLeast"/>
              <w:jc w:val="center"/>
              <w:rPr>
                <w:rFonts w:ascii="Arial" w:hAnsi="Arial" w:cs="Arial"/>
                <w:b/>
                <w:sz w:val="16"/>
                <w:szCs w:val="16"/>
              </w:rPr>
            </w:pPr>
            <w:r w:rsidRPr="009B0A69">
              <w:rPr>
                <w:rFonts w:ascii="Arial" w:hAnsi="Arial" w:cs="Arial"/>
                <w:b/>
                <w:sz w:val="16"/>
                <w:szCs w:val="16"/>
              </w:rPr>
              <w:t>Annual Mercury Outputs, kg/</w:t>
            </w:r>
            <w:proofErr w:type="spellStart"/>
            <w:r w:rsidRPr="009B0A69">
              <w:rPr>
                <w:rFonts w:ascii="Arial" w:hAnsi="Arial" w:cs="Arial"/>
                <w:b/>
                <w:sz w:val="16"/>
                <w:szCs w:val="16"/>
              </w:rPr>
              <w:t>yr</w:t>
            </w:r>
            <w:proofErr w:type="spellEnd"/>
          </w:p>
        </w:tc>
      </w:tr>
      <w:tr w:rsidR="009B0A69" w14:paraId="3B510E55" w14:textId="77777777" w:rsidTr="00E11AC9">
        <w:tc>
          <w:tcPr>
            <w:tcW w:w="1419" w:type="dxa"/>
            <w:vMerge/>
            <w:vAlign w:val="center"/>
          </w:tcPr>
          <w:p w14:paraId="281D7FE2" w14:textId="77777777" w:rsidR="009B0A69" w:rsidRPr="00F31685" w:rsidRDefault="009B0A69" w:rsidP="00D51729">
            <w:pPr>
              <w:spacing w:line="300" w:lineRule="atLeast"/>
              <w:jc w:val="center"/>
              <w:rPr>
                <w:rFonts w:ascii="Arial" w:hAnsi="Arial" w:cs="Arial"/>
                <w:b/>
                <w:sz w:val="16"/>
                <w:szCs w:val="16"/>
              </w:rPr>
            </w:pPr>
          </w:p>
        </w:tc>
        <w:tc>
          <w:tcPr>
            <w:tcW w:w="1197" w:type="dxa"/>
            <w:vMerge/>
            <w:vAlign w:val="center"/>
          </w:tcPr>
          <w:p w14:paraId="0EBFC883" w14:textId="77777777" w:rsidR="009B0A69" w:rsidRPr="00F31685" w:rsidRDefault="009B0A69" w:rsidP="00D51729">
            <w:pPr>
              <w:spacing w:line="300" w:lineRule="atLeast"/>
              <w:jc w:val="center"/>
              <w:rPr>
                <w:rFonts w:ascii="Arial" w:hAnsi="Arial" w:cs="Arial"/>
                <w:b/>
                <w:sz w:val="16"/>
                <w:szCs w:val="16"/>
              </w:rPr>
            </w:pPr>
          </w:p>
        </w:tc>
        <w:tc>
          <w:tcPr>
            <w:tcW w:w="1083" w:type="dxa"/>
            <w:vMerge/>
            <w:vAlign w:val="center"/>
          </w:tcPr>
          <w:p w14:paraId="6E7C0109" w14:textId="77777777" w:rsidR="009B0A69" w:rsidRPr="00F31685" w:rsidRDefault="009B0A69" w:rsidP="00D51729">
            <w:pPr>
              <w:spacing w:line="300" w:lineRule="atLeast"/>
              <w:jc w:val="center"/>
              <w:rPr>
                <w:rFonts w:ascii="Arial" w:hAnsi="Arial" w:cs="Arial"/>
                <w:b/>
                <w:sz w:val="16"/>
                <w:szCs w:val="16"/>
              </w:rPr>
            </w:pPr>
          </w:p>
        </w:tc>
        <w:tc>
          <w:tcPr>
            <w:tcW w:w="1229" w:type="dxa"/>
            <w:vMerge/>
            <w:vAlign w:val="center"/>
          </w:tcPr>
          <w:p w14:paraId="26409FFF" w14:textId="77777777" w:rsidR="009B0A69" w:rsidRPr="00F31685" w:rsidRDefault="009B0A69" w:rsidP="00D51729">
            <w:pPr>
              <w:spacing w:line="300" w:lineRule="atLeast"/>
              <w:jc w:val="center"/>
              <w:rPr>
                <w:rFonts w:ascii="Arial" w:hAnsi="Arial" w:cs="Arial"/>
                <w:b/>
                <w:sz w:val="16"/>
                <w:szCs w:val="16"/>
              </w:rPr>
            </w:pPr>
          </w:p>
        </w:tc>
        <w:tc>
          <w:tcPr>
            <w:tcW w:w="1089" w:type="dxa"/>
            <w:vAlign w:val="center"/>
          </w:tcPr>
          <w:p w14:paraId="1846B881" w14:textId="77777777" w:rsidR="009B0A69" w:rsidRPr="00F31685" w:rsidRDefault="009B0A69" w:rsidP="00D51729">
            <w:pPr>
              <w:spacing w:line="300" w:lineRule="atLeast"/>
              <w:jc w:val="center"/>
              <w:rPr>
                <w:rFonts w:ascii="Arial" w:hAnsi="Arial" w:cs="Arial"/>
                <w:b/>
                <w:sz w:val="16"/>
                <w:szCs w:val="16"/>
              </w:rPr>
            </w:pPr>
            <w:r w:rsidRPr="00F31685">
              <w:rPr>
                <w:rFonts w:ascii="Arial" w:hAnsi="Arial" w:cs="Arial"/>
                <w:b/>
                <w:sz w:val="16"/>
                <w:szCs w:val="16"/>
              </w:rPr>
              <w:t>Air</w:t>
            </w:r>
          </w:p>
        </w:tc>
        <w:tc>
          <w:tcPr>
            <w:tcW w:w="1090" w:type="dxa"/>
            <w:vAlign w:val="center"/>
          </w:tcPr>
          <w:p w14:paraId="6C20EF8C" w14:textId="77777777" w:rsidR="009B0A69" w:rsidRPr="00F31685" w:rsidRDefault="009B0A69" w:rsidP="009B0A69">
            <w:pPr>
              <w:spacing w:line="300" w:lineRule="atLeast"/>
              <w:jc w:val="center"/>
              <w:rPr>
                <w:rFonts w:ascii="Arial" w:hAnsi="Arial" w:cs="Arial"/>
                <w:b/>
                <w:sz w:val="16"/>
                <w:szCs w:val="16"/>
              </w:rPr>
            </w:pPr>
            <w:r>
              <w:rPr>
                <w:rFonts w:ascii="Arial" w:hAnsi="Arial" w:cs="Arial"/>
                <w:b/>
                <w:sz w:val="16"/>
                <w:szCs w:val="16"/>
              </w:rPr>
              <w:t>Water</w:t>
            </w:r>
          </w:p>
        </w:tc>
        <w:tc>
          <w:tcPr>
            <w:tcW w:w="1090" w:type="dxa"/>
            <w:vAlign w:val="center"/>
          </w:tcPr>
          <w:p w14:paraId="4692C106" w14:textId="77777777" w:rsidR="009B0A69" w:rsidRDefault="009B0A69" w:rsidP="009B0A69">
            <w:pPr>
              <w:spacing w:line="300" w:lineRule="atLeast"/>
              <w:jc w:val="center"/>
              <w:rPr>
                <w:rFonts w:ascii="Arial" w:hAnsi="Arial" w:cs="Arial"/>
                <w:b/>
                <w:sz w:val="16"/>
                <w:szCs w:val="16"/>
              </w:rPr>
            </w:pPr>
            <w:r>
              <w:rPr>
                <w:rFonts w:ascii="Arial" w:hAnsi="Arial" w:cs="Arial"/>
                <w:b/>
                <w:sz w:val="16"/>
                <w:szCs w:val="16"/>
              </w:rPr>
              <w:t>Land</w:t>
            </w:r>
          </w:p>
        </w:tc>
        <w:tc>
          <w:tcPr>
            <w:tcW w:w="1090" w:type="dxa"/>
            <w:vAlign w:val="center"/>
          </w:tcPr>
          <w:p w14:paraId="0703E411" w14:textId="77777777" w:rsidR="009B0A69" w:rsidRPr="00F31685" w:rsidRDefault="006A0E8F" w:rsidP="00D51729">
            <w:pPr>
              <w:spacing w:line="300" w:lineRule="atLeast"/>
              <w:jc w:val="center"/>
              <w:rPr>
                <w:rFonts w:ascii="Arial" w:hAnsi="Arial" w:cs="Arial"/>
                <w:b/>
                <w:sz w:val="16"/>
                <w:szCs w:val="16"/>
              </w:rPr>
            </w:pPr>
            <w:r>
              <w:rPr>
                <w:rFonts w:ascii="Arial" w:hAnsi="Arial" w:cs="Arial"/>
                <w:b/>
                <w:sz w:val="16"/>
                <w:szCs w:val="16"/>
              </w:rPr>
              <w:t>Waste</w:t>
            </w:r>
          </w:p>
        </w:tc>
      </w:tr>
      <w:tr w:rsidR="009B0A69" w14:paraId="77671330" w14:textId="77777777" w:rsidTr="00761E39">
        <w:tc>
          <w:tcPr>
            <w:tcW w:w="1419" w:type="dxa"/>
            <w:tcBorders>
              <w:bottom w:val="single" w:sz="4" w:space="0" w:color="auto"/>
            </w:tcBorders>
          </w:tcPr>
          <w:p w14:paraId="2F9FA886" w14:textId="77777777" w:rsidR="009B0A69" w:rsidRPr="00F31685" w:rsidRDefault="00E11AC9" w:rsidP="00D51729">
            <w:pPr>
              <w:spacing w:line="300" w:lineRule="atLeast"/>
              <w:jc w:val="both"/>
              <w:rPr>
                <w:rFonts w:ascii="Arial" w:hAnsi="Arial" w:cs="Arial"/>
                <w:sz w:val="16"/>
                <w:szCs w:val="16"/>
              </w:rPr>
            </w:pPr>
            <w:r>
              <w:rPr>
                <w:rFonts w:ascii="Arial" w:hAnsi="Arial" w:cs="Arial"/>
                <w:sz w:val="16"/>
                <w:szCs w:val="16"/>
              </w:rPr>
              <w:t>E</w:t>
            </w:r>
            <w:r w:rsidR="009B0A69">
              <w:rPr>
                <w:rFonts w:ascii="Arial" w:hAnsi="Arial" w:cs="Arial"/>
                <w:sz w:val="16"/>
                <w:szCs w:val="16"/>
              </w:rPr>
              <w:t>xtraction</w:t>
            </w:r>
            <w:r>
              <w:rPr>
                <w:rFonts w:ascii="Arial" w:hAnsi="Arial" w:cs="Arial"/>
                <w:sz w:val="16"/>
                <w:szCs w:val="16"/>
              </w:rPr>
              <w:t>, 2012</w:t>
            </w:r>
          </w:p>
        </w:tc>
        <w:tc>
          <w:tcPr>
            <w:tcW w:w="1197" w:type="dxa"/>
            <w:tcBorders>
              <w:bottom w:val="single" w:sz="4" w:space="0" w:color="auto"/>
            </w:tcBorders>
            <w:vAlign w:val="center"/>
          </w:tcPr>
          <w:p w14:paraId="1B10E7C3" w14:textId="77777777" w:rsidR="009B0A69" w:rsidRPr="00F31685" w:rsidRDefault="009B0A69" w:rsidP="00D51729">
            <w:pPr>
              <w:spacing w:line="300" w:lineRule="atLeast"/>
              <w:jc w:val="center"/>
              <w:rPr>
                <w:rFonts w:ascii="Arial" w:hAnsi="Arial" w:cs="Arial"/>
                <w:sz w:val="16"/>
                <w:szCs w:val="16"/>
              </w:rPr>
            </w:pPr>
            <w:r>
              <w:rPr>
                <w:rFonts w:ascii="Arial" w:hAnsi="Arial" w:cs="Arial"/>
                <w:sz w:val="16"/>
                <w:szCs w:val="16"/>
              </w:rPr>
              <w:t>1</w:t>
            </w:r>
            <w:r w:rsidR="00C653E2">
              <w:rPr>
                <w:rFonts w:ascii="Arial" w:hAnsi="Arial" w:cs="Arial"/>
                <w:sz w:val="16"/>
                <w:szCs w:val="16"/>
              </w:rPr>
              <w:t>,851</w:t>
            </w:r>
            <w:r>
              <w:rPr>
                <w:rFonts w:ascii="Arial" w:hAnsi="Arial" w:cs="Arial"/>
                <w:sz w:val="16"/>
                <w:szCs w:val="16"/>
              </w:rPr>
              <w:t>,000</w:t>
            </w:r>
          </w:p>
        </w:tc>
        <w:tc>
          <w:tcPr>
            <w:tcW w:w="1083" w:type="dxa"/>
            <w:tcBorders>
              <w:bottom w:val="single" w:sz="4" w:space="0" w:color="auto"/>
            </w:tcBorders>
            <w:vAlign w:val="center"/>
          </w:tcPr>
          <w:p w14:paraId="7297D776" w14:textId="77777777" w:rsidR="009B0A69" w:rsidRPr="00F31685" w:rsidRDefault="009B0A69" w:rsidP="00D51729">
            <w:pPr>
              <w:spacing w:line="300" w:lineRule="atLeast"/>
              <w:jc w:val="center"/>
              <w:rPr>
                <w:rFonts w:ascii="Arial" w:hAnsi="Arial" w:cs="Arial"/>
                <w:sz w:val="16"/>
                <w:szCs w:val="16"/>
              </w:rPr>
            </w:pPr>
            <w:r>
              <w:rPr>
                <w:rFonts w:ascii="Arial" w:hAnsi="Arial" w:cs="Arial"/>
                <w:sz w:val="16"/>
                <w:szCs w:val="16"/>
              </w:rPr>
              <w:t>0.0034</w:t>
            </w:r>
          </w:p>
        </w:tc>
        <w:tc>
          <w:tcPr>
            <w:tcW w:w="1229" w:type="dxa"/>
            <w:tcBorders>
              <w:bottom w:val="single" w:sz="4" w:space="0" w:color="auto"/>
            </w:tcBorders>
            <w:vAlign w:val="center"/>
          </w:tcPr>
          <w:p w14:paraId="4631CFD7" w14:textId="77777777" w:rsidR="009B0A69" w:rsidRPr="00F31685" w:rsidRDefault="009B0A69" w:rsidP="00735952">
            <w:pPr>
              <w:spacing w:line="300" w:lineRule="atLeast"/>
              <w:jc w:val="center"/>
              <w:rPr>
                <w:rFonts w:ascii="Arial" w:hAnsi="Arial" w:cs="Arial"/>
                <w:sz w:val="16"/>
                <w:szCs w:val="16"/>
              </w:rPr>
            </w:pPr>
            <w:r>
              <w:rPr>
                <w:rFonts w:ascii="Arial" w:hAnsi="Arial" w:cs="Arial"/>
                <w:sz w:val="16"/>
                <w:szCs w:val="16"/>
              </w:rPr>
              <w:t>1.</w:t>
            </w:r>
            <w:r w:rsidR="00735952">
              <w:rPr>
                <w:rFonts w:ascii="Arial" w:hAnsi="Arial" w:cs="Arial"/>
                <w:sz w:val="16"/>
                <w:szCs w:val="16"/>
              </w:rPr>
              <w:t>26</w:t>
            </w:r>
            <w:r w:rsidRPr="00D47F06">
              <w:rPr>
                <w:rFonts w:ascii="Arial" w:hAnsi="Arial" w:cs="Arial"/>
                <w:sz w:val="16"/>
                <w:szCs w:val="16"/>
                <w:vertAlign w:val="superscript"/>
              </w:rPr>
              <w:t>a</w:t>
            </w:r>
          </w:p>
        </w:tc>
        <w:tc>
          <w:tcPr>
            <w:tcW w:w="1089" w:type="dxa"/>
            <w:tcBorders>
              <w:bottom w:val="single" w:sz="4" w:space="0" w:color="auto"/>
            </w:tcBorders>
            <w:vAlign w:val="center"/>
          </w:tcPr>
          <w:p w14:paraId="7FFF3C40" w14:textId="77777777" w:rsidR="009B0A69" w:rsidRPr="00F31685" w:rsidRDefault="009B0A69" w:rsidP="00D51729">
            <w:pPr>
              <w:spacing w:line="300" w:lineRule="atLeast"/>
              <w:jc w:val="center"/>
              <w:rPr>
                <w:rFonts w:ascii="Arial" w:hAnsi="Arial" w:cs="Arial"/>
                <w:sz w:val="16"/>
                <w:szCs w:val="16"/>
              </w:rPr>
            </w:pPr>
            <w:r>
              <w:rPr>
                <w:rFonts w:ascii="Arial" w:hAnsi="Arial" w:cs="Arial"/>
                <w:sz w:val="16"/>
                <w:szCs w:val="16"/>
              </w:rPr>
              <w:t>-</w:t>
            </w:r>
          </w:p>
        </w:tc>
        <w:tc>
          <w:tcPr>
            <w:tcW w:w="1090" w:type="dxa"/>
            <w:tcBorders>
              <w:bottom w:val="single" w:sz="4" w:space="0" w:color="auto"/>
            </w:tcBorders>
          </w:tcPr>
          <w:p w14:paraId="7DB75896" w14:textId="77777777" w:rsidR="009B0A69" w:rsidRPr="00F31685" w:rsidRDefault="009B0A69" w:rsidP="00D51729">
            <w:pPr>
              <w:spacing w:line="300" w:lineRule="atLeast"/>
              <w:jc w:val="center"/>
              <w:rPr>
                <w:rFonts w:ascii="Arial" w:hAnsi="Arial" w:cs="Arial"/>
                <w:sz w:val="16"/>
                <w:szCs w:val="16"/>
              </w:rPr>
            </w:pPr>
            <w:r>
              <w:rPr>
                <w:rFonts w:ascii="Arial" w:hAnsi="Arial" w:cs="Arial"/>
                <w:sz w:val="16"/>
                <w:szCs w:val="16"/>
              </w:rPr>
              <w:t>-</w:t>
            </w:r>
          </w:p>
        </w:tc>
        <w:tc>
          <w:tcPr>
            <w:tcW w:w="1090" w:type="dxa"/>
            <w:tcBorders>
              <w:bottom w:val="single" w:sz="4" w:space="0" w:color="auto"/>
            </w:tcBorders>
          </w:tcPr>
          <w:p w14:paraId="7DCE5DB6" w14:textId="3944749D" w:rsidR="009B0A69" w:rsidRDefault="009B0A69" w:rsidP="00ED743F">
            <w:pPr>
              <w:spacing w:line="300" w:lineRule="atLeast"/>
              <w:jc w:val="center"/>
              <w:rPr>
                <w:rFonts w:ascii="Arial" w:hAnsi="Arial" w:cs="Arial"/>
                <w:sz w:val="16"/>
                <w:szCs w:val="16"/>
              </w:rPr>
            </w:pPr>
            <w:r>
              <w:rPr>
                <w:rFonts w:ascii="Arial" w:hAnsi="Arial" w:cs="Arial"/>
                <w:sz w:val="16"/>
                <w:szCs w:val="16"/>
              </w:rPr>
              <w:t>1.</w:t>
            </w:r>
            <w:r w:rsidR="00CE2AE9">
              <w:rPr>
                <w:rFonts w:ascii="Arial" w:hAnsi="Arial" w:cs="Arial"/>
                <w:sz w:val="16"/>
                <w:szCs w:val="16"/>
              </w:rPr>
              <w:t>3</w:t>
            </w:r>
          </w:p>
        </w:tc>
        <w:tc>
          <w:tcPr>
            <w:tcW w:w="1090" w:type="dxa"/>
            <w:tcBorders>
              <w:bottom w:val="single" w:sz="4" w:space="0" w:color="auto"/>
            </w:tcBorders>
            <w:vAlign w:val="center"/>
          </w:tcPr>
          <w:p w14:paraId="70EE0C9F" w14:textId="77777777" w:rsidR="009B0A69" w:rsidRPr="00F31685" w:rsidRDefault="009B0A69" w:rsidP="00D51729">
            <w:pPr>
              <w:spacing w:line="300" w:lineRule="atLeast"/>
              <w:jc w:val="center"/>
              <w:rPr>
                <w:rFonts w:ascii="Arial" w:hAnsi="Arial" w:cs="Arial"/>
                <w:sz w:val="16"/>
                <w:szCs w:val="16"/>
              </w:rPr>
            </w:pPr>
            <w:r>
              <w:rPr>
                <w:rFonts w:ascii="Arial" w:hAnsi="Arial" w:cs="Arial"/>
                <w:sz w:val="16"/>
                <w:szCs w:val="16"/>
              </w:rPr>
              <w:t>-</w:t>
            </w:r>
          </w:p>
        </w:tc>
      </w:tr>
      <w:tr w:rsidR="00E11AC9" w14:paraId="60A81404" w14:textId="77777777" w:rsidTr="00761E39">
        <w:tc>
          <w:tcPr>
            <w:tcW w:w="1419" w:type="dxa"/>
            <w:tcBorders>
              <w:bottom w:val="double" w:sz="4" w:space="0" w:color="auto"/>
            </w:tcBorders>
          </w:tcPr>
          <w:p w14:paraId="48581A23" w14:textId="77777777" w:rsidR="00E11AC9" w:rsidRDefault="00E11AC9" w:rsidP="00D51729">
            <w:pPr>
              <w:spacing w:line="300" w:lineRule="atLeast"/>
              <w:jc w:val="both"/>
              <w:rPr>
                <w:rFonts w:ascii="Arial" w:hAnsi="Arial" w:cs="Arial"/>
                <w:sz w:val="16"/>
                <w:szCs w:val="16"/>
              </w:rPr>
            </w:pPr>
            <w:r>
              <w:rPr>
                <w:rFonts w:ascii="Arial" w:hAnsi="Arial" w:cs="Arial"/>
                <w:sz w:val="16"/>
                <w:szCs w:val="16"/>
              </w:rPr>
              <w:t>Extraction, 2016</w:t>
            </w:r>
          </w:p>
        </w:tc>
        <w:tc>
          <w:tcPr>
            <w:tcW w:w="1197" w:type="dxa"/>
            <w:tcBorders>
              <w:bottom w:val="double" w:sz="4" w:space="0" w:color="auto"/>
            </w:tcBorders>
            <w:vAlign w:val="center"/>
          </w:tcPr>
          <w:p w14:paraId="76EF9ABC" w14:textId="77777777" w:rsidR="00E11AC9" w:rsidRDefault="00E11AC9" w:rsidP="00D51729">
            <w:pPr>
              <w:spacing w:line="300" w:lineRule="atLeast"/>
              <w:jc w:val="center"/>
              <w:rPr>
                <w:rFonts w:ascii="Arial" w:hAnsi="Arial" w:cs="Arial"/>
                <w:sz w:val="16"/>
                <w:szCs w:val="16"/>
              </w:rPr>
            </w:pPr>
            <w:r>
              <w:rPr>
                <w:rFonts w:ascii="Arial" w:hAnsi="Arial" w:cs="Arial"/>
                <w:sz w:val="16"/>
                <w:szCs w:val="16"/>
              </w:rPr>
              <w:t>1,584,650</w:t>
            </w:r>
          </w:p>
        </w:tc>
        <w:tc>
          <w:tcPr>
            <w:tcW w:w="1083" w:type="dxa"/>
            <w:tcBorders>
              <w:bottom w:val="double" w:sz="4" w:space="0" w:color="auto"/>
            </w:tcBorders>
            <w:vAlign w:val="center"/>
          </w:tcPr>
          <w:p w14:paraId="61101F52" w14:textId="77777777" w:rsidR="00E11AC9" w:rsidRDefault="00E11AC9" w:rsidP="00D51729">
            <w:pPr>
              <w:spacing w:line="300" w:lineRule="atLeast"/>
              <w:jc w:val="center"/>
              <w:rPr>
                <w:rFonts w:ascii="Arial" w:hAnsi="Arial" w:cs="Arial"/>
                <w:sz w:val="16"/>
                <w:szCs w:val="16"/>
              </w:rPr>
            </w:pPr>
            <w:r>
              <w:rPr>
                <w:rFonts w:ascii="Arial" w:hAnsi="Arial" w:cs="Arial"/>
                <w:sz w:val="16"/>
                <w:szCs w:val="16"/>
              </w:rPr>
              <w:t>0.0034</w:t>
            </w:r>
          </w:p>
        </w:tc>
        <w:tc>
          <w:tcPr>
            <w:tcW w:w="1229" w:type="dxa"/>
            <w:tcBorders>
              <w:bottom w:val="double" w:sz="4" w:space="0" w:color="auto"/>
            </w:tcBorders>
            <w:vAlign w:val="center"/>
          </w:tcPr>
          <w:p w14:paraId="428E84E6" w14:textId="77777777" w:rsidR="00E11AC9" w:rsidRDefault="00E11AC9" w:rsidP="00735952">
            <w:pPr>
              <w:spacing w:line="300" w:lineRule="atLeast"/>
              <w:jc w:val="center"/>
              <w:rPr>
                <w:rFonts w:ascii="Arial" w:hAnsi="Arial" w:cs="Arial"/>
                <w:sz w:val="16"/>
                <w:szCs w:val="16"/>
              </w:rPr>
            </w:pPr>
            <w:r>
              <w:rPr>
                <w:rFonts w:ascii="Arial" w:hAnsi="Arial" w:cs="Arial"/>
                <w:sz w:val="16"/>
                <w:szCs w:val="16"/>
              </w:rPr>
              <w:t>1.08</w:t>
            </w:r>
            <w:r w:rsidRPr="00E11AC9">
              <w:rPr>
                <w:rFonts w:ascii="Arial" w:hAnsi="Arial" w:cs="Arial"/>
                <w:sz w:val="16"/>
                <w:szCs w:val="16"/>
                <w:vertAlign w:val="superscript"/>
              </w:rPr>
              <w:t>a</w:t>
            </w:r>
          </w:p>
        </w:tc>
        <w:tc>
          <w:tcPr>
            <w:tcW w:w="1089" w:type="dxa"/>
            <w:tcBorders>
              <w:bottom w:val="double" w:sz="4" w:space="0" w:color="auto"/>
            </w:tcBorders>
            <w:vAlign w:val="center"/>
          </w:tcPr>
          <w:p w14:paraId="708D4BE9" w14:textId="77777777" w:rsidR="00E11AC9" w:rsidRDefault="00E11AC9" w:rsidP="00D51729">
            <w:pPr>
              <w:spacing w:line="300" w:lineRule="atLeast"/>
              <w:jc w:val="center"/>
              <w:rPr>
                <w:rFonts w:ascii="Arial" w:hAnsi="Arial" w:cs="Arial"/>
                <w:sz w:val="16"/>
                <w:szCs w:val="16"/>
              </w:rPr>
            </w:pPr>
            <w:r>
              <w:rPr>
                <w:rFonts w:ascii="Arial" w:hAnsi="Arial" w:cs="Arial"/>
                <w:sz w:val="16"/>
                <w:szCs w:val="16"/>
              </w:rPr>
              <w:t>-</w:t>
            </w:r>
          </w:p>
        </w:tc>
        <w:tc>
          <w:tcPr>
            <w:tcW w:w="1090" w:type="dxa"/>
            <w:tcBorders>
              <w:bottom w:val="double" w:sz="4" w:space="0" w:color="auto"/>
            </w:tcBorders>
          </w:tcPr>
          <w:p w14:paraId="77A61A1C" w14:textId="77777777" w:rsidR="00E11AC9" w:rsidRDefault="00E11AC9" w:rsidP="00D51729">
            <w:pPr>
              <w:spacing w:line="300" w:lineRule="atLeast"/>
              <w:jc w:val="center"/>
              <w:rPr>
                <w:rFonts w:ascii="Arial" w:hAnsi="Arial" w:cs="Arial"/>
                <w:sz w:val="16"/>
                <w:szCs w:val="16"/>
              </w:rPr>
            </w:pPr>
            <w:r>
              <w:rPr>
                <w:rFonts w:ascii="Arial" w:hAnsi="Arial" w:cs="Arial"/>
                <w:sz w:val="16"/>
                <w:szCs w:val="16"/>
              </w:rPr>
              <w:t>-</w:t>
            </w:r>
          </w:p>
        </w:tc>
        <w:tc>
          <w:tcPr>
            <w:tcW w:w="1090" w:type="dxa"/>
            <w:tcBorders>
              <w:bottom w:val="double" w:sz="4" w:space="0" w:color="auto"/>
            </w:tcBorders>
          </w:tcPr>
          <w:p w14:paraId="3A4496BD" w14:textId="666AC0B0" w:rsidR="00E11AC9" w:rsidRDefault="00CE2AE9" w:rsidP="00ED743F">
            <w:pPr>
              <w:spacing w:line="300" w:lineRule="atLeast"/>
              <w:jc w:val="center"/>
              <w:rPr>
                <w:rFonts w:ascii="Arial" w:hAnsi="Arial" w:cs="Arial"/>
                <w:sz w:val="16"/>
                <w:szCs w:val="16"/>
              </w:rPr>
            </w:pPr>
            <w:r>
              <w:rPr>
                <w:rFonts w:ascii="Arial" w:hAnsi="Arial" w:cs="Arial"/>
                <w:sz w:val="16"/>
                <w:szCs w:val="16"/>
              </w:rPr>
              <w:t>1.1</w:t>
            </w:r>
          </w:p>
        </w:tc>
        <w:tc>
          <w:tcPr>
            <w:tcW w:w="1090" w:type="dxa"/>
            <w:tcBorders>
              <w:bottom w:val="double" w:sz="4" w:space="0" w:color="auto"/>
            </w:tcBorders>
            <w:vAlign w:val="center"/>
          </w:tcPr>
          <w:p w14:paraId="7457A028" w14:textId="77777777" w:rsidR="00E11AC9" w:rsidRDefault="00E11AC9" w:rsidP="00D51729">
            <w:pPr>
              <w:spacing w:line="300" w:lineRule="atLeast"/>
              <w:jc w:val="center"/>
              <w:rPr>
                <w:rFonts w:ascii="Arial" w:hAnsi="Arial" w:cs="Arial"/>
                <w:sz w:val="16"/>
                <w:szCs w:val="16"/>
              </w:rPr>
            </w:pPr>
            <w:r>
              <w:rPr>
                <w:rFonts w:ascii="Arial" w:hAnsi="Arial" w:cs="Arial"/>
                <w:sz w:val="16"/>
                <w:szCs w:val="16"/>
              </w:rPr>
              <w:t>-</w:t>
            </w:r>
          </w:p>
        </w:tc>
      </w:tr>
      <w:tr w:rsidR="009B0A69" w14:paraId="424E9245" w14:textId="77777777" w:rsidTr="00761E39">
        <w:tc>
          <w:tcPr>
            <w:tcW w:w="1419" w:type="dxa"/>
            <w:tcBorders>
              <w:top w:val="double" w:sz="4" w:space="0" w:color="auto"/>
              <w:bottom w:val="single" w:sz="4" w:space="0" w:color="auto"/>
            </w:tcBorders>
          </w:tcPr>
          <w:p w14:paraId="2B14D677" w14:textId="77777777" w:rsidR="009B0A69" w:rsidRPr="00F31685" w:rsidRDefault="00E11AC9" w:rsidP="00D51729">
            <w:pPr>
              <w:spacing w:line="300" w:lineRule="atLeast"/>
              <w:jc w:val="both"/>
              <w:rPr>
                <w:rFonts w:ascii="Arial" w:hAnsi="Arial" w:cs="Arial"/>
                <w:sz w:val="16"/>
                <w:szCs w:val="16"/>
              </w:rPr>
            </w:pPr>
            <w:r>
              <w:rPr>
                <w:rFonts w:ascii="Arial" w:hAnsi="Arial" w:cs="Arial"/>
                <w:sz w:val="16"/>
                <w:szCs w:val="16"/>
              </w:rPr>
              <w:t>R</w:t>
            </w:r>
            <w:r w:rsidR="009B0A69">
              <w:rPr>
                <w:rFonts w:ascii="Arial" w:hAnsi="Arial" w:cs="Arial"/>
                <w:sz w:val="16"/>
                <w:szCs w:val="16"/>
              </w:rPr>
              <w:t>efining</w:t>
            </w:r>
            <w:r>
              <w:rPr>
                <w:rFonts w:ascii="Arial" w:hAnsi="Arial" w:cs="Arial"/>
                <w:sz w:val="16"/>
                <w:szCs w:val="16"/>
              </w:rPr>
              <w:t>, 2012</w:t>
            </w:r>
          </w:p>
        </w:tc>
        <w:tc>
          <w:tcPr>
            <w:tcW w:w="1197" w:type="dxa"/>
            <w:tcBorders>
              <w:top w:val="double" w:sz="4" w:space="0" w:color="auto"/>
              <w:bottom w:val="single" w:sz="4" w:space="0" w:color="auto"/>
            </w:tcBorders>
            <w:vAlign w:val="center"/>
          </w:tcPr>
          <w:p w14:paraId="5974541E" w14:textId="77777777" w:rsidR="009B0A69" w:rsidRDefault="009B0A69" w:rsidP="008269C3">
            <w:pPr>
              <w:spacing w:line="300" w:lineRule="atLeast"/>
              <w:jc w:val="center"/>
              <w:rPr>
                <w:rFonts w:ascii="Arial" w:hAnsi="Arial" w:cs="Arial"/>
                <w:sz w:val="16"/>
                <w:szCs w:val="16"/>
              </w:rPr>
            </w:pPr>
            <w:r>
              <w:rPr>
                <w:rFonts w:ascii="Arial" w:hAnsi="Arial" w:cs="Arial"/>
                <w:sz w:val="16"/>
                <w:szCs w:val="16"/>
              </w:rPr>
              <w:t>5,</w:t>
            </w:r>
            <w:r w:rsidR="008269C3">
              <w:rPr>
                <w:rFonts w:ascii="Arial" w:hAnsi="Arial" w:cs="Arial"/>
                <w:sz w:val="16"/>
                <w:szCs w:val="16"/>
              </w:rPr>
              <w:t>5</w:t>
            </w:r>
            <w:r>
              <w:rPr>
                <w:rFonts w:ascii="Arial" w:hAnsi="Arial" w:cs="Arial"/>
                <w:sz w:val="16"/>
                <w:szCs w:val="16"/>
              </w:rPr>
              <w:t>29,000</w:t>
            </w:r>
          </w:p>
        </w:tc>
        <w:tc>
          <w:tcPr>
            <w:tcW w:w="1083" w:type="dxa"/>
            <w:tcBorders>
              <w:top w:val="double" w:sz="4" w:space="0" w:color="auto"/>
              <w:bottom w:val="single" w:sz="4" w:space="0" w:color="auto"/>
            </w:tcBorders>
            <w:vAlign w:val="center"/>
          </w:tcPr>
          <w:p w14:paraId="5ECBE846" w14:textId="77777777" w:rsidR="009B0A69" w:rsidRDefault="009B0A69" w:rsidP="00D51729">
            <w:pPr>
              <w:spacing w:line="300" w:lineRule="atLeast"/>
              <w:jc w:val="center"/>
              <w:rPr>
                <w:rFonts w:ascii="Arial" w:hAnsi="Arial" w:cs="Arial"/>
                <w:sz w:val="16"/>
                <w:szCs w:val="16"/>
              </w:rPr>
            </w:pPr>
            <w:r>
              <w:rPr>
                <w:rFonts w:ascii="Arial" w:hAnsi="Arial" w:cs="Arial"/>
                <w:sz w:val="16"/>
                <w:szCs w:val="16"/>
              </w:rPr>
              <w:t>0.0034</w:t>
            </w:r>
          </w:p>
        </w:tc>
        <w:tc>
          <w:tcPr>
            <w:tcW w:w="1229" w:type="dxa"/>
            <w:tcBorders>
              <w:top w:val="double" w:sz="4" w:space="0" w:color="auto"/>
              <w:bottom w:val="single" w:sz="4" w:space="0" w:color="auto"/>
            </w:tcBorders>
            <w:vAlign w:val="center"/>
          </w:tcPr>
          <w:p w14:paraId="4F9ABC6A" w14:textId="77777777" w:rsidR="009B0A69" w:rsidRDefault="009B0A69" w:rsidP="00D51729">
            <w:pPr>
              <w:spacing w:line="300" w:lineRule="atLeast"/>
              <w:jc w:val="center"/>
              <w:rPr>
                <w:rFonts w:ascii="Arial" w:hAnsi="Arial" w:cs="Arial"/>
                <w:sz w:val="16"/>
                <w:szCs w:val="16"/>
              </w:rPr>
            </w:pPr>
            <w:r>
              <w:rPr>
                <w:rFonts w:ascii="Arial" w:hAnsi="Arial" w:cs="Arial"/>
                <w:sz w:val="16"/>
                <w:szCs w:val="16"/>
              </w:rPr>
              <w:t>18</w:t>
            </w:r>
            <w:r w:rsidR="008269C3">
              <w:rPr>
                <w:rFonts w:ascii="Arial" w:hAnsi="Arial" w:cs="Arial"/>
                <w:sz w:val="16"/>
                <w:szCs w:val="16"/>
              </w:rPr>
              <w:t>.8</w:t>
            </w:r>
          </w:p>
        </w:tc>
        <w:tc>
          <w:tcPr>
            <w:tcW w:w="1089" w:type="dxa"/>
            <w:tcBorders>
              <w:top w:val="double" w:sz="4" w:space="0" w:color="auto"/>
              <w:bottom w:val="single" w:sz="4" w:space="0" w:color="auto"/>
            </w:tcBorders>
            <w:vAlign w:val="center"/>
          </w:tcPr>
          <w:p w14:paraId="7E3B196D" w14:textId="77777777" w:rsidR="009B0A69" w:rsidRDefault="00BB0B0D" w:rsidP="00D51729">
            <w:pPr>
              <w:spacing w:line="300" w:lineRule="atLeast"/>
              <w:jc w:val="center"/>
              <w:rPr>
                <w:rFonts w:ascii="Arial" w:hAnsi="Arial" w:cs="Arial"/>
                <w:sz w:val="16"/>
                <w:szCs w:val="16"/>
              </w:rPr>
            </w:pPr>
            <w:r>
              <w:rPr>
                <w:rFonts w:ascii="Arial" w:hAnsi="Arial" w:cs="Arial"/>
                <w:sz w:val="16"/>
                <w:szCs w:val="16"/>
              </w:rPr>
              <w:t>4</w:t>
            </w:r>
            <w:r w:rsidR="008269C3">
              <w:rPr>
                <w:rFonts w:ascii="Arial" w:hAnsi="Arial" w:cs="Arial"/>
                <w:sz w:val="16"/>
                <w:szCs w:val="16"/>
              </w:rPr>
              <w:t>.7</w:t>
            </w:r>
          </w:p>
        </w:tc>
        <w:tc>
          <w:tcPr>
            <w:tcW w:w="1090" w:type="dxa"/>
            <w:tcBorders>
              <w:top w:val="double" w:sz="4" w:space="0" w:color="auto"/>
              <w:bottom w:val="single" w:sz="4" w:space="0" w:color="auto"/>
            </w:tcBorders>
          </w:tcPr>
          <w:p w14:paraId="3C4B7285" w14:textId="434204C2" w:rsidR="009B0A69" w:rsidRDefault="00CE2AE9" w:rsidP="00D51729">
            <w:pPr>
              <w:spacing w:line="300" w:lineRule="atLeast"/>
              <w:jc w:val="center"/>
              <w:rPr>
                <w:rFonts w:ascii="Arial" w:hAnsi="Arial" w:cs="Arial"/>
                <w:sz w:val="16"/>
                <w:szCs w:val="16"/>
              </w:rPr>
            </w:pPr>
            <w:r>
              <w:rPr>
                <w:rFonts w:ascii="Arial" w:hAnsi="Arial" w:cs="Arial"/>
                <w:sz w:val="16"/>
                <w:szCs w:val="16"/>
              </w:rPr>
              <w:t>0.2</w:t>
            </w:r>
          </w:p>
        </w:tc>
        <w:tc>
          <w:tcPr>
            <w:tcW w:w="1090" w:type="dxa"/>
            <w:tcBorders>
              <w:top w:val="double" w:sz="4" w:space="0" w:color="auto"/>
              <w:bottom w:val="single" w:sz="4" w:space="0" w:color="auto"/>
            </w:tcBorders>
          </w:tcPr>
          <w:p w14:paraId="35751EFA" w14:textId="77777777" w:rsidR="009B0A69" w:rsidRDefault="009B0A69" w:rsidP="00D51729">
            <w:pPr>
              <w:spacing w:line="300" w:lineRule="atLeast"/>
              <w:jc w:val="center"/>
              <w:rPr>
                <w:rFonts w:ascii="Arial" w:hAnsi="Arial" w:cs="Arial"/>
                <w:sz w:val="16"/>
                <w:szCs w:val="16"/>
              </w:rPr>
            </w:pPr>
            <w:r>
              <w:rPr>
                <w:rFonts w:ascii="Arial" w:hAnsi="Arial" w:cs="Arial"/>
                <w:sz w:val="16"/>
                <w:szCs w:val="16"/>
              </w:rPr>
              <w:t>-</w:t>
            </w:r>
          </w:p>
        </w:tc>
        <w:tc>
          <w:tcPr>
            <w:tcW w:w="1090" w:type="dxa"/>
            <w:tcBorders>
              <w:top w:val="double" w:sz="4" w:space="0" w:color="auto"/>
              <w:bottom w:val="single" w:sz="4" w:space="0" w:color="auto"/>
            </w:tcBorders>
            <w:vAlign w:val="center"/>
          </w:tcPr>
          <w:p w14:paraId="69321B4F" w14:textId="654115D1" w:rsidR="009B0A69" w:rsidRDefault="009B0A69" w:rsidP="00D51729">
            <w:pPr>
              <w:spacing w:line="300" w:lineRule="atLeast"/>
              <w:jc w:val="center"/>
              <w:rPr>
                <w:rFonts w:ascii="Arial" w:hAnsi="Arial" w:cs="Arial"/>
                <w:sz w:val="16"/>
                <w:szCs w:val="16"/>
              </w:rPr>
            </w:pPr>
            <w:r>
              <w:rPr>
                <w:rFonts w:ascii="Arial" w:hAnsi="Arial" w:cs="Arial"/>
                <w:sz w:val="16"/>
                <w:szCs w:val="16"/>
              </w:rPr>
              <w:t>2.</w:t>
            </w:r>
            <w:r w:rsidR="008269C3">
              <w:rPr>
                <w:rFonts w:ascii="Arial" w:hAnsi="Arial" w:cs="Arial"/>
                <w:sz w:val="16"/>
                <w:szCs w:val="16"/>
              </w:rPr>
              <w:t>8</w:t>
            </w:r>
          </w:p>
        </w:tc>
      </w:tr>
      <w:tr w:rsidR="00E11AC9" w14:paraId="0B4039EA" w14:textId="77777777" w:rsidTr="00761E39">
        <w:tc>
          <w:tcPr>
            <w:tcW w:w="1419" w:type="dxa"/>
            <w:tcBorders>
              <w:bottom w:val="double" w:sz="4" w:space="0" w:color="auto"/>
            </w:tcBorders>
          </w:tcPr>
          <w:p w14:paraId="5B4E4279" w14:textId="77777777" w:rsidR="00E11AC9" w:rsidRDefault="00E11AC9" w:rsidP="00D51729">
            <w:pPr>
              <w:spacing w:line="300" w:lineRule="atLeast"/>
              <w:jc w:val="both"/>
              <w:rPr>
                <w:rFonts w:ascii="Arial" w:hAnsi="Arial" w:cs="Arial"/>
                <w:sz w:val="16"/>
                <w:szCs w:val="16"/>
              </w:rPr>
            </w:pPr>
            <w:r>
              <w:rPr>
                <w:rFonts w:ascii="Arial" w:hAnsi="Arial" w:cs="Arial"/>
                <w:sz w:val="16"/>
                <w:szCs w:val="16"/>
              </w:rPr>
              <w:t>Refining, 2016</w:t>
            </w:r>
          </w:p>
        </w:tc>
        <w:tc>
          <w:tcPr>
            <w:tcW w:w="1197" w:type="dxa"/>
            <w:tcBorders>
              <w:bottom w:val="double" w:sz="4" w:space="0" w:color="auto"/>
            </w:tcBorders>
            <w:vAlign w:val="center"/>
          </w:tcPr>
          <w:p w14:paraId="6458FAE4" w14:textId="77777777" w:rsidR="00E11AC9" w:rsidRDefault="00E11AC9" w:rsidP="008269C3">
            <w:pPr>
              <w:spacing w:line="300" w:lineRule="atLeast"/>
              <w:jc w:val="center"/>
              <w:rPr>
                <w:rFonts w:ascii="Arial" w:hAnsi="Arial" w:cs="Arial"/>
                <w:sz w:val="16"/>
                <w:szCs w:val="16"/>
              </w:rPr>
            </w:pPr>
            <w:r>
              <w:rPr>
                <w:rFonts w:ascii="Arial" w:hAnsi="Arial" w:cs="Arial"/>
                <w:sz w:val="16"/>
                <w:szCs w:val="16"/>
              </w:rPr>
              <w:t>5,529,950</w:t>
            </w:r>
          </w:p>
        </w:tc>
        <w:tc>
          <w:tcPr>
            <w:tcW w:w="1083" w:type="dxa"/>
            <w:tcBorders>
              <w:bottom w:val="double" w:sz="4" w:space="0" w:color="auto"/>
            </w:tcBorders>
            <w:vAlign w:val="center"/>
          </w:tcPr>
          <w:p w14:paraId="449DDBFD" w14:textId="77777777" w:rsidR="00E11AC9" w:rsidRDefault="00E11AC9" w:rsidP="00D51729">
            <w:pPr>
              <w:spacing w:line="300" w:lineRule="atLeast"/>
              <w:jc w:val="center"/>
              <w:rPr>
                <w:rFonts w:ascii="Arial" w:hAnsi="Arial" w:cs="Arial"/>
                <w:sz w:val="16"/>
                <w:szCs w:val="16"/>
              </w:rPr>
            </w:pPr>
            <w:r>
              <w:rPr>
                <w:rFonts w:ascii="Arial" w:hAnsi="Arial" w:cs="Arial"/>
                <w:sz w:val="16"/>
                <w:szCs w:val="16"/>
              </w:rPr>
              <w:t>0.0034</w:t>
            </w:r>
          </w:p>
        </w:tc>
        <w:tc>
          <w:tcPr>
            <w:tcW w:w="1229" w:type="dxa"/>
            <w:tcBorders>
              <w:bottom w:val="double" w:sz="4" w:space="0" w:color="auto"/>
            </w:tcBorders>
            <w:vAlign w:val="center"/>
          </w:tcPr>
          <w:p w14:paraId="770D469C" w14:textId="77777777" w:rsidR="00E11AC9" w:rsidRDefault="00E11AC9" w:rsidP="00D51729">
            <w:pPr>
              <w:spacing w:line="300" w:lineRule="atLeast"/>
              <w:jc w:val="center"/>
              <w:rPr>
                <w:rFonts w:ascii="Arial" w:hAnsi="Arial" w:cs="Arial"/>
                <w:sz w:val="16"/>
                <w:szCs w:val="16"/>
              </w:rPr>
            </w:pPr>
            <w:r>
              <w:rPr>
                <w:rFonts w:ascii="Arial" w:hAnsi="Arial" w:cs="Arial"/>
                <w:sz w:val="16"/>
                <w:szCs w:val="16"/>
              </w:rPr>
              <w:t>18.8</w:t>
            </w:r>
          </w:p>
        </w:tc>
        <w:tc>
          <w:tcPr>
            <w:tcW w:w="1089" w:type="dxa"/>
            <w:tcBorders>
              <w:bottom w:val="double" w:sz="4" w:space="0" w:color="auto"/>
            </w:tcBorders>
            <w:vAlign w:val="center"/>
          </w:tcPr>
          <w:p w14:paraId="535AB65F" w14:textId="77777777" w:rsidR="00E11AC9" w:rsidRDefault="00E11AC9" w:rsidP="00D51729">
            <w:pPr>
              <w:spacing w:line="300" w:lineRule="atLeast"/>
              <w:jc w:val="center"/>
              <w:rPr>
                <w:rFonts w:ascii="Arial" w:hAnsi="Arial" w:cs="Arial"/>
                <w:sz w:val="16"/>
                <w:szCs w:val="16"/>
              </w:rPr>
            </w:pPr>
            <w:r>
              <w:rPr>
                <w:rFonts w:ascii="Arial" w:hAnsi="Arial" w:cs="Arial"/>
                <w:sz w:val="16"/>
                <w:szCs w:val="16"/>
              </w:rPr>
              <w:t>4.7</w:t>
            </w:r>
          </w:p>
        </w:tc>
        <w:tc>
          <w:tcPr>
            <w:tcW w:w="1090" w:type="dxa"/>
            <w:tcBorders>
              <w:bottom w:val="double" w:sz="4" w:space="0" w:color="auto"/>
            </w:tcBorders>
          </w:tcPr>
          <w:p w14:paraId="5A134356" w14:textId="37C65063" w:rsidR="00E11AC9" w:rsidRDefault="00CE2AE9" w:rsidP="00D51729">
            <w:pPr>
              <w:spacing w:line="300" w:lineRule="atLeast"/>
              <w:jc w:val="center"/>
              <w:rPr>
                <w:rFonts w:ascii="Arial" w:hAnsi="Arial" w:cs="Arial"/>
                <w:sz w:val="16"/>
                <w:szCs w:val="16"/>
              </w:rPr>
            </w:pPr>
            <w:r>
              <w:rPr>
                <w:rFonts w:ascii="Arial" w:hAnsi="Arial" w:cs="Arial"/>
                <w:sz w:val="16"/>
                <w:szCs w:val="16"/>
              </w:rPr>
              <w:t>0.2</w:t>
            </w:r>
          </w:p>
        </w:tc>
        <w:tc>
          <w:tcPr>
            <w:tcW w:w="1090" w:type="dxa"/>
            <w:tcBorders>
              <w:bottom w:val="double" w:sz="4" w:space="0" w:color="auto"/>
            </w:tcBorders>
          </w:tcPr>
          <w:p w14:paraId="300B1881" w14:textId="77777777" w:rsidR="00E11AC9" w:rsidRDefault="00E11AC9" w:rsidP="00D51729">
            <w:pPr>
              <w:spacing w:line="300" w:lineRule="atLeast"/>
              <w:jc w:val="center"/>
              <w:rPr>
                <w:rFonts w:ascii="Arial" w:hAnsi="Arial" w:cs="Arial"/>
                <w:sz w:val="16"/>
                <w:szCs w:val="16"/>
              </w:rPr>
            </w:pPr>
            <w:r>
              <w:rPr>
                <w:rFonts w:ascii="Arial" w:hAnsi="Arial" w:cs="Arial"/>
                <w:sz w:val="16"/>
                <w:szCs w:val="16"/>
              </w:rPr>
              <w:t>-</w:t>
            </w:r>
          </w:p>
        </w:tc>
        <w:tc>
          <w:tcPr>
            <w:tcW w:w="1090" w:type="dxa"/>
            <w:tcBorders>
              <w:bottom w:val="double" w:sz="4" w:space="0" w:color="auto"/>
            </w:tcBorders>
            <w:vAlign w:val="center"/>
          </w:tcPr>
          <w:p w14:paraId="34B7D3AC" w14:textId="445CBCE5" w:rsidR="00E11AC9" w:rsidRDefault="00CE2AE9" w:rsidP="00D51729">
            <w:pPr>
              <w:spacing w:line="300" w:lineRule="atLeast"/>
              <w:jc w:val="center"/>
              <w:rPr>
                <w:rFonts w:ascii="Arial" w:hAnsi="Arial" w:cs="Arial"/>
                <w:sz w:val="16"/>
                <w:szCs w:val="16"/>
              </w:rPr>
            </w:pPr>
            <w:r>
              <w:rPr>
                <w:rFonts w:ascii="Arial" w:hAnsi="Arial" w:cs="Arial"/>
                <w:sz w:val="16"/>
                <w:szCs w:val="16"/>
              </w:rPr>
              <w:t>2.8</w:t>
            </w:r>
          </w:p>
        </w:tc>
      </w:tr>
      <w:tr w:rsidR="009B0A69" w14:paraId="4DFB771B" w14:textId="77777777" w:rsidTr="00761E39">
        <w:tc>
          <w:tcPr>
            <w:tcW w:w="1419" w:type="dxa"/>
            <w:tcBorders>
              <w:top w:val="double" w:sz="4" w:space="0" w:color="auto"/>
              <w:bottom w:val="single" w:sz="4" w:space="0" w:color="auto"/>
            </w:tcBorders>
          </w:tcPr>
          <w:p w14:paraId="39FA83F9" w14:textId="77777777" w:rsidR="009B0A69" w:rsidRPr="00F31685" w:rsidRDefault="00E11AC9" w:rsidP="00D51729">
            <w:pPr>
              <w:spacing w:line="300" w:lineRule="atLeast"/>
              <w:jc w:val="both"/>
              <w:rPr>
                <w:rFonts w:ascii="Arial" w:hAnsi="Arial" w:cs="Arial"/>
                <w:sz w:val="16"/>
                <w:szCs w:val="16"/>
              </w:rPr>
            </w:pPr>
            <w:r>
              <w:rPr>
                <w:rFonts w:ascii="Arial" w:hAnsi="Arial" w:cs="Arial"/>
                <w:sz w:val="16"/>
                <w:szCs w:val="16"/>
              </w:rPr>
              <w:t>U</w:t>
            </w:r>
            <w:r w:rsidR="009B0A69">
              <w:rPr>
                <w:rFonts w:ascii="Arial" w:hAnsi="Arial" w:cs="Arial"/>
                <w:sz w:val="16"/>
                <w:szCs w:val="16"/>
              </w:rPr>
              <w:t>se</w:t>
            </w:r>
            <w:r>
              <w:rPr>
                <w:rFonts w:ascii="Arial" w:hAnsi="Arial" w:cs="Arial"/>
                <w:sz w:val="16"/>
                <w:szCs w:val="16"/>
              </w:rPr>
              <w:t>, 2012</w:t>
            </w:r>
          </w:p>
        </w:tc>
        <w:tc>
          <w:tcPr>
            <w:tcW w:w="1197" w:type="dxa"/>
            <w:tcBorders>
              <w:top w:val="double" w:sz="4" w:space="0" w:color="auto"/>
              <w:bottom w:val="single" w:sz="4" w:space="0" w:color="auto"/>
            </w:tcBorders>
            <w:vAlign w:val="center"/>
          </w:tcPr>
          <w:p w14:paraId="5AA5C99D" w14:textId="77777777" w:rsidR="009B0A69" w:rsidRDefault="009B0A69" w:rsidP="00D51729">
            <w:pPr>
              <w:spacing w:line="300" w:lineRule="atLeast"/>
              <w:jc w:val="center"/>
              <w:rPr>
                <w:rFonts w:ascii="Arial" w:hAnsi="Arial" w:cs="Arial"/>
                <w:sz w:val="16"/>
                <w:szCs w:val="16"/>
              </w:rPr>
            </w:pPr>
            <w:r>
              <w:rPr>
                <w:rFonts w:ascii="Arial" w:hAnsi="Arial" w:cs="Arial"/>
                <w:sz w:val="16"/>
                <w:szCs w:val="16"/>
              </w:rPr>
              <w:t>-</w:t>
            </w:r>
          </w:p>
        </w:tc>
        <w:tc>
          <w:tcPr>
            <w:tcW w:w="1083" w:type="dxa"/>
            <w:tcBorders>
              <w:top w:val="double" w:sz="4" w:space="0" w:color="auto"/>
              <w:bottom w:val="single" w:sz="4" w:space="0" w:color="auto"/>
            </w:tcBorders>
            <w:vAlign w:val="center"/>
          </w:tcPr>
          <w:p w14:paraId="253463EE" w14:textId="77777777" w:rsidR="009B0A69" w:rsidRDefault="009B0A69" w:rsidP="00D51729">
            <w:pPr>
              <w:spacing w:line="300" w:lineRule="atLeast"/>
              <w:jc w:val="center"/>
              <w:rPr>
                <w:rFonts w:ascii="Arial" w:hAnsi="Arial" w:cs="Arial"/>
                <w:sz w:val="16"/>
                <w:szCs w:val="16"/>
              </w:rPr>
            </w:pPr>
            <w:r>
              <w:rPr>
                <w:rFonts w:ascii="Arial" w:hAnsi="Arial" w:cs="Arial"/>
                <w:sz w:val="16"/>
                <w:szCs w:val="16"/>
              </w:rPr>
              <w:t>-</w:t>
            </w:r>
          </w:p>
        </w:tc>
        <w:tc>
          <w:tcPr>
            <w:tcW w:w="1229" w:type="dxa"/>
            <w:tcBorders>
              <w:top w:val="double" w:sz="4" w:space="0" w:color="auto"/>
              <w:bottom w:val="single" w:sz="4" w:space="0" w:color="auto"/>
            </w:tcBorders>
            <w:vAlign w:val="center"/>
          </w:tcPr>
          <w:p w14:paraId="65EA5768" w14:textId="77777777" w:rsidR="009B0A69" w:rsidRDefault="00BB0B0D" w:rsidP="00D51729">
            <w:pPr>
              <w:spacing w:line="300" w:lineRule="atLeast"/>
              <w:jc w:val="center"/>
              <w:rPr>
                <w:rFonts w:ascii="Arial" w:hAnsi="Arial" w:cs="Arial"/>
                <w:sz w:val="16"/>
                <w:szCs w:val="16"/>
              </w:rPr>
            </w:pPr>
            <w:r>
              <w:rPr>
                <w:rFonts w:ascii="Arial" w:hAnsi="Arial" w:cs="Arial"/>
                <w:sz w:val="16"/>
                <w:szCs w:val="16"/>
              </w:rPr>
              <w:t>14</w:t>
            </w:r>
            <w:r w:rsidR="009B0A69">
              <w:rPr>
                <w:rFonts w:ascii="Arial" w:hAnsi="Arial" w:cs="Arial"/>
                <w:sz w:val="16"/>
                <w:szCs w:val="16"/>
              </w:rPr>
              <w:t>.</w:t>
            </w:r>
            <w:r>
              <w:rPr>
                <w:rFonts w:ascii="Arial" w:hAnsi="Arial" w:cs="Arial"/>
                <w:sz w:val="16"/>
                <w:szCs w:val="16"/>
              </w:rPr>
              <w:t>4</w:t>
            </w:r>
            <w:r w:rsidR="009B0A69">
              <w:rPr>
                <w:rFonts w:ascii="Arial" w:hAnsi="Arial" w:cs="Arial"/>
                <w:sz w:val="16"/>
                <w:szCs w:val="16"/>
              </w:rPr>
              <w:t>2</w:t>
            </w:r>
          </w:p>
        </w:tc>
        <w:tc>
          <w:tcPr>
            <w:tcW w:w="1089" w:type="dxa"/>
            <w:tcBorders>
              <w:top w:val="double" w:sz="4" w:space="0" w:color="auto"/>
              <w:bottom w:val="single" w:sz="4" w:space="0" w:color="auto"/>
            </w:tcBorders>
            <w:vAlign w:val="center"/>
          </w:tcPr>
          <w:p w14:paraId="6A282897" w14:textId="4E06B28B" w:rsidR="009B0A69" w:rsidRDefault="009B0A69" w:rsidP="00BB0B0D">
            <w:pPr>
              <w:spacing w:line="300" w:lineRule="atLeast"/>
              <w:jc w:val="center"/>
              <w:rPr>
                <w:rFonts w:ascii="Arial" w:hAnsi="Arial" w:cs="Arial"/>
                <w:sz w:val="16"/>
                <w:szCs w:val="16"/>
              </w:rPr>
            </w:pPr>
            <w:r>
              <w:rPr>
                <w:rFonts w:ascii="Arial" w:hAnsi="Arial" w:cs="Arial"/>
                <w:sz w:val="16"/>
                <w:szCs w:val="16"/>
              </w:rPr>
              <w:t>1</w:t>
            </w:r>
            <w:r w:rsidR="00BB0B0D">
              <w:rPr>
                <w:rFonts w:ascii="Arial" w:hAnsi="Arial" w:cs="Arial"/>
                <w:sz w:val="16"/>
                <w:szCs w:val="16"/>
              </w:rPr>
              <w:t>4</w:t>
            </w:r>
            <w:r>
              <w:rPr>
                <w:rFonts w:ascii="Arial" w:hAnsi="Arial" w:cs="Arial"/>
                <w:sz w:val="16"/>
                <w:szCs w:val="16"/>
              </w:rPr>
              <w:t>.</w:t>
            </w:r>
            <w:r w:rsidR="00BB0B0D">
              <w:rPr>
                <w:rFonts w:ascii="Arial" w:hAnsi="Arial" w:cs="Arial"/>
                <w:sz w:val="16"/>
                <w:szCs w:val="16"/>
              </w:rPr>
              <w:t>4</w:t>
            </w:r>
          </w:p>
        </w:tc>
        <w:tc>
          <w:tcPr>
            <w:tcW w:w="1090" w:type="dxa"/>
            <w:tcBorders>
              <w:top w:val="double" w:sz="4" w:space="0" w:color="auto"/>
              <w:bottom w:val="single" w:sz="4" w:space="0" w:color="auto"/>
            </w:tcBorders>
          </w:tcPr>
          <w:p w14:paraId="21AA13B5" w14:textId="77777777" w:rsidR="009B0A69" w:rsidRDefault="009B0A69" w:rsidP="00D51729">
            <w:pPr>
              <w:spacing w:line="300" w:lineRule="atLeast"/>
              <w:jc w:val="center"/>
              <w:rPr>
                <w:rFonts w:ascii="Arial" w:hAnsi="Arial" w:cs="Arial"/>
                <w:sz w:val="16"/>
                <w:szCs w:val="16"/>
              </w:rPr>
            </w:pPr>
            <w:r>
              <w:rPr>
                <w:rFonts w:ascii="Arial" w:hAnsi="Arial" w:cs="Arial"/>
                <w:sz w:val="16"/>
                <w:szCs w:val="16"/>
              </w:rPr>
              <w:t>-</w:t>
            </w:r>
          </w:p>
        </w:tc>
        <w:tc>
          <w:tcPr>
            <w:tcW w:w="1090" w:type="dxa"/>
            <w:tcBorders>
              <w:top w:val="double" w:sz="4" w:space="0" w:color="auto"/>
              <w:bottom w:val="single" w:sz="4" w:space="0" w:color="auto"/>
            </w:tcBorders>
          </w:tcPr>
          <w:p w14:paraId="14C2BAFB" w14:textId="77777777" w:rsidR="009B0A69" w:rsidRDefault="009B0A69" w:rsidP="00D51729">
            <w:pPr>
              <w:spacing w:line="300" w:lineRule="atLeast"/>
              <w:jc w:val="center"/>
              <w:rPr>
                <w:rFonts w:ascii="Arial" w:hAnsi="Arial" w:cs="Arial"/>
                <w:sz w:val="16"/>
                <w:szCs w:val="16"/>
              </w:rPr>
            </w:pPr>
            <w:r>
              <w:rPr>
                <w:rFonts w:ascii="Arial" w:hAnsi="Arial" w:cs="Arial"/>
                <w:sz w:val="16"/>
                <w:szCs w:val="16"/>
              </w:rPr>
              <w:t>-</w:t>
            </w:r>
          </w:p>
        </w:tc>
        <w:tc>
          <w:tcPr>
            <w:tcW w:w="1090" w:type="dxa"/>
            <w:tcBorders>
              <w:top w:val="double" w:sz="4" w:space="0" w:color="auto"/>
              <w:bottom w:val="single" w:sz="4" w:space="0" w:color="auto"/>
            </w:tcBorders>
            <w:vAlign w:val="center"/>
          </w:tcPr>
          <w:p w14:paraId="0D8BF9D1" w14:textId="77777777" w:rsidR="009B0A69" w:rsidRDefault="009B0A69" w:rsidP="00D51729">
            <w:pPr>
              <w:spacing w:line="300" w:lineRule="atLeast"/>
              <w:jc w:val="center"/>
              <w:rPr>
                <w:rFonts w:ascii="Arial" w:hAnsi="Arial" w:cs="Arial"/>
                <w:sz w:val="16"/>
                <w:szCs w:val="16"/>
              </w:rPr>
            </w:pPr>
            <w:r>
              <w:rPr>
                <w:rFonts w:ascii="Arial" w:hAnsi="Arial" w:cs="Arial"/>
                <w:sz w:val="16"/>
                <w:szCs w:val="16"/>
              </w:rPr>
              <w:t>-</w:t>
            </w:r>
          </w:p>
        </w:tc>
      </w:tr>
      <w:tr w:rsidR="00E11AC9" w14:paraId="7169439F" w14:textId="77777777" w:rsidTr="00761E39">
        <w:tc>
          <w:tcPr>
            <w:tcW w:w="1419" w:type="dxa"/>
            <w:tcBorders>
              <w:bottom w:val="double" w:sz="4" w:space="0" w:color="auto"/>
            </w:tcBorders>
          </w:tcPr>
          <w:p w14:paraId="431518C8" w14:textId="77777777" w:rsidR="00E11AC9" w:rsidRDefault="00E11AC9" w:rsidP="00D51729">
            <w:pPr>
              <w:spacing w:line="300" w:lineRule="atLeast"/>
              <w:jc w:val="both"/>
              <w:rPr>
                <w:rFonts w:ascii="Arial" w:hAnsi="Arial" w:cs="Arial"/>
                <w:sz w:val="16"/>
                <w:szCs w:val="16"/>
              </w:rPr>
            </w:pPr>
            <w:r>
              <w:rPr>
                <w:rFonts w:ascii="Arial" w:hAnsi="Arial" w:cs="Arial"/>
                <w:sz w:val="16"/>
                <w:szCs w:val="16"/>
              </w:rPr>
              <w:t>Use, 2016</w:t>
            </w:r>
          </w:p>
        </w:tc>
        <w:tc>
          <w:tcPr>
            <w:tcW w:w="1197" w:type="dxa"/>
            <w:tcBorders>
              <w:bottom w:val="double" w:sz="4" w:space="0" w:color="auto"/>
            </w:tcBorders>
            <w:vAlign w:val="center"/>
          </w:tcPr>
          <w:p w14:paraId="1B647F8F" w14:textId="77777777" w:rsidR="00E11AC9" w:rsidRDefault="00E11AC9" w:rsidP="00D51729">
            <w:pPr>
              <w:spacing w:line="300" w:lineRule="atLeast"/>
              <w:jc w:val="center"/>
              <w:rPr>
                <w:rFonts w:ascii="Arial" w:hAnsi="Arial" w:cs="Arial"/>
                <w:sz w:val="16"/>
                <w:szCs w:val="16"/>
              </w:rPr>
            </w:pPr>
            <w:r>
              <w:rPr>
                <w:rFonts w:ascii="Arial" w:hAnsi="Arial" w:cs="Arial"/>
                <w:sz w:val="16"/>
                <w:szCs w:val="16"/>
              </w:rPr>
              <w:t>-</w:t>
            </w:r>
          </w:p>
        </w:tc>
        <w:tc>
          <w:tcPr>
            <w:tcW w:w="1083" w:type="dxa"/>
            <w:tcBorders>
              <w:bottom w:val="double" w:sz="4" w:space="0" w:color="auto"/>
            </w:tcBorders>
            <w:vAlign w:val="center"/>
          </w:tcPr>
          <w:p w14:paraId="797E4EB0" w14:textId="77777777" w:rsidR="00E11AC9" w:rsidRDefault="00761E39" w:rsidP="00D51729">
            <w:pPr>
              <w:spacing w:line="300" w:lineRule="atLeast"/>
              <w:jc w:val="center"/>
              <w:rPr>
                <w:rFonts w:ascii="Arial" w:hAnsi="Arial" w:cs="Arial"/>
                <w:sz w:val="16"/>
                <w:szCs w:val="16"/>
              </w:rPr>
            </w:pPr>
            <w:r>
              <w:rPr>
                <w:rFonts w:ascii="Arial" w:hAnsi="Arial" w:cs="Arial"/>
                <w:sz w:val="16"/>
                <w:szCs w:val="16"/>
              </w:rPr>
              <w:t>-</w:t>
            </w:r>
          </w:p>
        </w:tc>
        <w:tc>
          <w:tcPr>
            <w:tcW w:w="1229" w:type="dxa"/>
            <w:tcBorders>
              <w:bottom w:val="double" w:sz="4" w:space="0" w:color="auto"/>
            </w:tcBorders>
            <w:vAlign w:val="center"/>
          </w:tcPr>
          <w:p w14:paraId="7D9DA98C" w14:textId="77777777" w:rsidR="00E11AC9" w:rsidRDefault="00E11AC9" w:rsidP="00D51729">
            <w:pPr>
              <w:spacing w:line="300" w:lineRule="atLeast"/>
              <w:jc w:val="center"/>
              <w:rPr>
                <w:rFonts w:ascii="Arial" w:hAnsi="Arial" w:cs="Arial"/>
                <w:sz w:val="16"/>
                <w:szCs w:val="16"/>
              </w:rPr>
            </w:pPr>
            <w:r>
              <w:rPr>
                <w:rFonts w:ascii="Arial" w:hAnsi="Arial" w:cs="Arial"/>
                <w:sz w:val="16"/>
                <w:szCs w:val="16"/>
              </w:rPr>
              <w:t>14.5</w:t>
            </w:r>
          </w:p>
        </w:tc>
        <w:tc>
          <w:tcPr>
            <w:tcW w:w="1089" w:type="dxa"/>
            <w:tcBorders>
              <w:bottom w:val="double" w:sz="4" w:space="0" w:color="auto"/>
            </w:tcBorders>
            <w:vAlign w:val="center"/>
          </w:tcPr>
          <w:p w14:paraId="247E6A8E" w14:textId="77777777" w:rsidR="00E11AC9" w:rsidRDefault="00E11AC9" w:rsidP="00BB0B0D">
            <w:pPr>
              <w:spacing w:line="300" w:lineRule="atLeast"/>
              <w:jc w:val="center"/>
              <w:rPr>
                <w:rFonts w:ascii="Arial" w:hAnsi="Arial" w:cs="Arial"/>
                <w:sz w:val="16"/>
                <w:szCs w:val="16"/>
              </w:rPr>
            </w:pPr>
            <w:r>
              <w:rPr>
                <w:rFonts w:ascii="Arial" w:hAnsi="Arial" w:cs="Arial"/>
                <w:sz w:val="16"/>
                <w:szCs w:val="16"/>
              </w:rPr>
              <w:t>14.5</w:t>
            </w:r>
          </w:p>
        </w:tc>
        <w:tc>
          <w:tcPr>
            <w:tcW w:w="1090" w:type="dxa"/>
            <w:tcBorders>
              <w:bottom w:val="double" w:sz="4" w:space="0" w:color="auto"/>
            </w:tcBorders>
          </w:tcPr>
          <w:p w14:paraId="20CA8575" w14:textId="77777777" w:rsidR="00E11AC9" w:rsidRDefault="00E11AC9" w:rsidP="00D51729">
            <w:pPr>
              <w:spacing w:line="300" w:lineRule="atLeast"/>
              <w:jc w:val="center"/>
              <w:rPr>
                <w:rFonts w:ascii="Arial" w:hAnsi="Arial" w:cs="Arial"/>
                <w:sz w:val="16"/>
                <w:szCs w:val="16"/>
              </w:rPr>
            </w:pPr>
            <w:r>
              <w:rPr>
                <w:rFonts w:ascii="Arial" w:hAnsi="Arial" w:cs="Arial"/>
                <w:sz w:val="16"/>
                <w:szCs w:val="16"/>
              </w:rPr>
              <w:t>-</w:t>
            </w:r>
          </w:p>
        </w:tc>
        <w:tc>
          <w:tcPr>
            <w:tcW w:w="1090" w:type="dxa"/>
            <w:tcBorders>
              <w:bottom w:val="double" w:sz="4" w:space="0" w:color="auto"/>
            </w:tcBorders>
          </w:tcPr>
          <w:p w14:paraId="146E9201" w14:textId="77777777" w:rsidR="00E11AC9" w:rsidRDefault="00E11AC9" w:rsidP="00D51729">
            <w:pPr>
              <w:spacing w:line="300" w:lineRule="atLeast"/>
              <w:jc w:val="center"/>
              <w:rPr>
                <w:rFonts w:ascii="Arial" w:hAnsi="Arial" w:cs="Arial"/>
                <w:sz w:val="16"/>
                <w:szCs w:val="16"/>
              </w:rPr>
            </w:pPr>
            <w:r>
              <w:rPr>
                <w:rFonts w:ascii="Arial" w:hAnsi="Arial" w:cs="Arial"/>
                <w:sz w:val="16"/>
                <w:szCs w:val="16"/>
              </w:rPr>
              <w:t>-</w:t>
            </w:r>
          </w:p>
        </w:tc>
        <w:tc>
          <w:tcPr>
            <w:tcW w:w="1090" w:type="dxa"/>
            <w:tcBorders>
              <w:bottom w:val="double" w:sz="4" w:space="0" w:color="auto"/>
            </w:tcBorders>
            <w:vAlign w:val="center"/>
          </w:tcPr>
          <w:p w14:paraId="70E3E230" w14:textId="77777777" w:rsidR="00E11AC9" w:rsidRDefault="00E11AC9" w:rsidP="00D51729">
            <w:pPr>
              <w:spacing w:line="300" w:lineRule="atLeast"/>
              <w:jc w:val="center"/>
              <w:rPr>
                <w:rFonts w:ascii="Arial" w:hAnsi="Arial" w:cs="Arial"/>
                <w:sz w:val="16"/>
                <w:szCs w:val="16"/>
              </w:rPr>
            </w:pPr>
            <w:r>
              <w:rPr>
                <w:rFonts w:ascii="Arial" w:hAnsi="Arial" w:cs="Arial"/>
                <w:sz w:val="16"/>
                <w:szCs w:val="16"/>
              </w:rPr>
              <w:t>-</w:t>
            </w:r>
          </w:p>
        </w:tc>
      </w:tr>
      <w:tr w:rsidR="009B0A69" w14:paraId="45921C7B" w14:textId="77777777" w:rsidTr="00761E39">
        <w:tc>
          <w:tcPr>
            <w:tcW w:w="1419" w:type="dxa"/>
            <w:tcBorders>
              <w:top w:val="double" w:sz="4" w:space="0" w:color="auto"/>
            </w:tcBorders>
          </w:tcPr>
          <w:p w14:paraId="6E541216" w14:textId="77777777" w:rsidR="009B0A69" w:rsidRPr="00180B00" w:rsidRDefault="009B0A69" w:rsidP="00D51729">
            <w:pPr>
              <w:spacing w:line="300" w:lineRule="atLeast"/>
              <w:jc w:val="both"/>
              <w:rPr>
                <w:rFonts w:ascii="Arial" w:hAnsi="Arial" w:cs="Arial"/>
                <w:b/>
                <w:sz w:val="16"/>
                <w:szCs w:val="16"/>
              </w:rPr>
            </w:pPr>
            <w:r w:rsidRPr="00180B00">
              <w:rPr>
                <w:rFonts w:ascii="Arial" w:hAnsi="Arial" w:cs="Arial"/>
                <w:b/>
                <w:sz w:val="16"/>
                <w:szCs w:val="16"/>
              </w:rPr>
              <w:t>Totals</w:t>
            </w:r>
            <w:r w:rsidR="00E11AC9">
              <w:rPr>
                <w:rFonts w:ascii="Arial" w:hAnsi="Arial" w:cs="Arial"/>
                <w:b/>
                <w:sz w:val="16"/>
                <w:szCs w:val="16"/>
              </w:rPr>
              <w:t>, 2012</w:t>
            </w:r>
          </w:p>
        </w:tc>
        <w:tc>
          <w:tcPr>
            <w:tcW w:w="1197" w:type="dxa"/>
            <w:tcBorders>
              <w:top w:val="double" w:sz="4" w:space="0" w:color="auto"/>
            </w:tcBorders>
            <w:vAlign w:val="center"/>
          </w:tcPr>
          <w:p w14:paraId="2A46C26A" w14:textId="77777777" w:rsidR="009B0A69" w:rsidRPr="00180B00" w:rsidRDefault="00761E39" w:rsidP="00D51729">
            <w:pPr>
              <w:spacing w:line="300" w:lineRule="atLeast"/>
              <w:jc w:val="center"/>
              <w:rPr>
                <w:rFonts w:ascii="Arial" w:hAnsi="Arial" w:cs="Arial"/>
                <w:b/>
                <w:sz w:val="16"/>
                <w:szCs w:val="16"/>
              </w:rPr>
            </w:pPr>
            <w:r>
              <w:rPr>
                <w:rFonts w:ascii="Arial" w:hAnsi="Arial" w:cs="Arial"/>
                <w:b/>
                <w:sz w:val="16"/>
                <w:szCs w:val="16"/>
              </w:rPr>
              <w:t>-</w:t>
            </w:r>
          </w:p>
        </w:tc>
        <w:tc>
          <w:tcPr>
            <w:tcW w:w="1083" w:type="dxa"/>
            <w:tcBorders>
              <w:top w:val="double" w:sz="4" w:space="0" w:color="auto"/>
            </w:tcBorders>
            <w:vAlign w:val="center"/>
          </w:tcPr>
          <w:p w14:paraId="779D300D" w14:textId="77777777" w:rsidR="009B0A69" w:rsidRPr="00180B00" w:rsidRDefault="00761E39" w:rsidP="00D51729">
            <w:pPr>
              <w:spacing w:line="300" w:lineRule="atLeast"/>
              <w:jc w:val="center"/>
              <w:rPr>
                <w:rFonts w:ascii="Arial" w:hAnsi="Arial" w:cs="Arial"/>
                <w:b/>
                <w:sz w:val="16"/>
                <w:szCs w:val="16"/>
              </w:rPr>
            </w:pPr>
            <w:r>
              <w:rPr>
                <w:rFonts w:ascii="Arial" w:hAnsi="Arial" w:cs="Arial"/>
                <w:b/>
                <w:sz w:val="16"/>
                <w:szCs w:val="16"/>
              </w:rPr>
              <w:t>-</w:t>
            </w:r>
          </w:p>
        </w:tc>
        <w:tc>
          <w:tcPr>
            <w:tcW w:w="1229" w:type="dxa"/>
            <w:tcBorders>
              <w:top w:val="double" w:sz="4" w:space="0" w:color="auto"/>
            </w:tcBorders>
            <w:vAlign w:val="center"/>
          </w:tcPr>
          <w:p w14:paraId="644950DE" w14:textId="77777777" w:rsidR="009B0A69" w:rsidRPr="00180B00" w:rsidRDefault="009B0A69" w:rsidP="00EC34C5">
            <w:pPr>
              <w:spacing w:line="300" w:lineRule="atLeast"/>
              <w:jc w:val="center"/>
              <w:rPr>
                <w:rFonts w:ascii="Arial" w:hAnsi="Arial" w:cs="Arial"/>
                <w:b/>
                <w:sz w:val="16"/>
                <w:szCs w:val="16"/>
              </w:rPr>
            </w:pPr>
            <w:r>
              <w:rPr>
                <w:rFonts w:ascii="Arial" w:hAnsi="Arial" w:cs="Arial"/>
                <w:b/>
                <w:sz w:val="16"/>
                <w:szCs w:val="16"/>
              </w:rPr>
              <w:t>2</w:t>
            </w:r>
            <w:r w:rsidR="00ED743F">
              <w:rPr>
                <w:rFonts w:ascii="Arial" w:hAnsi="Arial" w:cs="Arial"/>
                <w:b/>
                <w:sz w:val="16"/>
                <w:szCs w:val="16"/>
              </w:rPr>
              <w:t>3</w:t>
            </w:r>
            <w:r>
              <w:rPr>
                <w:rFonts w:ascii="Arial" w:hAnsi="Arial" w:cs="Arial"/>
                <w:b/>
                <w:sz w:val="16"/>
                <w:szCs w:val="16"/>
              </w:rPr>
              <w:t>.</w:t>
            </w:r>
            <w:r w:rsidR="00ED743F">
              <w:rPr>
                <w:rFonts w:ascii="Arial" w:hAnsi="Arial" w:cs="Arial"/>
                <w:b/>
                <w:sz w:val="16"/>
                <w:szCs w:val="16"/>
              </w:rPr>
              <w:t>4</w:t>
            </w:r>
            <w:r w:rsidRPr="00D47F06">
              <w:rPr>
                <w:rFonts w:ascii="Arial" w:hAnsi="Arial" w:cs="Arial"/>
                <w:sz w:val="16"/>
                <w:szCs w:val="16"/>
                <w:vertAlign w:val="superscript"/>
              </w:rPr>
              <w:t>b</w:t>
            </w:r>
          </w:p>
        </w:tc>
        <w:tc>
          <w:tcPr>
            <w:tcW w:w="1089" w:type="dxa"/>
            <w:tcBorders>
              <w:top w:val="double" w:sz="4" w:space="0" w:color="auto"/>
            </w:tcBorders>
            <w:vAlign w:val="center"/>
          </w:tcPr>
          <w:p w14:paraId="6BB02F16" w14:textId="4F21F858" w:rsidR="009B0A69" w:rsidRPr="00180B00" w:rsidRDefault="009B0A69" w:rsidP="00CE2AE9">
            <w:pPr>
              <w:spacing w:line="300" w:lineRule="atLeast"/>
              <w:jc w:val="center"/>
              <w:rPr>
                <w:rFonts w:ascii="Arial" w:hAnsi="Arial" w:cs="Arial"/>
                <w:b/>
                <w:sz w:val="16"/>
                <w:szCs w:val="16"/>
              </w:rPr>
            </w:pPr>
            <w:r>
              <w:rPr>
                <w:rFonts w:ascii="Arial" w:hAnsi="Arial" w:cs="Arial"/>
                <w:b/>
                <w:sz w:val="16"/>
                <w:szCs w:val="16"/>
              </w:rPr>
              <w:t>1</w:t>
            </w:r>
            <w:r w:rsidR="00ED743F">
              <w:rPr>
                <w:rFonts w:ascii="Arial" w:hAnsi="Arial" w:cs="Arial"/>
                <w:b/>
                <w:sz w:val="16"/>
                <w:szCs w:val="16"/>
              </w:rPr>
              <w:t>9</w:t>
            </w:r>
            <w:r>
              <w:rPr>
                <w:rFonts w:ascii="Arial" w:hAnsi="Arial" w:cs="Arial"/>
                <w:b/>
                <w:sz w:val="16"/>
                <w:szCs w:val="16"/>
              </w:rPr>
              <w:t>.</w:t>
            </w:r>
            <w:r w:rsidR="00BB0B0D">
              <w:rPr>
                <w:rFonts w:ascii="Arial" w:hAnsi="Arial" w:cs="Arial"/>
                <w:b/>
                <w:sz w:val="16"/>
                <w:szCs w:val="16"/>
              </w:rPr>
              <w:t>1</w:t>
            </w:r>
          </w:p>
        </w:tc>
        <w:tc>
          <w:tcPr>
            <w:tcW w:w="1090" w:type="dxa"/>
            <w:tcBorders>
              <w:top w:val="double" w:sz="4" w:space="0" w:color="auto"/>
            </w:tcBorders>
          </w:tcPr>
          <w:p w14:paraId="610B420C" w14:textId="6E3DACFB" w:rsidR="009B0A69" w:rsidRPr="00180B00" w:rsidRDefault="00CE2AE9" w:rsidP="00BB0B0D">
            <w:pPr>
              <w:spacing w:line="300" w:lineRule="atLeast"/>
              <w:jc w:val="center"/>
              <w:rPr>
                <w:rFonts w:ascii="Arial" w:hAnsi="Arial" w:cs="Arial"/>
                <w:b/>
                <w:sz w:val="16"/>
                <w:szCs w:val="16"/>
              </w:rPr>
            </w:pPr>
            <w:r>
              <w:rPr>
                <w:rFonts w:ascii="Arial" w:hAnsi="Arial" w:cs="Arial"/>
                <w:b/>
                <w:sz w:val="16"/>
                <w:szCs w:val="16"/>
              </w:rPr>
              <w:t>0.2</w:t>
            </w:r>
          </w:p>
        </w:tc>
        <w:tc>
          <w:tcPr>
            <w:tcW w:w="1090" w:type="dxa"/>
            <w:tcBorders>
              <w:top w:val="double" w:sz="4" w:space="0" w:color="auto"/>
            </w:tcBorders>
          </w:tcPr>
          <w:p w14:paraId="07F1A54C" w14:textId="38BE38CE" w:rsidR="009B0A69" w:rsidRPr="00180B00" w:rsidRDefault="009B0A69" w:rsidP="00ED743F">
            <w:pPr>
              <w:spacing w:line="300" w:lineRule="atLeast"/>
              <w:jc w:val="center"/>
              <w:rPr>
                <w:rFonts w:ascii="Arial" w:hAnsi="Arial" w:cs="Arial"/>
                <w:b/>
                <w:sz w:val="16"/>
                <w:szCs w:val="16"/>
              </w:rPr>
            </w:pPr>
            <w:r>
              <w:rPr>
                <w:rFonts w:ascii="Arial" w:hAnsi="Arial" w:cs="Arial"/>
                <w:b/>
                <w:sz w:val="16"/>
                <w:szCs w:val="16"/>
              </w:rPr>
              <w:t>1.</w:t>
            </w:r>
            <w:r w:rsidR="00CE2AE9">
              <w:rPr>
                <w:rFonts w:ascii="Arial" w:hAnsi="Arial" w:cs="Arial"/>
                <w:b/>
                <w:sz w:val="16"/>
                <w:szCs w:val="16"/>
              </w:rPr>
              <w:t>3</w:t>
            </w:r>
          </w:p>
        </w:tc>
        <w:tc>
          <w:tcPr>
            <w:tcW w:w="1090" w:type="dxa"/>
            <w:tcBorders>
              <w:top w:val="double" w:sz="4" w:space="0" w:color="auto"/>
            </w:tcBorders>
            <w:vAlign w:val="center"/>
          </w:tcPr>
          <w:p w14:paraId="5C5F0D67" w14:textId="547BBFFA" w:rsidR="009B0A69" w:rsidRPr="00180B00" w:rsidRDefault="009B0A69" w:rsidP="00D51729">
            <w:pPr>
              <w:spacing w:line="300" w:lineRule="atLeast"/>
              <w:jc w:val="center"/>
              <w:rPr>
                <w:rFonts w:ascii="Arial" w:hAnsi="Arial" w:cs="Arial"/>
                <w:b/>
                <w:sz w:val="16"/>
                <w:szCs w:val="16"/>
              </w:rPr>
            </w:pPr>
            <w:r>
              <w:rPr>
                <w:rFonts w:ascii="Arial" w:hAnsi="Arial" w:cs="Arial"/>
                <w:b/>
                <w:sz w:val="16"/>
                <w:szCs w:val="16"/>
              </w:rPr>
              <w:t>2.</w:t>
            </w:r>
            <w:r w:rsidR="00BB0B0D">
              <w:rPr>
                <w:rFonts w:ascii="Arial" w:hAnsi="Arial" w:cs="Arial"/>
                <w:b/>
                <w:sz w:val="16"/>
                <w:szCs w:val="16"/>
              </w:rPr>
              <w:t>8</w:t>
            </w:r>
          </w:p>
        </w:tc>
      </w:tr>
      <w:tr w:rsidR="00E11AC9" w14:paraId="6B64C191" w14:textId="77777777" w:rsidTr="00E11AC9">
        <w:tc>
          <w:tcPr>
            <w:tcW w:w="1419" w:type="dxa"/>
          </w:tcPr>
          <w:p w14:paraId="115B8263" w14:textId="77777777" w:rsidR="00E11AC9" w:rsidRPr="00180B00" w:rsidRDefault="00E11AC9" w:rsidP="00D51729">
            <w:pPr>
              <w:spacing w:line="300" w:lineRule="atLeast"/>
              <w:jc w:val="both"/>
              <w:rPr>
                <w:rFonts w:ascii="Arial" w:hAnsi="Arial" w:cs="Arial"/>
                <w:b/>
                <w:sz w:val="16"/>
                <w:szCs w:val="16"/>
              </w:rPr>
            </w:pPr>
            <w:r>
              <w:rPr>
                <w:rFonts w:ascii="Arial" w:hAnsi="Arial" w:cs="Arial"/>
                <w:b/>
                <w:sz w:val="16"/>
                <w:szCs w:val="16"/>
              </w:rPr>
              <w:t>Totals, 2016</w:t>
            </w:r>
          </w:p>
        </w:tc>
        <w:tc>
          <w:tcPr>
            <w:tcW w:w="1197" w:type="dxa"/>
            <w:vAlign w:val="center"/>
          </w:tcPr>
          <w:p w14:paraId="7EA5D26C" w14:textId="77777777" w:rsidR="00E11AC9" w:rsidRPr="00180B00" w:rsidRDefault="00761E39" w:rsidP="00D51729">
            <w:pPr>
              <w:spacing w:line="300" w:lineRule="atLeast"/>
              <w:jc w:val="center"/>
              <w:rPr>
                <w:rFonts w:ascii="Arial" w:hAnsi="Arial" w:cs="Arial"/>
                <w:b/>
                <w:sz w:val="16"/>
                <w:szCs w:val="16"/>
              </w:rPr>
            </w:pPr>
            <w:r>
              <w:rPr>
                <w:rFonts w:ascii="Arial" w:hAnsi="Arial" w:cs="Arial"/>
                <w:b/>
                <w:sz w:val="16"/>
                <w:szCs w:val="16"/>
              </w:rPr>
              <w:t>-</w:t>
            </w:r>
          </w:p>
        </w:tc>
        <w:tc>
          <w:tcPr>
            <w:tcW w:w="1083" w:type="dxa"/>
            <w:vAlign w:val="center"/>
          </w:tcPr>
          <w:p w14:paraId="3A867DDC" w14:textId="77777777" w:rsidR="00E11AC9" w:rsidRPr="00180B00" w:rsidRDefault="00761E39" w:rsidP="00D51729">
            <w:pPr>
              <w:spacing w:line="300" w:lineRule="atLeast"/>
              <w:jc w:val="center"/>
              <w:rPr>
                <w:rFonts w:ascii="Arial" w:hAnsi="Arial" w:cs="Arial"/>
                <w:b/>
                <w:sz w:val="16"/>
                <w:szCs w:val="16"/>
              </w:rPr>
            </w:pPr>
            <w:r>
              <w:rPr>
                <w:rFonts w:ascii="Arial" w:hAnsi="Arial" w:cs="Arial"/>
                <w:b/>
                <w:sz w:val="16"/>
                <w:szCs w:val="16"/>
              </w:rPr>
              <w:t>-</w:t>
            </w:r>
          </w:p>
        </w:tc>
        <w:tc>
          <w:tcPr>
            <w:tcW w:w="1229" w:type="dxa"/>
            <w:vAlign w:val="center"/>
          </w:tcPr>
          <w:p w14:paraId="549727E1" w14:textId="5B4EB6A8" w:rsidR="00E11AC9" w:rsidRDefault="00E11AC9" w:rsidP="00816AED">
            <w:pPr>
              <w:spacing w:line="300" w:lineRule="atLeast"/>
              <w:jc w:val="center"/>
              <w:rPr>
                <w:rFonts w:ascii="Arial" w:hAnsi="Arial" w:cs="Arial"/>
                <w:b/>
                <w:sz w:val="16"/>
                <w:szCs w:val="16"/>
              </w:rPr>
            </w:pPr>
            <w:r>
              <w:rPr>
                <w:rFonts w:ascii="Arial" w:hAnsi="Arial" w:cs="Arial"/>
                <w:b/>
                <w:sz w:val="16"/>
                <w:szCs w:val="16"/>
              </w:rPr>
              <w:t>23.</w:t>
            </w:r>
            <w:r w:rsidR="00816AED">
              <w:rPr>
                <w:rFonts w:ascii="Arial" w:hAnsi="Arial" w:cs="Arial"/>
                <w:b/>
                <w:sz w:val="16"/>
                <w:szCs w:val="16"/>
              </w:rPr>
              <w:t>2</w:t>
            </w:r>
            <w:r w:rsidRPr="00E11AC9">
              <w:rPr>
                <w:rFonts w:ascii="Arial" w:hAnsi="Arial" w:cs="Arial"/>
                <w:sz w:val="16"/>
                <w:szCs w:val="16"/>
                <w:vertAlign w:val="superscript"/>
              </w:rPr>
              <w:t>b</w:t>
            </w:r>
          </w:p>
        </w:tc>
        <w:tc>
          <w:tcPr>
            <w:tcW w:w="1089" w:type="dxa"/>
            <w:vAlign w:val="center"/>
          </w:tcPr>
          <w:p w14:paraId="45E1BD1A" w14:textId="4572CE9D" w:rsidR="00E11AC9" w:rsidRDefault="00E11AC9" w:rsidP="00BB0B0D">
            <w:pPr>
              <w:spacing w:line="300" w:lineRule="atLeast"/>
              <w:jc w:val="center"/>
              <w:rPr>
                <w:rFonts w:ascii="Arial" w:hAnsi="Arial" w:cs="Arial"/>
                <w:b/>
                <w:sz w:val="16"/>
                <w:szCs w:val="16"/>
              </w:rPr>
            </w:pPr>
            <w:r>
              <w:rPr>
                <w:rFonts w:ascii="Arial" w:hAnsi="Arial" w:cs="Arial"/>
                <w:b/>
                <w:sz w:val="16"/>
                <w:szCs w:val="16"/>
              </w:rPr>
              <w:t>19.</w:t>
            </w:r>
            <w:r w:rsidR="00816AED">
              <w:rPr>
                <w:rFonts w:ascii="Arial" w:hAnsi="Arial" w:cs="Arial"/>
                <w:b/>
                <w:sz w:val="16"/>
                <w:szCs w:val="16"/>
              </w:rPr>
              <w:t>1</w:t>
            </w:r>
          </w:p>
        </w:tc>
        <w:tc>
          <w:tcPr>
            <w:tcW w:w="1090" w:type="dxa"/>
          </w:tcPr>
          <w:p w14:paraId="00206A89" w14:textId="563E5F4F" w:rsidR="00E11AC9" w:rsidRDefault="00CE2AE9" w:rsidP="00BB0B0D">
            <w:pPr>
              <w:spacing w:line="300" w:lineRule="atLeast"/>
              <w:jc w:val="center"/>
              <w:rPr>
                <w:rFonts w:ascii="Arial" w:hAnsi="Arial" w:cs="Arial"/>
                <w:b/>
                <w:sz w:val="16"/>
                <w:szCs w:val="16"/>
              </w:rPr>
            </w:pPr>
            <w:r>
              <w:rPr>
                <w:rFonts w:ascii="Arial" w:hAnsi="Arial" w:cs="Arial"/>
                <w:b/>
                <w:sz w:val="16"/>
                <w:szCs w:val="16"/>
              </w:rPr>
              <w:t>0.2</w:t>
            </w:r>
          </w:p>
        </w:tc>
        <w:tc>
          <w:tcPr>
            <w:tcW w:w="1090" w:type="dxa"/>
          </w:tcPr>
          <w:p w14:paraId="76A3C64F" w14:textId="420CFE87" w:rsidR="00E11AC9" w:rsidRDefault="00CE2AE9" w:rsidP="00ED743F">
            <w:pPr>
              <w:spacing w:line="300" w:lineRule="atLeast"/>
              <w:jc w:val="center"/>
              <w:rPr>
                <w:rFonts w:ascii="Arial" w:hAnsi="Arial" w:cs="Arial"/>
                <w:b/>
                <w:sz w:val="16"/>
                <w:szCs w:val="16"/>
              </w:rPr>
            </w:pPr>
            <w:r>
              <w:rPr>
                <w:rFonts w:ascii="Arial" w:hAnsi="Arial" w:cs="Arial"/>
                <w:b/>
                <w:sz w:val="16"/>
                <w:szCs w:val="16"/>
              </w:rPr>
              <w:t>1.1</w:t>
            </w:r>
          </w:p>
        </w:tc>
        <w:tc>
          <w:tcPr>
            <w:tcW w:w="1090" w:type="dxa"/>
            <w:vAlign w:val="center"/>
          </w:tcPr>
          <w:p w14:paraId="03FBBBEA" w14:textId="558B1A46" w:rsidR="00E11AC9" w:rsidRDefault="00CE2AE9" w:rsidP="00D51729">
            <w:pPr>
              <w:spacing w:line="300" w:lineRule="atLeast"/>
              <w:jc w:val="center"/>
              <w:rPr>
                <w:rFonts w:ascii="Arial" w:hAnsi="Arial" w:cs="Arial"/>
                <w:b/>
                <w:sz w:val="16"/>
                <w:szCs w:val="16"/>
              </w:rPr>
            </w:pPr>
            <w:r>
              <w:rPr>
                <w:rFonts w:ascii="Arial" w:hAnsi="Arial" w:cs="Arial"/>
                <w:b/>
                <w:sz w:val="16"/>
                <w:szCs w:val="16"/>
              </w:rPr>
              <w:t>2.8</w:t>
            </w:r>
          </w:p>
        </w:tc>
      </w:tr>
    </w:tbl>
    <w:p w14:paraId="1362D569" w14:textId="77777777" w:rsidR="00D47F06" w:rsidRDefault="00D47F06" w:rsidP="00D47F06">
      <w:pPr>
        <w:tabs>
          <w:tab w:val="left" w:pos="851"/>
          <w:tab w:val="left" w:pos="1134"/>
        </w:tabs>
        <w:spacing w:before="120" w:line="300" w:lineRule="atLeast"/>
        <w:jc w:val="both"/>
        <w:rPr>
          <w:szCs w:val="18"/>
        </w:rPr>
      </w:pPr>
      <w:r>
        <w:rPr>
          <w:szCs w:val="18"/>
        </w:rPr>
        <w:t>Notes:</w:t>
      </w:r>
      <w:r>
        <w:rPr>
          <w:szCs w:val="18"/>
        </w:rPr>
        <w:tab/>
      </w:r>
      <w:proofErr w:type="gramStart"/>
      <w:r>
        <w:rPr>
          <w:szCs w:val="18"/>
        </w:rPr>
        <w:t>a</w:t>
      </w:r>
      <w:proofErr w:type="gramEnd"/>
      <w:r>
        <w:rPr>
          <w:szCs w:val="18"/>
        </w:rPr>
        <w:t xml:space="preserve"> </w:t>
      </w:r>
      <w:r>
        <w:rPr>
          <w:szCs w:val="18"/>
        </w:rPr>
        <w:tab/>
      </w:r>
      <w:proofErr w:type="spellStart"/>
      <w:r w:rsidR="006C6CDF">
        <w:rPr>
          <w:szCs w:val="18"/>
        </w:rPr>
        <w:t>a</w:t>
      </w:r>
      <w:proofErr w:type="spellEnd"/>
      <w:r w:rsidR="006C6CDF">
        <w:rPr>
          <w:szCs w:val="18"/>
        </w:rPr>
        <w:t xml:space="preserve"> </w:t>
      </w:r>
      <w:r>
        <w:rPr>
          <w:szCs w:val="18"/>
        </w:rPr>
        <w:t xml:space="preserve">further </w:t>
      </w:r>
      <w:r w:rsidR="00C653E2">
        <w:rPr>
          <w:szCs w:val="18"/>
        </w:rPr>
        <w:t>5.04</w:t>
      </w:r>
      <w:r w:rsidR="00E11AC9">
        <w:rPr>
          <w:szCs w:val="18"/>
        </w:rPr>
        <w:t xml:space="preserve"> kg wa</w:t>
      </w:r>
      <w:r>
        <w:rPr>
          <w:szCs w:val="18"/>
        </w:rPr>
        <w:t>s removed through exports</w:t>
      </w:r>
      <w:r w:rsidR="00E11AC9">
        <w:rPr>
          <w:szCs w:val="18"/>
        </w:rPr>
        <w:t xml:space="preserve"> in 2012, and 5.39 kg in 2016</w:t>
      </w:r>
      <w:r>
        <w:rPr>
          <w:szCs w:val="18"/>
        </w:rPr>
        <w:t>.</w:t>
      </w:r>
    </w:p>
    <w:p w14:paraId="51A1C8D4" w14:textId="122FC04E" w:rsidR="00D47F06" w:rsidRDefault="00004D1A" w:rsidP="00D47F06">
      <w:pPr>
        <w:tabs>
          <w:tab w:val="left" w:pos="851"/>
          <w:tab w:val="left" w:pos="1134"/>
        </w:tabs>
        <w:spacing w:before="120" w:line="300" w:lineRule="atLeast"/>
        <w:ind w:left="1134" w:hanging="1134"/>
        <w:jc w:val="both"/>
        <w:rPr>
          <w:szCs w:val="18"/>
        </w:rPr>
      </w:pPr>
      <w:r>
        <w:rPr>
          <w:szCs w:val="18"/>
        </w:rPr>
        <w:tab/>
      </w:r>
      <w:proofErr w:type="gramStart"/>
      <w:r>
        <w:rPr>
          <w:szCs w:val="18"/>
        </w:rPr>
        <w:t>b</w:t>
      </w:r>
      <w:proofErr w:type="gramEnd"/>
      <w:r>
        <w:rPr>
          <w:szCs w:val="18"/>
        </w:rPr>
        <w:tab/>
      </w:r>
      <w:r w:rsidR="00D47F06">
        <w:rPr>
          <w:szCs w:val="18"/>
        </w:rPr>
        <w:t xml:space="preserve">individual inputs do not add up to this total because </w:t>
      </w:r>
      <w:r w:rsidR="009B0A69">
        <w:rPr>
          <w:szCs w:val="18"/>
        </w:rPr>
        <w:t>5</w:t>
      </w:r>
      <w:r w:rsidR="00D47F06">
        <w:rPr>
          <w:szCs w:val="18"/>
        </w:rPr>
        <w:t xml:space="preserve">9% of the refining input </w:t>
      </w:r>
      <w:r w:rsidR="00C653E2" w:rsidRPr="00C653E2">
        <w:rPr>
          <w:szCs w:val="18"/>
        </w:rPr>
        <w:t>(11.09 kg/</w:t>
      </w:r>
      <w:proofErr w:type="spellStart"/>
      <w:r w:rsidR="00C653E2" w:rsidRPr="00C653E2">
        <w:rPr>
          <w:szCs w:val="18"/>
        </w:rPr>
        <w:t>yr</w:t>
      </w:r>
      <w:proofErr w:type="spellEnd"/>
      <w:r w:rsidR="00C653E2" w:rsidRPr="00C653E2">
        <w:rPr>
          <w:szCs w:val="18"/>
        </w:rPr>
        <w:t>) carries over into the oil use inputs</w:t>
      </w:r>
      <w:r w:rsidR="00C653E2">
        <w:rPr>
          <w:szCs w:val="18"/>
        </w:rPr>
        <w:t>.</w:t>
      </w:r>
    </w:p>
    <w:p w14:paraId="46A242E2" w14:textId="77777777" w:rsidR="005120F2" w:rsidRPr="00BE17CF" w:rsidRDefault="005120F2" w:rsidP="005120F2">
      <w:pPr>
        <w:spacing w:before="120" w:line="300" w:lineRule="atLeast"/>
        <w:jc w:val="both"/>
        <w:rPr>
          <w:rFonts w:ascii="Arial" w:hAnsi="Arial" w:cs="Arial"/>
          <w:b/>
          <w:szCs w:val="18"/>
        </w:rPr>
      </w:pPr>
      <w:r w:rsidRPr="00BE17CF">
        <w:rPr>
          <w:rFonts w:ascii="Arial" w:hAnsi="Arial" w:cs="Arial"/>
          <w:b/>
          <w:szCs w:val="18"/>
        </w:rPr>
        <w:t xml:space="preserve">Certainty </w:t>
      </w:r>
      <w:r w:rsidR="00A97D5C" w:rsidRPr="00BE17CF">
        <w:rPr>
          <w:rFonts w:ascii="Arial" w:hAnsi="Arial" w:cs="Arial"/>
          <w:b/>
          <w:szCs w:val="18"/>
        </w:rPr>
        <w:t>assessment</w:t>
      </w:r>
    </w:p>
    <w:p w14:paraId="59ECB815" w14:textId="77777777" w:rsidR="005120F2" w:rsidRDefault="005120F2" w:rsidP="005120F2">
      <w:pPr>
        <w:tabs>
          <w:tab w:val="left" w:pos="1985"/>
        </w:tabs>
        <w:spacing w:line="300" w:lineRule="atLeast"/>
        <w:jc w:val="both"/>
        <w:rPr>
          <w:szCs w:val="18"/>
        </w:rPr>
      </w:pPr>
      <w:r>
        <w:rPr>
          <w:szCs w:val="18"/>
        </w:rPr>
        <w:t xml:space="preserve">Activity data: </w:t>
      </w:r>
      <w:r>
        <w:rPr>
          <w:szCs w:val="18"/>
        </w:rPr>
        <w:tab/>
        <w:t>HIGH (because it was obtained from a national database)</w:t>
      </w:r>
    </w:p>
    <w:p w14:paraId="695EF19E" w14:textId="77777777" w:rsidR="005120F2" w:rsidRDefault="005120F2" w:rsidP="005120F2">
      <w:pPr>
        <w:tabs>
          <w:tab w:val="left" w:pos="1985"/>
        </w:tabs>
        <w:spacing w:line="300" w:lineRule="atLeast"/>
        <w:jc w:val="both"/>
        <w:rPr>
          <w:szCs w:val="18"/>
        </w:rPr>
      </w:pPr>
      <w:r>
        <w:rPr>
          <w:szCs w:val="18"/>
        </w:rPr>
        <w:t xml:space="preserve">Input estimates: </w:t>
      </w:r>
      <w:r>
        <w:rPr>
          <w:szCs w:val="18"/>
        </w:rPr>
        <w:tab/>
        <w:t xml:space="preserve">LOW (because they are based on </w:t>
      </w:r>
      <w:r w:rsidR="009B0A69" w:rsidRPr="009B0A69">
        <w:rPr>
          <w:szCs w:val="18"/>
        </w:rPr>
        <w:t xml:space="preserve">the default Toolkit </w:t>
      </w:r>
      <w:r w:rsidR="009B0A69">
        <w:rPr>
          <w:szCs w:val="18"/>
        </w:rPr>
        <w:t>input</w:t>
      </w:r>
      <w:r w:rsidR="009B0A69" w:rsidRPr="009B0A69">
        <w:rPr>
          <w:szCs w:val="18"/>
        </w:rPr>
        <w:t xml:space="preserve"> factors</w:t>
      </w:r>
      <w:r>
        <w:rPr>
          <w:szCs w:val="18"/>
        </w:rPr>
        <w:t>)</w:t>
      </w:r>
    </w:p>
    <w:p w14:paraId="7A681B21" w14:textId="77777777" w:rsidR="005120F2" w:rsidRPr="0028681C" w:rsidRDefault="005120F2" w:rsidP="005120F2">
      <w:pPr>
        <w:tabs>
          <w:tab w:val="left" w:pos="1985"/>
        </w:tabs>
        <w:spacing w:line="300" w:lineRule="atLeast"/>
        <w:jc w:val="both"/>
        <w:rPr>
          <w:szCs w:val="18"/>
        </w:rPr>
      </w:pPr>
      <w:r>
        <w:rPr>
          <w:szCs w:val="18"/>
        </w:rPr>
        <w:t xml:space="preserve">Output estimates: </w:t>
      </w:r>
      <w:r>
        <w:rPr>
          <w:szCs w:val="18"/>
        </w:rPr>
        <w:tab/>
        <w:t>LOW (because they are based on the default Toolkit output factors).</w:t>
      </w:r>
    </w:p>
    <w:p w14:paraId="5BB8200F" w14:textId="77777777" w:rsidR="00004D1A" w:rsidRDefault="00004D1A">
      <w:pPr>
        <w:spacing w:after="0"/>
        <w:rPr>
          <w:rFonts w:ascii="Arial" w:hAnsi="Arial"/>
          <w:b/>
          <w:sz w:val="24"/>
        </w:rPr>
      </w:pPr>
      <w:r>
        <w:br w:type="page"/>
      </w:r>
    </w:p>
    <w:p w14:paraId="06E5ADF0" w14:textId="4CF12F80" w:rsidR="009048D3" w:rsidRPr="003833D6" w:rsidRDefault="00A97D5C" w:rsidP="00FC7CA3">
      <w:pPr>
        <w:pStyle w:val="Heading2"/>
      </w:pPr>
      <w:bookmarkStart w:id="35" w:name="_Toc484949569"/>
      <w:r>
        <w:lastRenderedPageBreak/>
        <w:t>Natural gas - e</w:t>
      </w:r>
      <w:r w:rsidR="00FC7CA3">
        <w:t xml:space="preserve">xtraction, refining and </w:t>
      </w:r>
      <w:r>
        <w:t>use</w:t>
      </w:r>
      <w:bookmarkEnd w:id="35"/>
    </w:p>
    <w:p w14:paraId="344E87DC" w14:textId="77777777" w:rsidR="009048D3" w:rsidRDefault="00D51729" w:rsidP="009048D3">
      <w:pPr>
        <w:spacing w:line="300" w:lineRule="atLeast"/>
        <w:jc w:val="both"/>
        <w:rPr>
          <w:szCs w:val="18"/>
        </w:rPr>
      </w:pPr>
      <w:r>
        <w:rPr>
          <w:szCs w:val="18"/>
        </w:rPr>
        <w:t xml:space="preserve">As with mineral oils, the mercury releases </w:t>
      </w:r>
      <w:r w:rsidR="00D52C67">
        <w:rPr>
          <w:szCs w:val="18"/>
        </w:rPr>
        <w:t>from natural gas are considered through all three stages of gas extraction, processing and use.</w:t>
      </w:r>
    </w:p>
    <w:p w14:paraId="43BEDB30" w14:textId="664DB59A" w:rsidR="00791A3A" w:rsidRPr="00791A3A" w:rsidRDefault="00791A3A" w:rsidP="009048D3">
      <w:pPr>
        <w:spacing w:line="300" w:lineRule="atLeast"/>
        <w:jc w:val="both"/>
        <w:rPr>
          <w:rFonts w:ascii="Arial" w:hAnsi="Arial" w:cs="Arial"/>
          <w:b/>
          <w:szCs w:val="18"/>
        </w:rPr>
      </w:pPr>
      <w:r w:rsidRPr="00791A3A">
        <w:rPr>
          <w:rFonts w:ascii="Arial" w:hAnsi="Arial" w:cs="Arial"/>
          <w:b/>
          <w:szCs w:val="18"/>
        </w:rPr>
        <w:t xml:space="preserve">Gas </w:t>
      </w:r>
      <w:r w:rsidR="002661DB" w:rsidRPr="00791A3A">
        <w:rPr>
          <w:rFonts w:ascii="Arial" w:hAnsi="Arial" w:cs="Arial"/>
          <w:b/>
          <w:szCs w:val="18"/>
        </w:rPr>
        <w:t>extraction</w:t>
      </w:r>
      <w:r w:rsidR="00003755">
        <w:rPr>
          <w:rFonts w:ascii="Arial" w:hAnsi="Arial" w:cs="Arial"/>
          <w:b/>
          <w:szCs w:val="18"/>
        </w:rPr>
        <w:t>,</w:t>
      </w:r>
      <w:r w:rsidR="002661DB" w:rsidRPr="00791A3A">
        <w:rPr>
          <w:rFonts w:ascii="Arial" w:hAnsi="Arial" w:cs="Arial"/>
          <w:b/>
          <w:szCs w:val="18"/>
        </w:rPr>
        <w:t xml:space="preserve"> processing</w:t>
      </w:r>
      <w:r w:rsidR="00003755">
        <w:rPr>
          <w:rFonts w:ascii="Arial" w:hAnsi="Arial" w:cs="Arial"/>
          <w:b/>
          <w:szCs w:val="18"/>
        </w:rPr>
        <w:t xml:space="preserve"> and use</w:t>
      </w:r>
    </w:p>
    <w:p w14:paraId="0BEB993B" w14:textId="77777777" w:rsidR="00791A3A" w:rsidRPr="003833D6" w:rsidRDefault="00D52C67" w:rsidP="009048D3">
      <w:pPr>
        <w:spacing w:line="300" w:lineRule="atLeast"/>
        <w:jc w:val="both"/>
        <w:rPr>
          <w:szCs w:val="18"/>
        </w:rPr>
      </w:pPr>
      <w:r>
        <w:rPr>
          <w:szCs w:val="18"/>
        </w:rPr>
        <w:t xml:space="preserve">Natural gas is produced from the same </w:t>
      </w:r>
      <w:r w:rsidR="000B6546">
        <w:rPr>
          <w:szCs w:val="18"/>
        </w:rPr>
        <w:t>19</w:t>
      </w:r>
      <w:r w:rsidR="00791A3A">
        <w:rPr>
          <w:szCs w:val="18"/>
        </w:rPr>
        <w:t xml:space="preserve"> fields </w:t>
      </w:r>
      <w:r>
        <w:rPr>
          <w:szCs w:val="18"/>
        </w:rPr>
        <w:t>as noted previously for oil (</w:t>
      </w:r>
      <w:r w:rsidR="000B6546">
        <w:rPr>
          <w:szCs w:val="18"/>
        </w:rPr>
        <w:t>MBIE, 2016</w:t>
      </w:r>
      <w:r>
        <w:rPr>
          <w:szCs w:val="18"/>
        </w:rPr>
        <w:t xml:space="preserve">). About </w:t>
      </w:r>
      <w:r w:rsidR="000B6546">
        <w:rPr>
          <w:szCs w:val="18"/>
        </w:rPr>
        <w:t>88</w:t>
      </w:r>
      <w:r w:rsidR="00791A3A">
        <w:rPr>
          <w:szCs w:val="18"/>
        </w:rPr>
        <w:t>%</w:t>
      </w:r>
      <w:r>
        <w:rPr>
          <w:szCs w:val="18"/>
        </w:rPr>
        <w:t xml:space="preserve"> of the gas production </w:t>
      </w:r>
      <w:r w:rsidR="00791A3A">
        <w:rPr>
          <w:szCs w:val="18"/>
        </w:rPr>
        <w:t xml:space="preserve">comes from </w:t>
      </w:r>
      <w:r>
        <w:rPr>
          <w:szCs w:val="18"/>
        </w:rPr>
        <w:t xml:space="preserve">the </w:t>
      </w:r>
      <w:r w:rsidR="00791A3A" w:rsidRPr="00791A3A">
        <w:rPr>
          <w:szCs w:val="18"/>
        </w:rPr>
        <w:t xml:space="preserve">Maui, </w:t>
      </w:r>
      <w:proofErr w:type="spellStart"/>
      <w:r w:rsidR="00791A3A" w:rsidRPr="00791A3A">
        <w:rPr>
          <w:szCs w:val="18"/>
        </w:rPr>
        <w:t>Pohokura</w:t>
      </w:r>
      <w:proofErr w:type="spellEnd"/>
      <w:r w:rsidR="00791A3A" w:rsidRPr="00791A3A">
        <w:rPr>
          <w:szCs w:val="18"/>
        </w:rPr>
        <w:t xml:space="preserve">, </w:t>
      </w:r>
      <w:proofErr w:type="spellStart"/>
      <w:r w:rsidR="00791A3A">
        <w:rPr>
          <w:szCs w:val="18"/>
        </w:rPr>
        <w:t>Kapuni</w:t>
      </w:r>
      <w:proofErr w:type="spellEnd"/>
      <w:r w:rsidR="00791A3A">
        <w:rPr>
          <w:szCs w:val="18"/>
        </w:rPr>
        <w:t>,</w:t>
      </w:r>
      <w:r w:rsidR="00791A3A" w:rsidRPr="00791A3A">
        <w:rPr>
          <w:szCs w:val="18"/>
        </w:rPr>
        <w:t xml:space="preserve"> </w:t>
      </w:r>
      <w:proofErr w:type="spellStart"/>
      <w:r w:rsidR="000B6546">
        <w:rPr>
          <w:szCs w:val="18"/>
        </w:rPr>
        <w:t>Mangahewa</w:t>
      </w:r>
      <w:proofErr w:type="spellEnd"/>
      <w:r w:rsidR="00791A3A" w:rsidRPr="00791A3A">
        <w:rPr>
          <w:szCs w:val="18"/>
        </w:rPr>
        <w:t xml:space="preserve"> and Kupe</w:t>
      </w:r>
      <w:r>
        <w:rPr>
          <w:szCs w:val="18"/>
        </w:rPr>
        <w:t xml:space="preserve"> fields, and the total </w:t>
      </w:r>
      <w:r w:rsidR="00643666">
        <w:rPr>
          <w:szCs w:val="18"/>
        </w:rPr>
        <w:t xml:space="preserve">gas </w:t>
      </w:r>
      <w:r w:rsidR="00791A3A">
        <w:rPr>
          <w:szCs w:val="18"/>
        </w:rPr>
        <w:t xml:space="preserve">production </w:t>
      </w:r>
      <w:r>
        <w:rPr>
          <w:szCs w:val="18"/>
        </w:rPr>
        <w:t>in 201</w:t>
      </w:r>
      <w:r w:rsidR="000B6546">
        <w:rPr>
          <w:szCs w:val="18"/>
        </w:rPr>
        <w:t>6</w:t>
      </w:r>
      <w:r>
        <w:rPr>
          <w:szCs w:val="18"/>
        </w:rPr>
        <w:t xml:space="preserve"> from all fields was </w:t>
      </w:r>
      <w:r w:rsidR="000B6546">
        <w:rPr>
          <w:szCs w:val="18"/>
        </w:rPr>
        <w:t>5,557</w:t>
      </w:r>
      <w:r w:rsidR="00643666">
        <w:rPr>
          <w:szCs w:val="18"/>
        </w:rPr>
        <w:t xml:space="preserve"> mi</w:t>
      </w:r>
      <w:r w:rsidR="00791A3A">
        <w:rPr>
          <w:szCs w:val="18"/>
        </w:rPr>
        <w:t xml:space="preserve">llion </w:t>
      </w:r>
      <w:r>
        <w:rPr>
          <w:szCs w:val="18"/>
        </w:rPr>
        <w:t>cubic metres (M</w:t>
      </w:r>
      <w:r w:rsidR="00791A3A">
        <w:rPr>
          <w:szCs w:val="18"/>
        </w:rPr>
        <w:t>m</w:t>
      </w:r>
      <w:r w:rsidR="00791A3A" w:rsidRPr="00D52C67">
        <w:rPr>
          <w:szCs w:val="18"/>
          <w:vertAlign w:val="superscript"/>
        </w:rPr>
        <w:t>3</w:t>
      </w:r>
      <w:r>
        <w:rPr>
          <w:szCs w:val="18"/>
        </w:rPr>
        <w:t xml:space="preserve">), with an energy content of </w:t>
      </w:r>
      <w:r w:rsidR="000B6546">
        <w:rPr>
          <w:szCs w:val="18"/>
        </w:rPr>
        <w:t>22</w:t>
      </w:r>
      <w:r w:rsidR="00791A3A">
        <w:rPr>
          <w:szCs w:val="18"/>
        </w:rPr>
        <w:t>1 PJ</w:t>
      </w:r>
      <w:r>
        <w:rPr>
          <w:szCs w:val="18"/>
        </w:rPr>
        <w:t xml:space="preserve">.  </w:t>
      </w:r>
      <w:r w:rsidR="000B6546">
        <w:rPr>
          <w:szCs w:val="18"/>
        </w:rPr>
        <w:t>This is 23% up on the 4,642 million cubic metres (Mm</w:t>
      </w:r>
      <w:r w:rsidR="000B6546" w:rsidRPr="00D52C67">
        <w:rPr>
          <w:szCs w:val="18"/>
          <w:vertAlign w:val="superscript"/>
        </w:rPr>
        <w:t>3</w:t>
      </w:r>
      <w:r w:rsidR="000B6546">
        <w:rPr>
          <w:szCs w:val="18"/>
        </w:rPr>
        <w:t>), or 180 PJ produced in 2012. The n</w:t>
      </w:r>
      <w:r w:rsidR="00791A3A">
        <w:rPr>
          <w:szCs w:val="18"/>
        </w:rPr>
        <w:t xml:space="preserve">et </w:t>
      </w:r>
      <w:r w:rsidR="000B6546">
        <w:rPr>
          <w:szCs w:val="18"/>
        </w:rPr>
        <w:t xml:space="preserve">gas </w:t>
      </w:r>
      <w:r w:rsidR="00791A3A">
        <w:rPr>
          <w:szCs w:val="18"/>
        </w:rPr>
        <w:t xml:space="preserve">production </w:t>
      </w:r>
      <w:r>
        <w:rPr>
          <w:szCs w:val="18"/>
        </w:rPr>
        <w:t xml:space="preserve">is </w:t>
      </w:r>
      <w:r w:rsidR="00545273">
        <w:rPr>
          <w:szCs w:val="18"/>
        </w:rPr>
        <w:t xml:space="preserve">only </w:t>
      </w:r>
      <w:r>
        <w:rPr>
          <w:szCs w:val="18"/>
        </w:rPr>
        <w:t xml:space="preserve">about </w:t>
      </w:r>
      <w:r w:rsidR="000B6546">
        <w:rPr>
          <w:szCs w:val="18"/>
        </w:rPr>
        <w:t>87</w:t>
      </w:r>
      <w:r w:rsidR="00545273">
        <w:rPr>
          <w:szCs w:val="18"/>
        </w:rPr>
        <w:t xml:space="preserve">% </w:t>
      </w:r>
      <w:r w:rsidR="000B6546">
        <w:rPr>
          <w:szCs w:val="18"/>
        </w:rPr>
        <w:t>of these</w:t>
      </w:r>
      <w:r>
        <w:rPr>
          <w:szCs w:val="18"/>
        </w:rPr>
        <w:t xml:space="preserve"> total</w:t>
      </w:r>
      <w:r w:rsidR="000B6546">
        <w:rPr>
          <w:szCs w:val="18"/>
        </w:rPr>
        <w:t>s</w:t>
      </w:r>
      <w:r>
        <w:rPr>
          <w:szCs w:val="18"/>
        </w:rPr>
        <w:t xml:space="preserve"> </w:t>
      </w:r>
      <w:r w:rsidR="00545273">
        <w:rPr>
          <w:szCs w:val="18"/>
        </w:rPr>
        <w:t xml:space="preserve">due </w:t>
      </w:r>
      <w:r w:rsidR="00CF349C">
        <w:rPr>
          <w:szCs w:val="18"/>
        </w:rPr>
        <w:t xml:space="preserve">to </w:t>
      </w:r>
      <w:r>
        <w:rPr>
          <w:szCs w:val="18"/>
        </w:rPr>
        <w:t xml:space="preserve">losses from </w:t>
      </w:r>
      <w:r w:rsidR="00643666">
        <w:rPr>
          <w:szCs w:val="18"/>
        </w:rPr>
        <w:t xml:space="preserve">reinjection, flaring, </w:t>
      </w:r>
      <w:r>
        <w:rPr>
          <w:szCs w:val="18"/>
        </w:rPr>
        <w:t xml:space="preserve">and other </w:t>
      </w:r>
      <w:r w:rsidR="00643666">
        <w:rPr>
          <w:szCs w:val="18"/>
        </w:rPr>
        <w:t xml:space="preserve">production </w:t>
      </w:r>
      <w:r>
        <w:rPr>
          <w:szCs w:val="18"/>
        </w:rPr>
        <w:t>processes.</w:t>
      </w:r>
    </w:p>
    <w:p w14:paraId="68622946" w14:textId="77777777" w:rsidR="007B3AFA" w:rsidRDefault="000B6546" w:rsidP="000B6546">
      <w:pPr>
        <w:spacing w:line="300" w:lineRule="atLeast"/>
        <w:jc w:val="both"/>
        <w:rPr>
          <w:szCs w:val="18"/>
        </w:rPr>
      </w:pPr>
      <w:r>
        <w:rPr>
          <w:szCs w:val="18"/>
        </w:rPr>
        <w:t>A</w:t>
      </w:r>
      <w:r w:rsidR="00CF349C">
        <w:rPr>
          <w:szCs w:val="18"/>
        </w:rPr>
        <w:t xml:space="preserve"> limited amount of data </w:t>
      </w:r>
      <w:r>
        <w:rPr>
          <w:szCs w:val="18"/>
        </w:rPr>
        <w:t>for</w:t>
      </w:r>
      <w:r w:rsidR="00CF349C">
        <w:rPr>
          <w:szCs w:val="18"/>
        </w:rPr>
        <w:t xml:space="preserve"> the mercury content of New Zealand natural gas</w:t>
      </w:r>
      <w:r>
        <w:rPr>
          <w:szCs w:val="18"/>
        </w:rPr>
        <w:t xml:space="preserve"> </w:t>
      </w:r>
      <w:r w:rsidR="00AA00ED">
        <w:rPr>
          <w:szCs w:val="18"/>
        </w:rPr>
        <w:t>was used for calculating the input estimates for</w:t>
      </w:r>
      <w:r>
        <w:rPr>
          <w:szCs w:val="18"/>
        </w:rPr>
        <w:t xml:space="preserve"> the 2012 Inventory Report</w:t>
      </w:r>
      <w:r w:rsidR="00AA00ED">
        <w:rPr>
          <w:szCs w:val="18"/>
        </w:rPr>
        <w:t xml:space="preserve">. Applying the same </w:t>
      </w:r>
      <w:r w:rsidR="00185747">
        <w:rPr>
          <w:szCs w:val="18"/>
        </w:rPr>
        <w:t>factor</w:t>
      </w:r>
      <w:r w:rsidR="00905AF0">
        <w:rPr>
          <w:szCs w:val="18"/>
        </w:rPr>
        <w:t>s</w:t>
      </w:r>
      <w:r w:rsidR="00185747">
        <w:rPr>
          <w:szCs w:val="18"/>
        </w:rPr>
        <w:t xml:space="preserve"> to the </w:t>
      </w:r>
      <w:r w:rsidR="00AA00ED">
        <w:rPr>
          <w:szCs w:val="18"/>
        </w:rPr>
        <w:t xml:space="preserve">2016 </w:t>
      </w:r>
      <w:r w:rsidR="00185747">
        <w:rPr>
          <w:szCs w:val="18"/>
        </w:rPr>
        <w:t xml:space="preserve">gas volumes gives a total mercury input of </w:t>
      </w:r>
      <w:r>
        <w:rPr>
          <w:szCs w:val="18"/>
        </w:rPr>
        <w:t>between</w:t>
      </w:r>
      <w:r w:rsidR="00AA00ED">
        <w:rPr>
          <w:szCs w:val="18"/>
        </w:rPr>
        <w:t xml:space="preserve"> 0.56 and 445 kg</w:t>
      </w:r>
      <w:r w:rsidR="00905AF0">
        <w:rPr>
          <w:szCs w:val="18"/>
        </w:rPr>
        <w:t xml:space="preserve">, with a mid-range value of </w:t>
      </w:r>
      <w:r w:rsidR="00AA00ED">
        <w:rPr>
          <w:szCs w:val="18"/>
        </w:rPr>
        <w:t>223 kg for 2016</w:t>
      </w:r>
      <w:r w:rsidR="00905AF0">
        <w:rPr>
          <w:szCs w:val="18"/>
        </w:rPr>
        <w:t>.</w:t>
      </w:r>
      <w:r w:rsidR="000A547E">
        <w:rPr>
          <w:szCs w:val="18"/>
        </w:rPr>
        <w:t xml:space="preserve"> </w:t>
      </w:r>
    </w:p>
    <w:p w14:paraId="18D64F27" w14:textId="3F192895" w:rsidR="00D86AD2" w:rsidRDefault="00AA00ED" w:rsidP="009048D3">
      <w:pPr>
        <w:spacing w:line="300" w:lineRule="atLeast"/>
        <w:jc w:val="both"/>
        <w:rPr>
          <w:szCs w:val="18"/>
        </w:rPr>
      </w:pPr>
      <w:r>
        <w:rPr>
          <w:szCs w:val="18"/>
        </w:rPr>
        <w:t xml:space="preserve">The Toolkit notes that where natural gas is used as an industrial feedstock, there is a requirement for low residual levels of mercury to prevent problems such as catalyst poisoning and deterioration of aluminium surfaces.  In addition, treatment processes designed for hydrogen sulphide removal will also be effective in removing mercury.  Consequently the output factors given by the Toolkit for gas processing with mercury removal are appropriate </w:t>
      </w:r>
      <w:r w:rsidR="00AF655E">
        <w:rPr>
          <w:szCs w:val="18"/>
        </w:rPr>
        <w:t xml:space="preserve">as a starting point </w:t>
      </w:r>
      <w:r>
        <w:rPr>
          <w:szCs w:val="18"/>
        </w:rPr>
        <w:t xml:space="preserve">for </w:t>
      </w:r>
      <w:r w:rsidR="00AF655E">
        <w:rPr>
          <w:szCs w:val="18"/>
        </w:rPr>
        <w:t xml:space="preserve">the </w:t>
      </w:r>
      <w:r>
        <w:rPr>
          <w:szCs w:val="18"/>
        </w:rPr>
        <w:t>New Zealand</w:t>
      </w:r>
      <w:r w:rsidR="00AF655E">
        <w:rPr>
          <w:szCs w:val="18"/>
        </w:rPr>
        <w:t xml:space="preserve"> distribution calculations</w:t>
      </w:r>
      <w:r w:rsidR="00661D0D">
        <w:rPr>
          <w:szCs w:val="18"/>
        </w:rPr>
        <w:t xml:space="preserve">. </w:t>
      </w:r>
      <w:r>
        <w:rPr>
          <w:szCs w:val="18"/>
        </w:rPr>
        <w:t>These assume that 10% of mercury in the gas is discharged to air, 20% to water, 10% in product and 60% in wastes</w:t>
      </w:r>
      <w:r w:rsidR="00AF655E">
        <w:rPr>
          <w:szCs w:val="18"/>
        </w:rPr>
        <w:t>.</w:t>
      </w:r>
      <w:r w:rsidR="00661D0D">
        <w:rPr>
          <w:szCs w:val="18"/>
        </w:rPr>
        <w:t xml:space="preserve"> However, when the product gas is used (by burning) the mercury in the product is discharged to air. Hence the overall distribution becomes 20% to both air and water and 60% to waste.</w:t>
      </w:r>
    </w:p>
    <w:p w14:paraId="654ACC9B" w14:textId="77777777" w:rsidR="000C24FE" w:rsidRPr="00500691" w:rsidRDefault="000C24FE" w:rsidP="000C24FE">
      <w:pPr>
        <w:spacing w:line="300" w:lineRule="atLeast"/>
        <w:jc w:val="both"/>
        <w:rPr>
          <w:rFonts w:ascii="Arial" w:hAnsi="Arial" w:cs="Arial"/>
          <w:b/>
          <w:szCs w:val="18"/>
        </w:rPr>
      </w:pPr>
      <w:r w:rsidRPr="00500691">
        <w:rPr>
          <w:rFonts w:ascii="Arial" w:hAnsi="Arial" w:cs="Arial"/>
          <w:b/>
          <w:szCs w:val="18"/>
        </w:rPr>
        <w:t>Input and output estimates</w:t>
      </w:r>
    </w:p>
    <w:p w14:paraId="01984A3A" w14:textId="6AA26A7D" w:rsidR="000C24FE" w:rsidRDefault="000C24FE" w:rsidP="000C24FE">
      <w:pPr>
        <w:spacing w:line="300" w:lineRule="atLeast"/>
        <w:jc w:val="both"/>
        <w:rPr>
          <w:szCs w:val="18"/>
        </w:rPr>
      </w:pPr>
      <w:r w:rsidRPr="005120F2">
        <w:rPr>
          <w:szCs w:val="18"/>
        </w:rPr>
        <w:t xml:space="preserve">The mercury input and output calculations for </w:t>
      </w:r>
      <w:r>
        <w:rPr>
          <w:szCs w:val="18"/>
        </w:rPr>
        <w:t>Natural Gas – Extraction, Refining and Use</w:t>
      </w:r>
      <w:r w:rsidRPr="005120F2">
        <w:rPr>
          <w:szCs w:val="18"/>
        </w:rPr>
        <w:t xml:space="preserve"> are </w:t>
      </w:r>
      <w:r>
        <w:rPr>
          <w:szCs w:val="18"/>
        </w:rPr>
        <w:t>summarised</w:t>
      </w:r>
      <w:r w:rsidRPr="005120F2">
        <w:rPr>
          <w:szCs w:val="18"/>
        </w:rPr>
        <w:t xml:space="preserve"> in</w:t>
      </w:r>
      <w:r w:rsidR="006C2851">
        <w:rPr>
          <w:szCs w:val="18"/>
        </w:rPr>
        <w:t xml:space="preserve"> Table 3-5.</w:t>
      </w:r>
    </w:p>
    <w:p w14:paraId="1AB7A339" w14:textId="77777777" w:rsidR="009048D3" w:rsidRDefault="000C24FE" w:rsidP="005A3C18">
      <w:pPr>
        <w:pStyle w:val="Caption"/>
        <w:spacing w:before="240"/>
        <w:rPr>
          <w:rFonts w:eastAsia="Calibri"/>
          <w:szCs w:val="18"/>
        </w:rPr>
      </w:pPr>
      <w:bookmarkStart w:id="36" w:name="_Ref358350432"/>
      <w:bookmarkStart w:id="37" w:name="_Toc484949641"/>
      <w:r w:rsidRPr="000C24FE">
        <w:rPr>
          <w:rFonts w:ascii="Arial" w:hAnsi="Arial" w:cs="Arial"/>
        </w:rPr>
        <w:t xml:space="preserve">Table </w:t>
      </w:r>
      <w:r w:rsidR="00390C9F">
        <w:rPr>
          <w:rFonts w:ascii="Arial" w:hAnsi="Arial" w:cs="Arial"/>
        </w:rPr>
        <w:fldChar w:fldCharType="begin"/>
      </w:r>
      <w:r w:rsidR="00390C9F">
        <w:rPr>
          <w:rFonts w:ascii="Arial" w:hAnsi="Arial" w:cs="Arial"/>
        </w:rPr>
        <w:instrText xml:space="preserve"> STYLEREF 1 \s </w:instrText>
      </w:r>
      <w:r w:rsidR="00390C9F">
        <w:rPr>
          <w:rFonts w:ascii="Arial" w:hAnsi="Arial" w:cs="Arial"/>
        </w:rPr>
        <w:fldChar w:fldCharType="separate"/>
      </w:r>
      <w:r w:rsidR="00423FC9">
        <w:rPr>
          <w:rFonts w:ascii="Arial" w:hAnsi="Arial" w:cs="Arial"/>
          <w:noProof/>
        </w:rPr>
        <w:t>3</w:t>
      </w:r>
      <w:r w:rsidR="00390C9F">
        <w:rPr>
          <w:rFonts w:ascii="Arial" w:hAnsi="Arial" w:cs="Arial"/>
        </w:rPr>
        <w:fldChar w:fldCharType="end"/>
      </w:r>
      <w:r w:rsidR="00390C9F">
        <w:rPr>
          <w:rFonts w:ascii="Arial" w:hAnsi="Arial" w:cs="Arial"/>
        </w:rPr>
        <w:noBreakHyphen/>
      </w:r>
      <w:r w:rsidR="00390C9F">
        <w:rPr>
          <w:rFonts w:ascii="Arial" w:hAnsi="Arial" w:cs="Arial"/>
        </w:rPr>
        <w:fldChar w:fldCharType="begin"/>
      </w:r>
      <w:r w:rsidR="00390C9F">
        <w:rPr>
          <w:rFonts w:ascii="Arial" w:hAnsi="Arial" w:cs="Arial"/>
        </w:rPr>
        <w:instrText xml:space="preserve"> SEQ Table \* ARABIC \s 1 </w:instrText>
      </w:r>
      <w:r w:rsidR="00390C9F">
        <w:rPr>
          <w:rFonts w:ascii="Arial" w:hAnsi="Arial" w:cs="Arial"/>
        </w:rPr>
        <w:fldChar w:fldCharType="separate"/>
      </w:r>
      <w:r w:rsidR="00423FC9">
        <w:rPr>
          <w:rFonts w:ascii="Arial" w:hAnsi="Arial" w:cs="Arial"/>
          <w:noProof/>
        </w:rPr>
        <w:t>5</w:t>
      </w:r>
      <w:r w:rsidR="00390C9F">
        <w:rPr>
          <w:rFonts w:ascii="Arial" w:hAnsi="Arial" w:cs="Arial"/>
        </w:rPr>
        <w:fldChar w:fldCharType="end"/>
      </w:r>
      <w:bookmarkEnd w:id="36"/>
      <w:r w:rsidRPr="000C24FE">
        <w:rPr>
          <w:rFonts w:ascii="Arial" w:hAnsi="Arial" w:cs="Arial"/>
        </w:rPr>
        <w:t>:</w:t>
      </w:r>
      <w:r>
        <w:t xml:space="preserve"> </w:t>
      </w:r>
      <w:r w:rsidRPr="00284760">
        <w:rPr>
          <w:rFonts w:ascii="Arial" w:hAnsi="Arial" w:cs="Arial"/>
        </w:rPr>
        <w:t>Input and output estimates for</w:t>
      </w:r>
      <w:r>
        <w:rPr>
          <w:rFonts w:ascii="Arial" w:hAnsi="Arial" w:cs="Arial"/>
        </w:rPr>
        <w:t xml:space="preserve"> </w:t>
      </w:r>
      <w:r w:rsidR="002661DB">
        <w:rPr>
          <w:rFonts w:ascii="Arial" w:hAnsi="Arial" w:cs="Arial"/>
        </w:rPr>
        <w:t>natural gas</w:t>
      </w:r>
      <w:r>
        <w:rPr>
          <w:rFonts w:ascii="Arial" w:hAnsi="Arial" w:cs="Arial"/>
        </w:rPr>
        <w:t xml:space="preserve"> - extraction, refining and use</w:t>
      </w:r>
      <w:bookmarkEnd w:id="37"/>
    </w:p>
    <w:tbl>
      <w:tblPr>
        <w:tblStyle w:val="TableGrid"/>
        <w:tblW w:w="0" w:type="auto"/>
        <w:tblLook w:val="04A0" w:firstRow="1" w:lastRow="0" w:firstColumn="1" w:lastColumn="0" w:noHBand="0" w:noVBand="1"/>
      </w:tblPr>
      <w:tblGrid>
        <w:gridCol w:w="1382"/>
        <w:gridCol w:w="850"/>
        <w:gridCol w:w="1012"/>
        <w:gridCol w:w="1275"/>
        <w:gridCol w:w="1108"/>
        <w:gridCol w:w="1156"/>
        <w:gridCol w:w="1161"/>
        <w:gridCol w:w="1117"/>
      </w:tblGrid>
      <w:tr w:rsidR="00925EA1" w14:paraId="612B09AF" w14:textId="77777777" w:rsidTr="00661D0D">
        <w:trPr>
          <w:trHeight w:val="776"/>
        </w:trPr>
        <w:tc>
          <w:tcPr>
            <w:tcW w:w="1382" w:type="dxa"/>
            <w:vMerge w:val="restart"/>
            <w:vAlign w:val="center"/>
          </w:tcPr>
          <w:p w14:paraId="11FD7AA8" w14:textId="77777777" w:rsidR="00925EA1" w:rsidRPr="00F31685" w:rsidRDefault="00925EA1" w:rsidP="00A4689B">
            <w:pPr>
              <w:spacing w:line="300" w:lineRule="atLeast"/>
              <w:jc w:val="center"/>
              <w:rPr>
                <w:rFonts w:ascii="Arial" w:hAnsi="Arial" w:cs="Arial"/>
                <w:b/>
                <w:sz w:val="16"/>
                <w:szCs w:val="16"/>
              </w:rPr>
            </w:pPr>
            <w:r w:rsidRPr="00F31685">
              <w:rPr>
                <w:rFonts w:ascii="Arial" w:hAnsi="Arial" w:cs="Arial"/>
                <w:b/>
                <w:sz w:val="16"/>
                <w:szCs w:val="16"/>
              </w:rPr>
              <w:t>Source</w:t>
            </w:r>
          </w:p>
        </w:tc>
        <w:tc>
          <w:tcPr>
            <w:tcW w:w="850" w:type="dxa"/>
            <w:vMerge w:val="restart"/>
            <w:vAlign w:val="center"/>
          </w:tcPr>
          <w:p w14:paraId="4457344E" w14:textId="77777777" w:rsidR="00925EA1" w:rsidRPr="00F31685" w:rsidRDefault="00925EA1" w:rsidP="00925EA1">
            <w:pPr>
              <w:spacing w:line="300" w:lineRule="atLeast"/>
              <w:jc w:val="center"/>
              <w:rPr>
                <w:rFonts w:ascii="Arial" w:hAnsi="Arial" w:cs="Arial"/>
                <w:b/>
                <w:sz w:val="16"/>
                <w:szCs w:val="16"/>
              </w:rPr>
            </w:pPr>
            <w:r w:rsidRPr="00F31685">
              <w:rPr>
                <w:rFonts w:ascii="Arial" w:hAnsi="Arial" w:cs="Arial"/>
                <w:b/>
                <w:sz w:val="16"/>
                <w:szCs w:val="16"/>
              </w:rPr>
              <w:t xml:space="preserve">Activity Rate, </w:t>
            </w:r>
            <w:r>
              <w:rPr>
                <w:rFonts w:ascii="Arial" w:hAnsi="Arial" w:cs="Arial"/>
                <w:b/>
                <w:sz w:val="16"/>
                <w:szCs w:val="16"/>
              </w:rPr>
              <w:t>Mm</w:t>
            </w:r>
            <w:r w:rsidRPr="00925EA1">
              <w:rPr>
                <w:rFonts w:ascii="Arial" w:hAnsi="Arial" w:cs="Arial"/>
                <w:b/>
                <w:sz w:val="16"/>
                <w:szCs w:val="16"/>
                <w:vertAlign w:val="superscript"/>
              </w:rPr>
              <w:t>3</w:t>
            </w:r>
            <w:r w:rsidRPr="00F31685">
              <w:rPr>
                <w:rFonts w:ascii="Arial" w:hAnsi="Arial" w:cs="Arial"/>
                <w:b/>
                <w:sz w:val="16"/>
                <w:szCs w:val="16"/>
              </w:rPr>
              <w:t>/</w:t>
            </w:r>
            <w:proofErr w:type="spellStart"/>
            <w:r w:rsidRPr="00F31685">
              <w:rPr>
                <w:rFonts w:ascii="Arial" w:hAnsi="Arial" w:cs="Arial"/>
                <w:b/>
                <w:sz w:val="16"/>
                <w:szCs w:val="16"/>
              </w:rPr>
              <w:t>yr</w:t>
            </w:r>
            <w:proofErr w:type="spellEnd"/>
          </w:p>
        </w:tc>
        <w:tc>
          <w:tcPr>
            <w:tcW w:w="1012" w:type="dxa"/>
            <w:vMerge w:val="restart"/>
            <w:vAlign w:val="center"/>
          </w:tcPr>
          <w:p w14:paraId="607E73CB" w14:textId="77777777" w:rsidR="00925EA1" w:rsidRPr="00F31685" w:rsidRDefault="00925EA1" w:rsidP="00A4689B">
            <w:pPr>
              <w:spacing w:line="300" w:lineRule="atLeast"/>
              <w:jc w:val="center"/>
              <w:rPr>
                <w:rFonts w:ascii="Arial" w:hAnsi="Arial" w:cs="Arial"/>
                <w:b/>
                <w:sz w:val="16"/>
                <w:szCs w:val="16"/>
              </w:rPr>
            </w:pPr>
            <w:r>
              <w:rPr>
                <w:rFonts w:ascii="Arial" w:hAnsi="Arial" w:cs="Arial"/>
                <w:b/>
                <w:sz w:val="16"/>
                <w:szCs w:val="16"/>
              </w:rPr>
              <w:t>Mercury content, µg/m</w:t>
            </w:r>
            <w:r w:rsidRPr="00925EA1">
              <w:rPr>
                <w:rFonts w:ascii="Arial" w:hAnsi="Arial" w:cs="Arial"/>
                <w:b/>
                <w:sz w:val="16"/>
                <w:szCs w:val="16"/>
                <w:vertAlign w:val="superscript"/>
              </w:rPr>
              <w:t>3</w:t>
            </w:r>
          </w:p>
        </w:tc>
        <w:tc>
          <w:tcPr>
            <w:tcW w:w="1275" w:type="dxa"/>
            <w:vMerge w:val="restart"/>
            <w:vAlign w:val="center"/>
          </w:tcPr>
          <w:p w14:paraId="6E2D1C51" w14:textId="77777777" w:rsidR="00925EA1" w:rsidRPr="00F31685" w:rsidRDefault="00925EA1" w:rsidP="00A4689B">
            <w:pPr>
              <w:spacing w:line="300" w:lineRule="atLeast"/>
              <w:jc w:val="center"/>
              <w:rPr>
                <w:rFonts w:ascii="Arial" w:hAnsi="Arial" w:cs="Arial"/>
                <w:b/>
                <w:sz w:val="16"/>
                <w:szCs w:val="16"/>
              </w:rPr>
            </w:pPr>
            <w:r w:rsidRPr="00F31685">
              <w:rPr>
                <w:rFonts w:ascii="Arial" w:hAnsi="Arial" w:cs="Arial"/>
                <w:b/>
                <w:sz w:val="16"/>
                <w:szCs w:val="16"/>
              </w:rPr>
              <w:t>Annual Mercury Inputs, kg/</w:t>
            </w:r>
            <w:proofErr w:type="spellStart"/>
            <w:r w:rsidRPr="00F31685">
              <w:rPr>
                <w:rFonts w:ascii="Arial" w:hAnsi="Arial" w:cs="Arial"/>
                <w:b/>
                <w:sz w:val="16"/>
                <w:szCs w:val="16"/>
              </w:rPr>
              <w:t>yr</w:t>
            </w:r>
            <w:proofErr w:type="spellEnd"/>
          </w:p>
        </w:tc>
        <w:tc>
          <w:tcPr>
            <w:tcW w:w="4542" w:type="dxa"/>
            <w:gridSpan w:val="4"/>
            <w:vAlign w:val="center"/>
          </w:tcPr>
          <w:p w14:paraId="53A44D01" w14:textId="77777777" w:rsidR="00925EA1" w:rsidRPr="00F31685" w:rsidRDefault="00925EA1" w:rsidP="00A4689B">
            <w:pPr>
              <w:spacing w:line="300" w:lineRule="atLeast"/>
              <w:jc w:val="center"/>
              <w:rPr>
                <w:rFonts w:ascii="Arial" w:hAnsi="Arial" w:cs="Arial"/>
                <w:b/>
                <w:sz w:val="16"/>
                <w:szCs w:val="16"/>
              </w:rPr>
            </w:pPr>
            <w:r w:rsidRPr="009B0A69">
              <w:rPr>
                <w:rFonts w:ascii="Arial" w:hAnsi="Arial" w:cs="Arial"/>
                <w:b/>
                <w:sz w:val="16"/>
                <w:szCs w:val="16"/>
              </w:rPr>
              <w:t>Annual Mercury Outputs, kg/</w:t>
            </w:r>
            <w:proofErr w:type="spellStart"/>
            <w:r w:rsidRPr="009B0A69">
              <w:rPr>
                <w:rFonts w:ascii="Arial" w:hAnsi="Arial" w:cs="Arial"/>
                <w:b/>
                <w:sz w:val="16"/>
                <w:szCs w:val="16"/>
              </w:rPr>
              <w:t>yr</w:t>
            </w:r>
            <w:proofErr w:type="spellEnd"/>
          </w:p>
        </w:tc>
      </w:tr>
      <w:tr w:rsidR="00661D0D" w14:paraId="2BD17307" w14:textId="77777777" w:rsidTr="00661D0D">
        <w:tc>
          <w:tcPr>
            <w:tcW w:w="1382" w:type="dxa"/>
            <w:vMerge/>
            <w:vAlign w:val="center"/>
          </w:tcPr>
          <w:p w14:paraId="4B1F751C" w14:textId="77777777" w:rsidR="00925EA1" w:rsidRPr="00F31685" w:rsidRDefault="00925EA1" w:rsidP="00A4689B">
            <w:pPr>
              <w:spacing w:line="300" w:lineRule="atLeast"/>
              <w:jc w:val="center"/>
              <w:rPr>
                <w:rFonts w:ascii="Arial" w:hAnsi="Arial" w:cs="Arial"/>
                <w:b/>
                <w:sz w:val="16"/>
                <w:szCs w:val="16"/>
              </w:rPr>
            </w:pPr>
          </w:p>
        </w:tc>
        <w:tc>
          <w:tcPr>
            <w:tcW w:w="850" w:type="dxa"/>
            <w:vMerge/>
            <w:vAlign w:val="center"/>
          </w:tcPr>
          <w:p w14:paraId="10DC9AA7" w14:textId="77777777" w:rsidR="00925EA1" w:rsidRPr="00F31685" w:rsidRDefault="00925EA1" w:rsidP="00A4689B">
            <w:pPr>
              <w:spacing w:line="300" w:lineRule="atLeast"/>
              <w:jc w:val="center"/>
              <w:rPr>
                <w:rFonts w:ascii="Arial" w:hAnsi="Arial" w:cs="Arial"/>
                <w:b/>
                <w:sz w:val="16"/>
                <w:szCs w:val="16"/>
              </w:rPr>
            </w:pPr>
          </w:p>
        </w:tc>
        <w:tc>
          <w:tcPr>
            <w:tcW w:w="1012" w:type="dxa"/>
            <w:vMerge/>
            <w:vAlign w:val="center"/>
          </w:tcPr>
          <w:p w14:paraId="7A25A639" w14:textId="77777777" w:rsidR="00925EA1" w:rsidRPr="00F31685" w:rsidRDefault="00925EA1" w:rsidP="00A4689B">
            <w:pPr>
              <w:spacing w:line="300" w:lineRule="atLeast"/>
              <w:jc w:val="center"/>
              <w:rPr>
                <w:rFonts w:ascii="Arial" w:hAnsi="Arial" w:cs="Arial"/>
                <w:b/>
                <w:sz w:val="16"/>
                <w:szCs w:val="16"/>
              </w:rPr>
            </w:pPr>
          </w:p>
        </w:tc>
        <w:tc>
          <w:tcPr>
            <w:tcW w:w="1275" w:type="dxa"/>
            <w:vMerge/>
            <w:vAlign w:val="center"/>
          </w:tcPr>
          <w:p w14:paraId="1166C355" w14:textId="77777777" w:rsidR="00925EA1" w:rsidRPr="00F31685" w:rsidRDefault="00925EA1" w:rsidP="00A4689B">
            <w:pPr>
              <w:spacing w:line="300" w:lineRule="atLeast"/>
              <w:jc w:val="center"/>
              <w:rPr>
                <w:rFonts w:ascii="Arial" w:hAnsi="Arial" w:cs="Arial"/>
                <w:b/>
                <w:sz w:val="16"/>
                <w:szCs w:val="16"/>
              </w:rPr>
            </w:pPr>
          </w:p>
        </w:tc>
        <w:tc>
          <w:tcPr>
            <w:tcW w:w="1108" w:type="dxa"/>
            <w:vAlign w:val="center"/>
          </w:tcPr>
          <w:p w14:paraId="2E6059A3" w14:textId="77777777" w:rsidR="00925EA1" w:rsidRPr="00F31685" w:rsidRDefault="00925EA1" w:rsidP="00A4689B">
            <w:pPr>
              <w:spacing w:line="300" w:lineRule="atLeast"/>
              <w:jc w:val="center"/>
              <w:rPr>
                <w:rFonts w:ascii="Arial" w:hAnsi="Arial" w:cs="Arial"/>
                <w:b/>
                <w:sz w:val="16"/>
                <w:szCs w:val="16"/>
              </w:rPr>
            </w:pPr>
            <w:r w:rsidRPr="00F31685">
              <w:rPr>
                <w:rFonts w:ascii="Arial" w:hAnsi="Arial" w:cs="Arial"/>
                <w:b/>
                <w:sz w:val="16"/>
                <w:szCs w:val="16"/>
              </w:rPr>
              <w:t>Air</w:t>
            </w:r>
          </w:p>
        </w:tc>
        <w:tc>
          <w:tcPr>
            <w:tcW w:w="1156" w:type="dxa"/>
            <w:vAlign w:val="center"/>
          </w:tcPr>
          <w:p w14:paraId="415BA02D" w14:textId="77777777" w:rsidR="00925EA1" w:rsidRPr="00F31685" w:rsidRDefault="00925EA1" w:rsidP="00A4689B">
            <w:pPr>
              <w:spacing w:line="300" w:lineRule="atLeast"/>
              <w:jc w:val="center"/>
              <w:rPr>
                <w:rFonts w:ascii="Arial" w:hAnsi="Arial" w:cs="Arial"/>
                <w:b/>
                <w:sz w:val="16"/>
                <w:szCs w:val="16"/>
              </w:rPr>
            </w:pPr>
            <w:r>
              <w:rPr>
                <w:rFonts w:ascii="Arial" w:hAnsi="Arial" w:cs="Arial"/>
                <w:b/>
                <w:sz w:val="16"/>
                <w:szCs w:val="16"/>
              </w:rPr>
              <w:t>Water</w:t>
            </w:r>
          </w:p>
        </w:tc>
        <w:tc>
          <w:tcPr>
            <w:tcW w:w="1161" w:type="dxa"/>
            <w:vAlign w:val="center"/>
          </w:tcPr>
          <w:p w14:paraId="731CAFA4" w14:textId="77777777" w:rsidR="00925EA1" w:rsidRDefault="002661DB" w:rsidP="00A4689B">
            <w:pPr>
              <w:spacing w:line="300" w:lineRule="atLeast"/>
              <w:jc w:val="center"/>
              <w:rPr>
                <w:rFonts w:ascii="Arial" w:hAnsi="Arial" w:cs="Arial"/>
                <w:b/>
                <w:sz w:val="16"/>
                <w:szCs w:val="16"/>
              </w:rPr>
            </w:pPr>
            <w:r>
              <w:rPr>
                <w:rFonts w:ascii="Arial" w:hAnsi="Arial" w:cs="Arial"/>
                <w:b/>
                <w:sz w:val="16"/>
                <w:szCs w:val="16"/>
              </w:rPr>
              <w:t>Waste</w:t>
            </w:r>
          </w:p>
        </w:tc>
        <w:tc>
          <w:tcPr>
            <w:tcW w:w="1117" w:type="dxa"/>
            <w:vAlign w:val="center"/>
          </w:tcPr>
          <w:p w14:paraId="2E8B29DB" w14:textId="77777777" w:rsidR="00925EA1" w:rsidRPr="00F31685" w:rsidRDefault="002661DB" w:rsidP="002661DB">
            <w:pPr>
              <w:spacing w:line="300" w:lineRule="atLeast"/>
              <w:jc w:val="center"/>
              <w:rPr>
                <w:rFonts w:ascii="Arial" w:hAnsi="Arial" w:cs="Arial"/>
                <w:b/>
                <w:sz w:val="16"/>
                <w:szCs w:val="16"/>
              </w:rPr>
            </w:pPr>
            <w:r>
              <w:rPr>
                <w:rFonts w:ascii="Arial" w:hAnsi="Arial" w:cs="Arial"/>
                <w:b/>
                <w:sz w:val="16"/>
                <w:szCs w:val="16"/>
              </w:rPr>
              <w:t>Product</w:t>
            </w:r>
          </w:p>
        </w:tc>
      </w:tr>
      <w:tr w:rsidR="00661D0D" w14:paraId="52F1C46A" w14:textId="77777777" w:rsidTr="00003755">
        <w:tc>
          <w:tcPr>
            <w:tcW w:w="1382" w:type="dxa"/>
            <w:tcBorders>
              <w:bottom w:val="single" w:sz="4" w:space="0" w:color="auto"/>
            </w:tcBorders>
          </w:tcPr>
          <w:p w14:paraId="1D369D6D" w14:textId="6C5E8A31" w:rsidR="00925EA1" w:rsidRPr="00F31685" w:rsidRDefault="00661D0D" w:rsidP="00661D0D">
            <w:pPr>
              <w:spacing w:line="300" w:lineRule="atLeast"/>
              <w:jc w:val="both"/>
              <w:rPr>
                <w:rFonts w:ascii="Arial" w:hAnsi="Arial" w:cs="Arial"/>
                <w:sz w:val="16"/>
                <w:szCs w:val="16"/>
              </w:rPr>
            </w:pPr>
            <w:r>
              <w:rPr>
                <w:rFonts w:ascii="Arial" w:hAnsi="Arial" w:cs="Arial"/>
                <w:sz w:val="16"/>
                <w:szCs w:val="16"/>
              </w:rPr>
              <w:t xml:space="preserve">Gas </w:t>
            </w:r>
            <w:r w:rsidR="000D4F26">
              <w:rPr>
                <w:rFonts w:ascii="Arial" w:hAnsi="Arial" w:cs="Arial"/>
                <w:sz w:val="16"/>
                <w:szCs w:val="16"/>
              </w:rPr>
              <w:t>E</w:t>
            </w:r>
            <w:r w:rsidR="00925EA1">
              <w:rPr>
                <w:rFonts w:ascii="Arial" w:hAnsi="Arial" w:cs="Arial"/>
                <w:sz w:val="16"/>
                <w:szCs w:val="16"/>
              </w:rPr>
              <w:t>xtraction</w:t>
            </w:r>
            <w:r>
              <w:rPr>
                <w:rFonts w:ascii="Arial" w:hAnsi="Arial" w:cs="Arial"/>
                <w:sz w:val="16"/>
                <w:szCs w:val="16"/>
              </w:rPr>
              <w:t xml:space="preserve"> and Use</w:t>
            </w:r>
            <w:r w:rsidR="000D4F26">
              <w:rPr>
                <w:rFonts w:ascii="Arial" w:hAnsi="Arial" w:cs="Arial"/>
                <w:sz w:val="16"/>
                <w:szCs w:val="16"/>
              </w:rPr>
              <w:t>, 2012</w:t>
            </w:r>
          </w:p>
        </w:tc>
        <w:tc>
          <w:tcPr>
            <w:tcW w:w="850" w:type="dxa"/>
            <w:tcBorders>
              <w:bottom w:val="single" w:sz="4" w:space="0" w:color="auto"/>
            </w:tcBorders>
            <w:vAlign w:val="center"/>
          </w:tcPr>
          <w:p w14:paraId="534215D2" w14:textId="77777777" w:rsidR="00925EA1" w:rsidRPr="00F31685" w:rsidRDefault="00925EA1" w:rsidP="00A96144">
            <w:pPr>
              <w:spacing w:line="300" w:lineRule="atLeast"/>
              <w:jc w:val="center"/>
              <w:rPr>
                <w:rFonts w:ascii="Arial" w:hAnsi="Arial" w:cs="Arial"/>
                <w:sz w:val="16"/>
                <w:szCs w:val="16"/>
              </w:rPr>
            </w:pPr>
            <w:r>
              <w:rPr>
                <w:rFonts w:ascii="Arial" w:hAnsi="Arial" w:cs="Arial"/>
                <w:sz w:val="16"/>
                <w:szCs w:val="16"/>
              </w:rPr>
              <w:t>4,</w:t>
            </w:r>
            <w:r w:rsidR="00A96144">
              <w:rPr>
                <w:rFonts w:ascii="Arial" w:hAnsi="Arial" w:cs="Arial"/>
                <w:sz w:val="16"/>
                <w:szCs w:val="16"/>
              </w:rPr>
              <w:t>642</w:t>
            </w:r>
          </w:p>
        </w:tc>
        <w:tc>
          <w:tcPr>
            <w:tcW w:w="1012" w:type="dxa"/>
            <w:tcBorders>
              <w:bottom w:val="single" w:sz="4" w:space="0" w:color="auto"/>
            </w:tcBorders>
            <w:vAlign w:val="center"/>
          </w:tcPr>
          <w:p w14:paraId="294BEE1C" w14:textId="77777777" w:rsidR="00925EA1" w:rsidRPr="00F31685" w:rsidRDefault="00A96144" w:rsidP="00A4689B">
            <w:pPr>
              <w:spacing w:line="300" w:lineRule="atLeast"/>
              <w:jc w:val="center"/>
              <w:rPr>
                <w:rFonts w:ascii="Arial" w:hAnsi="Arial" w:cs="Arial"/>
                <w:sz w:val="16"/>
                <w:szCs w:val="16"/>
              </w:rPr>
            </w:pPr>
            <w:r>
              <w:rPr>
                <w:rFonts w:ascii="Arial" w:hAnsi="Arial" w:cs="Arial"/>
                <w:sz w:val="16"/>
                <w:szCs w:val="16"/>
              </w:rPr>
              <w:t>0.1 - 80</w:t>
            </w:r>
          </w:p>
        </w:tc>
        <w:tc>
          <w:tcPr>
            <w:tcW w:w="1275" w:type="dxa"/>
            <w:tcBorders>
              <w:bottom w:val="single" w:sz="4" w:space="0" w:color="auto"/>
            </w:tcBorders>
            <w:vAlign w:val="center"/>
          </w:tcPr>
          <w:p w14:paraId="60FA7353" w14:textId="4E3CB993" w:rsidR="00925EA1" w:rsidRPr="00F31685" w:rsidRDefault="00A96144" w:rsidP="00A4689B">
            <w:pPr>
              <w:spacing w:line="300" w:lineRule="atLeast"/>
              <w:jc w:val="center"/>
              <w:rPr>
                <w:rFonts w:ascii="Arial" w:hAnsi="Arial" w:cs="Arial"/>
                <w:sz w:val="16"/>
                <w:szCs w:val="16"/>
              </w:rPr>
            </w:pPr>
            <w:r>
              <w:rPr>
                <w:rFonts w:ascii="Arial" w:hAnsi="Arial" w:cs="Arial"/>
                <w:sz w:val="16"/>
                <w:szCs w:val="16"/>
              </w:rPr>
              <w:t>0.46 – 371.4</w:t>
            </w:r>
            <w:r w:rsidR="00003755">
              <w:rPr>
                <w:rFonts w:ascii="Arial" w:hAnsi="Arial" w:cs="Arial"/>
                <w:sz w:val="16"/>
                <w:szCs w:val="16"/>
              </w:rPr>
              <w:t xml:space="preserve"> (185.9)</w:t>
            </w:r>
          </w:p>
        </w:tc>
        <w:tc>
          <w:tcPr>
            <w:tcW w:w="1108" w:type="dxa"/>
            <w:tcBorders>
              <w:bottom w:val="single" w:sz="4" w:space="0" w:color="auto"/>
            </w:tcBorders>
            <w:vAlign w:val="center"/>
          </w:tcPr>
          <w:p w14:paraId="0327181D" w14:textId="0AA81412" w:rsidR="00925EA1" w:rsidRPr="00F31685" w:rsidRDefault="00A96144" w:rsidP="00A4689B">
            <w:pPr>
              <w:spacing w:line="300" w:lineRule="atLeast"/>
              <w:jc w:val="center"/>
              <w:rPr>
                <w:rFonts w:ascii="Arial" w:hAnsi="Arial" w:cs="Arial"/>
                <w:sz w:val="16"/>
                <w:szCs w:val="16"/>
              </w:rPr>
            </w:pPr>
            <w:r>
              <w:rPr>
                <w:rFonts w:ascii="Arial" w:hAnsi="Arial" w:cs="Arial"/>
                <w:sz w:val="16"/>
                <w:szCs w:val="16"/>
              </w:rPr>
              <w:t>0.09 – 74.3</w:t>
            </w:r>
            <w:r w:rsidR="00003755">
              <w:rPr>
                <w:rFonts w:ascii="Arial" w:hAnsi="Arial" w:cs="Arial"/>
                <w:sz w:val="16"/>
                <w:szCs w:val="16"/>
              </w:rPr>
              <w:t xml:space="preserve"> (37.2)</w:t>
            </w:r>
          </w:p>
        </w:tc>
        <w:tc>
          <w:tcPr>
            <w:tcW w:w="1156" w:type="dxa"/>
            <w:tcBorders>
              <w:bottom w:val="single" w:sz="4" w:space="0" w:color="auto"/>
            </w:tcBorders>
            <w:vAlign w:val="center"/>
          </w:tcPr>
          <w:p w14:paraId="0DD4C5AA" w14:textId="6D16BDF1" w:rsidR="00925EA1" w:rsidRPr="00F31685" w:rsidRDefault="00A96144" w:rsidP="00A96144">
            <w:pPr>
              <w:spacing w:line="300" w:lineRule="atLeast"/>
              <w:jc w:val="center"/>
              <w:rPr>
                <w:rFonts w:ascii="Arial" w:hAnsi="Arial" w:cs="Arial"/>
                <w:sz w:val="16"/>
                <w:szCs w:val="16"/>
              </w:rPr>
            </w:pPr>
            <w:r>
              <w:rPr>
                <w:rFonts w:ascii="Arial" w:hAnsi="Arial" w:cs="Arial"/>
                <w:sz w:val="16"/>
                <w:szCs w:val="16"/>
              </w:rPr>
              <w:t>0.09 – 74.3</w:t>
            </w:r>
            <w:r w:rsidR="00003755">
              <w:rPr>
                <w:rFonts w:ascii="Arial" w:hAnsi="Arial" w:cs="Arial"/>
                <w:sz w:val="16"/>
                <w:szCs w:val="16"/>
              </w:rPr>
              <w:t xml:space="preserve"> (37.2)</w:t>
            </w:r>
          </w:p>
        </w:tc>
        <w:tc>
          <w:tcPr>
            <w:tcW w:w="1161" w:type="dxa"/>
            <w:tcBorders>
              <w:bottom w:val="single" w:sz="4" w:space="0" w:color="auto"/>
            </w:tcBorders>
            <w:vAlign w:val="center"/>
          </w:tcPr>
          <w:p w14:paraId="36AFB5EB" w14:textId="1C81CABA" w:rsidR="00925EA1" w:rsidRDefault="00A96144" w:rsidP="00A96144">
            <w:pPr>
              <w:spacing w:line="300" w:lineRule="atLeast"/>
              <w:jc w:val="center"/>
              <w:rPr>
                <w:rFonts w:ascii="Arial" w:hAnsi="Arial" w:cs="Arial"/>
                <w:sz w:val="16"/>
                <w:szCs w:val="16"/>
              </w:rPr>
            </w:pPr>
            <w:r>
              <w:rPr>
                <w:rFonts w:ascii="Arial" w:hAnsi="Arial" w:cs="Arial"/>
                <w:sz w:val="16"/>
                <w:szCs w:val="16"/>
              </w:rPr>
              <w:t>0.27 – 219.1</w:t>
            </w:r>
            <w:r w:rsidR="00003755">
              <w:rPr>
                <w:rFonts w:ascii="Arial" w:hAnsi="Arial" w:cs="Arial"/>
                <w:sz w:val="16"/>
                <w:szCs w:val="16"/>
              </w:rPr>
              <w:t xml:space="preserve"> (109.7)</w:t>
            </w:r>
          </w:p>
        </w:tc>
        <w:tc>
          <w:tcPr>
            <w:tcW w:w="1117" w:type="dxa"/>
            <w:tcBorders>
              <w:bottom w:val="single" w:sz="4" w:space="0" w:color="auto"/>
            </w:tcBorders>
            <w:vAlign w:val="center"/>
          </w:tcPr>
          <w:p w14:paraId="0DE2DAD5" w14:textId="6B09039D" w:rsidR="00925EA1" w:rsidRPr="00F31685" w:rsidRDefault="00A96144" w:rsidP="00A96144">
            <w:pPr>
              <w:spacing w:line="300" w:lineRule="atLeast"/>
              <w:jc w:val="center"/>
              <w:rPr>
                <w:rFonts w:ascii="Arial" w:hAnsi="Arial" w:cs="Arial"/>
                <w:sz w:val="16"/>
                <w:szCs w:val="16"/>
              </w:rPr>
            </w:pPr>
            <w:r>
              <w:rPr>
                <w:rFonts w:ascii="Arial" w:hAnsi="Arial" w:cs="Arial"/>
                <w:sz w:val="16"/>
                <w:szCs w:val="16"/>
              </w:rPr>
              <w:t>&lt;0.01 – 3.7</w:t>
            </w:r>
            <w:r w:rsidR="00003755" w:rsidRPr="00003755">
              <w:rPr>
                <w:rFonts w:ascii="Arial" w:hAnsi="Arial" w:cs="Arial"/>
                <w:sz w:val="16"/>
                <w:szCs w:val="16"/>
                <w:vertAlign w:val="superscript"/>
              </w:rPr>
              <w:t>a</w:t>
            </w:r>
            <w:r w:rsidR="00003755" w:rsidRPr="00003755">
              <w:rPr>
                <w:rFonts w:ascii="Arial" w:hAnsi="Arial" w:cs="Arial"/>
                <w:sz w:val="16"/>
                <w:szCs w:val="16"/>
              </w:rPr>
              <w:t xml:space="preserve"> </w:t>
            </w:r>
            <w:r w:rsidR="00003755">
              <w:rPr>
                <w:rFonts w:ascii="Arial" w:hAnsi="Arial" w:cs="Arial"/>
                <w:sz w:val="16"/>
                <w:szCs w:val="16"/>
              </w:rPr>
              <w:t>(1.86)</w:t>
            </w:r>
          </w:p>
        </w:tc>
      </w:tr>
      <w:tr w:rsidR="00661D0D" w14:paraId="625B806E" w14:textId="77777777" w:rsidTr="00003755">
        <w:tc>
          <w:tcPr>
            <w:tcW w:w="1382" w:type="dxa"/>
            <w:tcBorders>
              <w:bottom w:val="single" w:sz="4" w:space="0" w:color="auto"/>
            </w:tcBorders>
          </w:tcPr>
          <w:p w14:paraId="200908B3" w14:textId="6E232AD9" w:rsidR="000D4F26" w:rsidRDefault="00661D0D" w:rsidP="00661D0D">
            <w:pPr>
              <w:spacing w:line="300" w:lineRule="atLeast"/>
              <w:jc w:val="both"/>
              <w:rPr>
                <w:rFonts w:ascii="Arial" w:hAnsi="Arial" w:cs="Arial"/>
                <w:sz w:val="16"/>
                <w:szCs w:val="16"/>
              </w:rPr>
            </w:pPr>
            <w:r>
              <w:rPr>
                <w:rFonts w:ascii="Arial" w:hAnsi="Arial" w:cs="Arial"/>
                <w:sz w:val="16"/>
                <w:szCs w:val="16"/>
              </w:rPr>
              <w:t xml:space="preserve">Gas </w:t>
            </w:r>
            <w:r w:rsidR="000D4F26">
              <w:rPr>
                <w:rFonts w:ascii="Arial" w:hAnsi="Arial" w:cs="Arial"/>
                <w:sz w:val="16"/>
                <w:szCs w:val="16"/>
              </w:rPr>
              <w:t>Extraction</w:t>
            </w:r>
            <w:r>
              <w:rPr>
                <w:rFonts w:ascii="Arial" w:hAnsi="Arial" w:cs="Arial"/>
                <w:sz w:val="16"/>
                <w:szCs w:val="16"/>
              </w:rPr>
              <w:t xml:space="preserve"> and Use,</w:t>
            </w:r>
            <w:r w:rsidR="000D4F26">
              <w:rPr>
                <w:rFonts w:ascii="Arial" w:hAnsi="Arial" w:cs="Arial"/>
                <w:sz w:val="16"/>
                <w:szCs w:val="16"/>
              </w:rPr>
              <w:t xml:space="preserve"> 2016</w:t>
            </w:r>
          </w:p>
        </w:tc>
        <w:tc>
          <w:tcPr>
            <w:tcW w:w="850" w:type="dxa"/>
            <w:tcBorders>
              <w:bottom w:val="single" w:sz="4" w:space="0" w:color="auto"/>
            </w:tcBorders>
            <w:vAlign w:val="center"/>
          </w:tcPr>
          <w:p w14:paraId="159F8DFA" w14:textId="77777777" w:rsidR="000D4F26" w:rsidRDefault="000D4F26" w:rsidP="00A96144">
            <w:pPr>
              <w:spacing w:line="300" w:lineRule="atLeast"/>
              <w:jc w:val="center"/>
              <w:rPr>
                <w:rFonts w:ascii="Arial" w:hAnsi="Arial" w:cs="Arial"/>
                <w:sz w:val="16"/>
                <w:szCs w:val="16"/>
              </w:rPr>
            </w:pPr>
            <w:r>
              <w:rPr>
                <w:rFonts w:ascii="Arial" w:hAnsi="Arial" w:cs="Arial"/>
                <w:sz w:val="16"/>
                <w:szCs w:val="16"/>
              </w:rPr>
              <w:t>5,557</w:t>
            </w:r>
          </w:p>
        </w:tc>
        <w:tc>
          <w:tcPr>
            <w:tcW w:w="1012" w:type="dxa"/>
            <w:tcBorders>
              <w:bottom w:val="single" w:sz="4" w:space="0" w:color="auto"/>
            </w:tcBorders>
            <w:vAlign w:val="center"/>
          </w:tcPr>
          <w:p w14:paraId="25166638" w14:textId="77777777" w:rsidR="000D4F26" w:rsidRDefault="000D4F26" w:rsidP="00A4689B">
            <w:pPr>
              <w:spacing w:line="300" w:lineRule="atLeast"/>
              <w:jc w:val="center"/>
              <w:rPr>
                <w:rFonts w:ascii="Arial" w:hAnsi="Arial" w:cs="Arial"/>
                <w:sz w:val="16"/>
                <w:szCs w:val="16"/>
              </w:rPr>
            </w:pPr>
            <w:r>
              <w:rPr>
                <w:rFonts w:ascii="Arial" w:hAnsi="Arial" w:cs="Arial"/>
                <w:sz w:val="16"/>
                <w:szCs w:val="16"/>
              </w:rPr>
              <w:t>0.1 - 80</w:t>
            </w:r>
          </w:p>
        </w:tc>
        <w:tc>
          <w:tcPr>
            <w:tcW w:w="1275" w:type="dxa"/>
            <w:tcBorders>
              <w:bottom w:val="single" w:sz="4" w:space="0" w:color="auto"/>
            </w:tcBorders>
            <w:vAlign w:val="center"/>
          </w:tcPr>
          <w:p w14:paraId="675C473C" w14:textId="49371480" w:rsidR="000D4F26" w:rsidRDefault="000D4F26" w:rsidP="00AA20C4">
            <w:pPr>
              <w:spacing w:line="300" w:lineRule="atLeast"/>
              <w:jc w:val="center"/>
              <w:rPr>
                <w:rFonts w:ascii="Arial" w:hAnsi="Arial" w:cs="Arial"/>
                <w:sz w:val="16"/>
                <w:szCs w:val="16"/>
              </w:rPr>
            </w:pPr>
            <w:r>
              <w:rPr>
                <w:rFonts w:ascii="Arial" w:hAnsi="Arial" w:cs="Arial"/>
                <w:sz w:val="16"/>
                <w:szCs w:val="16"/>
              </w:rPr>
              <w:t xml:space="preserve">0.56 </w:t>
            </w:r>
            <w:r w:rsidR="00AA20C4">
              <w:rPr>
                <w:rFonts w:ascii="Arial" w:hAnsi="Arial" w:cs="Arial"/>
                <w:sz w:val="16"/>
                <w:szCs w:val="16"/>
              </w:rPr>
              <w:t>–</w:t>
            </w:r>
            <w:r>
              <w:rPr>
                <w:rFonts w:ascii="Arial" w:hAnsi="Arial" w:cs="Arial"/>
                <w:sz w:val="16"/>
                <w:szCs w:val="16"/>
              </w:rPr>
              <w:t xml:space="preserve"> 44</w:t>
            </w:r>
            <w:r w:rsidR="00AA20C4">
              <w:rPr>
                <w:rFonts w:ascii="Arial" w:hAnsi="Arial" w:cs="Arial"/>
                <w:sz w:val="16"/>
                <w:szCs w:val="16"/>
              </w:rPr>
              <w:t>4.6</w:t>
            </w:r>
            <w:r w:rsidR="00003755">
              <w:rPr>
                <w:rFonts w:ascii="Arial" w:hAnsi="Arial" w:cs="Arial"/>
                <w:sz w:val="16"/>
                <w:szCs w:val="16"/>
              </w:rPr>
              <w:t xml:space="preserve"> (222.6)</w:t>
            </w:r>
          </w:p>
        </w:tc>
        <w:tc>
          <w:tcPr>
            <w:tcW w:w="1108" w:type="dxa"/>
            <w:tcBorders>
              <w:bottom w:val="single" w:sz="4" w:space="0" w:color="auto"/>
            </w:tcBorders>
            <w:vAlign w:val="center"/>
          </w:tcPr>
          <w:p w14:paraId="5A25C148" w14:textId="5040B2D9" w:rsidR="000D4F26" w:rsidRDefault="00475228" w:rsidP="00A4689B">
            <w:pPr>
              <w:spacing w:line="300" w:lineRule="atLeast"/>
              <w:jc w:val="center"/>
              <w:rPr>
                <w:rFonts w:ascii="Arial" w:hAnsi="Arial" w:cs="Arial"/>
                <w:sz w:val="16"/>
                <w:szCs w:val="16"/>
              </w:rPr>
            </w:pPr>
            <w:r>
              <w:rPr>
                <w:rFonts w:ascii="Arial" w:hAnsi="Arial" w:cs="Arial"/>
                <w:sz w:val="16"/>
                <w:szCs w:val="16"/>
              </w:rPr>
              <w:t>0.1</w:t>
            </w:r>
            <w:r w:rsidR="00003755">
              <w:rPr>
                <w:rFonts w:ascii="Arial" w:hAnsi="Arial" w:cs="Arial"/>
                <w:sz w:val="16"/>
                <w:szCs w:val="16"/>
              </w:rPr>
              <w:t xml:space="preserve"> – 89 (44.5)</w:t>
            </w:r>
          </w:p>
        </w:tc>
        <w:tc>
          <w:tcPr>
            <w:tcW w:w="1156" w:type="dxa"/>
            <w:tcBorders>
              <w:bottom w:val="single" w:sz="4" w:space="0" w:color="auto"/>
            </w:tcBorders>
            <w:vAlign w:val="center"/>
          </w:tcPr>
          <w:p w14:paraId="7574C3FD" w14:textId="4D07866B" w:rsidR="000D4F26" w:rsidRDefault="00475228" w:rsidP="00A96144">
            <w:pPr>
              <w:spacing w:line="300" w:lineRule="atLeast"/>
              <w:jc w:val="center"/>
              <w:rPr>
                <w:rFonts w:ascii="Arial" w:hAnsi="Arial" w:cs="Arial"/>
                <w:sz w:val="16"/>
                <w:szCs w:val="16"/>
              </w:rPr>
            </w:pPr>
            <w:r>
              <w:rPr>
                <w:rFonts w:ascii="Arial" w:hAnsi="Arial" w:cs="Arial"/>
                <w:sz w:val="16"/>
                <w:szCs w:val="16"/>
              </w:rPr>
              <w:t>0.1</w:t>
            </w:r>
            <w:r w:rsidR="009D7E96">
              <w:rPr>
                <w:rFonts w:ascii="Arial" w:hAnsi="Arial" w:cs="Arial"/>
                <w:sz w:val="16"/>
                <w:szCs w:val="16"/>
              </w:rPr>
              <w:t xml:space="preserve"> </w:t>
            </w:r>
            <w:r w:rsidR="00003755">
              <w:rPr>
                <w:rFonts w:ascii="Arial" w:hAnsi="Arial" w:cs="Arial"/>
                <w:sz w:val="16"/>
                <w:szCs w:val="16"/>
              </w:rPr>
              <w:t>–</w:t>
            </w:r>
            <w:r w:rsidR="009D7E96">
              <w:rPr>
                <w:rFonts w:ascii="Arial" w:hAnsi="Arial" w:cs="Arial"/>
                <w:sz w:val="16"/>
                <w:szCs w:val="16"/>
              </w:rPr>
              <w:t xml:space="preserve"> 89</w:t>
            </w:r>
            <w:r w:rsidR="00003755">
              <w:rPr>
                <w:rFonts w:ascii="Arial" w:hAnsi="Arial" w:cs="Arial"/>
                <w:sz w:val="16"/>
                <w:szCs w:val="16"/>
              </w:rPr>
              <w:t xml:space="preserve"> (44.5)</w:t>
            </w:r>
          </w:p>
        </w:tc>
        <w:tc>
          <w:tcPr>
            <w:tcW w:w="1161" w:type="dxa"/>
            <w:tcBorders>
              <w:bottom w:val="single" w:sz="4" w:space="0" w:color="auto"/>
            </w:tcBorders>
            <w:vAlign w:val="center"/>
          </w:tcPr>
          <w:p w14:paraId="1B8FC323" w14:textId="6DBF3A52" w:rsidR="000D4F26" w:rsidRDefault="00475228" w:rsidP="00A96144">
            <w:pPr>
              <w:spacing w:line="300" w:lineRule="atLeast"/>
              <w:jc w:val="center"/>
              <w:rPr>
                <w:rFonts w:ascii="Arial" w:hAnsi="Arial" w:cs="Arial"/>
                <w:sz w:val="16"/>
                <w:szCs w:val="16"/>
              </w:rPr>
            </w:pPr>
            <w:r>
              <w:rPr>
                <w:rFonts w:ascii="Arial" w:hAnsi="Arial" w:cs="Arial"/>
                <w:sz w:val="16"/>
                <w:szCs w:val="16"/>
              </w:rPr>
              <w:t>0.3</w:t>
            </w:r>
            <w:r w:rsidR="009D7E96">
              <w:rPr>
                <w:rFonts w:ascii="Arial" w:hAnsi="Arial" w:cs="Arial"/>
                <w:sz w:val="16"/>
                <w:szCs w:val="16"/>
              </w:rPr>
              <w:t xml:space="preserve"> </w:t>
            </w:r>
            <w:r w:rsidR="00003755">
              <w:rPr>
                <w:rFonts w:ascii="Arial" w:hAnsi="Arial" w:cs="Arial"/>
                <w:sz w:val="16"/>
                <w:szCs w:val="16"/>
              </w:rPr>
              <w:t>– 266.8 (133.6)</w:t>
            </w:r>
          </w:p>
        </w:tc>
        <w:tc>
          <w:tcPr>
            <w:tcW w:w="1117" w:type="dxa"/>
            <w:tcBorders>
              <w:bottom w:val="single" w:sz="4" w:space="0" w:color="auto"/>
            </w:tcBorders>
            <w:vAlign w:val="center"/>
          </w:tcPr>
          <w:p w14:paraId="753DE3DD" w14:textId="52087766" w:rsidR="000D4F26" w:rsidRDefault="00003755" w:rsidP="00A96144">
            <w:pPr>
              <w:spacing w:line="300" w:lineRule="atLeast"/>
              <w:jc w:val="center"/>
              <w:rPr>
                <w:rFonts w:ascii="Arial" w:hAnsi="Arial" w:cs="Arial"/>
                <w:sz w:val="16"/>
                <w:szCs w:val="16"/>
              </w:rPr>
            </w:pPr>
            <w:r>
              <w:rPr>
                <w:rFonts w:ascii="Arial" w:hAnsi="Arial" w:cs="Arial"/>
                <w:sz w:val="16"/>
                <w:szCs w:val="16"/>
              </w:rPr>
              <w:t>-</w:t>
            </w:r>
          </w:p>
        </w:tc>
      </w:tr>
    </w:tbl>
    <w:p w14:paraId="12042BB1" w14:textId="7CA38570" w:rsidR="00003755" w:rsidRPr="00003755" w:rsidRDefault="00003755" w:rsidP="00B47A6F">
      <w:pPr>
        <w:spacing w:before="120" w:line="300" w:lineRule="atLeast"/>
        <w:ind w:left="720" w:hanging="720"/>
        <w:jc w:val="both"/>
        <w:rPr>
          <w:szCs w:val="16"/>
        </w:rPr>
      </w:pPr>
      <w:r w:rsidRPr="00003755">
        <w:rPr>
          <w:szCs w:val="16"/>
        </w:rPr>
        <w:t>Note: a:</w:t>
      </w:r>
      <w:r w:rsidRPr="00003755">
        <w:rPr>
          <w:szCs w:val="16"/>
        </w:rPr>
        <w:tab/>
        <w:t xml:space="preserve">The releases in product were reported </w:t>
      </w:r>
      <w:r w:rsidR="00B47A6F">
        <w:rPr>
          <w:szCs w:val="16"/>
        </w:rPr>
        <w:t>separately in 2012</w:t>
      </w:r>
      <w:r w:rsidRPr="00003755">
        <w:rPr>
          <w:szCs w:val="16"/>
        </w:rPr>
        <w:t xml:space="preserve"> </w:t>
      </w:r>
      <w:r w:rsidR="00B47A6F">
        <w:rPr>
          <w:szCs w:val="16"/>
        </w:rPr>
        <w:t xml:space="preserve">but for 2016 they have been included in the total </w:t>
      </w:r>
      <w:r w:rsidRPr="00003755">
        <w:rPr>
          <w:szCs w:val="16"/>
        </w:rPr>
        <w:t>releases to air</w:t>
      </w:r>
      <w:r w:rsidR="00B47A6F">
        <w:rPr>
          <w:szCs w:val="16"/>
        </w:rPr>
        <w:t xml:space="preserve"> because that is where they will ultimately be released when the gas is burned</w:t>
      </w:r>
      <w:r w:rsidRPr="00003755">
        <w:rPr>
          <w:szCs w:val="16"/>
        </w:rPr>
        <w:t>.</w:t>
      </w:r>
    </w:p>
    <w:p w14:paraId="29171E1C" w14:textId="450CD4F5" w:rsidR="00661D0D" w:rsidRPr="00BE17CF" w:rsidRDefault="00661D0D" w:rsidP="00661D0D">
      <w:pPr>
        <w:spacing w:before="120" w:line="300" w:lineRule="atLeast"/>
        <w:jc w:val="both"/>
        <w:rPr>
          <w:rFonts w:ascii="Arial" w:hAnsi="Arial" w:cs="Arial"/>
          <w:b/>
          <w:szCs w:val="18"/>
        </w:rPr>
      </w:pPr>
      <w:r w:rsidRPr="00BE17CF">
        <w:rPr>
          <w:rFonts w:ascii="Arial" w:hAnsi="Arial" w:cs="Arial"/>
          <w:b/>
          <w:szCs w:val="18"/>
        </w:rPr>
        <w:t>Certainty assessment</w:t>
      </w:r>
    </w:p>
    <w:p w14:paraId="76EAF155" w14:textId="77777777" w:rsidR="00661D0D" w:rsidRDefault="00661D0D" w:rsidP="00661D0D">
      <w:pPr>
        <w:tabs>
          <w:tab w:val="left" w:pos="1985"/>
        </w:tabs>
        <w:spacing w:line="300" w:lineRule="atLeast"/>
        <w:jc w:val="both"/>
        <w:rPr>
          <w:szCs w:val="18"/>
        </w:rPr>
      </w:pPr>
      <w:r>
        <w:rPr>
          <w:szCs w:val="18"/>
        </w:rPr>
        <w:t xml:space="preserve">Activity data: </w:t>
      </w:r>
      <w:r>
        <w:rPr>
          <w:szCs w:val="18"/>
        </w:rPr>
        <w:tab/>
        <w:t>HIGH (because it was obtained from a national database)</w:t>
      </w:r>
    </w:p>
    <w:p w14:paraId="2E394FED" w14:textId="77777777" w:rsidR="00661D0D" w:rsidRDefault="00661D0D" w:rsidP="00661D0D">
      <w:pPr>
        <w:tabs>
          <w:tab w:val="left" w:pos="1985"/>
        </w:tabs>
        <w:spacing w:line="300" w:lineRule="atLeast"/>
        <w:jc w:val="both"/>
        <w:rPr>
          <w:szCs w:val="18"/>
        </w:rPr>
      </w:pPr>
      <w:r>
        <w:rPr>
          <w:szCs w:val="18"/>
        </w:rPr>
        <w:t xml:space="preserve">Input estimates: </w:t>
      </w:r>
      <w:r>
        <w:rPr>
          <w:szCs w:val="18"/>
        </w:rPr>
        <w:tab/>
        <w:t xml:space="preserve">LOW (because they are based on </w:t>
      </w:r>
      <w:r w:rsidRPr="009B0A69">
        <w:rPr>
          <w:szCs w:val="18"/>
        </w:rPr>
        <w:t xml:space="preserve">the default Toolkit </w:t>
      </w:r>
      <w:r>
        <w:rPr>
          <w:szCs w:val="18"/>
        </w:rPr>
        <w:t>input</w:t>
      </w:r>
      <w:r w:rsidRPr="009B0A69">
        <w:rPr>
          <w:szCs w:val="18"/>
        </w:rPr>
        <w:t xml:space="preserve"> factors</w:t>
      </w:r>
      <w:r>
        <w:rPr>
          <w:szCs w:val="18"/>
        </w:rPr>
        <w:t>)</w:t>
      </w:r>
    </w:p>
    <w:p w14:paraId="67BC0F49" w14:textId="77777777" w:rsidR="00661D0D" w:rsidRPr="0028681C" w:rsidRDefault="00661D0D" w:rsidP="00661D0D">
      <w:pPr>
        <w:tabs>
          <w:tab w:val="left" w:pos="1985"/>
        </w:tabs>
        <w:spacing w:line="300" w:lineRule="atLeast"/>
        <w:jc w:val="both"/>
        <w:rPr>
          <w:szCs w:val="18"/>
        </w:rPr>
      </w:pPr>
      <w:r>
        <w:rPr>
          <w:szCs w:val="18"/>
        </w:rPr>
        <w:t xml:space="preserve">Output estimates: </w:t>
      </w:r>
      <w:r>
        <w:rPr>
          <w:szCs w:val="18"/>
        </w:rPr>
        <w:tab/>
        <w:t>LOW (because they are based on the default Toolkit output factors).</w:t>
      </w:r>
    </w:p>
    <w:p w14:paraId="562FC982" w14:textId="77777777" w:rsidR="00661D0D" w:rsidRDefault="00661D0D" w:rsidP="00661D0D">
      <w:pPr>
        <w:tabs>
          <w:tab w:val="left" w:pos="851"/>
          <w:tab w:val="left" w:pos="1134"/>
        </w:tabs>
        <w:spacing w:before="120" w:line="300" w:lineRule="atLeast"/>
        <w:jc w:val="both"/>
        <w:rPr>
          <w:szCs w:val="18"/>
        </w:rPr>
      </w:pPr>
    </w:p>
    <w:p w14:paraId="58139B75" w14:textId="77777777" w:rsidR="008E3038" w:rsidRDefault="00D37EF1" w:rsidP="00EB3E30">
      <w:pPr>
        <w:pStyle w:val="Heading2"/>
        <w:rPr>
          <w:rFonts w:eastAsia="Calibri"/>
        </w:rPr>
      </w:pPr>
      <w:bookmarkStart w:id="38" w:name="_Toc484949570"/>
      <w:r>
        <w:rPr>
          <w:rFonts w:eastAsia="Calibri"/>
        </w:rPr>
        <w:lastRenderedPageBreak/>
        <w:t>Other fossil fuels – extraction and use</w:t>
      </w:r>
      <w:bookmarkEnd w:id="38"/>
    </w:p>
    <w:p w14:paraId="033FAE93" w14:textId="77777777" w:rsidR="002661DB" w:rsidRDefault="00D37EF1" w:rsidP="003833D6">
      <w:pPr>
        <w:spacing w:line="300" w:lineRule="atLeast"/>
        <w:jc w:val="both"/>
        <w:rPr>
          <w:rFonts w:eastAsia="Calibri"/>
          <w:szCs w:val="22"/>
        </w:rPr>
      </w:pPr>
      <w:r>
        <w:rPr>
          <w:rFonts w:eastAsia="Calibri"/>
          <w:szCs w:val="22"/>
        </w:rPr>
        <w:t>This Toolkit sub-category covers materials such as oil shale and peat. There is no oil shale extraction in New Zealand</w:t>
      </w:r>
      <w:r w:rsidR="00973EF4">
        <w:rPr>
          <w:rFonts w:eastAsia="Calibri"/>
          <w:szCs w:val="22"/>
        </w:rPr>
        <w:t xml:space="preserve"> and peat is not used as a fuel.  There may be some mercury releases from accidental fires in peat bogs, but the quantities involved in these (</w:t>
      </w:r>
      <w:proofErr w:type="spellStart"/>
      <w:r w:rsidR="00973EF4">
        <w:rPr>
          <w:rFonts w:eastAsia="Calibri"/>
          <w:szCs w:val="22"/>
        </w:rPr>
        <w:t>ie</w:t>
      </w:r>
      <w:proofErr w:type="spellEnd"/>
      <w:r w:rsidR="00973EF4">
        <w:rPr>
          <w:rFonts w:eastAsia="Calibri"/>
          <w:szCs w:val="22"/>
        </w:rPr>
        <w:t xml:space="preserve"> the activity rate) would be virtually impossible to </w:t>
      </w:r>
      <w:r w:rsidR="006C6CDF">
        <w:rPr>
          <w:rFonts w:eastAsia="Calibri"/>
          <w:szCs w:val="22"/>
        </w:rPr>
        <w:t>determine</w:t>
      </w:r>
      <w:r w:rsidR="00973EF4">
        <w:rPr>
          <w:rFonts w:eastAsia="Calibri"/>
          <w:szCs w:val="22"/>
        </w:rPr>
        <w:t>. Hence this sub-category has not been assessed.</w:t>
      </w:r>
    </w:p>
    <w:p w14:paraId="3D18F36D" w14:textId="77777777" w:rsidR="002661DB" w:rsidRDefault="00074007" w:rsidP="00074007">
      <w:pPr>
        <w:pStyle w:val="Heading2"/>
        <w:rPr>
          <w:rFonts w:eastAsia="Calibri"/>
        </w:rPr>
      </w:pPr>
      <w:bookmarkStart w:id="39" w:name="_Toc484949571"/>
      <w:r>
        <w:rPr>
          <w:rFonts w:eastAsia="Calibri"/>
        </w:rPr>
        <w:t>Biomass-fired power and heat production</w:t>
      </w:r>
      <w:bookmarkEnd w:id="39"/>
    </w:p>
    <w:p w14:paraId="013F7505" w14:textId="77777777" w:rsidR="002661DB" w:rsidRDefault="00A4689B" w:rsidP="003833D6">
      <w:pPr>
        <w:spacing w:line="300" w:lineRule="atLeast"/>
        <w:jc w:val="both"/>
        <w:rPr>
          <w:rFonts w:eastAsia="Calibri"/>
          <w:szCs w:val="22"/>
        </w:rPr>
      </w:pPr>
      <w:r>
        <w:rPr>
          <w:rFonts w:eastAsia="Calibri"/>
          <w:szCs w:val="22"/>
        </w:rPr>
        <w:t>The mercury in wood and other biomass originates from that taken up naturally from the soil, and mercury deposition from the atmospher</w:t>
      </w:r>
      <w:r w:rsidR="00E1653D">
        <w:rPr>
          <w:rFonts w:eastAsia="Calibri"/>
          <w:szCs w:val="22"/>
        </w:rPr>
        <w:t>e</w:t>
      </w:r>
      <w:r>
        <w:rPr>
          <w:rFonts w:eastAsia="Calibri"/>
          <w:szCs w:val="22"/>
        </w:rPr>
        <w:t xml:space="preserve"> as a result of natural and anthropogenic emissions to air. Most of the mercury is discharged back into the air when the biomass is burned. This Toolkit sub-category is concerned with the burning of wood and other biomass as an industrial fuel, and in residential heating and cooking.</w:t>
      </w:r>
    </w:p>
    <w:p w14:paraId="7A78F1D1" w14:textId="77777777" w:rsidR="00074007" w:rsidRDefault="002642E6" w:rsidP="003833D6">
      <w:pPr>
        <w:spacing w:line="300" w:lineRule="atLeast"/>
        <w:jc w:val="both"/>
        <w:rPr>
          <w:rFonts w:eastAsia="Calibri"/>
          <w:szCs w:val="22"/>
        </w:rPr>
      </w:pPr>
      <w:r>
        <w:rPr>
          <w:rFonts w:eastAsia="Calibri"/>
          <w:szCs w:val="22"/>
        </w:rPr>
        <w:t xml:space="preserve">The </w:t>
      </w:r>
      <w:r w:rsidR="00F45763">
        <w:rPr>
          <w:rFonts w:eastAsia="Calibri"/>
          <w:szCs w:val="22"/>
        </w:rPr>
        <w:t>total</w:t>
      </w:r>
      <w:r w:rsidR="00D20D9E">
        <w:rPr>
          <w:rFonts w:eastAsia="Calibri"/>
          <w:szCs w:val="22"/>
        </w:rPr>
        <w:t xml:space="preserve"> amount of </w:t>
      </w:r>
      <w:r>
        <w:rPr>
          <w:rFonts w:eastAsia="Calibri"/>
          <w:szCs w:val="22"/>
        </w:rPr>
        <w:t xml:space="preserve">energy </w:t>
      </w:r>
      <w:r w:rsidR="00D20D9E">
        <w:rPr>
          <w:rFonts w:eastAsia="Calibri"/>
          <w:szCs w:val="22"/>
        </w:rPr>
        <w:t xml:space="preserve">consumed in New Zealand </w:t>
      </w:r>
      <w:r>
        <w:rPr>
          <w:rFonts w:eastAsia="Calibri"/>
          <w:szCs w:val="22"/>
        </w:rPr>
        <w:t xml:space="preserve">from </w:t>
      </w:r>
      <w:r w:rsidR="002E444C">
        <w:rPr>
          <w:rFonts w:eastAsia="Calibri"/>
          <w:szCs w:val="22"/>
        </w:rPr>
        <w:t>biomass</w:t>
      </w:r>
      <w:r>
        <w:rPr>
          <w:rFonts w:eastAsia="Calibri"/>
          <w:szCs w:val="22"/>
        </w:rPr>
        <w:t xml:space="preserve"> in 201</w:t>
      </w:r>
      <w:r w:rsidR="00F45763">
        <w:rPr>
          <w:rFonts w:eastAsia="Calibri"/>
          <w:szCs w:val="22"/>
        </w:rPr>
        <w:t>5</w:t>
      </w:r>
      <w:r w:rsidR="002E444C">
        <w:rPr>
          <w:rFonts w:eastAsia="Calibri"/>
          <w:szCs w:val="22"/>
        </w:rPr>
        <w:t xml:space="preserve"> was estimated by MBIE to be </w:t>
      </w:r>
      <w:r w:rsidR="00F45763">
        <w:rPr>
          <w:rFonts w:eastAsia="Calibri"/>
          <w:szCs w:val="22"/>
        </w:rPr>
        <w:t xml:space="preserve">58.9 PJ, which is very similar to the total of </w:t>
      </w:r>
      <w:r>
        <w:rPr>
          <w:rFonts w:eastAsia="Calibri"/>
          <w:szCs w:val="22"/>
        </w:rPr>
        <w:t>60.59 PJ</w:t>
      </w:r>
      <w:r w:rsidR="00F45763">
        <w:rPr>
          <w:rFonts w:eastAsia="Calibri"/>
          <w:szCs w:val="22"/>
        </w:rPr>
        <w:t xml:space="preserve"> reported for 2012 (</w:t>
      </w:r>
      <w:r w:rsidR="002E444C">
        <w:rPr>
          <w:rFonts w:eastAsia="Calibri"/>
          <w:szCs w:val="22"/>
        </w:rPr>
        <w:t>MBIE, 2016</w:t>
      </w:r>
      <w:r w:rsidR="00F45763">
        <w:rPr>
          <w:rFonts w:eastAsia="Calibri"/>
          <w:szCs w:val="22"/>
        </w:rPr>
        <w:t>).</w:t>
      </w:r>
      <w:r>
        <w:rPr>
          <w:rFonts w:eastAsia="Calibri"/>
          <w:szCs w:val="22"/>
        </w:rPr>
        <w:t xml:space="preserve"> </w:t>
      </w:r>
      <w:r w:rsidR="00D20D9E">
        <w:rPr>
          <w:rFonts w:eastAsia="Calibri"/>
          <w:szCs w:val="22"/>
        </w:rPr>
        <w:t>However, the</w:t>
      </w:r>
      <w:r w:rsidR="002E444C">
        <w:rPr>
          <w:rFonts w:eastAsia="Calibri"/>
          <w:szCs w:val="22"/>
        </w:rPr>
        <w:t>se</w:t>
      </w:r>
      <w:r w:rsidR="00D20D9E">
        <w:rPr>
          <w:rFonts w:eastAsia="Calibri"/>
          <w:szCs w:val="22"/>
        </w:rPr>
        <w:t xml:space="preserve"> figure</w:t>
      </w:r>
      <w:r w:rsidR="002E444C">
        <w:rPr>
          <w:rFonts w:eastAsia="Calibri"/>
          <w:szCs w:val="22"/>
        </w:rPr>
        <w:t>s are</w:t>
      </w:r>
      <w:r w:rsidR="00D20D9E">
        <w:rPr>
          <w:rFonts w:eastAsia="Calibri"/>
          <w:szCs w:val="22"/>
        </w:rPr>
        <w:t xml:space="preserve"> based on the assumption that industrial plant</w:t>
      </w:r>
      <w:r w:rsidR="00E1653D">
        <w:rPr>
          <w:rFonts w:eastAsia="Calibri"/>
          <w:szCs w:val="22"/>
        </w:rPr>
        <w:t>s</w:t>
      </w:r>
      <w:r w:rsidR="00D20D9E">
        <w:rPr>
          <w:rFonts w:eastAsia="Calibri"/>
          <w:szCs w:val="22"/>
        </w:rPr>
        <w:t xml:space="preserve"> operate at full load for 24 hours a day and 365 days a year, which is not the case. </w:t>
      </w:r>
      <w:r w:rsidR="002E444C">
        <w:rPr>
          <w:rFonts w:eastAsia="Calibri"/>
          <w:szCs w:val="22"/>
        </w:rPr>
        <w:t>The estimates given in the 2012 Inventory were</w:t>
      </w:r>
      <w:r w:rsidR="007E4209">
        <w:rPr>
          <w:rFonts w:eastAsia="Calibri"/>
          <w:szCs w:val="22"/>
        </w:rPr>
        <w:t xml:space="preserve"> based on the assumption that plants are operated at 70% load (on average) for 320 days a year.</w:t>
      </w:r>
      <w:r w:rsidR="00D20D9E">
        <w:rPr>
          <w:rFonts w:eastAsia="Calibri"/>
          <w:szCs w:val="22"/>
        </w:rPr>
        <w:t xml:space="preserve"> </w:t>
      </w:r>
      <w:r w:rsidR="007E4209">
        <w:rPr>
          <w:rFonts w:eastAsia="Calibri"/>
          <w:szCs w:val="22"/>
        </w:rPr>
        <w:t>Applying th</w:t>
      </w:r>
      <w:r w:rsidR="00997A8E">
        <w:rPr>
          <w:rFonts w:eastAsia="Calibri"/>
          <w:szCs w:val="22"/>
        </w:rPr>
        <w:t xml:space="preserve">ese assumptions </w:t>
      </w:r>
      <w:r w:rsidR="007E4209">
        <w:rPr>
          <w:rFonts w:eastAsia="Calibri"/>
          <w:szCs w:val="22"/>
        </w:rPr>
        <w:t xml:space="preserve">to the industrial wood-burning plant listed in the Heat Plant Database </w:t>
      </w:r>
      <w:r w:rsidR="00997A8E">
        <w:rPr>
          <w:rFonts w:eastAsia="Calibri"/>
          <w:szCs w:val="22"/>
        </w:rPr>
        <w:t>(CRL Energy, 2011) gave</w:t>
      </w:r>
      <w:r w:rsidR="007E4209">
        <w:rPr>
          <w:rFonts w:eastAsia="Calibri"/>
          <w:szCs w:val="22"/>
        </w:rPr>
        <w:t xml:space="preserve"> an estimated total annual wood consumption of 36.8 PJ (including residential heating).</w:t>
      </w:r>
      <w:r w:rsidR="00997A8E">
        <w:rPr>
          <w:rFonts w:eastAsia="Calibri"/>
          <w:szCs w:val="22"/>
        </w:rPr>
        <w:t xml:space="preserve"> This usage is roughly equivalent to 1.8 million tonnes/year of dry wood. There have been no significant new industrial biomass-fuelled facilities constructed in the last five years in New Zealand </w:t>
      </w:r>
      <w:r w:rsidR="002624E0">
        <w:rPr>
          <w:rFonts w:eastAsia="Calibri"/>
          <w:szCs w:val="22"/>
        </w:rPr>
        <w:t>so</w:t>
      </w:r>
      <w:r w:rsidR="00997A8E">
        <w:rPr>
          <w:rFonts w:eastAsia="Calibri"/>
          <w:szCs w:val="22"/>
        </w:rPr>
        <w:t xml:space="preserve"> this estimate has been taken as also applying to 2016.</w:t>
      </w:r>
    </w:p>
    <w:p w14:paraId="0CE1D731" w14:textId="77777777" w:rsidR="00074007" w:rsidRPr="003833D6" w:rsidRDefault="00884494" w:rsidP="003833D6">
      <w:pPr>
        <w:spacing w:line="300" w:lineRule="atLeast"/>
        <w:jc w:val="both"/>
        <w:rPr>
          <w:rFonts w:eastAsia="Calibri"/>
          <w:szCs w:val="22"/>
        </w:rPr>
      </w:pPr>
      <w:r>
        <w:rPr>
          <w:rFonts w:eastAsia="Calibri"/>
          <w:szCs w:val="22"/>
        </w:rPr>
        <w:t>There is no published data available on the mercury content of New Zealand wood</w:t>
      </w:r>
      <w:r w:rsidR="00997A8E">
        <w:rPr>
          <w:rFonts w:eastAsia="Calibri"/>
          <w:szCs w:val="22"/>
        </w:rPr>
        <w:t xml:space="preserve"> so the input estimates have been based on the</w:t>
      </w:r>
      <w:r w:rsidR="00A019F2">
        <w:rPr>
          <w:rFonts w:eastAsia="Calibri"/>
          <w:szCs w:val="22"/>
        </w:rPr>
        <w:t xml:space="preserve"> Toolkit default factor of 0.03</w:t>
      </w:r>
      <w:r w:rsidR="002624E0">
        <w:rPr>
          <w:rFonts w:eastAsia="Calibri"/>
          <w:szCs w:val="22"/>
        </w:rPr>
        <w:t>85</w:t>
      </w:r>
      <w:r w:rsidR="00A019F2">
        <w:rPr>
          <w:rFonts w:eastAsia="Calibri"/>
          <w:szCs w:val="22"/>
        </w:rPr>
        <w:t xml:space="preserve"> mg/kg, o</w:t>
      </w:r>
      <w:r w:rsidR="00997A8E">
        <w:rPr>
          <w:rFonts w:eastAsia="Calibri"/>
          <w:szCs w:val="22"/>
        </w:rPr>
        <w:t>r a range of 0.007 – 0.07 mg/kg.</w:t>
      </w:r>
      <w:r w:rsidR="00A019F2">
        <w:rPr>
          <w:rFonts w:eastAsia="Calibri"/>
          <w:szCs w:val="22"/>
        </w:rPr>
        <w:t xml:space="preserve"> I</w:t>
      </w:r>
      <w:r w:rsidR="00392FFB">
        <w:rPr>
          <w:rFonts w:eastAsia="Calibri"/>
          <w:szCs w:val="22"/>
        </w:rPr>
        <w:t xml:space="preserve">t also </w:t>
      </w:r>
      <w:r w:rsidR="00997A8E">
        <w:rPr>
          <w:rFonts w:eastAsia="Calibri"/>
          <w:szCs w:val="22"/>
        </w:rPr>
        <w:t xml:space="preserve">assumed </w:t>
      </w:r>
      <w:r w:rsidR="00392FFB">
        <w:rPr>
          <w:rFonts w:eastAsia="Calibri"/>
          <w:szCs w:val="22"/>
        </w:rPr>
        <w:t xml:space="preserve">that all of the mercury </w:t>
      </w:r>
      <w:r w:rsidR="00997A8E">
        <w:rPr>
          <w:rFonts w:eastAsia="Calibri"/>
          <w:szCs w:val="22"/>
        </w:rPr>
        <w:t>is released to air</w:t>
      </w:r>
      <w:r w:rsidR="00392FFB">
        <w:rPr>
          <w:rFonts w:eastAsia="Calibri"/>
          <w:szCs w:val="22"/>
        </w:rPr>
        <w:t>.</w:t>
      </w:r>
    </w:p>
    <w:p w14:paraId="4F091FFB" w14:textId="318B19EF" w:rsidR="00997A8E" w:rsidRDefault="005A3C18" w:rsidP="005A3C18">
      <w:pPr>
        <w:spacing w:line="300" w:lineRule="atLeast"/>
        <w:jc w:val="both"/>
        <w:rPr>
          <w:szCs w:val="18"/>
        </w:rPr>
      </w:pPr>
      <w:r>
        <w:rPr>
          <w:szCs w:val="18"/>
        </w:rPr>
        <w:t xml:space="preserve">The mercury input and output calculations for the </w:t>
      </w:r>
      <w:r w:rsidR="0034129D">
        <w:rPr>
          <w:szCs w:val="18"/>
        </w:rPr>
        <w:t xml:space="preserve">biomass-fired </w:t>
      </w:r>
      <w:r>
        <w:rPr>
          <w:szCs w:val="18"/>
        </w:rPr>
        <w:t>power</w:t>
      </w:r>
      <w:r w:rsidR="0034129D">
        <w:rPr>
          <w:szCs w:val="18"/>
        </w:rPr>
        <w:t xml:space="preserve"> and heat</w:t>
      </w:r>
      <w:r>
        <w:rPr>
          <w:szCs w:val="18"/>
        </w:rPr>
        <w:t xml:space="preserve"> </w:t>
      </w:r>
      <w:r w:rsidR="00997A8E">
        <w:rPr>
          <w:szCs w:val="18"/>
        </w:rPr>
        <w:t xml:space="preserve">production </w:t>
      </w:r>
      <w:r>
        <w:rPr>
          <w:szCs w:val="18"/>
        </w:rPr>
        <w:t xml:space="preserve">are shown </w:t>
      </w:r>
      <w:r w:rsidRPr="00284760">
        <w:rPr>
          <w:szCs w:val="18"/>
        </w:rPr>
        <w:t xml:space="preserve">in </w:t>
      </w:r>
      <w:r>
        <w:rPr>
          <w:szCs w:val="18"/>
        </w:rPr>
        <w:fldChar w:fldCharType="begin"/>
      </w:r>
      <w:r>
        <w:rPr>
          <w:szCs w:val="18"/>
        </w:rPr>
        <w:instrText xml:space="preserve"> REF _Ref358358101 \h </w:instrText>
      </w:r>
      <w:r w:rsidR="00636D03">
        <w:rPr>
          <w:szCs w:val="18"/>
        </w:rPr>
        <w:instrText xml:space="preserve"> \* MERGEFORMAT </w:instrText>
      </w:r>
      <w:r>
        <w:rPr>
          <w:szCs w:val="18"/>
        </w:rPr>
      </w:r>
      <w:r>
        <w:rPr>
          <w:szCs w:val="18"/>
        </w:rPr>
        <w:fldChar w:fldCharType="separate"/>
      </w:r>
      <w:r w:rsidR="00423FC9" w:rsidRPr="00423FC9">
        <w:t xml:space="preserve">Table </w:t>
      </w:r>
      <w:r w:rsidR="00423FC9" w:rsidRPr="00423FC9">
        <w:rPr>
          <w:noProof/>
        </w:rPr>
        <w:t>3</w:t>
      </w:r>
      <w:r w:rsidR="00423FC9" w:rsidRPr="00423FC9">
        <w:rPr>
          <w:noProof/>
        </w:rPr>
        <w:noBreakHyphen/>
        <w:t>6</w:t>
      </w:r>
      <w:r>
        <w:rPr>
          <w:szCs w:val="18"/>
        </w:rPr>
        <w:fldChar w:fldCharType="end"/>
      </w:r>
      <w:r w:rsidR="00997A8E">
        <w:rPr>
          <w:szCs w:val="18"/>
        </w:rPr>
        <w:t>, with the same figures applying to both 2012 and 2016.</w:t>
      </w:r>
    </w:p>
    <w:p w14:paraId="2C1CCE54" w14:textId="77777777" w:rsidR="00450C4E" w:rsidRDefault="005A3C18" w:rsidP="005A3C18">
      <w:pPr>
        <w:pStyle w:val="Caption"/>
        <w:spacing w:before="240"/>
        <w:rPr>
          <w:rFonts w:eastAsia="Calibri"/>
          <w:szCs w:val="22"/>
        </w:rPr>
      </w:pPr>
      <w:bookmarkStart w:id="40" w:name="_Ref358358101"/>
      <w:bookmarkStart w:id="41" w:name="_Toc484949642"/>
      <w:r w:rsidRPr="005A3C18">
        <w:rPr>
          <w:rFonts w:ascii="Arial" w:hAnsi="Arial" w:cs="Arial"/>
        </w:rPr>
        <w:t xml:space="preserve">Table </w:t>
      </w:r>
      <w:r w:rsidR="00390C9F">
        <w:rPr>
          <w:rFonts w:ascii="Arial" w:hAnsi="Arial" w:cs="Arial"/>
        </w:rPr>
        <w:fldChar w:fldCharType="begin"/>
      </w:r>
      <w:r w:rsidR="00390C9F">
        <w:rPr>
          <w:rFonts w:ascii="Arial" w:hAnsi="Arial" w:cs="Arial"/>
        </w:rPr>
        <w:instrText xml:space="preserve"> STYLEREF 1 \s </w:instrText>
      </w:r>
      <w:r w:rsidR="00390C9F">
        <w:rPr>
          <w:rFonts w:ascii="Arial" w:hAnsi="Arial" w:cs="Arial"/>
        </w:rPr>
        <w:fldChar w:fldCharType="separate"/>
      </w:r>
      <w:r w:rsidR="00423FC9">
        <w:rPr>
          <w:rFonts w:ascii="Arial" w:hAnsi="Arial" w:cs="Arial"/>
          <w:noProof/>
        </w:rPr>
        <w:t>3</w:t>
      </w:r>
      <w:r w:rsidR="00390C9F">
        <w:rPr>
          <w:rFonts w:ascii="Arial" w:hAnsi="Arial" w:cs="Arial"/>
        </w:rPr>
        <w:fldChar w:fldCharType="end"/>
      </w:r>
      <w:r w:rsidR="00390C9F">
        <w:rPr>
          <w:rFonts w:ascii="Arial" w:hAnsi="Arial" w:cs="Arial"/>
        </w:rPr>
        <w:noBreakHyphen/>
      </w:r>
      <w:r w:rsidR="00390C9F">
        <w:rPr>
          <w:rFonts w:ascii="Arial" w:hAnsi="Arial" w:cs="Arial"/>
        </w:rPr>
        <w:fldChar w:fldCharType="begin"/>
      </w:r>
      <w:r w:rsidR="00390C9F">
        <w:rPr>
          <w:rFonts w:ascii="Arial" w:hAnsi="Arial" w:cs="Arial"/>
        </w:rPr>
        <w:instrText xml:space="preserve"> SEQ Table \* ARABIC \s 1 </w:instrText>
      </w:r>
      <w:r w:rsidR="00390C9F">
        <w:rPr>
          <w:rFonts w:ascii="Arial" w:hAnsi="Arial" w:cs="Arial"/>
        </w:rPr>
        <w:fldChar w:fldCharType="separate"/>
      </w:r>
      <w:r w:rsidR="00423FC9">
        <w:rPr>
          <w:rFonts w:ascii="Arial" w:hAnsi="Arial" w:cs="Arial"/>
          <w:noProof/>
        </w:rPr>
        <w:t>6</w:t>
      </w:r>
      <w:r w:rsidR="00390C9F">
        <w:rPr>
          <w:rFonts w:ascii="Arial" w:hAnsi="Arial" w:cs="Arial"/>
        </w:rPr>
        <w:fldChar w:fldCharType="end"/>
      </w:r>
      <w:bookmarkEnd w:id="40"/>
      <w:r w:rsidRPr="005A3C18">
        <w:rPr>
          <w:rFonts w:ascii="Arial" w:hAnsi="Arial" w:cs="Arial"/>
        </w:rPr>
        <w:t>:</w:t>
      </w:r>
      <w:r>
        <w:t xml:space="preserve"> </w:t>
      </w:r>
      <w:r w:rsidR="0042137C">
        <w:t xml:space="preserve"> </w:t>
      </w:r>
      <w:r w:rsidRPr="00284760">
        <w:rPr>
          <w:rFonts w:ascii="Arial" w:hAnsi="Arial" w:cs="Arial"/>
        </w:rPr>
        <w:t>Input and output estimates for</w:t>
      </w:r>
      <w:r>
        <w:rPr>
          <w:rFonts w:ascii="Arial" w:hAnsi="Arial" w:cs="Arial"/>
        </w:rPr>
        <w:t xml:space="preserve"> biomass-fired power and heat production</w:t>
      </w:r>
      <w:bookmarkEnd w:id="41"/>
    </w:p>
    <w:tbl>
      <w:tblPr>
        <w:tblStyle w:val="TableGrid"/>
        <w:tblW w:w="0" w:type="auto"/>
        <w:tblLook w:val="04A0" w:firstRow="1" w:lastRow="0" w:firstColumn="1" w:lastColumn="0" w:noHBand="0" w:noVBand="1"/>
      </w:tblPr>
      <w:tblGrid>
        <w:gridCol w:w="2518"/>
        <w:gridCol w:w="1692"/>
        <w:gridCol w:w="1692"/>
        <w:gridCol w:w="1692"/>
        <w:gridCol w:w="1693"/>
      </w:tblGrid>
      <w:tr w:rsidR="003B6B63" w14:paraId="09DB7CB1" w14:textId="77777777" w:rsidTr="003B6B63">
        <w:tc>
          <w:tcPr>
            <w:tcW w:w="2518" w:type="dxa"/>
            <w:vMerge w:val="restart"/>
            <w:vAlign w:val="center"/>
          </w:tcPr>
          <w:p w14:paraId="682446CD" w14:textId="77777777" w:rsidR="003B6B63" w:rsidRPr="00F31685" w:rsidRDefault="003B6B63" w:rsidP="007901FE">
            <w:pPr>
              <w:spacing w:line="300" w:lineRule="atLeast"/>
              <w:jc w:val="center"/>
              <w:rPr>
                <w:rFonts w:ascii="Arial" w:hAnsi="Arial" w:cs="Arial"/>
                <w:b/>
                <w:sz w:val="16"/>
                <w:szCs w:val="16"/>
              </w:rPr>
            </w:pPr>
            <w:r w:rsidRPr="00F31685">
              <w:rPr>
                <w:rFonts w:ascii="Arial" w:hAnsi="Arial" w:cs="Arial"/>
                <w:b/>
                <w:sz w:val="16"/>
                <w:szCs w:val="16"/>
              </w:rPr>
              <w:t>Source</w:t>
            </w:r>
          </w:p>
        </w:tc>
        <w:tc>
          <w:tcPr>
            <w:tcW w:w="1692" w:type="dxa"/>
            <w:vMerge w:val="restart"/>
            <w:vAlign w:val="center"/>
          </w:tcPr>
          <w:p w14:paraId="52BD21F4" w14:textId="77777777" w:rsidR="003B6B63" w:rsidRPr="00F31685" w:rsidRDefault="003B6B63" w:rsidP="007901FE">
            <w:pPr>
              <w:spacing w:line="300" w:lineRule="atLeast"/>
              <w:jc w:val="center"/>
              <w:rPr>
                <w:rFonts w:ascii="Arial" w:hAnsi="Arial" w:cs="Arial"/>
                <w:b/>
                <w:sz w:val="16"/>
                <w:szCs w:val="16"/>
              </w:rPr>
            </w:pPr>
            <w:r w:rsidRPr="00F31685">
              <w:rPr>
                <w:rFonts w:ascii="Arial" w:hAnsi="Arial" w:cs="Arial"/>
                <w:b/>
                <w:sz w:val="16"/>
                <w:szCs w:val="16"/>
              </w:rPr>
              <w:t>Activity Rate, tonnes/</w:t>
            </w:r>
            <w:proofErr w:type="spellStart"/>
            <w:r w:rsidRPr="00F31685">
              <w:rPr>
                <w:rFonts w:ascii="Arial" w:hAnsi="Arial" w:cs="Arial"/>
                <w:b/>
                <w:sz w:val="16"/>
                <w:szCs w:val="16"/>
              </w:rPr>
              <w:t>yr</w:t>
            </w:r>
            <w:proofErr w:type="spellEnd"/>
          </w:p>
        </w:tc>
        <w:tc>
          <w:tcPr>
            <w:tcW w:w="1692" w:type="dxa"/>
            <w:vMerge w:val="restart"/>
            <w:vAlign w:val="center"/>
          </w:tcPr>
          <w:p w14:paraId="3CCC74AB" w14:textId="77777777" w:rsidR="003B6B63" w:rsidRPr="00F31685" w:rsidRDefault="003B6B63" w:rsidP="007901FE">
            <w:pPr>
              <w:spacing w:line="300" w:lineRule="atLeast"/>
              <w:jc w:val="center"/>
              <w:rPr>
                <w:rFonts w:ascii="Arial" w:hAnsi="Arial" w:cs="Arial"/>
                <w:b/>
                <w:sz w:val="16"/>
                <w:szCs w:val="16"/>
              </w:rPr>
            </w:pPr>
            <w:r w:rsidRPr="00F31685">
              <w:rPr>
                <w:rFonts w:ascii="Arial" w:hAnsi="Arial" w:cs="Arial"/>
                <w:b/>
                <w:sz w:val="16"/>
                <w:szCs w:val="16"/>
              </w:rPr>
              <w:t>Mercury content, mg/kg</w:t>
            </w:r>
          </w:p>
        </w:tc>
        <w:tc>
          <w:tcPr>
            <w:tcW w:w="1692" w:type="dxa"/>
            <w:vMerge w:val="restart"/>
            <w:vAlign w:val="center"/>
          </w:tcPr>
          <w:p w14:paraId="0AA49499" w14:textId="77777777" w:rsidR="003B6B63" w:rsidRPr="00F31685" w:rsidRDefault="003B6B63" w:rsidP="007901FE">
            <w:pPr>
              <w:spacing w:line="300" w:lineRule="atLeast"/>
              <w:jc w:val="center"/>
              <w:rPr>
                <w:rFonts w:ascii="Arial" w:hAnsi="Arial" w:cs="Arial"/>
                <w:b/>
                <w:sz w:val="16"/>
                <w:szCs w:val="16"/>
              </w:rPr>
            </w:pPr>
            <w:r w:rsidRPr="00F31685">
              <w:rPr>
                <w:rFonts w:ascii="Arial" w:hAnsi="Arial" w:cs="Arial"/>
                <w:b/>
                <w:sz w:val="16"/>
                <w:szCs w:val="16"/>
              </w:rPr>
              <w:t>Annual Mercury Inputs, kg/</w:t>
            </w:r>
            <w:proofErr w:type="spellStart"/>
            <w:r w:rsidRPr="00F31685">
              <w:rPr>
                <w:rFonts w:ascii="Arial" w:hAnsi="Arial" w:cs="Arial"/>
                <w:b/>
                <w:sz w:val="16"/>
                <w:szCs w:val="16"/>
              </w:rPr>
              <w:t>yr</w:t>
            </w:r>
            <w:proofErr w:type="spellEnd"/>
          </w:p>
        </w:tc>
        <w:tc>
          <w:tcPr>
            <w:tcW w:w="1693" w:type="dxa"/>
            <w:vAlign w:val="center"/>
          </w:tcPr>
          <w:p w14:paraId="66E56834" w14:textId="77777777" w:rsidR="003B6B63" w:rsidRPr="00F31685" w:rsidRDefault="003B6B63" w:rsidP="007901FE">
            <w:pPr>
              <w:spacing w:line="300" w:lineRule="atLeast"/>
              <w:jc w:val="center"/>
              <w:rPr>
                <w:rFonts w:ascii="Arial" w:hAnsi="Arial" w:cs="Arial"/>
                <w:b/>
                <w:sz w:val="16"/>
                <w:szCs w:val="16"/>
              </w:rPr>
            </w:pPr>
            <w:r w:rsidRPr="00F31685">
              <w:rPr>
                <w:rFonts w:ascii="Arial" w:hAnsi="Arial" w:cs="Arial"/>
                <w:b/>
                <w:sz w:val="16"/>
                <w:szCs w:val="16"/>
              </w:rPr>
              <w:t>Annual Mercury Outputs, kg/</w:t>
            </w:r>
            <w:proofErr w:type="spellStart"/>
            <w:r w:rsidRPr="00F31685">
              <w:rPr>
                <w:rFonts w:ascii="Arial" w:hAnsi="Arial" w:cs="Arial"/>
                <w:b/>
                <w:sz w:val="16"/>
                <w:szCs w:val="16"/>
              </w:rPr>
              <w:t>yr</w:t>
            </w:r>
            <w:proofErr w:type="spellEnd"/>
          </w:p>
        </w:tc>
      </w:tr>
      <w:tr w:rsidR="003B6B63" w14:paraId="5403777B" w14:textId="77777777" w:rsidTr="003B6B63">
        <w:tc>
          <w:tcPr>
            <w:tcW w:w="2518" w:type="dxa"/>
            <w:vMerge/>
            <w:vAlign w:val="center"/>
          </w:tcPr>
          <w:p w14:paraId="444B580F" w14:textId="77777777" w:rsidR="003B6B63" w:rsidRPr="00F31685" w:rsidRDefault="003B6B63" w:rsidP="007901FE">
            <w:pPr>
              <w:spacing w:line="300" w:lineRule="atLeast"/>
              <w:jc w:val="center"/>
              <w:rPr>
                <w:rFonts w:ascii="Arial" w:hAnsi="Arial" w:cs="Arial"/>
                <w:b/>
                <w:sz w:val="16"/>
                <w:szCs w:val="16"/>
              </w:rPr>
            </w:pPr>
          </w:p>
        </w:tc>
        <w:tc>
          <w:tcPr>
            <w:tcW w:w="1692" w:type="dxa"/>
            <w:vMerge/>
            <w:vAlign w:val="center"/>
          </w:tcPr>
          <w:p w14:paraId="197E1569" w14:textId="77777777" w:rsidR="003B6B63" w:rsidRPr="00F31685" w:rsidRDefault="003B6B63" w:rsidP="007901FE">
            <w:pPr>
              <w:spacing w:line="300" w:lineRule="atLeast"/>
              <w:jc w:val="center"/>
              <w:rPr>
                <w:rFonts w:ascii="Arial" w:hAnsi="Arial" w:cs="Arial"/>
                <w:b/>
                <w:sz w:val="16"/>
                <w:szCs w:val="16"/>
              </w:rPr>
            </w:pPr>
          </w:p>
        </w:tc>
        <w:tc>
          <w:tcPr>
            <w:tcW w:w="1692" w:type="dxa"/>
            <w:vMerge/>
            <w:vAlign w:val="center"/>
          </w:tcPr>
          <w:p w14:paraId="15082E72" w14:textId="77777777" w:rsidR="003B6B63" w:rsidRPr="00F31685" w:rsidRDefault="003B6B63" w:rsidP="007901FE">
            <w:pPr>
              <w:spacing w:line="300" w:lineRule="atLeast"/>
              <w:jc w:val="center"/>
              <w:rPr>
                <w:rFonts w:ascii="Arial" w:hAnsi="Arial" w:cs="Arial"/>
                <w:b/>
                <w:sz w:val="16"/>
                <w:szCs w:val="16"/>
              </w:rPr>
            </w:pPr>
          </w:p>
        </w:tc>
        <w:tc>
          <w:tcPr>
            <w:tcW w:w="1692" w:type="dxa"/>
            <w:vMerge/>
            <w:vAlign w:val="center"/>
          </w:tcPr>
          <w:p w14:paraId="75EA81F5" w14:textId="77777777" w:rsidR="003B6B63" w:rsidRPr="00F31685" w:rsidRDefault="003B6B63" w:rsidP="007901FE">
            <w:pPr>
              <w:spacing w:line="300" w:lineRule="atLeast"/>
              <w:jc w:val="center"/>
              <w:rPr>
                <w:rFonts w:ascii="Arial" w:hAnsi="Arial" w:cs="Arial"/>
                <w:b/>
                <w:sz w:val="16"/>
                <w:szCs w:val="16"/>
              </w:rPr>
            </w:pPr>
          </w:p>
        </w:tc>
        <w:tc>
          <w:tcPr>
            <w:tcW w:w="1693" w:type="dxa"/>
            <w:vAlign w:val="center"/>
          </w:tcPr>
          <w:p w14:paraId="40889D33" w14:textId="77777777" w:rsidR="003B6B63" w:rsidRPr="00F31685" w:rsidRDefault="003B6B63" w:rsidP="007901FE">
            <w:pPr>
              <w:spacing w:line="300" w:lineRule="atLeast"/>
              <w:jc w:val="center"/>
              <w:rPr>
                <w:rFonts w:ascii="Arial" w:hAnsi="Arial" w:cs="Arial"/>
                <w:b/>
                <w:sz w:val="16"/>
                <w:szCs w:val="16"/>
              </w:rPr>
            </w:pPr>
            <w:r w:rsidRPr="00F31685">
              <w:rPr>
                <w:rFonts w:ascii="Arial" w:hAnsi="Arial" w:cs="Arial"/>
                <w:b/>
                <w:sz w:val="16"/>
                <w:szCs w:val="16"/>
              </w:rPr>
              <w:t>Air</w:t>
            </w:r>
          </w:p>
        </w:tc>
      </w:tr>
      <w:tr w:rsidR="003B6B63" w14:paraId="0CD15F8E" w14:textId="77777777" w:rsidTr="003B6B63">
        <w:tc>
          <w:tcPr>
            <w:tcW w:w="2518" w:type="dxa"/>
          </w:tcPr>
          <w:p w14:paraId="240B8E3D" w14:textId="77777777" w:rsidR="003B6B63" w:rsidRPr="00F31685" w:rsidRDefault="003B6B63" w:rsidP="007901FE">
            <w:pPr>
              <w:spacing w:line="300" w:lineRule="atLeast"/>
              <w:jc w:val="both"/>
              <w:rPr>
                <w:rFonts w:ascii="Arial" w:hAnsi="Arial" w:cs="Arial"/>
                <w:sz w:val="16"/>
                <w:szCs w:val="16"/>
              </w:rPr>
            </w:pPr>
            <w:r>
              <w:rPr>
                <w:rFonts w:ascii="Arial" w:hAnsi="Arial" w:cs="Arial"/>
                <w:sz w:val="16"/>
                <w:szCs w:val="16"/>
              </w:rPr>
              <w:t>Biomass usage</w:t>
            </w:r>
            <w:r w:rsidR="002624E0">
              <w:rPr>
                <w:rFonts w:ascii="Arial" w:hAnsi="Arial" w:cs="Arial"/>
                <w:sz w:val="16"/>
                <w:szCs w:val="16"/>
              </w:rPr>
              <w:t>, 2012 &amp; 2016</w:t>
            </w:r>
          </w:p>
        </w:tc>
        <w:tc>
          <w:tcPr>
            <w:tcW w:w="1692" w:type="dxa"/>
            <w:vAlign w:val="center"/>
          </w:tcPr>
          <w:p w14:paraId="6A5C8ADB" w14:textId="77777777" w:rsidR="003B6B63" w:rsidRPr="00F31685" w:rsidRDefault="007E4209" w:rsidP="003B6B63">
            <w:pPr>
              <w:spacing w:line="300" w:lineRule="atLeast"/>
              <w:jc w:val="center"/>
              <w:rPr>
                <w:rFonts w:ascii="Arial" w:hAnsi="Arial" w:cs="Arial"/>
                <w:sz w:val="16"/>
                <w:szCs w:val="16"/>
              </w:rPr>
            </w:pPr>
            <w:r>
              <w:rPr>
                <w:rFonts w:ascii="Arial" w:hAnsi="Arial" w:cs="Arial"/>
                <w:sz w:val="16"/>
                <w:szCs w:val="16"/>
              </w:rPr>
              <w:t>1,800</w:t>
            </w:r>
            <w:r w:rsidR="003B6B63">
              <w:rPr>
                <w:rFonts w:ascii="Arial" w:hAnsi="Arial" w:cs="Arial"/>
                <w:sz w:val="16"/>
                <w:szCs w:val="16"/>
              </w:rPr>
              <w:t>,000</w:t>
            </w:r>
          </w:p>
        </w:tc>
        <w:tc>
          <w:tcPr>
            <w:tcW w:w="1692" w:type="dxa"/>
            <w:vAlign w:val="center"/>
          </w:tcPr>
          <w:p w14:paraId="7B47E572" w14:textId="77777777" w:rsidR="003B6B63" w:rsidRPr="00F31685" w:rsidRDefault="003B6B63" w:rsidP="003B6B63">
            <w:pPr>
              <w:spacing w:line="300" w:lineRule="atLeast"/>
              <w:jc w:val="center"/>
              <w:rPr>
                <w:rFonts w:ascii="Arial" w:hAnsi="Arial" w:cs="Arial"/>
                <w:sz w:val="16"/>
                <w:szCs w:val="16"/>
              </w:rPr>
            </w:pPr>
            <w:r>
              <w:rPr>
                <w:rFonts w:ascii="Arial" w:hAnsi="Arial" w:cs="Arial"/>
                <w:sz w:val="16"/>
                <w:szCs w:val="16"/>
              </w:rPr>
              <w:t>0.007 - 0.07</w:t>
            </w:r>
          </w:p>
        </w:tc>
        <w:tc>
          <w:tcPr>
            <w:tcW w:w="1692" w:type="dxa"/>
            <w:vAlign w:val="center"/>
          </w:tcPr>
          <w:p w14:paraId="103A4A37" w14:textId="77777777" w:rsidR="003B6B63" w:rsidRPr="00F31685" w:rsidRDefault="007E4209" w:rsidP="003B6B63">
            <w:pPr>
              <w:spacing w:line="300" w:lineRule="atLeast"/>
              <w:jc w:val="center"/>
              <w:rPr>
                <w:rFonts w:ascii="Arial" w:hAnsi="Arial" w:cs="Arial"/>
                <w:sz w:val="16"/>
                <w:szCs w:val="16"/>
              </w:rPr>
            </w:pPr>
            <w:r>
              <w:rPr>
                <w:rFonts w:ascii="Arial" w:hAnsi="Arial" w:cs="Arial"/>
                <w:sz w:val="16"/>
                <w:szCs w:val="16"/>
              </w:rPr>
              <w:t xml:space="preserve">12.6 </w:t>
            </w:r>
            <w:r w:rsidR="00435C60">
              <w:rPr>
                <w:rFonts w:ascii="Arial" w:hAnsi="Arial" w:cs="Arial"/>
                <w:sz w:val="16"/>
                <w:szCs w:val="16"/>
              </w:rPr>
              <w:t>–</w:t>
            </w:r>
            <w:r>
              <w:rPr>
                <w:rFonts w:ascii="Arial" w:hAnsi="Arial" w:cs="Arial"/>
                <w:sz w:val="16"/>
                <w:szCs w:val="16"/>
              </w:rPr>
              <w:t xml:space="preserve"> 126</w:t>
            </w:r>
            <w:r w:rsidR="00435C60">
              <w:rPr>
                <w:rFonts w:ascii="Arial" w:hAnsi="Arial" w:cs="Arial"/>
                <w:sz w:val="16"/>
                <w:szCs w:val="16"/>
              </w:rPr>
              <w:t xml:space="preserve"> (69.3)</w:t>
            </w:r>
          </w:p>
        </w:tc>
        <w:tc>
          <w:tcPr>
            <w:tcW w:w="1693" w:type="dxa"/>
            <w:vAlign w:val="center"/>
          </w:tcPr>
          <w:p w14:paraId="273DE6F0" w14:textId="77777777" w:rsidR="003B6B63" w:rsidRPr="00F31685" w:rsidRDefault="007E4209" w:rsidP="003B6B63">
            <w:pPr>
              <w:spacing w:line="300" w:lineRule="atLeast"/>
              <w:jc w:val="center"/>
              <w:rPr>
                <w:rFonts w:ascii="Arial" w:hAnsi="Arial" w:cs="Arial"/>
                <w:sz w:val="16"/>
                <w:szCs w:val="16"/>
              </w:rPr>
            </w:pPr>
            <w:r>
              <w:rPr>
                <w:rFonts w:ascii="Arial" w:hAnsi="Arial" w:cs="Arial"/>
                <w:sz w:val="16"/>
                <w:szCs w:val="16"/>
              </w:rPr>
              <w:t xml:space="preserve">12.6 </w:t>
            </w:r>
            <w:r w:rsidR="00435C60">
              <w:rPr>
                <w:rFonts w:ascii="Arial" w:hAnsi="Arial" w:cs="Arial"/>
                <w:sz w:val="16"/>
                <w:szCs w:val="16"/>
              </w:rPr>
              <w:t>–</w:t>
            </w:r>
            <w:r>
              <w:rPr>
                <w:rFonts w:ascii="Arial" w:hAnsi="Arial" w:cs="Arial"/>
                <w:sz w:val="16"/>
                <w:szCs w:val="16"/>
              </w:rPr>
              <w:t xml:space="preserve"> 126</w:t>
            </w:r>
            <w:r w:rsidR="00435C60">
              <w:rPr>
                <w:rFonts w:ascii="Arial" w:hAnsi="Arial" w:cs="Arial"/>
                <w:sz w:val="16"/>
                <w:szCs w:val="16"/>
              </w:rPr>
              <w:t xml:space="preserve"> (69.3)</w:t>
            </w:r>
          </w:p>
        </w:tc>
      </w:tr>
    </w:tbl>
    <w:p w14:paraId="574B804F" w14:textId="77777777" w:rsidR="003B6B63" w:rsidRPr="00BE17CF" w:rsidRDefault="003B6B63" w:rsidP="003B6B63">
      <w:pPr>
        <w:spacing w:before="120" w:line="300" w:lineRule="atLeast"/>
        <w:jc w:val="both"/>
        <w:rPr>
          <w:rFonts w:ascii="Arial" w:hAnsi="Arial" w:cs="Arial"/>
          <w:b/>
          <w:szCs w:val="18"/>
        </w:rPr>
      </w:pPr>
      <w:r w:rsidRPr="00BE17CF">
        <w:rPr>
          <w:rFonts w:ascii="Arial" w:hAnsi="Arial" w:cs="Arial"/>
          <w:b/>
          <w:szCs w:val="18"/>
        </w:rPr>
        <w:t>Certainty assessment</w:t>
      </w:r>
    </w:p>
    <w:p w14:paraId="0686399C" w14:textId="77777777" w:rsidR="003B6B63" w:rsidRDefault="003B6B63" w:rsidP="004334D7">
      <w:pPr>
        <w:tabs>
          <w:tab w:val="left" w:pos="1985"/>
        </w:tabs>
        <w:spacing w:line="300" w:lineRule="atLeast"/>
        <w:ind w:left="1985" w:hanging="1985"/>
        <w:jc w:val="both"/>
        <w:rPr>
          <w:szCs w:val="18"/>
        </w:rPr>
      </w:pPr>
      <w:r>
        <w:rPr>
          <w:szCs w:val="18"/>
        </w:rPr>
        <w:t xml:space="preserve">Activity data: </w:t>
      </w:r>
      <w:r>
        <w:rPr>
          <w:szCs w:val="18"/>
        </w:rPr>
        <w:tab/>
      </w:r>
      <w:r w:rsidR="004334D7">
        <w:rPr>
          <w:szCs w:val="18"/>
        </w:rPr>
        <w:t xml:space="preserve">MEDIUM </w:t>
      </w:r>
      <w:r>
        <w:rPr>
          <w:szCs w:val="18"/>
        </w:rPr>
        <w:t xml:space="preserve">(because it was obtained from a </w:t>
      </w:r>
      <w:r w:rsidR="004334D7">
        <w:rPr>
          <w:szCs w:val="18"/>
        </w:rPr>
        <w:t xml:space="preserve">combination of </w:t>
      </w:r>
      <w:r>
        <w:rPr>
          <w:szCs w:val="18"/>
        </w:rPr>
        <w:t>national data</w:t>
      </w:r>
      <w:r w:rsidR="00D947F8">
        <w:rPr>
          <w:szCs w:val="18"/>
        </w:rPr>
        <w:t xml:space="preserve"> and estimated </w:t>
      </w:r>
      <w:r w:rsidR="004334D7">
        <w:rPr>
          <w:szCs w:val="18"/>
        </w:rPr>
        <w:t>operating loads</w:t>
      </w:r>
      <w:r>
        <w:rPr>
          <w:szCs w:val="18"/>
        </w:rPr>
        <w:t>)</w:t>
      </w:r>
    </w:p>
    <w:p w14:paraId="665CC027" w14:textId="77777777" w:rsidR="003B6B63" w:rsidRDefault="00CE3E59" w:rsidP="003B6B63">
      <w:pPr>
        <w:tabs>
          <w:tab w:val="left" w:pos="1985"/>
        </w:tabs>
        <w:spacing w:line="300" w:lineRule="atLeast"/>
        <w:jc w:val="both"/>
        <w:rPr>
          <w:szCs w:val="18"/>
        </w:rPr>
      </w:pPr>
      <w:r>
        <w:rPr>
          <w:szCs w:val="18"/>
        </w:rPr>
        <w:t xml:space="preserve">Input estimates: </w:t>
      </w:r>
      <w:r>
        <w:rPr>
          <w:szCs w:val="18"/>
        </w:rPr>
        <w:tab/>
        <w:t>LOW</w:t>
      </w:r>
      <w:r w:rsidR="003B6B63">
        <w:rPr>
          <w:szCs w:val="18"/>
        </w:rPr>
        <w:t xml:space="preserve"> (because they are based on </w:t>
      </w:r>
      <w:r w:rsidR="003B6B63" w:rsidRPr="003B6B63">
        <w:rPr>
          <w:szCs w:val="18"/>
        </w:rPr>
        <w:t xml:space="preserve">the default Toolkit </w:t>
      </w:r>
      <w:r w:rsidR="003B6B63">
        <w:rPr>
          <w:szCs w:val="18"/>
        </w:rPr>
        <w:t>input</w:t>
      </w:r>
      <w:r w:rsidR="003B6B63" w:rsidRPr="003B6B63">
        <w:rPr>
          <w:szCs w:val="18"/>
        </w:rPr>
        <w:t xml:space="preserve"> factors</w:t>
      </w:r>
      <w:r w:rsidR="003B6B63">
        <w:rPr>
          <w:szCs w:val="18"/>
        </w:rPr>
        <w:t>)</w:t>
      </w:r>
    </w:p>
    <w:p w14:paraId="0F449800" w14:textId="77777777" w:rsidR="003B6B63" w:rsidRPr="0028681C" w:rsidRDefault="003B6B63" w:rsidP="003B6B63">
      <w:pPr>
        <w:tabs>
          <w:tab w:val="left" w:pos="1985"/>
        </w:tabs>
        <w:spacing w:line="300" w:lineRule="atLeast"/>
        <w:jc w:val="both"/>
        <w:rPr>
          <w:szCs w:val="18"/>
        </w:rPr>
      </w:pPr>
      <w:r>
        <w:rPr>
          <w:szCs w:val="18"/>
        </w:rPr>
        <w:t xml:space="preserve">Output estimates: </w:t>
      </w:r>
      <w:r>
        <w:rPr>
          <w:szCs w:val="18"/>
        </w:rPr>
        <w:tab/>
        <w:t>LOW (because they are based on the default Toolkit output factors).</w:t>
      </w:r>
    </w:p>
    <w:p w14:paraId="4F720DDE" w14:textId="77777777" w:rsidR="003E35CE" w:rsidRDefault="003E35CE">
      <w:pPr>
        <w:spacing w:after="0"/>
        <w:rPr>
          <w:rFonts w:ascii="Arial" w:eastAsia="Calibri" w:hAnsi="Arial"/>
          <w:b/>
          <w:sz w:val="24"/>
        </w:rPr>
      </w:pPr>
      <w:bookmarkStart w:id="42" w:name="_Toc484949572"/>
      <w:r>
        <w:rPr>
          <w:rFonts w:eastAsia="Calibri"/>
        </w:rPr>
        <w:br w:type="page"/>
      </w:r>
    </w:p>
    <w:p w14:paraId="5587E6D4" w14:textId="64168826" w:rsidR="005A3C18" w:rsidRDefault="00E874FE" w:rsidP="00E874FE">
      <w:pPr>
        <w:pStyle w:val="Heading2"/>
        <w:rPr>
          <w:rFonts w:eastAsia="Calibri"/>
        </w:rPr>
      </w:pPr>
      <w:r w:rsidRPr="00E874FE">
        <w:rPr>
          <w:rFonts w:eastAsia="Calibri"/>
        </w:rPr>
        <w:lastRenderedPageBreak/>
        <w:t>Geothermal power production</w:t>
      </w:r>
      <w:r w:rsidR="0042137C">
        <w:rPr>
          <w:rFonts w:eastAsia="Calibri"/>
        </w:rPr>
        <w:t xml:space="preserve"> and use</w:t>
      </w:r>
      <w:bookmarkEnd w:id="42"/>
    </w:p>
    <w:p w14:paraId="59AF4102" w14:textId="77777777" w:rsidR="005A3C18" w:rsidRDefault="00C07D5F" w:rsidP="003833D6">
      <w:pPr>
        <w:spacing w:line="300" w:lineRule="atLeast"/>
        <w:jc w:val="both"/>
        <w:rPr>
          <w:rFonts w:eastAsia="Calibri"/>
          <w:szCs w:val="22"/>
        </w:rPr>
      </w:pPr>
      <w:r>
        <w:rPr>
          <w:rFonts w:eastAsia="Calibri"/>
          <w:szCs w:val="22"/>
        </w:rPr>
        <w:t>Geothermal steam contains small quantities of mercury, and most of this is released to air if the steam is discharged to air after direct use</w:t>
      </w:r>
      <w:r w:rsidR="007C2231">
        <w:rPr>
          <w:rFonts w:eastAsia="Calibri"/>
          <w:szCs w:val="22"/>
        </w:rPr>
        <w:t xml:space="preserve"> as a source of heat, or if the steam is</w:t>
      </w:r>
      <w:r>
        <w:rPr>
          <w:rFonts w:eastAsia="Calibri"/>
          <w:szCs w:val="22"/>
        </w:rPr>
        <w:t xml:space="preserve"> used for electricity generation</w:t>
      </w:r>
      <w:r w:rsidR="007C2231">
        <w:rPr>
          <w:rFonts w:eastAsia="Calibri"/>
          <w:szCs w:val="22"/>
        </w:rPr>
        <w:t xml:space="preserve">. Most geothermal power stations in New Zealand re-inject the geothermal fluids back into the ground after use, to assist in maintaining reservoir pressures. However, the mercury is mainly present in the </w:t>
      </w:r>
      <w:r w:rsidR="0048170B">
        <w:rPr>
          <w:rFonts w:eastAsia="Calibri"/>
          <w:szCs w:val="22"/>
        </w:rPr>
        <w:t xml:space="preserve">steam and </w:t>
      </w:r>
      <w:r w:rsidR="007C2231">
        <w:rPr>
          <w:rFonts w:eastAsia="Calibri"/>
          <w:szCs w:val="22"/>
        </w:rPr>
        <w:t>non-condensable gas</w:t>
      </w:r>
      <w:r w:rsidR="007275EE">
        <w:rPr>
          <w:rFonts w:eastAsia="Calibri"/>
          <w:szCs w:val="22"/>
        </w:rPr>
        <w:t>es</w:t>
      </w:r>
      <w:r w:rsidR="007C2231">
        <w:rPr>
          <w:rFonts w:eastAsia="Calibri"/>
          <w:szCs w:val="22"/>
        </w:rPr>
        <w:t xml:space="preserve"> </w:t>
      </w:r>
      <w:r w:rsidR="007275EE">
        <w:rPr>
          <w:rFonts w:eastAsia="Calibri"/>
          <w:szCs w:val="22"/>
        </w:rPr>
        <w:t>which are separated from</w:t>
      </w:r>
      <w:r w:rsidR="007C2231">
        <w:rPr>
          <w:rFonts w:eastAsia="Calibri"/>
          <w:szCs w:val="22"/>
        </w:rPr>
        <w:t xml:space="preserve"> the </w:t>
      </w:r>
      <w:r w:rsidR="0048170B">
        <w:rPr>
          <w:rFonts w:eastAsia="Calibri"/>
          <w:szCs w:val="22"/>
        </w:rPr>
        <w:t>fluids</w:t>
      </w:r>
      <w:r w:rsidR="007C2231">
        <w:rPr>
          <w:rFonts w:eastAsia="Calibri"/>
          <w:szCs w:val="22"/>
        </w:rPr>
        <w:t xml:space="preserve">, and </w:t>
      </w:r>
      <w:r w:rsidR="007275EE">
        <w:rPr>
          <w:rFonts w:eastAsia="Calibri"/>
          <w:szCs w:val="22"/>
        </w:rPr>
        <w:t xml:space="preserve">are </w:t>
      </w:r>
      <w:r w:rsidR="007C2231">
        <w:rPr>
          <w:rFonts w:eastAsia="Calibri"/>
          <w:szCs w:val="22"/>
        </w:rPr>
        <w:t>not ‘captured’ by the re-injection process (</w:t>
      </w:r>
      <w:proofErr w:type="spellStart"/>
      <w:r w:rsidR="00E56AE2">
        <w:rPr>
          <w:rFonts w:eastAsia="Calibri"/>
          <w:szCs w:val="22"/>
        </w:rPr>
        <w:t>Thain</w:t>
      </w:r>
      <w:proofErr w:type="spellEnd"/>
      <w:r w:rsidR="00E56AE2">
        <w:rPr>
          <w:rFonts w:eastAsia="Calibri"/>
          <w:szCs w:val="22"/>
        </w:rPr>
        <w:t>, 2009</w:t>
      </w:r>
      <w:r w:rsidR="007C2231">
        <w:rPr>
          <w:rFonts w:eastAsia="Calibri"/>
          <w:szCs w:val="22"/>
        </w:rPr>
        <w:t>).</w:t>
      </w:r>
    </w:p>
    <w:p w14:paraId="335DDC71" w14:textId="77777777" w:rsidR="00A429F6" w:rsidRDefault="00A429F6" w:rsidP="00A429F6">
      <w:pPr>
        <w:spacing w:line="300" w:lineRule="atLeast"/>
        <w:jc w:val="both"/>
        <w:rPr>
          <w:rFonts w:eastAsia="Calibri"/>
          <w:szCs w:val="22"/>
        </w:rPr>
      </w:pPr>
      <w:r>
        <w:rPr>
          <w:rFonts w:eastAsia="Calibri"/>
          <w:szCs w:val="22"/>
        </w:rPr>
        <w:t xml:space="preserve">The New Zealand Geothermal Association lists fifteen geothermal sites where electrical power is generated with a total installed capacity of 909 </w:t>
      </w:r>
      <w:proofErr w:type="spellStart"/>
      <w:r>
        <w:rPr>
          <w:rFonts w:eastAsia="Calibri"/>
          <w:szCs w:val="22"/>
        </w:rPr>
        <w:t>MWe</w:t>
      </w:r>
      <w:proofErr w:type="spellEnd"/>
      <w:r>
        <w:rPr>
          <w:rFonts w:eastAsia="Calibri"/>
          <w:szCs w:val="22"/>
        </w:rPr>
        <w:t xml:space="preserve"> (NZGA, 2017). In 2015 New Zealand’s total electricity generation from geothermal power was reported to be 7411 </w:t>
      </w:r>
      <w:r w:rsidR="007171D0">
        <w:rPr>
          <w:rFonts w:eastAsia="Calibri"/>
          <w:szCs w:val="22"/>
        </w:rPr>
        <w:t>Gigawatt</w:t>
      </w:r>
      <w:r>
        <w:rPr>
          <w:rFonts w:eastAsia="Calibri"/>
          <w:szCs w:val="22"/>
        </w:rPr>
        <w:t xml:space="preserve">-hours, which is almost 30% higher than the 5,770 </w:t>
      </w:r>
      <w:r w:rsidR="007171D0">
        <w:rPr>
          <w:rFonts w:eastAsia="Calibri"/>
          <w:szCs w:val="22"/>
        </w:rPr>
        <w:t>Gigawatt</w:t>
      </w:r>
      <w:r>
        <w:rPr>
          <w:rFonts w:eastAsia="Calibri"/>
          <w:szCs w:val="22"/>
        </w:rPr>
        <w:t>-hours reported for 2012 (MBIE 2016)</w:t>
      </w:r>
    </w:p>
    <w:p w14:paraId="32DEB86A" w14:textId="582758D6" w:rsidR="005F423C" w:rsidRDefault="000D1935" w:rsidP="003833D6">
      <w:pPr>
        <w:spacing w:line="300" w:lineRule="atLeast"/>
        <w:jc w:val="both"/>
        <w:rPr>
          <w:rFonts w:eastAsia="Calibri"/>
          <w:szCs w:val="22"/>
        </w:rPr>
      </w:pPr>
      <w:r>
        <w:rPr>
          <w:rFonts w:eastAsia="Calibri"/>
          <w:szCs w:val="22"/>
        </w:rPr>
        <w:t xml:space="preserve">The mercury content of geothermal fluids varies between different geothermal </w:t>
      </w:r>
      <w:r w:rsidR="003D54E4">
        <w:rPr>
          <w:rFonts w:eastAsia="Calibri"/>
          <w:szCs w:val="22"/>
        </w:rPr>
        <w:t xml:space="preserve">fields. The mercury emission rates for 10 of the </w:t>
      </w:r>
      <w:r w:rsidR="0048170B">
        <w:rPr>
          <w:rFonts w:eastAsia="Calibri"/>
          <w:szCs w:val="22"/>
        </w:rPr>
        <w:t xml:space="preserve">existing and proposed </w:t>
      </w:r>
      <w:r w:rsidR="003D54E4">
        <w:rPr>
          <w:rFonts w:eastAsia="Calibri"/>
          <w:szCs w:val="22"/>
        </w:rPr>
        <w:t xml:space="preserve">power stations have been obtained from the estimates given in the application documents for </w:t>
      </w:r>
      <w:r w:rsidR="00A429F6">
        <w:rPr>
          <w:rFonts w:eastAsia="Calibri"/>
          <w:szCs w:val="22"/>
        </w:rPr>
        <w:t>various</w:t>
      </w:r>
      <w:r w:rsidR="003D54E4">
        <w:rPr>
          <w:rFonts w:eastAsia="Calibri"/>
          <w:szCs w:val="22"/>
        </w:rPr>
        <w:t xml:space="preserve"> power station developments in the Bay of Plenty and Waikato regions (Contact Energy, 2007, 2009 and 2012, and Mighty River Power, 2010a and 2010b). The</w:t>
      </w:r>
      <w:r w:rsidR="00133EF7">
        <w:rPr>
          <w:rFonts w:eastAsia="Calibri"/>
          <w:szCs w:val="22"/>
        </w:rPr>
        <w:t xml:space="preserve"> emission rates</w:t>
      </w:r>
      <w:r w:rsidR="003D54E4">
        <w:rPr>
          <w:rFonts w:eastAsia="Calibri"/>
          <w:szCs w:val="22"/>
        </w:rPr>
        <w:t xml:space="preserve"> indicate mercury emission factors, for the discharges to air, in the range of 0.03 – 0.22 g</w:t>
      </w:r>
      <w:r w:rsidR="007646AF">
        <w:rPr>
          <w:rFonts w:eastAsia="Calibri"/>
          <w:szCs w:val="22"/>
        </w:rPr>
        <w:t xml:space="preserve">rams per </w:t>
      </w:r>
      <w:r w:rsidR="003D54E4">
        <w:rPr>
          <w:rFonts w:eastAsia="Calibri"/>
          <w:szCs w:val="22"/>
        </w:rPr>
        <w:t>M</w:t>
      </w:r>
      <w:r w:rsidR="0048170B">
        <w:rPr>
          <w:rFonts w:eastAsia="Calibri"/>
          <w:szCs w:val="22"/>
        </w:rPr>
        <w:t>ega</w:t>
      </w:r>
      <w:r w:rsidR="007171D0">
        <w:rPr>
          <w:rFonts w:eastAsia="Calibri"/>
          <w:szCs w:val="22"/>
        </w:rPr>
        <w:t>w</w:t>
      </w:r>
      <w:r w:rsidR="0048170B">
        <w:rPr>
          <w:rFonts w:eastAsia="Calibri"/>
          <w:szCs w:val="22"/>
        </w:rPr>
        <w:t>att-hour (MW</w:t>
      </w:r>
      <w:r w:rsidR="003D54E4">
        <w:rPr>
          <w:rFonts w:eastAsia="Calibri"/>
          <w:szCs w:val="22"/>
        </w:rPr>
        <w:t>h</w:t>
      </w:r>
      <w:r w:rsidR="0048170B">
        <w:rPr>
          <w:rFonts w:eastAsia="Calibri"/>
          <w:szCs w:val="22"/>
        </w:rPr>
        <w:t>)</w:t>
      </w:r>
      <w:r w:rsidR="003D54E4">
        <w:rPr>
          <w:rFonts w:eastAsia="Calibri"/>
          <w:szCs w:val="22"/>
        </w:rPr>
        <w:t xml:space="preserve">, with an average of 0.114 g/MWh. There </w:t>
      </w:r>
      <w:proofErr w:type="gramStart"/>
      <w:r w:rsidR="003D54E4">
        <w:rPr>
          <w:rFonts w:eastAsia="Calibri"/>
          <w:szCs w:val="22"/>
        </w:rPr>
        <w:t>are no input</w:t>
      </w:r>
      <w:proofErr w:type="gramEnd"/>
      <w:r w:rsidR="003D54E4">
        <w:rPr>
          <w:rFonts w:eastAsia="Calibri"/>
          <w:szCs w:val="22"/>
        </w:rPr>
        <w:t xml:space="preserve"> or output factors given in the Toolkit for this sub-category, so the calculated emission factors will be used for the release estimates.</w:t>
      </w:r>
    </w:p>
    <w:p w14:paraId="25557A6C" w14:textId="77777777" w:rsidR="005F423C" w:rsidRDefault="005E1110" w:rsidP="003833D6">
      <w:pPr>
        <w:spacing w:line="300" w:lineRule="atLeast"/>
        <w:jc w:val="both"/>
        <w:rPr>
          <w:rFonts w:eastAsia="Calibri"/>
          <w:szCs w:val="22"/>
        </w:rPr>
      </w:pPr>
      <w:r>
        <w:rPr>
          <w:rFonts w:eastAsia="Calibri"/>
          <w:szCs w:val="22"/>
        </w:rPr>
        <w:t xml:space="preserve">The </w:t>
      </w:r>
      <w:proofErr w:type="spellStart"/>
      <w:r>
        <w:rPr>
          <w:rFonts w:eastAsia="Calibri"/>
          <w:szCs w:val="22"/>
        </w:rPr>
        <w:t>Wairakei</w:t>
      </w:r>
      <w:proofErr w:type="spellEnd"/>
      <w:r>
        <w:rPr>
          <w:rFonts w:eastAsia="Calibri"/>
          <w:szCs w:val="22"/>
        </w:rPr>
        <w:t xml:space="preserve"> Power Station differs from all of the others in that most of the </w:t>
      </w:r>
      <w:r w:rsidR="0048170B">
        <w:rPr>
          <w:rFonts w:eastAsia="Calibri"/>
          <w:szCs w:val="22"/>
        </w:rPr>
        <w:t>condensed steam,</w:t>
      </w:r>
      <w:r>
        <w:rPr>
          <w:rFonts w:eastAsia="Calibri"/>
          <w:szCs w:val="22"/>
        </w:rPr>
        <w:t xml:space="preserve"> </w:t>
      </w:r>
      <w:r w:rsidR="0048170B">
        <w:rPr>
          <w:rFonts w:eastAsia="Calibri"/>
          <w:szCs w:val="22"/>
        </w:rPr>
        <w:t xml:space="preserve">is </w:t>
      </w:r>
      <w:r>
        <w:rPr>
          <w:rFonts w:eastAsia="Calibri"/>
          <w:szCs w:val="22"/>
        </w:rPr>
        <w:t xml:space="preserve">not re-injected after use, but </w:t>
      </w:r>
      <w:r w:rsidR="0048170B">
        <w:rPr>
          <w:rFonts w:eastAsia="Calibri"/>
          <w:szCs w:val="22"/>
        </w:rPr>
        <w:t xml:space="preserve">is </w:t>
      </w:r>
      <w:r>
        <w:rPr>
          <w:rFonts w:eastAsia="Calibri"/>
          <w:szCs w:val="22"/>
        </w:rPr>
        <w:t xml:space="preserve">discharged to the Waikato River. </w:t>
      </w:r>
      <w:r w:rsidR="0048170B">
        <w:rPr>
          <w:rFonts w:eastAsia="Calibri"/>
          <w:szCs w:val="22"/>
        </w:rPr>
        <w:t xml:space="preserve">This includes a portion of the mercury present in the associated gases, which in other stations is all </w:t>
      </w:r>
      <w:r w:rsidR="007646AF">
        <w:rPr>
          <w:rFonts w:eastAsia="Calibri"/>
          <w:szCs w:val="22"/>
        </w:rPr>
        <w:t>discharged to air</w:t>
      </w:r>
      <w:r w:rsidR="0048170B">
        <w:rPr>
          <w:rFonts w:eastAsia="Calibri"/>
          <w:szCs w:val="22"/>
        </w:rPr>
        <w:t xml:space="preserve">. </w:t>
      </w:r>
      <w:r w:rsidR="00231A1F">
        <w:rPr>
          <w:rFonts w:eastAsia="Calibri"/>
          <w:szCs w:val="22"/>
        </w:rPr>
        <w:t xml:space="preserve">The estimated discharge from the </w:t>
      </w:r>
      <w:proofErr w:type="spellStart"/>
      <w:r w:rsidR="00231A1F">
        <w:rPr>
          <w:rFonts w:eastAsia="Calibri"/>
          <w:szCs w:val="22"/>
        </w:rPr>
        <w:t>Wairakei</w:t>
      </w:r>
      <w:proofErr w:type="spellEnd"/>
      <w:r w:rsidR="00231A1F">
        <w:rPr>
          <w:rFonts w:eastAsia="Calibri"/>
          <w:szCs w:val="22"/>
        </w:rPr>
        <w:t xml:space="preserve"> Power Station for 2016 was &lt;8.6 kg </w:t>
      </w:r>
      <w:r>
        <w:rPr>
          <w:rFonts w:eastAsia="Calibri"/>
          <w:szCs w:val="22"/>
        </w:rPr>
        <w:t>(</w:t>
      </w:r>
      <w:r w:rsidR="00231A1F">
        <w:rPr>
          <w:rFonts w:eastAsia="Calibri"/>
          <w:szCs w:val="22"/>
        </w:rPr>
        <w:t>D Palmer</w:t>
      </w:r>
      <w:r>
        <w:rPr>
          <w:rFonts w:eastAsia="Calibri"/>
          <w:szCs w:val="22"/>
        </w:rPr>
        <w:t xml:space="preserve">, Waikato Regional Council, </w:t>
      </w:r>
      <w:proofErr w:type="spellStart"/>
      <w:r>
        <w:rPr>
          <w:rFonts w:eastAsia="Calibri"/>
          <w:szCs w:val="22"/>
        </w:rPr>
        <w:t>per</w:t>
      </w:r>
      <w:r w:rsidR="0042137C">
        <w:rPr>
          <w:rFonts w:eastAsia="Calibri"/>
          <w:szCs w:val="22"/>
        </w:rPr>
        <w:t>s</w:t>
      </w:r>
      <w:proofErr w:type="spellEnd"/>
      <w:r w:rsidR="00231A1F">
        <w:rPr>
          <w:rFonts w:eastAsia="Calibri"/>
          <w:szCs w:val="22"/>
        </w:rPr>
        <w:t xml:space="preserve"> </w:t>
      </w:r>
      <w:proofErr w:type="spellStart"/>
      <w:r w:rsidR="00231A1F">
        <w:rPr>
          <w:rFonts w:eastAsia="Calibri"/>
          <w:szCs w:val="22"/>
        </w:rPr>
        <w:t>comm</w:t>
      </w:r>
      <w:proofErr w:type="spellEnd"/>
      <w:r w:rsidR="00231A1F">
        <w:rPr>
          <w:rFonts w:eastAsia="Calibri"/>
          <w:szCs w:val="22"/>
        </w:rPr>
        <w:t>, 2017</w:t>
      </w:r>
      <w:r>
        <w:rPr>
          <w:rFonts w:eastAsia="Calibri"/>
          <w:szCs w:val="22"/>
        </w:rPr>
        <w:t>).</w:t>
      </w:r>
      <w:r w:rsidR="00B8695D">
        <w:rPr>
          <w:rFonts w:eastAsia="Calibri"/>
          <w:szCs w:val="22"/>
        </w:rPr>
        <w:t xml:space="preserve"> </w:t>
      </w:r>
    </w:p>
    <w:p w14:paraId="5B4658C0" w14:textId="6A3DEA13" w:rsidR="00C07D5F" w:rsidRDefault="0042137C" w:rsidP="003833D6">
      <w:pPr>
        <w:spacing w:line="300" w:lineRule="atLeast"/>
        <w:jc w:val="both"/>
        <w:rPr>
          <w:rFonts w:eastAsia="Calibri"/>
          <w:szCs w:val="22"/>
        </w:rPr>
      </w:pPr>
      <w:r w:rsidRPr="0042137C">
        <w:rPr>
          <w:rFonts w:eastAsia="Calibri"/>
          <w:szCs w:val="22"/>
        </w:rPr>
        <w:t xml:space="preserve">The mercury input and output calculations for </w:t>
      </w:r>
      <w:r>
        <w:rPr>
          <w:rFonts w:eastAsia="Calibri"/>
          <w:szCs w:val="22"/>
        </w:rPr>
        <w:t>geothermal power</w:t>
      </w:r>
      <w:r w:rsidRPr="0042137C">
        <w:rPr>
          <w:rFonts w:eastAsia="Calibri"/>
          <w:szCs w:val="22"/>
        </w:rPr>
        <w:t xml:space="preserve"> are shown in </w:t>
      </w:r>
      <w:r w:rsidRPr="00636D03">
        <w:rPr>
          <w:rFonts w:eastAsia="Calibri"/>
          <w:szCs w:val="22"/>
        </w:rPr>
        <w:fldChar w:fldCharType="begin"/>
      </w:r>
      <w:r w:rsidRPr="00636D03">
        <w:rPr>
          <w:rFonts w:eastAsia="Calibri"/>
          <w:szCs w:val="22"/>
        </w:rPr>
        <w:instrText xml:space="preserve"> REF _Ref358368587 \h </w:instrText>
      </w:r>
      <w:r w:rsidR="00636D03">
        <w:rPr>
          <w:rFonts w:eastAsia="Calibri"/>
          <w:szCs w:val="22"/>
        </w:rPr>
        <w:instrText xml:space="preserve"> \* MERGEFORMAT </w:instrText>
      </w:r>
      <w:r w:rsidRPr="00636D03">
        <w:rPr>
          <w:rFonts w:eastAsia="Calibri"/>
          <w:szCs w:val="22"/>
        </w:rPr>
      </w:r>
      <w:r w:rsidRPr="00636D03">
        <w:rPr>
          <w:rFonts w:eastAsia="Calibri"/>
          <w:szCs w:val="22"/>
        </w:rPr>
        <w:fldChar w:fldCharType="separate"/>
      </w:r>
      <w:r w:rsidR="00423FC9" w:rsidRPr="00423FC9">
        <w:t xml:space="preserve">Table </w:t>
      </w:r>
      <w:r w:rsidR="00423FC9" w:rsidRPr="00423FC9">
        <w:rPr>
          <w:noProof/>
        </w:rPr>
        <w:t>3</w:t>
      </w:r>
      <w:r w:rsidR="00423FC9" w:rsidRPr="00423FC9">
        <w:rPr>
          <w:noProof/>
        </w:rPr>
        <w:noBreakHyphen/>
        <w:t>7</w:t>
      </w:r>
      <w:r w:rsidRPr="00636D03">
        <w:rPr>
          <w:rFonts w:eastAsia="Calibri"/>
          <w:szCs w:val="22"/>
        </w:rPr>
        <w:fldChar w:fldCharType="end"/>
      </w:r>
      <w:r>
        <w:rPr>
          <w:rFonts w:eastAsia="Calibri"/>
          <w:szCs w:val="22"/>
        </w:rPr>
        <w:t xml:space="preserve"> </w:t>
      </w:r>
      <w:r w:rsidRPr="0042137C">
        <w:rPr>
          <w:rFonts w:eastAsia="Calibri"/>
          <w:szCs w:val="22"/>
        </w:rPr>
        <w:t>below.</w:t>
      </w:r>
      <w:r w:rsidR="00A8164C">
        <w:rPr>
          <w:rFonts w:eastAsia="Calibri"/>
          <w:szCs w:val="22"/>
        </w:rPr>
        <w:t xml:space="preserve"> </w:t>
      </w:r>
      <w:r>
        <w:rPr>
          <w:rFonts w:eastAsia="Calibri"/>
          <w:szCs w:val="22"/>
        </w:rPr>
        <w:t>I</w:t>
      </w:r>
      <w:r w:rsidR="00116640">
        <w:rPr>
          <w:rFonts w:eastAsia="Calibri"/>
          <w:szCs w:val="22"/>
        </w:rPr>
        <w:t xml:space="preserve">n addition </w:t>
      </w:r>
      <w:r>
        <w:rPr>
          <w:rFonts w:eastAsia="Calibri"/>
          <w:szCs w:val="22"/>
        </w:rPr>
        <w:t xml:space="preserve">to electricity generation, </w:t>
      </w:r>
      <w:r w:rsidR="00116640">
        <w:rPr>
          <w:rFonts w:eastAsia="Calibri"/>
          <w:szCs w:val="22"/>
        </w:rPr>
        <w:t xml:space="preserve">an allowance has been made for </w:t>
      </w:r>
      <w:r w:rsidR="00C07D5F">
        <w:rPr>
          <w:rFonts w:eastAsia="Calibri"/>
          <w:szCs w:val="22"/>
        </w:rPr>
        <w:t>direct use</w:t>
      </w:r>
      <w:r w:rsidR="00644292">
        <w:rPr>
          <w:rFonts w:eastAsia="Calibri"/>
          <w:szCs w:val="22"/>
        </w:rPr>
        <w:t>s</w:t>
      </w:r>
      <w:r w:rsidR="00C07D5F">
        <w:rPr>
          <w:rFonts w:eastAsia="Calibri"/>
          <w:szCs w:val="22"/>
        </w:rPr>
        <w:t xml:space="preserve"> </w:t>
      </w:r>
      <w:r w:rsidR="00644292">
        <w:rPr>
          <w:rFonts w:eastAsia="Calibri"/>
          <w:szCs w:val="22"/>
        </w:rPr>
        <w:t>of total geothermal energy</w:t>
      </w:r>
      <w:r w:rsidR="00116640">
        <w:rPr>
          <w:rFonts w:eastAsia="Calibri"/>
          <w:szCs w:val="22"/>
        </w:rPr>
        <w:t>. These account</w:t>
      </w:r>
      <w:r w:rsidR="00231A1F">
        <w:rPr>
          <w:rFonts w:eastAsia="Calibri"/>
          <w:szCs w:val="22"/>
        </w:rPr>
        <w:t xml:space="preserve">ed for an </w:t>
      </w:r>
      <w:r w:rsidR="00E60597">
        <w:rPr>
          <w:rFonts w:eastAsia="Calibri"/>
          <w:szCs w:val="22"/>
        </w:rPr>
        <w:t>additional 3.8</w:t>
      </w:r>
      <w:r w:rsidR="00116640">
        <w:rPr>
          <w:rFonts w:eastAsia="Calibri"/>
          <w:szCs w:val="22"/>
        </w:rPr>
        <w:t xml:space="preserve">% of geothermal </w:t>
      </w:r>
      <w:r w:rsidR="00644292">
        <w:rPr>
          <w:rFonts w:eastAsia="Calibri"/>
          <w:szCs w:val="22"/>
        </w:rPr>
        <w:t>use</w:t>
      </w:r>
      <w:r w:rsidR="00116640">
        <w:rPr>
          <w:rFonts w:eastAsia="Calibri"/>
          <w:szCs w:val="22"/>
        </w:rPr>
        <w:t>,</w:t>
      </w:r>
      <w:r w:rsidR="00116640" w:rsidRPr="00116640">
        <w:rPr>
          <w:rFonts w:eastAsia="Calibri"/>
          <w:szCs w:val="22"/>
        </w:rPr>
        <w:t xml:space="preserve"> </w:t>
      </w:r>
      <w:r w:rsidR="00116640">
        <w:rPr>
          <w:rFonts w:eastAsia="Calibri"/>
          <w:szCs w:val="22"/>
        </w:rPr>
        <w:t>on an energy basis</w:t>
      </w:r>
      <w:r w:rsidR="00644292">
        <w:rPr>
          <w:rFonts w:eastAsia="Calibri"/>
          <w:szCs w:val="22"/>
        </w:rPr>
        <w:t>, (</w:t>
      </w:r>
      <w:r w:rsidR="00231A1F">
        <w:rPr>
          <w:rFonts w:eastAsia="Calibri"/>
          <w:szCs w:val="22"/>
        </w:rPr>
        <w:t>MBIE, 2016</w:t>
      </w:r>
      <w:r w:rsidR="00644292">
        <w:rPr>
          <w:rFonts w:eastAsia="Calibri"/>
          <w:szCs w:val="22"/>
        </w:rPr>
        <w:t xml:space="preserve">). </w:t>
      </w:r>
      <w:r w:rsidR="00116640">
        <w:rPr>
          <w:rFonts w:eastAsia="Calibri"/>
          <w:szCs w:val="22"/>
        </w:rPr>
        <w:t>T</w:t>
      </w:r>
      <w:r w:rsidR="00644292">
        <w:rPr>
          <w:rFonts w:eastAsia="Calibri"/>
          <w:szCs w:val="22"/>
        </w:rPr>
        <w:t xml:space="preserve">he </w:t>
      </w:r>
      <w:r w:rsidR="00116640">
        <w:rPr>
          <w:rFonts w:eastAsia="Calibri"/>
          <w:szCs w:val="22"/>
        </w:rPr>
        <w:t xml:space="preserve">inputs from these have simply been assessed on a proportional basis </w:t>
      </w:r>
      <w:r w:rsidR="00644292">
        <w:rPr>
          <w:rFonts w:eastAsia="Calibri"/>
          <w:szCs w:val="22"/>
        </w:rPr>
        <w:t xml:space="preserve">from </w:t>
      </w:r>
      <w:r w:rsidR="00116640">
        <w:rPr>
          <w:rFonts w:eastAsia="Calibri"/>
          <w:szCs w:val="22"/>
        </w:rPr>
        <w:t>the power generation inputs</w:t>
      </w:r>
      <w:r w:rsidR="00644292">
        <w:rPr>
          <w:rFonts w:eastAsia="Calibri"/>
          <w:szCs w:val="22"/>
        </w:rPr>
        <w:t>.</w:t>
      </w:r>
    </w:p>
    <w:p w14:paraId="34C79D96" w14:textId="77777777" w:rsidR="00C07D5F" w:rsidRDefault="0042137C" w:rsidP="00644292">
      <w:pPr>
        <w:pStyle w:val="Caption"/>
        <w:spacing w:before="240"/>
        <w:rPr>
          <w:rFonts w:eastAsia="Calibri"/>
          <w:szCs w:val="22"/>
        </w:rPr>
      </w:pPr>
      <w:bookmarkStart w:id="43" w:name="_Ref358368587"/>
      <w:bookmarkStart w:id="44" w:name="_Toc484949643"/>
      <w:r w:rsidRPr="007901FE">
        <w:rPr>
          <w:rFonts w:ascii="Arial" w:hAnsi="Arial" w:cs="Arial"/>
        </w:rPr>
        <w:t xml:space="preserve">Table </w:t>
      </w:r>
      <w:r w:rsidR="00390C9F">
        <w:rPr>
          <w:rFonts w:ascii="Arial" w:hAnsi="Arial" w:cs="Arial"/>
        </w:rPr>
        <w:fldChar w:fldCharType="begin"/>
      </w:r>
      <w:r w:rsidR="00390C9F">
        <w:rPr>
          <w:rFonts w:ascii="Arial" w:hAnsi="Arial" w:cs="Arial"/>
        </w:rPr>
        <w:instrText xml:space="preserve"> STYLEREF 1 \s </w:instrText>
      </w:r>
      <w:r w:rsidR="00390C9F">
        <w:rPr>
          <w:rFonts w:ascii="Arial" w:hAnsi="Arial" w:cs="Arial"/>
        </w:rPr>
        <w:fldChar w:fldCharType="separate"/>
      </w:r>
      <w:r w:rsidR="00423FC9">
        <w:rPr>
          <w:rFonts w:ascii="Arial" w:hAnsi="Arial" w:cs="Arial"/>
          <w:noProof/>
        </w:rPr>
        <w:t>3</w:t>
      </w:r>
      <w:r w:rsidR="00390C9F">
        <w:rPr>
          <w:rFonts w:ascii="Arial" w:hAnsi="Arial" w:cs="Arial"/>
        </w:rPr>
        <w:fldChar w:fldCharType="end"/>
      </w:r>
      <w:r w:rsidR="00390C9F">
        <w:rPr>
          <w:rFonts w:ascii="Arial" w:hAnsi="Arial" w:cs="Arial"/>
        </w:rPr>
        <w:noBreakHyphen/>
      </w:r>
      <w:r w:rsidR="00390C9F">
        <w:rPr>
          <w:rFonts w:ascii="Arial" w:hAnsi="Arial" w:cs="Arial"/>
        </w:rPr>
        <w:fldChar w:fldCharType="begin"/>
      </w:r>
      <w:r w:rsidR="00390C9F">
        <w:rPr>
          <w:rFonts w:ascii="Arial" w:hAnsi="Arial" w:cs="Arial"/>
        </w:rPr>
        <w:instrText xml:space="preserve"> SEQ Table \* ARABIC \s 1 </w:instrText>
      </w:r>
      <w:r w:rsidR="00390C9F">
        <w:rPr>
          <w:rFonts w:ascii="Arial" w:hAnsi="Arial" w:cs="Arial"/>
        </w:rPr>
        <w:fldChar w:fldCharType="separate"/>
      </w:r>
      <w:r w:rsidR="00423FC9">
        <w:rPr>
          <w:rFonts w:ascii="Arial" w:hAnsi="Arial" w:cs="Arial"/>
          <w:noProof/>
        </w:rPr>
        <w:t>7</w:t>
      </w:r>
      <w:r w:rsidR="00390C9F">
        <w:rPr>
          <w:rFonts w:ascii="Arial" w:hAnsi="Arial" w:cs="Arial"/>
        </w:rPr>
        <w:fldChar w:fldCharType="end"/>
      </w:r>
      <w:bookmarkEnd w:id="43"/>
      <w:r w:rsidRPr="007901FE">
        <w:rPr>
          <w:rFonts w:ascii="Arial" w:hAnsi="Arial" w:cs="Arial"/>
        </w:rPr>
        <w:t>:</w:t>
      </w:r>
      <w:r>
        <w:t xml:space="preserve">  </w:t>
      </w:r>
      <w:r w:rsidRPr="00284760">
        <w:rPr>
          <w:rFonts w:ascii="Arial" w:hAnsi="Arial" w:cs="Arial"/>
        </w:rPr>
        <w:t>Input and output estimates for</w:t>
      </w:r>
      <w:r>
        <w:rPr>
          <w:rFonts w:ascii="Arial" w:hAnsi="Arial" w:cs="Arial"/>
        </w:rPr>
        <w:t xml:space="preserve"> geothermal power production and use</w:t>
      </w:r>
      <w:bookmarkEnd w:id="44"/>
    </w:p>
    <w:tbl>
      <w:tblPr>
        <w:tblStyle w:val="TableGrid"/>
        <w:tblW w:w="0" w:type="auto"/>
        <w:tblLook w:val="04A0" w:firstRow="1" w:lastRow="0" w:firstColumn="1" w:lastColumn="0" w:noHBand="0" w:noVBand="1"/>
      </w:tblPr>
      <w:tblGrid>
        <w:gridCol w:w="2103"/>
        <w:gridCol w:w="1407"/>
        <w:gridCol w:w="1560"/>
        <w:gridCol w:w="1559"/>
        <w:gridCol w:w="1701"/>
        <w:gridCol w:w="957"/>
      </w:tblGrid>
      <w:tr w:rsidR="005F6D6C" w14:paraId="0A6A9280" w14:textId="77777777" w:rsidTr="00B2520C">
        <w:tc>
          <w:tcPr>
            <w:tcW w:w="2103" w:type="dxa"/>
            <w:vMerge w:val="restart"/>
            <w:vAlign w:val="center"/>
          </w:tcPr>
          <w:p w14:paraId="68F5432E" w14:textId="77777777" w:rsidR="005F6D6C" w:rsidRPr="00F31685" w:rsidRDefault="005F6D6C" w:rsidP="007901FE">
            <w:pPr>
              <w:spacing w:line="300" w:lineRule="atLeast"/>
              <w:jc w:val="center"/>
              <w:rPr>
                <w:rFonts w:ascii="Arial" w:hAnsi="Arial" w:cs="Arial"/>
                <w:b/>
                <w:sz w:val="16"/>
                <w:szCs w:val="16"/>
              </w:rPr>
            </w:pPr>
            <w:r w:rsidRPr="00F31685">
              <w:rPr>
                <w:rFonts w:ascii="Arial" w:hAnsi="Arial" w:cs="Arial"/>
                <w:b/>
                <w:sz w:val="16"/>
                <w:szCs w:val="16"/>
              </w:rPr>
              <w:t>Source</w:t>
            </w:r>
          </w:p>
        </w:tc>
        <w:tc>
          <w:tcPr>
            <w:tcW w:w="1407" w:type="dxa"/>
            <w:vMerge w:val="restart"/>
            <w:vAlign w:val="center"/>
          </w:tcPr>
          <w:p w14:paraId="241F24B0" w14:textId="77777777" w:rsidR="005F6D6C" w:rsidRPr="00F31685" w:rsidRDefault="005F6D6C" w:rsidP="00937059">
            <w:pPr>
              <w:spacing w:line="300" w:lineRule="atLeast"/>
              <w:jc w:val="center"/>
              <w:rPr>
                <w:rFonts w:ascii="Arial" w:hAnsi="Arial" w:cs="Arial"/>
                <w:b/>
                <w:sz w:val="16"/>
                <w:szCs w:val="16"/>
              </w:rPr>
            </w:pPr>
            <w:r>
              <w:rPr>
                <w:rFonts w:ascii="Arial" w:hAnsi="Arial" w:cs="Arial"/>
                <w:b/>
                <w:sz w:val="16"/>
                <w:szCs w:val="16"/>
              </w:rPr>
              <w:t xml:space="preserve">Activity Rate, </w:t>
            </w:r>
            <w:proofErr w:type="spellStart"/>
            <w:r>
              <w:rPr>
                <w:rFonts w:ascii="Arial" w:hAnsi="Arial" w:cs="Arial"/>
                <w:b/>
                <w:sz w:val="16"/>
                <w:szCs w:val="16"/>
              </w:rPr>
              <w:t>GWh</w:t>
            </w:r>
            <w:proofErr w:type="spellEnd"/>
            <w:r w:rsidRPr="00F31685">
              <w:rPr>
                <w:rFonts w:ascii="Arial" w:hAnsi="Arial" w:cs="Arial"/>
                <w:b/>
                <w:sz w:val="16"/>
                <w:szCs w:val="16"/>
              </w:rPr>
              <w:t>/</w:t>
            </w:r>
            <w:proofErr w:type="spellStart"/>
            <w:r w:rsidRPr="00F31685">
              <w:rPr>
                <w:rFonts w:ascii="Arial" w:hAnsi="Arial" w:cs="Arial"/>
                <w:b/>
                <w:sz w:val="16"/>
                <w:szCs w:val="16"/>
              </w:rPr>
              <w:t>yr</w:t>
            </w:r>
            <w:proofErr w:type="spellEnd"/>
          </w:p>
        </w:tc>
        <w:tc>
          <w:tcPr>
            <w:tcW w:w="1560" w:type="dxa"/>
            <w:vMerge w:val="restart"/>
            <w:vAlign w:val="center"/>
          </w:tcPr>
          <w:p w14:paraId="59CF39C5" w14:textId="77777777" w:rsidR="005F6D6C" w:rsidRPr="00F31685" w:rsidRDefault="005F6D6C" w:rsidP="005F6D6C">
            <w:pPr>
              <w:spacing w:line="300" w:lineRule="atLeast"/>
              <w:jc w:val="center"/>
              <w:rPr>
                <w:rFonts w:ascii="Arial" w:hAnsi="Arial" w:cs="Arial"/>
                <w:b/>
                <w:sz w:val="16"/>
                <w:szCs w:val="16"/>
              </w:rPr>
            </w:pPr>
            <w:r w:rsidRPr="00F31685">
              <w:rPr>
                <w:rFonts w:ascii="Arial" w:hAnsi="Arial" w:cs="Arial"/>
                <w:b/>
                <w:sz w:val="16"/>
                <w:szCs w:val="16"/>
              </w:rPr>
              <w:t xml:space="preserve">Mercury content, </w:t>
            </w:r>
            <w:r>
              <w:rPr>
                <w:rFonts w:ascii="Arial" w:hAnsi="Arial" w:cs="Arial"/>
                <w:b/>
                <w:sz w:val="16"/>
                <w:szCs w:val="16"/>
              </w:rPr>
              <w:t>g/MWh</w:t>
            </w:r>
          </w:p>
        </w:tc>
        <w:tc>
          <w:tcPr>
            <w:tcW w:w="1559" w:type="dxa"/>
            <w:vMerge w:val="restart"/>
            <w:vAlign w:val="center"/>
          </w:tcPr>
          <w:p w14:paraId="7DE81F7E" w14:textId="77777777" w:rsidR="005F6D6C" w:rsidRPr="00F31685" w:rsidRDefault="005F6D6C" w:rsidP="007901FE">
            <w:pPr>
              <w:spacing w:line="300" w:lineRule="atLeast"/>
              <w:jc w:val="center"/>
              <w:rPr>
                <w:rFonts w:ascii="Arial" w:hAnsi="Arial" w:cs="Arial"/>
                <w:b/>
                <w:sz w:val="16"/>
                <w:szCs w:val="16"/>
              </w:rPr>
            </w:pPr>
            <w:r w:rsidRPr="00F31685">
              <w:rPr>
                <w:rFonts w:ascii="Arial" w:hAnsi="Arial" w:cs="Arial"/>
                <w:b/>
                <w:sz w:val="16"/>
                <w:szCs w:val="16"/>
              </w:rPr>
              <w:t>Annual Mercury Inputs, kg/</w:t>
            </w:r>
            <w:proofErr w:type="spellStart"/>
            <w:r w:rsidRPr="00F31685">
              <w:rPr>
                <w:rFonts w:ascii="Arial" w:hAnsi="Arial" w:cs="Arial"/>
                <w:b/>
                <w:sz w:val="16"/>
                <w:szCs w:val="16"/>
              </w:rPr>
              <w:t>yr</w:t>
            </w:r>
            <w:proofErr w:type="spellEnd"/>
          </w:p>
        </w:tc>
        <w:tc>
          <w:tcPr>
            <w:tcW w:w="2658" w:type="dxa"/>
            <w:gridSpan w:val="2"/>
            <w:vAlign w:val="center"/>
          </w:tcPr>
          <w:p w14:paraId="4D0D1850" w14:textId="77777777" w:rsidR="005F6D6C" w:rsidRPr="00F31685" w:rsidRDefault="005F6D6C" w:rsidP="007901FE">
            <w:pPr>
              <w:spacing w:line="300" w:lineRule="atLeast"/>
              <w:jc w:val="center"/>
              <w:rPr>
                <w:rFonts w:ascii="Arial" w:hAnsi="Arial" w:cs="Arial"/>
                <w:b/>
                <w:sz w:val="16"/>
                <w:szCs w:val="16"/>
              </w:rPr>
            </w:pPr>
            <w:r w:rsidRPr="00F31685">
              <w:rPr>
                <w:rFonts w:ascii="Arial" w:hAnsi="Arial" w:cs="Arial"/>
                <w:b/>
                <w:sz w:val="16"/>
                <w:szCs w:val="16"/>
              </w:rPr>
              <w:t>Annual Mercury Outputs, kg/</w:t>
            </w:r>
            <w:proofErr w:type="spellStart"/>
            <w:r w:rsidRPr="00F31685">
              <w:rPr>
                <w:rFonts w:ascii="Arial" w:hAnsi="Arial" w:cs="Arial"/>
                <w:b/>
                <w:sz w:val="16"/>
                <w:szCs w:val="16"/>
              </w:rPr>
              <w:t>yr</w:t>
            </w:r>
            <w:proofErr w:type="spellEnd"/>
          </w:p>
        </w:tc>
      </w:tr>
      <w:tr w:rsidR="005F6D6C" w14:paraId="1C379BAB" w14:textId="77777777" w:rsidTr="00B2520C">
        <w:tc>
          <w:tcPr>
            <w:tcW w:w="2103" w:type="dxa"/>
            <w:vMerge/>
            <w:vAlign w:val="center"/>
          </w:tcPr>
          <w:p w14:paraId="3582FF62" w14:textId="77777777" w:rsidR="005F6D6C" w:rsidRPr="00F31685" w:rsidRDefault="005F6D6C" w:rsidP="007901FE">
            <w:pPr>
              <w:spacing w:line="300" w:lineRule="atLeast"/>
              <w:jc w:val="center"/>
              <w:rPr>
                <w:rFonts w:ascii="Arial" w:hAnsi="Arial" w:cs="Arial"/>
                <w:b/>
                <w:sz w:val="16"/>
                <w:szCs w:val="16"/>
              </w:rPr>
            </w:pPr>
          </w:p>
        </w:tc>
        <w:tc>
          <w:tcPr>
            <w:tcW w:w="1407" w:type="dxa"/>
            <w:vMerge/>
            <w:vAlign w:val="center"/>
          </w:tcPr>
          <w:p w14:paraId="7D8C25FE" w14:textId="77777777" w:rsidR="005F6D6C" w:rsidRPr="00F31685" w:rsidRDefault="005F6D6C" w:rsidP="007901FE">
            <w:pPr>
              <w:spacing w:line="300" w:lineRule="atLeast"/>
              <w:jc w:val="center"/>
              <w:rPr>
                <w:rFonts w:ascii="Arial" w:hAnsi="Arial" w:cs="Arial"/>
                <w:b/>
                <w:sz w:val="16"/>
                <w:szCs w:val="16"/>
              </w:rPr>
            </w:pPr>
          </w:p>
        </w:tc>
        <w:tc>
          <w:tcPr>
            <w:tcW w:w="1560" w:type="dxa"/>
            <w:vMerge/>
            <w:vAlign w:val="center"/>
          </w:tcPr>
          <w:p w14:paraId="049A87D9" w14:textId="77777777" w:rsidR="005F6D6C" w:rsidRPr="00F31685" w:rsidRDefault="005F6D6C" w:rsidP="007901FE">
            <w:pPr>
              <w:spacing w:line="300" w:lineRule="atLeast"/>
              <w:jc w:val="center"/>
              <w:rPr>
                <w:rFonts w:ascii="Arial" w:hAnsi="Arial" w:cs="Arial"/>
                <w:b/>
                <w:sz w:val="16"/>
                <w:szCs w:val="16"/>
              </w:rPr>
            </w:pPr>
          </w:p>
        </w:tc>
        <w:tc>
          <w:tcPr>
            <w:tcW w:w="1559" w:type="dxa"/>
            <w:vMerge/>
            <w:vAlign w:val="center"/>
          </w:tcPr>
          <w:p w14:paraId="375A4C00" w14:textId="77777777" w:rsidR="005F6D6C" w:rsidRPr="00F31685" w:rsidRDefault="005F6D6C" w:rsidP="007901FE">
            <w:pPr>
              <w:spacing w:line="300" w:lineRule="atLeast"/>
              <w:jc w:val="center"/>
              <w:rPr>
                <w:rFonts w:ascii="Arial" w:hAnsi="Arial" w:cs="Arial"/>
                <w:b/>
                <w:sz w:val="16"/>
                <w:szCs w:val="16"/>
              </w:rPr>
            </w:pPr>
          </w:p>
        </w:tc>
        <w:tc>
          <w:tcPr>
            <w:tcW w:w="1701" w:type="dxa"/>
            <w:vAlign w:val="center"/>
          </w:tcPr>
          <w:p w14:paraId="1E22705F" w14:textId="77777777" w:rsidR="005F6D6C" w:rsidRPr="00F31685" w:rsidRDefault="005F6D6C" w:rsidP="007901FE">
            <w:pPr>
              <w:spacing w:line="300" w:lineRule="atLeast"/>
              <w:jc w:val="center"/>
              <w:rPr>
                <w:rFonts w:ascii="Arial" w:hAnsi="Arial" w:cs="Arial"/>
                <w:b/>
                <w:sz w:val="16"/>
                <w:szCs w:val="16"/>
              </w:rPr>
            </w:pPr>
            <w:r w:rsidRPr="00F31685">
              <w:rPr>
                <w:rFonts w:ascii="Arial" w:hAnsi="Arial" w:cs="Arial"/>
                <w:b/>
                <w:sz w:val="16"/>
                <w:szCs w:val="16"/>
              </w:rPr>
              <w:t>Air</w:t>
            </w:r>
          </w:p>
        </w:tc>
        <w:tc>
          <w:tcPr>
            <w:tcW w:w="957" w:type="dxa"/>
            <w:vAlign w:val="center"/>
          </w:tcPr>
          <w:p w14:paraId="2A3DB438" w14:textId="77777777" w:rsidR="005F6D6C" w:rsidRPr="00F31685" w:rsidRDefault="005F6D6C" w:rsidP="007901FE">
            <w:pPr>
              <w:spacing w:line="300" w:lineRule="atLeast"/>
              <w:jc w:val="center"/>
              <w:rPr>
                <w:rFonts w:ascii="Arial" w:hAnsi="Arial" w:cs="Arial"/>
                <w:b/>
                <w:sz w:val="16"/>
                <w:szCs w:val="16"/>
              </w:rPr>
            </w:pPr>
            <w:r>
              <w:rPr>
                <w:rFonts w:ascii="Arial" w:hAnsi="Arial" w:cs="Arial"/>
                <w:b/>
                <w:sz w:val="16"/>
                <w:szCs w:val="16"/>
              </w:rPr>
              <w:t>Water</w:t>
            </w:r>
          </w:p>
        </w:tc>
      </w:tr>
      <w:tr w:rsidR="005F6D6C" w14:paraId="302A3463" w14:textId="77777777" w:rsidTr="00B2520C">
        <w:tc>
          <w:tcPr>
            <w:tcW w:w="2103" w:type="dxa"/>
            <w:tcBorders>
              <w:bottom w:val="single" w:sz="4" w:space="0" w:color="auto"/>
            </w:tcBorders>
          </w:tcPr>
          <w:p w14:paraId="1C5BA200" w14:textId="77777777" w:rsidR="005F6D6C" w:rsidRPr="00F31685" w:rsidRDefault="005F6D6C" w:rsidP="005F6D6C">
            <w:pPr>
              <w:spacing w:line="300" w:lineRule="atLeast"/>
              <w:jc w:val="both"/>
              <w:rPr>
                <w:rFonts w:ascii="Arial" w:hAnsi="Arial" w:cs="Arial"/>
                <w:sz w:val="16"/>
                <w:szCs w:val="16"/>
              </w:rPr>
            </w:pPr>
            <w:r>
              <w:rPr>
                <w:rFonts w:ascii="Arial" w:hAnsi="Arial" w:cs="Arial"/>
                <w:sz w:val="16"/>
                <w:szCs w:val="16"/>
              </w:rPr>
              <w:t>Geothermal power</w:t>
            </w:r>
            <w:r w:rsidR="00B2520C">
              <w:rPr>
                <w:rFonts w:ascii="Arial" w:hAnsi="Arial" w:cs="Arial"/>
                <w:sz w:val="16"/>
                <w:szCs w:val="16"/>
              </w:rPr>
              <w:t>, 2012</w:t>
            </w:r>
          </w:p>
        </w:tc>
        <w:tc>
          <w:tcPr>
            <w:tcW w:w="1407" w:type="dxa"/>
            <w:tcBorders>
              <w:bottom w:val="single" w:sz="4" w:space="0" w:color="auto"/>
            </w:tcBorders>
            <w:vAlign w:val="center"/>
          </w:tcPr>
          <w:p w14:paraId="02629A4B" w14:textId="77777777" w:rsidR="005F6D6C" w:rsidRPr="00F31685" w:rsidRDefault="005F6D6C" w:rsidP="007901FE">
            <w:pPr>
              <w:spacing w:line="300" w:lineRule="atLeast"/>
              <w:jc w:val="center"/>
              <w:rPr>
                <w:rFonts w:ascii="Arial" w:hAnsi="Arial" w:cs="Arial"/>
                <w:sz w:val="16"/>
                <w:szCs w:val="16"/>
              </w:rPr>
            </w:pPr>
            <w:r>
              <w:rPr>
                <w:rFonts w:ascii="Arial" w:hAnsi="Arial" w:cs="Arial"/>
                <w:sz w:val="16"/>
                <w:szCs w:val="16"/>
              </w:rPr>
              <w:t>5,770</w:t>
            </w:r>
          </w:p>
        </w:tc>
        <w:tc>
          <w:tcPr>
            <w:tcW w:w="1560" w:type="dxa"/>
            <w:tcBorders>
              <w:bottom w:val="single" w:sz="4" w:space="0" w:color="auto"/>
            </w:tcBorders>
            <w:vAlign w:val="center"/>
          </w:tcPr>
          <w:p w14:paraId="1BC5DCE1" w14:textId="77777777" w:rsidR="005F6D6C" w:rsidRPr="00F31685" w:rsidRDefault="005F6D6C" w:rsidP="005F6D6C">
            <w:pPr>
              <w:spacing w:line="300" w:lineRule="atLeast"/>
              <w:jc w:val="center"/>
              <w:rPr>
                <w:rFonts w:ascii="Arial" w:hAnsi="Arial" w:cs="Arial"/>
                <w:sz w:val="16"/>
                <w:szCs w:val="16"/>
              </w:rPr>
            </w:pPr>
            <w:r>
              <w:rPr>
                <w:rFonts w:ascii="Arial" w:hAnsi="Arial" w:cs="Arial"/>
                <w:sz w:val="16"/>
                <w:szCs w:val="16"/>
              </w:rPr>
              <w:t>0.03 - 0.22</w:t>
            </w:r>
          </w:p>
        </w:tc>
        <w:tc>
          <w:tcPr>
            <w:tcW w:w="1559" w:type="dxa"/>
            <w:tcBorders>
              <w:bottom w:val="single" w:sz="4" w:space="0" w:color="auto"/>
            </w:tcBorders>
            <w:vAlign w:val="center"/>
          </w:tcPr>
          <w:p w14:paraId="10B76EF9" w14:textId="77777777" w:rsidR="005F6D6C" w:rsidRPr="00F31685" w:rsidRDefault="005F6D6C" w:rsidP="007901FE">
            <w:pPr>
              <w:spacing w:line="300" w:lineRule="atLeast"/>
              <w:jc w:val="center"/>
              <w:rPr>
                <w:rFonts w:ascii="Arial" w:hAnsi="Arial" w:cs="Arial"/>
                <w:sz w:val="16"/>
                <w:szCs w:val="16"/>
              </w:rPr>
            </w:pPr>
            <w:r>
              <w:rPr>
                <w:rFonts w:ascii="Arial" w:hAnsi="Arial" w:cs="Arial"/>
                <w:sz w:val="16"/>
                <w:szCs w:val="16"/>
              </w:rPr>
              <w:t>173</w:t>
            </w:r>
            <w:r w:rsidR="00D947F8">
              <w:rPr>
                <w:rFonts w:ascii="Arial" w:hAnsi="Arial" w:cs="Arial"/>
                <w:sz w:val="16"/>
                <w:szCs w:val="16"/>
              </w:rPr>
              <w:t>.1</w:t>
            </w:r>
            <w:r>
              <w:rPr>
                <w:rFonts w:ascii="Arial" w:hAnsi="Arial" w:cs="Arial"/>
                <w:sz w:val="16"/>
                <w:szCs w:val="16"/>
              </w:rPr>
              <w:t xml:space="preserve"> – 1,269</w:t>
            </w:r>
            <w:r w:rsidR="00D947F8">
              <w:rPr>
                <w:rFonts w:ascii="Arial" w:hAnsi="Arial" w:cs="Arial"/>
                <w:sz w:val="16"/>
                <w:szCs w:val="16"/>
              </w:rPr>
              <w:t>.4</w:t>
            </w:r>
          </w:p>
        </w:tc>
        <w:tc>
          <w:tcPr>
            <w:tcW w:w="1701" w:type="dxa"/>
            <w:tcBorders>
              <w:bottom w:val="single" w:sz="4" w:space="0" w:color="auto"/>
            </w:tcBorders>
            <w:vAlign w:val="center"/>
          </w:tcPr>
          <w:p w14:paraId="6828F8A8" w14:textId="77777777" w:rsidR="005F6D6C" w:rsidRPr="00F31685" w:rsidRDefault="00D947F8" w:rsidP="007901FE">
            <w:pPr>
              <w:spacing w:line="300" w:lineRule="atLeast"/>
              <w:jc w:val="center"/>
              <w:rPr>
                <w:rFonts w:ascii="Arial" w:hAnsi="Arial" w:cs="Arial"/>
                <w:sz w:val="16"/>
                <w:szCs w:val="16"/>
              </w:rPr>
            </w:pPr>
            <w:r>
              <w:rPr>
                <w:rFonts w:ascii="Arial" w:hAnsi="Arial" w:cs="Arial"/>
                <w:sz w:val="16"/>
                <w:szCs w:val="16"/>
              </w:rPr>
              <w:t>126.6</w:t>
            </w:r>
            <w:r w:rsidR="005F6D6C">
              <w:rPr>
                <w:rFonts w:ascii="Arial" w:hAnsi="Arial" w:cs="Arial"/>
                <w:sz w:val="16"/>
                <w:szCs w:val="16"/>
              </w:rPr>
              <w:t>-1</w:t>
            </w:r>
            <w:r w:rsidR="000F4FB5">
              <w:rPr>
                <w:rFonts w:ascii="Arial" w:hAnsi="Arial" w:cs="Arial"/>
                <w:sz w:val="16"/>
                <w:szCs w:val="16"/>
              </w:rPr>
              <w:t>,</w:t>
            </w:r>
            <w:r w:rsidR="005F6D6C">
              <w:rPr>
                <w:rFonts w:ascii="Arial" w:hAnsi="Arial" w:cs="Arial"/>
                <w:sz w:val="16"/>
                <w:szCs w:val="16"/>
              </w:rPr>
              <w:t>222.</w:t>
            </w:r>
            <w:r>
              <w:rPr>
                <w:rFonts w:ascii="Arial" w:hAnsi="Arial" w:cs="Arial"/>
                <w:sz w:val="16"/>
                <w:szCs w:val="16"/>
              </w:rPr>
              <w:t>9</w:t>
            </w:r>
            <w:r w:rsidR="00E62CD6" w:rsidRPr="00E62CD6">
              <w:rPr>
                <w:rFonts w:ascii="Arial" w:hAnsi="Arial" w:cs="Arial"/>
                <w:sz w:val="16"/>
                <w:szCs w:val="16"/>
                <w:vertAlign w:val="superscript"/>
              </w:rPr>
              <w:t>a</w:t>
            </w:r>
          </w:p>
        </w:tc>
        <w:tc>
          <w:tcPr>
            <w:tcW w:w="957" w:type="dxa"/>
            <w:tcBorders>
              <w:bottom w:val="single" w:sz="4" w:space="0" w:color="auto"/>
            </w:tcBorders>
            <w:vAlign w:val="center"/>
          </w:tcPr>
          <w:p w14:paraId="06D839B3" w14:textId="77777777" w:rsidR="005F6D6C" w:rsidRPr="00F31685" w:rsidRDefault="005F6D6C" w:rsidP="007901FE">
            <w:pPr>
              <w:spacing w:line="300" w:lineRule="atLeast"/>
              <w:jc w:val="center"/>
              <w:rPr>
                <w:rFonts w:ascii="Arial" w:hAnsi="Arial" w:cs="Arial"/>
                <w:sz w:val="16"/>
                <w:szCs w:val="16"/>
              </w:rPr>
            </w:pPr>
            <w:r>
              <w:rPr>
                <w:rFonts w:ascii="Arial" w:hAnsi="Arial" w:cs="Arial"/>
                <w:sz w:val="16"/>
                <w:szCs w:val="16"/>
              </w:rPr>
              <w:t>46.5</w:t>
            </w:r>
          </w:p>
        </w:tc>
      </w:tr>
      <w:tr w:rsidR="00231A1F" w14:paraId="6472B24B" w14:textId="77777777" w:rsidTr="00B2520C">
        <w:tc>
          <w:tcPr>
            <w:tcW w:w="2103" w:type="dxa"/>
            <w:tcBorders>
              <w:bottom w:val="double" w:sz="4" w:space="0" w:color="auto"/>
            </w:tcBorders>
          </w:tcPr>
          <w:p w14:paraId="5E2881D2" w14:textId="77777777" w:rsidR="00231A1F" w:rsidRDefault="00B2520C" w:rsidP="005F6D6C">
            <w:pPr>
              <w:spacing w:line="300" w:lineRule="atLeast"/>
              <w:jc w:val="both"/>
              <w:rPr>
                <w:rFonts w:ascii="Arial" w:hAnsi="Arial" w:cs="Arial"/>
                <w:sz w:val="16"/>
                <w:szCs w:val="16"/>
              </w:rPr>
            </w:pPr>
            <w:r>
              <w:rPr>
                <w:rFonts w:ascii="Arial" w:hAnsi="Arial" w:cs="Arial"/>
                <w:sz w:val="16"/>
                <w:szCs w:val="16"/>
              </w:rPr>
              <w:t>Geothermal power, 2016</w:t>
            </w:r>
          </w:p>
        </w:tc>
        <w:tc>
          <w:tcPr>
            <w:tcW w:w="1407" w:type="dxa"/>
            <w:tcBorders>
              <w:bottom w:val="double" w:sz="4" w:space="0" w:color="auto"/>
            </w:tcBorders>
            <w:vAlign w:val="center"/>
          </w:tcPr>
          <w:p w14:paraId="5309368C" w14:textId="77777777" w:rsidR="00231A1F" w:rsidRDefault="00B2520C" w:rsidP="007901FE">
            <w:pPr>
              <w:spacing w:line="300" w:lineRule="atLeast"/>
              <w:jc w:val="center"/>
              <w:rPr>
                <w:rFonts w:ascii="Arial" w:hAnsi="Arial" w:cs="Arial"/>
                <w:sz w:val="16"/>
                <w:szCs w:val="16"/>
              </w:rPr>
            </w:pPr>
            <w:r>
              <w:rPr>
                <w:rFonts w:ascii="Arial" w:hAnsi="Arial" w:cs="Arial"/>
                <w:sz w:val="16"/>
                <w:szCs w:val="16"/>
              </w:rPr>
              <w:t>7,411</w:t>
            </w:r>
          </w:p>
        </w:tc>
        <w:tc>
          <w:tcPr>
            <w:tcW w:w="1560" w:type="dxa"/>
            <w:tcBorders>
              <w:bottom w:val="double" w:sz="4" w:space="0" w:color="auto"/>
            </w:tcBorders>
            <w:vAlign w:val="center"/>
          </w:tcPr>
          <w:p w14:paraId="237E69DC" w14:textId="77777777" w:rsidR="00231A1F" w:rsidRDefault="00B2520C" w:rsidP="005F6D6C">
            <w:pPr>
              <w:spacing w:line="300" w:lineRule="atLeast"/>
              <w:jc w:val="center"/>
              <w:rPr>
                <w:rFonts w:ascii="Arial" w:hAnsi="Arial" w:cs="Arial"/>
                <w:sz w:val="16"/>
                <w:szCs w:val="16"/>
              </w:rPr>
            </w:pPr>
            <w:r>
              <w:rPr>
                <w:rFonts w:ascii="Arial" w:hAnsi="Arial" w:cs="Arial"/>
                <w:sz w:val="16"/>
                <w:szCs w:val="16"/>
              </w:rPr>
              <w:t>0.03 - 0.22</w:t>
            </w:r>
          </w:p>
        </w:tc>
        <w:tc>
          <w:tcPr>
            <w:tcW w:w="1559" w:type="dxa"/>
            <w:tcBorders>
              <w:bottom w:val="double" w:sz="4" w:space="0" w:color="auto"/>
            </w:tcBorders>
            <w:vAlign w:val="center"/>
          </w:tcPr>
          <w:p w14:paraId="43AFDDF6" w14:textId="77777777" w:rsidR="00231A1F" w:rsidRDefault="006432C8" w:rsidP="007901FE">
            <w:pPr>
              <w:spacing w:line="300" w:lineRule="atLeast"/>
              <w:jc w:val="center"/>
              <w:rPr>
                <w:rFonts w:ascii="Arial" w:hAnsi="Arial" w:cs="Arial"/>
                <w:sz w:val="16"/>
                <w:szCs w:val="16"/>
              </w:rPr>
            </w:pPr>
            <w:r>
              <w:rPr>
                <w:rFonts w:ascii="Arial" w:hAnsi="Arial" w:cs="Arial"/>
                <w:sz w:val="16"/>
                <w:szCs w:val="16"/>
              </w:rPr>
              <w:t>222</w:t>
            </w:r>
            <w:r w:rsidR="00B2520C">
              <w:rPr>
                <w:rFonts w:ascii="Arial" w:hAnsi="Arial" w:cs="Arial"/>
                <w:sz w:val="16"/>
                <w:szCs w:val="16"/>
              </w:rPr>
              <w:t xml:space="preserve"> – 1,630</w:t>
            </w:r>
          </w:p>
        </w:tc>
        <w:tc>
          <w:tcPr>
            <w:tcW w:w="1701" w:type="dxa"/>
            <w:tcBorders>
              <w:bottom w:val="double" w:sz="4" w:space="0" w:color="auto"/>
            </w:tcBorders>
            <w:vAlign w:val="center"/>
          </w:tcPr>
          <w:p w14:paraId="4CE2F351" w14:textId="77777777" w:rsidR="00231A1F" w:rsidRDefault="00E60597" w:rsidP="007901FE">
            <w:pPr>
              <w:spacing w:line="300" w:lineRule="atLeast"/>
              <w:jc w:val="center"/>
              <w:rPr>
                <w:rFonts w:ascii="Arial" w:hAnsi="Arial" w:cs="Arial"/>
                <w:sz w:val="16"/>
                <w:szCs w:val="16"/>
              </w:rPr>
            </w:pPr>
            <w:r>
              <w:rPr>
                <w:rFonts w:ascii="Arial" w:hAnsi="Arial" w:cs="Arial"/>
                <w:sz w:val="16"/>
                <w:szCs w:val="16"/>
              </w:rPr>
              <w:t>213.4</w:t>
            </w:r>
            <w:r w:rsidR="00B2520C">
              <w:rPr>
                <w:rFonts w:ascii="Arial" w:hAnsi="Arial" w:cs="Arial"/>
                <w:sz w:val="16"/>
                <w:szCs w:val="16"/>
              </w:rPr>
              <w:t xml:space="preserve"> – 1,621.4</w:t>
            </w:r>
            <w:r w:rsidR="00237DA6" w:rsidRPr="00E62CD6">
              <w:rPr>
                <w:rFonts w:ascii="Arial" w:hAnsi="Arial" w:cs="Arial"/>
                <w:sz w:val="16"/>
                <w:szCs w:val="16"/>
                <w:vertAlign w:val="superscript"/>
              </w:rPr>
              <w:t xml:space="preserve"> a</w:t>
            </w:r>
          </w:p>
        </w:tc>
        <w:tc>
          <w:tcPr>
            <w:tcW w:w="957" w:type="dxa"/>
            <w:tcBorders>
              <w:bottom w:val="double" w:sz="4" w:space="0" w:color="auto"/>
            </w:tcBorders>
            <w:vAlign w:val="center"/>
          </w:tcPr>
          <w:p w14:paraId="399D592C" w14:textId="77777777" w:rsidR="00231A1F" w:rsidRDefault="00B2520C" w:rsidP="007901FE">
            <w:pPr>
              <w:spacing w:line="300" w:lineRule="atLeast"/>
              <w:jc w:val="center"/>
              <w:rPr>
                <w:rFonts w:ascii="Arial" w:hAnsi="Arial" w:cs="Arial"/>
                <w:sz w:val="16"/>
                <w:szCs w:val="16"/>
              </w:rPr>
            </w:pPr>
            <w:r>
              <w:rPr>
                <w:rFonts w:ascii="Arial" w:hAnsi="Arial" w:cs="Arial"/>
                <w:sz w:val="16"/>
                <w:szCs w:val="16"/>
              </w:rPr>
              <w:t>8.6</w:t>
            </w:r>
          </w:p>
        </w:tc>
      </w:tr>
      <w:tr w:rsidR="00116640" w14:paraId="6FFD3887" w14:textId="77777777" w:rsidTr="00B2520C">
        <w:tc>
          <w:tcPr>
            <w:tcW w:w="2103" w:type="dxa"/>
            <w:tcBorders>
              <w:top w:val="double" w:sz="4" w:space="0" w:color="auto"/>
              <w:bottom w:val="single" w:sz="4" w:space="0" w:color="auto"/>
            </w:tcBorders>
          </w:tcPr>
          <w:p w14:paraId="1F2EC1C3" w14:textId="77777777" w:rsidR="00116640" w:rsidRDefault="00116640" w:rsidP="00116640">
            <w:pPr>
              <w:spacing w:line="300" w:lineRule="atLeast"/>
              <w:jc w:val="both"/>
              <w:rPr>
                <w:rFonts w:ascii="Arial" w:hAnsi="Arial" w:cs="Arial"/>
                <w:sz w:val="16"/>
                <w:szCs w:val="16"/>
              </w:rPr>
            </w:pPr>
            <w:r>
              <w:rPr>
                <w:rFonts w:ascii="Arial" w:hAnsi="Arial" w:cs="Arial"/>
                <w:sz w:val="16"/>
                <w:szCs w:val="16"/>
              </w:rPr>
              <w:t>Direct use</w:t>
            </w:r>
            <w:r w:rsidR="00B2520C">
              <w:rPr>
                <w:rFonts w:ascii="Arial" w:hAnsi="Arial" w:cs="Arial"/>
                <w:sz w:val="16"/>
                <w:szCs w:val="16"/>
              </w:rPr>
              <w:t>, 2012</w:t>
            </w:r>
          </w:p>
        </w:tc>
        <w:tc>
          <w:tcPr>
            <w:tcW w:w="2967" w:type="dxa"/>
            <w:gridSpan w:val="2"/>
            <w:tcBorders>
              <w:top w:val="double" w:sz="4" w:space="0" w:color="auto"/>
              <w:bottom w:val="single" w:sz="4" w:space="0" w:color="auto"/>
            </w:tcBorders>
            <w:vAlign w:val="center"/>
          </w:tcPr>
          <w:p w14:paraId="5FCC1980" w14:textId="77777777" w:rsidR="00116640" w:rsidRDefault="00116640" w:rsidP="005F6D6C">
            <w:pPr>
              <w:spacing w:line="300" w:lineRule="atLeast"/>
              <w:jc w:val="center"/>
              <w:rPr>
                <w:rFonts w:ascii="Arial" w:hAnsi="Arial" w:cs="Arial"/>
                <w:sz w:val="16"/>
                <w:szCs w:val="16"/>
              </w:rPr>
            </w:pPr>
            <w:r>
              <w:rPr>
                <w:rFonts w:ascii="Arial" w:hAnsi="Arial" w:cs="Arial"/>
                <w:sz w:val="16"/>
                <w:szCs w:val="16"/>
              </w:rPr>
              <w:t>based on 6% of the above</w:t>
            </w:r>
          </w:p>
        </w:tc>
        <w:tc>
          <w:tcPr>
            <w:tcW w:w="1559" w:type="dxa"/>
            <w:tcBorders>
              <w:top w:val="double" w:sz="4" w:space="0" w:color="auto"/>
              <w:bottom w:val="single" w:sz="4" w:space="0" w:color="auto"/>
            </w:tcBorders>
            <w:vAlign w:val="center"/>
          </w:tcPr>
          <w:p w14:paraId="33FB1E2A" w14:textId="77777777" w:rsidR="00116640" w:rsidRDefault="00116640" w:rsidP="00B538D4">
            <w:pPr>
              <w:spacing w:line="300" w:lineRule="atLeast"/>
              <w:jc w:val="center"/>
              <w:rPr>
                <w:rFonts w:ascii="Arial" w:hAnsi="Arial" w:cs="Arial"/>
                <w:sz w:val="16"/>
                <w:szCs w:val="16"/>
              </w:rPr>
            </w:pPr>
            <w:r>
              <w:rPr>
                <w:rFonts w:ascii="Arial" w:hAnsi="Arial" w:cs="Arial"/>
                <w:sz w:val="16"/>
                <w:szCs w:val="16"/>
              </w:rPr>
              <w:t>10.4 – 76.1</w:t>
            </w:r>
            <w:r w:rsidR="00B538D4">
              <w:rPr>
                <w:rFonts w:ascii="Arial" w:hAnsi="Arial" w:cs="Arial"/>
                <w:sz w:val="16"/>
                <w:szCs w:val="16"/>
              </w:rPr>
              <w:t xml:space="preserve"> </w:t>
            </w:r>
          </w:p>
        </w:tc>
        <w:tc>
          <w:tcPr>
            <w:tcW w:w="1701" w:type="dxa"/>
            <w:tcBorders>
              <w:top w:val="double" w:sz="4" w:space="0" w:color="auto"/>
              <w:bottom w:val="single" w:sz="4" w:space="0" w:color="auto"/>
            </w:tcBorders>
            <w:vAlign w:val="center"/>
          </w:tcPr>
          <w:p w14:paraId="43C102DB" w14:textId="77777777" w:rsidR="00116640" w:rsidRDefault="00116640" w:rsidP="007901FE">
            <w:pPr>
              <w:spacing w:line="300" w:lineRule="atLeast"/>
              <w:jc w:val="center"/>
              <w:rPr>
                <w:rFonts w:ascii="Arial" w:hAnsi="Arial" w:cs="Arial"/>
                <w:sz w:val="16"/>
                <w:szCs w:val="16"/>
              </w:rPr>
            </w:pPr>
            <w:r>
              <w:rPr>
                <w:rFonts w:ascii="Arial" w:hAnsi="Arial" w:cs="Arial"/>
                <w:sz w:val="16"/>
                <w:szCs w:val="16"/>
              </w:rPr>
              <w:t>10.4 – 76.1</w:t>
            </w:r>
          </w:p>
        </w:tc>
        <w:tc>
          <w:tcPr>
            <w:tcW w:w="957" w:type="dxa"/>
            <w:tcBorders>
              <w:top w:val="double" w:sz="4" w:space="0" w:color="auto"/>
              <w:bottom w:val="single" w:sz="4" w:space="0" w:color="auto"/>
            </w:tcBorders>
            <w:vAlign w:val="center"/>
          </w:tcPr>
          <w:p w14:paraId="5E975DFA" w14:textId="77777777" w:rsidR="00116640" w:rsidRDefault="00116640" w:rsidP="007901FE">
            <w:pPr>
              <w:spacing w:line="300" w:lineRule="atLeast"/>
              <w:jc w:val="center"/>
              <w:rPr>
                <w:rFonts w:ascii="Arial" w:hAnsi="Arial" w:cs="Arial"/>
                <w:sz w:val="16"/>
                <w:szCs w:val="16"/>
              </w:rPr>
            </w:pPr>
            <w:r>
              <w:rPr>
                <w:rFonts w:ascii="Arial" w:hAnsi="Arial" w:cs="Arial"/>
                <w:sz w:val="16"/>
                <w:szCs w:val="16"/>
              </w:rPr>
              <w:t>-</w:t>
            </w:r>
          </w:p>
        </w:tc>
      </w:tr>
      <w:tr w:rsidR="00231A1F" w14:paraId="63D7C81F" w14:textId="77777777" w:rsidTr="00B2520C">
        <w:tc>
          <w:tcPr>
            <w:tcW w:w="2103" w:type="dxa"/>
            <w:tcBorders>
              <w:bottom w:val="double" w:sz="4" w:space="0" w:color="auto"/>
            </w:tcBorders>
          </w:tcPr>
          <w:p w14:paraId="606E84C8" w14:textId="77777777" w:rsidR="00231A1F" w:rsidRDefault="00B2520C" w:rsidP="00116640">
            <w:pPr>
              <w:spacing w:line="300" w:lineRule="atLeast"/>
              <w:jc w:val="both"/>
              <w:rPr>
                <w:rFonts w:ascii="Arial" w:hAnsi="Arial" w:cs="Arial"/>
                <w:sz w:val="16"/>
                <w:szCs w:val="16"/>
              </w:rPr>
            </w:pPr>
            <w:r>
              <w:rPr>
                <w:rFonts w:ascii="Arial" w:hAnsi="Arial" w:cs="Arial"/>
                <w:sz w:val="16"/>
                <w:szCs w:val="16"/>
              </w:rPr>
              <w:t>Direct use, 2016</w:t>
            </w:r>
          </w:p>
        </w:tc>
        <w:tc>
          <w:tcPr>
            <w:tcW w:w="2967" w:type="dxa"/>
            <w:gridSpan w:val="2"/>
            <w:tcBorders>
              <w:bottom w:val="double" w:sz="4" w:space="0" w:color="auto"/>
            </w:tcBorders>
            <w:vAlign w:val="center"/>
          </w:tcPr>
          <w:p w14:paraId="0AE8E2AC" w14:textId="77777777" w:rsidR="00231A1F" w:rsidRDefault="00E60597" w:rsidP="005F6D6C">
            <w:pPr>
              <w:spacing w:line="300" w:lineRule="atLeast"/>
              <w:jc w:val="center"/>
              <w:rPr>
                <w:rFonts w:ascii="Arial" w:hAnsi="Arial" w:cs="Arial"/>
                <w:sz w:val="16"/>
                <w:szCs w:val="16"/>
              </w:rPr>
            </w:pPr>
            <w:r>
              <w:rPr>
                <w:rFonts w:ascii="Arial" w:hAnsi="Arial" w:cs="Arial"/>
                <w:sz w:val="16"/>
                <w:szCs w:val="16"/>
              </w:rPr>
              <w:t>based on 3.8</w:t>
            </w:r>
            <w:r w:rsidR="00B2520C">
              <w:rPr>
                <w:rFonts w:ascii="Arial" w:hAnsi="Arial" w:cs="Arial"/>
                <w:sz w:val="16"/>
                <w:szCs w:val="16"/>
              </w:rPr>
              <w:t>% of the above</w:t>
            </w:r>
          </w:p>
        </w:tc>
        <w:tc>
          <w:tcPr>
            <w:tcW w:w="1559" w:type="dxa"/>
            <w:tcBorders>
              <w:bottom w:val="double" w:sz="4" w:space="0" w:color="auto"/>
            </w:tcBorders>
            <w:vAlign w:val="center"/>
          </w:tcPr>
          <w:p w14:paraId="234C972F" w14:textId="77777777" w:rsidR="00231A1F" w:rsidRDefault="00E60597" w:rsidP="00B538D4">
            <w:pPr>
              <w:spacing w:line="300" w:lineRule="atLeast"/>
              <w:jc w:val="center"/>
              <w:rPr>
                <w:rFonts w:ascii="Arial" w:hAnsi="Arial" w:cs="Arial"/>
                <w:sz w:val="16"/>
                <w:szCs w:val="16"/>
              </w:rPr>
            </w:pPr>
            <w:r>
              <w:rPr>
                <w:rFonts w:ascii="Arial" w:hAnsi="Arial" w:cs="Arial"/>
                <w:sz w:val="16"/>
                <w:szCs w:val="16"/>
              </w:rPr>
              <w:t>8.5 – 62.4</w:t>
            </w:r>
          </w:p>
        </w:tc>
        <w:tc>
          <w:tcPr>
            <w:tcW w:w="1701" w:type="dxa"/>
            <w:tcBorders>
              <w:bottom w:val="double" w:sz="4" w:space="0" w:color="auto"/>
            </w:tcBorders>
            <w:vAlign w:val="center"/>
          </w:tcPr>
          <w:p w14:paraId="4C50B07A" w14:textId="77777777" w:rsidR="00231A1F" w:rsidRDefault="00E60597" w:rsidP="007901FE">
            <w:pPr>
              <w:spacing w:line="300" w:lineRule="atLeast"/>
              <w:jc w:val="center"/>
              <w:rPr>
                <w:rFonts w:ascii="Arial" w:hAnsi="Arial" w:cs="Arial"/>
                <w:sz w:val="16"/>
                <w:szCs w:val="16"/>
              </w:rPr>
            </w:pPr>
            <w:r>
              <w:rPr>
                <w:rFonts w:ascii="Arial" w:hAnsi="Arial" w:cs="Arial"/>
                <w:sz w:val="16"/>
                <w:szCs w:val="16"/>
              </w:rPr>
              <w:t>8.5 – 62.4</w:t>
            </w:r>
          </w:p>
        </w:tc>
        <w:tc>
          <w:tcPr>
            <w:tcW w:w="957" w:type="dxa"/>
            <w:tcBorders>
              <w:bottom w:val="double" w:sz="4" w:space="0" w:color="auto"/>
            </w:tcBorders>
            <w:vAlign w:val="center"/>
          </w:tcPr>
          <w:p w14:paraId="4E8F2052" w14:textId="77777777" w:rsidR="00231A1F" w:rsidRDefault="00B2520C" w:rsidP="007901FE">
            <w:pPr>
              <w:spacing w:line="300" w:lineRule="atLeast"/>
              <w:jc w:val="center"/>
              <w:rPr>
                <w:rFonts w:ascii="Arial" w:hAnsi="Arial" w:cs="Arial"/>
                <w:sz w:val="16"/>
                <w:szCs w:val="16"/>
              </w:rPr>
            </w:pPr>
            <w:r>
              <w:rPr>
                <w:rFonts w:ascii="Arial" w:hAnsi="Arial" w:cs="Arial"/>
                <w:sz w:val="16"/>
                <w:szCs w:val="16"/>
              </w:rPr>
              <w:t>-</w:t>
            </w:r>
          </w:p>
        </w:tc>
      </w:tr>
      <w:tr w:rsidR="00116640" w14:paraId="512E7000" w14:textId="77777777" w:rsidTr="00B2520C">
        <w:tc>
          <w:tcPr>
            <w:tcW w:w="2103" w:type="dxa"/>
            <w:tcBorders>
              <w:top w:val="double" w:sz="4" w:space="0" w:color="auto"/>
              <w:bottom w:val="double" w:sz="4" w:space="0" w:color="auto"/>
            </w:tcBorders>
            <w:vAlign w:val="center"/>
          </w:tcPr>
          <w:p w14:paraId="68254166" w14:textId="77777777" w:rsidR="00116640" w:rsidRPr="000F4FB5" w:rsidRDefault="00116640" w:rsidP="00D947F8">
            <w:pPr>
              <w:spacing w:line="300" w:lineRule="atLeast"/>
              <w:rPr>
                <w:rFonts w:ascii="Arial" w:hAnsi="Arial" w:cs="Arial"/>
                <w:b/>
                <w:sz w:val="16"/>
                <w:szCs w:val="16"/>
              </w:rPr>
            </w:pPr>
            <w:r w:rsidRPr="000F4FB5">
              <w:rPr>
                <w:rFonts w:ascii="Arial" w:hAnsi="Arial" w:cs="Arial"/>
                <w:b/>
                <w:sz w:val="16"/>
                <w:szCs w:val="16"/>
              </w:rPr>
              <w:t>Total</w:t>
            </w:r>
            <w:r w:rsidR="00B2520C">
              <w:rPr>
                <w:rFonts w:ascii="Arial" w:hAnsi="Arial" w:cs="Arial"/>
                <w:b/>
                <w:sz w:val="16"/>
                <w:szCs w:val="16"/>
              </w:rPr>
              <w:t>s, 2012</w:t>
            </w:r>
          </w:p>
        </w:tc>
        <w:tc>
          <w:tcPr>
            <w:tcW w:w="1407" w:type="dxa"/>
            <w:tcBorders>
              <w:top w:val="double" w:sz="4" w:space="0" w:color="auto"/>
              <w:bottom w:val="double" w:sz="4" w:space="0" w:color="auto"/>
            </w:tcBorders>
            <w:vAlign w:val="center"/>
          </w:tcPr>
          <w:p w14:paraId="784AD4B8" w14:textId="77777777" w:rsidR="00116640" w:rsidRPr="000F4FB5" w:rsidRDefault="00237DA6" w:rsidP="007901FE">
            <w:pPr>
              <w:spacing w:line="300" w:lineRule="atLeast"/>
              <w:jc w:val="center"/>
              <w:rPr>
                <w:rFonts w:ascii="Arial" w:hAnsi="Arial" w:cs="Arial"/>
                <w:b/>
                <w:sz w:val="16"/>
                <w:szCs w:val="16"/>
              </w:rPr>
            </w:pPr>
            <w:r>
              <w:rPr>
                <w:rFonts w:ascii="Arial" w:hAnsi="Arial" w:cs="Arial"/>
                <w:b/>
                <w:sz w:val="16"/>
                <w:szCs w:val="16"/>
              </w:rPr>
              <w:t>-</w:t>
            </w:r>
          </w:p>
        </w:tc>
        <w:tc>
          <w:tcPr>
            <w:tcW w:w="1560" w:type="dxa"/>
            <w:tcBorders>
              <w:top w:val="double" w:sz="4" w:space="0" w:color="auto"/>
              <w:bottom w:val="double" w:sz="4" w:space="0" w:color="auto"/>
            </w:tcBorders>
            <w:vAlign w:val="center"/>
          </w:tcPr>
          <w:p w14:paraId="69CFA1E9" w14:textId="77777777" w:rsidR="00116640" w:rsidRPr="000F4FB5" w:rsidRDefault="00237DA6" w:rsidP="005F6D6C">
            <w:pPr>
              <w:spacing w:line="300" w:lineRule="atLeast"/>
              <w:jc w:val="center"/>
              <w:rPr>
                <w:rFonts w:ascii="Arial" w:hAnsi="Arial" w:cs="Arial"/>
                <w:b/>
                <w:sz w:val="16"/>
                <w:szCs w:val="16"/>
              </w:rPr>
            </w:pPr>
            <w:r>
              <w:rPr>
                <w:rFonts w:ascii="Arial" w:hAnsi="Arial" w:cs="Arial"/>
                <w:b/>
                <w:sz w:val="16"/>
                <w:szCs w:val="16"/>
              </w:rPr>
              <w:t>-</w:t>
            </w:r>
          </w:p>
        </w:tc>
        <w:tc>
          <w:tcPr>
            <w:tcW w:w="1559" w:type="dxa"/>
            <w:tcBorders>
              <w:top w:val="double" w:sz="4" w:space="0" w:color="auto"/>
              <w:bottom w:val="double" w:sz="4" w:space="0" w:color="auto"/>
            </w:tcBorders>
            <w:vAlign w:val="center"/>
          </w:tcPr>
          <w:p w14:paraId="5D834647" w14:textId="77777777" w:rsidR="00116640" w:rsidRPr="000F4FB5" w:rsidRDefault="00D947F8" w:rsidP="007901FE">
            <w:pPr>
              <w:spacing w:line="300" w:lineRule="atLeast"/>
              <w:jc w:val="center"/>
              <w:rPr>
                <w:rFonts w:ascii="Arial" w:hAnsi="Arial" w:cs="Arial"/>
                <w:b/>
                <w:sz w:val="16"/>
                <w:szCs w:val="16"/>
              </w:rPr>
            </w:pPr>
            <w:r w:rsidRPr="000F4FB5">
              <w:rPr>
                <w:rFonts w:ascii="Arial" w:hAnsi="Arial" w:cs="Arial"/>
                <w:b/>
                <w:sz w:val="16"/>
                <w:szCs w:val="16"/>
              </w:rPr>
              <w:t>183.5 – 1</w:t>
            </w:r>
            <w:r w:rsidR="000F4FB5" w:rsidRPr="000F4FB5">
              <w:rPr>
                <w:rFonts w:ascii="Arial" w:hAnsi="Arial" w:cs="Arial"/>
                <w:b/>
                <w:sz w:val="16"/>
                <w:szCs w:val="16"/>
              </w:rPr>
              <w:t>,</w:t>
            </w:r>
            <w:r w:rsidRPr="000F4FB5">
              <w:rPr>
                <w:rFonts w:ascii="Arial" w:hAnsi="Arial" w:cs="Arial"/>
                <w:b/>
                <w:sz w:val="16"/>
                <w:szCs w:val="16"/>
              </w:rPr>
              <w:t>345.5 (764.5</w:t>
            </w:r>
            <w:r w:rsidR="00B538D4" w:rsidRPr="000F4FB5">
              <w:rPr>
                <w:rFonts w:ascii="Arial" w:hAnsi="Arial" w:cs="Arial"/>
                <w:b/>
                <w:sz w:val="16"/>
                <w:szCs w:val="16"/>
              </w:rPr>
              <w:t>)</w:t>
            </w:r>
          </w:p>
        </w:tc>
        <w:tc>
          <w:tcPr>
            <w:tcW w:w="1701" w:type="dxa"/>
            <w:tcBorders>
              <w:top w:val="double" w:sz="4" w:space="0" w:color="auto"/>
              <w:bottom w:val="double" w:sz="4" w:space="0" w:color="auto"/>
            </w:tcBorders>
            <w:vAlign w:val="center"/>
          </w:tcPr>
          <w:p w14:paraId="102BFB72" w14:textId="77777777" w:rsidR="00116640" w:rsidRPr="000F4FB5" w:rsidRDefault="00116640" w:rsidP="00D947F8">
            <w:pPr>
              <w:spacing w:line="300" w:lineRule="atLeast"/>
              <w:jc w:val="center"/>
              <w:rPr>
                <w:rFonts w:ascii="Arial" w:hAnsi="Arial" w:cs="Arial"/>
                <w:b/>
                <w:sz w:val="16"/>
                <w:szCs w:val="16"/>
              </w:rPr>
            </w:pPr>
            <w:r w:rsidRPr="000F4FB5">
              <w:rPr>
                <w:rFonts w:ascii="Arial" w:hAnsi="Arial" w:cs="Arial"/>
                <w:b/>
                <w:sz w:val="16"/>
                <w:szCs w:val="16"/>
              </w:rPr>
              <w:t>136.9 – 1</w:t>
            </w:r>
            <w:r w:rsidR="000F4FB5" w:rsidRPr="000F4FB5">
              <w:rPr>
                <w:rFonts w:ascii="Arial" w:hAnsi="Arial" w:cs="Arial"/>
                <w:b/>
                <w:sz w:val="16"/>
                <w:szCs w:val="16"/>
              </w:rPr>
              <w:t>,</w:t>
            </w:r>
            <w:r w:rsidRPr="000F4FB5">
              <w:rPr>
                <w:rFonts w:ascii="Arial" w:hAnsi="Arial" w:cs="Arial"/>
                <w:b/>
                <w:sz w:val="16"/>
                <w:szCs w:val="16"/>
              </w:rPr>
              <w:t>298.6</w:t>
            </w:r>
            <w:r w:rsidR="00D947F8" w:rsidRPr="000F4FB5">
              <w:rPr>
                <w:rFonts w:ascii="Arial" w:hAnsi="Arial" w:cs="Arial"/>
                <w:b/>
                <w:sz w:val="16"/>
                <w:szCs w:val="16"/>
              </w:rPr>
              <w:t xml:space="preserve"> (718</w:t>
            </w:r>
            <w:r w:rsidR="00B538D4" w:rsidRPr="000F4FB5">
              <w:rPr>
                <w:rFonts w:ascii="Arial" w:hAnsi="Arial" w:cs="Arial"/>
                <w:b/>
                <w:sz w:val="16"/>
                <w:szCs w:val="16"/>
              </w:rPr>
              <w:t>)</w:t>
            </w:r>
          </w:p>
        </w:tc>
        <w:tc>
          <w:tcPr>
            <w:tcW w:w="957" w:type="dxa"/>
            <w:tcBorders>
              <w:top w:val="double" w:sz="4" w:space="0" w:color="auto"/>
              <w:bottom w:val="double" w:sz="4" w:space="0" w:color="auto"/>
            </w:tcBorders>
            <w:vAlign w:val="center"/>
          </w:tcPr>
          <w:p w14:paraId="0259FC3D" w14:textId="77777777" w:rsidR="00116640" w:rsidRPr="000F4FB5" w:rsidRDefault="00116640" w:rsidP="007901FE">
            <w:pPr>
              <w:spacing w:line="300" w:lineRule="atLeast"/>
              <w:jc w:val="center"/>
              <w:rPr>
                <w:rFonts w:ascii="Arial" w:hAnsi="Arial" w:cs="Arial"/>
                <w:b/>
                <w:sz w:val="16"/>
                <w:szCs w:val="16"/>
              </w:rPr>
            </w:pPr>
            <w:r w:rsidRPr="000F4FB5">
              <w:rPr>
                <w:rFonts w:ascii="Arial" w:hAnsi="Arial" w:cs="Arial"/>
                <w:b/>
                <w:sz w:val="16"/>
                <w:szCs w:val="16"/>
              </w:rPr>
              <w:t>46.5</w:t>
            </w:r>
          </w:p>
        </w:tc>
      </w:tr>
      <w:tr w:rsidR="00231A1F" w14:paraId="7DA77EEF" w14:textId="77777777" w:rsidTr="00B2520C">
        <w:tc>
          <w:tcPr>
            <w:tcW w:w="2103" w:type="dxa"/>
            <w:tcBorders>
              <w:top w:val="double" w:sz="4" w:space="0" w:color="auto"/>
            </w:tcBorders>
            <w:vAlign w:val="center"/>
          </w:tcPr>
          <w:p w14:paraId="7D8B808C" w14:textId="77777777" w:rsidR="00231A1F" w:rsidRPr="000F4FB5" w:rsidRDefault="00B2520C" w:rsidP="00D947F8">
            <w:pPr>
              <w:spacing w:line="300" w:lineRule="atLeast"/>
              <w:rPr>
                <w:rFonts w:ascii="Arial" w:hAnsi="Arial" w:cs="Arial"/>
                <w:b/>
                <w:sz w:val="16"/>
                <w:szCs w:val="16"/>
              </w:rPr>
            </w:pPr>
            <w:r>
              <w:rPr>
                <w:rFonts w:ascii="Arial" w:hAnsi="Arial" w:cs="Arial"/>
                <w:b/>
                <w:sz w:val="16"/>
                <w:szCs w:val="16"/>
              </w:rPr>
              <w:t>Totals, 2016</w:t>
            </w:r>
          </w:p>
        </w:tc>
        <w:tc>
          <w:tcPr>
            <w:tcW w:w="1407" w:type="dxa"/>
            <w:tcBorders>
              <w:top w:val="double" w:sz="4" w:space="0" w:color="auto"/>
            </w:tcBorders>
            <w:vAlign w:val="center"/>
          </w:tcPr>
          <w:p w14:paraId="6BCF75D0" w14:textId="77777777" w:rsidR="00231A1F" w:rsidRPr="000F4FB5" w:rsidRDefault="00237DA6" w:rsidP="007901FE">
            <w:pPr>
              <w:spacing w:line="300" w:lineRule="atLeast"/>
              <w:jc w:val="center"/>
              <w:rPr>
                <w:rFonts w:ascii="Arial" w:hAnsi="Arial" w:cs="Arial"/>
                <w:b/>
                <w:sz w:val="16"/>
                <w:szCs w:val="16"/>
              </w:rPr>
            </w:pPr>
            <w:r>
              <w:rPr>
                <w:rFonts w:ascii="Arial" w:hAnsi="Arial" w:cs="Arial"/>
                <w:b/>
                <w:sz w:val="16"/>
                <w:szCs w:val="16"/>
              </w:rPr>
              <w:t>-</w:t>
            </w:r>
          </w:p>
        </w:tc>
        <w:tc>
          <w:tcPr>
            <w:tcW w:w="1560" w:type="dxa"/>
            <w:tcBorders>
              <w:top w:val="double" w:sz="4" w:space="0" w:color="auto"/>
            </w:tcBorders>
            <w:vAlign w:val="center"/>
          </w:tcPr>
          <w:p w14:paraId="10E7AF9E" w14:textId="77777777" w:rsidR="00231A1F" w:rsidRPr="000F4FB5" w:rsidRDefault="00237DA6" w:rsidP="005F6D6C">
            <w:pPr>
              <w:spacing w:line="300" w:lineRule="atLeast"/>
              <w:jc w:val="center"/>
              <w:rPr>
                <w:rFonts w:ascii="Arial" w:hAnsi="Arial" w:cs="Arial"/>
                <w:b/>
                <w:sz w:val="16"/>
                <w:szCs w:val="16"/>
              </w:rPr>
            </w:pPr>
            <w:r>
              <w:rPr>
                <w:rFonts w:ascii="Arial" w:hAnsi="Arial" w:cs="Arial"/>
                <w:b/>
                <w:sz w:val="16"/>
                <w:szCs w:val="16"/>
              </w:rPr>
              <w:t>-</w:t>
            </w:r>
          </w:p>
        </w:tc>
        <w:tc>
          <w:tcPr>
            <w:tcW w:w="1559" w:type="dxa"/>
            <w:tcBorders>
              <w:top w:val="double" w:sz="4" w:space="0" w:color="auto"/>
            </w:tcBorders>
            <w:vAlign w:val="center"/>
          </w:tcPr>
          <w:p w14:paraId="2348E80A" w14:textId="406EBCBE" w:rsidR="00231A1F" w:rsidRPr="000F4FB5" w:rsidRDefault="006432C8" w:rsidP="00416840">
            <w:pPr>
              <w:spacing w:line="300" w:lineRule="atLeast"/>
              <w:jc w:val="center"/>
              <w:rPr>
                <w:rFonts w:ascii="Arial" w:hAnsi="Arial" w:cs="Arial"/>
                <w:b/>
                <w:sz w:val="16"/>
                <w:szCs w:val="16"/>
              </w:rPr>
            </w:pPr>
            <w:r>
              <w:rPr>
                <w:rFonts w:ascii="Arial" w:hAnsi="Arial" w:cs="Arial"/>
                <w:b/>
                <w:sz w:val="16"/>
                <w:szCs w:val="16"/>
              </w:rPr>
              <w:t>2</w:t>
            </w:r>
            <w:r w:rsidR="00B2520C">
              <w:rPr>
                <w:rFonts w:ascii="Arial" w:hAnsi="Arial" w:cs="Arial"/>
                <w:b/>
                <w:sz w:val="16"/>
                <w:szCs w:val="16"/>
              </w:rPr>
              <w:t>3</w:t>
            </w:r>
            <w:r>
              <w:rPr>
                <w:rFonts w:ascii="Arial" w:hAnsi="Arial" w:cs="Arial"/>
                <w:b/>
                <w:sz w:val="16"/>
                <w:szCs w:val="16"/>
              </w:rPr>
              <w:t>0</w:t>
            </w:r>
            <w:r w:rsidR="00B2520C">
              <w:rPr>
                <w:rFonts w:ascii="Arial" w:hAnsi="Arial" w:cs="Arial"/>
                <w:b/>
                <w:sz w:val="16"/>
                <w:szCs w:val="16"/>
              </w:rPr>
              <w:t xml:space="preserve">.5 – </w:t>
            </w:r>
            <w:r>
              <w:rPr>
                <w:rFonts w:ascii="Arial" w:hAnsi="Arial" w:cs="Arial"/>
                <w:b/>
                <w:sz w:val="16"/>
                <w:szCs w:val="16"/>
              </w:rPr>
              <w:t>1,692.4</w:t>
            </w:r>
            <w:r w:rsidR="00B2520C">
              <w:rPr>
                <w:rFonts w:ascii="Arial" w:hAnsi="Arial" w:cs="Arial"/>
                <w:b/>
                <w:sz w:val="16"/>
                <w:szCs w:val="16"/>
              </w:rPr>
              <w:t xml:space="preserve"> (</w:t>
            </w:r>
            <w:r w:rsidR="00416840">
              <w:rPr>
                <w:rFonts w:ascii="Arial" w:hAnsi="Arial" w:cs="Arial"/>
                <w:b/>
                <w:sz w:val="16"/>
                <w:szCs w:val="16"/>
              </w:rPr>
              <w:t>961.5</w:t>
            </w:r>
            <w:r w:rsidR="00B2520C">
              <w:rPr>
                <w:rFonts w:ascii="Arial" w:hAnsi="Arial" w:cs="Arial"/>
                <w:b/>
                <w:sz w:val="16"/>
                <w:szCs w:val="16"/>
              </w:rPr>
              <w:t>)</w:t>
            </w:r>
          </w:p>
        </w:tc>
        <w:tc>
          <w:tcPr>
            <w:tcW w:w="1701" w:type="dxa"/>
            <w:tcBorders>
              <w:top w:val="double" w:sz="4" w:space="0" w:color="auto"/>
            </w:tcBorders>
            <w:vAlign w:val="center"/>
          </w:tcPr>
          <w:p w14:paraId="3EFA7E7B" w14:textId="3565699E" w:rsidR="00231A1F" w:rsidRPr="000F4FB5" w:rsidRDefault="00E60597" w:rsidP="00DA6B36">
            <w:pPr>
              <w:spacing w:line="300" w:lineRule="atLeast"/>
              <w:jc w:val="center"/>
              <w:rPr>
                <w:rFonts w:ascii="Arial" w:hAnsi="Arial" w:cs="Arial"/>
                <w:b/>
                <w:sz w:val="16"/>
                <w:szCs w:val="16"/>
              </w:rPr>
            </w:pPr>
            <w:r>
              <w:rPr>
                <w:rFonts w:ascii="Arial" w:hAnsi="Arial" w:cs="Arial"/>
                <w:b/>
                <w:sz w:val="16"/>
                <w:szCs w:val="16"/>
              </w:rPr>
              <w:t>221.9</w:t>
            </w:r>
            <w:r w:rsidR="00B2520C">
              <w:rPr>
                <w:rFonts w:ascii="Arial" w:hAnsi="Arial" w:cs="Arial"/>
                <w:b/>
                <w:sz w:val="16"/>
                <w:szCs w:val="16"/>
              </w:rPr>
              <w:t xml:space="preserve"> – </w:t>
            </w:r>
            <w:r>
              <w:rPr>
                <w:rFonts w:ascii="Arial" w:hAnsi="Arial" w:cs="Arial"/>
                <w:b/>
                <w:sz w:val="16"/>
                <w:szCs w:val="16"/>
              </w:rPr>
              <w:t>1683.</w:t>
            </w:r>
            <w:r w:rsidR="00DA6B36">
              <w:rPr>
                <w:rFonts w:ascii="Arial" w:hAnsi="Arial" w:cs="Arial"/>
                <w:b/>
                <w:sz w:val="16"/>
                <w:szCs w:val="16"/>
              </w:rPr>
              <w:t>8</w:t>
            </w:r>
            <w:r>
              <w:rPr>
                <w:rFonts w:ascii="Arial" w:hAnsi="Arial" w:cs="Arial"/>
                <w:b/>
                <w:sz w:val="16"/>
                <w:szCs w:val="16"/>
              </w:rPr>
              <w:t xml:space="preserve"> (952.</w:t>
            </w:r>
            <w:r w:rsidR="00DA6B36">
              <w:rPr>
                <w:rFonts w:ascii="Arial" w:hAnsi="Arial" w:cs="Arial"/>
                <w:b/>
                <w:sz w:val="16"/>
                <w:szCs w:val="16"/>
              </w:rPr>
              <w:t>9</w:t>
            </w:r>
            <w:r w:rsidR="00B2520C">
              <w:rPr>
                <w:rFonts w:ascii="Arial" w:hAnsi="Arial" w:cs="Arial"/>
                <w:b/>
                <w:sz w:val="16"/>
                <w:szCs w:val="16"/>
              </w:rPr>
              <w:t>)</w:t>
            </w:r>
          </w:p>
        </w:tc>
        <w:tc>
          <w:tcPr>
            <w:tcW w:w="957" w:type="dxa"/>
            <w:tcBorders>
              <w:top w:val="double" w:sz="4" w:space="0" w:color="auto"/>
            </w:tcBorders>
            <w:vAlign w:val="center"/>
          </w:tcPr>
          <w:p w14:paraId="2AD30D07" w14:textId="77777777" w:rsidR="00231A1F" w:rsidRPr="000F4FB5" w:rsidRDefault="00237DA6" w:rsidP="007901FE">
            <w:pPr>
              <w:spacing w:line="300" w:lineRule="atLeast"/>
              <w:jc w:val="center"/>
              <w:rPr>
                <w:rFonts w:ascii="Arial" w:hAnsi="Arial" w:cs="Arial"/>
                <w:b/>
                <w:sz w:val="16"/>
                <w:szCs w:val="16"/>
              </w:rPr>
            </w:pPr>
            <w:r>
              <w:rPr>
                <w:rFonts w:ascii="Arial" w:hAnsi="Arial" w:cs="Arial"/>
                <w:b/>
                <w:sz w:val="16"/>
                <w:szCs w:val="16"/>
              </w:rPr>
              <w:t>8.6</w:t>
            </w:r>
          </w:p>
        </w:tc>
      </w:tr>
    </w:tbl>
    <w:p w14:paraId="1DBD9C46" w14:textId="5CB65F82" w:rsidR="00A8164C" w:rsidRDefault="00A8164C" w:rsidP="00A8164C">
      <w:pPr>
        <w:tabs>
          <w:tab w:val="left" w:pos="851"/>
          <w:tab w:val="left" w:pos="1134"/>
        </w:tabs>
        <w:spacing w:before="120" w:line="300" w:lineRule="atLeast"/>
        <w:jc w:val="both"/>
        <w:rPr>
          <w:szCs w:val="18"/>
        </w:rPr>
      </w:pPr>
      <w:r>
        <w:rPr>
          <w:szCs w:val="18"/>
        </w:rPr>
        <w:t>Notes:</w:t>
      </w:r>
      <w:r>
        <w:rPr>
          <w:szCs w:val="18"/>
        </w:rPr>
        <w:tab/>
      </w:r>
      <w:proofErr w:type="gramStart"/>
      <w:r>
        <w:rPr>
          <w:szCs w:val="18"/>
        </w:rPr>
        <w:t>a</w:t>
      </w:r>
      <w:r>
        <w:rPr>
          <w:szCs w:val="18"/>
        </w:rPr>
        <w:tab/>
        <w:t>the</w:t>
      </w:r>
      <w:proofErr w:type="gramEnd"/>
      <w:r>
        <w:rPr>
          <w:szCs w:val="18"/>
        </w:rPr>
        <w:t xml:space="preserve"> </w:t>
      </w:r>
      <w:proofErr w:type="spellStart"/>
      <w:r>
        <w:rPr>
          <w:szCs w:val="18"/>
        </w:rPr>
        <w:t>Wairakei</w:t>
      </w:r>
      <w:proofErr w:type="spellEnd"/>
      <w:r>
        <w:rPr>
          <w:szCs w:val="18"/>
        </w:rPr>
        <w:t xml:space="preserve"> release</w:t>
      </w:r>
      <w:r w:rsidR="00004D1A">
        <w:rPr>
          <w:szCs w:val="18"/>
        </w:rPr>
        <w:t>s</w:t>
      </w:r>
      <w:r>
        <w:rPr>
          <w:szCs w:val="18"/>
        </w:rPr>
        <w:t xml:space="preserve"> to water have been subtracted from the total </w:t>
      </w:r>
      <w:r w:rsidR="0071154F">
        <w:rPr>
          <w:szCs w:val="18"/>
        </w:rPr>
        <w:t xml:space="preserve">inputs to give the </w:t>
      </w:r>
      <w:r>
        <w:rPr>
          <w:szCs w:val="18"/>
        </w:rPr>
        <w:t>releases to air.</w:t>
      </w:r>
    </w:p>
    <w:p w14:paraId="7887EC45" w14:textId="77777777" w:rsidR="003E35CE" w:rsidRDefault="003E35CE" w:rsidP="005F6D6C">
      <w:pPr>
        <w:spacing w:before="120" w:line="300" w:lineRule="atLeast"/>
        <w:jc w:val="both"/>
        <w:rPr>
          <w:rFonts w:ascii="Arial" w:hAnsi="Arial" w:cs="Arial"/>
          <w:b/>
          <w:szCs w:val="18"/>
        </w:rPr>
      </w:pPr>
    </w:p>
    <w:p w14:paraId="0E20F03E" w14:textId="66EFBE8C" w:rsidR="005F6D6C" w:rsidRPr="00BE17CF" w:rsidRDefault="005F6D6C" w:rsidP="005F6D6C">
      <w:pPr>
        <w:spacing w:before="120" w:line="300" w:lineRule="atLeast"/>
        <w:jc w:val="both"/>
        <w:rPr>
          <w:rFonts w:ascii="Arial" w:hAnsi="Arial" w:cs="Arial"/>
          <w:b/>
          <w:szCs w:val="18"/>
        </w:rPr>
      </w:pPr>
      <w:r w:rsidRPr="00BE17CF">
        <w:rPr>
          <w:rFonts w:ascii="Arial" w:hAnsi="Arial" w:cs="Arial"/>
          <w:b/>
          <w:szCs w:val="18"/>
        </w:rPr>
        <w:lastRenderedPageBreak/>
        <w:t>Certainty assessment</w:t>
      </w:r>
    </w:p>
    <w:p w14:paraId="20AD2097" w14:textId="77777777" w:rsidR="005F6D6C" w:rsidRDefault="005F6D6C" w:rsidP="005F6D6C">
      <w:pPr>
        <w:tabs>
          <w:tab w:val="left" w:pos="1985"/>
        </w:tabs>
        <w:spacing w:line="300" w:lineRule="atLeast"/>
        <w:jc w:val="both"/>
        <w:rPr>
          <w:szCs w:val="18"/>
        </w:rPr>
      </w:pPr>
      <w:r>
        <w:rPr>
          <w:szCs w:val="18"/>
        </w:rPr>
        <w:t xml:space="preserve">Activity data: </w:t>
      </w:r>
      <w:r>
        <w:rPr>
          <w:szCs w:val="18"/>
        </w:rPr>
        <w:tab/>
        <w:t>HIGH (because it was obtained from a national database)</w:t>
      </w:r>
    </w:p>
    <w:p w14:paraId="2CC7FED3" w14:textId="77777777" w:rsidR="005F6D6C" w:rsidRDefault="005F6D6C" w:rsidP="005F6D6C">
      <w:pPr>
        <w:tabs>
          <w:tab w:val="left" w:pos="1985"/>
        </w:tabs>
        <w:spacing w:line="300" w:lineRule="atLeast"/>
        <w:jc w:val="both"/>
        <w:rPr>
          <w:szCs w:val="18"/>
        </w:rPr>
      </w:pPr>
      <w:r>
        <w:rPr>
          <w:szCs w:val="18"/>
        </w:rPr>
        <w:t xml:space="preserve">Input estimates: </w:t>
      </w:r>
      <w:r>
        <w:rPr>
          <w:szCs w:val="18"/>
        </w:rPr>
        <w:tab/>
      </w:r>
      <w:r w:rsidR="00937059">
        <w:rPr>
          <w:szCs w:val="18"/>
        </w:rPr>
        <w:t>MEDIUM</w:t>
      </w:r>
      <w:r>
        <w:rPr>
          <w:szCs w:val="18"/>
        </w:rPr>
        <w:t xml:space="preserve"> (because they are based on </w:t>
      </w:r>
      <w:r w:rsidR="00937059">
        <w:rPr>
          <w:szCs w:val="18"/>
        </w:rPr>
        <w:t>a range of published data</w:t>
      </w:r>
      <w:r>
        <w:rPr>
          <w:szCs w:val="18"/>
        </w:rPr>
        <w:t>)</w:t>
      </w:r>
    </w:p>
    <w:p w14:paraId="0F87A073" w14:textId="77777777" w:rsidR="005F6D6C" w:rsidRPr="0028681C" w:rsidRDefault="005F6D6C" w:rsidP="005F6D6C">
      <w:pPr>
        <w:tabs>
          <w:tab w:val="left" w:pos="1985"/>
        </w:tabs>
        <w:spacing w:line="300" w:lineRule="atLeast"/>
        <w:jc w:val="both"/>
        <w:rPr>
          <w:szCs w:val="18"/>
        </w:rPr>
      </w:pPr>
      <w:r>
        <w:rPr>
          <w:szCs w:val="18"/>
        </w:rPr>
        <w:t xml:space="preserve">Output estimates: </w:t>
      </w:r>
      <w:r>
        <w:rPr>
          <w:szCs w:val="18"/>
        </w:rPr>
        <w:tab/>
      </w:r>
      <w:r w:rsidR="00937059">
        <w:rPr>
          <w:szCs w:val="18"/>
        </w:rPr>
        <w:t>MEDIUM</w:t>
      </w:r>
      <w:r>
        <w:rPr>
          <w:szCs w:val="18"/>
        </w:rPr>
        <w:t xml:space="preserve"> (because they are based on </w:t>
      </w:r>
      <w:r w:rsidR="00937059" w:rsidRPr="00937059">
        <w:rPr>
          <w:szCs w:val="18"/>
        </w:rPr>
        <w:t>a range of published data</w:t>
      </w:r>
      <w:r>
        <w:rPr>
          <w:szCs w:val="18"/>
        </w:rPr>
        <w:t>).</w:t>
      </w:r>
    </w:p>
    <w:p w14:paraId="61230D4E" w14:textId="77777777" w:rsidR="005F6D6C" w:rsidRDefault="00865C28" w:rsidP="00B8695D">
      <w:pPr>
        <w:pStyle w:val="Heading2"/>
        <w:rPr>
          <w:rFonts w:eastAsia="Calibri"/>
        </w:rPr>
      </w:pPr>
      <w:bookmarkStart w:id="45" w:name="_Toc484949573"/>
      <w:r w:rsidRPr="00B8695D">
        <w:rPr>
          <w:rFonts w:eastAsia="Calibri"/>
        </w:rPr>
        <w:t xml:space="preserve">Summary </w:t>
      </w:r>
      <w:r>
        <w:rPr>
          <w:rFonts w:eastAsia="Calibri"/>
        </w:rPr>
        <w:t xml:space="preserve">for this </w:t>
      </w:r>
      <w:r w:rsidRPr="00B8695D">
        <w:rPr>
          <w:rFonts w:eastAsia="Calibri"/>
        </w:rPr>
        <w:t>catego</w:t>
      </w:r>
      <w:r w:rsidR="00B8695D" w:rsidRPr="00B8695D">
        <w:rPr>
          <w:rFonts w:eastAsia="Calibri"/>
        </w:rPr>
        <w:t>ry</w:t>
      </w:r>
      <w:bookmarkEnd w:id="45"/>
      <w:r w:rsidR="00B8695D" w:rsidRPr="00B8695D">
        <w:rPr>
          <w:rFonts w:eastAsia="Calibri"/>
        </w:rPr>
        <w:t xml:space="preserve"> </w:t>
      </w:r>
    </w:p>
    <w:p w14:paraId="18C245A6" w14:textId="6C207CA4" w:rsidR="00A8164C" w:rsidRDefault="007901FE" w:rsidP="003833D6">
      <w:pPr>
        <w:spacing w:line="300" w:lineRule="atLeast"/>
        <w:jc w:val="both"/>
        <w:rPr>
          <w:rFonts w:eastAsia="Calibri"/>
          <w:szCs w:val="22"/>
        </w:rPr>
      </w:pPr>
      <w:r>
        <w:rPr>
          <w:rFonts w:eastAsia="Calibri"/>
          <w:szCs w:val="22"/>
        </w:rPr>
        <w:t xml:space="preserve">The estimated inputs and outputs for the Fuel/Energy Use category are summarised in </w:t>
      </w:r>
      <w:r w:rsidRPr="00636D03">
        <w:rPr>
          <w:rFonts w:eastAsia="Calibri"/>
          <w:szCs w:val="22"/>
        </w:rPr>
        <w:fldChar w:fldCharType="begin"/>
      </w:r>
      <w:r w:rsidRPr="00636D03">
        <w:rPr>
          <w:rFonts w:eastAsia="Calibri"/>
          <w:szCs w:val="22"/>
        </w:rPr>
        <w:instrText xml:space="preserve"> REF _Ref358374332 \h </w:instrText>
      </w:r>
      <w:r w:rsidR="00636D03">
        <w:rPr>
          <w:rFonts w:eastAsia="Calibri"/>
          <w:szCs w:val="22"/>
        </w:rPr>
        <w:instrText xml:space="preserve"> \* MERGEFORMAT </w:instrText>
      </w:r>
      <w:r w:rsidRPr="00636D03">
        <w:rPr>
          <w:rFonts w:eastAsia="Calibri"/>
          <w:szCs w:val="22"/>
        </w:rPr>
      </w:r>
      <w:r w:rsidRPr="00636D03">
        <w:rPr>
          <w:rFonts w:eastAsia="Calibri"/>
          <w:szCs w:val="22"/>
        </w:rPr>
        <w:fldChar w:fldCharType="separate"/>
      </w:r>
      <w:r w:rsidR="00423FC9" w:rsidRPr="00423FC9">
        <w:t xml:space="preserve">Table </w:t>
      </w:r>
      <w:r w:rsidR="00423FC9" w:rsidRPr="00423FC9">
        <w:rPr>
          <w:noProof/>
        </w:rPr>
        <w:t>3</w:t>
      </w:r>
      <w:r w:rsidR="00423FC9" w:rsidRPr="00423FC9">
        <w:rPr>
          <w:noProof/>
        </w:rPr>
        <w:noBreakHyphen/>
        <w:t>8</w:t>
      </w:r>
      <w:r w:rsidRPr="00636D03">
        <w:rPr>
          <w:rFonts w:eastAsia="Calibri"/>
          <w:szCs w:val="22"/>
        </w:rPr>
        <w:fldChar w:fldCharType="end"/>
      </w:r>
      <w:r w:rsidR="0059685F">
        <w:rPr>
          <w:rFonts w:eastAsia="Calibri"/>
          <w:szCs w:val="22"/>
        </w:rPr>
        <w:t xml:space="preserve">. </w:t>
      </w:r>
      <w:r w:rsidR="00872FAF">
        <w:rPr>
          <w:rFonts w:eastAsia="Calibri"/>
          <w:szCs w:val="22"/>
        </w:rPr>
        <w:t>From this it</w:t>
      </w:r>
      <w:r>
        <w:rPr>
          <w:rFonts w:eastAsia="Calibri"/>
          <w:szCs w:val="22"/>
        </w:rPr>
        <w:t xml:space="preserve"> can be seen that the greatest inputs are associated with </w:t>
      </w:r>
      <w:r w:rsidR="000E7954">
        <w:rPr>
          <w:rFonts w:eastAsia="Calibri"/>
          <w:szCs w:val="22"/>
        </w:rPr>
        <w:t>the use of geothermal energy, followed by natur</w:t>
      </w:r>
      <w:r w:rsidR="00016AD4">
        <w:rPr>
          <w:rFonts w:eastAsia="Calibri"/>
          <w:szCs w:val="22"/>
        </w:rPr>
        <w:t>al gas extraction and refining.</w:t>
      </w:r>
      <w:r w:rsidR="000E7954">
        <w:rPr>
          <w:rFonts w:eastAsia="Calibri"/>
          <w:szCs w:val="22"/>
        </w:rPr>
        <w:t xml:space="preserve"> T</w:t>
      </w:r>
      <w:r>
        <w:rPr>
          <w:rFonts w:eastAsia="Calibri"/>
          <w:szCs w:val="22"/>
        </w:rPr>
        <w:t>he dominant release route is to air.</w:t>
      </w:r>
    </w:p>
    <w:p w14:paraId="6FF6C2C0" w14:textId="77777777" w:rsidR="00B554A6" w:rsidRPr="007901FE" w:rsidRDefault="007901FE" w:rsidP="000E7954">
      <w:pPr>
        <w:pStyle w:val="Caption"/>
        <w:spacing w:before="240"/>
        <w:rPr>
          <w:rFonts w:ascii="Arial" w:hAnsi="Arial" w:cs="Arial"/>
          <w:szCs w:val="18"/>
        </w:rPr>
      </w:pPr>
      <w:bookmarkStart w:id="46" w:name="_Ref358374332"/>
      <w:bookmarkStart w:id="47" w:name="_Toc484949644"/>
      <w:r w:rsidRPr="007901FE">
        <w:rPr>
          <w:rFonts w:ascii="Arial" w:hAnsi="Arial" w:cs="Arial"/>
        </w:rPr>
        <w:t xml:space="preserve">Table </w:t>
      </w:r>
      <w:r w:rsidR="00390C9F">
        <w:rPr>
          <w:rFonts w:ascii="Arial" w:hAnsi="Arial" w:cs="Arial"/>
        </w:rPr>
        <w:fldChar w:fldCharType="begin"/>
      </w:r>
      <w:r w:rsidR="00390C9F">
        <w:rPr>
          <w:rFonts w:ascii="Arial" w:hAnsi="Arial" w:cs="Arial"/>
        </w:rPr>
        <w:instrText xml:space="preserve"> STYLEREF 1 \s </w:instrText>
      </w:r>
      <w:r w:rsidR="00390C9F">
        <w:rPr>
          <w:rFonts w:ascii="Arial" w:hAnsi="Arial" w:cs="Arial"/>
        </w:rPr>
        <w:fldChar w:fldCharType="separate"/>
      </w:r>
      <w:r w:rsidR="00423FC9">
        <w:rPr>
          <w:rFonts w:ascii="Arial" w:hAnsi="Arial" w:cs="Arial"/>
          <w:noProof/>
        </w:rPr>
        <w:t>3</w:t>
      </w:r>
      <w:r w:rsidR="00390C9F">
        <w:rPr>
          <w:rFonts w:ascii="Arial" w:hAnsi="Arial" w:cs="Arial"/>
        </w:rPr>
        <w:fldChar w:fldCharType="end"/>
      </w:r>
      <w:r w:rsidR="00390C9F">
        <w:rPr>
          <w:rFonts w:ascii="Arial" w:hAnsi="Arial" w:cs="Arial"/>
        </w:rPr>
        <w:noBreakHyphen/>
      </w:r>
      <w:r w:rsidR="00390C9F">
        <w:rPr>
          <w:rFonts w:ascii="Arial" w:hAnsi="Arial" w:cs="Arial"/>
        </w:rPr>
        <w:fldChar w:fldCharType="begin"/>
      </w:r>
      <w:r w:rsidR="00390C9F">
        <w:rPr>
          <w:rFonts w:ascii="Arial" w:hAnsi="Arial" w:cs="Arial"/>
        </w:rPr>
        <w:instrText xml:space="preserve"> SEQ Table \* ARABIC \s 1 </w:instrText>
      </w:r>
      <w:r w:rsidR="00390C9F">
        <w:rPr>
          <w:rFonts w:ascii="Arial" w:hAnsi="Arial" w:cs="Arial"/>
        </w:rPr>
        <w:fldChar w:fldCharType="separate"/>
      </w:r>
      <w:r w:rsidR="00423FC9">
        <w:rPr>
          <w:rFonts w:ascii="Arial" w:hAnsi="Arial" w:cs="Arial"/>
          <w:noProof/>
        </w:rPr>
        <w:t>8</w:t>
      </w:r>
      <w:r w:rsidR="00390C9F">
        <w:rPr>
          <w:rFonts w:ascii="Arial" w:hAnsi="Arial" w:cs="Arial"/>
        </w:rPr>
        <w:fldChar w:fldCharType="end"/>
      </w:r>
      <w:bookmarkEnd w:id="46"/>
      <w:r w:rsidRPr="007901FE">
        <w:rPr>
          <w:rFonts w:ascii="Arial" w:hAnsi="Arial" w:cs="Arial"/>
        </w:rPr>
        <w:t>: Summary of inputs and o</w:t>
      </w:r>
      <w:r>
        <w:rPr>
          <w:rFonts w:ascii="Arial" w:hAnsi="Arial" w:cs="Arial"/>
        </w:rPr>
        <w:t>utputs for the fuel use c</w:t>
      </w:r>
      <w:r w:rsidRPr="007901FE">
        <w:rPr>
          <w:rFonts w:ascii="Arial" w:hAnsi="Arial" w:cs="Arial"/>
        </w:rPr>
        <w:t>ategory</w:t>
      </w:r>
      <w:r w:rsidR="00801115">
        <w:rPr>
          <w:rFonts w:ascii="Arial" w:hAnsi="Arial" w:cs="Arial"/>
        </w:rPr>
        <w:t>, for 2016</w:t>
      </w:r>
      <w:bookmarkEnd w:id="47"/>
    </w:p>
    <w:tbl>
      <w:tblPr>
        <w:tblStyle w:val="TableGrid"/>
        <w:tblW w:w="9072" w:type="dxa"/>
        <w:tblInd w:w="108" w:type="dxa"/>
        <w:tblLook w:val="04A0" w:firstRow="1" w:lastRow="0" w:firstColumn="1" w:lastColumn="0" w:noHBand="0" w:noVBand="1"/>
      </w:tblPr>
      <w:tblGrid>
        <w:gridCol w:w="1991"/>
        <w:gridCol w:w="1403"/>
        <w:gridCol w:w="1384"/>
        <w:gridCol w:w="964"/>
        <w:gridCol w:w="1082"/>
        <w:gridCol w:w="929"/>
        <w:gridCol w:w="1319"/>
      </w:tblGrid>
      <w:tr w:rsidR="003007F7" w:rsidRPr="007901FE" w14:paraId="39DAA582" w14:textId="77777777" w:rsidTr="00B47A6F">
        <w:tc>
          <w:tcPr>
            <w:tcW w:w="1991" w:type="dxa"/>
            <w:vMerge w:val="restart"/>
            <w:vAlign w:val="center"/>
          </w:tcPr>
          <w:p w14:paraId="689A2A98" w14:textId="77777777" w:rsidR="003007F7" w:rsidRPr="004E3E02" w:rsidRDefault="003007F7" w:rsidP="00284F82">
            <w:pPr>
              <w:spacing w:line="300" w:lineRule="atLeast"/>
              <w:rPr>
                <w:rFonts w:ascii="Arial" w:hAnsi="Arial" w:cs="Arial"/>
                <w:b/>
                <w:sz w:val="16"/>
                <w:szCs w:val="16"/>
              </w:rPr>
            </w:pPr>
            <w:r w:rsidRPr="004E3E02">
              <w:rPr>
                <w:rFonts w:ascii="Arial" w:hAnsi="Arial" w:cs="Arial"/>
                <w:b/>
                <w:sz w:val="16"/>
                <w:szCs w:val="16"/>
              </w:rPr>
              <w:t>Category</w:t>
            </w:r>
          </w:p>
        </w:tc>
        <w:tc>
          <w:tcPr>
            <w:tcW w:w="1403" w:type="dxa"/>
            <w:vMerge w:val="restart"/>
            <w:vAlign w:val="center"/>
          </w:tcPr>
          <w:p w14:paraId="7D610A51" w14:textId="77777777" w:rsidR="003007F7" w:rsidRPr="004E3E02" w:rsidRDefault="003007F7" w:rsidP="00284F82">
            <w:pPr>
              <w:spacing w:line="300" w:lineRule="atLeast"/>
              <w:jc w:val="center"/>
              <w:rPr>
                <w:rFonts w:ascii="Arial" w:hAnsi="Arial" w:cs="Arial"/>
                <w:b/>
                <w:sz w:val="16"/>
                <w:szCs w:val="16"/>
              </w:rPr>
            </w:pPr>
            <w:r w:rsidRPr="004E3E02">
              <w:rPr>
                <w:rFonts w:ascii="Arial" w:hAnsi="Arial" w:cs="Arial"/>
                <w:b/>
                <w:sz w:val="16"/>
                <w:szCs w:val="16"/>
              </w:rPr>
              <w:t>Mercury Inputs, kg/year</w:t>
            </w:r>
          </w:p>
        </w:tc>
        <w:tc>
          <w:tcPr>
            <w:tcW w:w="5678" w:type="dxa"/>
            <w:gridSpan w:val="5"/>
            <w:vAlign w:val="center"/>
          </w:tcPr>
          <w:p w14:paraId="0ED5C45C" w14:textId="77777777" w:rsidR="003007F7" w:rsidRPr="004E3E02" w:rsidRDefault="003007F7" w:rsidP="00284F82">
            <w:pPr>
              <w:spacing w:line="300" w:lineRule="atLeast"/>
              <w:jc w:val="center"/>
              <w:rPr>
                <w:rFonts w:ascii="Arial" w:hAnsi="Arial" w:cs="Arial"/>
                <w:b/>
                <w:sz w:val="16"/>
                <w:szCs w:val="16"/>
              </w:rPr>
            </w:pPr>
            <w:r w:rsidRPr="004E3E02">
              <w:rPr>
                <w:rFonts w:ascii="Arial" w:hAnsi="Arial" w:cs="Arial"/>
                <w:b/>
                <w:sz w:val="16"/>
                <w:szCs w:val="16"/>
              </w:rPr>
              <w:t>Mercury Outputs, kg/</w:t>
            </w:r>
            <w:proofErr w:type="spellStart"/>
            <w:r w:rsidRPr="004E3E02">
              <w:rPr>
                <w:rFonts w:ascii="Arial" w:hAnsi="Arial" w:cs="Arial"/>
                <w:b/>
                <w:sz w:val="16"/>
                <w:szCs w:val="16"/>
              </w:rPr>
              <w:t>yr</w:t>
            </w:r>
            <w:proofErr w:type="spellEnd"/>
          </w:p>
        </w:tc>
      </w:tr>
      <w:tr w:rsidR="003007F7" w:rsidRPr="007901FE" w14:paraId="3BEFF402" w14:textId="77777777" w:rsidTr="00B47A6F">
        <w:tc>
          <w:tcPr>
            <w:tcW w:w="1991" w:type="dxa"/>
            <w:vMerge/>
            <w:vAlign w:val="center"/>
          </w:tcPr>
          <w:p w14:paraId="140C4CE3" w14:textId="77777777" w:rsidR="003007F7" w:rsidRPr="004E3E02" w:rsidRDefault="003007F7" w:rsidP="00284F82">
            <w:pPr>
              <w:spacing w:line="300" w:lineRule="atLeast"/>
              <w:rPr>
                <w:rFonts w:ascii="Arial" w:hAnsi="Arial" w:cs="Arial"/>
                <w:b/>
                <w:sz w:val="16"/>
                <w:szCs w:val="16"/>
              </w:rPr>
            </w:pPr>
          </w:p>
        </w:tc>
        <w:tc>
          <w:tcPr>
            <w:tcW w:w="1403" w:type="dxa"/>
            <w:vMerge/>
          </w:tcPr>
          <w:p w14:paraId="36EE6014" w14:textId="77777777" w:rsidR="003007F7" w:rsidRPr="004E3E02" w:rsidRDefault="003007F7" w:rsidP="00284F82">
            <w:pPr>
              <w:spacing w:line="300" w:lineRule="atLeast"/>
              <w:jc w:val="both"/>
              <w:rPr>
                <w:rFonts w:ascii="Arial" w:hAnsi="Arial" w:cs="Arial"/>
                <w:b/>
                <w:sz w:val="16"/>
                <w:szCs w:val="16"/>
              </w:rPr>
            </w:pPr>
          </w:p>
        </w:tc>
        <w:tc>
          <w:tcPr>
            <w:tcW w:w="1384" w:type="dxa"/>
            <w:vAlign w:val="center"/>
          </w:tcPr>
          <w:p w14:paraId="71E8C145" w14:textId="77777777" w:rsidR="003007F7" w:rsidRPr="004E3E02" w:rsidRDefault="003007F7" w:rsidP="00284F82">
            <w:pPr>
              <w:spacing w:line="300" w:lineRule="atLeast"/>
              <w:jc w:val="center"/>
              <w:rPr>
                <w:rFonts w:ascii="Arial" w:hAnsi="Arial" w:cs="Arial"/>
                <w:b/>
                <w:sz w:val="16"/>
                <w:szCs w:val="16"/>
              </w:rPr>
            </w:pPr>
            <w:r w:rsidRPr="004E3E02">
              <w:rPr>
                <w:rFonts w:ascii="Arial" w:hAnsi="Arial" w:cs="Arial"/>
                <w:b/>
                <w:sz w:val="16"/>
                <w:szCs w:val="16"/>
              </w:rPr>
              <w:t>Air</w:t>
            </w:r>
          </w:p>
        </w:tc>
        <w:tc>
          <w:tcPr>
            <w:tcW w:w="964" w:type="dxa"/>
            <w:vAlign w:val="center"/>
          </w:tcPr>
          <w:p w14:paraId="094B6463" w14:textId="77777777" w:rsidR="003007F7" w:rsidRPr="004E3E02" w:rsidRDefault="003007F7" w:rsidP="00284F82">
            <w:pPr>
              <w:spacing w:line="300" w:lineRule="atLeast"/>
              <w:jc w:val="center"/>
              <w:rPr>
                <w:rFonts w:ascii="Arial" w:hAnsi="Arial" w:cs="Arial"/>
                <w:b/>
                <w:sz w:val="16"/>
                <w:szCs w:val="16"/>
              </w:rPr>
            </w:pPr>
            <w:r w:rsidRPr="004E3E02">
              <w:rPr>
                <w:rFonts w:ascii="Arial" w:hAnsi="Arial" w:cs="Arial"/>
                <w:b/>
                <w:sz w:val="16"/>
                <w:szCs w:val="16"/>
              </w:rPr>
              <w:t>Water</w:t>
            </w:r>
          </w:p>
        </w:tc>
        <w:tc>
          <w:tcPr>
            <w:tcW w:w="1082" w:type="dxa"/>
            <w:vAlign w:val="center"/>
          </w:tcPr>
          <w:p w14:paraId="2C56E83B" w14:textId="77777777" w:rsidR="003007F7" w:rsidRPr="004E3E02" w:rsidRDefault="003007F7" w:rsidP="00284F82">
            <w:pPr>
              <w:spacing w:line="300" w:lineRule="atLeast"/>
              <w:jc w:val="center"/>
              <w:rPr>
                <w:rFonts w:ascii="Arial" w:hAnsi="Arial" w:cs="Arial"/>
                <w:b/>
                <w:sz w:val="16"/>
                <w:szCs w:val="16"/>
              </w:rPr>
            </w:pPr>
            <w:r w:rsidRPr="004E3E02">
              <w:rPr>
                <w:rFonts w:ascii="Arial" w:hAnsi="Arial" w:cs="Arial"/>
                <w:b/>
                <w:sz w:val="16"/>
                <w:szCs w:val="16"/>
              </w:rPr>
              <w:t>Land</w:t>
            </w:r>
          </w:p>
        </w:tc>
        <w:tc>
          <w:tcPr>
            <w:tcW w:w="929" w:type="dxa"/>
            <w:vAlign w:val="center"/>
          </w:tcPr>
          <w:p w14:paraId="1D17F71A" w14:textId="77777777" w:rsidR="003007F7" w:rsidRPr="004E3E02" w:rsidRDefault="003007F7" w:rsidP="00284F82">
            <w:pPr>
              <w:spacing w:line="300" w:lineRule="atLeast"/>
              <w:jc w:val="center"/>
              <w:rPr>
                <w:rFonts w:ascii="Arial" w:hAnsi="Arial" w:cs="Arial"/>
                <w:b/>
                <w:sz w:val="16"/>
                <w:szCs w:val="16"/>
              </w:rPr>
            </w:pPr>
            <w:r w:rsidRPr="004E3E02">
              <w:rPr>
                <w:rFonts w:ascii="Arial" w:hAnsi="Arial" w:cs="Arial"/>
                <w:b/>
                <w:sz w:val="16"/>
                <w:szCs w:val="16"/>
              </w:rPr>
              <w:t>Product</w:t>
            </w:r>
          </w:p>
        </w:tc>
        <w:tc>
          <w:tcPr>
            <w:tcW w:w="1319" w:type="dxa"/>
            <w:vAlign w:val="center"/>
          </w:tcPr>
          <w:p w14:paraId="3B6F67DA" w14:textId="77777777" w:rsidR="003007F7" w:rsidRPr="004E3E02" w:rsidRDefault="003007F7" w:rsidP="00284F82">
            <w:pPr>
              <w:spacing w:line="300" w:lineRule="atLeast"/>
              <w:jc w:val="center"/>
              <w:rPr>
                <w:rFonts w:ascii="Arial" w:hAnsi="Arial" w:cs="Arial"/>
                <w:b/>
                <w:sz w:val="16"/>
                <w:szCs w:val="16"/>
              </w:rPr>
            </w:pPr>
            <w:r w:rsidRPr="004E3E02">
              <w:rPr>
                <w:rFonts w:ascii="Arial" w:hAnsi="Arial" w:cs="Arial"/>
                <w:b/>
                <w:sz w:val="16"/>
                <w:szCs w:val="16"/>
              </w:rPr>
              <w:t>Waste</w:t>
            </w:r>
          </w:p>
        </w:tc>
      </w:tr>
      <w:tr w:rsidR="00DA6B36" w:rsidRPr="007901FE" w14:paraId="38A16B2F" w14:textId="77777777" w:rsidTr="00B47A6F">
        <w:tc>
          <w:tcPr>
            <w:tcW w:w="1991" w:type="dxa"/>
            <w:vAlign w:val="center"/>
          </w:tcPr>
          <w:p w14:paraId="7F70B415" w14:textId="77777777" w:rsidR="00DA6B36" w:rsidRPr="004E3E02" w:rsidRDefault="00DA6B36" w:rsidP="00DA6B36">
            <w:pPr>
              <w:spacing w:line="300" w:lineRule="atLeast"/>
              <w:rPr>
                <w:rFonts w:ascii="Arial" w:hAnsi="Arial" w:cs="Arial"/>
                <w:sz w:val="16"/>
                <w:szCs w:val="16"/>
              </w:rPr>
            </w:pPr>
            <w:r>
              <w:rPr>
                <w:rFonts w:ascii="Arial" w:hAnsi="Arial" w:cs="Arial"/>
                <w:sz w:val="16"/>
                <w:szCs w:val="16"/>
              </w:rPr>
              <w:t>Coal – large power plants</w:t>
            </w:r>
          </w:p>
        </w:tc>
        <w:tc>
          <w:tcPr>
            <w:tcW w:w="1403" w:type="dxa"/>
            <w:vAlign w:val="center"/>
          </w:tcPr>
          <w:p w14:paraId="21B99526" w14:textId="430CB353" w:rsidR="00DA6B36" w:rsidRPr="004E3E02" w:rsidRDefault="00CE2AE9" w:rsidP="00DA6B36">
            <w:pPr>
              <w:spacing w:line="300" w:lineRule="atLeast"/>
              <w:jc w:val="center"/>
              <w:rPr>
                <w:rFonts w:ascii="Arial" w:hAnsi="Arial" w:cs="Arial"/>
                <w:sz w:val="16"/>
                <w:szCs w:val="16"/>
              </w:rPr>
            </w:pPr>
            <w:r>
              <w:rPr>
                <w:rFonts w:ascii="Arial" w:hAnsi="Arial" w:cs="Arial"/>
                <w:sz w:val="16"/>
                <w:szCs w:val="16"/>
              </w:rPr>
              <w:t>4.5 – 42.4    (23.4</w:t>
            </w:r>
            <w:r w:rsidR="00DA6B36">
              <w:rPr>
                <w:rFonts w:ascii="Arial" w:hAnsi="Arial" w:cs="Arial"/>
                <w:sz w:val="16"/>
                <w:szCs w:val="16"/>
              </w:rPr>
              <w:t>)</w:t>
            </w:r>
          </w:p>
        </w:tc>
        <w:tc>
          <w:tcPr>
            <w:tcW w:w="1384" w:type="dxa"/>
            <w:vAlign w:val="center"/>
          </w:tcPr>
          <w:p w14:paraId="679B8EAC" w14:textId="7AF3CC25" w:rsidR="00DA6B36" w:rsidRPr="004E3E02" w:rsidRDefault="00CE2AE9" w:rsidP="00DA6B36">
            <w:pPr>
              <w:spacing w:line="300" w:lineRule="atLeast"/>
              <w:jc w:val="center"/>
              <w:rPr>
                <w:rFonts w:ascii="Arial" w:hAnsi="Arial" w:cs="Arial"/>
                <w:sz w:val="16"/>
                <w:szCs w:val="16"/>
              </w:rPr>
            </w:pPr>
            <w:r>
              <w:rPr>
                <w:rFonts w:ascii="Arial" w:hAnsi="Arial" w:cs="Arial"/>
                <w:sz w:val="16"/>
                <w:szCs w:val="16"/>
              </w:rPr>
              <w:t>4.0– 38.2     (21.1</w:t>
            </w:r>
            <w:r w:rsidR="00DA6B36">
              <w:rPr>
                <w:rFonts w:ascii="Arial" w:hAnsi="Arial" w:cs="Arial"/>
                <w:sz w:val="16"/>
                <w:szCs w:val="16"/>
              </w:rPr>
              <w:t>)</w:t>
            </w:r>
          </w:p>
        </w:tc>
        <w:tc>
          <w:tcPr>
            <w:tcW w:w="964" w:type="dxa"/>
            <w:vAlign w:val="center"/>
          </w:tcPr>
          <w:p w14:paraId="55BD3B58" w14:textId="426B0729" w:rsidR="00DA6B36" w:rsidRPr="004E3E02" w:rsidRDefault="00DA6B36" w:rsidP="00DA6B36">
            <w:pPr>
              <w:spacing w:line="300" w:lineRule="atLeast"/>
              <w:jc w:val="center"/>
              <w:rPr>
                <w:rFonts w:ascii="Arial" w:hAnsi="Arial" w:cs="Arial"/>
                <w:sz w:val="16"/>
                <w:szCs w:val="16"/>
              </w:rPr>
            </w:pPr>
            <w:r>
              <w:rPr>
                <w:rFonts w:ascii="Arial" w:hAnsi="Arial" w:cs="Arial"/>
                <w:sz w:val="16"/>
                <w:szCs w:val="16"/>
              </w:rPr>
              <w:t>-</w:t>
            </w:r>
          </w:p>
        </w:tc>
        <w:tc>
          <w:tcPr>
            <w:tcW w:w="1082" w:type="dxa"/>
          </w:tcPr>
          <w:p w14:paraId="579A7729" w14:textId="225E2368" w:rsidR="00DA6B36" w:rsidRPr="00F31685" w:rsidRDefault="00CE2AE9" w:rsidP="00DA6B36">
            <w:pPr>
              <w:spacing w:line="300" w:lineRule="atLeast"/>
              <w:jc w:val="center"/>
              <w:rPr>
                <w:rFonts w:ascii="Arial" w:hAnsi="Arial" w:cs="Arial"/>
                <w:sz w:val="16"/>
                <w:szCs w:val="16"/>
              </w:rPr>
            </w:pPr>
            <w:r>
              <w:rPr>
                <w:rFonts w:ascii="Arial" w:hAnsi="Arial" w:cs="Arial"/>
                <w:sz w:val="16"/>
                <w:szCs w:val="16"/>
              </w:rPr>
              <w:t>0.5 – 4.2 (2.3</w:t>
            </w:r>
            <w:r w:rsidR="00DA6B36">
              <w:rPr>
                <w:rFonts w:ascii="Arial" w:hAnsi="Arial" w:cs="Arial"/>
                <w:sz w:val="16"/>
                <w:szCs w:val="16"/>
              </w:rPr>
              <w:t>)</w:t>
            </w:r>
          </w:p>
        </w:tc>
        <w:tc>
          <w:tcPr>
            <w:tcW w:w="929" w:type="dxa"/>
            <w:vAlign w:val="center"/>
          </w:tcPr>
          <w:p w14:paraId="5BDA31B7" w14:textId="77777777" w:rsidR="00DA6B36" w:rsidRPr="004E3E02" w:rsidRDefault="00DA6B36" w:rsidP="00DA6B36">
            <w:pPr>
              <w:spacing w:line="300" w:lineRule="atLeast"/>
              <w:jc w:val="center"/>
              <w:rPr>
                <w:rFonts w:ascii="Arial" w:hAnsi="Arial" w:cs="Arial"/>
                <w:sz w:val="16"/>
                <w:szCs w:val="16"/>
              </w:rPr>
            </w:pPr>
            <w:r>
              <w:rPr>
                <w:rFonts w:ascii="Arial" w:hAnsi="Arial" w:cs="Arial"/>
                <w:sz w:val="16"/>
                <w:szCs w:val="16"/>
              </w:rPr>
              <w:t>-</w:t>
            </w:r>
          </w:p>
        </w:tc>
        <w:tc>
          <w:tcPr>
            <w:tcW w:w="1319" w:type="dxa"/>
            <w:vAlign w:val="center"/>
          </w:tcPr>
          <w:p w14:paraId="5CB220CE" w14:textId="77777777" w:rsidR="00DA6B36" w:rsidRPr="004E3E02" w:rsidRDefault="00DA6B36" w:rsidP="00DA6B36">
            <w:pPr>
              <w:spacing w:line="300" w:lineRule="atLeast"/>
              <w:jc w:val="center"/>
              <w:rPr>
                <w:rFonts w:ascii="Arial" w:hAnsi="Arial" w:cs="Arial"/>
                <w:sz w:val="16"/>
                <w:szCs w:val="16"/>
              </w:rPr>
            </w:pPr>
            <w:r>
              <w:rPr>
                <w:rFonts w:ascii="Arial" w:hAnsi="Arial" w:cs="Arial"/>
                <w:sz w:val="16"/>
                <w:szCs w:val="16"/>
              </w:rPr>
              <w:t>-</w:t>
            </w:r>
          </w:p>
        </w:tc>
      </w:tr>
      <w:tr w:rsidR="00004D1A" w:rsidRPr="007901FE" w14:paraId="771C395C" w14:textId="77777777" w:rsidTr="00B47A6F">
        <w:tc>
          <w:tcPr>
            <w:tcW w:w="1991" w:type="dxa"/>
            <w:vAlign w:val="center"/>
          </w:tcPr>
          <w:p w14:paraId="2399B694" w14:textId="77777777" w:rsidR="00004D1A" w:rsidRPr="00004D1A" w:rsidRDefault="00004D1A" w:rsidP="00004D1A">
            <w:pPr>
              <w:spacing w:line="300" w:lineRule="atLeast"/>
              <w:rPr>
                <w:rFonts w:ascii="Arial" w:hAnsi="Arial" w:cs="Arial"/>
                <w:sz w:val="16"/>
                <w:szCs w:val="16"/>
              </w:rPr>
            </w:pPr>
            <w:r w:rsidRPr="00004D1A">
              <w:rPr>
                <w:rFonts w:ascii="Arial" w:hAnsi="Arial" w:cs="Arial"/>
                <w:sz w:val="16"/>
                <w:szCs w:val="16"/>
              </w:rPr>
              <w:t>Other coal combustion</w:t>
            </w:r>
          </w:p>
        </w:tc>
        <w:tc>
          <w:tcPr>
            <w:tcW w:w="1403" w:type="dxa"/>
            <w:vAlign w:val="center"/>
          </w:tcPr>
          <w:p w14:paraId="5AFE10B3" w14:textId="64852420" w:rsidR="00004D1A" w:rsidRPr="00004D1A" w:rsidRDefault="00004D1A" w:rsidP="00004D1A">
            <w:pPr>
              <w:spacing w:line="300" w:lineRule="atLeast"/>
              <w:jc w:val="center"/>
              <w:rPr>
                <w:rFonts w:ascii="Arial" w:hAnsi="Arial" w:cs="Arial"/>
                <w:sz w:val="16"/>
                <w:szCs w:val="16"/>
              </w:rPr>
            </w:pPr>
            <w:r w:rsidRPr="00004D1A">
              <w:rPr>
                <w:rFonts w:ascii="Arial" w:hAnsi="Arial" w:cs="Arial"/>
                <w:sz w:val="16"/>
                <w:szCs w:val="16"/>
              </w:rPr>
              <w:t>47.0 – 187.1 (117.1)</w:t>
            </w:r>
          </w:p>
        </w:tc>
        <w:tc>
          <w:tcPr>
            <w:tcW w:w="1384" w:type="dxa"/>
            <w:vAlign w:val="center"/>
          </w:tcPr>
          <w:p w14:paraId="5FD38110" w14:textId="23FA7234" w:rsidR="00004D1A" w:rsidRPr="00004D1A" w:rsidRDefault="00004D1A" w:rsidP="00004D1A">
            <w:pPr>
              <w:spacing w:line="300" w:lineRule="atLeast"/>
              <w:jc w:val="center"/>
              <w:rPr>
                <w:rFonts w:ascii="Arial" w:hAnsi="Arial" w:cs="Arial"/>
                <w:sz w:val="16"/>
                <w:szCs w:val="16"/>
              </w:rPr>
            </w:pPr>
            <w:r w:rsidRPr="00004D1A">
              <w:rPr>
                <w:rFonts w:ascii="Arial" w:hAnsi="Arial" w:cs="Arial"/>
                <w:sz w:val="16"/>
                <w:szCs w:val="16"/>
              </w:rPr>
              <w:t>44.6 – 177.8 (111.2)</w:t>
            </w:r>
          </w:p>
        </w:tc>
        <w:tc>
          <w:tcPr>
            <w:tcW w:w="964" w:type="dxa"/>
            <w:vAlign w:val="center"/>
          </w:tcPr>
          <w:p w14:paraId="500B1B14" w14:textId="0B4B2425" w:rsidR="00004D1A" w:rsidRPr="00004D1A" w:rsidRDefault="00004D1A" w:rsidP="00004D1A">
            <w:pPr>
              <w:spacing w:line="300" w:lineRule="atLeast"/>
              <w:jc w:val="center"/>
              <w:rPr>
                <w:rFonts w:ascii="Arial" w:hAnsi="Arial" w:cs="Arial"/>
                <w:sz w:val="16"/>
                <w:szCs w:val="16"/>
              </w:rPr>
            </w:pPr>
            <w:r>
              <w:rPr>
                <w:rFonts w:ascii="Arial" w:hAnsi="Arial" w:cs="Arial"/>
                <w:sz w:val="16"/>
                <w:szCs w:val="16"/>
              </w:rPr>
              <w:t>-</w:t>
            </w:r>
          </w:p>
        </w:tc>
        <w:tc>
          <w:tcPr>
            <w:tcW w:w="1082" w:type="dxa"/>
            <w:vAlign w:val="center"/>
          </w:tcPr>
          <w:p w14:paraId="551AA70E" w14:textId="77777777" w:rsidR="00004D1A" w:rsidRPr="00004D1A" w:rsidRDefault="00004D1A" w:rsidP="00004D1A">
            <w:pPr>
              <w:spacing w:line="300" w:lineRule="atLeast"/>
              <w:jc w:val="center"/>
              <w:rPr>
                <w:rFonts w:ascii="Arial" w:hAnsi="Arial" w:cs="Arial"/>
                <w:sz w:val="16"/>
                <w:szCs w:val="16"/>
              </w:rPr>
            </w:pPr>
            <w:r w:rsidRPr="00004D1A">
              <w:rPr>
                <w:rFonts w:ascii="Arial" w:hAnsi="Arial" w:cs="Arial"/>
                <w:sz w:val="16"/>
                <w:szCs w:val="16"/>
              </w:rPr>
              <w:t>-</w:t>
            </w:r>
          </w:p>
        </w:tc>
        <w:tc>
          <w:tcPr>
            <w:tcW w:w="929" w:type="dxa"/>
            <w:vAlign w:val="center"/>
          </w:tcPr>
          <w:p w14:paraId="7A87A74A" w14:textId="77777777" w:rsidR="00004D1A" w:rsidRPr="00004D1A" w:rsidRDefault="00004D1A" w:rsidP="00004D1A">
            <w:pPr>
              <w:spacing w:line="300" w:lineRule="atLeast"/>
              <w:jc w:val="center"/>
              <w:rPr>
                <w:rFonts w:ascii="Arial" w:hAnsi="Arial" w:cs="Arial"/>
                <w:sz w:val="16"/>
                <w:szCs w:val="16"/>
              </w:rPr>
            </w:pPr>
            <w:r w:rsidRPr="00004D1A">
              <w:rPr>
                <w:rFonts w:ascii="Arial" w:hAnsi="Arial" w:cs="Arial"/>
                <w:sz w:val="16"/>
                <w:szCs w:val="16"/>
              </w:rPr>
              <w:t>-</w:t>
            </w:r>
          </w:p>
        </w:tc>
        <w:tc>
          <w:tcPr>
            <w:tcW w:w="1319" w:type="dxa"/>
            <w:vAlign w:val="center"/>
          </w:tcPr>
          <w:p w14:paraId="4129AE9B" w14:textId="162F2B76" w:rsidR="00004D1A" w:rsidRPr="00DB1157" w:rsidRDefault="00475228" w:rsidP="00475228">
            <w:pPr>
              <w:spacing w:line="300" w:lineRule="atLeast"/>
              <w:jc w:val="center"/>
              <w:rPr>
                <w:rFonts w:ascii="Arial" w:hAnsi="Arial" w:cs="Arial"/>
                <w:sz w:val="16"/>
                <w:szCs w:val="16"/>
              </w:rPr>
            </w:pPr>
            <w:r>
              <w:rPr>
                <w:rFonts w:ascii="Arial" w:hAnsi="Arial" w:cs="Arial"/>
                <w:sz w:val="16"/>
                <w:szCs w:val="16"/>
              </w:rPr>
              <w:t>2.4 – 9.2</w:t>
            </w:r>
            <w:r>
              <w:rPr>
                <w:rFonts w:ascii="Arial" w:hAnsi="Arial" w:cs="Arial"/>
                <w:sz w:val="16"/>
                <w:szCs w:val="16"/>
              </w:rPr>
              <w:br/>
              <w:t>(5.</w:t>
            </w:r>
            <w:r w:rsidR="00004D1A" w:rsidRPr="00004D1A">
              <w:rPr>
                <w:rFonts w:ascii="Arial" w:hAnsi="Arial" w:cs="Arial"/>
                <w:sz w:val="16"/>
                <w:szCs w:val="16"/>
              </w:rPr>
              <w:t>8)</w:t>
            </w:r>
          </w:p>
        </w:tc>
      </w:tr>
      <w:tr w:rsidR="00D14D6D" w:rsidRPr="007901FE" w14:paraId="3B7BE412" w14:textId="77777777" w:rsidTr="00B47A6F">
        <w:tc>
          <w:tcPr>
            <w:tcW w:w="1991" w:type="dxa"/>
            <w:vAlign w:val="center"/>
          </w:tcPr>
          <w:p w14:paraId="10D18273" w14:textId="77777777" w:rsidR="00D14D6D" w:rsidRPr="004E3E02" w:rsidRDefault="00D14D6D" w:rsidP="00D14D6D">
            <w:pPr>
              <w:spacing w:line="300" w:lineRule="atLeast"/>
              <w:rPr>
                <w:rFonts w:ascii="Arial" w:hAnsi="Arial" w:cs="Arial"/>
                <w:sz w:val="16"/>
                <w:szCs w:val="16"/>
              </w:rPr>
            </w:pPr>
            <w:r>
              <w:rPr>
                <w:rFonts w:ascii="Arial" w:hAnsi="Arial" w:cs="Arial"/>
                <w:sz w:val="16"/>
                <w:szCs w:val="16"/>
              </w:rPr>
              <w:t>Oil extraction, refining and use</w:t>
            </w:r>
          </w:p>
        </w:tc>
        <w:tc>
          <w:tcPr>
            <w:tcW w:w="1403" w:type="dxa"/>
            <w:vAlign w:val="center"/>
          </w:tcPr>
          <w:p w14:paraId="50862B5A" w14:textId="1D28DFD2" w:rsidR="00D14D6D" w:rsidRPr="00DB1157" w:rsidRDefault="00D14D6D" w:rsidP="00D14D6D">
            <w:pPr>
              <w:spacing w:line="300" w:lineRule="atLeast"/>
              <w:jc w:val="center"/>
              <w:rPr>
                <w:rFonts w:ascii="Arial" w:hAnsi="Arial" w:cs="Arial"/>
                <w:sz w:val="16"/>
                <w:szCs w:val="16"/>
              </w:rPr>
            </w:pPr>
            <w:r>
              <w:rPr>
                <w:rFonts w:ascii="Arial" w:hAnsi="Arial" w:cs="Arial"/>
                <w:sz w:val="16"/>
                <w:szCs w:val="16"/>
              </w:rPr>
              <w:t>23.</w:t>
            </w:r>
            <w:r w:rsidR="00DA6B36">
              <w:rPr>
                <w:rFonts w:ascii="Arial" w:hAnsi="Arial" w:cs="Arial"/>
                <w:sz w:val="16"/>
                <w:szCs w:val="16"/>
              </w:rPr>
              <w:t>2</w:t>
            </w:r>
          </w:p>
        </w:tc>
        <w:tc>
          <w:tcPr>
            <w:tcW w:w="1384" w:type="dxa"/>
            <w:vAlign w:val="center"/>
          </w:tcPr>
          <w:p w14:paraId="4639F0AA" w14:textId="10CE4F62" w:rsidR="00D14D6D" w:rsidRPr="00856694" w:rsidRDefault="00801115" w:rsidP="00D14D6D">
            <w:pPr>
              <w:spacing w:line="300" w:lineRule="atLeast"/>
              <w:jc w:val="center"/>
              <w:rPr>
                <w:rFonts w:ascii="Arial" w:hAnsi="Arial" w:cs="Arial"/>
                <w:sz w:val="16"/>
                <w:szCs w:val="16"/>
              </w:rPr>
            </w:pPr>
            <w:r>
              <w:rPr>
                <w:rFonts w:ascii="Arial" w:hAnsi="Arial" w:cs="Arial"/>
                <w:sz w:val="16"/>
                <w:szCs w:val="16"/>
              </w:rPr>
              <w:t>19.</w:t>
            </w:r>
            <w:r w:rsidR="00DA6B36">
              <w:rPr>
                <w:rFonts w:ascii="Arial" w:hAnsi="Arial" w:cs="Arial"/>
                <w:sz w:val="16"/>
                <w:szCs w:val="16"/>
              </w:rPr>
              <w:t>1</w:t>
            </w:r>
          </w:p>
        </w:tc>
        <w:tc>
          <w:tcPr>
            <w:tcW w:w="964" w:type="dxa"/>
            <w:vAlign w:val="center"/>
          </w:tcPr>
          <w:p w14:paraId="37D282D9" w14:textId="790C4309" w:rsidR="00D14D6D" w:rsidRPr="00856694" w:rsidRDefault="00CE2AE9" w:rsidP="00D14D6D">
            <w:pPr>
              <w:spacing w:line="300" w:lineRule="atLeast"/>
              <w:jc w:val="center"/>
              <w:rPr>
                <w:rFonts w:ascii="Arial" w:hAnsi="Arial" w:cs="Arial"/>
                <w:sz w:val="16"/>
                <w:szCs w:val="16"/>
              </w:rPr>
            </w:pPr>
            <w:r>
              <w:rPr>
                <w:rFonts w:ascii="Arial" w:hAnsi="Arial" w:cs="Arial"/>
                <w:sz w:val="16"/>
                <w:szCs w:val="16"/>
              </w:rPr>
              <w:t>0.2</w:t>
            </w:r>
          </w:p>
        </w:tc>
        <w:tc>
          <w:tcPr>
            <w:tcW w:w="1082" w:type="dxa"/>
            <w:vAlign w:val="center"/>
          </w:tcPr>
          <w:p w14:paraId="21F2978D" w14:textId="37E0A6D8" w:rsidR="00D14D6D" w:rsidRPr="00856694" w:rsidRDefault="00CE2AE9" w:rsidP="00D14D6D">
            <w:pPr>
              <w:spacing w:line="300" w:lineRule="atLeast"/>
              <w:jc w:val="center"/>
              <w:rPr>
                <w:rFonts w:ascii="Arial" w:hAnsi="Arial" w:cs="Arial"/>
                <w:sz w:val="16"/>
                <w:szCs w:val="16"/>
              </w:rPr>
            </w:pPr>
            <w:r>
              <w:rPr>
                <w:rFonts w:ascii="Arial" w:hAnsi="Arial" w:cs="Arial"/>
                <w:sz w:val="16"/>
                <w:szCs w:val="16"/>
              </w:rPr>
              <w:t>1.1</w:t>
            </w:r>
          </w:p>
        </w:tc>
        <w:tc>
          <w:tcPr>
            <w:tcW w:w="929" w:type="dxa"/>
            <w:vAlign w:val="center"/>
          </w:tcPr>
          <w:p w14:paraId="72ACB218" w14:textId="77777777" w:rsidR="00D14D6D" w:rsidRPr="00856694" w:rsidRDefault="00D14D6D" w:rsidP="00D14D6D">
            <w:pPr>
              <w:spacing w:line="300" w:lineRule="atLeast"/>
              <w:jc w:val="center"/>
              <w:rPr>
                <w:rFonts w:ascii="Arial" w:hAnsi="Arial" w:cs="Arial"/>
                <w:sz w:val="16"/>
                <w:szCs w:val="16"/>
              </w:rPr>
            </w:pPr>
            <w:r>
              <w:rPr>
                <w:rFonts w:ascii="Arial" w:hAnsi="Arial" w:cs="Arial"/>
                <w:sz w:val="16"/>
                <w:szCs w:val="16"/>
              </w:rPr>
              <w:t>-</w:t>
            </w:r>
          </w:p>
        </w:tc>
        <w:tc>
          <w:tcPr>
            <w:tcW w:w="1319" w:type="dxa"/>
            <w:vAlign w:val="center"/>
          </w:tcPr>
          <w:p w14:paraId="6639338F" w14:textId="406D8ACE" w:rsidR="00D14D6D" w:rsidRPr="00DB1157" w:rsidRDefault="00D14D6D" w:rsidP="00D14D6D">
            <w:pPr>
              <w:spacing w:line="300" w:lineRule="atLeast"/>
              <w:jc w:val="center"/>
              <w:rPr>
                <w:rFonts w:ascii="Arial" w:hAnsi="Arial" w:cs="Arial"/>
                <w:sz w:val="16"/>
                <w:szCs w:val="16"/>
              </w:rPr>
            </w:pPr>
            <w:r w:rsidRPr="00856694">
              <w:rPr>
                <w:rFonts w:ascii="Arial" w:hAnsi="Arial" w:cs="Arial"/>
                <w:sz w:val="16"/>
                <w:szCs w:val="16"/>
              </w:rPr>
              <w:t>2.8</w:t>
            </w:r>
          </w:p>
        </w:tc>
      </w:tr>
      <w:tr w:rsidR="00B47A6F" w:rsidRPr="007901FE" w14:paraId="232F5E4C" w14:textId="77777777" w:rsidTr="00B47A6F">
        <w:tc>
          <w:tcPr>
            <w:tcW w:w="1991" w:type="dxa"/>
            <w:vAlign w:val="center"/>
          </w:tcPr>
          <w:p w14:paraId="1AE94854" w14:textId="77777777" w:rsidR="00B47A6F" w:rsidRPr="004E3E02" w:rsidRDefault="00B47A6F" w:rsidP="00B47A6F">
            <w:pPr>
              <w:spacing w:line="300" w:lineRule="atLeast"/>
              <w:rPr>
                <w:rFonts w:ascii="Arial" w:hAnsi="Arial" w:cs="Arial"/>
                <w:sz w:val="16"/>
                <w:szCs w:val="16"/>
              </w:rPr>
            </w:pPr>
            <w:r>
              <w:rPr>
                <w:rFonts w:ascii="Arial" w:hAnsi="Arial" w:cs="Arial"/>
                <w:sz w:val="16"/>
                <w:szCs w:val="16"/>
              </w:rPr>
              <w:t>Gas extraction, refining and use</w:t>
            </w:r>
          </w:p>
        </w:tc>
        <w:tc>
          <w:tcPr>
            <w:tcW w:w="1403" w:type="dxa"/>
            <w:tcBorders>
              <w:bottom w:val="single" w:sz="4" w:space="0" w:color="auto"/>
            </w:tcBorders>
            <w:vAlign w:val="center"/>
          </w:tcPr>
          <w:p w14:paraId="0288846E" w14:textId="141A3362" w:rsidR="00B47A6F" w:rsidRPr="00801115" w:rsidRDefault="00B47A6F" w:rsidP="00B47A6F">
            <w:pPr>
              <w:spacing w:line="300" w:lineRule="atLeast"/>
              <w:jc w:val="center"/>
              <w:rPr>
                <w:rFonts w:ascii="Arial" w:hAnsi="Arial" w:cs="Arial"/>
                <w:sz w:val="16"/>
                <w:szCs w:val="16"/>
              </w:rPr>
            </w:pPr>
            <w:r>
              <w:rPr>
                <w:rFonts w:ascii="Arial" w:hAnsi="Arial" w:cs="Arial"/>
                <w:sz w:val="16"/>
                <w:szCs w:val="16"/>
              </w:rPr>
              <w:t>0.56 – 444.6 (222.6)</w:t>
            </w:r>
          </w:p>
        </w:tc>
        <w:tc>
          <w:tcPr>
            <w:tcW w:w="1384" w:type="dxa"/>
            <w:tcBorders>
              <w:bottom w:val="single" w:sz="4" w:space="0" w:color="auto"/>
            </w:tcBorders>
            <w:vAlign w:val="center"/>
          </w:tcPr>
          <w:p w14:paraId="4A4D0F21" w14:textId="7001E0C3" w:rsidR="00B47A6F" w:rsidRPr="00801115" w:rsidRDefault="00475228" w:rsidP="00B47A6F">
            <w:pPr>
              <w:spacing w:line="300" w:lineRule="atLeast"/>
              <w:jc w:val="center"/>
              <w:rPr>
                <w:rFonts w:ascii="Arial" w:hAnsi="Arial" w:cs="Arial"/>
                <w:sz w:val="16"/>
                <w:szCs w:val="16"/>
              </w:rPr>
            </w:pPr>
            <w:r>
              <w:rPr>
                <w:rFonts w:ascii="Arial" w:hAnsi="Arial" w:cs="Arial"/>
                <w:sz w:val="16"/>
                <w:szCs w:val="16"/>
              </w:rPr>
              <w:t>0.1</w:t>
            </w:r>
            <w:r w:rsidR="00B47A6F">
              <w:rPr>
                <w:rFonts w:ascii="Arial" w:hAnsi="Arial" w:cs="Arial"/>
                <w:sz w:val="16"/>
                <w:szCs w:val="16"/>
              </w:rPr>
              <w:t xml:space="preserve"> – 89 </w:t>
            </w:r>
            <w:r w:rsidR="00CE2AE9">
              <w:rPr>
                <w:rFonts w:ascii="Arial" w:hAnsi="Arial" w:cs="Arial"/>
                <w:sz w:val="16"/>
                <w:szCs w:val="16"/>
              </w:rPr>
              <w:br/>
            </w:r>
            <w:r w:rsidR="00B47A6F">
              <w:rPr>
                <w:rFonts w:ascii="Arial" w:hAnsi="Arial" w:cs="Arial"/>
                <w:sz w:val="16"/>
                <w:szCs w:val="16"/>
              </w:rPr>
              <w:t>(44.5)</w:t>
            </w:r>
          </w:p>
        </w:tc>
        <w:tc>
          <w:tcPr>
            <w:tcW w:w="964" w:type="dxa"/>
            <w:tcBorders>
              <w:bottom w:val="single" w:sz="4" w:space="0" w:color="auto"/>
            </w:tcBorders>
            <w:vAlign w:val="center"/>
          </w:tcPr>
          <w:p w14:paraId="094A546A" w14:textId="54D01AB0" w:rsidR="00B47A6F" w:rsidRPr="00801115" w:rsidRDefault="00475228" w:rsidP="00B47A6F">
            <w:pPr>
              <w:spacing w:line="300" w:lineRule="atLeast"/>
              <w:jc w:val="center"/>
              <w:rPr>
                <w:rFonts w:ascii="Arial" w:hAnsi="Arial" w:cs="Arial"/>
                <w:sz w:val="16"/>
                <w:szCs w:val="16"/>
              </w:rPr>
            </w:pPr>
            <w:r>
              <w:rPr>
                <w:rFonts w:ascii="Arial" w:hAnsi="Arial" w:cs="Arial"/>
                <w:sz w:val="16"/>
                <w:szCs w:val="16"/>
              </w:rPr>
              <w:t>0.1</w:t>
            </w:r>
            <w:r w:rsidR="00B47A6F">
              <w:rPr>
                <w:rFonts w:ascii="Arial" w:hAnsi="Arial" w:cs="Arial"/>
                <w:sz w:val="16"/>
                <w:szCs w:val="16"/>
              </w:rPr>
              <w:t xml:space="preserve"> – 89 (44.5)</w:t>
            </w:r>
          </w:p>
        </w:tc>
        <w:tc>
          <w:tcPr>
            <w:tcW w:w="1082" w:type="dxa"/>
            <w:tcBorders>
              <w:bottom w:val="single" w:sz="4" w:space="0" w:color="auto"/>
            </w:tcBorders>
            <w:vAlign w:val="center"/>
          </w:tcPr>
          <w:p w14:paraId="03950E73" w14:textId="4193952A" w:rsidR="00B47A6F" w:rsidRPr="00DB1157" w:rsidRDefault="00B47A6F" w:rsidP="00B47A6F">
            <w:pPr>
              <w:spacing w:line="300" w:lineRule="atLeast"/>
              <w:jc w:val="center"/>
              <w:rPr>
                <w:rFonts w:ascii="Arial" w:hAnsi="Arial" w:cs="Arial"/>
                <w:sz w:val="16"/>
                <w:szCs w:val="16"/>
              </w:rPr>
            </w:pPr>
            <w:r>
              <w:rPr>
                <w:rFonts w:ascii="Arial" w:hAnsi="Arial" w:cs="Arial"/>
                <w:sz w:val="16"/>
                <w:szCs w:val="16"/>
              </w:rPr>
              <w:t>-</w:t>
            </w:r>
          </w:p>
        </w:tc>
        <w:tc>
          <w:tcPr>
            <w:tcW w:w="929" w:type="dxa"/>
            <w:vAlign w:val="center"/>
          </w:tcPr>
          <w:p w14:paraId="0857FE23" w14:textId="32744471" w:rsidR="00B47A6F" w:rsidRPr="00DB1157" w:rsidRDefault="00B47A6F" w:rsidP="00B47A6F">
            <w:pPr>
              <w:spacing w:line="300" w:lineRule="atLeast"/>
              <w:jc w:val="center"/>
              <w:rPr>
                <w:rFonts w:ascii="Arial" w:hAnsi="Arial" w:cs="Arial"/>
                <w:sz w:val="16"/>
                <w:szCs w:val="16"/>
              </w:rPr>
            </w:pPr>
            <w:r>
              <w:rPr>
                <w:rFonts w:ascii="Arial" w:hAnsi="Arial" w:cs="Arial"/>
                <w:sz w:val="16"/>
                <w:szCs w:val="16"/>
              </w:rPr>
              <w:t>-</w:t>
            </w:r>
          </w:p>
        </w:tc>
        <w:tc>
          <w:tcPr>
            <w:tcW w:w="1319" w:type="dxa"/>
            <w:vAlign w:val="center"/>
          </w:tcPr>
          <w:p w14:paraId="32BD4C92" w14:textId="6C1D7B76" w:rsidR="00B47A6F" w:rsidRPr="00CD39B8" w:rsidRDefault="00475228" w:rsidP="00B47A6F">
            <w:pPr>
              <w:spacing w:line="300" w:lineRule="atLeast"/>
              <w:jc w:val="center"/>
              <w:rPr>
                <w:rFonts w:ascii="Arial" w:hAnsi="Arial" w:cs="Arial"/>
                <w:sz w:val="16"/>
                <w:szCs w:val="16"/>
              </w:rPr>
            </w:pPr>
            <w:r>
              <w:rPr>
                <w:rFonts w:ascii="Arial" w:hAnsi="Arial" w:cs="Arial"/>
                <w:sz w:val="16"/>
                <w:szCs w:val="16"/>
              </w:rPr>
              <w:t>0.3</w:t>
            </w:r>
            <w:r w:rsidR="00B47A6F">
              <w:rPr>
                <w:rFonts w:ascii="Arial" w:hAnsi="Arial" w:cs="Arial"/>
                <w:sz w:val="16"/>
                <w:szCs w:val="16"/>
              </w:rPr>
              <w:t xml:space="preserve"> – 266.8 (133.6)</w:t>
            </w:r>
          </w:p>
        </w:tc>
      </w:tr>
      <w:tr w:rsidR="00D14D6D" w:rsidRPr="007901FE" w14:paraId="65DCBE51" w14:textId="77777777" w:rsidTr="00B47A6F">
        <w:tc>
          <w:tcPr>
            <w:tcW w:w="1991" w:type="dxa"/>
            <w:vAlign w:val="center"/>
          </w:tcPr>
          <w:p w14:paraId="6B415A9B" w14:textId="77777777" w:rsidR="00D14D6D" w:rsidRPr="004E3E02" w:rsidRDefault="00D14D6D" w:rsidP="00D14D6D">
            <w:pPr>
              <w:spacing w:line="300" w:lineRule="atLeast"/>
              <w:rPr>
                <w:rFonts w:ascii="Arial" w:hAnsi="Arial" w:cs="Arial"/>
                <w:sz w:val="16"/>
                <w:szCs w:val="16"/>
              </w:rPr>
            </w:pPr>
            <w:r>
              <w:rPr>
                <w:rFonts w:ascii="Arial" w:hAnsi="Arial" w:cs="Arial"/>
                <w:sz w:val="16"/>
                <w:szCs w:val="16"/>
              </w:rPr>
              <w:t>Other fossil fuels</w:t>
            </w:r>
          </w:p>
        </w:tc>
        <w:tc>
          <w:tcPr>
            <w:tcW w:w="1403" w:type="dxa"/>
            <w:tcBorders>
              <w:bottom w:val="single" w:sz="4" w:space="0" w:color="auto"/>
            </w:tcBorders>
            <w:vAlign w:val="center"/>
          </w:tcPr>
          <w:p w14:paraId="453DD3B6" w14:textId="77777777" w:rsidR="00D14D6D" w:rsidRPr="004E3E02" w:rsidRDefault="00D14D6D" w:rsidP="00D14D6D">
            <w:pPr>
              <w:spacing w:line="300" w:lineRule="atLeast"/>
              <w:jc w:val="center"/>
              <w:rPr>
                <w:rFonts w:ascii="Arial" w:hAnsi="Arial" w:cs="Arial"/>
                <w:sz w:val="16"/>
                <w:szCs w:val="16"/>
              </w:rPr>
            </w:pPr>
            <w:r>
              <w:rPr>
                <w:rFonts w:ascii="Arial" w:hAnsi="Arial" w:cs="Arial"/>
                <w:sz w:val="16"/>
                <w:szCs w:val="16"/>
              </w:rPr>
              <w:t>-</w:t>
            </w:r>
          </w:p>
        </w:tc>
        <w:tc>
          <w:tcPr>
            <w:tcW w:w="1384" w:type="dxa"/>
            <w:tcBorders>
              <w:bottom w:val="single" w:sz="4" w:space="0" w:color="auto"/>
            </w:tcBorders>
            <w:vAlign w:val="center"/>
          </w:tcPr>
          <w:p w14:paraId="6FEFBA11" w14:textId="77777777" w:rsidR="00D14D6D" w:rsidRPr="004E3E02" w:rsidRDefault="00D14D6D" w:rsidP="00D14D6D">
            <w:pPr>
              <w:spacing w:line="300" w:lineRule="atLeast"/>
              <w:jc w:val="center"/>
              <w:rPr>
                <w:rFonts w:ascii="Arial" w:hAnsi="Arial" w:cs="Arial"/>
                <w:sz w:val="16"/>
                <w:szCs w:val="16"/>
              </w:rPr>
            </w:pPr>
            <w:r>
              <w:rPr>
                <w:rFonts w:ascii="Arial" w:hAnsi="Arial" w:cs="Arial"/>
                <w:sz w:val="16"/>
                <w:szCs w:val="16"/>
              </w:rPr>
              <w:t>-</w:t>
            </w:r>
          </w:p>
        </w:tc>
        <w:tc>
          <w:tcPr>
            <w:tcW w:w="964" w:type="dxa"/>
            <w:vAlign w:val="center"/>
          </w:tcPr>
          <w:p w14:paraId="5AC20CEB" w14:textId="77777777" w:rsidR="00D14D6D" w:rsidRPr="004E3E02" w:rsidRDefault="00D14D6D" w:rsidP="00D14D6D">
            <w:pPr>
              <w:spacing w:line="300" w:lineRule="atLeast"/>
              <w:jc w:val="center"/>
              <w:rPr>
                <w:rFonts w:ascii="Arial" w:hAnsi="Arial" w:cs="Arial"/>
                <w:sz w:val="16"/>
                <w:szCs w:val="16"/>
              </w:rPr>
            </w:pPr>
            <w:r>
              <w:rPr>
                <w:rFonts w:ascii="Arial" w:hAnsi="Arial" w:cs="Arial"/>
                <w:sz w:val="16"/>
                <w:szCs w:val="16"/>
              </w:rPr>
              <w:t>-</w:t>
            </w:r>
          </w:p>
        </w:tc>
        <w:tc>
          <w:tcPr>
            <w:tcW w:w="1082" w:type="dxa"/>
            <w:vAlign w:val="center"/>
          </w:tcPr>
          <w:p w14:paraId="61767F31" w14:textId="77777777" w:rsidR="00D14D6D" w:rsidRPr="004E3E02" w:rsidRDefault="00D14D6D" w:rsidP="00D14D6D">
            <w:pPr>
              <w:spacing w:line="300" w:lineRule="atLeast"/>
              <w:jc w:val="center"/>
              <w:rPr>
                <w:rFonts w:ascii="Arial" w:hAnsi="Arial" w:cs="Arial"/>
                <w:sz w:val="16"/>
                <w:szCs w:val="16"/>
              </w:rPr>
            </w:pPr>
            <w:r>
              <w:rPr>
                <w:rFonts w:ascii="Arial" w:hAnsi="Arial" w:cs="Arial"/>
                <w:sz w:val="16"/>
                <w:szCs w:val="16"/>
              </w:rPr>
              <w:t>-</w:t>
            </w:r>
          </w:p>
        </w:tc>
        <w:tc>
          <w:tcPr>
            <w:tcW w:w="929" w:type="dxa"/>
            <w:vAlign w:val="center"/>
          </w:tcPr>
          <w:p w14:paraId="19FA6341" w14:textId="77777777" w:rsidR="00D14D6D" w:rsidRPr="004E3E02" w:rsidRDefault="00D14D6D" w:rsidP="00D14D6D">
            <w:pPr>
              <w:spacing w:line="300" w:lineRule="atLeast"/>
              <w:jc w:val="center"/>
              <w:rPr>
                <w:rFonts w:ascii="Arial" w:hAnsi="Arial" w:cs="Arial"/>
                <w:sz w:val="16"/>
                <w:szCs w:val="16"/>
              </w:rPr>
            </w:pPr>
            <w:r>
              <w:rPr>
                <w:rFonts w:ascii="Arial" w:hAnsi="Arial" w:cs="Arial"/>
                <w:sz w:val="16"/>
                <w:szCs w:val="16"/>
              </w:rPr>
              <w:t>-</w:t>
            </w:r>
          </w:p>
        </w:tc>
        <w:tc>
          <w:tcPr>
            <w:tcW w:w="1319" w:type="dxa"/>
            <w:vAlign w:val="center"/>
          </w:tcPr>
          <w:p w14:paraId="35BE7008" w14:textId="77777777" w:rsidR="00D14D6D" w:rsidRPr="004E3E02" w:rsidRDefault="00D14D6D" w:rsidP="00D14D6D">
            <w:pPr>
              <w:spacing w:line="300" w:lineRule="atLeast"/>
              <w:jc w:val="center"/>
              <w:rPr>
                <w:rFonts w:ascii="Arial" w:hAnsi="Arial" w:cs="Arial"/>
                <w:sz w:val="16"/>
                <w:szCs w:val="16"/>
              </w:rPr>
            </w:pPr>
            <w:r>
              <w:rPr>
                <w:rFonts w:ascii="Arial" w:hAnsi="Arial" w:cs="Arial"/>
                <w:sz w:val="16"/>
                <w:szCs w:val="16"/>
              </w:rPr>
              <w:t>-</w:t>
            </w:r>
          </w:p>
        </w:tc>
      </w:tr>
      <w:tr w:rsidR="00801115" w:rsidRPr="007901FE" w14:paraId="7C2A3A0A" w14:textId="77777777" w:rsidTr="00B47A6F">
        <w:tc>
          <w:tcPr>
            <w:tcW w:w="1991" w:type="dxa"/>
            <w:vAlign w:val="center"/>
          </w:tcPr>
          <w:p w14:paraId="607E1A57" w14:textId="77777777" w:rsidR="00801115" w:rsidRPr="004E3E02" w:rsidRDefault="00801115" w:rsidP="00801115">
            <w:pPr>
              <w:spacing w:line="300" w:lineRule="atLeast"/>
              <w:rPr>
                <w:rFonts w:ascii="Arial" w:hAnsi="Arial" w:cs="Arial"/>
                <w:sz w:val="16"/>
                <w:szCs w:val="16"/>
              </w:rPr>
            </w:pPr>
            <w:r>
              <w:rPr>
                <w:rFonts w:ascii="Arial" w:hAnsi="Arial" w:cs="Arial"/>
                <w:sz w:val="16"/>
                <w:szCs w:val="16"/>
              </w:rPr>
              <w:t>Biomass fuel</w:t>
            </w:r>
          </w:p>
        </w:tc>
        <w:tc>
          <w:tcPr>
            <w:tcW w:w="1403" w:type="dxa"/>
            <w:tcBorders>
              <w:bottom w:val="single" w:sz="4" w:space="0" w:color="auto"/>
            </w:tcBorders>
            <w:vAlign w:val="center"/>
          </w:tcPr>
          <w:p w14:paraId="60C5718A" w14:textId="77777777" w:rsidR="00801115" w:rsidRPr="004E3E02" w:rsidRDefault="00801115" w:rsidP="00801115">
            <w:pPr>
              <w:spacing w:line="300" w:lineRule="atLeast"/>
              <w:jc w:val="center"/>
              <w:rPr>
                <w:rFonts w:ascii="Arial" w:hAnsi="Arial" w:cs="Arial"/>
                <w:sz w:val="16"/>
                <w:szCs w:val="16"/>
              </w:rPr>
            </w:pPr>
            <w:r>
              <w:rPr>
                <w:rFonts w:ascii="Arial" w:hAnsi="Arial" w:cs="Arial"/>
                <w:sz w:val="16"/>
                <w:szCs w:val="16"/>
              </w:rPr>
              <w:t>12.6 – 126 (69.3)</w:t>
            </w:r>
          </w:p>
        </w:tc>
        <w:tc>
          <w:tcPr>
            <w:tcW w:w="1384" w:type="dxa"/>
            <w:tcBorders>
              <w:bottom w:val="single" w:sz="4" w:space="0" w:color="auto"/>
            </w:tcBorders>
            <w:vAlign w:val="center"/>
          </w:tcPr>
          <w:p w14:paraId="11A1B798" w14:textId="77777777" w:rsidR="00801115" w:rsidRPr="004E3E02" w:rsidRDefault="00801115" w:rsidP="00801115">
            <w:pPr>
              <w:spacing w:line="300" w:lineRule="atLeast"/>
              <w:jc w:val="center"/>
              <w:rPr>
                <w:rFonts w:ascii="Arial" w:hAnsi="Arial" w:cs="Arial"/>
                <w:sz w:val="16"/>
                <w:szCs w:val="16"/>
              </w:rPr>
            </w:pPr>
            <w:r>
              <w:rPr>
                <w:rFonts w:ascii="Arial" w:hAnsi="Arial" w:cs="Arial"/>
                <w:sz w:val="16"/>
                <w:szCs w:val="16"/>
              </w:rPr>
              <w:t>12.6 – 126 (69.3)</w:t>
            </w:r>
          </w:p>
        </w:tc>
        <w:tc>
          <w:tcPr>
            <w:tcW w:w="964" w:type="dxa"/>
            <w:tcBorders>
              <w:bottom w:val="single" w:sz="4" w:space="0" w:color="auto"/>
            </w:tcBorders>
            <w:vAlign w:val="center"/>
          </w:tcPr>
          <w:p w14:paraId="040CEA62" w14:textId="77777777" w:rsidR="00801115" w:rsidRPr="004E3E02" w:rsidRDefault="00801115" w:rsidP="00801115">
            <w:pPr>
              <w:spacing w:line="300" w:lineRule="atLeast"/>
              <w:jc w:val="center"/>
              <w:rPr>
                <w:rFonts w:ascii="Arial" w:hAnsi="Arial" w:cs="Arial"/>
                <w:sz w:val="16"/>
                <w:szCs w:val="16"/>
              </w:rPr>
            </w:pPr>
            <w:r>
              <w:rPr>
                <w:rFonts w:ascii="Arial" w:hAnsi="Arial" w:cs="Arial"/>
                <w:sz w:val="16"/>
                <w:szCs w:val="16"/>
              </w:rPr>
              <w:t>-</w:t>
            </w:r>
          </w:p>
        </w:tc>
        <w:tc>
          <w:tcPr>
            <w:tcW w:w="1082" w:type="dxa"/>
            <w:vAlign w:val="center"/>
          </w:tcPr>
          <w:p w14:paraId="7E8872DC" w14:textId="77777777" w:rsidR="00801115" w:rsidRPr="004E3E02" w:rsidRDefault="00801115" w:rsidP="00801115">
            <w:pPr>
              <w:spacing w:line="300" w:lineRule="atLeast"/>
              <w:jc w:val="center"/>
              <w:rPr>
                <w:rFonts w:ascii="Arial" w:hAnsi="Arial" w:cs="Arial"/>
                <w:sz w:val="16"/>
                <w:szCs w:val="16"/>
              </w:rPr>
            </w:pPr>
            <w:r>
              <w:rPr>
                <w:rFonts w:ascii="Arial" w:hAnsi="Arial" w:cs="Arial"/>
                <w:sz w:val="16"/>
                <w:szCs w:val="16"/>
              </w:rPr>
              <w:t>-</w:t>
            </w:r>
          </w:p>
        </w:tc>
        <w:tc>
          <w:tcPr>
            <w:tcW w:w="929" w:type="dxa"/>
            <w:vAlign w:val="center"/>
          </w:tcPr>
          <w:p w14:paraId="53AB6A24" w14:textId="77777777" w:rsidR="00801115" w:rsidRPr="00801115" w:rsidRDefault="00CD39B8" w:rsidP="00801115">
            <w:pPr>
              <w:spacing w:line="300" w:lineRule="atLeast"/>
              <w:jc w:val="center"/>
              <w:rPr>
                <w:rFonts w:ascii="Arial" w:hAnsi="Arial" w:cs="Arial"/>
                <w:sz w:val="16"/>
                <w:szCs w:val="16"/>
              </w:rPr>
            </w:pPr>
            <w:r>
              <w:rPr>
                <w:rFonts w:ascii="Arial" w:hAnsi="Arial" w:cs="Arial"/>
                <w:sz w:val="16"/>
                <w:szCs w:val="16"/>
              </w:rPr>
              <w:t>-</w:t>
            </w:r>
          </w:p>
        </w:tc>
        <w:tc>
          <w:tcPr>
            <w:tcW w:w="1319" w:type="dxa"/>
            <w:vAlign w:val="center"/>
          </w:tcPr>
          <w:p w14:paraId="7213C99B" w14:textId="77777777" w:rsidR="00801115" w:rsidRPr="00801115" w:rsidRDefault="00CD39B8" w:rsidP="00801115">
            <w:pPr>
              <w:spacing w:line="300" w:lineRule="atLeast"/>
              <w:jc w:val="center"/>
              <w:rPr>
                <w:rFonts w:ascii="Arial" w:hAnsi="Arial" w:cs="Arial"/>
                <w:sz w:val="16"/>
                <w:szCs w:val="16"/>
              </w:rPr>
            </w:pPr>
            <w:r>
              <w:rPr>
                <w:rFonts w:ascii="Arial" w:hAnsi="Arial" w:cs="Arial"/>
                <w:sz w:val="16"/>
                <w:szCs w:val="16"/>
              </w:rPr>
              <w:t>-</w:t>
            </w:r>
          </w:p>
        </w:tc>
      </w:tr>
      <w:tr w:rsidR="00B6241E" w:rsidRPr="007901FE" w14:paraId="02DB137B" w14:textId="77777777" w:rsidTr="00B47A6F">
        <w:tc>
          <w:tcPr>
            <w:tcW w:w="1991" w:type="dxa"/>
            <w:vAlign w:val="center"/>
          </w:tcPr>
          <w:p w14:paraId="7B017FD9" w14:textId="77777777" w:rsidR="00B6241E" w:rsidRPr="004E3E02" w:rsidRDefault="00B6241E" w:rsidP="00B6241E">
            <w:pPr>
              <w:spacing w:line="300" w:lineRule="atLeast"/>
              <w:rPr>
                <w:rFonts w:ascii="Arial" w:hAnsi="Arial" w:cs="Arial"/>
                <w:sz w:val="16"/>
                <w:szCs w:val="16"/>
              </w:rPr>
            </w:pPr>
            <w:r>
              <w:rPr>
                <w:rFonts w:ascii="Arial" w:hAnsi="Arial" w:cs="Arial"/>
                <w:sz w:val="16"/>
                <w:szCs w:val="16"/>
              </w:rPr>
              <w:t>Geothermal power</w:t>
            </w:r>
          </w:p>
        </w:tc>
        <w:tc>
          <w:tcPr>
            <w:tcW w:w="1403" w:type="dxa"/>
            <w:tcBorders>
              <w:top w:val="single" w:sz="4" w:space="0" w:color="auto"/>
            </w:tcBorders>
            <w:vAlign w:val="center"/>
          </w:tcPr>
          <w:p w14:paraId="0392AF88" w14:textId="39A3D1B7" w:rsidR="00B6241E" w:rsidRPr="00B6241E" w:rsidRDefault="00B6241E" w:rsidP="00B6241E">
            <w:pPr>
              <w:spacing w:line="300" w:lineRule="atLeast"/>
              <w:jc w:val="center"/>
              <w:rPr>
                <w:rFonts w:ascii="Arial" w:hAnsi="Arial" w:cs="Arial"/>
                <w:sz w:val="16"/>
                <w:szCs w:val="16"/>
              </w:rPr>
            </w:pPr>
            <w:r w:rsidRPr="00B6241E">
              <w:rPr>
                <w:rFonts w:ascii="Arial" w:hAnsi="Arial" w:cs="Arial"/>
                <w:sz w:val="16"/>
                <w:szCs w:val="16"/>
              </w:rPr>
              <w:t>230.5 – 1,692.4 (</w:t>
            </w:r>
            <w:r w:rsidR="005B4769">
              <w:rPr>
                <w:rFonts w:ascii="Arial" w:hAnsi="Arial" w:cs="Arial"/>
                <w:sz w:val="16"/>
                <w:szCs w:val="16"/>
              </w:rPr>
              <w:t>961.5</w:t>
            </w:r>
            <w:r w:rsidRPr="00B6241E">
              <w:rPr>
                <w:rFonts w:ascii="Arial" w:hAnsi="Arial" w:cs="Arial"/>
                <w:sz w:val="16"/>
                <w:szCs w:val="16"/>
              </w:rPr>
              <w:t>)</w:t>
            </w:r>
          </w:p>
        </w:tc>
        <w:tc>
          <w:tcPr>
            <w:tcW w:w="1384" w:type="dxa"/>
            <w:tcBorders>
              <w:top w:val="single" w:sz="4" w:space="0" w:color="auto"/>
            </w:tcBorders>
            <w:vAlign w:val="center"/>
          </w:tcPr>
          <w:p w14:paraId="2D64A616" w14:textId="128F5F0C" w:rsidR="00B6241E" w:rsidRPr="00B6241E" w:rsidRDefault="00B6241E" w:rsidP="00B6241E">
            <w:pPr>
              <w:spacing w:line="300" w:lineRule="atLeast"/>
              <w:jc w:val="center"/>
              <w:rPr>
                <w:rFonts w:ascii="Arial" w:hAnsi="Arial" w:cs="Arial"/>
                <w:sz w:val="16"/>
                <w:szCs w:val="16"/>
              </w:rPr>
            </w:pPr>
            <w:r w:rsidRPr="00B6241E">
              <w:rPr>
                <w:rFonts w:ascii="Arial" w:hAnsi="Arial" w:cs="Arial"/>
                <w:sz w:val="16"/>
                <w:szCs w:val="16"/>
              </w:rPr>
              <w:t>221.9 – 1683.</w:t>
            </w:r>
            <w:r w:rsidR="00DA6B36">
              <w:rPr>
                <w:rFonts w:ascii="Arial" w:hAnsi="Arial" w:cs="Arial"/>
                <w:sz w:val="16"/>
                <w:szCs w:val="16"/>
              </w:rPr>
              <w:t>8</w:t>
            </w:r>
            <w:r w:rsidRPr="00B6241E">
              <w:rPr>
                <w:rFonts w:ascii="Arial" w:hAnsi="Arial" w:cs="Arial"/>
                <w:sz w:val="16"/>
                <w:szCs w:val="16"/>
              </w:rPr>
              <w:t xml:space="preserve"> (952.</w:t>
            </w:r>
            <w:r w:rsidR="00DA6B36">
              <w:rPr>
                <w:rFonts w:ascii="Arial" w:hAnsi="Arial" w:cs="Arial"/>
                <w:sz w:val="16"/>
                <w:szCs w:val="16"/>
              </w:rPr>
              <w:t>9</w:t>
            </w:r>
            <w:r w:rsidRPr="00B6241E">
              <w:rPr>
                <w:rFonts w:ascii="Arial" w:hAnsi="Arial" w:cs="Arial"/>
                <w:sz w:val="16"/>
                <w:szCs w:val="16"/>
              </w:rPr>
              <w:t>)</w:t>
            </w:r>
          </w:p>
        </w:tc>
        <w:tc>
          <w:tcPr>
            <w:tcW w:w="964" w:type="dxa"/>
            <w:tcBorders>
              <w:top w:val="single" w:sz="4" w:space="0" w:color="auto"/>
            </w:tcBorders>
            <w:vAlign w:val="center"/>
          </w:tcPr>
          <w:p w14:paraId="09445DE2" w14:textId="77777777" w:rsidR="00B6241E" w:rsidRPr="00B6241E" w:rsidRDefault="00B6241E" w:rsidP="00B6241E">
            <w:pPr>
              <w:spacing w:line="300" w:lineRule="atLeast"/>
              <w:jc w:val="center"/>
              <w:rPr>
                <w:rFonts w:ascii="Arial" w:hAnsi="Arial" w:cs="Arial"/>
                <w:sz w:val="16"/>
                <w:szCs w:val="16"/>
              </w:rPr>
            </w:pPr>
            <w:r w:rsidRPr="00B6241E">
              <w:rPr>
                <w:rFonts w:ascii="Arial" w:hAnsi="Arial" w:cs="Arial"/>
                <w:sz w:val="16"/>
                <w:szCs w:val="16"/>
              </w:rPr>
              <w:t>8.6</w:t>
            </w:r>
          </w:p>
        </w:tc>
        <w:tc>
          <w:tcPr>
            <w:tcW w:w="1082" w:type="dxa"/>
            <w:vAlign w:val="center"/>
          </w:tcPr>
          <w:p w14:paraId="1ED249F2" w14:textId="77777777" w:rsidR="00B6241E" w:rsidRPr="004E3E02" w:rsidRDefault="00B6241E" w:rsidP="00B6241E">
            <w:pPr>
              <w:spacing w:line="300" w:lineRule="atLeast"/>
              <w:jc w:val="center"/>
              <w:rPr>
                <w:rFonts w:ascii="Arial" w:hAnsi="Arial" w:cs="Arial"/>
                <w:sz w:val="16"/>
                <w:szCs w:val="16"/>
              </w:rPr>
            </w:pPr>
            <w:r>
              <w:rPr>
                <w:rFonts w:ascii="Arial" w:hAnsi="Arial" w:cs="Arial"/>
                <w:sz w:val="16"/>
                <w:szCs w:val="16"/>
              </w:rPr>
              <w:t>-</w:t>
            </w:r>
          </w:p>
        </w:tc>
        <w:tc>
          <w:tcPr>
            <w:tcW w:w="929" w:type="dxa"/>
            <w:vAlign w:val="center"/>
          </w:tcPr>
          <w:p w14:paraId="046B8E27" w14:textId="77777777" w:rsidR="00B6241E" w:rsidRPr="004E3E02" w:rsidRDefault="00B6241E" w:rsidP="00B6241E">
            <w:pPr>
              <w:spacing w:line="300" w:lineRule="atLeast"/>
              <w:jc w:val="center"/>
              <w:rPr>
                <w:rFonts w:ascii="Arial" w:hAnsi="Arial" w:cs="Arial"/>
                <w:sz w:val="16"/>
                <w:szCs w:val="16"/>
              </w:rPr>
            </w:pPr>
            <w:r>
              <w:rPr>
                <w:rFonts w:ascii="Arial" w:hAnsi="Arial" w:cs="Arial"/>
                <w:sz w:val="16"/>
                <w:szCs w:val="16"/>
              </w:rPr>
              <w:t>-</w:t>
            </w:r>
          </w:p>
        </w:tc>
        <w:tc>
          <w:tcPr>
            <w:tcW w:w="1319" w:type="dxa"/>
            <w:vAlign w:val="center"/>
          </w:tcPr>
          <w:p w14:paraId="2D391B5A" w14:textId="77777777" w:rsidR="00B6241E" w:rsidRPr="004E3E02" w:rsidRDefault="00B6241E" w:rsidP="00B6241E">
            <w:pPr>
              <w:spacing w:line="300" w:lineRule="atLeast"/>
              <w:jc w:val="center"/>
              <w:rPr>
                <w:rFonts w:ascii="Arial" w:hAnsi="Arial" w:cs="Arial"/>
                <w:sz w:val="16"/>
                <w:szCs w:val="16"/>
              </w:rPr>
            </w:pPr>
            <w:r>
              <w:rPr>
                <w:rFonts w:ascii="Arial" w:hAnsi="Arial" w:cs="Arial"/>
                <w:sz w:val="16"/>
                <w:szCs w:val="16"/>
              </w:rPr>
              <w:t>-</w:t>
            </w:r>
          </w:p>
        </w:tc>
      </w:tr>
      <w:tr w:rsidR="00D14D6D" w:rsidRPr="007901FE" w14:paraId="2857DE96" w14:textId="77777777" w:rsidTr="00B47A6F">
        <w:tc>
          <w:tcPr>
            <w:tcW w:w="1991" w:type="dxa"/>
            <w:vAlign w:val="center"/>
          </w:tcPr>
          <w:p w14:paraId="2987099C" w14:textId="78507CE3" w:rsidR="00D14D6D" w:rsidRPr="00B47A6F" w:rsidRDefault="00D14D6D" w:rsidP="00D14D6D">
            <w:pPr>
              <w:spacing w:line="300" w:lineRule="atLeast"/>
              <w:rPr>
                <w:rFonts w:ascii="Arial" w:hAnsi="Arial" w:cs="Arial"/>
                <w:b/>
                <w:sz w:val="16"/>
                <w:szCs w:val="16"/>
              </w:rPr>
            </w:pPr>
            <w:r w:rsidRPr="00B47A6F">
              <w:rPr>
                <w:rFonts w:ascii="Arial" w:hAnsi="Arial" w:cs="Arial"/>
                <w:b/>
                <w:sz w:val="16"/>
                <w:szCs w:val="16"/>
              </w:rPr>
              <w:t>Totals</w:t>
            </w:r>
          </w:p>
        </w:tc>
        <w:tc>
          <w:tcPr>
            <w:tcW w:w="1403" w:type="dxa"/>
            <w:vAlign w:val="center"/>
          </w:tcPr>
          <w:p w14:paraId="3C887ACB" w14:textId="03DCC95A" w:rsidR="00D14D6D" w:rsidRPr="00B47A6F" w:rsidRDefault="00B47A6F" w:rsidP="00D14D6D">
            <w:pPr>
              <w:spacing w:line="300" w:lineRule="atLeast"/>
              <w:jc w:val="center"/>
              <w:rPr>
                <w:rFonts w:ascii="Arial" w:hAnsi="Arial" w:cs="Arial"/>
                <w:b/>
                <w:sz w:val="16"/>
                <w:szCs w:val="16"/>
              </w:rPr>
            </w:pPr>
            <w:r>
              <w:rPr>
                <w:rFonts w:ascii="Arial" w:hAnsi="Arial" w:cs="Arial"/>
                <w:b/>
                <w:sz w:val="16"/>
                <w:szCs w:val="16"/>
              </w:rPr>
              <w:t>318.3 – 2,515.7 (1,417.0)</w:t>
            </w:r>
          </w:p>
        </w:tc>
        <w:tc>
          <w:tcPr>
            <w:tcW w:w="1384" w:type="dxa"/>
            <w:vAlign w:val="center"/>
          </w:tcPr>
          <w:p w14:paraId="5ADB9569" w14:textId="2A5A2E1E" w:rsidR="00D14D6D" w:rsidRPr="00B47A6F" w:rsidRDefault="00B47A6F" w:rsidP="00D14D6D">
            <w:pPr>
              <w:spacing w:line="300" w:lineRule="atLeast"/>
              <w:jc w:val="center"/>
              <w:rPr>
                <w:rFonts w:ascii="Arial" w:hAnsi="Arial" w:cs="Arial"/>
                <w:b/>
                <w:sz w:val="16"/>
                <w:szCs w:val="16"/>
              </w:rPr>
            </w:pPr>
            <w:r>
              <w:rPr>
                <w:rFonts w:ascii="Arial" w:hAnsi="Arial" w:cs="Arial"/>
                <w:b/>
                <w:sz w:val="16"/>
                <w:szCs w:val="16"/>
              </w:rPr>
              <w:t>302.4 – 2.133.8 (1,218.1)</w:t>
            </w:r>
          </w:p>
        </w:tc>
        <w:tc>
          <w:tcPr>
            <w:tcW w:w="964" w:type="dxa"/>
            <w:vAlign w:val="center"/>
          </w:tcPr>
          <w:p w14:paraId="34FFCAEA" w14:textId="55AFD9D6" w:rsidR="00D14D6D" w:rsidRPr="00B47A6F" w:rsidRDefault="00B47A6F" w:rsidP="00D14D6D">
            <w:pPr>
              <w:spacing w:line="300" w:lineRule="atLeast"/>
              <w:jc w:val="center"/>
              <w:rPr>
                <w:rFonts w:ascii="Arial" w:hAnsi="Arial" w:cs="Arial"/>
                <w:b/>
                <w:sz w:val="16"/>
                <w:szCs w:val="16"/>
              </w:rPr>
            </w:pPr>
            <w:r>
              <w:rPr>
                <w:rFonts w:ascii="Arial" w:hAnsi="Arial" w:cs="Arial"/>
                <w:b/>
                <w:sz w:val="16"/>
                <w:szCs w:val="16"/>
              </w:rPr>
              <w:t>8.9 – 97.7 (53.3)</w:t>
            </w:r>
          </w:p>
        </w:tc>
        <w:tc>
          <w:tcPr>
            <w:tcW w:w="1082" w:type="dxa"/>
            <w:vAlign w:val="center"/>
          </w:tcPr>
          <w:p w14:paraId="541850D1" w14:textId="6BA3E45E" w:rsidR="00D14D6D" w:rsidRPr="00B47A6F" w:rsidRDefault="009C00C2" w:rsidP="00D14D6D">
            <w:pPr>
              <w:spacing w:line="300" w:lineRule="atLeast"/>
              <w:jc w:val="center"/>
              <w:rPr>
                <w:rFonts w:ascii="Arial" w:hAnsi="Arial" w:cs="Arial"/>
                <w:b/>
                <w:sz w:val="16"/>
                <w:szCs w:val="16"/>
              </w:rPr>
            </w:pPr>
            <w:r>
              <w:rPr>
                <w:rFonts w:ascii="Arial" w:hAnsi="Arial" w:cs="Arial"/>
                <w:b/>
                <w:sz w:val="16"/>
                <w:szCs w:val="16"/>
              </w:rPr>
              <w:t>1.5 – 5.3 (3.4</w:t>
            </w:r>
            <w:r w:rsidR="00B47A6F">
              <w:rPr>
                <w:rFonts w:ascii="Arial" w:hAnsi="Arial" w:cs="Arial"/>
                <w:b/>
                <w:sz w:val="16"/>
                <w:szCs w:val="16"/>
              </w:rPr>
              <w:t>)</w:t>
            </w:r>
          </w:p>
        </w:tc>
        <w:tc>
          <w:tcPr>
            <w:tcW w:w="929" w:type="dxa"/>
            <w:vAlign w:val="center"/>
          </w:tcPr>
          <w:p w14:paraId="43E14BA6" w14:textId="78ED7B82" w:rsidR="00D14D6D" w:rsidRPr="00B47A6F" w:rsidRDefault="00B47A6F" w:rsidP="00D14D6D">
            <w:pPr>
              <w:spacing w:line="300" w:lineRule="atLeast"/>
              <w:jc w:val="center"/>
              <w:rPr>
                <w:rFonts w:ascii="Arial" w:hAnsi="Arial" w:cs="Arial"/>
                <w:b/>
                <w:sz w:val="16"/>
                <w:szCs w:val="16"/>
              </w:rPr>
            </w:pPr>
            <w:r>
              <w:rPr>
                <w:rFonts w:ascii="Arial" w:hAnsi="Arial" w:cs="Arial"/>
                <w:b/>
                <w:sz w:val="16"/>
                <w:szCs w:val="16"/>
              </w:rPr>
              <w:t>-</w:t>
            </w:r>
          </w:p>
        </w:tc>
        <w:tc>
          <w:tcPr>
            <w:tcW w:w="1319" w:type="dxa"/>
            <w:vAlign w:val="center"/>
          </w:tcPr>
          <w:p w14:paraId="35200475" w14:textId="1360681C" w:rsidR="00D14D6D" w:rsidRPr="00B47A6F" w:rsidRDefault="009C00C2" w:rsidP="00D14D6D">
            <w:pPr>
              <w:spacing w:line="300" w:lineRule="atLeast"/>
              <w:jc w:val="center"/>
              <w:rPr>
                <w:rFonts w:ascii="Arial" w:hAnsi="Arial" w:cs="Arial"/>
                <w:b/>
                <w:sz w:val="16"/>
                <w:szCs w:val="16"/>
              </w:rPr>
            </w:pPr>
            <w:r>
              <w:rPr>
                <w:rFonts w:ascii="Arial" w:hAnsi="Arial" w:cs="Arial"/>
                <w:b/>
                <w:sz w:val="16"/>
                <w:szCs w:val="16"/>
              </w:rPr>
              <w:t>5.5</w:t>
            </w:r>
            <w:r w:rsidR="00B47A6F">
              <w:rPr>
                <w:rFonts w:ascii="Arial" w:hAnsi="Arial" w:cs="Arial"/>
                <w:b/>
                <w:sz w:val="16"/>
                <w:szCs w:val="16"/>
              </w:rPr>
              <w:t xml:space="preserve"> – 278.8 (142.1)</w:t>
            </w:r>
          </w:p>
        </w:tc>
      </w:tr>
    </w:tbl>
    <w:p w14:paraId="4E02F16A" w14:textId="0B8D3985" w:rsidR="003007F7" w:rsidRPr="006F63AB" w:rsidRDefault="003007F7" w:rsidP="006F63AB">
      <w:pPr>
        <w:spacing w:before="120"/>
        <w:rPr>
          <w:rFonts w:ascii="Arial" w:hAnsi="Arial" w:cs="Arial"/>
          <w:sz w:val="16"/>
        </w:rPr>
      </w:pPr>
    </w:p>
    <w:p w14:paraId="61F44FF0" w14:textId="77777777" w:rsidR="001A2F59" w:rsidRDefault="001A2F59">
      <w:pPr>
        <w:spacing w:after="0"/>
        <w:rPr>
          <w:szCs w:val="18"/>
        </w:rPr>
      </w:pPr>
      <w:r>
        <w:rPr>
          <w:szCs w:val="18"/>
        </w:rPr>
        <w:br w:type="page"/>
      </w:r>
    </w:p>
    <w:p w14:paraId="74ABA19F" w14:textId="77777777" w:rsidR="001839E5" w:rsidRPr="003833D6" w:rsidRDefault="00A73DB6" w:rsidP="00D92AD2">
      <w:pPr>
        <w:pStyle w:val="Heading1"/>
      </w:pPr>
      <w:bookmarkStart w:id="48" w:name="_Toc484949574"/>
      <w:bookmarkEnd w:id="22"/>
      <w:r>
        <w:lastRenderedPageBreak/>
        <w:t>Primary (virgin) metal production</w:t>
      </w:r>
      <w:bookmarkEnd w:id="48"/>
    </w:p>
    <w:p w14:paraId="77643F21" w14:textId="4B2B23DE" w:rsidR="008E3038" w:rsidRPr="003833D6" w:rsidRDefault="00460A55" w:rsidP="003833D6">
      <w:pPr>
        <w:spacing w:line="300" w:lineRule="atLeast"/>
        <w:jc w:val="both"/>
        <w:rPr>
          <w:szCs w:val="18"/>
        </w:rPr>
      </w:pPr>
      <w:r>
        <w:rPr>
          <w:szCs w:val="18"/>
        </w:rPr>
        <w:t xml:space="preserve">This category covers mercury releases from the mining and processing of metal-containing ores for the purposes of primary </w:t>
      </w:r>
      <w:r w:rsidR="00ED6A25">
        <w:rPr>
          <w:szCs w:val="18"/>
        </w:rPr>
        <w:t xml:space="preserve">(virgin) </w:t>
      </w:r>
      <w:r>
        <w:rPr>
          <w:szCs w:val="18"/>
        </w:rPr>
        <w:t>metal production (</w:t>
      </w:r>
      <w:r w:rsidR="00C738EC">
        <w:rPr>
          <w:szCs w:val="18"/>
        </w:rPr>
        <w:t>UNEP, 2017</w:t>
      </w:r>
      <w:r>
        <w:rPr>
          <w:szCs w:val="18"/>
        </w:rPr>
        <w:t xml:space="preserve">). The sub-categories and the primary release pathways are summarised in </w:t>
      </w:r>
      <w:r w:rsidR="00177AB0" w:rsidRPr="00636D03">
        <w:rPr>
          <w:szCs w:val="18"/>
        </w:rPr>
        <w:fldChar w:fldCharType="begin"/>
      </w:r>
      <w:r w:rsidR="00177AB0" w:rsidRPr="00636D03">
        <w:rPr>
          <w:szCs w:val="18"/>
        </w:rPr>
        <w:instrText xml:space="preserve"> REF _Ref358376388 \h </w:instrText>
      </w:r>
      <w:r w:rsidR="00636D03">
        <w:rPr>
          <w:szCs w:val="18"/>
        </w:rPr>
        <w:instrText xml:space="preserve"> \* MERGEFORMAT </w:instrText>
      </w:r>
      <w:r w:rsidR="00177AB0" w:rsidRPr="00636D03">
        <w:rPr>
          <w:szCs w:val="18"/>
        </w:rPr>
      </w:r>
      <w:r w:rsidR="00177AB0" w:rsidRPr="00636D03">
        <w:rPr>
          <w:szCs w:val="18"/>
        </w:rPr>
        <w:fldChar w:fldCharType="separate"/>
      </w:r>
      <w:r w:rsidR="00423FC9" w:rsidRPr="00423FC9">
        <w:t xml:space="preserve">Table </w:t>
      </w:r>
      <w:r w:rsidR="00423FC9" w:rsidRPr="00423FC9">
        <w:rPr>
          <w:noProof/>
        </w:rPr>
        <w:t>4</w:t>
      </w:r>
      <w:r w:rsidR="00423FC9" w:rsidRPr="00423FC9">
        <w:rPr>
          <w:noProof/>
        </w:rPr>
        <w:noBreakHyphen/>
        <w:t>1</w:t>
      </w:r>
      <w:r w:rsidR="00177AB0" w:rsidRPr="00636D03">
        <w:rPr>
          <w:szCs w:val="18"/>
        </w:rPr>
        <w:fldChar w:fldCharType="end"/>
      </w:r>
      <w:r w:rsidR="00DB09D1" w:rsidRPr="00DB09D1">
        <w:rPr>
          <w:szCs w:val="18"/>
        </w:rPr>
        <w:t>, which has been copied directly from the UNEP Toolkit</w:t>
      </w:r>
      <w:r>
        <w:rPr>
          <w:szCs w:val="18"/>
        </w:rPr>
        <w:t>.</w:t>
      </w:r>
    </w:p>
    <w:p w14:paraId="5BD6C441" w14:textId="77777777" w:rsidR="008E3038" w:rsidRDefault="00460A55" w:rsidP="00460A55">
      <w:pPr>
        <w:pStyle w:val="Caption"/>
        <w:rPr>
          <w:szCs w:val="18"/>
        </w:rPr>
      </w:pPr>
      <w:bookmarkStart w:id="49" w:name="_Ref358376388"/>
      <w:bookmarkStart w:id="50" w:name="_Toc484949645"/>
      <w:r w:rsidRPr="00177AB0">
        <w:rPr>
          <w:rFonts w:ascii="Arial" w:hAnsi="Arial" w:cs="Arial"/>
        </w:rPr>
        <w:t xml:space="preserve">Table </w:t>
      </w:r>
      <w:r w:rsidR="00390C9F">
        <w:rPr>
          <w:rFonts w:ascii="Arial" w:hAnsi="Arial" w:cs="Arial"/>
        </w:rPr>
        <w:fldChar w:fldCharType="begin"/>
      </w:r>
      <w:r w:rsidR="00390C9F">
        <w:rPr>
          <w:rFonts w:ascii="Arial" w:hAnsi="Arial" w:cs="Arial"/>
        </w:rPr>
        <w:instrText xml:space="preserve"> STYLEREF 1 \s </w:instrText>
      </w:r>
      <w:r w:rsidR="00390C9F">
        <w:rPr>
          <w:rFonts w:ascii="Arial" w:hAnsi="Arial" w:cs="Arial"/>
        </w:rPr>
        <w:fldChar w:fldCharType="separate"/>
      </w:r>
      <w:r w:rsidR="00423FC9">
        <w:rPr>
          <w:rFonts w:ascii="Arial" w:hAnsi="Arial" w:cs="Arial"/>
          <w:noProof/>
        </w:rPr>
        <w:t>4</w:t>
      </w:r>
      <w:r w:rsidR="00390C9F">
        <w:rPr>
          <w:rFonts w:ascii="Arial" w:hAnsi="Arial" w:cs="Arial"/>
        </w:rPr>
        <w:fldChar w:fldCharType="end"/>
      </w:r>
      <w:r w:rsidR="00390C9F">
        <w:rPr>
          <w:rFonts w:ascii="Arial" w:hAnsi="Arial" w:cs="Arial"/>
        </w:rPr>
        <w:noBreakHyphen/>
      </w:r>
      <w:r w:rsidR="00390C9F">
        <w:rPr>
          <w:rFonts w:ascii="Arial" w:hAnsi="Arial" w:cs="Arial"/>
        </w:rPr>
        <w:fldChar w:fldCharType="begin"/>
      </w:r>
      <w:r w:rsidR="00390C9F">
        <w:rPr>
          <w:rFonts w:ascii="Arial" w:hAnsi="Arial" w:cs="Arial"/>
        </w:rPr>
        <w:instrText xml:space="preserve"> SEQ Table \* ARABIC \s 1 </w:instrText>
      </w:r>
      <w:r w:rsidR="00390C9F">
        <w:rPr>
          <w:rFonts w:ascii="Arial" w:hAnsi="Arial" w:cs="Arial"/>
        </w:rPr>
        <w:fldChar w:fldCharType="separate"/>
      </w:r>
      <w:r w:rsidR="00423FC9">
        <w:rPr>
          <w:rFonts w:ascii="Arial" w:hAnsi="Arial" w:cs="Arial"/>
          <w:noProof/>
        </w:rPr>
        <w:t>1</w:t>
      </w:r>
      <w:r w:rsidR="00390C9F">
        <w:rPr>
          <w:rFonts w:ascii="Arial" w:hAnsi="Arial" w:cs="Arial"/>
        </w:rPr>
        <w:fldChar w:fldCharType="end"/>
      </w:r>
      <w:bookmarkEnd w:id="49"/>
      <w:r w:rsidRPr="00177AB0">
        <w:rPr>
          <w:rFonts w:ascii="Arial" w:hAnsi="Arial" w:cs="Arial"/>
        </w:rPr>
        <w:t>:</w:t>
      </w:r>
      <w:r>
        <w:t xml:space="preserve">  </w:t>
      </w:r>
      <w:r w:rsidRPr="003D7CC9">
        <w:rPr>
          <w:rFonts w:ascii="Arial" w:hAnsi="Arial" w:cs="Arial"/>
        </w:rPr>
        <w:t>T</w:t>
      </w:r>
      <w:r>
        <w:rPr>
          <w:rFonts w:ascii="Arial" w:hAnsi="Arial" w:cs="Arial"/>
        </w:rPr>
        <w:t>oolkit framework for category 2 – primary metal production</w:t>
      </w:r>
      <w:bookmarkEnd w:id="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850"/>
        <w:gridCol w:w="851"/>
        <w:gridCol w:w="851"/>
        <w:gridCol w:w="992"/>
        <w:gridCol w:w="992"/>
        <w:gridCol w:w="1099"/>
      </w:tblGrid>
      <w:tr w:rsidR="00177AB0" w:rsidRPr="004901F2" w14:paraId="32625223" w14:textId="77777777" w:rsidTr="00C21F75">
        <w:tc>
          <w:tcPr>
            <w:tcW w:w="851" w:type="dxa"/>
            <w:shd w:val="clear" w:color="auto" w:fill="auto"/>
            <w:vAlign w:val="center"/>
          </w:tcPr>
          <w:p w14:paraId="5933E7C6" w14:textId="77777777" w:rsidR="00177AB0" w:rsidRPr="004901F2" w:rsidRDefault="00177AB0" w:rsidP="00C21F75">
            <w:pPr>
              <w:spacing w:before="40" w:after="40" w:line="300" w:lineRule="atLeast"/>
              <w:jc w:val="center"/>
              <w:rPr>
                <w:rFonts w:ascii="Arial" w:hAnsi="Arial" w:cs="Arial"/>
                <w:b/>
                <w:sz w:val="16"/>
                <w:szCs w:val="16"/>
              </w:rPr>
            </w:pPr>
            <w:r w:rsidRPr="004901F2">
              <w:rPr>
                <w:rFonts w:ascii="Arial" w:hAnsi="Arial" w:cs="Arial"/>
                <w:b/>
                <w:sz w:val="16"/>
                <w:szCs w:val="16"/>
              </w:rPr>
              <w:t>Toolkit Chapter</w:t>
            </w:r>
          </w:p>
        </w:tc>
        <w:tc>
          <w:tcPr>
            <w:tcW w:w="2693" w:type="dxa"/>
            <w:shd w:val="clear" w:color="auto" w:fill="auto"/>
            <w:vAlign w:val="center"/>
          </w:tcPr>
          <w:p w14:paraId="374F81EE" w14:textId="77777777" w:rsidR="00177AB0" w:rsidRPr="004901F2" w:rsidRDefault="00177AB0" w:rsidP="00C21F75">
            <w:pPr>
              <w:spacing w:before="40" w:after="40" w:line="300" w:lineRule="atLeast"/>
              <w:jc w:val="center"/>
              <w:rPr>
                <w:rFonts w:ascii="Arial" w:hAnsi="Arial" w:cs="Arial"/>
                <w:b/>
                <w:sz w:val="16"/>
                <w:szCs w:val="16"/>
              </w:rPr>
            </w:pPr>
            <w:r w:rsidRPr="004901F2">
              <w:rPr>
                <w:rFonts w:ascii="Arial" w:hAnsi="Arial" w:cs="Arial"/>
                <w:b/>
                <w:sz w:val="16"/>
                <w:szCs w:val="16"/>
              </w:rPr>
              <w:t>Sub-category</w:t>
            </w:r>
          </w:p>
        </w:tc>
        <w:tc>
          <w:tcPr>
            <w:tcW w:w="850" w:type="dxa"/>
            <w:shd w:val="clear" w:color="auto" w:fill="auto"/>
            <w:vAlign w:val="center"/>
          </w:tcPr>
          <w:p w14:paraId="003849A0" w14:textId="77777777" w:rsidR="00177AB0" w:rsidRPr="004901F2" w:rsidRDefault="00177AB0" w:rsidP="00C21F75">
            <w:pPr>
              <w:spacing w:before="40" w:after="40" w:line="300" w:lineRule="atLeast"/>
              <w:jc w:val="center"/>
              <w:rPr>
                <w:rFonts w:ascii="Arial" w:hAnsi="Arial" w:cs="Arial"/>
                <w:b/>
                <w:sz w:val="16"/>
                <w:szCs w:val="16"/>
              </w:rPr>
            </w:pPr>
            <w:r w:rsidRPr="004901F2">
              <w:rPr>
                <w:rFonts w:ascii="Arial" w:hAnsi="Arial" w:cs="Arial"/>
                <w:b/>
                <w:sz w:val="16"/>
                <w:szCs w:val="16"/>
              </w:rPr>
              <w:t>Air</w:t>
            </w:r>
          </w:p>
        </w:tc>
        <w:tc>
          <w:tcPr>
            <w:tcW w:w="851" w:type="dxa"/>
            <w:shd w:val="clear" w:color="auto" w:fill="auto"/>
            <w:vAlign w:val="center"/>
          </w:tcPr>
          <w:p w14:paraId="0A6D4184" w14:textId="77777777" w:rsidR="00177AB0" w:rsidRPr="004901F2" w:rsidRDefault="00177AB0" w:rsidP="00C21F75">
            <w:pPr>
              <w:spacing w:before="40" w:after="40" w:line="300" w:lineRule="atLeast"/>
              <w:jc w:val="center"/>
              <w:rPr>
                <w:rFonts w:ascii="Arial" w:hAnsi="Arial" w:cs="Arial"/>
                <w:b/>
                <w:sz w:val="16"/>
                <w:szCs w:val="16"/>
              </w:rPr>
            </w:pPr>
            <w:r w:rsidRPr="004901F2">
              <w:rPr>
                <w:rFonts w:ascii="Arial" w:hAnsi="Arial" w:cs="Arial"/>
                <w:b/>
                <w:sz w:val="16"/>
                <w:szCs w:val="16"/>
              </w:rPr>
              <w:t>Water</w:t>
            </w:r>
          </w:p>
        </w:tc>
        <w:tc>
          <w:tcPr>
            <w:tcW w:w="851" w:type="dxa"/>
            <w:shd w:val="clear" w:color="auto" w:fill="auto"/>
            <w:vAlign w:val="center"/>
          </w:tcPr>
          <w:p w14:paraId="1C7715E3" w14:textId="77777777" w:rsidR="00177AB0" w:rsidRPr="004901F2" w:rsidRDefault="00177AB0" w:rsidP="00C21F75">
            <w:pPr>
              <w:spacing w:before="40" w:after="40" w:line="300" w:lineRule="atLeast"/>
              <w:jc w:val="center"/>
              <w:rPr>
                <w:rFonts w:ascii="Arial" w:hAnsi="Arial" w:cs="Arial"/>
                <w:b/>
                <w:sz w:val="16"/>
                <w:szCs w:val="16"/>
              </w:rPr>
            </w:pPr>
            <w:r w:rsidRPr="004901F2">
              <w:rPr>
                <w:rFonts w:ascii="Arial" w:hAnsi="Arial" w:cs="Arial"/>
                <w:b/>
                <w:sz w:val="16"/>
                <w:szCs w:val="16"/>
              </w:rPr>
              <w:t>Land</w:t>
            </w:r>
          </w:p>
        </w:tc>
        <w:tc>
          <w:tcPr>
            <w:tcW w:w="992" w:type="dxa"/>
            <w:shd w:val="clear" w:color="auto" w:fill="auto"/>
            <w:vAlign w:val="center"/>
          </w:tcPr>
          <w:p w14:paraId="1F8F5869" w14:textId="77777777" w:rsidR="00177AB0" w:rsidRPr="004901F2" w:rsidRDefault="00177AB0" w:rsidP="00C21F75">
            <w:pPr>
              <w:spacing w:before="40" w:after="40" w:line="300" w:lineRule="atLeast"/>
              <w:jc w:val="center"/>
              <w:rPr>
                <w:rFonts w:ascii="Arial" w:hAnsi="Arial" w:cs="Arial"/>
                <w:b/>
                <w:sz w:val="16"/>
                <w:szCs w:val="16"/>
              </w:rPr>
            </w:pPr>
            <w:r w:rsidRPr="004901F2">
              <w:rPr>
                <w:rFonts w:ascii="Arial" w:hAnsi="Arial" w:cs="Arial"/>
                <w:b/>
                <w:sz w:val="16"/>
                <w:szCs w:val="16"/>
              </w:rPr>
              <w:t>Product</w:t>
            </w:r>
          </w:p>
        </w:tc>
        <w:tc>
          <w:tcPr>
            <w:tcW w:w="992" w:type="dxa"/>
            <w:shd w:val="clear" w:color="auto" w:fill="auto"/>
            <w:vAlign w:val="center"/>
          </w:tcPr>
          <w:p w14:paraId="593F6C27" w14:textId="77777777" w:rsidR="00177AB0" w:rsidRPr="004901F2" w:rsidRDefault="00177AB0" w:rsidP="00C21F75">
            <w:pPr>
              <w:spacing w:before="40" w:after="40" w:line="300" w:lineRule="atLeast"/>
              <w:jc w:val="center"/>
              <w:rPr>
                <w:rFonts w:ascii="Arial" w:hAnsi="Arial" w:cs="Arial"/>
                <w:b/>
                <w:sz w:val="16"/>
                <w:szCs w:val="16"/>
              </w:rPr>
            </w:pPr>
            <w:r w:rsidRPr="004901F2">
              <w:rPr>
                <w:rFonts w:ascii="Arial" w:hAnsi="Arial" w:cs="Arial"/>
                <w:b/>
                <w:sz w:val="16"/>
                <w:szCs w:val="16"/>
              </w:rPr>
              <w:t>Waste/ residue</w:t>
            </w:r>
          </w:p>
        </w:tc>
        <w:tc>
          <w:tcPr>
            <w:tcW w:w="1099" w:type="dxa"/>
            <w:shd w:val="clear" w:color="auto" w:fill="auto"/>
            <w:vAlign w:val="center"/>
          </w:tcPr>
          <w:p w14:paraId="7124F89B" w14:textId="77777777" w:rsidR="00177AB0" w:rsidRPr="004901F2" w:rsidRDefault="00177AB0" w:rsidP="00C21F75">
            <w:pPr>
              <w:spacing w:before="40" w:after="40" w:line="300" w:lineRule="atLeast"/>
              <w:jc w:val="center"/>
              <w:rPr>
                <w:rFonts w:ascii="Arial" w:hAnsi="Arial" w:cs="Arial"/>
                <w:b/>
                <w:sz w:val="16"/>
                <w:szCs w:val="16"/>
              </w:rPr>
            </w:pPr>
            <w:r w:rsidRPr="004901F2">
              <w:rPr>
                <w:rFonts w:ascii="Arial" w:hAnsi="Arial" w:cs="Arial"/>
                <w:b/>
                <w:sz w:val="16"/>
                <w:szCs w:val="16"/>
              </w:rPr>
              <w:t>Main approach</w:t>
            </w:r>
          </w:p>
        </w:tc>
      </w:tr>
      <w:tr w:rsidR="00177AB0" w:rsidRPr="004901F2" w14:paraId="1558B65C" w14:textId="77777777" w:rsidTr="00C21F75">
        <w:tc>
          <w:tcPr>
            <w:tcW w:w="851" w:type="dxa"/>
            <w:shd w:val="clear" w:color="auto" w:fill="auto"/>
            <w:vAlign w:val="center"/>
          </w:tcPr>
          <w:p w14:paraId="00F5DE10" w14:textId="77777777" w:rsidR="00177AB0" w:rsidRPr="004901F2" w:rsidRDefault="00177AB0" w:rsidP="00C21F75">
            <w:pPr>
              <w:spacing w:before="40" w:after="40" w:line="300" w:lineRule="atLeast"/>
              <w:rPr>
                <w:rFonts w:ascii="Arial" w:hAnsi="Arial" w:cs="Arial"/>
                <w:sz w:val="16"/>
                <w:szCs w:val="16"/>
              </w:rPr>
            </w:pPr>
            <w:r>
              <w:rPr>
                <w:rFonts w:ascii="Arial" w:hAnsi="Arial" w:cs="Arial"/>
                <w:sz w:val="16"/>
                <w:szCs w:val="16"/>
              </w:rPr>
              <w:t>5.2</w:t>
            </w:r>
            <w:r w:rsidRPr="004901F2">
              <w:rPr>
                <w:rFonts w:ascii="Arial" w:hAnsi="Arial" w:cs="Arial"/>
                <w:sz w:val="16"/>
                <w:szCs w:val="16"/>
              </w:rPr>
              <w:t>.1</w:t>
            </w:r>
          </w:p>
        </w:tc>
        <w:tc>
          <w:tcPr>
            <w:tcW w:w="2693" w:type="dxa"/>
            <w:shd w:val="clear" w:color="auto" w:fill="auto"/>
            <w:vAlign w:val="center"/>
          </w:tcPr>
          <w:p w14:paraId="7354BB04" w14:textId="77777777" w:rsidR="00177AB0" w:rsidRPr="004901F2" w:rsidRDefault="00177AB0" w:rsidP="00C21F75">
            <w:pPr>
              <w:spacing w:line="300" w:lineRule="atLeast"/>
              <w:rPr>
                <w:rFonts w:ascii="Arial" w:hAnsi="Arial" w:cs="Arial"/>
                <w:sz w:val="16"/>
                <w:szCs w:val="16"/>
              </w:rPr>
            </w:pPr>
            <w:r>
              <w:rPr>
                <w:rFonts w:ascii="Arial" w:hAnsi="Arial" w:cs="Arial"/>
                <w:sz w:val="16"/>
                <w:szCs w:val="16"/>
              </w:rPr>
              <w:t>Mercury</w:t>
            </w:r>
          </w:p>
        </w:tc>
        <w:tc>
          <w:tcPr>
            <w:tcW w:w="850" w:type="dxa"/>
            <w:shd w:val="clear" w:color="auto" w:fill="auto"/>
            <w:vAlign w:val="center"/>
          </w:tcPr>
          <w:p w14:paraId="149772EE" w14:textId="77777777" w:rsidR="00177AB0" w:rsidRPr="004901F2" w:rsidRDefault="00177AB0" w:rsidP="00C21F75">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1120D7D3" w14:textId="77777777" w:rsidR="00177AB0" w:rsidRPr="004901F2" w:rsidRDefault="00177AB0" w:rsidP="00C21F75">
            <w:pPr>
              <w:spacing w:before="40" w:after="40" w:line="300" w:lineRule="atLeast"/>
              <w:jc w:val="center"/>
              <w:rPr>
                <w:rFonts w:ascii="Arial" w:hAnsi="Arial" w:cs="Arial"/>
                <w:sz w:val="16"/>
                <w:szCs w:val="16"/>
              </w:rPr>
            </w:pPr>
            <w:r w:rsidRPr="00177AB0">
              <w:rPr>
                <w:rFonts w:ascii="Arial" w:hAnsi="Arial" w:cs="Arial"/>
                <w:b/>
                <w:sz w:val="16"/>
                <w:szCs w:val="16"/>
              </w:rPr>
              <w:t>X</w:t>
            </w:r>
          </w:p>
        </w:tc>
        <w:tc>
          <w:tcPr>
            <w:tcW w:w="851" w:type="dxa"/>
            <w:shd w:val="clear" w:color="auto" w:fill="auto"/>
            <w:vAlign w:val="center"/>
          </w:tcPr>
          <w:p w14:paraId="34047871" w14:textId="77777777" w:rsidR="00177AB0" w:rsidRPr="004901F2" w:rsidRDefault="00177AB0" w:rsidP="00C21F75">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2A8D6922" w14:textId="77777777" w:rsidR="00177AB0" w:rsidRPr="004901F2" w:rsidRDefault="00177AB0" w:rsidP="00C21F75">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0E070E47" w14:textId="77777777" w:rsidR="00177AB0" w:rsidRPr="004901F2" w:rsidRDefault="00177AB0" w:rsidP="00C21F75">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1099" w:type="dxa"/>
            <w:shd w:val="clear" w:color="auto" w:fill="auto"/>
            <w:vAlign w:val="center"/>
          </w:tcPr>
          <w:p w14:paraId="3FBB73DD" w14:textId="77777777" w:rsidR="00177AB0" w:rsidRPr="004901F2" w:rsidRDefault="00177AB0" w:rsidP="00C21F75">
            <w:pPr>
              <w:spacing w:before="40" w:after="40" w:line="300" w:lineRule="atLeast"/>
              <w:jc w:val="center"/>
              <w:rPr>
                <w:rFonts w:ascii="Arial" w:hAnsi="Arial" w:cs="Arial"/>
                <w:sz w:val="16"/>
                <w:szCs w:val="16"/>
              </w:rPr>
            </w:pPr>
            <w:r w:rsidRPr="004901F2">
              <w:rPr>
                <w:rFonts w:ascii="Arial" w:hAnsi="Arial" w:cs="Arial"/>
                <w:sz w:val="16"/>
                <w:szCs w:val="16"/>
              </w:rPr>
              <w:t>PS</w:t>
            </w:r>
          </w:p>
        </w:tc>
      </w:tr>
      <w:tr w:rsidR="00177AB0" w:rsidRPr="004901F2" w14:paraId="5F407695" w14:textId="77777777" w:rsidTr="00C21F75">
        <w:tc>
          <w:tcPr>
            <w:tcW w:w="851" w:type="dxa"/>
            <w:shd w:val="clear" w:color="auto" w:fill="auto"/>
            <w:vAlign w:val="center"/>
          </w:tcPr>
          <w:p w14:paraId="0758AF6F" w14:textId="77777777" w:rsidR="00177AB0" w:rsidRPr="004901F2" w:rsidRDefault="00177AB0" w:rsidP="00C21F75">
            <w:pPr>
              <w:spacing w:before="40" w:after="40" w:line="300" w:lineRule="atLeast"/>
              <w:rPr>
                <w:rFonts w:ascii="Arial" w:hAnsi="Arial" w:cs="Arial"/>
                <w:sz w:val="16"/>
                <w:szCs w:val="16"/>
              </w:rPr>
            </w:pPr>
            <w:r>
              <w:rPr>
                <w:rFonts w:ascii="Arial" w:hAnsi="Arial" w:cs="Arial"/>
                <w:sz w:val="16"/>
                <w:szCs w:val="16"/>
              </w:rPr>
              <w:t>5.2</w:t>
            </w:r>
            <w:r w:rsidRPr="004901F2">
              <w:rPr>
                <w:rFonts w:ascii="Arial" w:hAnsi="Arial" w:cs="Arial"/>
                <w:sz w:val="16"/>
                <w:szCs w:val="16"/>
              </w:rPr>
              <w:t>.2</w:t>
            </w:r>
          </w:p>
        </w:tc>
        <w:tc>
          <w:tcPr>
            <w:tcW w:w="2693" w:type="dxa"/>
            <w:shd w:val="clear" w:color="auto" w:fill="auto"/>
            <w:vAlign w:val="center"/>
          </w:tcPr>
          <w:p w14:paraId="704ED7CA" w14:textId="77777777" w:rsidR="00177AB0" w:rsidRPr="004901F2" w:rsidRDefault="00177AB0" w:rsidP="00177AB0">
            <w:pPr>
              <w:spacing w:before="40" w:after="40" w:line="300" w:lineRule="atLeast"/>
              <w:rPr>
                <w:rFonts w:ascii="Arial" w:hAnsi="Arial" w:cs="Arial"/>
                <w:sz w:val="16"/>
                <w:szCs w:val="16"/>
              </w:rPr>
            </w:pPr>
            <w:r>
              <w:rPr>
                <w:rFonts w:ascii="Arial" w:hAnsi="Arial" w:cs="Arial"/>
                <w:sz w:val="16"/>
                <w:szCs w:val="16"/>
              </w:rPr>
              <w:t>Gold and silver, using mercury amalgamation</w:t>
            </w:r>
          </w:p>
        </w:tc>
        <w:tc>
          <w:tcPr>
            <w:tcW w:w="850" w:type="dxa"/>
            <w:shd w:val="clear" w:color="auto" w:fill="auto"/>
            <w:vAlign w:val="center"/>
          </w:tcPr>
          <w:p w14:paraId="1BB94F81" w14:textId="77777777" w:rsidR="00177AB0" w:rsidRPr="004901F2" w:rsidRDefault="00177AB0" w:rsidP="00C21F75">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2F2BC9BA" w14:textId="77777777" w:rsidR="00177AB0" w:rsidRPr="004901F2" w:rsidRDefault="00177AB0" w:rsidP="00C21F75">
            <w:pPr>
              <w:spacing w:before="40" w:after="40" w:line="300" w:lineRule="atLeast"/>
              <w:jc w:val="center"/>
              <w:rPr>
                <w:rFonts w:ascii="Arial" w:hAnsi="Arial" w:cs="Arial"/>
                <w:sz w:val="16"/>
                <w:szCs w:val="16"/>
              </w:rPr>
            </w:pPr>
            <w:r w:rsidRPr="00177AB0">
              <w:rPr>
                <w:rFonts w:ascii="Arial" w:hAnsi="Arial" w:cs="Arial"/>
                <w:b/>
                <w:sz w:val="16"/>
                <w:szCs w:val="16"/>
              </w:rPr>
              <w:t>X</w:t>
            </w:r>
          </w:p>
        </w:tc>
        <w:tc>
          <w:tcPr>
            <w:tcW w:w="851" w:type="dxa"/>
            <w:shd w:val="clear" w:color="auto" w:fill="auto"/>
            <w:vAlign w:val="center"/>
          </w:tcPr>
          <w:p w14:paraId="3DE6B172" w14:textId="77777777" w:rsidR="00177AB0" w:rsidRPr="004901F2" w:rsidRDefault="00177AB0" w:rsidP="00C21F75">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56324A30" w14:textId="77777777" w:rsidR="00177AB0" w:rsidRPr="004901F2" w:rsidRDefault="00177AB0" w:rsidP="00C21F75">
            <w:pPr>
              <w:spacing w:before="40" w:after="40" w:line="300" w:lineRule="atLeast"/>
              <w:jc w:val="center"/>
              <w:rPr>
                <w:rFonts w:ascii="Arial" w:hAnsi="Arial" w:cs="Arial"/>
                <w:sz w:val="16"/>
                <w:szCs w:val="16"/>
              </w:rPr>
            </w:pPr>
          </w:p>
        </w:tc>
        <w:tc>
          <w:tcPr>
            <w:tcW w:w="992" w:type="dxa"/>
            <w:shd w:val="clear" w:color="auto" w:fill="auto"/>
            <w:vAlign w:val="center"/>
          </w:tcPr>
          <w:p w14:paraId="6255033B" w14:textId="77777777" w:rsidR="00177AB0" w:rsidRPr="004901F2" w:rsidRDefault="00177AB0" w:rsidP="00C21F75">
            <w:pPr>
              <w:spacing w:before="40" w:after="40" w:line="300" w:lineRule="atLeast"/>
              <w:jc w:val="center"/>
              <w:rPr>
                <w:rFonts w:ascii="Arial" w:hAnsi="Arial" w:cs="Arial"/>
                <w:sz w:val="16"/>
                <w:szCs w:val="16"/>
              </w:rPr>
            </w:pPr>
          </w:p>
        </w:tc>
        <w:tc>
          <w:tcPr>
            <w:tcW w:w="1099" w:type="dxa"/>
            <w:shd w:val="clear" w:color="auto" w:fill="auto"/>
            <w:vAlign w:val="center"/>
          </w:tcPr>
          <w:p w14:paraId="7269C892" w14:textId="77777777" w:rsidR="00177AB0" w:rsidRPr="004901F2" w:rsidRDefault="00177AB0" w:rsidP="00C21F75">
            <w:pPr>
              <w:spacing w:before="40" w:after="40" w:line="300" w:lineRule="atLeast"/>
              <w:jc w:val="center"/>
              <w:rPr>
                <w:rFonts w:ascii="Arial" w:hAnsi="Arial" w:cs="Arial"/>
                <w:sz w:val="16"/>
                <w:szCs w:val="16"/>
              </w:rPr>
            </w:pPr>
            <w:r w:rsidRPr="004901F2">
              <w:rPr>
                <w:rFonts w:ascii="Arial" w:hAnsi="Arial" w:cs="Arial"/>
                <w:sz w:val="16"/>
                <w:szCs w:val="16"/>
              </w:rPr>
              <w:t>OW</w:t>
            </w:r>
          </w:p>
        </w:tc>
      </w:tr>
      <w:tr w:rsidR="00177AB0" w:rsidRPr="004901F2" w14:paraId="743AF109" w14:textId="77777777" w:rsidTr="00C21F75">
        <w:tc>
          <w:tcPr>
            <w:tcW w:w="851" w:type="dxa"/>
            <w:shd w:val="clear" w:color="auto" w:fill="auto"/>
            <w:vAlign w:val="center"/>
          </w:tcPr>
          <w:p w14:paraId="4712218C" w14:textId="77777777" w:rsidR="00177AB0" w:rsidRPr="004901F2" w:rsidRDefault="00177AB0" w:rsidP="00C21F75">
            <w:pPr>
              <w:spacing w:before="40" w:after="40" w:line="300" w:lineRule="atLeast"/>
              <w:rPr>
                <w:rFonts w:ascii="Arial" w:hAnsi="Arial" w:cs="Arial"/>
                <w:sz w:val="16"/>
                <w:szCs w:val="16"/>
              </w:rPr>
            </w:pPr>
            <w:r>
              <w:rPr>
                <w:rFonts w:ascii="Arial" w:hAnsi="Arial" w:cs="Arial"/>
                <w:sz w:val="16"/>
                <w:szCs w:val="16"/>
              </w:rPr>
              <w:t>5.2</w:t>
            </w:r>
            <w:r w:rsidRPr="004901F2">
              <w:rPr>
                <w:rFonts w:ascii="Arial" w:hAnsi="Arial" w:cs="Arial"/>
                <w:sz w:val="16"/>
                <w:szCs w:val="16"/>
              </w:rPr>
              <w:t>.3</w:t>
            </w:r>
          </w:p>
        </w:tc>
        <w:tc>
          <w:tcPr>
            <w:tcW w:w="2693" w:type="dxa"/>
            <w:shd w:val="clear" w:color="auto" w:fill="auto"/>
            <w:vAlign w:val="center"/>
          </w:tcPr>
          <w:p w14:paraId="1D9DD586" w14:textId="77777777" w:rsidR="00177AB0" w:rsidRPr="004901F2" w:rsidRDefault="00177AB0" w:rsidP="00C21F75">
            <w:pPr>
              <w:spacing w:line="300" w:lineRule="atLeast"/>
              <w:rPr>
                <w:rFonts w:ascii="Arial" w:hAnsi="Arial" w:cs="Arial"/>
                <w:sz w:val="16"/>
                <w:szCs w:val="16"/>
              </w:rPr>
            </w:pPr>
            <w:r>
              <w:rPr>
                <w:rFonts w:ascii="Arial" w:hAnsi="Arial" w:cs="Arial"/>
                <w:sz w:val="16"/>
                <w:szCs w:val="16"/>
              </w:rPr>
              <w:t>Zinc</w:t>
            </w:r>
          </w:p>
        </w:tc>
        <w:tc>
          <w:tcPr>
            <w:tcW w:w="850" w:type="dxa"/>
            <w:shd w:val="clear" w:color="auto" w:fill="auto"/>
            <w:vAlign w:val="center"/>
          </w:tcPr>
          <w:p w14:paraId="4B152B1A" w14:textId="77777777" w:rsidR="00177AB0" w:rsidRPr="004901F2" w:rsidRDefault="00177AB0" w:rsidP="00C21F75">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062371D8" w14:textId="77777777" w:rsidR="00177AB0" w:rsidRPr="004901F2" w:rsidRDefault="00177AB0" w:rsidP="00C21F75">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18D32671" w14:textId="77777777" w:rsidR="00177AB0" w:rsidRPr="004901F2" w:rsidRDefault="00177AB0" w:rsidP="00C21F75">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77766EA6" w14:textId="77777777" w:rsidR="00177AB0" w:rsidRPr="004901F2" w:rsidRDefault="00177AB0" w:rsidP="00C21F75">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157FDFF3" w14:textId="77777777" w:rsidR="00177AB0" w:rsidRPr="004901F2" w:rsidRDefault="00177AB0" w:rsidP="00C21F75">
            <w:pPr>
              <w:spacing w:before="40" w:after="40" w:line="300" w:lineRule="atLeast"/>
              <w:jc w:val="center"/>
              <w:rPr>
                <w:rFonts w:ascii="Arial" w:hAnsi="Arial" w:cs="Arial"/>
                <w:sz w:val="16"/>
                <w:szCs w:val="16"/>
              </w:rPr>
            </w:pPr>
            <w:r w:rsidRPr="00177AB0">
              <w:rPr>
                <w:rFonts w:ascii="Arial" w:hAnsi="Arial" w:cs="Arial"/>
                <w:b/>
                <w:sz w:val="16"/>
                <w:szCs w:val="16"/>
              </w:rPr>
              <w:t>X</w:t>
            </w:r>
          </w:p>
        </w:tc>
        <w:tc>
          <w:tcPr>
            <w:tcW w:w="1099" w:type="dxa"/>
            <w:shd w:val="clear" w:color="auto" w:fill="auto"/>
            <w:vAlign w:val="center"/>
          </w:tcPr>
          <w:p w14:paraId="65BF3AAD" w14:textId="77777777" w:rsidR="00177AB0" w:rsidRPr="004901F2" w:rsidRDefault="00177AB0" w:rsidP="00C21F75">
            <w:pPr>
              <w:spacing w:before="40" w:after="40" w:line="300" w:lineRule="atLeast"/>
              <w:jc w:val="center"/>
              <w:rPr>
                <w:rFonts w:ascii="Arial" w:hAnsi="Arial" w:cs="Arial"/>
                <w:sz w:val="16"/>
                <w:szCs w:val="16"/>
              </w:rPr>
            </w:pPr>
            <w:r w:rsidRPr="004901F2">
              <w:rPr>
                <w:rFonts w:ascii="Arial" w:hAnsi="Arial" w:cs="Arial"/>
                <w:sz w:val="16"/>
                <w:szCs w:val="16"/>
              </w:rPr>
              <w:t>PS</w:t>
            </w:r>
          </w:p>
        </w:tc>
      </w:tr>
      <w:tr w:rsidR="00177AB0" w:rsidRPr="004901F2" w14:paraId="3432A5CA" w14:textId="77777777" w:rsidTr="00C21F75">
        <w:tc>
          <w:tcPr>
            <w:tcW w:w="851" w:type="dxa"/>
            <w:shd w:val="clear" w:color="auto" w:fill="auto"/>
            <w:vAlign w:val="center"/>
          </w:tcPr>
          <w:p w14:paraId="143DDF95" w14:textId="77777777" w:rsidR="00177AB0" w:rsidRPr="004901F2" w:rsidRDefault="00177AB0" w:rsidP="00C21F75">
            <w:pPr>
              <w:spacing w:before="40" w:after="40" w:line="300" w:lineRule="atLeast"/>
              <w:rPr>
                <w:rFonts w:ascii="Arial" w:hAnsi="Arial" w:cs="Arial"/>
                <w:sz w:val="16"/>
                <w:szCs w:val="16"/>
              </w:rPr>
            </w:pPr>
            <w:r>
              <w:rPr>
                <w:rFonts w:ascii="Arial" w:hAnsi="Arial" w:cs="Arial"/>
                <w:sz w:val="16"/>
                <w:szCs w:val="16"/>
              </w:rPr>
              <w:t>5.2</w:t>
            </w:r>
            <w:r w:rsidRPr="004901F2">
              <w:rPr>
                <w:rFonts w:ascii="Arial" w:hAnsi="Arial" w:cs="Arial"/>
                <w:sz w:val="16"/>
                <w:szCs w:val="16"/>
              </w:rPr>
              <w:t>.4</w:t>
            </w:r>
          </w:p>
        </w:tc>
        <w:tc>
          <w:tcPr>
            <w:tcW w:w="2693" w:type="dxa"/>
            <w:shd w:val="clear" w:color="auto" w:fill="auto"/>
            <w:vAlign w:val="center"/>
          </w:tcPr>
          <w:p w14:paraId="24B70D9B" w14:textId="77777777" w:rsidR="00177AB0" w:rsidRPr="004901F2" w:rsidRDefault="00177AB0" w:rsidP="00C21F75">
            <w:pPr>
              <w:spacing w:line="300" w:lineRule="atLeast"/>
              <w:rPr>
                <w:rFonts w:ascii="Arial" w:hAnsi="Arial" w:cs="Arial"/>
                <w:sz w:val="16"/>
                <w:szCs w:val="16"/>
              </w:rPr>
            </w:pPr>
            <w:r>
              <w:rPr>
                <w:rFonts w:ascii="Arial" w:hAnsi="Arial" w:cs="Arial"/>
                <w:sz w:val="16"/>
                <w:szCs w:val="16"/>
              </w:rPr>
              <w:t>Copper</w:t>
            </w:r>
          </w:p>
        </w:tc>
        <w:tc>
          <w:tcPr>
            <w:tcW w:w="850" w:type="dxa"/>
            <w:shd w:val="clear" w:color="auto" w:fill="auto"/>
            <w:vAlign w:val="center"/>
          </w:tcPr>
          <w:p w14:paraId="1D91A8CF" w14:textId="77777777" w:rsidR="00177AB0" w:rsidRPr="004901F2" w:rsidRDefault="00177AB0" w:rsidP="00C21F75">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7805DB32" w14:textId="77777777" w:rsidR="00177AB0" w:rsidRPr="004901F2" w:rsidRDefault="00177AB0" w:rsidP="00C21F75">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13B710BE" w14:textId="77777777" w:rsidR="00177AB0" w:rsidRPr="004901F2" w:rsidRDefault="00177AB0" w:rsidP="00C21F75">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992" w:type="dxa"/>
            <w:shd w:val="clear" w:color="auto" w:fill="auto"/>
            <w:vAlign w:val="center"/>
          </w:tcPr>
          <w:p w14:paraId="7109FAFF" w14:textId="77777777" w:rsidR="00177AB0" w:rsidRPr="004901F2" w:rsidRDefault="00177AB0" w:rsidP="00C21F75">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26EF0EC3" w14:textId="77777777" w:rsidR="00177AB0" w:rsidRPr="004901F2" w:rsidRDefault="00177AB0" w:rsidP="00C21F75">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1099" w:type="dxa"/>
            <w:shd w:val="clear" w:color="auto" w:fill="auto"/>
            <w:vAlign w:val="center"/>
          </w:tcPr>
          <w:p w14:paraId="3C1607B6" w14:textId="77777777" w:rsidR="00177AB0" w:rsidRPr="004901F2" w:rsidRDefault="00177AB0" w:rsidP="00C21F75">
            <w:pPr>
              <w:spacing w:before="40" w:after="40" w:line="300" w:lineRule="atLeast"/>
              <w:jc w:val="center"/>
              <w:rPr>
                <w:rFonts w:ascii="Arial" w:hAnsi="Arial" w:cs="Arial"/>
                <w:sz w:val="16"/>
                <w:szCs w:val="16"/>
              </w:rPr>
            </w:pPr>
            <w:r w:rsidRPr="004901F2">
              <w:rPr>
                <w:rFonts w:ascii="Arial" w:hAnsi="Arial" w:cs="Arial"/>
                <w:sz w:val="16"/>
                <w:szCs w:val="16"/>
              </w:rPr>
              <w:t>PS</w:t>
            </w:r>
          </w:p>
        </w:tc>
      </w:tr>
      <w:tr w:rsidR="00177AB0" w:rsidRPr="004901F2" w14:paraId="40A7D83D" w14:textId="77777777" w:rsidTr="00C21F75">
        <w:tc>
          <w:tcPr>
            <w:tcW w:w="851" w:type="dxa"/>
            <w:shd w:val="clear" w:color="auto" w:fill="auto"/>
            <w:vAlign w:val="center"/>
          </w:tcPr>
          <w:p w14:paraId="160EF39A" w14:textId="77777777" w:rsidR="00177AB0" w:rsidRPr="004901F2" w:rsidRDefault="00177AB0" w:rsidP="00C21F75">
            <w:pPr>
              <w:spacing w:before="40" w:after="40" w:line="300" w:lineRule="atLeast"/>
              <w:rPr>
                <w:rFonts w:ascii="Arial" w:hAnsi="Arial" w:cs="Arial"/>
                <w:sz w:val="16"/>
                <w:szCs w:val="16"/>
              </w:rPr>
            </w:pPr>
            <w:r>
              <w:rPr>
                <w:rFonts w:ascii="Arial" w:hAnsi="Arial" w:cs="Arial"/>
                <w:sz w:val="16"/>
                <w:szCs w:val="16"/>
              </w:rPr>
              <w:t>5.2</w:t>
            </w:r>
            <w:r w:rsidRPr="004901F2">
              <w:rPr>
                <w:rFonts w:ascii="Arial" w:hAnsi="Arial" w:cs="Arial"/>
                <w:sz w:val="16"/>
                <w:szCs w:val="16"/>
              </w:rPr>
              <w:t>.5</w:t>
            </w:r>
          </w:p>
        </w:tc>
        <w:tc>
          <w:tcPr>
            <w:tcW w:w="2693" w:type="dxa"/>
            <w:shd w:val="clear" w:color="auto" w:fill="auto"/>
            <w:vAlign w:val="center"/>
          </w:tcPr>
          <w:p w14:paraId="56A41DC8" w14:textId="77777777" w:rsidR="00177AB0" w:rsidRPr="004901F2" w:rsidRDefault="00177AB0" w:rsidP="00C21F75">
            <w:pPr>
              <w:spacing w:line="300" w:lineRule="atLeast"/>
              <w:rPr>
                <w:rFonts w:ascii="Arial" w:hAnsi="Arial" w:cs="Arial"/>
                <w:sz w:val="16"/>
                <w:szCs w:val="16"/>
              </w:rPr>
            </w:pPr>
            <w:r>
              <w:rPr>
                <w:rFonts w:ascii="Arial" w:hAnsi="Arial" w:cs="Arial"/>
                <w:sz w:val="16"/>
                <w:szCs w:val="16"/>
              </w:rPr>
              <w:t>Lead</w:t>
            </w:r>
          </w:p>
        </w:tc>
        <w:tc>
          <w:tcPr>
            <w:tcW w:w="850" w:type="dxa"/>
            <w:shd w:val="clear" w:color="auto" w:fill="auto"/>
            <w:vAlign w:val="center"/>
          </w:tcPr>
          <w:p w14:paraId="71175C64" w14:textId="77777777" w:rsidR="00177AB0" w:rsidRPr="004901F2" w:rsidRDefault="00177AB0" w:rsidP="00C21F75">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28406742" w14:textId="77777777" w:rsidR="00177AB0" w:rsidRPr="004901F2" w:rsidRDefault="00177AB0" w:rsidP="00C21F75">
            <w:pPr>
              <w:spacing w:before="40" w:after="40" w:line="300" w:lineRule="atLeast"/>
              <w:jc w:val="center"/>
              <w:rPr>
                <w:rFonts w:ascii="Arial" w:hAnsi="Arial" w:cs="Arial"/>
                <w:sz w:val="16"/>
                <w:szCs w:val="16"/>
              </w:rPr>
            </w:pPr>
            <w:r w:rsidRPr="00177AB0">
              <w:rPr>
                <w:rFonts w:ascii="Arial" w:hAnsi="Arial" w:cs="Arial"/>
                <w:b/>
                <w:sz w:val="16"/>
                <w:szCs w:val="16"/>
              </w:rPr>
              <w:t>X</w:t>
            </w:r>
          </w:p>
        </w:tc>
        <w:tc>
          <w:tcPr>
            <w:tcW w:w="851" w:type="dxa"/>
            <w:shd w:val="clear" w:color="auto" w:fill="auto"/>
            <w:vAlign w:val="center"/>
          </w:tcPr>
          <w:p w14:paraId="49C61D6D" w14:textId="77777777" w:rsidR="00177AB0" w:rsidRPr="004901F2" w:rsidRDefault="00177AB0" w:rsidP="00C21F75">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5063BF41" w14:textId="77777777" w:rsidR="00177AB0" w:rsidRPr="004901F2" w:rsidRDefault="00177AB0" w:rsidP="00C21F75">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1DAD0698" w14:textId="77777777" w:rsidR="00177AB0" w:rsidRPr="004901F2" w:rsidRDefault="00177AB0" w:rsidP="00C21F75">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1099" w:type="dxa"/>
            <w:shd w:val="clear" w:color="auto" w:fill="auto"/>
            <w:vAlign w:val="center"/>
          </w:tcPr>
          <w:p w14:paraId="11E2B0DD" w14:textId="77777777" w:rsidR="00177AB0" w:rsidRPr="004901F2" w:rsidRDefault="00177AB0" w:rsidP="00C21F75">
            <w:pPr>
              <w:spacing w:before="40" w:after="40" w:line="300" w:lineRule="atLeast"/>
              <w:jc w:val="center"/>
              <w:rPr>
                <w:rFonts w:ascii="Arial" w:hAnsi="Arial" w:cs="Arial"/>
                <w:sz w:val="16"/>
                <w:szCs w:val="16"/>
              </w:rPr>
            </w:pPr>
            <w:r>
              <w:rPr>
                <w:rFonts w:ascii="Arial" w:hAnsi="Arial" w:cs="Arial"/>
                <w:sz w:val="16"/>
                <w:szCs w:val="16"/>
              </w:rPr>
              <w:t>PS</w:t>
            </w:r>
          </w:p>
        </w:tc>
      </w:tr>
      <w:tr w:rsidR="00177AB0" w:rsidRPr="004901F2" w14:paraId="43EA93F1" w14:textId="77777777" w:rsidTr="00C21F75">
        <w:tc>
          <w:tcPr>
            <w:tcW w:w="851" w:type="dxa"/>
            <w:shd w:val="clear" w:color="auto" w:fill="auto"/>
            <w:vAlign w:val="center"/>
          </w:tcPr>
          <w:p w14:paraId="021F80B8" w14:textId="77777777" w:rsidR="00177AB0" w:rsidRPr="004901F2" w:rsidRDefault="00177AB0" w:rsidP="00C21F75">
            <w:pPr>
              <w:spacing w:before="40" w:after="40" w:line="300" w:lineRule="atLeast"/>
              <w:rPr>
                <w:rFonts w:ascii="Arial" w:hAnsi="Arial" w:cs="Arial"/>
                <w:sz w:val="16"/>
                <w:szCs w:val="16"/>
              </w:rPr>
            </w:pPr>
            <w:r>
              <w:rPr>
                <w:rFonts w:ascii="Arial" w:hAnsi="Arial" w:cs="Arial"/>
                <w:sz w:val="16"/>
                <w:szCs w:val="16"/>
              </w:rPr>
              <w:t>5.2</w:t>
            </w:r>
            <w:r w:rsidRPr="004901F2">
              <w:rPr>
                <w:rFonts w:ascii="Arial" w:hAnsi="Arial" w:cs="Arial"/>
                <w:sz w:val="16"/>
                <w:szCs w:val="16"/>
              </w:rPr>
              <w:t>.6</w:t>
            </w:r>
          </w:p>
        </w:tc>
        <w:tc>
          <w:tcPr>
            <w:tcW w:w="2693" w:type="dxa"/>
            <w:shd w:val="clear" w:color="auto" w:fill="auto"/>
            <w:vAlign w:val="center"/>
          </w:tcPr>
          <w:p w14:paraId="0D99BD2F" w14:textId="77777777" w:rsidR="00177AB0" w:rsidRPr="004901F2" w:rsidRDefault="00177AB0" w:rsidP="00C21F75">
            <w:pPr>
              <w:spacing w:before="40" w:after="40" w:line="300" w:lineRule="atLeast"/>
              <w:rPr>
                <w:rFonts w:ascii="Arial" w:hAnsi="Arial" w:cs="Arial"/>
                <w:sz w:val="16"/>
                <w:szCs w:val="16"/>
              </w:rPr>
            </w:pPr>
            <w:r>
              <w:rPr>
                <w:rFonts w:ascii="Arial" w:hAnsi="Arial" w:cs="Arial"/>
                <w:sz w:val="16"/>
                <w:szCs w:val="16"/>
              </w:rPr>
              <w:t>Gold</w:t>
            </w:r>
            <w:r w:rsidR="00BE37CA">
              <w:rPr>
                <w:rFonts w:ascii="Arial" w:hAnsi="Arial" w:cs="Arial"/>
                <w:sz w:val="16"/>
                <w:szCs w:val="16"/>
              </w:rPr>
              <w:t xml:space="preserve"> and silver</w:t>
            </w:r>
            <w:r>
              <w:rPr>
                <w:rFonts w:ascii="Arial" w:hAnsi="Arial" w:cs="Arial"/>
                <w:sz w:val="16"/>
                <w:szCs w:val="16"/>
              </w:rPr>
              <w:t>, not using mercury</w:t>
            </w:r>
          </w:p>
        </w:tc>
        <w:tc>
          <w:tcPr>
            <w:tcW w:w="850" w:type="dxa"/>
            <w:shd w:val="clear" w:color="auto" w:fill="auto"/>
            <w:vAlign w:val="center"/>
          </w:tcPr>
          <w:p w14:paraId="5DFB593D" w14:textId="77777777" w:rsidR="00177AB0" w:rsidRPr="004901F2" w:rsidRDefault="00177AB0" w:rsidP="00C21F75">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0E9B6D9A" w14:textId="77777777" w:rsidR="00177AB0" w:rsidRPr="004901F2" w:rsidRDefault="00177AB0" w:rsidP="00C21F75">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851" w:type="dxa"/>
            <w:shd w:val="clear" w:color="auto" w:fill="auto"/>
            <w:vAlign w:val="center"/>
          </w:tcPr>
          <w:p w14:paraId="7BC86AC2" w14:textId="77777777" w:rsidR="00177AB0" w:rsidRPr="004901F2" w:rsidRDefault="00177AB0" w:rsidP="00C21F75">
            <w:pPr>
              <w:spacing w:before="40" w:after="40" w:line="300" w:lineRule="atLeast"/>
              <w:jc w:val="center"/>
              <w:rPr>
                <w:rFonts w:ascii="Arial" w:hAnsi="Arial" w:cs="Arial"/>
                <w:sz w:val="16"/>
                <w:szCs w:val="16"/>
              </w:rPr>
            </w:pPr>
            <w:r w:rsidRPr="00177AB0">
              <w:rPr>
                <w:rFonts w:ascii="Arial" w:hAnsi="Arial" w:cs="Arial"/>
                <w:b/>
                <w:sz w:val="16"/>
                <w:szCs w:val="16"/>
              </w:rPr>
              <w:t>X</w:t>
            </w:r>
          </w:p>
        </w:tc>
        <w:tc>
          <w:tcPr>
            <w:tcW w:w="992" w:type="dxa"/>
            <w:shd w:val="clear" w:color="auto" w:fill="auto"/>
            <w:vAlign w:val="center"/>
          </w:tcPr>
          <w:p w14:paraId="52B48F0F" w14:textId="77777777" w:rsidR="00177AB0" w:rsidRPr="004901F2" w:rsidRDefault="00177AB0" w:rsidP="00C21F75">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73E11294" w14:textId="77777777" w:rsidR="00177AB0" w:rsidRPr="004901F2" w:rsidRDefault="00177AB0" w:rsidP="00C21F75">
            <w:pPr>
              <w:spacing w:before="40" w:after="40" w:line="300" w:lineRule="atLeast"/>
              <w:jc w:val="center"/>
              <w:rPr>
                <w:rFonts w:ascii="Arial" w:hAnsi="Arial" w:cs="Arial"/>
                <w:sz w:val="16"/>
                <w:szCs w:val="16"/>
              </w:rPr>
            </w:pPr>
            <w:r w:rsidRPr="00177AB0">
              <w:rPr>
                <w:rFonts w:ascii="Arial" w:hAnsi="Arial" w:cs="Arial"/>
                <w:b/>
                <w:sz w:val="16"/>
                <w:szCs w:val="16"/>
              </w:rPr>
              <w:t>X</w:t>
            </w:r>
          </w:p>
        </w:tc>
        <w:tc>
          <w:tcPr>
            <w:tcW w:w="1099" w:type="dxa"/>
            <w:shd w:val="clear" w:color="auto" w:fill="auto"/>
            <w:vAlign w:val="center"/>
          </w:tcPr>
          <w:p w14:paraId="1C92B9B2" w14:textId="77777777" w:rsidR="00177AB0" w:rsidRPr="004901F2" w:rsidRDefault="00177AB0" w:rsidP="00C21F75">
            <w:pPr>
              <w:spacing w:before="40" w:after="40" w:line="300" w:lineRule="atLeast"/>
              <w:jc w:val="center"/>
              <w:rPr>
                <w:rFonts w:ascii="Arial" w:hAnsi="Arial" w:cs="Arial"/>
                <w:sz w:val="16"/>
                <w:szCs w:val="16"/>
              </w:rPr>
            </w:pPr>
            <w:r>
              <w:rPr>
                <w:rFonts w:ascii="Arial" w:hAnsi="Arial" w:cs="Arial"/>
                <w:sz w:val="16"/>
                <w:szCs w:val="16"/>
              </w:rPr>
              <w:t>PS</w:t>
            </w:r>
          </w:p>
        </w:tc>
      </w:tr>
      <w:tr w:rsidR="00177AB0" w:rsidRPr="004901F2" w14:paraId="184C298A" w14:textId="77777777" w:rsidTr="00C21F75">
        <w:tc>
          <w:tcPr>
            <w:tcW w:w="851" w:type="dxa"/>
            <w:shd w:val="clear" w:color="auto" w:fill="auto"/>
            <w:vAlign w:val="center"/>
          </w:tcPr>
          <w:p w14:paraId="193A59D2" w14:textId="77777777" w:rsidR="00177AB0" w:rsidRPr="004901F2" w:rsidRDefault="00177AB0" w:rsidP="00C21F75">
            <w:pPr>
              <w:spacing w:before="40" w:after="40" w:line="300" w:lineRule="atLeast"/>
              <w:rPr>
                <w:rFonts w:ascii="Arial" w:hAnsi="Arial" w:cs="Arial"/>
                <w:sz w:val="16"/>
                <w:szCs w:val="16"/>
              </w:rPr>
            </w:pPr>
            <w:r>
              <w:rPr>
                <w:rFonts w:ascii="Arial" w:hAnsi="Arial" w:cs="Arial"/>
                <w:sz w:val="16"/>
                <w:szCs w:val="16"/>
              </w:rPr>
              <w:t>5.2</w:t>
            </w:r>
            <w:r w:rsidRPr="004901F2">
              <w:rPr>
                <w:rFonts w:ascii="Arial" w:hAnsi="Arial" w:cs="Arial"/>
                <w:sz w:val="16"/>
                <w:szCs w:val="16"/>
              </w:rPr>
              <w:t>.7</w:t>
            </w:r>
          </w:p>
        </w:tc>
        <w:tc>
          <w:tcPr>
            <w:tcW w:w="2693" w:type="dxa"/>
            <w:shd w:val="clear" w:color="auto" w:fill="auto"/>
            <w:vAlign w:val="center"/>
          </w:tcPr>
          <w:p w14:paraId="6E949BE3" w14:textId="77777777" w:rsidR="00177AB0" w:rsidRPr="004901F2" w:rsidRDefault="00177AB0" w:rsidP="00C21F75">
            <w:pPr>
              <w:spacing w:before="40" w:after="40" w:line="300" w:lineRule="atLeast"/>
              <w:rPr>
                <w:rFonts w:ascii="Arial" w:hAnsi="Arial" w:cs="Arial"/>
                <w:sz w:val="16"/>
                <w:szCs w:val="16"/>
              </w:rPr>
            </w:pPr>
            <w:r>
              <w:rPr>
                <w:rFonts w:ascii="Arial" w:hAnsi="Arial" w:cs="Arial"/>
                <w:sz w:val="16"/>
                <w:szCs w:val="16"/>
              </w:rPr>
              <w:t>Aluminium</w:t>
            </w:r>
          </w:p>
        </w:tc>
        <w:tc>
          <w:tcPr>
            <w:tcW w:w="850" w:type="dxa"/>
            <w:shd w:val="clear" w:color="auto" w:fill="auto"/>
            <w:vAlign w:val="center"/>
          </w:tcPr>
          <w:p w14:paraId="562D420F" w14:textId="77777777" w:rsidR="00177AB0" w:rsidRPr="004901F2" w:rsidRDefault="00177AB0" w:rsidP="00C21F75">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214C1730" w14:textId="77777777" w:rsidR="00177AB0" w:rsidRPr="004901F2" w:rsidRDefault="00177AB0" w:rsidP="00C21F75">
            <w:pPr>
              <w:spacing w:before="40" w:after="40" w:line="300" w:lineRule="atLeast"/>
              <w:jc w:val="center"/>
              <w:rPr>
                <w:rFonts w:ascii="Arial" w:hAnsi="Arial" w:cs="Arial"/>
                <w:sz w:val="16"/>
                <w:szCs w:val="16"/>
              </w:rPr>
            </w:pPr>
          </w:p>
        </w:tc>
        <w:tc>
          <w:tcPr>
            <w:tcW w:w="851" w:type="dxa"/>
            <w:shd w:val="clear" w:color="auto" w:fill="auto"/>
            <w:vAlign w:val="center"/>
          </w:tcPr>
          <w:p w14:paraId="7F2248D4" w14:textId="77777777" w:rsidR="00177AB0" w:rsidRPr="004901F2" w:rsidRDefault="00177AB0" w:rsidP="00C21F75">
            <w:pPr>
              <w:spacing w:before="40" w:after="40" w:line="300" w:lineRule="atLeast"/>
              <w:jc w:val="center"/>
              <w:rPr>
                <w:rFonts w:ascii="Arial" w:hAnsi="Arial" w:cs="Arial"/>
                <w:sz w:val="16"/>
                <w:szCs w:val="16"/>
              </w:rPr>
            </w:pPr>
            <w:r w:rsidRPr="004901F2">
              <w:rPr>
                <w:rFonts w:ascii="Arial" w:hAnsi="Arial" w:cs="Arial"/>
                <w:sz w:val="16"/>
                <w:szCs w:val="16"/>
              </w:rPr>
              <w:t>x</w:t>
            </w:r>
          </w:p>
        </w:tc>
        <w:tc>
          <w:tcPr>
            <w:tcW w:w="992" w:type="dxa"/>
            <w:shd w:val="clear" w:color="auto" w:fill="auto"/>
            <w:vAlign w:val="center"/>
          </w:tcPr>
          <w:p w14:paraId="6150D64A" w14:textId="77777777" w:rsidR="00177AB0" w:rsidRPr="004901F2" w:rsidRDefault="00177AB0" w:rsidP="00C21F75">
            <w:pPr>
              <w:spacing w:before="40" w:after="40" w:line="300" w:lineRule="atLeast"/>
              <w:jc w:val="center"/>
              <w:rPr>
                <w:rFonts w:ascii="Arial" w:hAnsi="Arial" w:cs="Arial"/>
                <w:sz w:val="16"/>
                <w:szCs w:val="16"/>
              </w:rPr>
            </w:pPr>
          </w:p>
        </w:tc>
        <w:tc>
          <w:tcPr>
            <w:tcW w:w="992" w:type="dxa"/>
            <w:shd w:val="clear" w:color="auto" w:fill="auto"/>
            <w:vAlign w:val="center"/>
          </w:tcPr>
          <w:p w14:paraId="7539B6A9" w14:textId="77777777" w:rsidR="00177AB0" w:rsidRPr="004901F2" w:rsidRDefault="00177AB0" w:rsidP="00C21F75">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1099" w:type="dxa"/>
            <w:shd w:val="clear" w:color="auto" w:fill="auto"/>
            <w:vAlign w:val="center"/>
          </w:tcPr>
          <w:p w14:paraId="4221732C" w14:textId="77777777" w:rsidR="00177AB0" w:rsidRPr="004901F2" w:rsidRDefault="00177AB0" w:rsidP="00C21F75">
            <w:pPr>
              <w:spacing w:before="40" w:after="40" w:line="300" w:lineRule="atLeast"/>
              <w:jc w:val="center"/>
              <w:rPr>
                <w:rFonts w:ascii="Arial" w:hAnsi="Arial" w:cs="Arial"/>
                <w:sz w:val="16"/>
                <w:szCs w:val="16"/>
              </w:rPr>
            </w:pPr>
            <w:r w:rsidRPr="004901F2">
              <w:rPr>
                <w:rFonts w:ascii="Arial" w:hAnsi="Arial" w:cs="Arial"/>
                <w:sz w:val="16"/>
                <w:szCs w:val="16"/>
              </w:rPr>
              <w:t>PS</w:t>
            </w:r>
          </w:p>
        </w:tc>
      </w:tr>
      <w:tr w:rsidR="00177AB0" w:rsidRPr="004901F2" w14:paraId="4ADE4217" w14:textId="77777777" w:rsidTr="00C21F75">
        <w:tc>
          <w:tcPr>
            <w:tcW w:w="851" w:type="dxa"/>
            <w:shd w:val="clear" w:color="auto" w:fill="auto"/>
            <w:vAlign w:val="center"/>
          </w:tcPr>
          <w:p w14:paraId="3CE262B5" w14:textId="77777777" w:rsidR="00177AB0" w:rsidRDefault="00177AB0" w:rsidP="00C21F75">
            <w:pPr>
              <w:spacing w:before="40" w:after="40" w:line="300" w:lineRule="atLeast"/>
              <w:rPr>
                <w:rFonts w:ascii="Arial" w:hAnsi="Arial" w:cs="Arial"/>
                <w:sz w:val="16"/>
                <w:szCs w:val="16"/>
              </w:rPr>
            </w:pPr>
            <w:r>
              <w:rPr>
                <w:rFonts w:ascii="Arial" w:hAnsi="Arial" w:cs="Arial"/>
                <w:sz w:val="16"/>
                <w:szCs w:val="16"/>
              </w:rPr>
              <w:t>5.2.8</w:t>
            </w:r>
          </w:p>
        </w:tc>
        <w:tc>
          <w:tcPr>
            <w:tcW w:w="2693" w:type="dxa"/>
            <w:shd w:val="clear" w:color="auto" w:fill="auto"/>
            <w:vAlign w:val="center"/>
          </w:tcPr>
          <w:p w14:paraId="53F18FD8" w14:textId="77777777" w:rsidR="00177AB0" w:rsidRPr="004901F2" w:rsidRDefault="00177AB0" w:rsidP="00C21F75">
            <w:pPr>
              <w:spacing w:before="40" w:after="40" w:line="300" w:lineRule="atLeast"/>
              <w:rPr>
                <w:rFonts w:ascii="Arial" w:hAnsi="Arial" w:cs="Arial"/>
                <w:sz w:val="16"/>
                <w:szCs w:val="16"/>
              </w:rPr>
            </w:pPr>
            <w:r>
              <w:rPr>
                <w:rFonts w:ascii="Arial" w:hAnsi="Arial" w:cs="Arial"/>
                <w:sz w:val="16"/>
                <w:szCs w:val="16"/>
              </w:rPr>
              <w:t>Other non-ferrous metals</w:t>
            </w:r>
          </w:p>
        </w:tc>
        <w:tc>
          <w:tcPr>
            <w:tcW w:w="850" w:type="dxa"/>
            <w:shd w:val="clear" w:color="auto" w:fill="auto"/>
            <w:vAlign w:val="center"/>
          </w:tcPr>
          <w:p w14:paraId="7528465B" w14:textId="77777777" w:rsidR="00177AB0" w:rsidRPr="004901F2" w:rsidRDefault="00177AB0" w:rsidP="00C21F75">
            <w:pPr>
              <w:spacing w:before="40" w:after="40" w:line="300" w:lineRule="atLeast"/>
              <w:jc w:val="center"/>
              <w:rPr>
                <w:rFonts w:ascii="Arial" w:hAnsi="Arial" w:cs="Arial"/>
                <w:b/>
                <w:sz w:val="16"/>
                <w:szCs w:val="16"/>
              </w:rPr>
            </w:pPr>
            <w:r w:rsidRPr="00177AB0">
              <w:rPr>
                <w:rFonts w:ascii="Arial" w:hAnsi="Arial" w:cs="Arial"/>
                <w:b/>
                <w:sz w:val="16"/>
                <w:szCs w:val="16"/>
              </w:rPr>
              <w:t>X</w:t>
            </w:r>
          </w:p>
        </w:tc>
        <w:tc>
          <w:tcPr>
            <w:tcW w:w="851" w:type="dxa"/>
            <w:shd w:val="clear" w:color="auto" w:fill="auto"/>
            <w:vAlign w:val="center"/>
          </w:tcPr>
          <w:p w14:paraId="251FF8B0" w14:textId="77777777" w:rsidR="00177AB0" w:rsidRPr="004901F2" w:rsidRDefault="00177AB0" w:rsidP="00C21F75">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851" w:type="dxa"/>
            <w:shd w:val="clear" w:color="auto" w:fill="auto"/>
            <w:vAlign w:val="center"/>
          </w:tcPr>
          <w:p w14:paraId="56943381" w14:textId="77777777" w:rsidR="00177AB0" w:rsidRPr="004901F2" w:rsidRDefault="00177AB0" w:rsidP="00C21F75">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0E88C537" w14:textId="77777777" w:rsidR="00177AB0" w:rsidRPr="004901F2" w:rsidRDefault="00177AB0" w:rsidP="00C21F75">
            <w:pPr>
              <w:spacing w:before="40" w:after="40" w:line="300" w:lineRule="atLeast"/>
              <w:jc w:val="center"/>
              <w:rPr>
                <w:rFonts w:ascii="Arial" w:hAnsi="Arial" w:cs="Arial"/>
                <w:sz w:val="16"/>
                <w:szCs w:val="16"/>
              </w:rPr>
            </w:pPr>
          </w:p>
        </w:tc>
        <w:tc>
          <w:tcPr>
            <w:tcW w:w="992" w:type="dxa"/>
            <w:shd w:val="clear" w:color="auto" w:fill="auto"/>
            <w:vAlign w:val="center"/>
          </w:tcPr>
          <w:p w14:paraId="3002914B" w14:textId="77777777" w:rsidR="00177AB0" w:rsidRPr="004901F2" w:rsidRDefault="00177AB0" w:rsidP="00C21F75">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1099" w:type="dxa"/>
            <w:shd w:val="clear" w:color="auto" w:fill="auto"/>
            <w:vAlign w:val="center"/>
          </w:tcPr>
          <w:p w14:paraId="6D8CBA91" w14:textId="77777777" w:rsidR="00177AB0" w:rsidRPr="004901F2" w:rsidRDefault="00177AB0" w:rsidP="00C21F75">
            <w:pPr>
              <w:spacing w:before="40" w:after="40" w:line="300" w:lineRule="atLeast"/>
              <w:jc w:val="center"/>
              <w:rPr>
                <w:rFonts w:ascii="Arial" w:hAnsi="Arial" w:cs="Arial"/>
                <w:sz w:val="16"/>
                <w:szCs w:val="16"/>
              </w:rPr>
            </w:pPr>
            <w:r>
              <w:rPr>
                <w:rFonts w:ascii="Arial" w:hAnsi="Arial" w:cs="Arial"/>
                <w:sz w:val="16"/>
                <w:szCs w:val="16"/>
              </w:rPr>
              <w:t>PS</w:t>
            </w:r>
          </w:p>
        </w:tc>
      </w:tr>
      <w:tr w:rsidR="00177AB0" w:rsidRPr="004901F2" w14:paraId="057B7228" w14:textId="77777777" w:rsidTr="00C21F75">
        <w:tc>
          <w:tcPr>
            <w:tcW w:w="851" w:type="dxa"/>
            <w:shd w:val="clear" w:color="auto" w:fill="auto"/>
            <w:vAlign w:val="center"/>
          </w:tcPr>
          <w:p w14:paraId="4B9A381C" w14:textId="77777777" w:rsidR="00177AB0" w:rsidRDefault="00177AB0" w:rsidP="00C21F75">
            <w:pPr>
              <w:spacing w:before="40" w:after="40" w:line="300" w:lineRule="atLeast"/>
              <w:rPr>
                <w:rFonts w:ascii="Arial" w:hAnsi="Arial" w:cs="Arial"/>
                <w:sz w:val="16"/>
                <w:szCs w:val="16"/>
              </w:rPr>
            </w:pPr>
            <w:r>
              <w:rPr>
                <w:rFonts w:ascii="Arial" w:hAnsi="Arial" w:cs="Arial"/>
                <w:sz w:val="16"/>
                <w:szCs w:val="16"/>
              </w:rPr>
              <w:t>5.2.9</w:t>
            </w:r>
          </w:p>
        </w:tc>
        <w:tc>
          <w:tcPr>
            <w:tcW w:w="2693" w:type="dxa"/>
            <w:shd w:val="clear" w:color="auto" w:fill="auto"/>
            <w:vAlign w:val="center"/>
          </w:tcPr>
          <w:p w14:paraId="76675625" w14:textId="77777777" w:rsidR="00177AB0" w:rsidRPr="004901F2" w:rsidRDefault="00177AB0" w:rsidP="00C21F75">
            <w:pPr>
              <w:spacing w:before="40" w:after="40" w:line="300" w:lineRule="atLeast"/>
              <w:rPr>
                <w:rFonts w:ascii="Arial" w:hAnsi="Arial" w:cs="Arial"/>
                <w:sz w:val="16"/>
                <w:szCs w:val="16"/>
              </w:rPr>
            </w:pPr>
            <w:r>
              <w:rPr>
                <w:rFonts w:ascii="Arial" w:hAnsi="Arial" w:cs="Arial"/>
                <w:sz w:val="16"/>
                <w:szCs w:val="16"/>
              </w:rPr>
              <w:t>Ferrous metals (iron &amp; steel)</w:t>
            </w:r>
          </w:p>
        </w:tc>
        <w:tc>
          <w:tcPr>
            <w:tcW w:w="850" w:type="dxa"/>
            <w:shd w:val="clear" w:color="auto" w:fill="auto"/>
            <w:vAlign w:val="center"/>
          </w:tcPr>
          <w:p w14:paraId="7560D0AF" w14:textId="77777777" w:rsidR="00177AB0" w:rsidRPr="004901F2" w:rsidRDefault="00177AB0" w:rsidP="00C21F75">
            <w:pPr>
              <w:spacing w:before="40" w:after="40" w:line="300" w:lineRule="atLeast"/>
              <w:jc w:val="center"/>
              <w:rPr>
                <w:rFonts w:ascii="Arial" w:hAnsi="Arial" w:cs="Arial"/>
                <w:b/>
                <w:sz w:val="16"/>
                <w:szCs w:val="16"/>
              </w:rPr>
            </w:pPr>
            <w:r w:rsidRPr="00177AB0">
              <w:rPr>
                <w:rFonts w:ascii="Arial" w:hAnsi="Arial" w:cs="Arial"/>
                <w:b/>
                <w:sz w:val="16"/>
                <w:szCs w:val="16"/>
              </w:rPr>
              <w:t>X</w:t>
            </w:r>
          </w:p>
        </w:tc>
        <w:tc>
          <w:tcPr>
            <w:tcW w:w="851" w:type="dxa"/>
            <w:shd w:val="clear" w:color="auto" w:fill="auto"/>
            <w:vAlign w:val="center"/>
          </w:tcPr>
          <w:p w14:paraId="1E32C489" w14:textId="77777777" w:rsidR="00177AB0" w:rsidRPr="004901F2" w:rsidRDefault="00177AB0" w:rsidP="00C21F75">
            <w:pPr>
              <w:spacing w:before="40" w:after="40" w:line="300" w:lineRule="atLeast"/>
              <w:jc w:val="center"/>
              <w:rPr>
                <w:rFonts w:ascii="Arial" w:hAnsi="Arial" w:cs="Arial"/>
                <w:sz w:val="16"/>
                <w:szCs w:val="16"/>
              </w:rPr>
            </w:pPr>
          </w:p>
        </w:tc>
        <w:tc>
          <w:tcPr>
            <w:tcW w:w="851" w:type="dxa"/>
            <w:shd w:val="clear" w:color="auto" w:fill="auto"/>
            <w:vAlign w:val="center"/>
          </w:tcPr>
          <w:p w14:paraId="1CAA7218" w14:textId="77777777" w:rsidR="00177AB0" w:rsidRPr="004901F2" w:rsidRDefault="00177AB0" w:rsidP="00C21F75">
            <w:pPr>
              <w:spacing w:before="40" w:after="40" w:line="300" w:lineRule="atLeast"/>
              <w:jc w:val="center"/>
              <w:rPr>
                <w:rFonts w:ascii="Arial" w:hAnsi="Arial" w:cs="Arial"/>
                <w:sz w:val="16"/>
                <w:szCs w:val="16"/>
              </w:rPr>
            </w:pPr>
          </w:p>
        </w:tc>
        <w:tc>
          <w:tcPr>
            <w:tcW w:w="992" w:type="dxa"/>
            <w:shd w:val="clear" w:color="auto" w:fill="auto"/>
            <w:vAlign w:val="center"/>
          </w:tcPr>
          <w:p w14:paraId="51E7D0A5" w14:textId="77777777" w:rsidR="00177AB0" w:rsidRPr="004901F2" w:rsidRDefault="00177AB0" w:rsidP="00C21F75">
            <w:pPr>
              <w:spacing w:before="40" w:after="40" w:line="300" w:lineRule="atLeast"/>
              <w:jc w:val="center"/>
              <w:rPr>
                <w:rFonts w:ascii="Arial" w:hAnsi="Arial" w:cs="Arial"/>
                <w:sz w:val="16"/>
                <w:szCs w:val="16"/>
              </w:rPr>
            </w:pPr>
          </w:p>
        </w:tc>
        <w:tc>
          <w:tcPr>
            <w:tcW w:w="992" w:type="dxa"/>
            <w:shd w:val="clear" w:color="auto" w:fill="auto"/>
            <w:vAlign w:val="center"/>
          </w:tcPr>
          <w:p w14:paraId="453C202F" w14:textId="77777777" w:rsidR="00177AB0" w:rsidRPr="004901F2" w:rsidRDefault="00177AB0" w:rsidP="00C21F75">
            <w:pPr>
              <w:spacing w:before="40" w:after="40" w:line="300" w:lineRule="atLeast"/>
              <w:jc w:val="center"/>
              <w:rPr>
                <w:rFonts w:ascii="Arial" w:hAnsi="Arial" w:cs="Arial"/>
                <w:sz w:val="16"/>
                <w:szCs w:val="16"/>
              </w:rPr>
            </w:pPr>
            <w:r w:rsidRPr="004901F2">
              <w:rPr>
                <w:rFonts w:ascii="Arial" w:hAnsi="Arial" w:cs="Arial"/>
                <w:sz w:val="16"/>
                <w:szCs w:val="16"/>
              </w:rPr>
              <w:t>x</w:t>
            </w:r>
          </w:p>
        </w:tc>
        <w:tc>
          <w:tcPr>
            <w:tcW w:w="1099" w:type="dxa"/>
            <w:shd w:val="clear" w:color="auto" w:fill="auto"/>
            <w:vAlign w:val="center"/>
          </w:tcPr>
          <w:p w14:paraId="2EAB878A" w14:textId="77777777" w:rsidR="00177AB0" w:rsidRPr="004901F2" w:rsidRDefault="00177AB0" w:rsidP="00C21F75">
            <w:pPr>
              <w:spacing w:before="40" w:after="40" w:line="300" w:lineRule="atLeast"/>
              <w:jc w:val="center"/>
              <w:rPr>
                <w:rFonts w:ascii="Arial" w:hAnsi="Arial" w:cs="Arial"/>
                <w:sz w:val="16"/>
                <w:szCs w:val="16"/>
              </w:rPr>
            </w:pPr>
            <w:r>
              <w:rPr>
                <w:rFonts w:ascii="Arial" w:hAnsi="Arial" w:cs="Arial"/>
                <w:sz w:val="16"/>
                <w:szCs w:val="16"/>
              </w:rPr>
              <w:t>PS</w:t>
            </w:r>
          </w:p>
        </w:tc>
      </w:tr>
    </w:tbl>
    <w:p w14:paraId="6BD724C5" w14:textId="77777777" w:rsidR="00177AB0" w:rsidRPr="00582EF2" w:rsidRDefault="00177AB0" w:rsidP="00177AB0">
      <w:pPr>
        <w:spacing w:before="60" w:after="60" w:line="260" w:lineRule="exact"/>
        <w:jc w:val="both"/>
        <w:rPr>
          <w:rFonts w:ascii="Arial" w:hAnsi="Arial" w:cs="Arial"/>
          <w:sz w:val="16"/>
          <w:szCs w:val="18"/>
        </w:rPr>
      </w:pPr>
      <w:r w:rsidRPr="00582EF2">
        <w:rPr>
          <w:rFonts w:ascii="Arial" w:hAnsi="Arial" w:cs="Arial"/>
          <w:sz w:val="16"/>
          <w:szCs w:val="18"/>
        </w:rPr>
        <w:t xml:space="preserve">Notes: </w:t>
      </w:r>
      <w:r w:rsidRPr="00582EF2">
        <w:rPr>
          <w:rFonts w:ascii="Arial" w:hAnsi="Arial" w:cs="Arial"/>
          <w:sz w:val="16"/>
          <w:szCs w:val="18"/>
        </w:rPr>
        <w:tab/>
        <w:t>PS = Point source by point source approach; OW = National/overview approach;</w:t>
      </w:r>
    </w:p>
    <w:p w14:paraId="37AA9B45" w14:textId="77777777" w:rsidR="00177AB0" w:rsidRPr="00582EF2" w:rsidRDefault="00177AB0" w:rsidP="00177AB0">
      <w:pPr>
        <w:spacing w:after="60" w:line="260" w:lineRule="exact"/>
        <w:ind w:firstLine="720"/>
        <w:jc w:val="both"/>
        <w:rPr>
          <w:rFonts w:ascii="Arial" w:hAnsi="Arial" w:cs="Arial"/>
          <w:sz w:val="16"/>
          <w:szCs w:val="18"/>
        </w:rPr>
      </w:pPr>
      <w:r w:rsidRPr="00582EF2">
        <w:rPr>
          <w:rFonts w:ascii="Arial" w:hAnsi="Arial" w:cs="Arial"/>
          <w:b/>
          <w:sz w:val="16"/>
          <w:szCs w:val="18"/>
        </w:rPr>
        <w:t>X</w:t>
      </w:r>
      <w:r w:rsidRPr="00582EF2">
        <w:rPr>
          <w:rFonts w:ascii="Arial" w:hAnsi="Arial" w:cs="Arial"/>
          <w:sz w:val="16"/>
          <w:szCs w:val="18"/>
        </w:rPr>
        <w:t xml:space="preserve"> - Release pathway expected to be predominant for the sub-category;</w:t>
      </w:r>
    </w:p>
    <w:p w14:paraId="271369BA" w14:textId="77777777" w:rsidR="00177AB0" w:rsidRPr="00582EF2" w:rsidRDefault="00177AB0" w:rsidP="00177AB0">
      <w:pPr>
        <w:spacing w:after="60" w:line="260" w:lineRule="exact"/>
        <w:ind w:firstLine="720"/>
        <w:jc w:val="both"/>
        <w:rPr>
          <w:rFonts w:ascii="Arial" w:hAnsi="Arial" w:cs="Arial"/>
          <w:sz w:val="16"/>
          <w:szCs w:val="18"/>
        </w:rPr>
      </w:pPr>
      <w:r w:rsidRPr="00582EF2">
        <w:rPr>
          <w:rFonts w:ascii="Arial" w:hAnsi="Arial" w:cs="Arial"/>
          <w:sz w:val="16"/>
          <w:szCs w:val="18"/>
        </w:rPr>
        <w:t>x - Additional release pathways to be considered, depending on specific source and national situation.</w:t>
      </w:r>
    </w:p>
    <w:p w14:paraId="2ECBDF3C" w14:textId="77777777" w:rsidR="008F394F" w:rsidRDefault="008F394F" w:rsidP="008F394F">
      <w:pPr>
        <w:pStyle w:val="Heading2"/>
      </w:pPr>
      <w:bookmarkStart w:id="51" w:name="_Toc484949575"/>
      <w:r>
        <w:t>Primary metals not produced in New Zealand</w:t>
      </w:r>
      <w:bookmarkEnd w:id="51"/>
    </w:p>
    <w:p w14:paraId="5E3FD264" w14:textId="77777777" w:rsidR="00177AB0" w:rsidRPr="003833D6" w:rsidRDefault="00CC2FB4" w:rsidP="00177AB0">
      <w:pPr>
        <w:spacing w:line="300" w:lineRule="atLeast"/>
        <w:jc w:val="both"/>
        <w:rPr>
          <w:szCs w:val="18"/>
        </w:rPr>
      </w:pPr>
      <w:r>
        <w:rPr>
          <w:szCs w:val="18"/>
        </w:rPr>
        <w:t xml:space="preserve">There is no </w:t>
      </w:r>
      <w:r w:rsidR="008F394F">
        <w:rPr>
          <w:szCs w:val="18"/>
        </w:rPr>
        <w:t xml:space="preserve">significant </w:t>
      </w:r>
      <w:r>
        <w:rPr>
          <w:szCs w:val="18"/>
        </w:rPr>
        <w:t xml:space="preserve">primary metal production in New Zealand for </w:t>
      </w:r>
      <w:r w:rsidR="008F394F">
        <w:rPr>
          <w:szCs w:val="18"/>
        </w:rPr>
        <w:t>the following Toolkit</w:t>
      </w:r>
      <w:r w:rsidR="003F286B">
        <w:rPr>
          <w:szCs w:val="18"/>
        </w:rPr>
        <w:t xml:space="preserve"> sub-categories</w:t>
      </w:r>
      <w:r w:rsidR="008F394F">
        <w:rPr>
          <w:szCs w:val="18"/>
        </w:rPr>
        <w:t>: mercury, zinc, copper, lead and other non-ferrous metals</w:t>
      </w:r>
      <w:r>
        <w:rPr>
          <w:szCs w:val="18"/>
        </w:rPr>
        <w:t>.</w:t>
      </w:r>
    </w:p>
    <w:p w14:paraId="51773F1D" w14:textId="779BEBCD" w:rsidR="00460A55" w:rsidRPr="00006140" w:rsidRDefault="00BE37CA" w:rsidP="00BE37CA">
      <w:pPr>
        <w:pStyle w:val="Heading2"/>
      </w:pPr>
      <w:bookmarkStart w:id="52" w:name="_Toc484949576"/>
      <w:r w:rsidRPr="00006140">
        <w:t>Gold and silver, using mercury amalgamation</w:t>
      </w:r>
      <w:bookmarkEnd w:id="52"/>
    </w:p>
    <w:p w14:paraId="66BD0DE1" w14:textId="512B97BE" w:rsidR="00BE37CA" w:rsidRPr="00006140" w:rsidRDefault="00971764" w:rsidP="003833D6">
      <w:pPr>
        <w:spacing w:line="300" w:lineRule="atLeast"/>
        <w:jc w:val="both"/>
        <w:rPr>
          <w:szCs w:val="18"/>
        </w:rPr>
      </w:pPr>
      <w:r w:rsidRPr="00006140">
        <w:rPr>
          <w:szCs w:val="18"/>
        </w:rPr>
        <w:t>The use of mercury amalgamation is a traditional method for recovering gold and silver from ore and it is still practised in many countries, including New Zealand, for small-scale gold mining (</w:t>
      </w:r>
      <w:r w:rsidR="00C738EC" w:rsidRPr="00006140">
        <w:rPr>
          <w:szCs w:val="18"/>
        </w:rPr>
        <w:t>UNEP, 2017</w:t>
      </w:r>
      <w:r w:rsidRPr="00006140">
        <w:rPr>
          <w:szCs w:val="18"/>
        </w:rPr>
        <w:t xml:space="preserve">). </w:t>
      </w:r>
      <w:r w:rsidR="0096338D" w:rsidRPr="00006140">
        <w:rPr>
          <w:szCs w:val="18"/>
        </w:rPr>
        <w:t xml:space="preserve">Amalgamation was replaced at an industrial scale in the early 1900s by a cyanide extraction process. However, the cyanide process is relatively expensive </w:t>
      </w:r>
      <w:r w:rsidR="00A03E90" w:rsidRPr="00006140">
        <w:rPr>
          <w:szCs w:val="18"/>
        </w:rPr>
        <w:t>and labour intensive</w:t>
      </w:r>
      <w:r w:rsidR="000A52CF" w:rsidRPr="00006140">
        <w:rPr>
          <w:szCs w:val="18"/>
        </w:rPr>
        <w:t>,</w:t>
      </w:r>
      <w:r w:rsidR="00A03E90" w:rsidRPr="00006140">
        <w:rPr>
          <w:szCs w:val="18"/>
        </w:rPr>
        <w:t xml:space="preserve"> </w:t>
      </w:r>
      <w:r w:rsidR="0096338D" w:rsidRPr="00006140">
        <w:rPr>
          <w:szCs w:val="18"/>
        </w:rPr>
        <w:t xml:space="preserve">and not without its own potential hazards, so mercury amalgamation remains the method of choice for </w:t>
      </w:r>
      <w:r w:rsidR="000A52CF" w:rsidRPr="00006140">
        <w:rPr>
          <w:szCs w:val="18"/>
        </w:rPr>
        <w:t>small-scale operations, which are referred to in</w:t>
      </w:r>
      <w:r w:rsidR="0096338D" w:rsidRPr="00006140">
        <w:rPr>
          <w:szCs w:val="18"/>
        </w:rPr>
        <w:t xml:space="preserve"> </w:t>
      </w:r>
      <w:r w:rsidR="000A52CF" w:rsidRPr="00006140">
        <w:rPr>
          <w:szCs w:val="18"/>
        </w:rPr>
        <w:t xml:space="preserve">the Toolkit as </w:t>
      </w:r>
      <w:r w:rsidR="0096338D" w:rsidRPr="00006140">
        <w:rPr>
          <w:szCs w:val="18"/>
        </w:rPr>
        <w:t>artisanal gold mining.</w:t>
      </w:r>
    </w:p>
    <w:p w14:paraId="7DCA627A" w14:textId="09E44CA9" w:rsidR="00D9508D" w:rsidRPr="00006140" w:rsidRDefault="00A03E90" w:rsidP="003833D6">
      <w:pPr>
        <w:spacing w:line="300" w:lineRule="atLeast"/>
        <w:jc w:val="both"/>
        <w:rPr>
          <w:szCs w:val="18"/>
        </w:rPr>
      </w:pPr>
      <w:r w:rsidRPr="00006140">
        <w:rPr>
          <w:szCs w:val="18"/>
        </w:rPr>
        <w:t>A New Zealand study published in 2008 indicated that mercury amalgamation was still being used by small-scale gold miners on the West Coast in 2007</w:t>
      </w:r>
      <w:r w:rsidR="00DF16F4">
        <w:rPr>
          <w:szCs w:val="18"/>
        </w:rPr>
        <w:t xml:space="preserve"> </w:t>
      </w:r>
      <w:r w:rsidR="00006140" w:rsidRPr="00006140">
        <w:rPr>
          <w:szCs w:val="18"/>
        </w:rPr>
        <w:t>(</w:t>
      </w:r>
      <w:proofErr w:type="spellStart"/>
      <w:r w:rsidR="00006140" w:rsidRPr="00006140">
        <w:rPr>
          <w:szCs w:val="18"/>
        </w:rPr>
        <w:t>Newcombe</w:t>
      </w:r>
      <w:proofErr w:type="spellEnd"/>
      <w:r w:rsidR="00006140" w:rsidRPr="00006140">
        <w:rPr>
          <w:szCs w:val="18"/>
        </w:rPr>
        <w:t>, 2008)</w:t>
      </w:r>
      <w:r w:rsidRPr="00006140">
        <w:rPr>
          <w:szCs w:val="18"/>
        </w:rPr>
        <w:t xml:space="preserve">. </w:t>
      </w:r>
      <w:r w:rsidR="00006140">
        <w:rPr>
          <w:szCs w:val="18"/>
        </w:rPr>
        <w:t>In 2013</w:t>
      </w:r>
      <w:r w:rsidRPr="00006140">
        <w:rPr>
          <w:szCs w:val="18"/>
        </w:rPr>
        <w:t>, the West Coast Regional Council advised</w:t>
      </w:r>
      <w:r w:rsidR="00006140">
        <w:rPr>
          <w:szCs w:val="18"/>
        </w:rPr>
        <w:t xml:space="preserve"> that there we</w:t>
      </w:r>
      <w:r w:rsidR="00F55FAB" w:rsidRPr="00006140">
        <w:rPr>
          <w:szCs w:val="18"/>
        </w:rPr>
        <w:t xml:space="preserve">re </w:t>
      </w:r>
      <w:r w:rsidR="00CE370F" w:rsidRPr="00006140">
        <w:rPr>
          <w:szCs w:val="18"/>
        </w:rPr>
        <w:t>up to</w:t>
      </w:r>
      <w:r w:rsidR="00F55FAB" w:rsidRPr="00006140">
        <w:rPr>
          <w:szCs w:val="18"/>
        </w:rPr>
        <w:t xml:space="preserve"> 70 sites i</w:t>
      </w:r>
      <w:r w:rsidRPr="00006140">
        <w:rPr>
          <w:szCs w:val="18"/>
        </w:rPr>
        <w:t xml:space="preserve">n the </w:t>
      </w:r>
      <w:r w:rsidR="00F55FAB" w:rsidRPr="00006140">
        <w:rPr>
          <w:szCs w:val="18"/>
        </w:rPr>
        <w:t>region</w:t>
      </w:r>
      <w:r w:rsidRPr="00006140">
        <w:rPr>
          <w:szCs w:val="18"/>
        </w:rPr>
        <w:t xml:space="preserve"> where mercury </w:t>
      </w:r>
      <w:r w:rsidR="00006140">
        <w:rPr>
          <w:szCs w:val="18"/>
        </w:rPr>
        <w:t>may be</w:t>
      </w:r>
      <w:r w:rsidRPr="00006140">
        <w:rPr>
          <w:szCs w:val="18"/>
        </w:rPr>
        <w:t xml:space="preserve"> used for gold recovery</w:t>
      </w:r>
      <w:r w:rsidR="00DF16F4">
        <w:rPr>
          <w:szCs w:val="18"/>
        </w:rPr>
        <w:t>. However, more specific information on which</w:t>
      </w:r>
      <w:r w:rsidRPr="00006140">
        <w:rPr>
          <w:szCs w:val="18"/>
        </w:rPr>
        <w:t xml:space="preserve"> sites</w:t>
      </w:r>
      <w:r w:rsidR="00DF16F4">
        <w:rPr>
          <w:szCs w:val="18"/>
        </w:rPr>
        <w:t xml:space="preserve"> actually use mercury</w:t>
      </w:r>
      <w:r w:rsidR="00D918F6">
        <w:rPr>
          <w:szCs w:val="18"/>
        </w:rPr>
        <w:t xml:space="preserve"> and</w:t>
      </w:r>
      <w:r w:rsidRPr="00006140">
        <w:rPr>
          <w:szCs w:val="18"/>
        </w:rPr>
        <w:t xml:space="preserve"> the </w:t>
      </w:r>
      <w:r w:rsidR="00AE4F46">
        <w:rPr>
          <w:szCs w:val="18"/>
        </w:rPr>
        <w:t>amount</w:t>
      </w:r>
      <w:r w:rsidRPr="00006140">
        <w:rPr>
          <w:szCs w:val="18"/>
        </w:rPr>
        <w:t xml:space="preserve"> of mercury being used</w:t>
      </w:r>
      <w:r w:rsidR="00DF16F4">
        <w:rPr>
          <w:szCs w:val="18"/>
        </w:rPr>
        <w:t xml:space="preserve"> is not readily available from the council files</w:t>
      </w:r>
      <w:r w:rsidRPr="00006140">
        <w:rPr>
          <w:szCs w:val="18"/>
        </w:rPr>
        <w:t>.</w:t>
      </w:r>
      <w:r w:rsidR="00006140" w:rsidRPr="00006140">
        <w:rPr>
          <w:szCs w:val="18"/>
        </w:rPr>
        <w:t xml:space="preserve"> </w:t>
      </w:r>
      <w:r w:rsidR="00D918F6">
        <w:rPr>
          <w:szCs w:val="18"/>
        </w:rPr>
        <w:t xml:space="preserve">The 2013 estimate </w:t>
      </w:r>
      <w:r w:rsidR="00AE4F46">
        <w:rPr>
          <w:szCs w:val="18"/>
        </w:rPr>
        <w:t xml:space="preserve">of site numbers </w:t>
      </w:r>
      <w:r w:rsidR="00D918F6">
        <w:rPr>
          <w:szCs w:val="18"/>
        </w:rPr>
        <w:t>has not been updated.</w:t>
      </w:r>
    </w:p>
    <w:p w14:paraId="5830D82E" w14:textId="0DCAAA74" w:rsidR="0038126D" w:rsidRPr="00006140" w:rsidRDefault="00006140" w:rsidP="003833D6">
      <w:pPr>
        <w:spacing w:line="300" w:lineRule="atLeast"/>
        <w:jc w:val="both"/>
        <w:rPr>
          <w:szCs w:val="18"/>
        </w:rPr>
      </w:pPr>
      <w:r>
        <w:rPr>
          <w:szCs w:val="18"/>
        </w:rPr>
        <w:t>I</w:t>
      </w:r>
      <w:r w:rsidR="00D9508D" w:rsidRPr="00006140">
        <w:rPr>
          <w:szCs w:val="18"/>
        </w:rPr>
        <w:t xml:space="preserve">nformation obtained from several waste processing companies </w:t>
      </w:r>
      <w:r>
        <w:rPr>
          <w:szCs w:val="18"/>
        </w:rPr>
        <w:t xml:space="preserve">for the 2012 Inventory Report </w:t>
      </w:r>
      <w:r w:rsidR="00D9508D" w:rsidRPr="00006140">
        <w:rPr>
          <w:szCs w:val="18"/>
        </w:rPr>
        <w:t>indicate</w:t>
      </w:r>
      <w:r>
        <w:rPr>
          <w:szCs w:val="18"/>
        </w:rPr>
        <w:t>d</w:t>
      </w:r>
      <w:r w:rsidR="00D9508D" w:rsidRPr="00006140">
        <w:rPr>
          <w:szCs w:val="18"/>
        </w:rPr>
        <w:t xml:space="preserve"> that at least 20kg of liquid mercury was sold to small-scale gold miners </w:t>
      </w:r>
      <w:r w:rsidR="00AF5579" w:rsidRPr="00006140">
        <w:rPr>
          <w:szCs w:val="18"/>
        </w:rPr>
        <w:t xml:space="preserve">in 2012. In the absence of any more </w:t>
      </w:r>
      <w:r>
        <w:rPr>
          <w:szCs w:val="18"/>
        </w:rPr>
        <w:t>recent</w:t>
      </w:r>
      <w:r w:rsidR="00AF5579" w:rsidRPr="00006140">
        <w:rPr>
          <w:szCs w:val="18"/>
        </w:rPr>
        <w:t xml:space="preserve"> data</w:t>
      </w:r>
      <w:r w:rsidR="00CE1F59">
        <w:rPr>
          <w:szCs w:val="18"/>
        </w:rPr>
        <w:t xml:space="preserve"> (see section 9.1</w:t>
      </w:r>
      <w:r>
        <w:rPr>
          <w:szCs w:val="18"/>
        </w:rPr>
        <w:t>)</w:t>
      </w:r>
      <w:proofErr w:type="gramStart"/>
      <w:r w:rsidR="00AF5579" w:rsidRPr="00006140">
        <w:rPr>
          <w:szCs w:val="18"/>
        </w:rPr>
        <w:t>,</w:t>
      </w:r>
      <w:proofErr w:type="gramEnd"/>
      <w:r w:rsidR="00AF5579" w:rsidRPr="00006140">
        <w:rPr>
          <w:szCs w:val="18"/>
        </w:rPr>
        <w:t xml:space="preserve"> this </w:t>
      </w:r>
      <w:r w:rsidR="00A11608" w:rsidRPr="00006140">
        <w:rPr>
          <w:szCs w:val="18"/>
        </w:rPr>
        <w:t>has</w:t>
      </w:r>
      <w:r w:rsidR="00AF5579" w:rsidRPr="00006140">
        <w:rPr>
          <w:szCs w:val="18"/>
        </w:rPr>
        <w:t xml:space="preserve"> be</w:t>
      </w:r>
      <w:r w:rsidR="00A11608" w:rsidRPr="00006140">
        <w:rPr>
          <w:szCs w:val="18"/>
        </w:rPr>
        <w:t>en</w:t>
      </w:r>
      <w:r w:rsidR="00AF5579" w:rsidRPr="00006140">
        <w:rPr>
          <w:szCs w:val="18"/>
        </w:rPr>
        <w:t xml:space="preserve"> taken as a minimum estimate of the total mercury inputs for small-scale gold </w:t>
      </w:r>
      <w:r w:rsidR="00AF5579" w:rsidRPr="00006140">
        <w:rPr>
          <w:szCs w:val="18"/>
        </w:rPr>
        <w:lastRenderedPageBreak/>
        <w:t>mining in New Zealand.</w:t>
      </w:r>
      <w:r w:rsidR="00675730" w:rsidRPr="00006140">
        <w:rPr>
          <w:szCs w:val="18"/>
        </w:rPr>
        <w:t xml:space="preserve"> </w:t>
      </w:r>
      <w:proofErr w:type="spellStart"/>
      <w:r w:rsidR="00675730" w:rsidRPr="00006140">
        <w:rPr>
          <w:szCs w:val="18"/>
        </w:rPr>
        <w:t>Newcombe</w:t>
      </w:r>
      <w:proofErr w:type="spellEnd"/>
      <w:r w:rsidR="00675730" w:rsidRPr="00006140">
        <w:rPr>
          <w:szCs w:val="18"/>
        </w:rPr>
        <w:t xml:space="preserve"> (2008) indicates that most of the mercury is recovered and recycled using simple retort</w:t>
      </w:r>
      <w:r w:rsidR="00ED6A25" w:rsidRPr="00006140">
        <w:rPr>
          <w:szCs w:val="18"/>
        </w:rPr>
        <w:t>s</w:t>
      </w:r>
      <w:r w:rsidR="00675730" w:rsidRPr="00006140">
        <w:rPr>
          <w:szCs w:val="18"/>
        </w:rPr>
        <w:t>, although there are inevitably some mercury losses from these systems. On this basis, the Toolkit distribution factors for ‘extraction from ore concentrate with use of retorts and recycling’ can be used, which indicate that 20% of  the mercury will ultimately be discharged to air, and 40% each to water and to land.</w:t>
      </w:r>
    </w:p>
    <w:p w14:paraId="64E25246" w14:textId="4E350C24" w:rsidR="00C44EAF" w:rsidRPr="00006140" w:rsidRDefault="00675730" w:rsidP="003833D6">
      <w:pPr>
        <w:spacing w:line="300" w:lineRule="atLeast"/>
        <w:jc w:val="both"/>
        <w:rPr>
          <w:szCs w:val="18"/>
        </w:rPr>
      </w:pPr>
      <w:r w:rsidRPr="00006140">
        <w:rPr>
          <w:szCs w:val="18"/>
        </w:rPr>
        <w:t xml:space="preserve">The mercury input and output calculations for </w:t>
      </w:r>
      <w:r w:rsidR="00ED6A25" w:rsidRPr="00006140">
        <w:rPr>
          <w:szCs w:val="18"/>
        </w:rPr>
        <w:t>gold and silver production using mercury</w:t>
      </w:r>
      <w:r w:rsidRPr="00006140">
        <w:rPr>
          <w:szCs w:val="18"/>
        </w:rPr>
        <w:t xml:space="preserve"> are shown in </w:t>
      </w:r>
      <w:r w:rsidR="0003246F" w:rsidRPr="00006140">
        <w:rPr>
          <w:szCs w:val="18"/>
        </w:rPr>
        <w:fldChar w:fldCharType="begin"/>
      </w:r>
      <w:r w:rsidR="0003246F" w:rsidRPr="00006140">
        <w:rPr>
          <w:szCs w:val="18"/>
        </w:rPr>
        <w:instrText xml:space="preserve"> REF _Ref358384908 \h </w:instrText>
      </w:r>
      <w:r w:rsidR="00B926AD" w:rsidRPr="00006140">
        <w:rPr>
          <w:szCs w:val="18"/>
        </w:rPr>
        <w:instrText xml:space="preserve"> \* MERGEFORMAT </w:instrText>
      </w:r>
      <w:r w:rsidR="0003246F" w:rsidRPr="00006140">
        <w:rPr>
          <w:szCs w:val="18"/>
        </w:rPr>
      </w:r>
      <w:r w:rsidR="0003246F" w:rsidRPr="00006140">
        <w:rPr>
          <w:szCs w:val="18"/>
        </w:rPr>
        <w:fldChar w:fldCharType="separate"/>
      </w:r>
      <w:r w:rsidR="00423FC9" w:rsidRPr="00006140">
        <w:t xml:space="preserve">Table </w:t>
      </w:r>
      <w:r w:rsidR="00423FC9" w:rsidRPr="00006140">
        <w:rPr>
          <w:noProof/>
        </w:rPr>
        <w:t>4</w:t>
      </w:r>
      <w:r w:rsidR="00423FC9" w:rsidRPr="00006140">
        <w:rPr>
          <w:noProof/>
        </w:rPr>
        <w:noBreakHyphen/>
        <w:t>2</w:t>
      </w:r>
      <w:r w:rsidR="0003246F" w:rsidRPr="00006140">
        <w:rPr>
          <w:szCs w:val="18"/>
        </w:rPr>
        <w:fldChar w:fldCharType="end"/>
      </w:r>
      <w:r w:rsidR="00ED6A25" w:rsidRPr="00006140">
        <w:rPr>
          <w:szCs w:val="18"/>
        </w:rPr>
        <w:t>.</w:t>
      </w:r>
    </w:p>
    <w:p w14:paraId="597B210B" w14:textId="77777777" w:rsidR="00675730" w:rsidRPr="00006140" w:rsidRDefault="0003246F" w:rsidP="0003246F">
      <w:pPr>
        <w:pStyle w:val="Caption"/>
        <w:spacing w:before="240"/>
        <w:rPr>
          <w:szCs w:val="18"/>
        </w:rPr>
      </w:pPr>
      <w:bookmarkStart w:id="53" w:name="_Ref358384908"/>
      <w:bookmarkStart w:id="54" w:name="_Toc484949646"/>
      <w:r w:rsidRPr="00006140">
        <w:rPr>
          <w:rFonts w:ascii="Arial" w:hAnsi="Arial" w:cs="Arial"/>
        </w:rPr>
        <w:t xml:space="preserve">Table </w:t>
      </w:r>
      <w:r w:rsidR="00390C9F" w:rsidRPr="00006140">
        <w:rPr>
          <w:rFonts w:ascii="Arial" w:hAnsi="Arial" w:cs="Arial"/>
        </w:rPr>
        <w:fldChar w:fldCharType="begin"/>
      </w:r>
      <w:r w:rsidR="00390C9F" w:rsidRPr="00006140">
        <w:rPr>
          <w:rFonts w:ascii="Arial" w:hAnsi="Arial" w:cs="Arial"/>
        </w:rPr>
        <w:instrText xml:space="preserve"> STYLEREF 1 \s </w:instrText>
      </w:r>
      <w:r w:rsidR="00390C9F" w:rsidRPr="00006140">
        <w:rPr>
          <w:rFonts w:ascii="Arial" w:hAnsi="Arial" w:cs="Arial"/>
        </w:rPr>
        <w:fldChar w:fldCharType="separate"/>
      </w:r>
      <w:r w:rsidR="00423FC9" w:rsidRPr="00006140">
        <w:rPr>
          <w:rFonts w:ascii="Arial" w:hAnsi="Arial" w:cs="Arial"/>
          <w:noProof/>
        </w:rPr>
        <w:t>4</w:t>
      </w:r>
      <w:r w:rsidR="00390C9F" w:rsidRPr="00006140">
        <w:rPr>
          <w:rFonts w:ascii="Arial" w:hAnsi="Arial" w:cs="Arial"/>
        </w:rPr>
        <w:fldChar w:fldCharType="end"/>
      </w:r>
      <w:r w:rsidR="00390C9F" w:rsidRPr="00006140">
        <w:rPr>
          <w:rFonts w:ascii="Arial" w:hAnsi="Arial" w:cs="Arial"/>
        </w:rPr>
        <w:noBreakHyphen/>
      </w:r>
      <w:r w:rsidR="00390C9F" w:rsidRPr="00006140">
        <w:rPr>
          <w:rFonts w:ascii="Arial" w:hAnsi="Arial" w:cs="Arial"/>
        </w:rPr>
        <w:fldChar w:fldCharType="begin"/>
      </w:r>
      <w:r w:rsidR="00390C9F" w:rsidRPr="00006140">
        <w:rPr>
          <w:rFonts w:ascii="Arial" w:hAnsi="Arial" w:cs="Arial"/>
        </w:rPr>
        <w:instrText xml:space="preserve"> SEQ Table \* ARABIC \s 1 </w:instrText>
      </w:r>
      <w:r w:rsidR="00390C9F" w:rsidRPr="00006140">
        <w:rPr>
          <w:rFonts w:ascii="Arial" w:hAnsi="Arial" w:cs="Arial"/>
        </w:rPr>
        <w:fldChar w:fldCharType="separate"/>
      </w:r>
      <w:r w:rsidR="00423FC9" w:rsidRPr="00006140">
        <w:rPr>
          <w:rFonts w:ascii="Arial" w:hAnsi="Arial" w:cs="Arial"/>
          <w:noProof/>
        </w:rPr>
        <w:t>2</w:t>
      </w:r>
      <w:r w:rsidR="00390C9F" w:rsidRPr="00006140">
        <w:rPr>
          <w:rFonts w:ascii="Arial" w:hAnsi="Arial" w:cs="Arial"/>
        </w:rPr>
        <w:fldChar w:fldCharType="end"/>
      </w:r>
      <w:bookmarkEnd w:id="53"/>
      <w:r w:rsidRPr="00006140">
        <w:rPr>
          <w:rFonts w:ascii="Arial" w:hAnsi="Arial" w:cs="Arial"/>
        </w:rPr>
        <w:t>:</w:t>
      </w:r>
      <w:r w:rsidRPr="00006140">
        <w:t xml:space="preserve">  </w:t>
      </w:r>
      <w:r w:rsidRPr="00006140">
        <w:rPr>
          <w:rFonts w:ascii="Arial" w:hAnsi="Arial" w:cs="Arial"/>
        </w:rPr>
        <w:t>Input and output estimates for gold and silver production using mercury</w:t>
      </w:r>
      <w:bookmarkEnd w:id="54"/>
    </w:p>
    <w:tbl>
      <w:tblPr>
        <w:tblStyle w:val="TableGrid"/>
        <w:tblW w:w="0" w:type="auto"/>
        <w:tblLook w:val="04A0" w:firstRow="1" w:lastRow="0" w:firstColumn="1" w:lastColumn="0" w:noHBand="0" w:noVBand="1"/>
      </w:tblPr>
      <w:tblGrid>
        <w:gridCol w:w="2518"/>
        <w:gridCol w:w="1559"/>
        <w:gridCol w:w="1825"/>
        <w:gridCol w:w="1692"/>
        <w:gridCol w:w="1693"/>
      </w:tblGrid>
      <w:tr w:rsidR="00CE3E59" w:rsidRPr="00006140" w14:paraId="677AB4EC" w14:textId="77777777" w:rsidTr="00C21F75">
        <w:tc>
          <w:tcPr>
            <w:tcW w:w="2518" w:type="dxa"/>
            <w:vMerge w:val="restart"/>
            <w:vAlign w:val="center"/>
          </w:tcPr>
          <w:p w14:paraId="63AF8620" w14:textId="77777777" w:rsidR="00CE3E59" w:rsidRPr="00006140" w:rsidRDefault="00CE3E59" w:rsidP="00C21F75">
            <w:pPr>
              <w:spacing w:line="300" w:lineRule="atLeast"/>
              <w:jc w:val="center"/>
              <w:rPr>
                <w:rFonts w:ascii="Arial" w:hAnsi="Arial" w:cs="Arial"/>
                <w:b/>
                <w:sz w:val="16"/>
                <w:szCs w:val="16"/>
              </w:rPr>
            </w:pPr>
            <w:r w:rsidRPr="00006140">
              <w:rPr>
                <w:rFonts w:ascii="Arial" w:hAnsi="Arial" w:cs="Arial"/>
                <w:b/>
                <w:sz w:val="16"/>
                <w:szCs w:val="16"/>
              </w:rPr>
              <w:t>Source</w:t>
            </w:r>
          </w:p>
        </w:tc>
        <w:tc>
          <w:tcPr>
            <w:tcW w:w="1559" w:type="dxa"/>
            <w:vMerge w:val="restart"/>
            <w:vAlign w:val="center"/>
          </w:tcPr>
          <w:p w14:paraId="5FB95F60" w14:textId="77777777" w:rsidR="00CE3E59" w:rsidRPr="00006140" w:rsidRDefault="00CE3E59" w:rsidP="00C21F75">
            <w:pPr>
              <w:spacing w:line="300" w:lineRule="atLeast"/>
              <w:jc w:val="center"/>
              <w:rPr>
                <w:rFonts w:ascii="Arial" w:hAnsi="Arial" w:cs="Arial"/>
                <w:b/>
                <w:sz w:val="16"/>
                <w:szCs w:val="16"/>
              </w:rPr>
            </w:pPr>
            <w:r w:rsidRPr="00006140">
              <w:rPr>
                <w:rFonts w:ascii="Arial" w:hAnsi="Arial" w:cs="Arial"/>
                <w:b/>
                <w:sz w:val="16"/>
                <w:szCs w:val="16"/>
              </w:rPr>
              <w:t>Annual Mercury Inputs, kg/</w:t>
            </w:r>
            <w:proofErr w:type="spellStart"/>
            <w:r w:rsidRPr="00006140">
              <w:rPr>
                <w:rFonts w:ascii="Arial" w:hAnsi="Arial" w:cs="Arial"/>
                <w:b/>
                <w:sz w:val="16"/>
                <w:szCs w:val="16"/>
              </w:rPr>
              <w:t>yr</w:t>
            </w:r>
            <w:proofErr w:type="spellEnd"/>
          </w:p>
        </w:tc>
        <w:tc>
          <w:tcPr>
            <w:tcW w:w="5210" w:type="dxa"/>
            <w:gridSpan w:val="3"/>
            <w:vAlign w:val="center"/>
          </w:tcPr>
          <w:p w14:paraId="658CD956" w14:textId="77777777" w:rsidR="00CE3E59" w:rsidRPr="00006140" w:rsidRDefault="00CE3E59" w:rsidP="00C21F75">
            <w:pPr>
              <w:spacing w:line="300" w:lineRule="atLeast"/>
              <w:jc w:val="center"/>
              <w:rPr>
                <w:rFonts w:ascii="Arial" w:hAnsi="Arial" w:cs="Arial"/>
                <w:b/>
                <w:sz w:val="16"/>
                <w:szCs w:val="16"/>
              </w:rPr>
            </w:pPr>
            <w:r w:rsidRPr="00006140">
              <w:rPr>
                <w:rFonts w:ascii="Arial" w:hAnsi="Arial" w:cs="Arial"/>
                <w:b/>
                <w:sz w:val="16"/>
                <w:szCs w:val="16"/>
              </w:rPr>
              <w:t>Annual Mercury Outputs, kg/</w:t>
            </w:r>
            <w:proofErr w:type="spellStart"/>
            <w:r w:rsidRPr="00006140">
              <w:rPr>
                <w:rFonts w:ascii="Arial" w:hAnsi="Arial" w:cs="Arial"/>
                <w:b/>
                <w:sz w:val="16"/>
                <w:szCs w:val="16"/>
              </w:rPr>
              <w:t>yr</w:t>
            </w:r>
            <w:proofErr w:type="spellEnd"/>
          </w:p>
        </w:tc>
      </w:tr>
      <w:tr w:rsidR="00CE3E59" w:rsidRPr="00006140" w14:paraId="0F16641F" w14:textId="77777777" w:rsidTr="00CE3E59">
        <w:tc>
          <w:tcPr>
            <w:tcW w:w="2518" w:type="dxa"/>
            <w:vMerge/>
            <w:vAlign w:val="center"/>
          </w:tcPr>
          <w:p w14:paraId="697BA529" w14:textId="77777777" w:rsidR="00CE3E59" w:rsidRPr="00006140" w:rsidRDefault="00CE3E59" w:rsidP="00C21F75">
            <w:pPr>
              <w:spacing w:line="300" w:lineRule="atLeast"/>
              <w:jc w:val="center"/>
              <w:rPr>
                <w:rFonts w:ascii="Arial" w:hAnsi="Arial" w:cs="Arial"/>
                <w:b/>
                <w:sz w:val="16"/>
                <w:szCs w:val="16"/>
              </w:rPr>
            </w:pPr>
          </w:p>
        </w:tc>
        <w:tc>
          <w:tcPr>
            <w:tcW w:w="1559" w:type="dxa"/>
            <w:vMerge/>
            <w:vAlign w:val="center"/>
          </w:tcPr>
          <w:p w14:paraId="477C1785" w14:textId="77777777" w:rsidR="00CE3E59" w:rsidRPr="00006140" w:rsidRDefault="00CE3E59" w:rsidP="00C21F75">
            <w:pPr>
              <w:spacing w:line="300" w:lineRule="atLeast"/>
              <w:jc w:val="center"/>
              <w:rPr>
                <w:rFonts w:ascii="Arial" w:hAnsi="Arial" w:cs="Arial"/>
                <w:b/>
                <w:sz w:val="16"/>
                <w:szCs w:val="16"/>
              </w:rPr>
            </w:pPr>
          </w:p>
        </w:tc>
        <w:tc>
          <w:tcPr>
            <w:tcW w:w="1825" w:type="dxa"/>
            <w:vAlign w:val="center"/>
          </w:tcPr>
          <w:p w14:paraId="7E9F2C4B" w14:textId="77777777" w:rsidR="00CE3E59" w:rsidRPr="00006140" w:rsidRDefault="00CE3E59" w:rsidP="00C21F75">
            <w:pPr>
              <w:spacing w:line="300" w:lineRule="atLeast"/>
              <w:jc w:val="center"/>
              <w:rPr>
                <w:rFonts w:ascii="Arial" w:hAnsi="Arial" w:cs="Arial"/>
                <w:b/>
                <w:sz w:val="16"/>
                <w:szCs w:val="16"/>
              </w:rPr>
            </w:pPr>
            <w:r w:rsidRPr="00006140">
              <w:rPr>
                <w:rFonts w:ascii="Arial" w:hAnsi="Arial" w:cs="Arial"/>
                <w:b/>
                <w:sz w:val="16"/>
                <w:szCs w:val="16"/>
              </w:rPr>
              <w:t>Air</w:t>
            </w:r>
          </w:p>
        </w:tc>
        <w:tc>
          <w:tcPr>
            <w:tcW w:w="1692" w:type="dxa"/>
            <w:vAlign w:val="center"/>
          </w:tcPr>
          <w:p w14:paraId="3B73376D" w14:textId="77777777" w:rsidR="00CE3E59" w:rsidRPr="00006140" w:rsidRDefault="00CE3E59" w:rsidP="00C21F75">
            <w:pPr>
              <w:spacing w:line="300" w:lineRule="atLeast"/>
              <w:jc w:val="center"/>
              <w:rPr>
                <w:rFonts w:ascii="Arial" w:hAnsi="Arial" w:cs="Arial"/>
                <w:b/>
                <w:sz w:val="16"/>
                <w:szCs w:val="16"/>
              </w:rPr>
            </w:pPr>
            <w:r w:rsidRPr="00006140">
              <w:rPr>
                <w:rFonts w:ascii="Arial" w:hAnsi="Arial" w:cs="Arial"/>
                <w:b/>
                <w:sz w:val="16"/>
                <w:szCs w:val="16"/>
              </w:rPr>
              <w:t>Water</w:t>
            </w:r>
          </w:p>
        </w:tc>
        <w:tc>
          <w:tcPr>
            <w:tcW w:w="1693" w:type="dxa"/>
            <w:vAlign w:val="center"/>
          </w:tcPr>
          <w:p w14:paraId="4E2225F1" w14:textId="77777777" w:rsidR="00CE3E59" w:rsidRPr="00006140" w:rsidRDefault="00CE3E59" w:rsidP="00C21F75">
            <w:pPr>
              <w:spacing w:line="300" w:lineRule="atLeast"/>
              <w:jc w:val="center"/>
              <w:rPr>
                <w:rFonts w:ascii="Arial" w:hAnsi="Arial" w:cs="Arial"/>
                <w:b/>
                <w:sz w:val="16"/>
                <w:szCs w:val="16"/>
              </w:rPr>
            </w:pPr>
            <w:r w:rsidRPr="00006140">
              <w:rPr>
                <w:rFonts w:ascii="Arial" w:hAnsi="Arial" w:cs="Arial"/>
                <w:b/>
                <w:sz w:val="16"/>
                <w:szCs w:val="16"/>
              </w:rPr>
              <w:t>Land</w:t>
            </w:r>
          </w:p>
        </w:tc>
      </w:tr>
      <w:tr w:rsidR="00CE3E59" w:rsidRPr="00006140" w14:paraId="619C2981" w14:textId="77777777" w:rsidTr="00CE3E59">
        <w:tc>
          <w:tcPr>
            <w:tcW w:w="2518" w:type="dxa"/>
          </w:tcPr>
          <w:p w14:paraId="690BBD5F" w14:textId="77777777" w:rsidR="00CE3E59" w:rsidRPr="00006140" w:rsidRDefault="00CE3E59" w:rsidP="00C21F75">
            <w:pPr>
              <w:spacing w:line="300" w:lineRule="atLeast"/>
              <w:jc w:val="both"/>
              <w:rPr>
                <w:rFonts w:ascii="Arial" w:hAnsi="Arial" w:cs="Arial"/>
                <w:sz w:val="16"/>
                <w:szCs w:val="16"/>
              </w:rPr>
            </w:pPr>
            <w:r w:rsidRPr="00006140">
              <w:rPr>
                <w:rFonts w:ascii="Arial" w:hAnsi="Arial" w:cs="Arial"/>
                <w:sz w:val="16"/>
                <w:szCs w:val="16"/>
              </w:rPr>
              <w:t>Gold &amp; silver, with mercury</w:t>
            </w:r>
          </w:p>
        </w:tc>
        <w:tc>
          <w:tcPr>
            <w:tcW w:w="1559" w:type="dxa"/>
            <w:vAlign w:val="center"/>
          </w:tcPr>
          <w:p w14:paraId="026CC3A0" w14:textId="77777777" w:rsidR="00CE3E59" w:rsidRPr="00006140" w:rsidRDefault="00CE3E59" w:rsidP="00CE3E59">
            <w:pPr>
              <w:spacing w:line="300" w:lineRule="atLeast"/>
              <w:jc w:val="center"/>
              <w:rPr>
                <w:rFonts w:ascii="Arial" w:hAnsi="Arial" w:cs="Arial"/>
                <w:sz w:val="16"/>
                <w:szCs w:val="16"/>
              </w:rPr>
            </w:pPr>
            <w:r w:rsidRPr="00006140">
              <w:rPr>
                <w:rFonts w:ascii="Arial" w:hAnsi="Arial" w:cs="Arial"/>
                <w:sz w:val="16"/>
                <w:szCs w:val="16"/>
              </w:rPr>
              <w:t>20</w:t>
            </w:r>
          </w:p>
        </w:tc>
        <w:tc>
          <w:tcPr>
            <w:tcW w:w="1825" w:type="dxa"/>
            <w:vAlign w:val="center"/>
          </w:tcPr>
          <w:p w14:paraId="219989FF" w14:textId="77777777" w:rsidR="00CE3E59" w:rsidRPr="00006140" w:rsidRDefault="00CE3E59" w:rsidP="00C21F75">
            <w:pPr>
              <w:spacing w:line="300" w:lineRule="atLeast"/>
              <w:jc w:val="center"/>
              <w:rPr>
                <w:rFonts w:ascii="Arial" w:hAnsi="Arial" w:cs="Arial"/>
                <w:sz w:val="16"/>
                <w:szCs w:val="16"/>
              </w:rPr>
            </w:pPr>
            <w:r w:rsidRPr="00006140">
              <w:rPr>
                <w:rFonts w:ascii="Arial" w:hAnsi="Arial" w:cs="Arial"/>
                <w:sz w:val="16"/>
                <w:szCs w:val="16"/>
              </w:rPr>
              <w:t>4</w:t>
            </w:r>
          </w:p>
        </w:tc>
        <w:tc>
          <w:tcPr>
            <w:tcW w:w="1692" w:type="dxa"/>
            <w:vAlign w:val="center"/>
          </w:tcPr>
          <w:p w14:paraId="1A4FD050" w14:textId="77777777" w:rsidR="00CE3E59" w:rsidRPr="00006140" w:rsidRDefault="00CE3E59" w:rsidP="00C21F75">
            <w:pPr>
              <w:spacing w:line="300" w:lineRule="atLeast"/>
              <w:jc w:val="center"/>
              <w:rPr>
                <w:rFonts w:ascii="Arial" w:hAnsi="Arial" w:cs="Arial"/>
                <w:sz w:val="16"/>
                <w:szCs w:val="16"/>
              </w:rPr>
            </w:pPr>
            <w:r w:rsidRPr="00006140">
              <w:rPr>
                <w:rFonts w:ascii="Arial" w:hAnsi="Arial" w:cs="Arial"/>
                <w:sz w:val="16"/>
                <w:szCs w:val="16"/>
              </w:rPr>
              <w:t>8</w:t>
            </w:r>
          </w:p>
        </w:tc>
        <w:tc>
          <w:tcPr>
            <w:tcW w:w="1693" w:type="dxa"/>
            <w:vAlign w:val="center"/>
          </w:tcPr>
          <w:p w14:paraId="02F73AEC" w14:textId="77777777" w:rsidR="00CE3E59" w:rsidRPr="00006140" w:rsidRDefault="00CE3E59" w:rsidP="00C21F75">
            <w:pPr>
              <w:spacing w:line="300" w:lineRule="atLeast"/>
              <w:jc w:val="center"/>
              <w:rPr>
                <w:rFonts w:ascii="Arial" w:hAnsi="Arial" w:cs="Arial"/>
                <w:sz w:val="16"/>
                <w:szCs w:val="16"/>
              </w:rPr>
            </w:pPr>
            <w:r w:rsidRPr="00006140">
              <w:rPr>
                <w:rFonts w:ascii="Arial" w:hAnsi="Arial" w:cs="Arial"/>
                <w:sz w:val="16"/>
                <w:szCs w:val="16"/>
              </w:rPr>
              <w:t>8</w:t>
            </w:r>
          </w:p>
        </w:tc>
      </w:tr>
    </w:tbl>
    <w:p w14:paraId="3EF1156E" w14:textId="77777777" w:rsidR="00CE3E59" w:rsidRPr="00006140" w:rsidRDefault="00CE3E59" w:rsidP="00CE3E59">
      <w:pPr>
        <w:spacing w:before="240" w:line="300" w:lineRule="atLeast"/>
        <w:jc w:val="both"/>
        <w:rPr>
          <w:rFonts w:ascii="Arial" w:hAnsi="Arial" w:cs="Arial"/>
          <w:b/>
          <w:szCs w:val="18"/>
        </w:rPr>
      </w:pPr>
      <w:r w:rsidRPr="00006140">
        <w:rPr>
          <w:rFonts w:ascii="Arial" w:hAnsi="Arial" w:cs="Arial"/>
          <w:b/>
          <w:szCs w:val="18"/>
        </w:rPr>
        <w:t>Certainty assessment</w:t>
      </w:r>
    </w:p>
    <w:p w14:paraId="41CFE617" w14:textId="77777777" w:rsidR="00CE3E59" w:rsidRPr="00006140" w:rsidRDefault="00CE3E59" w:rsidP="00CE3E59">
      <w:pPr>
        <w:tabs>
          <w:tab w:val="left" w:pos="1985"/>
        </w:tabs>
        <w:spacing w:line="300" w:lineRule="atLeast"/>
        <w:jc w:val="both"/>
        <w:rPr>
          <w:szCs w:val="18"/>
        </w:rPr>
      </w:pPr>
      <w:r w:rsidRPr="00006140">
        <w:rPr>
          <w:szCs w:val="18"/>
        </w:rPr>
        <w:t xml:space="preserve">Activity data: </w:t>
      </w:r>
      <w:r w:rsidRPr="00006140">
        <w:rPr>
          <w:szCs w:val="18"/>
        </w:rPr>
        <w:tab/>
        <w:t>not relevant</w:t>
      </w:r>
      <w:r w:rsidR="00ED6A25" w:rsidRPr="00006140">
        <w:rPr>
          <w:szCs w:val="18"/>
        </w:rPr>
        <w:t xml:space="preserve"> (because ore quantities were not considered in the estimates)</w:t>
      </w:r>
    </w:p>
    <w:p w14:paraId="5FBAE4FC" w14:textId="77777777" w:rsidR="00CE3E59" w:rsidRPr="00006140" w:rsidRDefault="00CE3E59" w:rsidP="00CE3E59">
      <w:pPr>
        <w:tabs>
          <w:tab w:val="left" w:pos="1985"/>
        </w:tabs>
        <w:spacing w:line="300" w:lineRule="atLeast"/>
        <w:jc w:val="both"/>
        <w:rPr>
          <w:szCs w:val="18"/>
        </w:rPr>
      </w:pPr>
      <w:r w:rsidRPr="00006140">
        <w:rPr>
          <w:szCs w:val="18"/>
        </w:rPr>
        <w:t xml:space="preserve">Input estimates: </w:t>
      </w:r>
      <w:r w:rsidRPr="00006140">
        <w:rPr>
          <w:szCs w:val="18"/>
        </w:rPr>
        <w:tab/>
        <w:t>LOW (because the data was only obtained from indirect sources)</w:t>
      </w:r>
    </w:p>
    <w:p w14:paraId="1FEF6F37" w14:textId="77777777" w:rsidR="00CE3E59" w:rsidRPr="0028681C" w:rsidRDefault="00CE3E59" w:rsidP="00CE3E59">
      <w:pPr>
        <w:tabs>
          <w:tab w:val="left" w:pos="1985"/>
        </w:tabs>
        <w:spacing w:line="300" w:lineRule="atLeast"/>
        <w:jc w:val="both"/>
        <w:rPr>
          <w:szCs w:val="18"/>
        </w:rPr>
      </w:pPr>
      <w:r w:rsidRPr="00006140">
        <w:rPr>
          <w:szCs w:val="18"/>
        </w:rPr>
        <w:t xml:space="preserve">Output estimates: </w:t>
      </w:r>
      <w:r w:rsidRPr="00006140">
        <w:rPr>
          <w:szCs w:val="18"/>
        </w:rPr>
        <w:tab/>
        <w:t>LOW (because they are based on the default Toolkit output factors).</w:t>
      </w:r>
    </w:p>
    <w:p w14:paraId="3F8A5863" w14:textId="77777777" w:rsidR="00C44EAF" w:rsidRDefault="00C44EAF" w:rsidP="00C44EAF">
      <w:pPr>
        <w:pStyle w:val="Heading2"/>
      </w:pPr>
      <w:bookmarkStart w:id="55" w:name="_Toc484949577"/>
      <w:r>
        <w:t>Gold and silver, not using mercury amalgamation</w:t>
      </w:r>
      <w:bookmarkEnd w:id="55"/>
    </w:p>
    <w:p w14:paraId="396DABC7" w14:textId="77777777" w:rsidR="00BC61D1" w:rsidRPr="00BC61D1" w:rsidRDefault="00BC61D1" w:rsidP="00BC61D1">
      <w:pPr>
        <w:spacing w:line="300" w:lineRule="atLeast"/>
        <w:jc w:val="both"/>
        <w:rPr>
          <w:szCs w:val="18"/>
        </w:rPr>
      </w:pPr>
      <w:proofErr w:type="spellStart"/>
      <w:r w:rsidRPr="00BC61D1">
        <w:rPr>
          <w:szCs w:val="18"/>
        </w:rPr>
        <w:t>Oceana</w:t>
      </w:r>
      <w:proofErr w:type="spellEnd"/>
      <w:r w:rsidRPr="00BC61D1">
        <w:rPr>
          <w:szCs w:val="18"/>
        </w:rPr>
        <w:t xml:space="preserve"> Gold Corporation </w:t>
      </w:r>
      <w:proofErr w:type="gramStart"/>
      <w:r w:rsidRPr="00BC61D1">
        <w:rPr>
          <w:szCs w:val="18"/>
        </w:rPr>
        <w:t>operate</w:t>
      </w:r>
      <w:proofErr w:type="gramEnd"/>
      <w:r w:rsidRPr="00BC61D1">
        <w:rPr>
          <w:szCs w:val="18"/>
        </w:rPr>
        <w:t xml:space="preserve"> major gold and silver mining operations at</w:t>
      </w:r>
      <w:r>
        <w:rPr>
          <w:szCs w:val="18"/>
        </w:rPr>
        <w:t xml:space="preserve"> two locations in New Zealand. </w:t>
      </w:r>
      <w:r w:rsidRPr="00BC61D1">
        <w:rPr>
          <w:szCs w:val="18"/>
        </w:rPr>
        <w:t xml:space="preserve">The </w:t>
      </w:r>
      <w:proofErr w:type="spellStart"/>
      <w:r w:rsidRPr="00BC61D1">
        <w:rPr>
          <w:szCs w:val="18"/>
        </w:rPr>
        <w:t>McRaes</w:t>
      </w:r>
      <w:proofErr w:type="spellEnd"/>
      <w:r w:rsidRPr="00BC61D1">
        <w:rPr>
          <w:szCs w:val="18"/>
        </w:rPr>
        <w:t xml:space="preserve"> Operations in Otago include the </w:t>
      </w:r>
      <w:proofErr w:type="spellStart"/>
      <w:r w:rsidRPr="00BC61D1">
        <w:rPr>
          <w:szCs w:val="18"/>
        </w:rPr>
        <w:t>McRaes</w:t>
      </w:r>
      <w:proofErr w:type="spellEnd"/>
      <w:r w:rsidRPr="00BC61D1">
        <w:rPr>
          <w:szCs w:val="18"/>
        </w:rPr>
        <w:t xml:space="preserve"> open pit gold mines and Frasers underground mine</w:t>
      </w:r>
      <w:r>
        <w:rPr>
          <w:szCs w:val="18"/>
        </w:rPr>
        <w:t xml:space="preserve">. </w:t>
      </w:r>
      <w:r w:rsidRPr="00BC61D1">
        <w:rPr>
          <w:szCs w:val="18"/>
        </w:rPr>
        <w:t xml:space="preserve">The Waihi Gold Mine Operations in the Waikato include the Martha open pit (currently undergoing stabilisation works) and the </w:t>
      </w:r>
      <w:proofErr w:type="spellStart"/>
      <w:r w:rsidRPr="00BC61D1">
        <w:rPr>
          <w:szCs w:val="18"/>
        </w:rPr>
        <w:t>Co</w:t>
      </w:r>
      <w:r>
        <w:rPr>
          <w:szCs w:val="18"/>
        </w:rPr>
        <w:t>rrenso</w:t>
      </w:r>
      <w:proofErr w:type="spellEnd"/>
      <w:r>
        <w:rPr>
          <w:szCs w:val="18"/>
        </w:rPr>
        <w:t xml:space="preserve"> underground gold mine</w:t>
      </w:r>
      <w:r w:rsidRPr="00BC61D1">
        <w:rPr>
          <w:szCs w:val="18"/>
        </w:rPr>
        <w:t xml:space="preserve">. </w:t>
      </w:r>
      <w:r>
        <w:rPr>
          <w:szCs w:val="18"/>
        </w:rPr>
        <w:t>Another mine on t</w:t>
      </w:r>
      <w:r w:rsidRPr="00BC61D1">
        <w:rPr>
          <w:szCs w:val="18"/>
        </w:rPr>
        <w:t>he West Coast</w:t>
      </w:r>
      <w:r>
        <w:rPr>
          <w:szCs w:val="18"/>
        </w:rPr>
        <w:t>, the</w:t>
      </w:r>
      <w:r w:rsidRPr="00BC61D1">
        <w:rPr>
          <w:szCs w:val="18"/>
        </w:rPr>
        <w:t xml:space="preserve"> </w:t>
      </w:r>
      <w:proofErr w:type="spellStart"/>
      <w:r w:rsidRPr="00BC61D1">
        <w:rPr>
          <w:szCs w:val="18"/>
        </w:rPr>
        <w:t>Reefton</w:t>
      </w:r>
      <w:proofErr w:type="spellEnd"/>
      <w:r w:rsidRPr="00BC61D1">
        <w:rPr>
          <w:szCs w:val="18"/>
        </w:rPr>
        <w:t xml:space="preserve"> gold mine was put into care and maintenance by the Company at the start of 2016 and in December 2016 it was announced that the mine would be closed</w:t>
      </w:r>
      <w:r>
        <w:rPr>
          <w:szCs w:val="18"/>
        </w:rPr>
        <w:t xml:space="preserve"> (</w:t>
      </w:r>
      <w:proofErr w:type="spellStart"/>
      <w:r>
        <w:rPr>
          <w:szCs w:val="18"/>
        </w:rPr>
        <w:t>Oceana</w:t>
      </w:r>
      <w:proofErr w:type="spellEnd"/>
      <w:r>
        <w:rPr>
          <w:szCs w:val="18"/>
        </w:rPr>
        <w:t xml:space="preserve"> Gold, 2017)</w:t>
      </w:r>
      <w:r w:rsidRPr="00BC61D1">
        <w:rPr>
          <w:szCs w:val="18"/>
        </w:rPr>
        <w:t>.</w:t>
      </w:r>
    </w:p>
    <w:p w14:paraId="3F63B4A7" w14:textId="77777777" w:rsidR="00BC61D1" w:rsidRPr="00BC61D1" w:rsidRDefault="00BC61D1" w:rsidP="00BC61D1">
      <w:pPr>
        <w:spacing w:line="300" w:lineRule="atLeast"/>
        <w:jc w:val="both"/>
        <w:rPr>
          <w:szCs w:val="18"/>
        </w:rPr>
      </w:pPr>
      <w:r w:rsidRPr="00BC61D1">
        <w:rPr>
          <w:szCs w:val="18"/>
        </w:rPr>
        <w:t xml:space="preserve">In 2016 153,653 ounces of gold and 5,842 ounces of silver were produced from </w:t>
      </w:r>
      <w:r w:rsidR="002338E9">
        <w:rPr>
          <w:szCs w:val="18"/>
        </w:rPr>
        <w:t xml:space="preserve">the </w:t>
      </w:r>
      <w:proofErr w:type="spellStart"/>
      <w:r w:rsidRPr="00BC61D1">
        <w:rPr>
          <w:szCs w:val="18"/>
        </w:rPr>
        <w:t>McRaes</w:t>
      </w:r>
      <w:proofErr w:type="spellEnd"/>
      <w:r w:rsidR="002338E9">
        <w:rPr>
          <w:szCs w:val="18"/>
        </w:rPr>
        <w:t xml:space="preserve">’ operation, while </w:t>
      </w:r>
      <w:r w:rsidRPr="00BC61D1">
        <w:rPr>
          <w:szCs w:val="18"/>
        </w:rPr>
        <w:t>Waihi produced 116,028 ounces of gold</w:t>
      </w:r>
      <w:r w:rsidR="002338E9">
        <w:rPr>
          <w:szCs w:val="18"/>
        </w:rPr>
        <w:t xml:space="preserve"> and 246,560 ounces of silver.</w:t>
      </w:r>
    </w:p>
    <w:p w14:paraId="6F164FD2" w14:textId="196FBA90" w:rsidR="00BA506C" w:rsidRDefault="00BC61D1" w:rsidP="00BA506C">
      <w:pPr>
        <w:spacing w:line="300" w:lineRule="atLeast"/>
        <w:jc w:val="both"/>
        <w:rPr>
          <w:szCs w:val="18"/>
        </w:rPr>
      </w:pPr>
      <w:r w:rsidRPr="00BC61D1">
        <w:rPr>
          <w:szCs w:val="18"/>
        </w:rPr>
        <w:t xml:space="preserve">In order to produce this gold and silver a total of 6,067,798 tonnes of ore was processed at </w:t>
      </w:r>
      <w:proofErr w:type="spellStart"/>
      <w:r w:rsidRPr="00BC61D1">
        <w:rPr>
          <w:szCs w:val="18"/>
        </w:rPr>
        <w:t>McRaes</w:t>
      </w:r>
      <w:proofErr w:type="spellEnd"/>
      <w:r w:rsidRPr="00BC61D1">
        <w:rPr>
          <w:szCs w:val="18"/>
        </w:rPr>
        <w:t>’ and 489,300 tonnes</w:t>
      </w:r>
      <w:r w:rsidR="00F75355">
        <w:rPr>
          <w:szCs w:val="18"/>
        </w:rPr>
        <w:t xml:space="preserve"> at Waihi’s processing plants. </w:t>
      </w:r>
      <w:r w:rsidRPr="00BC61D1">
        <w:rPr>
          <w:szCs w:val="18"/>
        </w:rPr>
        <w:t xml:space="preserve">The reason for the disparity in ore quantities between the two regions, despite each yielding similar quantities of gold, lies with the </w:t>
      </w:r>
      <w:r w:rsidR="00F75355">
        <w:rPr>
          <w:szCs w:val="18"/>
        </w:rPr>
        <w:t xml:space="preserve">gold concentration of the ore. </w:t>
      </w:r>
      <w:r w:rsidRPr="00BC61D1">
        <w:rPr>
          <w:szCs w:val="18"/>
        </w:rPr>
        <w:t xml:space="preserve">In 2016 </w:t>
      </w:r>
      <w:proofErr w:type="spellStart"/>
      <w:r w:rsidRPr="00BC61D1">
        <w:rPr>
          <w:szCs w:val="18"/>
        </w:rPr>
        <w:t>McRaes</w:t>
      </w:r>
      <w:proofErr w:type="spellEnd"/>
      <w:r w:rsidRPr="00BC61D1">
        <w:rPr>
          <w:szCs w:val="18"/>
        </w:rPr>
        <w:t>’ ore had an average gold concentration of 0.94 g/tonne whereas that for Waihi was 8.1 g/tonne (</w:t>
      </w:r>
      <w:proofErr w:type="spellStart"/>
      <w:r w:rsidRPr="00BC61D1">
        <w:rPr>
          <w:szCs w:val="18"/>
        </w:rPr>
        <w:t>Oceana</w:t>
      </w:r>
      <w:proofErr w:type="spellEnd"/>
      <w:r w:rsidRPr="00BC61D1">
        <w:rPr>
          <w:szCs w:val="18"/>
        </w:rPr>
        <w:t xml:space="preserve"> Gold, 2017). </w:t>
      </w:r>
    </w:p>
    <w:p w14:paraId="46010D5F" w14:textId="5A39464B" w:rsidR="00BA506C" w:rsidRDefault="00BA506C" w:rsidP="00BA506C">
      <w:pPr>
        <w:spacing w:line="300" w:lineRule="atLeast"/>
        <w:jc w:val="both"/>
        <w:rPr>
          <w:szCs w:val="18"/>
        </w:rPr>
      </w:pPr>
      <w:r>
        <w:rPr>
          <w:szCs w:val="18"/>
        </w:rPr>
        <w:t>There are no recent results available for the mercury cont</w:t>
      </w:r>
      <w:r w:rsidR="00F75355">
        <w:rPr>
          <w:szCs w:val="18"/>
        </w:rPr>
        <w:t xml:space="preserve">ent of ore at either location. </w:t>
      </w:r>
      <w:r>
        <w:rPr>
          <w:szCs w:val="18"/>
        </w:rPr>
        <w:t xml:space="preserve">The 2012 Mercury Inventory reported that the average mercury content for </w:t>
      </w:r>
      <w:proofErr w:type="spellStart"/>
      <w:r>
        <w:rPr>
          <w:szCs w:val="18"/>
        </w:rPr>
        <w:t>Mc</w:t>
      </w:r>
      <w:r w:rsidR="00F75355">
        <w:rPr>
          <w:szCs w:val="18"/>
        </w:rPr>
        <w:t>Raes</w:t>
      </w:r>
      <w:proofErr w:type="spellEnd"/>
      <w:r w:rsidR="00F75355">
        <w:rPr>
          <w:szCs w:val="18"/>
        </w:rPr>
        <w:t>’ ore was 0.5 to 1 g/tonne.</w:t>
      </w:r>
      <w:r>
        <w:rPr>
          <w:szCs w:val="18"/>
        </w:rPr>
        <w:t xml:space="preserve"> For Waihi ore, 23 samples analysed in 2012 had a range of 0.23 – 2.</w:t>
      </w:r>
      <w:r w:rsidR="00EC43F4">
        <w:rPr>
          <w:szCs w:val="18"/>
        </w:rPr>
        <w:t>0 g mercury</w:t>
      </w:r>
      <w:r>
        <w:rPr>
          <w:szCs w:val="18"/>
        </w:rPr>
        <w:t xml:space="preserve">/tonne with an average of </w:t>
      </w:r>
      <w:r w:rsidR="00EC43F4">
        <w:rPr>
          <w:szCs w:val="18"/>
        </w:rPr>
        <w:t>0.47 g</w:t>
      </w:r>
      <w:r>
        <w:rPr>
          <w:szCs w:val="18"/>
        </w:rPr>
        <w:t xml:space="preserve">/tonne (D. </w:t>
      </w:r>
      <w:proofErr w:type="spellStart"/>
      <w:r>
        <w:rPr>
          <w:szCs w:val="18"/>
        </w:rPr>
        <w:t>Bertoldi</w:t>
      </w:r>
      <w:proofErr w:type="spellEnd"/>
      <w:r>
        <w:rPr>
          <w:szCs w:val="18"/>
        </w:rPr>
        <w:t xml:space="preserve">, </w:t>
      </w:r>
      <w:proofErr w:type="spellStart"/>
      <w:r>
        <w:rPr>
          <w:szCs w:val="18"/>
        </w:rPr>
        <w:t>pers</w:t>
      </w:r>
      <w:proofErr w:type="spellEnd"/>
      <w:r>
        <w:rPr>
          <w:szCs w:val="18"/>
        </w:rPr>
        <w:t xml:space="preserve"> comm., 2017).</w:t>
      </w:r>
    </w:p>
    <w:p w14:paraId="316AC683" w14:textId="5B76CE7B" w:rsidR="00C44EAF" w:rsidRDefault="00BA506C" w:rsidP="003833D6">
      <w:pPr>
        <w:spacing w:line="300" w:lineRule="atLeast"/>
        <w:jc w:val="both"/>
        <w:rPr>
          <w:szCs w:val="18"/>
        </w:rPr>
      </w:pPr>
      <w:r>
        <w:rPr>
          <w:szCs w:val="18"/>
        </w:rPr>
        <w:t xml:space="preserve">The reported mercury concentrations in ore have been used </w:t>
      </w:r>
      <w:r w:rsidR="00EC43F4">
        <w:rPr>
          <w:szCs w:val="18"/>
        </w:rPr>
        <w:t xml:space="preserve">for the mercury input factors: </w:t>
      </w:r>
      <w:r>
        <w:rPr>
          <w:szCs w:val="18"/>
        </w:rPr>
        <w:t xml:space="preserve">a range of 0.23 – 2.0 g and a mid-point value of 0.75 g mercury per tonne of ore. The latter value reflects the </w:t>
      </w:r>
      <w:r w:rsidR="00FB141E">
        <w:rPr>
          <w:szCs w:val="18"/>
        </w:rPr>
        <w:t xml:space="preserve">lower overall concentrations in the </w:t>
      </w:r>
      <w:proofErr w:type="spellStart"/>
      <w:r w:rsidR="00FB141E">
        <w:rPr>
          <w:szCs w:val="18"/>
        </w:rPr>
        <w:t>McRaes</w:t>
      </w:r>
      <w:proofErr w:type="spellEnd"/>
      <w:r w:rsidR="00FB141E">
        <w:rPr>
          <w:szCs w:val="18"/>
        </w:rPr>
        <w:t xml:space="preserve">’ ore, which accounts for </w:t>
      </w:r>
      <w:r w:rsidR="00EC43F4">
        <w:rPr>
          <w:szCs w:val="18"/>
        </w:rPr>
        <w:t xml:space="preserve">93% of the </w:t>
      </w:r>
      <w:r w:rsidR="00FB141E">
        <w:rPr>
          <w:szCs w:val="18"/>
        </w:rPr>
        <w:t xml:space="preserve">total </w:t>
      </w:r>
      <w:r w:rsidR="00EC43F4">
        <w:rPr>
          <w:szCs w:val="18"/>
        </w:rPr>
        <w:t xml:space="preserve">ore </w:t>
      </w:r>
      <w:r w:rsidR="00FB141E">
        <w:rPr>
          <w:szCs w:val="18"/>
        </w:rPr>
        <w:t>processed</w:t>
      </w:r>
      <w:r>
        <w:rPr>
          <w:szCs w:val="18"/>
        </w:rPr>
        <w:t xml:space="preserve">. </w:t>
      </w:r>
      <w:r w:rsidR="00D01826">
        <w:rPr>
          <w:szCs w:val="18"/>
        </w:rPr>
        <w:t xml:space="preserve">The Toolkit default factors for estimating the </w:t>
      </w:r>
      <w:r w:rsidR="00215FA8">
        <w:rPr>
          <w:szCs w:val="18"/>
        </w:rPr>
        <w:t xml:space="preserve">output </w:t>
      </w:r>
      <w:r w:rsidR="00D01826">
        <w:rPr>
          <w:szCs w:val="18"/>
        </w:rPr>
        <w:t>distribution</w:t>
      </w:r>
      <w:r w:rsidR="00215FA8">
        <w:rPr>
          <w:szCs w:val="18"/>
        </w:rPr>
        <w:t>s</w:t>
      </w:r>
      <w:r w:rsidR="00CF5DF9">
        <w:rPr>
          <w:szCs w:val="18"/>
        </w:rPr>
        <w:t xml:space="preserve"> are 0.04 (4%) releases to air, 0.02 (2%) releases to water, 0.9 (90%) releases to land, and 0.04</w:t>
      </w:r>
      <w:r w:rsidR="009176CF">
        <w:rPr>
          <w:szCs w:val="18"/>
        </w:rPr>
        <w:t xml:space="preserve"> (4%) </w:t>
      </w:r>
      <w:r w:rsidR="001A0D3D">
        <w:rPr>
          <w:szCs w:val="18"/>
        </w:rPr>
        <w:t>releases in product</w:t>
      </w:r>
      <w:r w:rsidR="00D01826">
        <w:rPr>
          <w:szCs w:val="18"/>
        </w:rPr>
        <w:t>.</w:t>
      </w:r>
    </w:p>
    <w:p w14:paraId="684E50A0" w14:textId="0700DF05" w:rsidR="00350445" w:rsidRDefault="00350445" w:rsidP="00350445">
      <w:pPr>
        <w:spacing w:line="300" w:lineRule="atLeast"/>
        <w:jc w:val="both"/>
        <w:rPr>
          <w:szCs w:val="18"/>
        </w:rPr>
      </w:pPr>
      <w:r w:rsidRPr="00675730">
        <w:rPr>
          <w:szCs w:val="18"/>
        </w:rPr>
        <w:t xml:space="preserve">The mercury input and output calculations for </w:t>
      </w:r>
      <w:r w:rsidR="00ED6A25">
        <w:rPr>
          <w:szCs w:val="18"/>
        </w:rPr>
        <w:t>gold and silver production not using mercury</w:t>
      </w:r>
      <w:r w:rsidRPr="00675730">
        <w:rPr>
          <w:szCs w:val="18"/>
        </w:rPr>
        <w:t xml:space="preserve"> are shown in </w:t>
      </w:r>
      <w:r w:rsidRPr="00B926AD">
        <w:rPr>
          <w:szCs w:val="18"/>
        </w:rPr>
        <w:fldChar w:fldCharType="begin"/>
      </w:r>
      <w:r w:rsidRPr="00B926AD">
        <w:rPr>
          <w:szCs w:val="18"/>
        </w:rPr>
        <w:instrText xml:space="preserve"> REF _Ref358387581 \h </w:instrText>
      </w:r>
      <w:r w:rsidR="00B926AD">
        <w:rPr>
          <w:szCs w:val="18"/>
        </w:rPr>
        <w:instrText xml:space="preserve"> \* MERGEFORMAT </w:instrText>
      </w:r>
      <w:r w:rsidRPr="00B926AD">
        <w:rPr>
          <w:szCs w:val="18"/>
        </w:rPr>
      </w:r>
      <w:r w:rsidRPr="00B926AD">
        <w:rPr>
          <w:szCs w:val="18"/>
        </w:rPr>
        <w:fldChar w:fldCharType="separate"/>
      </w:r>
      <w:r w:rsidR="00423FC9" w:rsidRPr="00423FC9">
        <w:t xml:space="preserve">Table </w:t>
      </w:r>
      <w:r w:rsidR="00423FC9" w:rsidRPr="00423FC9">
        <w:rPr>
          <w:noProof/>
        </w:rPr>
        <w:t>4</w:t>
      </w:r>
      <w:r w:rsidR="00423FC9" w:rsidRPr="00423FC9">
        <w:rPr>
          <w:noProof/>
        </w:rPr>
        <w:noBreakHyphen/>
        <w:t>3</w:t>
      </w:r>
      <w:r w:rsidRPr="00B926AD">
        <w:rPr>
          <w:szCs w:val="18"/>
        </w:rPr>
        <w:fldChar w:fldCharType="end"/>
      </w:r>
      <w:r w:rsidR="009176CF">
        <w:rPr>
          <w:szCs w:val="18"/>
        </w:rPr>
        <w:t xml:space="preserve">, </w:t>
      </w:r>
      <w:r w:rsidR="00FB141E">
        <w:rPr>
          <w:szCs w:val="18"/>
        </w:rPr>
        <w:t xml:space="preserve">along with the previous estimates for 2012. </w:t>
      </w:r>
      <w:r w:rsidR="009966AD">
        <w:rPr>
          <w:szCs w:val="18"/>
        </w:rPr>
        <w:t>The data appear to show a marked increase in mercury inputs but</w:t>
      </w:r>
      <w:r w:rsidR="00205365">
        <w:rPr>
          <w:szCs w:val="18"/>
        </w:rPr>
        <w:t xml:space="preserve"> that is not the case</w:t>
      </w:r>
      <w:r w:rsidR="009966AD">
        <w:rPr>
          <w:szCs w:val="18"/>
        </w:rPr>
        <w:t>.</w:t>
      </w:r>
      <w:r w:rsidR="00581937">
        <w:rPr>
          <w:szCs w:val="18"/>
        </w:rPr>
        <w:t xml:space="preserve"> </w:t>
      </w:r>
      <w:r w:rsidR="00205365">
        <w:rPr>
          <w:szCs w:val="18"/>
        </w:rPr>
        <w:t xml:space="preserve">Improvements in data quality for 2016, with ore figures supplied directly by the </w:t>
      </w:r>
      <w:r w:rsidR="00205365">
        <w:rPr>
          <w:szCs w:val="18"/>
        </w:rPr>
        <w:lastRenderedPageBreak/>
        <w:t xml:space="preserve">company, have led to a more accurate estimate </w:t>
      </w:r>
      <w:r w:rsidR="00581937">
        <w:rPr>
          <w:szCs w:val="18"/>
        </w:rPr>
        <w:t xml:space="preserve">of the mercury input. </w:t>
      </w:r>
      <w:r w:rsidR="00205365">
        <w:rPr>
          <w:szCs w:val="18"/>
        </w:rPr>
        <w:t>For 2012 it was assumed in error that a proportion of th</w:t>
      </w:r>
      <w:r w:rsidR="00581937">
        <w:rPr>
          <w:szCs w:val="18"/>
        </w:rPr>
        <w:t xml:space="preserve">e ore estimate was waste rock. </w:t>
      </w:r>
      <w:r w:rsidR="00205365">
        <w:rPr>
          <w:szCs w:val="18"/>
        </w:rPr>
        <w:t>Because waste rock is not processed and does not release mercury this treatment of the data led to an underestimate of the 2012 mercury input.</w:t>
      </w:r>
    </w:p>
    <w:p w14:paraId="1F77FD71" w14:textId="77777777" w:rsidR="00E2258A" w:rsidRDefault="00350445" w:rsidP="00ED6A25">
      <w:pPr>
        <w:pStyle w:val="Caption"/>
        <w:spacing w:before="240"/>
        <w:rPr>
          <w:szCs w:val="18"/>
        </w:rPr>
      </w:pPr>
      <w:bookmarkStart w:id="56" w:name="_Ref358387581"/>
      <w:bookmarkStart w:id="57" w:name="_Toc484949647"/>
      <w:r w:rsidRPr="00350445">
        <w:rPr>
          <w:rFonts w:ascii="Arial" w:hAnsi="Arial" w:cs="Arial"/>
        </w:rPr>
        <w:t xml:space="preserve">Table </w:t>
      </w:r>
      <w:r w:rsidR="00390C9F">
        <w:rPr>
          <w:rFonts w:ascii="Arial" w:hAnsi="Arial" w:cs="Arial"/>
        </w:rPr>
        <w:fldChar w:fldCharType="begin"/>
      </w:r>
      <w:r w:rsidR="00390C9F">
        <w:rPr>
          <w:rFonts w:ascii="Arial" w:hAnsi="Arial" w:cs="Arial"/>
        </w:rPr>
        <w:instrText xml:space="preserve"> STYLEREF 1 \s </w:instrText>
      </w:r>
      <w:r w:rsidR="00390C9F">
        <w:rPr>
          <w:rFonts w:ascii="Arial" w:hAnsi="Arial" w:cs="Arial"/>
        </w:rPr>
        <w:fldChar w:fldCharType="separate"/>
      </w:r>
      <w:r w:rsidR="00423FC9">
        <w:rPr>
          <w:rFonts w:ascii="Arial" w:hAnsi="Arial" w:cs="Arial"/>
          <w:noProof/>
        </w:rPr>
        <w:t>4</w:t>
      </w:r>
      <w:r w:rsidR="00390C9F">
        <w:rPr>
          <w:rFonts w:ascii="Arial" w:hAnsi="Arial" w:cs="Arial"/>
        </w:rPr>
        <w:fldChar w:fldCharType="end"/>
      </w:r>
      <w:r w:rsidR="00390C9F">
        <w:rPr>
          <w:rFonts w:ascii="Arial" w:hAnsi="Arial" w:cs="Arial"/>
        </w:rPr>
        <w:noBreakHyphen/>
      </w:r>
      <w:r w:rsidR="00390C9F">
        <w:rPr>
          <w:rFonts w:ascii="Arial" w:hAnsi="Arial" w:cs="Arial"/>
        </w:rPr>
        <w:fldChar w:fldCharType="begin"/>
      </w:r>
      <w:r w:rsidR="00390C9F">
        <w:rPr>
          <w:rFonts w:ascii="Arial" w:hAnsi="Arial" w:cs="Arial"/>
        </w:rPr>
        <w:instrText xml:space="preserve"> SEQ Table \* ARABIC \s 1 </w:instrText>
      </w:r>
      <w:r w:rsidR="00390C9F">
        <w:rPr>
          <w:rFonts w:ascii="Arial" w:hAnsi="Arial" w:cs="Arial"/>
        </w:rPr>
        <w:fldChar w:fldCharType="separate"/>
      </w:r>
      <w:r w:rsidR="00423FC9">
        <w:rPr>
          <w:rFonts w:ascii="Arial" w:hAnsi="Arial" w:cs="Arial"/>
          <w:noProof/>
        </w:rPr>
        <w:t>3</w:t>
      </w:r>
      <w:r w:rsidR="00390C9F">
        <w:rPr>
          <w:rFonts w:ascii="Arial" w:hAnsi="Arial" w:cs="Arial"/>
        </w:rPr>
        <w:fldChar w:fldCharType="end"/>
      </w:r>
      <w:bookmarkEnd w:id="56"/>
      <w:r w:rsidRPr="00350445">
        <w:rPr>
          <w:rFonts w:ascii="Arial" w:hAnsi="Arial" w:cs="Arial"/>
        </w:rPr>
        <w:t>:</w:t>
      </w:r>
      <w:r>
        <w:t xml:space="preserve">  </w:t>
      </w:r>
      <w:r w:rsidRPr="00284760">
        <w:rPr>
          <w:rFonts w:ascii="Arial" w:hAnsi="Arial" w:cs="Arial"/>
        </w:rPr>
        <w:t>Input and output estimates for</w:t>
      </w:r>
      <w:r>
        <w:rPr>
          <w:rFonts w:ascii="Arial" w:hAnsi="Arial" w:cs="Arial"/>
        </w:rPr>
        <w:t xml:space="preserve"> gold and silver production not using mercury</w:t>
      </w:r>
      <w:bookmarkEnd w:id="57"/>
    </w:p>
    <w:tbl>
      <w:tblPr>
        <w:tblStyle w:val="TableGrid"/>
        <w:tblW w:w="0" w:type="auto"/>
        <w:tblLook w:val="04A0" w:firstRow="1" w:lastRow="0" w:firstColumn="1" w:lastColumn="0" w:noHBand="0" w:noVBand="1"/>
      </w:tblPr>
      <w:tblGrid>
        <w:gridCol w:w="1435"/>
        <w:gridCol w:w="850"/>
        <w:gridCol w:w="958"/>
        <w:gridCol w:w="1484"/>
        <w:gridCol w:w="1104"/>
        <w:gridCol w:w="1000"/>
        <w:gridCol w:w="1333"/>
        <w:gridCol w:w="897"/>
      </w:tblGrid>
      <w:tr w:rsidR="00FE4C3B" w14:paraId="62A60FD3" w14:textId="77777777" w:rsidTr="003D2F17">
        <w:trPr>
          <w:trHeight w:val="776"/>
        </w:trPr>
        <w:tc>
          <w:tcPr>
            <w:tcW w:w="1435" w:type="dxa"/>
            <w:vMerge w:val="restart"/>
            <w:vAlign w:val="center"/>
          </w:tcPr>
          <w:p w14:paraId="5942A06E" w14:textId="77777777" w:rsidR="00FE4C3B" w:rsidRPr="00F31685" w:rsidRDefault="00FE4C3B" w:rsidP="00C21F75">
            <w:pPr>
              <w:spacing w:line="300" w:lineRule="atLeast"/>
              <w:jc w:val="center"/>
              <w:rPr>
                <w:rFonts w:ascii="Arial" w:hAnsi="Arial" w:cs="Arial"/>
                <w:b/>
                <w:sz w:val="16"/>
                <w:szCs w:val="16"/>
              </w:rPr>
            </w:pPr>
            <w:r w:rsidRPr="00F31685">
              <w:rPr>
                <w:rFonts w:ascii="Arial" w:hAnsi="Arial" w:cs="Arial"/>
                <w:b/>
                <w:sz w:val="16"/>
                <w:szCs w:val="16"/>
              </w:rPr>
              <w:t>Source</w:t>
            </w:r>
          </w:p>
        </w:tc>
        <w:tc>
          <w:tcPr>
            <w:tcW w:w="850" w:type="dxa"/>
            <w:vMerge w:val="restart"/>
            <w:vAlign w:val="center"/>
          </w:tcPr>
          <w:p w14:paraId="6C1187A1" w14:textId="77777777" w:rsidR="00FE4C3B" w:rsidRPr="00F31685" w:rsidRDefault="00FE4C3B" w:rsidP="00C21F75">
            <w:pPr>
              <w:spacing w:line="300" w:lineRule="atLeast"/>
              <w:jc w:val="center"/>
              <w:rPr>
                <w:rFonts w:ascii="Arial" w:hAnsi="Arial" w:cs="Arial"/>
                <w:b/>
                <w:sz w:val="16"/>
                <w:szCs w:val="16"/>
              </w:rPr>
            </w:pPr>
            <w:r w:rsidRPr="00F31685">
              <w:rPr>
                <w:rFonts w:ascii="Arial" w:hAnsi="Arial" w:cs="Arial"/>
                <w:b/>
                <w:sz w:val="16"/>
                <w:szCs w:val="16"/>
              </w:rPr>
              <w:t xml:space="preserve">Activity Rate, </w:t>
            </w:r>
            <w:r>
              <w:rPr>
                <w:rFonts w:ascii="Arial" w:hAnsi="Arial" w:cs="Arial"/>
                <w:b/>
                <w:sz w:val="16"/>
                <w:szCs w:val="16"/>
              </w:rPr>
              <w:t>Mt</w:t>
            </w:r>
            <w:r w:rsidRPr="00F31685">
              <w:rPr>
                <w:rFonts w:ascii="Arial" w:hAnsi="Arial" w:cs="Arial"/>
                <w:b/>
                <w:sz w:val="16"/>
                <w:szCs w:val="16"/>
              </w:rPr>
              <w:t>/</w:t>
            </w:r>
            <w:proofErr w:type="spellStart"/>
            <w:r w:rsidRPr="00F31685">
              <w:rPr>
                <w:rFonts w:ascii="Arial" w:hAnsi="Arial" w:cs="Arial"/>
                <w:b/>
                <w:sz w:val="16"/>
                <w:szCs w:val="16"/>
              </w:rPr>
              <w:t>yr</w:t>
            </w:r>
            <w:proofErr w:type="spellEnd"/>
          </w:p>
        </w:tc>
        <w:tc>
          <w:tcPr>
            <w:tcW w:w="958" w:type="dxa"/>
            <w:vMerge w:val="restart"/>
            <w:vAlign w:val="center"/>
          </w:tcPr>
          <w:p w14:paraId="778D2C5D" w14:textId="77777777" w:rsidR="00FE4C3B" w:rsidRPr="00F31685" w:rsidRDefault="00FE4C3B" w:rsidP="00C21F75">
            <w:pPr>
              <w:spacing w:line="300" w:lineRule="atLeast"/>
              <w:jc w:val="center"/>
              <w:rPr>
                <w:rFonts w:ascii="Arial" w:hAnsi="Arial" w:cs="Arial"/>
                <w:b/>
                <w:sz w:val="16"/>
                <w:szCs w:val="16"/>
              </w:rPr>
            </w:pPr>
            <w:r>
              <w:rPr>
                <w:rFonts w:ascii="Arial" w:hAnsi="Arial" w:cs="Arial"/>
                <w:b/>
                <w:sz w:val="16"/>
                <w:szCs w:val="16"/>
              </w:rPr>
              <w:t>Mercury content, g/tonne</w:t>
            </w:r>
          </w:p>
        </w:tc>
        <w:tc>
          <w:tcPr>
            <w:tcW w:w="1484" w:type="dxa"/>
            <w:vMerge w:val="restart"/>
            <w:vAlign w:val="center"/>
          </w:tcPr>
          <w:p w14:paraId="7DEBD5CE" w14:textId="77777777" w:rsidR="00FE4C3B" w:rsidRPr="00F31685" w:rsidRDefault="00FE4C3B" w:rsidP="00C21F75">
            <w:pPr>
              <w:spacing w:line="300" w:lineRule="atLeast"/>
              <w:jc w:val="center"/>
              <w:rPr>
                <w:rFonts w:ascii="Arial" w:hAnsi="Arial" w:cs="Arial"/>
                <w:b/>
                <w:sz w:val="16"/>
                <w:szCs w:val="16"/>
              </w:rPr>
            </w:pPr>
            <w:r>
              <w:rPr>
                <w:rFonts w:ascii="Arial" w:hAnsi="Arial" w:cs="Arial"/>
                <w:b/>
                <w:sz w:val="16"/>
                <w:szCs w:val="16"/>
              </w:rPr>
              <w:t>Annual Mercury Inputs, kg</w:t>
            </w:r>
            <w:r w:rsidRPr="00F31685">
              <w:rPr>
                <w:rFonts w:ascii="Arial" w:hAnsi="Arial" w:cs="Arial"/>
                <w:b/>
                <w:sz w:val="16"/>
                <w:szCs w:val="16"/>
              </w:rPr>
              <w:t>/</w:t>
            </w:r>
            <w:proofErr w:type="spellStart"/>
            <w:r w:rsidRPr="00F31685">
              <w:rPr>
                <w:rFonts w:ascii="Arial" w:hAnsi="Arial" w:cs="Arial"/>
                <w:b/>
                <w:sz w:val="16"/>
                <w:szCs w:val="16"/>
              </w:rPr>
              <w:t>yr</w:t>
            </w:r>
            <w:proofErr w:type="spellEnd"/>
          </w:p>
        </w:tc>
        <w:tc>
          <w:tcPr>
            <w:tcW w:w="4334" w:type="dxa"/>
            <w:gridSpan w:val="4"/>
            <w:vAlign w:val="center"/>
          </w:tcPr>
          <w:p w14:paraId="5B7640F0" w14:textId="77777777" w:rsidR="00FE4C3B" w:rsidRPr="00F31685" w:rsidRDefault="00FE4C3B" w:rsidP="00FE4C3B">
            <w:pPr>
              <w:spacing w:line="300" w:lineRule="atLeast"/>
              <w:jc w:val="center"/>
              <w:rPr>
                <w:rFonts w:ascii="Arial" w:hAnsi="Arial" w:cs="Arial"/>
                <w:b/>
                <w:sz w:val="16"/>
                <w:szCs w:val="16"/>
              </w:rPr>
            </w:pPr>
            <w:r w:rsidRPr="009B0A69">
              <w:rPr>
                <w:rFonts w:ascii="Arial" w:hAnsi="Arial" w:cs="Arial"/>
                <w:b/>
                <w:sz w:val="16"/>
                <w:szCs w:val="16"/>
              </w:rPr>
              <w:t>Annual Mercury Outputs, kg/</w:t>
            </w:r>
            <w:proofErr w:type="spellStart"/>
            <w:r w:rsidRPr="009B0A69">
              <w:rPr>
                <w:rFonts w:ascii="Arial" w:hAnsi="Arial" w:cs="Arial"/>
                <w:b/>
                <w:sz w:val="16"/>
                <w:szCs w:val="16"/>
              </w:rPr>
              <w:t>yr</w:t>
            </w:r>
            <w:proofErr w:type="spellEnd"/>
          </w:p>
        </w:tc>
      </w:tr>
      <w:tr w:rsidR="002C0A7B" w14:paraId="336A4F40" w14:textId="77777777" w:rsidTr="003D2F17">
        <w:tc>
          <w:tcPr>
            <w:tcW w:w="1435" w:type="dxa"/>
            <w:vMerge/>
            <w:vAlign w:val="center"/>
          </w:tcPr>
          <w:p w14:paraId="17BA0D49" w14:textId="77777777" w:rsidR="002C0A7B" w:rsidRPr="00F31685" w:rsidRDefault="002C0A7B" w:rsidP="00C21F75">
            <w:pPr>
              <w:spacing w:line="300" w:lineRule="atLeast"/>
              <w:jc w:val="center"/>
              <w:rPr>
                <w:rFonts w:ascii="Arial" w:hAnsi="Arial" w:cs="Arial"/>
                <w:b/>
                <w:sz w:val="16"/>
                <w:szCs w:val="16"/>
              </w:rPr>
            </w:pPr>
          </w:p>
        </w:tc>
        <w:tc>
          <w:tcPr>
            <w:tcW w:w="850" w:type="dxa"/>
            <w:vMerge/>
            <w:vAlign w:val="center"/>
          </w:tcPr>
          <w:p w14:paraId="579C781E" w14:textId="77777777" w:rsidR="002C0A7B" w:rsidRPr="00F31685" w:rsidRDefault="002C0A7B" w:rsidP="00C21F75">
            <w:pPr>
              <w:spacing w:line="300" w:lineRule="atLeast"/>
              <w:jc w:val="center"/>
              <w:rPr>
                <w:rFonts w:ascii="Arial" w:hAnsi="Arial" w:cs="Arial"/>
                <w:b/>
                <w:sz w:val="16"/>
                <w:szCs w:val="16"/>
              </w:rPr>
            </w:pPr>
          </w:p>
        </w:tc>
        <w:tc>
          <w:tcPr>
            <w:tcW w:w="958" w:type="dxa"/>
            <w:vMerge/>
            <w:vAlign w:val="center"/>
          </w:tcPr>
          <w:p w14:paraId="28B9057F" w14:textId="77777777" w:rsidR="002C0A7B" w:rsidRPr="00F31685" w:rsidRDefault="002C0A7B" w:rsidP="00C21F75">
            <w:pPr>
              <w:spacing w:line="300" w:lineRule="atLeast"/>
              <w:jc w:val="center"/>
              <w:rPr>
                <w:rFonts w:ascii="Arial" w:hAnsi="Arial" w:cs="Arial"/>
                <w:b/>
                <w:sz w:val="16"/>
                <w:szCs w:val="16"/>
              </w:rPr>
            </w:pPr>
          </w:p>
        </w:tc>
        <w:tc>
          <w:tcPr>
            <w:tcW w:w="1484" w:type="dxa"/>
            <w:vMerge/>
            <w:vAlign w:val="center"/>
          </w:tcPr>
          <w:p w14:paraId="5D149082" w14:textId="77777777" w:rsidR="002C0A7B" w:rsidRPr="00F31685" w:rsidRDefault="002C0A7B" w:rsidP="00C21F75">
            <w:pPr>
              <w:spacing w:line="300" w:lineRule="atLeast"/>
              <w:jc w:val="center"/>
              <w:rPr>
                <w:rFonts w:ascii="Arial" w:hAnsi="Arial" w:cs="Arial"/>
                <w:b/>
                <w:sz w:val="16"/>
                <w:szCs w:val="16"/>
              </w:rPr>
            </w:pPr>
          </w:p>
        </w:tc>
        <w:tc>
          <w:tcPr>
            <w:tcW w:w="1104" w:type="dxa"/>
            <w:vAlign w:val="center"/>
          </w:tcPr>
          <w:p w14:paraId="78F8ADFB" w14:textId="77777777" w:rsidR="002C0A7B" w:rsidRPr="00F31685" w:rsidRDefault="002C0A7B" w:rsidP="00C21F75">
            <w:pPr>
              <w:spacing w:line="300" w:lineRule="atLeast"/>
              <w:jc w:val="center"/>
              <w:rPr>
                <w:rFonts w:ascii="Arial" w:hAnsi="Arial" w:cs="Arial"/>
                <w:b/>
                <w:sz w:val="16"/>
                <w:szCs w:val="16"/>
              </w:rPr>
            </w:pPr>
            <w:r w:rsidRPr="00F31685">
              <w:rPr>
                <w:rFonts w:ascii="Arial" w:hAnsi="Arial" w:cs="Arial"/>
                <w:b/>
                <w:sz w:val="16"/>
                <w:szCs w:val="16"/>
              </w:rPr>
              <w:t>Air</w:t>
            </w:r>
          </w:p>
        </w:tc>
        <w:tc>
          <w:tcPr>
            <w:tcW w:w="1000" w:type="dxa"/>
            <w:vAlign w:val="center"/>
          </w:tcPr>
          <w:p w14:paraId="77375F74" w14:textId="77777777" w:rsidR="002C0A7B" w:rsidRPr="00F31685" w:rsidRDefault="002C0A7B" w:rsidP="00C21F75">
            <w:pPr>
              <w:spacing w:line="300" w:lineRule="atLeast"/>
              <w:jc w:val="center"/>
              <w:rPr>
                <w:rFonts w:ascii="Arial" w:hAnsi="Arial" w:cs="Arial"/>
                <w:b/>
                <w:sz w:val="16"/>
                <w:szCs w:val="16"/>
              </w:rPr>
            </w:pPr>
            <w:r>
              <w:rPr>
                <w:rFonts w:ascii="Arial" w:hAnsi="Arial" w:cs="Arial"/>
                <w:b/>
                <w:sz w:val="16"/>
                <w:szCs w:val="16"/>
              </w:rPr>
              <w:t>Water</w:t>
            </w:r>
          </w:p>
        </w:tc>
        <w:tc>
          <w:tcPr>
            <w:tcW w:w="1333" w:type="dxa"/>
            <w:vAlign w:val="center"/>
          </w:tcPr>
          <w:p w14:paraId="2255ED4A" w14:textId="77777777" w:rsidR="002C0A7B" w:rsidRDefault="002C0A7B" w:rsidP="002C0A7B">
            <w:pPr>
              <w:spacing w:line="300" w:lineRule="atLeast"/>
              <w:jc w:val="center"/>
              <w:rPr>
                <w:rFonts w:ascii="Arial" w:hAnsi="Arial" w:cs="Arial"/>
                <w:b/>
                <w:sz w:val="16"/>
                <w:szCs w:val="16"/>
              </w:rPr>
            </w:pPr>
            <w:r>
              <w:rPr>
                <w:rFonts w:ascii="Arial" w:hAnsi="Arial" w:cs="Arial"/>
                <w:b/>
                <w:sz w:val="16"/>
                <w:szCs w:val="16"/>
              </w:rPr>
              <w:t>Land</w:t>
            </w:r>
          </w:p>
        </w:tc>
        <w:tc>
          <w:tcPr>
            <w:tcW w:w="897" w:type="dxa"/>
            <w:vAlign w:val="center"/>
          </w:tcPr>
          <w:p w14:paraId="557CE502" w14:textId="77777777" w:rsidR="002C0A7B" w:rsidRPr="00F31685" w:rsidRDefault="002C0A7B" w:rsidP="00C21F75">
            <w:pPr>
              <w:spacing w:line="300" w:lineRule="atLeast"/>
              <w:jc w:val="center"/>
              <w:rPr>
                <w:rFonts w:ascii="Arial" w:hAnsi="Arial" w:cs="Arial"/>
                <w:b/>
                <w:sz w:val="16"/>
                <w:szCs w:val="16"/>
              </w:rPr>
            </w:pPr>
            <w:r>
              <w:rPr>
                <w:rFonts w:ascii="Arial" w:hAnsi="Arial" w:cs="Arial"/>
                <w:b/>
                <w:sz w:val="16"/>
                <w:szCs w:val="16"/>
              </w:rPr>
              <w:t>Product</w:t>
            </w:r>
          </w:p>
        </w:tc>
      </w:tr>
      <w:tr w:rsidR="002C0A7B" w14:paraId="1BDE6CE1" w14:textId="77777777" w:rsidTr="003D2F17">
        <w:tc>
          <w:tcPr>
            <w:tcW w:w="1435" w:type="dxa"/>
          </w:tcPr>
          <w:p w14:paraId="106F15B5" w14:textId="77777777" w:rsidR="002C0A7B" w:rsidRPr="00F31685" w:rsidRDefault="002C0A7B" w:rsidP="00FB141E">
            <w:pPr>
              <w:spacing w:line="300" w:lineRule="atLeast"/>
              <w:jc w:val="both"/>
              <w:rPr>
                <w:rFonts w:ascii="Arial" w:hAnsi="Arial" w:cs="Arial"/>
                <w:sz w:val="16"/>
                <w:szCs w:val="16"/>
              </w:rPr>
            </w:pPr>
            <w:r>
              <w:rPr>
                <w:rFonts w:ascii="Arial" w:hAnsi="Arial" w:cs="Arial"/>
                <w:sz w:val="16"/>
                <w:szCs w:val="16"/>
              </w:rPr>
              <w:t>Gold/silver production, 2012</w:t>
            </w:r>
          </w:p>
        </w:tc>
        <w:tc>
          <w:tcPr>
            <w:tcW w:w="850" w:type="dxa"/>
            <w:vAlign w:val="center"/>
          </w:tcPr>
          <w:p w14:paraId="10A070DC" w14:textId="77777777" w:rsidR="002C0A7B" w:rsidRPr="00F31685" w:rsidRDefault="002C0A7B" w:rsidP="00C21F75">
            <w:pPr>
              <w:spacing w:line="300" w:lineRule="atLeast"/>
              <w:jc w:val="center"/>
              <w:rPr>
                <w:rFonts w:ascii="Arial" w:hAnsi="Arial" w:cs="Arial"/>
                <w:sz w:val="16"/>
                <w:szCs w:val="16"/>
              </w:rPr>
            </w:pPr>
            <w:r>
              <w:rPr>
                <w:rFonts w:ascii="Arial" w:hAnsi="Arial" w:cs="Arial"/>
                <w:sz w:val="16"/>
                <w:szCs w:val="16"/>
              </w:rPr>
              <w:t>2.5</w:t>
            </w:r>
          </w:p>
        </w:tc>
        <w:tc>
          <w:tcPr>
            <w:tcW w:w="958" w:type="dxa"/>
            <w:vAlign w:val="center"/>
          </w:tcPr>
          <w:p w14:paraId="761672EC" w14:textId="77777777" w:rsidR="002C0A7B" w:rsidRPr="00F31685" w:rsidRDefault="002C0A7B" w:rsidP="00C21F75">
            <w:pPr>
              <w:spacing w:line="300" w:lineRule="atLeast"/>
              <w:jc w:val="center"/>
              <w:rPr>
                <w:rFonts w:ascii="Arial" w:hAnsi="Arial" w:cs="Arial"/>
                <w:sz w:val="16"/>
                <w:szCs w:val="16"/>
              </w:rPr>
            </w:pPr>
            <w:r>
              <w:rPr>
                <w:rFonts w:ascii="Arial" w:hAnsi="Arial" w:cs="Arial"/>
                <w:sz w:val="16"/>
                <w:szCs w:val="16"/>
              </w:rPr>
              <w:t>0.5 – 1.0</w:t>
            </w:r>
          </w:p>
        </w:tc>
        <w:tc>
          <w:tcPr>
            <w:tcW w:w="1484" w:type="dxa"/>
            <w:vAlign w:val="center"/>
          </w:tcPr>
          <w:p w14:paraId="5643C11E" w14:textId="77777777" w:rsidR="002C0A7B" w:rsidRPr="00F31685" w:rsidRDefault="002C0A7B" w:rsidP="00280379">
            <w:pPr>
              <w:spacing w:line="300" w:lineRule="atLeast"/>
              <w:jc w:val="center"/>
              <w:rPr>
                <w:rFonts w:ascii="Arial" w:hAnsi="Arial" w:cs="Arial"/>
                <w:sz w:val="16"/>
                <w:szCs w:val="16"/>
              </w:rPr>
            </w:pPr>
            <w:r>
              <w:rPr>
                <w:rFonts w:ascii="Arial" w:hAnsi="Arial" w:cs="Arial"/>
                <w:sz w:val="16"/>
                <w:szCs w:val="16"/>
              </w:rPr>
              <w:t>1,250 – 2,500 (1,875)</w:t>
            </w:r>
          </w:p>
        </w:tc>
        <w:tc>
          <w:tcPr>
            <w:tcW w:w="1104" w:type="dxa"/>
            <w:vAlign w:val="center"/>
          </w:tcPr>
          <w:p w14:paraId="00547FA2" w14:textId="77777777" w:rsidR="002C0A7B" w:rsidRPr="00F31685" w:rsidRDefault="002C0A7B" w:rsidP="00280379">
            <w:pPr>
              <w:spacing w:line="300" w:lineRule="atLeast"/>
              <w:jc w:val="center"/>
              <w:rPr>
                <w:rFonts w:ascii="Arial" w:hAnsi="Arial" w:cs="Arial"/>
                <w:sz w:val="16"/>
                <w:szCs w:val="16"/>
              </w:rPr>
            </w:pPr>
            <w:r>
              <w:rPr>
                <w:rFonts w:ascii="Arial" w:hAnsi="Arial" w:cs="Arial"/>
                <w:sz w:val="16"/>
                <w:szCs w:val="16"/>
              </w:rPr>
              <w:t>50 – 100 (75)</w:t>
            </w:r>
          </w:p>
        </w:tc>
        <w:tc>
          <w:tcPr>
            <w:tcW w:w="1000" w:type="dxa"/>
            <w:vAlign w:val="center"/>
          </w:tcPr>
          <w:p w14:paraId="44B11443" w14:textId="77777777" w:rsidR="002C0A7B" w:rsidRPr="00F31685" w:rsidRDefault="002C0A7B" w:rsidP="00280379">
            <w:pPr>
              <w:spacing w:line="300" w:lineRule="atLeast"/>
              <w:jc w:val="center"/>
              <w:rPr>
                <w:rFonts w:ascii="Arial" w:hAnsi="Arial" w:cs="Arial"/>
                <w:sz w:val="16"/>
                <w:szCs w:val="16"/>
              </w:rPr>
            </w:pPr>
            <w:r>
              <w:rPr>
                <w:rFonts w:ascii="Arial" w:hAnsi="Arial" w:cs="Arial"/>
                <w:sz w:val="16"/>
                <w:szCs w:val="16"/>
              </w:rPr>
              <w:t>25 – 50 (37.5)</w:t>
            </w:r>
          </w:p>
        </w:tc>
        <w:tc>
          <w:tcPr>
            <w:tcW w:w="1333" w:type="dxa"/>
            <w:vAlign w:val="center"/>
          </w:tcPr>
          <w:p w14:paraId="586320D6" w14:textId="77777777" w:rsidR="002C0A7B" w:rsidRDefault="002C0A7B" w:rsidP="00FE4C3B">
            <w:pPr>
              <w:spacing w:line="300" w:lineRule="atLeast"/>
              <w:jc w:val="center"/>
              <w:rPr>
                <w:rFonts w:ascii="Arial" w:hAnsi="Arial" w:cs="Arial"/>
                <w:sz w:val="16"/>
                <w:szCs w:val="16"/>
              </w:rPr>
            </w:pPr>
            <w:r>
              <w:rPr>
                <w:rFonts w:ascii="Arial" w:hAnsi="Arial" w:cs="Arial"/>
                <w:sz w:val="16"/>
                <w:szCs w:val="16"/>
              </w:rPr>
              <w:t>1,125 – 2,250 (1,687.5)</w:t>
            </w:r>
          </w:p>
        </w:tc>
        <w:tc>
          <w:tcPr>
            <w:tcW w:w="897" w:type="dxa"/>
            <w:vAlign w:val="center"/>
          </w:tcPr>
          <w:p w14:paraId="6DEF9971" w14:textId="77777777" w:rsidR="002C0A7B" w:rsidRPr="00F31685" w:rsidRDefault="002C0A7B" w:rsidP="00280379">
            <w:pPr>
              <w:spacing w:line="300" w:lineRule="atLeast"/>
              <w:jc w:val="center"/>
              <w:rPr>
                <w:rFonts w:ascii="Arial" w:hAnsi="Arial" w:cs="Arial"/>
                <w:sz w:val="16"/>
                <w:szCs w:val="16"/>
              </w:rPr>
            </w:pPr>
            <w:r>
              <w:rPr>
                <w:rFonts w:ascii="Arial" w:hAnsi="Arial" w:cs="Arial"/>
                <w:sz w:val="16"/>
                <w:szCs w:val="16"/>
              </w:rPr>
              <w:t>50 - 100 (75)</w:t>
            </w:r>
          </w:p>
        </w:tc>
      </w:tr>
      <w:tr w:rsidR="002C0A7B" w14:paraId="255511C2" w14:textId="77777777" w:rsidTr="003D2F17">
        <w:tc>
          <w:tcPr>
            <w:tcW w:w="1435" w:type="dxa"/>
            <w:vAlign w:val="center"/>
          </w:tcPr>
          <w:p w14:paraId="3F03ABB6" w14:textId="77777777" w:rsidR="002C0A7B" w:rsidRDefault="002C0A7B" w:rsidP="002C0A7B">
            <w:pPr>
              <w:spacing w:line="300" w:lineRule="atLeast"/>
              <w:rPr>
                <w:rFonts w:ascii="Arial" w:hAnsi="Arial" w:cs="Arial"/>
                <w:sz w:val="16"/>
                <w:szCs w:val="16"/>
              </w:rPr>
            </w:pPr>
            <w:r>
              <w:rPr>
                <w:rFonts w:ascii="Arial" w:hAnsi="Arial" w:cs="Arial"/>
                <w:sz w:val="16"/>
                <w:szCs w:val="16"/>
              </w:rPr>
              <w:t>Gold/silver production, 2016</w:t>
            </w:r>
          </w:p>
        </w:tc>
        <w:tc>
          <w:tcPr>
            <w:tcW w:w="850" w:type="dxa"/>
            <w:vAlign w:val="center"/>
          </w:tcPr>
          <w:p w14:paraId="0ADF32E5" w14:textId="77777777" w:rsidR="002C0A7B" w:rsidRDefault="002C0A7B" w:rsidP="00C21F75">
            <w:pPr>
              <w:spacing w:line="300" w:lineRule="atLeast"/>
              <w:jc w:val="center"/>
              <w:rPr>
                <w:rFonts w:ascii="Arial" w:hAnsi="Arial" w:cs="Arial"/>
                <w:sz w:val="16"/>
                <w:szCs w:val="16"/>
              </w:rPr>
            </w:pPr>
            <w:r>
              <w:rPr>
                <w:rFonts w:ascii="Arial" w:hAnsi="Arial" w:cs="Arial"/>
                <w:sz w:val="16"/>
                <w:szCs w:val="16"/>
              </w:rPr>
              <w:t>6.56</w:t>
            </w:r>
          </w:p>
        </w:tc>
        <w:tc>
          <w:tcPr>
            <w:tcW w:w="958" w:type="dxa"/>
            <w:vAlign w:val="center"/>
          </w:tcPr>
          <w:p w14:paraId="2FB04380" w14:textId="77777777" w:rsidR="002C0A7B" w:rsidRDefault="002C0A7B" w:rsidP="00C21F75">
            <w:pPr>
              <w:spacing w:line="300" w:lineRule="atLeast"/>
              <w:jc w:val="center"/>
              <w:rPr>
                <w:rFonts w:ascii="Arial" w:hAnsi="Arial" w:cs="Arial"/>
                <w:sz w:val="16"/>
                <w:szCs w:val="16"/>
              </w:rPr>
            </w:pPr>
            <w:r>
              <w:rPr>
                <w:rFonts w:ascii="Arial" w:hAnsi="Arial" w:cs="Arial"/>
                <w:sz w:val="16"/>
                <w:szCs w:val="16"/>
              </w:rPr>
              <w:t>0.23 – 2.0</w:t>
            </w:r>
          </w:p>
        </w:tc>
        <w:tc>
          <w:tcPr>
            <w:tcW w:w="1484" w:type="dxa"/>
            <w:vAlign w:val="center"/>
          </w:tcPr>
          <w:p w14:paraId="181A43D8" w14:textId="6F98B3C4" w:rsidR="002C0A7B" w:rsidRDefault="002C0A7B" w:rsidP="003D2F17">
            <w:pPr>
              <w:spacing w:line="300" w:lineRule="atLeast"/>
              <w:jc w:val="center"/>
              <w:rPr>
                <w:rFonts w:ascii="Arial" w:hAnsi="Arial" w:cs="Arial"/>
                <w:sz w:val="16"/>
                <w:szCs w:val="16"/>
              </w:rPr>
            </w:pPr>
            <w:r>
              <w:rPr>
                <w:rFonts w:ascii="Arial" w:hAnsi="Arial" w:cs="Arial"/>
                <w:sz w:val="16"/>
                <w:szCs w:val="16"/>
              </w:rPr>
              <w:t>1,50</w:t>
            </w:r>
            <w:r w:rsidR="003D2F17">
              <w:rPr>
                <w:rFonts w:ascii="Arial" w:hAnsi="Arial" w:cs="Arial"/>
                <w:sz w:val="16"/>
                <w:szCs w:val="16"/>
              </w:rPr>
              <w:t>8</w:t>
            </w:r>
            <w:r>
              <w:rPr>
                <w:rFonts w:ascii="Arial" w:hAnsi="Arial" w:cs="Arial"/>
                <w:sz w:val="16"/>
                <w:szCs w:val="16"/>
              </w:rPr>
              <w:t xml:space="preserve"> – 13,1</w:t>
            </w:r>
            <w:r w:rsidR="003D2F17">
              <w:rPr>
                <w:rFonts w:ascii="Arial" w:hAnsi="Arial" w:cs="Arial"/>
                <w:sz w:val="16"/>
                <w:szCs w:val="16"/>
              </w:rPr>
              <w:t>14</w:t>
            </w:r>
            <w:r>
              <w:rPr>
                <w:rFonts w:ascii="Arial" w:hAnsi="Arial" w:cs="Arial"/>
                <w:sz w:val="16"/>
                <w:szCs w:val="16"/>
              </w:rPr>
              <w:t xml:space="preserve"> (4,9</w:t>
            </w:r>
            <w:r w:rsidR="003D2F17">
              <w:rPr>
                <w:rFonts w:ascii="Arial" w:hAnsi="Arial" w:cs="Arial"/>
                <w:sz w:val="16"/>
                <w:szCs w:val="16"/>
              </w:rPr>
              <w:t>18</w:t>
            </w:r>
            <w:r>
              <w:rPr>
                <w:rFonts w:ascii="Arial" w:hAnsi="Arial" w:cs="Arial"/>
                <w:sz w:val="16"/>
                <w:szCs w:val="16"/>
              </w:rPr>
              <w:t>)</w:t>
            </w:r>
          </w:p>
        </w:tc>
        <w:tc>
          <w:tcPr>
            <w:tcW w:w="1104" w:type="dxa"/>
            <w:vAlign w:val="center"/>
          </w:tcPr>
          <w:p w14:paraId="42A96DBD" w14:textId="50356581" w:rsidR="002C0A7B" w:rsidRDefault="002C0A7B" w:rsidP="00280379">
            <w:pPr>
              <w:spacing w:line="300" w:lineRule="atLeast"/>
              <w:jc w:val="center"/>
              <w:rPr>
                <w:rFonts w:ascii="Arial" w:hAnsi="Arial" w:cs="Arial"/>
                <w:sz w:val="16"/>
                <w:szCs w:val="16"/>
              </w:rPr>
            </w:pPr>
            <w:r>
              <w:rPr>
                <w:rFonts w:ascii="Arial" w:hAnsi="Arial" w:cs="Arial"/>
                <w:sz w:val="16"/>
                <w:szCs w:val="16"/>
              </w:rPr>
              <w:t>60.</w:t>
            </w:r>
            <w:r w:rsidR="003D2F17">
              <w:rPr>
                <w:rFonts w:ascii="Arial" w:hAnsi="Arial" w:cs="Arial"/>
                <w:sz w:val="16"/>
                <w:szCs w:val="16"/>
              </w:rPr>
              <w:t>3</w:t>
            </w:r>
            <w:r>
              <w:rPr>
                <w:rFonts w:ascii="Arial" w:hAnsi="Arial" w:cs="Arial"/>
                <w:sz w:val="16"/>
                <w:szCs w:val="16"/>
              </w:rPr>
              <w:t xml:space="preserve"> – 525 (19</w:t>
            </w:r>
            <w:r w:rsidR="003D2F17">
              <w:rPr>
                <w:rFonts w:ascii="Arial" w:hAnsi="Arial" w:cs="Arial"/>
                <w:sz w:val="16"/>
                <w:szCs w:val="16"/>
              </w:rPr>
              <w:t>6.</w:t>
            </w:r>
            <w:r>
              <w:rPr>
                <w:rFonts w:ascii="Arial" w:hAnsi="Arial" w:cs="Arial"/>
                <w:sz w:val="16"/>
                <w:szCs w:val="16"/>
              </w:rPr>
              <w:t>7)</w:t>
            </w:r>
          </w:p>
        </w:tc>
        <w:tc>
          <w:tcPr>
            <w:tcW w:w="1000" w:type="dxa"/>
            <w:vAlign w:val="center"/>
          </w:tcPr>
          <w:p w14:paraId="78E3D54E" w14:textId="2B83F715" w:rsidR="002C0A7B" w:rsidRDefault="002C0A7B" w:rsidP="00280379">
            <w:pPr>
              <w:spacing w:line="300" w:lineRule="atLeast"/>
              <w:jc w:val="center"/>
              <w:rPr>
                <w:rFonts w:ascii="Arial" w:hAnsi="Arial" w:cs="Arial"/>
                <w:sz w:val="16"/>
                <w:szCs w:val="16"/>
              </w:rPr>
            </w:pPr>
            <w:r>
              <w:rPr>
                <w:rFonts w:ascii="Arial" w:hAnsi="Arial" w:cs="Arial"/>
                <w:sz w:val="16"/>
                <w:szCs w:val="16"/>
              </w:rPr>
              <w:t>30.2 – 263 (98.</w:t>
            </w:r>
            <w:r w:rsidR="003D2F17">
              <w:rPr>
                <w:rFonts w:ascii="Arial" w:hAnsi="Arial" w:cs="Arial"/>
                <w:sz w:val="16"/>
                <w:szCs w:val="16"/>
              </w:rPr>
              <w:t>4</w:t>
            </w:r>
            <w:r>
              <w:rPr>
                <w:rFonts w:ascii="Arial" w:hAnsi="Arial" w:cs="Arial"/>
                <w:sz w:val="16"/>
                <w:szCs w:val="16"/>
              </w:rPr>
              <w:t>)</w:t>
            </w:r>
          </w:p>
        </w:tc>
        <w:tc>
          <w:tcPr>
            <w:tcW w:w="1333" w:type="dxa"/>
            <w:vAlign w:val="center"/>
          </w:tcPr>
          <w:p w14:paraId="577B15E2" w14:textId="0CE2F962" w:rsidR="002C0A7B" w:rsidRDefault="002C0A7B" w:rsidP="00FE4C3B">
            <w:pPr>
              <w:spacing w:line="300" w:lineRule="atLeast"/>
              <w:jc w:val="center"/>
              <w:rPr>
                <w:rFonts w:ascii="Arial" w:hAnsi="Arial" w:cs="Arial"/>
                <w:sz w:val="16"/>
                <w:szCs w:val="16"/>
              </w:rPr>
            </w:pPr>
            <w:r>
              <w:rPr>
                <w:rFonts w:ascii="Arial" w:hAnsi="Arial" w:cs="Arial"/>
                <w:sz w:val="16"/>
                <w:szCs w:val="16"/>
              </w:rPr>
              <w:t>1,35</w:t>
            </w:r>
            <w:r w:rsidR="003D2F17">
              <w:rPr>
                <w:rFonts w:ascii="Arial" w:hAnsi="Arial" w:cs="Arial"/>
                <w:sz w:val="16"/>
                <w:szCs w:val="16"/>
              </w:rPr>
              <w:t>7</w:t>
            </w:r>
            <w:r>
              <w:rPr>
                <w:rFonts w:ascii="Arial" w:hAnsi="Arial" w:cs="Arial"/>
                <w:sz w:val="16"/>
                <w:szCs w:val="16"/>
              </w:rPr>
              <w:t xml:space="preserve"> – 11,80</w:t>
            </w:r>
            <w:r w:rsidR="003D2F17">
              <w:rPr>
                <w:rFonts w:ascii="Arial" w:hAnsi="Arial" w:cs="Arial"/>
                <w:sz w:val="16"/>
                <w:szCs w:val="16"/>
              </w:rPr>
              <w:t>3</w:t>
            </w:r>
            <w:r>
              <w:rPr>
                <w:rFonts w:ascii="Arial" w:hAnsi="Arial" w:cs="Arial"/>
                <w:sz w:val="16"/>
                <w:szCs w:val="16"/>
              </w:rPr>
              <w:t xml:space="preserve"> (4,42</w:t>
            </w:r>
            <w:r w:rsidR="003D2F17">
              <w:rPr>
                <w:rFonts w:ascii="Arial" w:hAnsi="Arial" w:cs="Arial"/>
                <w:sz w:val="16"/>
                <w:szCs w:val="16"/>
              </w:rPr>
              <w:t>6</w:t>
            </w:r>
            <w:r>
              <w:rPr>
                <w:rFonts w:ascii="Arial" w:hAnsi="Arial" w:cs="Arial"/>
                <w:sz w:val="16"/>
                <w:szCs w:val="16"/>
              </w:rPr>
              <w:t>)</w:t>
            </w:r>
          </w:p>
        </w:tc>
        <w:tc>
          <w:tcPr>
            <w:tcW w:w="897" w:type="dxa"/>
            <w:vAlign w:val="center"/>
          </w:tcPr>
          <w:p w14:paraId="28036561" w14:textId="7A85E347" w:rsidR="002C0A7B" w:rsidRDefault="002C0A7B" w:rsidP="00280379">
            <w:pPr>
              <w:spacing w:line="300" w:lineRule="atLeast"/>
              <w:jc w:val="center"/>
              <w:rPr>
                <w:rFonts w:ascii="Arial" w:hAnsi="Arial" w:cs="Arial"/>
                <w:sz w:val="16"/>
                <w:szCs w:val="16"/>
              </w:rPr>
            </w:pPr>
            <w:r>
              <w:rPr>
                <w:rFonts w:ascii="Arial" w:hAnsi="Arial" w:cs="Arial"/>
                <w:sz w:val="16"/>
                <w:szCs w:val="16"/>
              </w:rPr>
              <w:t>60.</w:t>
            </w:r>
            <w:r w:rsidR="003D2F17">
              <w:rPr>
                <w:rFonts w:ascii="Arial" w:hAnsi="Arial" w:cs="Arial"/>
                <w:sz w:val="16"/>
                <w:szCs w:val="16"/>
              </w:rPr>
              <w:t>3</w:t>
            </w:r>
            <w:r>
              <w:rPr>
                <w:rFonts w:ascii="Arial" w:hAnsi="Arial" w:cs="Arial"/>
                <w:sz w:val="16"/>
                <w:szCs w:val="16"/>
              </w:rPr>
              <w:t xml:space="preserve"> – 525 (197)</w:t>
            </w:r>
          </w:p>
        </w:tc>
      </w:tr>
    </w:tbl>
    <w:p w14:paraId="26697947" w14:textId="561343A1" w:rsidR="003D2F17" w:rsidRPr="00BC61D1" w:rsidRDefault="003D2F17" w:rsidP="003D2F17">
      <w:pPr>
        <w:spacing w:line="300" w:lineRule="atLeast"/>
        <w:jc w:val="both"/>
        <w:rPr>
          <w:szCs w:val="18"/>
        </w:rPr>
      </w:pPr>
      <w:r>
        <w:rPr>
          <w:szCs w:val="18"/>
        </w:rPr>
        <w:t xml:space="preserve">The figures shown in brackets for 2016 are based on the lower mid-range </w:t>
      </w:r>
      <w:r w:rsidR="0043455D">
        <w:rPr>
          <w:szCs w:val="18"/>
        </w:rPr>
        <w:t xml:space="preserve">ore </w:t>
      </w:r>
      <w:r>
        <w:rPr>
          <w:szCs w:val="18"/>
        </w:rPr>
        <w:t xml:space="preserve">factor noted above rather than </w:t>
      </w:r>
      <w:r w:rsidR="00581937">
        <w:rPr>
          <w:szCs w:val="18"/>
        </w:rPr>
        <w:t>the mean value of each range</w:t>
      </w:r>
      <w:r w:rsidR="0043455D">
        <w:rPr>
          <w:szCs w:val="18"/>
        </w:rPr>
        <w:t>.</w:t>
      </w:r>
    </w:p>
    <w:p w14:paraId="4B96F8F2" w14:textId="77777777" w:rsidR="00C21F75" w:rsidRPr="00BE17CF" w:rsidRDefault="00C21F75" w:rsidP="00C21F75">
      <w:pPr>
        <w:spacing w:before="120" w:line="300" w:lineRule="atLeast"/>
        <w:jc w:val="both"/>
        <w:rPr>
          <w:rFonts w:ascii="Arial" w:hAnsi="Arial" w:cs="Arial"/>
          <w:b/>
          <w:szCs w:val="18"/>
        </w:rPr>
      </w:pPr>
      <w:r w:rsidRPr="00BE17CF">
        <w:rPr>
          <w:rFonts w:ascii="Arial" w:hAnsi="Arial" w:cs="Arial"/>
          <w:b/>
          <w:szCs w:val="18"/>
        </w:rPr>
        <w:t>Certainty assessment</w:t>
      </w:r>
    </w:p>
    <w:p w14:paraId="79D941F7" w14:textId="77777777" w:rsidR="00C21F75" w:rsidRDefault="00C21F75" w:rsidP="0094046F">
      <w:pPr>
        <w:tabs>
          <w:tab w:val="left" w:pos="1985"/>
        </w:tabs>
        <w:spacing w:line="300" w:lineRule="atLeast"/>
        <w:ind w:left="1985" w:hanging="1985"/>
        <w:jc w:val="both"/>
        <w:rPr>
          <w:szCs w:val="18"/>
        </w:rPr>
      </w:pPr>
      <w:r>
        <w:rPr>
          <w:szCs w:val="18"/>
        </w:rPr>
        <w:t xml:space="preserve">Activity data: </w:t>
      </w:r>
      <w:r>
        <w:rPr>
          <w:szCs w:val="18"/>
        </w:rPr>
        <w:tab/>
      </w:r>
      <w:r w:rsidR="009406D8">
        <w:rPr>
          <w:szCs w:val="18"/>
        </w:rPr>
        <w:t>HIGH</w:t>
      </w:r>
      <w:r>
        <w:rPr>
          <w:szCs w:val="18"/>
        </w:rPr>
        <w:t xml:space="preserve"> (because </w:t>
      </w:r>
      <w:r w:rsidR="00883073" w:rsidRPr="00883073">
        <w:rPr>
          <w:szCs w:val="18"/>
        </w:rPr>
        <w:t>they are based on company data</w:t>
      </w:r>
      <w:r w:rsidR="009406D8">
        <w:rPr>
          <w:szCs w:val="18"/>
        </w:rPr>
        <w:t xml:space="preserve"> (for 2016)</w:t>
      </w:r>
      <w:r>
        <w:rPr>
          <w:szCs w:val="18"/>
        </w:rPr>
        <w:t>)</w:t>
      </w:r>
    </w:p>
    <w:p w14:paraId="1EC489B5" w14:textId="77777777" w:rsidR="00C21F75" w:rsidRDefault="00C21F75" w:rsidP="00C21F75">
      <w:pPr>
        <w:tabs>
          <w:tab w:val="left" w:pos="1985"/>
        </w:tabs>
        <w:spacing w:line="300" w:lineRule="atLeast"/>
        <w:jc w:val="both"/>
        <w:rPr>
          <w:szCs w:val="18"/>
        </w:rPr>
      </w:pPr>
      <w:r>
        <w:rPr>
          <w:szCs w:val="18"/>
        </w:rPr>
        <w:t xml:space="preserve">Input estimates: </w:t>
      </w:r>
      <w:r>
        <w:rPr>
          <w:szCs w:val="18"/>
        </w:rPr>
        <w:tab/>
      </w:r>
      <w:r w:rsidR="00883073">
        <w:rPr>
          <w:szCs w:val="18"/>
        </w:rPr>
        <w:t>MEDIUM</w:t>
      </w:r>
      <w:r>
        <w:rPr>
          <w:szCs w:val="18"/>
        </w:rPr>
        <w:t xml:space="preserve"> (because they are based on </w:t>
      </w:r>
      <w:r w:rsidR="00883073">
        <w:rPr>
          <w:szCs w:val="18"/>
        </w:rPr>
        <w:t>incomplete company data</w:t>
      </w:r>
      <w:r>
        <w:rPr>
          <w:szCs w:val="18"/>
        </w:rPr>
        <w:t>)</w:t>
      </w:r>
    </w:p>
    <w:p w14:paraId="74E3AAA9" w14:textId="77777777" w:rsidR="00C21F75" w:rsidRPr="0028681C" w:rsidRDefault="00C21F75" w:rsidP="00C21F75">
      <w:pPr>
        <w:tabs>
          <w:tab w:val="left" w:pos="1985"/>
        </w:tabs>
        <w:spacing w:line="300" w:lineRule="atLeast"/>
        <w:jc w:val="both"/>
        <w:rPr>
          <w:szCs w:val="18"/>
        </w:rPr>
      </w:pPr>
      <w:r>
        <w:rPr>
          <w:szCs w:val="18"/>
        </w:rPr>
        <w:t xml:space="preserve">Output estimates: </w:t>
      </w:r>
      <w:r>
        <w:rPr>
          <w:szCs w:val="18"/>
        </w:rPr>
        <w:tab/>
        <w:t>LOW (because they are based on the default Toolkit output factors).</w:t>
      </w:r>
    </w:p>
    <w:p w14:paraId="5D17014A" w14:textId="77777777" w:rsidR="00350445" w:rsidRDefault="00E5793A" w:rsidP="00E5793A">
      <w:pPr>
        <w:pStyle w:val="Heading2"/>
      </w:pPr>
      <w:bookmarkStart w:id="58" w:name="_Toc484949578"/>
      <w:r>
        <w:t>Aluminium production</w:t>
      </w:r>
      <w:bookmarkEnd w:id="58"/>
    </w:p>
    <w:p w14:paraId="5699634D" w14:textId="77777777" w:rsidR="00E5793A" w:rsidRDefault="00E5793A" w:rsidP="003833D6">
      <w:pPr>
        <w:spacing w:line="300" w:lineRule="atLeast"/>
        <w:jc w:val="both"/>
        <w:rPr>
          <w:szCs w:val="18"/>
        </w:rPr>
      </w:pPr>
      <w:r>
        <w:rPr>
          <w:szCs w:val="18"/>
        </w:rPr>
        <w:t xml:space="preserve">The Toolkit covers two stages in the aluminium production cycle; initial </w:t>
      </w:r>
      <w:r w:rsidR="00B02B05">
        <w:rPr>
          <w:szCs w:val="18"/>
        </w:rPr>
        <w:t>refining</w:t>
      </w:r>
      <w:r>
        <w:rPr>
          <w:szCs w:val="18"/>
        </w:rPr>
        <w:t xml:space="preserve"> of alumina from bauxite, and the production of aluminium metal from alumina, by smelting. The only primary aluminium production plant in New Zealand is the aluminium smelter at </w:t>
      </w:r>
      <w:proofErr w:type="spellStart"/>
      <w:r>
        <w:rPr>
          <w:szCs w:val="18"/>
        </w:rPr>
        <w:t>Tiwai</w:t>
      </w:r>
      <w:proofErr w:type="spellEnd"/>
      <w:r>
        <w:rPr>
          <w:szCs w:val="18"/>
        </w:rPr>
        <w:t xml:space="preserve"> Point in Southland and this fits into the latter category. </w:t>
      </w:r>
      <w:r w:rsidR="00DE46AE">
        <w:rPr>
          <w:szCs w:val="18"/>
        </w:rPr>
        <w:t>As indicated in the 2012 Inventory Report, t</w:t>
      </w:r>
      <w:r>
        <w:rPr>
          <w:szCs w:val="18"/>
        </w:rPr>
        <w:t xml:space="preserve">he alumina </w:t>
      </w:r>
      <w:r w:rsidR="00B02B05">
        <w:rPr>
          <w:szCs w:val="18"/>
        </w:rPr>
        <w:t>is imported from other countries</w:t>
      </w:r>
      <w:r w:rsidR="00B02B05" w:rsidRPr="00B02B05">
        <w:rPr>
          <w:szCs w:val="18"/>
        </w:rPr>
        <w:t xml:space="preserve"> </w:t>
      </w:r>
      <w:r w:rsidR="00B02B05">
        <w:rPr>
          <w:szCs w:val="18"/>
        </w:rPr>
        <w:t>in a highly refined form</w:t>
      </w:r>
      <w:r w:rsidR="005D4C84">
        <w:rPr>
          <w:szCs w:val="18"/>
        </w:rPr>
        <w:t>, and is believed to contain no significant concentrations of mercury</w:t>
      </w:r>
      <w:r w:rsidR="00B02B05">
        <w:rPr>
          <w:szCs w:val="18"/>
        </w:rPr>
        <w:t>.</w:t>
      </w:r>
    </w:p>
    <w:p w14:paraId="55835EA2" w14:textId="77777777" w:rsidR="00E5793A" w:rsidRDefault="00DE46AE" w:rsidP="003833D6">
      <w:pPr>
        <w:spacing w:line="300" w:lineRule="atLeast"/>
        <w:jc w:val="both"/>
        <w:rPr>
          <w:szCs w:val="18"/>
        </w:rPr>
      </w:pPr>
      <w:r>
        <w:rPr>
          <w:szCs w:val="18"/>
        </w:rPr>
        <w:t>T</w:t>
      </w:r>
      <w:r w:rsidR="000E37FD">
        <w:rPr>
          <w:szCs w:val="18"/>
        </w:rPr>
        <w:t xml:space="preserve">here may </w:t>
      </w:r>
      <w:r w:rsidR="004B7DC7">
        <w:rPr>
          <w:szCs w:val="18"/>
        </w:rPr>
        <w:t xml:space="preserve">be </w:t>
      </w:r>
      <w:r w:rsidR="000E37FD">
        <w:rPr>
          <w:szCs w:val="18"/>
        </w:rPr>
        <w:t xml:space="preserve">some minor releases of mercury on the </w:t>
      </w:r>
      <w:r>
        <w:rPr>
          <w:szCs w:val="18"/>
        </w:rPr>
        <w:t xml:space="preserve">refinery </w:t>
      </w:r>
      <w:r w:rsidR="000E37FD">
        <w:rPr>
          <w:szCs w:val="18"/>
        </w:rPr>
        <w:t>site from the use of fuel oil in ancillary process</w:t>
      </w:r>
      <w:r>
        <w:rPr>
          <w:szCs w:val="18"/>
        </w:rPr>
        <w:t>es, such as anode manufacture. However, t</w:t>
      </w:r>
      <w:r w:rsidR="000E37FD">
        <w:rPr>
          <w:szCs w:val="18"/>
        </w:rPr>
        <w:t>he releases from fuel combustion were previously assessed in section 3.3 so do not need to be covered here.</w:t>
      </w:r>
    </w:p>
    <w:p w14:paraId="2BD248A4" w14:textId="77777777" w:rsidR="00350445" w:rsidRDefault="000E37FD" w:rsidP="003833D6">
      <w:pPr>
        <w:spacing w:line="300" w:lineRule="atLeast"/>
        <w:jc w:val="both"/>
        <w:rPr>
          <w:szCs w:val="18"/>
        </w:rPr>
      </w:pPr>
      <w:r>
        <w:rPr>
          <w:szCs w:val="18"/>
        </w:rPr>
        <w:t>O</w:t>
      </w:r>
      <w:r w:rsidR="00D21D57">
        <w:rPr>
          <w:szCs w:val="18"/>
        </w:rPr>
        <w:t>n the ba</w:t>
      </w:r>
      <w:r>
        <w:rPr>
          <w:szCs w:val="18"/>
        </w:rPr>
        <w:t xml:space="preserve">sis of the above, the inputs and outputs from primary aluminium manufacture </w:t>
      </w:r>
      <w:r w:rsidR="009406D8">
        <w:rPr>
          <w:szCs w:val="18"/>
        </w:rPr>
        <w:t>can be</w:t>
      </w:r>
      <w:r>
        <w:rPr>
          <w:szCs w:val="18"/>
        </w:rPr>
        <w:t xml:space="preserve"> assessed as zero.</w:t>
      </w:r>
    </w:p>
    <w:p w14:paraId="3D39829C" w14:textId="0AA06250" w:rsidR="000E37FD" w:rsidRPr="00C14DE1" w:rsidRDefault="00D21D57" w:rsidP="00D21D57">
      <w:pPr>
        <w:pStyle w:val="Heading2"/>
      </w:pPr>
      <w:bookmarkStart w:id="59" w:name="_Toc484949579"/>
      <w:r w:rsidRPr="00C14DE1">
        <w:t>Ferrous metal production (iron and steel)</w:t>
      </w:r>
      <w:bookmarkEnd w:id="59"/>
    </w:p>
    <w:p w14:paraId="62547C01" w14:textId="4BF4E869" w:rsidR="000E37FD" w:rsidRPr="00C14DE1" w:rsidRDefault="0065764A" w:rsidP="003833D6">
      <w:pPr>
        <w:spacing w:line="300" w:lineRule="atLeast"/>
        <w:jc w:val="both"/>
        <w:rPr>
          <w:szCs w:val="18"/>
        </w:rPr>
      </w:pPr>
      <w:r w:rsidRPr="00C14DE1">
        <w:rPr>
          <w:szCs w:val="18"/>
        </w:rPr>
        <w:t xml:space="preserve">The only primary iron and steel production in New Zealand is at the </w:t>
      </w:r>
      <w:r w:rsidR="0079618D">
        <w:rPr>
          <w:szCs w:val="18"/>
        </w:rPr>
        <w:t>New Zealand Steel</w:t>
      </w:r>
      <w:r w:rsidR="0079618D">
        <w:rPr>
          <w:rStyle w:val="FootnoteReference"/>
          <w:szCs w:val="18"/>
        </w:rPr>
        <w:footnoteReference w:id="9"/>
      </w:r>
      <w:r w:rsidR="0079618D">
        <w:rPr>
          <w:szCs w:val="18"/>
        </w:rPr>
        <w:t xml:space="preserve"> plant</w:t>
      </w:r>
      <w:r w:rsidR="003157D0" w:rsidRPr="00C14DE1">
        <w:rPr>
          <w:szCs w:val="18"/>
        </w:rPr>
        <w:t xml:space="preserve"> </w:t>
      </w:r>
      <w:r w:rsidR="0079618D">
        <w:rPr>
          <w:szCs w:val="18"/>
        </w:rPr>
        <w:t xml:space="preserve">located in Glenbrook, </w:t>
      </w:r>
      <w:r w:rsidRPr="00C14DE1">
        <w:rPr>
          <w:szCs w:val="18"/>
        </w:rPr>
        <w:t>so</w:t>
      </w:r>
      <w:r w:rsidR="0079618D">
        <w:rPr>
          <w:szCs w:val="18"/>
        </w:rPr>
        <w:t>uth of Auckland</w:t>
      </w:r>
      <w:r w:rsidRPr="00C14DE1">
        <w:rPr>
          <w:szCs w:val="18"/>
        </w:rPr>
        <w:t xml:space="preserve">. This plant is quite unique in that it obtains the iron input from nearby reserves of iron sand, which </w:t>
      </w:r>
      <w:r w:rsidR="0007342B" w:rsidRPr="00C14DE1">
        <w:rPr>
          <w:szCs w:val="18"/>
        </w:rPr>
        <w:t>is a mixture of</w:t>
      </w:r>
      <w:r w:rsidRPr="00C14DE1">
        <w:rPr>
          <w:szCs w:val="18"/>
        </w:rPr>
        <w:t xml:space="preserve"> magnetite</w:t>
      </w:r>
      <w:r w:rsidR="0053171E" w:rsidRPr="00C14DE1">
        <w:rPr>
          <w:szCs w:val="18"/>
        </w:rPr>
        <w:t xml:space="preserve"> and</w:t>
      </w:r>
      <w:r w:rsidR="0007342B" w:rsidRPr="00C14DE1">
        <w:rPr>
          <w:szCs w:val="18"/>
        </w:rPr>
        <w:t xml:space="preserve"> </w:t>
      </w:r>
      <w:proofErr w:type="spellStart"/>
      <w:r w:rsidR="0007342B" w:rsidRPr="00C14DE1">
        <w:rPr>
          <w:szCs w:val="18"/>
        </w:rPr>
        <w:t>titanomagnetite</w:t>
      </w:r>
      <w:proofErr w:type="spellEnd"/>
      <w:r w:rsidR="0007342B" w:rsidRPr="00C14DE1">
        <w:rPr>
          <w:szCs w:val="18"/>
        </w:rPr>
        <w:t>, plus sand and clay (NZIC, 1998</w:t>
      </w:r>
      <w:r w:rsidR="00D70D66" w:rsidRPr="00C14DE1">
        <w:rPr>
          <w:szCs w:val="18"/>
        </w:rPr>
        <w:t>a</w:t>
      </w:r>
      <w:r w:rsidR="0007342B" w:rsidRPr="00C14DE1">
        <w:rPr>
          <w:szCs w:val="18"/>
        </w:rPr>
        <w:t>)</w:t>
      </w:r>
      <w:r w:rsidRPr="00C14DE1">
        <w:rPr>
          <w:szCs w:val="18"/>
        </w:rPr>
        <w:t xml:space="preserve">. </w:t>
      </w:r>
      <w:r w:rsidR="00086A50" w:rsidRPr="00C14DE1">
        <w:rPr>
          <w:szCs w:val="18"/>
        </w:rPr>
        <w:t>A concentrate of the iron sand is mixed with coal</w:t>
      </w:r>
      <w:r w:rsidR="0007342B" w:rsidRPr="00C14DE1">
        <w:rPr>
          <w:szCs w:val="18"/>
        </w:rPr>
        <w:t>,</w:t>
      </w:r>
      <w:r w:rsidR="00086A50" w:rsidRPr="00C14DE1">
        <w:rPr>
          <w:szCs w:val="18"/>
        </w:rPr>
        <w:t xml:space="preserve"> and heated i</w:t>
      </w:r>
      <w:r w:rsidR="0007342B" w:rsidRPr="00C14DE1">
        <w:rPr>
          <w:szCs w:val="18"/>
        </w:rPr>
        <w:t>n</w:t>
      </w:r>
      <w:r w:rsidR="00086A50" w:rsidRPr="00C14DE1">
        <w:rPr>
          <w:szCs w:val="18"/>
        </w:rPr>
        <w:t xml:space="preserve"> special </w:t>
      </w:r>
      <w:r w:rsidR="0007342B" w:rsidRPr="00C14DE1">
        <w:rPr>
          <w:szCs w:val="18"/>
        </w:rPr>
        <w:t>gas-fired multi-</w:t>
      </w:r>
      <w:r w:rsidR="00086A50" w:rsidRPr="00C14DE1">
        <w:rPr>
          <w:szCs w:val="18"/>
        </w:rPr>
        <w:t>hearth furnace</w:t>
      </w:r>
      <w:r w:rsidR="0007342B" w:rsidRPr="00C14DE1">
        <w:rPr>
          <w:szCs w:val="18"/>
        </w:rPr>
        <w:t>s, followed by further processing in rotary kilns,</w:t>
      </w:r>
      <w:r w:rsidR="00086A50" w:rsidRPr="00C14DE1">
        <w:rPr>
          <w:szCs w:val="18"/>
        </w:rPr>
        <w:t xml:space="preserve"> to form</w:t>
      </w:r>
      <w:r w:rsidR="0007342B" w:rsidRPr="00C14DE1">
        <w:rPr>
          <w:szCs w:val="18"/>
        </w:rPr>
        <w:t xml:space="preserve"> Reduced Primary Concentrate (RPC). The</w:t>
      </w:r>
      <w:r w:rsidR="003157D0" w:rsidRPr="00C14DE1">
        <w:rPr>
          <w:szCs w:val="18"/>
        </w:rPr>
        <w:t xml:space="preserve"> RPC is </w:t>
      </w:r>
      <w:r w:rsidR="0007342B" w:rsidRPr="00C14DE1">
        <w:rPr>
          <w:szCs w:val="18"/>
        </w:rPr>
        <w:t xml:space="preserve">then </w:t>
      </w:r>
      <w:r w:rsidR="003157D0" w:rsidRPr="00C14DE1">
        <w:rPr>
          <w:szCs w:val="18"/>
        </w:rPr>
        <w:t xml:space="preserve">heated in electric arc </w:t>
      </w:r>
      <w:proofErr w:type="spellStart"/>
      <w:r w:rsidR="003157D0" w:rsidRPr="00C14DE1">
        <w:rPr>
          <w:szCs w:val="18"/>
        </w:rPr>
        <w:t>melters</w:t>
      </w:r>
      <w:proofErr w:type="spellEnd"/>
      <w:r w:rsidR="003157D0" w:rsidRPr="00C14DE1">
        <w:rPr>
          <w:szCs w:val="18"/>
        </w:rPr>
        <w:t xml:space="preserve"> to produce </w:t>
      </w:r>
      <w:r w:rsidR="0007342B" w:rsidRPr="00C14DE1">
        <w:rPr>
          <w:szCs w:val="18"/>
        </w:rPr>
        <w:t>metallic</w:t>
      </w:r>
      <w:r w:rsidR="00086A50" w:rsidRPr="00C14DE1">
        <w:rPr>
          <w:szCs w:val="18"/>
        </w:rPr>
        <w:t xml:space="preserve"> iron</w:t>
      </w:r>
      <w:r w:rsidR="003157D0" w:rsidRPr="00C14DE1">
        <w:rPr>
          <w:szCs w:val="18"/>
        </w:rPr>
        <w:t>, which is further processed in a KOBM (</w:t>
      </w:r>
      <w:proofErr w:type="spellStart"/>
      <w:r w:rsidR="003157D0" w:rsidRPr="00C14DE1">
        <w:rPr>
          <w:szCs w:val="18"/>
        </w:rPr>
        <w:t>Klockner</w:t>
      </w:r>
      <w:proofErr w:type="spellEnd"/>
      <w:r w:rsidR="003157D0" w:rsidRPr="00C14DE1">
        <w:rPr>
          <w:szCs w:val="18"/>
        </w:rPr>
        <w:t xml:space="preserve"> Oxygen Blown </w:t>
      </w:r>
      <w:proofErr w:type="spellStart"/>
      <w:r w:rsidR="003157D0" w:rsidRPr="00C14DE1">
        <w:rPr>
          <w:szCs w:val="18"/>
        </w:rPr>
        <w:t>Maxhutte</w:t>
      </w:r>
      <w:proofErr w:type="spellEnd"/>
      <w:r w:rsidR="003157D0" w:rsidRPr="00C14DE1">
        <w:rPr>
          <w:szCs w:val="18"/>
        </w:rPr>
        <w:t>) Converter to produce steel</w:t>
      </w:r>
      <w:r w:rsidR="00086A50" w:rsidRPr="00C14DE1">
        <w:rPr>
          <w:szCs w:val="18"/>
        </w:rPr>
        <w:t>.</w:t>
      </w:r>
      <w:r w:rsidR="0007342B" w:rsidRPr="00C14DE1">
        <w:rPr>
          <w:szCs w:val="18"/>
        </w:rPr>
        <w:t xml:space="preserve"> </w:t>
      </w:r>
      <w:r w:rsidR="00C14DE1" w:rsidRPr="0023228D">
        <w:rPr>
          <w:szCs w:val="18"/>
        </w:rPr>
        <w:t xml:space="preserve">The total steel production for the </w:t>
      </w:r>
      <w:r w:rsidR="00C14DE1">
        <w:rPr>
          <w:szCs w:val="18"/>
        </w:rPr>
        <w:t xml:space="preserve">2016 calendar </w:t>
      </w:r>
      <w:r w:rsidR="00C14DE1" w:rsidRPr="0023228D">
        <w:rPr>
          <w:szCs w:val="18"/>
        </w:rPr>
        <w:t xml:space="preserve">year </w:t>
      </w:r>
      <w:r w:rsidR="00C14DE1">
        <w:rPr>
          <w:szCs w:val="18"/>
        </w:rPr>
        <w:t>was 585,770</w:t>
      </w:r>
      <w:r w:rsidR="00C14DE1" w:rsidRPr="0023228D">
        <w:rPr>
          <w:szCs w:val="18"/>
        </w:rPr>
        <w:t xml:space="preserve"> tonnes and the mill </w:t>
      </w:r>
      <w:r w:rsidR="00C14DE1" w:rsidRPr="0023228D">
        <w:rPr>
          <w:szCs w:val="18"/>
        </w:rPr>
        <w:lastRenderedPageBreak/>
        <w:t>used</w:t>
      </w:r>
      <w:r w:rsidR="00C14DE1">
        <w:rPr>
          <w:szCs w:val="18"/>
        </w:rPr>
        <w:t xml:space="preserve"> 847,920</w:t>
      </w:r>
      <w:r w:rsidR="00C14DE1" w:rsidRPr="0023228D">
        <w:rPr>
          <w:szCs w:val="18"/>
        </w:rPr>
        <w:t xml:space="preserve"> tonnes of Waikato and Indonesian coal</w:t>
      </w:r>
      <w:r w:rsidR="00C14DE1" w:rsidRPr="0023228D">
        <w:rPr>
          <w:rStyle w:val="FootnoteReference"/>
          <w:szCs w:val="18"/>
        </w:rPr>
        <w:footnoteReference w:id="10"/>
      </w:r>
      <w:r w:rsidR="00C14DE1" w:rsidRPr="0023228D">
        <w:rPr>
          <w:szCs w:val="18"/>
        </w:rPr>
        <w:t>,</w:t>
      </w:r>
      <w:r w:rsidR="00C14DE1">
        <w:rPr>
          <w:szCs w:val="18"/>
        </w:rPr>
        <w:t xml:space="preserve"> and 61,398</w:t>
      </w:r>
      <w:r w:rsidR="00C14DE1" w:rsidRPr="0023228D">
        <w:rPr>
          <w:szCs w:val="18"/>
        </w:rPr>
        <w:t xml:space="preserve"> tonnes of lime (C Jewel</w:t>
      </w:r>
      <w:r w:rsidR="0079618D">
        <w:rPr>
          <w:szCs w:val="18"/>
        </w:rPr>
        <w:t>l</w:t>
      </w:r>
      <w:r w:rsidR="00C14DE1" w:rsidRPr="0023228D">
        <w:rPr>
          <w:szCs w:val="18"/>
        </w:rPr>
        <w:t xml:space="preserve">, </w:t>
      </w:r>
      <w:r w:rsidR="0079618D">
        <w:rPr>
          <w:szCs w:val="18"/>
        </w:rPr>
        <w:t>New Zealand</w:t>
      </w:r>
      <w:r w:rsidR="00C14DE1" w:rsidRPr="0023228D">
        <w:rPr>
          <w:szCs w:val="18"/>
        </w:rPr>
        <w:t xml:space="preserve"> Steel, </w:t>
      </w:r>
      <w:proofErr w:type="spellStart"/>
      <w:r w:rsidR="00C14DE1" w:rsidRPr="0023228D">
        <w:rPr>
          <w:szCs w:val="18"/>
        </w:rPr>
        <w:t>pers</w:t>
      </w:r>
      <w:proofErr w:type="spellEnd"/>
      <w:r w:rsidR="00C14DE1" w:rsidRPr="0023228D">
        <w:rPr>
          <w:szCs w:val="18"/>
        </w:rPr>
        <w:t xml:space="preserve"> </w:t>
      </w:r>
      <w:proofErr w:type="spellStart"/>
      <w:r w:rsidR="00C14DE1" w:rsidRPr="0023228D">
        <w:rPr>
          <w:szCs w:val="18"/>
        </w:rPr>
        <w:t>comm</w:t>
      </w:r>
      <w:proofErr w:type="spellEnd"/>
      <w:r w:rsidR="00C14DE1" w:rsidRPr="0023228D">
        <w:rPr>
          <w:szCs w:val="18"/>
        </w:rPr>
        <w:t xml:space="preserve">, </w:t>
      </w:r>
      <w:r w:rsidR="00C14DE1">
        <w:rPr>
          <w:szCs w:val="18"/>
        </w:rPr>
        <w:t>2017</w:t>
      </w:r>
      <w:r w:rsidR="00C14DE1" w:rsidRPr="0023228D">
        <w:rPr>
          <w:szCs w:val="18"/>
        </w:rPr>
        <w:t>).</w:t>
      </w:r>
      <w:r w:rsidR="00C14DE1">
        <w:rPr>
          <w:szCs w:val="18"/>
        </w:rPr>
        <w:t xml:space="preserve"> A further 37,480 tonnes of calcium oxide was used in the final stages of steel production</w:t>
      </w:r>
    </w:p>
    <w:p w14:paraId="5E260A54" w14:textId="65E637BB" w:rsidR="00D21D57" w:rsidRPr="00C14DE1" w:rsidRDefault="00597DA4" w:rsidP="003833D6">
      <w:pPr>
        <w:spacing w:line="300" w:lineRule="atLeast"/>
        <w:jc w:val="both"/>
        <w:rPr>
          <w:szCs w:val="18"/>
        </w:rPr>
      </w:pPr>
      <w:r w:rsidRPr="00C14DE1">
        <w:rPr>
          <w:szCs w:val="18"/>
        </w:rPr>
        <w:t xml:space="preserve">The ferrous metal sub-category in the Toolkit refers to </w:t>
      </w:r>
      <w:r w:rsidR="00A96FAD" w:rsidRPr="00C14DE1">
        <w:rPr>
          <w:szCs w:val="18"/>
        </w:rPr>
        <w:t>a</w:t>
      </w:r>
      <w:r w:rsidRPr="00C14DE1">
        <w:rPr>
          <w:szCs w:val="18"/>
        </w:rPr>
        <w:t xml:space="preserve"> much more common iron making process which involves </w:t>
      </w:r>
      <w:r w:rsidR="00232361" w:rsidRPr="00C14DE1">
        <w:rPr>
          <w:szCs w:val="18"/>
        </w:rPr>
        <w:t>the processing</w:t>
      </w:r>
      <w:r w:rsidRPr="00C14DE1">
        <w:rPr>
          <w:szCs w:val="18"/>
        </w:rPr>
        <w:t xml:space="preserve"> of iron ore – usually haematite - in a sintering plant, followed by treatment in a </w:t>
      </w:r>
      <w:r w:rsidR="00A96FAD" w:rsidRPr="00C14DE1">
        <w:rPr>
          <w:szCs w:val="18"/>
        </w:rPr>
        <w:t>blast furnace</w:t>
      </w:r>
      <w:r w:rsidRPr="00C14DE1">
        <w:rPr>
          <w:szCs w:val="18"/>
        </w:rPr>
        <w:t xml:space="preserve"> to produce pig iron, and subsequent processing into iron and steel. In terms of mercury inputs, the key differences between this and the New Zealand process would be the mercury content of the iron sand or iron ore, and the </w:t>
      </w:r>
      <w:r w:rsidR="005A424C" w:rsidRPr="00C14DE1">
        <w:rPr>
          <w:szCs w:val="18"/>
        </w:rPr>
        <w:t xml:space="preserve">relative </w:t>
      </w:r>
      <w:r w:rsidRPr="00C14DE1">
        <w:rPr>
          <w:szCs w:val="18"/>
        </w:rPr>
        <w:t>amount</w:t>
      </w:r>
      <w:r w:rsidR="005A424C" w:rsidRPr="00C14DE1">
        <w:rPr>
          <w:szCs w:val="18"/>
        </w:rPr>
        <w:t>s</w:t>
      </w:r>
      <w:r w:rsidRPr="00C14DE1">
        <w:rPr>
          <w:szCs w:val="18"/>
        </w:rPr>
        <w:t xml:space="preserve"> of coal used. </w:t>
      </w:r>
      <w:r w:rsidR="005A424C" w:rsidRPr="00C14DE1">
        <w:rPr>
          <w:szCs w:val="18"/>
        </w:rPr>
        <w:t>In both processes most of the mercury is likely to be released to air during the first two processing stages (</w:t>
      </w:r>
      <w:proofErr w:type="spellStart"/>
      <w:r w:rsidR="005A424C" w:rsidRPr="00C14DE1">
        <w:rPr>
          <w:szCs w:val="18"/>
        </w:rPr>
        <w:t>ie</w:t>
      </w:r>
      <w:proofErr w:type="spellEnd"/>
      <w:r w:rsidR="00263225">
        <w:rPr>
          <w:szCs w:val="18"/>
        </w:rPr>
        <w:t>.</w:t>
      </w:r>
      <w:r w:rsidR="005A424C" w:rsidRPr="00C14DE1">
        <w:rPr>
          <w:szCs w:val="18"/>
        </w:rPr>
        <w:t xml:space="preserve"> </w:t>
      </w:r>
      <w:r w:rsidR="0053171E" w:rsidRPr="00C14DE1">
        <w:rPr>
          <w:szCs w:val="18"/>
        </w:rPr>
        <w:t>for</w:t>
      </w:r>
      <w:r w:rsidR="005A424C" w:rsidRPr="00C14DE1">
        <w:rPr>
          <w:szCs w:val="18"/>
        </w:rPr>
        <w:t xml:space="preserve"> N</w:t>
      </w:r>
      <w:r w:rsidR="0053171E" w:rsidRPr="00C14DE1">
        <w:rPr>
          <w:szCs w:val="18"/>
        </w:rPr>
        <w:t xml:space="preserve">ew </w:t>
      </w:r>
      <w:r w:rsidR="005A424C" w:rsidRPr="00C14DE1">
        <w:rPr>
          <w:szCs w:val="18"/>
        </w:rPr>
        <w:t>Z</w:t>
      </w:r>
      <w:r w:rsidR="0053171E" w:rsidRPr="00C14DE1">
        <w:rPr>
          <w:szCs w:val="18"/>
        </w:rPr>
        <w:t>ealand</w:t>
      </w:r>
      <w:r w:rsidR="005A424C" w:rsidRPr="00C14DE1">
        <w:rPr>
          <w:szCs w:val="18"/>
        </w:rPr>
        <w:t xml:space="preserve">, </w:t>
      </w:r>
      <w:r w:rsidR="0053171E" w:rsidRPr="00C14DE1">
        <w:rPr>
          <w:szCs w:val="18"/>
        </w:rPr>
        <w:t xml:space="preserve">in </w:t>
      </w:r>
      <w:r w:rsidR="005A424C" w:rsidRPr="00C14DE1">
        <w:rPr>
          <w:szCs w:val="18"/>
        </w:rPr>
        <w:t xml:space="preserve">the manufacture of RPC and processing in the KOBM). </w:t>
      </w:r>
    </w:p>
    <w:p w14:paraId="1BE1AB7B" w14:textId="7F2283A1" w:rsidR="00C14DE1" w:rsidRDefault="00C14DE1" w:rsidP="003833D6">
      <w:pPr>
        <w:spacing w:line="300" w:lineRule="atLeast"/>
        <w:jc w:val="both"/>
        <w:rPr>
          <w:szCs w:val="18"/>
        </w:rPr>
      </w:pPr>
      <w:r>
        <w:rPr>
          <w:szCs w:val="18"/>
        </w:rPr>
        <w:t>The only</w:t>
      </w:r>
      <w:r w:rsidR="005A424C" w:rsidRPr="00C14DE1">
        <w:rPr>
          <w:szCs w:val="18"/>
        </w:rPr>
        <w:t xml:space="preserve"> information on mercury releases from the New Zealand plant </w:t>
      </w:r>
      <w:r>
        <w:rPr>
          <w:szCs w:val="18"/>
        </w:rPr>
        <w:t>relates to</w:t>
      </w:r>
      <w:r w:rsidR="005B35CB" w:rsidRPr="00C14DE1">
        <w:rPr>
          <w:szCs w:val="18"/>
        </w:rPr>
        <w:t xml:space="preserve"> the solid wastes produced by the iron sand processing plant</w:t>
      </w:r>
      <w:r w:rsidR="005A424C" w:rsidRPr="00C14DE1">
        <w:rPr>
          <w:szCs w:val="18"/>
        </w:rPr>
        <w:t xml:space="preserve">. </w:t>
      </w:r>
      <w:r>
        <w:rPr>
          <w:szCs w:val="18"/>
        </w:rPr>
        <w:t>The mercury levels in the synthetic leaching procedure conducted on Wash Tailings were found to be less than 0.00008 g/m</w:t>
      </w:r>
      <w:r w:rsidRPr="009F3C20">
        <w:rPr>
          <w:szCs w:val="18"/>
          <w:vertAlign w:val="superscript"/>
        </w:rPr>
        <w:t>3</w:t>
      </w:r>
      <w:r>
        <w:rPr>
          <w:szCs w:val="18"/>
        </w:rPr>
        <w:t xml:space="preserve"> for tests conducted in both 2015 and 2016 </w:t>
      </w:r>
      <w:r w:rsidRPr="0023228D">
        <w:rPr>
          <w:szCs w:val="18"/>
        </w:rPr>
        <w:t>(C Jewel</w:t>
      </w:r>
      <w:r w:rsidR="0079618D">
        <w:rPr>
          <w:szCs w:val="18"/>
        </w:rPr>
        <w:t>l</w:t>
      </w:r>
      <w:r w:rsidRPr="0023228D">
        <w:rPr>
          <w:szCs w:val="18"/>
        </w:rPr>
        <w:t xml:space="preserve">, </w:t>
      </w:r>
      <w:r w:rsidR="0079618D">
        <w:rPr>
          <w:szCs w:val="18"/>
        </w:rPr>
        <w:t>New Zealand</w:t>
      </w:r>
      <w:r w:rsidRPr="0023228D">
        <w:rPr>
          <w:szCs w:val="18"/>
        </w:rPr>
        <w:t xml:space="preserve"> Steel, </w:t>
      </w:r>
      <w:proofErr w:type="spellStart"/>
      <w:r w:rsidRPr="0023228D">
        <w:rPr>
          <w:szCs w:val="18"/>
        </w:rPr>
        <w:t>pers</w:t>
      </w:r>
      <w:proofErr w:type="spellEnd"/>
      <w:r w:rsidRPr="0023228D">
        <w:rPr>
          <w:szCs w:val="18"/>
        </w:rPr>
        <w:t xml:space="preserve"> </w:t>
      </w:r>
      <w:proofErr w:type="spellStart"/>
      <w:r w:rsidRPr="0023228D">
        <w:rPr>
          <w:szCs w:val="18"/>
        </w:rPr>
        <w:t>comm</w:t>
      </w:r>
      <w:proofErr w:type="spellEnd"/>
      <w:r w:rsidRPr="0023228D">
        <w:rPr>
          <w:szCs w:val="18"/>
        </w:rPr>
        <w:t xml:space="preserve">, </w:t>
      </w:r>
      <w:r>
        <w:rPr>
          <w:szCs w:val="18"/>
        </w:rPr>
        <w:t>2017</w:t>
      </w:r>
      <w:r w:rsidRPr="0023228D">
        <w:rPr>
          <w:szCs w:val="18"/>
        </w:rPr>
        <w:t>).</w:t>
      </w:r>
    </w:p>
    <w:p w14:paraId="74671BCB" w14:textId="3B7C49DA" w:rsidR="005A424C" w:rsidRPr="00C14DE1" w:rsidRDefault="00C14DE1" w:rsidP="003833D6">
      <w:pPr>
        <w:spacing w:line="300" w:lineRule="atLeast"/>
        <w:jc w:val="both"/>
        <w:rPr>
          <w:szCs w:val="18"/>
        </w:rPr>
      </w:pPr>
      <w:r>
        <w:rPr>
          <w:szCs w:val="18"/>
        </w:rPr>
        <w:t>A</w:t>
      </w:r>
      <w:r w:rsidR="005A424C" w:rsidRPr="00C14DE1">
        <w:rPr>
          <w:szCs w:val="18"/>
        </w:rPr>
        <w:t xml:space="preserve">n initial assessment of the likely mercury inputs and releases can be obtained from consideration of the coal and limestone inputs to the process, as these are likely to be the main contributors to the releases. The mercury content of Waikato coal was discussed in section 3.2, and the content of lime is discussed in section </w:t>
      </w:r>
      <w:r w:rsidR="0003101F" w:rsidRPr="00C14DE1">
        <w:rPr>
          <w:szCs w:val="18"/>
        </w:rPr>
        <w:t>5</w:t>
      </w:r>
      <w:r w:rsidR="005A424C" w:rsidRPr="00C14DE1">
        <w:rPr>
          <w:szCs w:val="18"/>
        </w:rPr>
        <w:t>.</w:t>
      </w:r>
      <w:r w:rsidR="0003101F" w:rsidRPr="00C14DE1">
        <w:rPr>
          <w:szCs w:val="18"/>
        </w:rPr>
        <w:t>3</w:t>
      </w:r>
      <w:r w:rsidR="00DB666C" w:rsidRPr="00C14DE1">
        <w:rPr>
          <w:szCs w:val="18"/>
        </w:rPr>
        <w:t>, and the same ranges of values have been used for</w:t>
      </w:r>
      <w:r w:rsidR="005A424C" w:rsidRPr="00C14DE1">
        <w:rPr>
          <w:szCs w:val="18"/>
        </w:rPr>
        <w:t xml:space="preserve"> the steel input estimates</w:t>
      </w:r>
      <w:r w:rsidR="00DB666C" w:rsidRPr="00C14DE1">
        <w:rPr>
          <w:szCs w:val="18"/>
        </w:rPr>
        <w:t>.</w:t>
      </w:r>
      <w:r w:rsidR="005A424C" w:rsidRPr="00C14DE1">
        <w:rPr>
          <w:szCs w:val="18"/>
        </w:rPr>
        <w:t xml:space="preserve"> The </w:t>
      </w:r>
      <w:r w:rsidR="00232361" w:rsidRPr="00C14DE1">
        <w:rPr>
          <w:szCs w:val="18"/>
        </w:rPr>
        <w:t xml:space="preserve">steel mill air </w:t>
      </w:r>
      <w:r w:rsidR="005A424C" w:rsidRPr="00C14DE1">
        <w:rPr>
          <w:szCs w:val="18"/>
        </w:rPr>
        <w:t xml:space="preserve">emissions </w:t>
      </w:r>
      <w:r w:rsidR="00232361" w:rsidRPr="00C14DE1">
        <w:rPr>
          <w:szCs w:val="18"/>
        </w:rPr>
        <w:t xml:space="preserve">are passed through bag filters prior to discharge, so the Toolkit distribution factors for fabric filters on coal combustion plants </w:t>
      </w:r>
      <w:r w:rsidR="005B35CB" w:rsidRPr="00C14DE1">
        <w:rPr>
          <w:szCs w:val="18"/>
        </w:rPr>
        <w:t>have been</w:t>
      </w:r>
      <w:r w:rsidR="00232361" w:rsidRPr="00C14DE1">
        <w:rPr>
          <w:szCs w:val="18"/>
        </w:rPr>
        <w:t xml:space="preserve"> used for the output distribution; </w:t>
      </w:r>
      <w:proofErr w:type="spellStart"/>
      <w:r w:rsidR="00232361" w:rsidRPr="00C14DE1">
        <w:rPr>
          <w:szCs w:val="18"/>
        </w:rPr>
        <w:t>ie</w:t>
      </w:r>
      <w:proofErr w:type="spellEnd"/>
      <w:r w:rsidR="00232361" w:rsidRPr="00C14DE1">
        <w:rPr>
          <w:szCs w:val="18"/>
        </w:rPr>
        <w:t xml:space="preserve">. </w:t>
      </w:r>
      <w:proofErr w:type="gramStart"/>
      <w:r w:rsidR="00232361" w:rsidRPr="00C14DE1">
        <w:rPr>
          <w:szCs w:val="18"/>
        </w:rPr>
        <w:t>50% to air and 50% to waste.</w:t>
      </w:r>
      <w:proofErr w:type="gramEnd"/>
    </w:p>
    <w:p w14:paraId="32A22E70" w14:textId="355A8688" w:rsidR="006F6748" w:rsidRPr="00C14DE1" w:rsidRDefault="00232361" w:rsidP="006F6748">
      <w:pPr>
        <w:spacing w:line="300" w:lineRule="atLeast"/>
        <w:jc w:val="both"/>
        <w:rPr>
          <w:szCs w:val="18"/>
        </w:rPr>
      </w:pPr>
      <w:r w:rsidRPr="00C14DE1">
        <w:rPr>
          <w:szCs w:val="18"/>
        </w:rPr>
        <w:t>The mercury input and output calculations for primary ferrous metal production are shown in</w:t>
      </w:r>
      <w:r w:rsidR="006F6748" w:rsidRPr="00C14DE1">
        <w:rPr>
          <w:szCs w:val="18"/>
        </w:rPr>
        <w:t xml:space="preserve"> Table 4-4. </w:t>
      </w:r>
    </w:p>
    <w:p w14:paraId="12DC438D" w14:textId="52829E8C" w:rsidR="00232361" w:rsidRPr="00C14DE1" w:rsidRDefault="00232361" w:rsidP="00232361">
      <w:pPr>
        <w:spacing w:line="300" w:lineRule="atLeast"/>
        <w:jc w:val="both"/>
        <w:rPr>
          <w:szCs w:val="18"/>
        </w:rPr>
      </w:pPr>
      <w:r w:rsidRPr="00C14DE1">
        <w:rPr>
          <w:szCs w:val="18"/>
        </w:rPr>
        <w:t>No allowance has been made for the potential contributions from any mercury present in the iron sand</w:t>
      </w:r>
      <w:r w:rsidR="005B35CB" w:rsidRPr="00C14DE1">
        <w:rPr>
          <w:szCs w:val="18"/>
        </w:rPr>
        <w:t>, although the leaching tests suggest that this is most likely very low</w:t>
      </w:r>
      <w:r w:rsidR="00DB666C" w:rsidRPr="00C14DE1">
        <w:rPr>
          <w:szCs w:val="18"/>
        </w:rPr>
        <w:t>.</w:t>
      </w:r>
      <w:r w:rsidR="00435C60" w:rsidRPr="00C14DE1">
        <w:rPr>
          <w:szCs w:val="18"/>
        </w:rPr>
        <w:t xml:space="preserve"> </w:t>
      </w:r>
    </w:p>
    <w:p w14:paraId="271828EE" w14:textId="77777777" w:rsidR="00232361" w:rsidRPr="00C14DE1" w:rsidRDefault="00232361" w:rsidP="00232361">
      <w:pPr>
        <w:pStyle w:val="Caption"/>
        <w:spacing w:before="240"/>
        <w:rPr>
          <w:szCs w:val="18"/>
        </w:rPr>
      </w:pPr>
      <w:bookmarkStart w:id="60" w:name="_Ref358447489"/>
      <w:bookmarkStart w:id="61" w:name="_Toc484949648"/>
      <w:r w:rsidRPr="00C14DE1">
        <w:rPr>
          <w:rFonts w:ascii="Arial" w:hAnsi="Arial" w:cs="Arial"/>
        </w:rPr>
        <w:t xml:space="preserve">Table </w:t>
      </w:r>
      <w:r w:rsidR="00390C9F" w:rsidRPr="00C14DE1">
        <w:rPr>
          <w:rFonts w:ascii="Arial" w:hAnsi="Arial" w:cs="Arial"/>
        </w:rPr>
        <w:fldChar w:fldCharType="begin"/>
      </w:r>
      <w:r w:rsidR="00390C9F" w:rsidRPr="00C14DE1">
        <w:rPr>
          <w:rFonts w:ascii="Arial" w:hAnsi="Arial" w:cs="Arial"/>
        </w:rPr>
        <w:instrText xml:space="preserve"> STYLEREF 1 \s </w:instrText>
      </w:r>
      <w:r w:rsidR="00390C9F" w:rsidRPr="00C14DE1">
        <w:rPr>
          <w:rFonts w:ascii="Arial" w:hAnsi="Arial" w:cs="Arial"/>
        </w:rPr>
        <w:fldChar w:fldCharType="separate"/>
      </w:r>
      <w:r w:rsidR="00423FC9">
        <w:rPr>
          <w:rFonts w:ascii="Arial" w:hAnsi="Arial" w:cs="Arial"/>
          <w:noProof/>
        </w:rPr>
        <w:t>4</w:t>
      </w:r>
      <w:r w:rsidR="00390C9F" w:rsidRPr="00C14DE1">
        <w:rPr>
          <w:rFonts w:ascii="Arial" w:hAnsi="Arial" w:cs="Arial"/>
        </w:rPr>
        <w:fldChar w:fldCharType="end"/>
      </w:r>
      <w:r w:rsidR="00390C9F" w:rsidRPr="00C14DE1">
        <w:rPr>
          <w:rFonts w:ascii="Arial" w:hAnsi="Arial" w:cs="Arial"/>
        </w:rPr>
        <w:noBreakHyphen/>
      </w:r>
      <w:r w:rsidR="00390C9F" w:rsidRPr="00C14DE1">
        <w:rPr>
          <w:rFonts w:ascii="Arial" w:hAnsi="Arial" w:cs="Arial"/>
        </w:rPr>
        <w:fldChar w:fldCharType="begin"/>
      </w:r>
      <w:r w:rsidR="00390C9F" w:rsidRPr="00C14DE1">
        <w:rPr>
          <w:rFonts w:ascii="Arial" w:hAnsi="Arial" w:cs="Arial"/>
        </w:rPr>
        <w:instrText xml:space="preserve"> SEQ Table \* ARABIC \s 1 </w:instrText>
      </w:r>
      <w:r w:rsidR="00390C9F" w:rsidRPr="00C14DE1">
        <w:rPr>
          <w:rFonts w:ascii="Arial" w:hAnsi="Arial" w:cs="Arial"/>
        </w:rPr>
        <w:fldChar w:fldCharType="separate"/>
      </w:r>
      <w:r w:rsidR="00423FC9">
        <w:rPr>
          <w:rFonts w:ascii="Arial" w:hAnsi="Arial" w:cs="Arial"/>
          <w:noProof/>
        </w:rPr>
        <w:t>4</w:t>
      </w:r>
      <w:r w:rsidR="00390C9F" w:rsidRPr="00C14DE1">
        <w:rPr>
          <w:rFonts w:ascii="Arial" w:hAnsi="Arial" w:cs="Arial"/>
        </w:rPr>
        <w:fldChar w:fldCharType="end"/>
      </w:r>
      <w:bookmarkEnd w:id="60"/>
      <w:r w:rsidRPr="00C14DE1">
        <w:rPr>
          <w:rFonts w:ascii="Arial" w:hAnsi="Arial" w:cs="Arial"/>
        </w:rPr>
        <w:t>:</w:t>
      </w:r>
      <w:r w:rsidRPr="00C14DE1">
        <w:t xml:space="preserve">  </w:t>
      </w:r>
      <w:r w:rsidRPr="00C14DE1">
        <w:rPr>
          <w:rFonts w:ascii="Arial" w:hAnsi="Arial" w:cs="Arial"/>
        </w:rPr>
        <w:t>Input and output estimates for primary ferrous metal production</w:t>
      </w:r>
      <w:bookmarkEnd w:id="61"/>
    </w:p>
    <w:tbl>
      <w:tblPr>
        <w:tblStyle w:val="TableGrid"/>
        <w:tblW w:w="0" w:type="auto"/>
        <w:tblLook w:val="04A0" w:firstRow="1" w:lastRow="0" w:firstColumn="1" w:lastColumn="0" w:noHBand="0" w:noVBand="1"/>
      </w:tblPr>
      <w:tblGrid>
        <w:gridCol w:w="1951"/>
        <w:gridCol w:w="1276"/>
        <w:gridCol w:w="1276"/>
        <w:gridCol w:w="1701"/>
        <w:gridCol w:w="1535"/>
        <w:gridCol w:w="1548"/>
      </w:tblGrid>
      <w:tr w:rsidR="00EA4F4B" w:rsidRPr="00C14DE1" w14:paraId="2EAFF703" w14:textId="77777777" w:rsidTr="00C14DE1">
        <w:tc>
          <w:tcPr>
            <w:tcW w:w="1903" w:type="dxa"/>
            <w:vMerge w:val="restart"/>
            <w:vAlign w:val="center"/>
          </w:tcPr>
          <w:p w14:paraId="64E6E87B" w14:textId="77777777" w:rsidR="00EA4F4B" w:rsidRPr="00C14DE1" w:rsidRDefault="00EA4F4B" w:rsidP="00284F82">
            <w:pPr>
              <w:spacing w:line="300" w:lineRule="atLeast"/>
              <w:jc w:val="center"/>
              <w:rPr>
                <w:rFonts w:ascii="Arial" w:hAnsi="Arial" w:cs="Arial"/>
                <w:b/>
                <w:sz w:val="16"/>
                <w:szCs w:val="16"/>
              </w:rPr>
            </w:pPr>
            <w:r w:rsidRPr="00C14DE1">
              <w:rPr>
                <w:rFonts w:ascii="Arial" w:hAnsi="Arial" w:cs="Arial"/>
                <w:b/>
                <w:sz w:val="16"/>
                <w:szCs w:val="16"/>
              </w:rPr>
              <w:t>Source</w:t>
            </w:r>
          </w:p>
        </w:tc>
        <w:tc>
          <w:tcPr>
            <w:tcW w:w="1258" w:type="dxa"/>
            <w:vMerge w:val="restart"/>
            <w:vAlign w:val="center"/>
          </w:tcPr>
          <w:p w14:paraId="0971B577" w14:textId="77777777" w:rsidR="00EA4F4B" w:rsidRPr="00C14DE1" w:rsidRDefault="00EA4F4B" w:rsidP="00284F82">
            <w:pPr>
              <w:spacing w:line="300" w:lineRule="atLeast"/>
              <w:jc w:val="center"/>
              <w:rPr>
                <w:rFonts w:ascii="Arial" w:hAnsi="Arial" w:cs="Arial"/>
                <w:b/>
                <w:sz w:val="16"/>
                <w:szCs w:val="16"/>
              </w:rPr>
            </w:pPr>
            <w:r w:rsidRPr="00C14DE1">
              <w:rPr>
                <w:rFonts w:ascii="Arial" w:hAnsi="Arial" w:cs="Arial"/>
                <w:b/>
                <w:sz w:val="16"/>
                <w:szCs w:val="16"/>
              </w:rPr>
              <w:t>Activity Rate, tonnes/</w:t>
            </w:r>
            <w:proofErr w:type="spellStart"/>
            <w:r w:rsidRPr="00C14DE1">
              <w:rPr>
                <w:rFonts w:ascii="Arial" w:hAnsi="Arial" w:cs="Arial"/>
                <w:b/>
                <w:sz w:val="16"/>
                <w:szCs w:val="16"/>
              </w:rPr>
              <w:t>yr</w:t>
            </w:r>
            <w:proofErr w:type="spellEnd"/>
          </w:p>
        </w:tc>
        <w:tc>
          <w:tcPr>
            <w:tcW w:w="1253" w:type="dxa"/>
            <w:vMerge w:val="restart"/>
            <w:vAlign w:val="center"/>
          </w:tcPr>
          <w:p w14:paraId="6A4B5697" w14:textId="77777777" w:rsidR="00EA4F4B" w:rsidRPr="00C14DE1" w:rsidRDefault="00EA4F4B" w:rsidP="00284F82">
            <w:pPr>
              <w:spacing w:line="300" w:lineRule="atLeast"/>
              <w:jc w:val="center"/>
              <w:rPr>
                <w:rFonts w:ascii="Arial" w:hAnsi="Arial" w:cs="Arial"/>
                <w:b/>
                <w:sz w:val="16"/>
                <w:szCs w:val="16"/>
              </w:rPr>
            </w:pPr>
            <w:r w:rsidRPr="00C14DE1">
              <w:rPr>
                <w:rFonts w:ascii="Arial" w:hAnsi="Arial" w:cs="Arial"/>
                <w:b/>
                <w:sz w:val="16"/>
                <w:szCs w:val="16"/>
              </w:rPr>
              <w:t>Mercury content, mg/kg</w:t>
            </w:r>
          </w:p>
        </w:tc>
        <w:tc>
          <w:tcPr>
            <w:tcW w:w="1656" w:type="dxa"/>
            <w:vMerge w:val="restart"/>
            <w:vAlign w:val="center"/>
          </w:tcPr>
          <w:p w14:paraId="6745E02E" w14:textId="77777777" w:rsidR="00EA4F4B" w:rsidRPr="00C14DE1" w:rsidRDefault="00EA4F4B" w:rsidP="00284F82">
            <w:pPr>
              <w:spacing w:line="300" w:lineRule="atLeast"/>
              <w:jc w:val="center"/>
              <w:rPr>
                <w:rFonts w:ascii="Arial" w:hAnsi="Arial" w:cs="Arial"/>
                <w:b/>
                <w:sz w:val="16"/>
                <w:szCs w:val="16"/>
              </w:rPr>
            </w:pPr>
            <w:r w:rsidRPr="00C14DE1">
              <w:rPr>
                <w:rFonts w:ascii="Arial" w:hAnsi="Arial" w:cs="Arial"/>
                <w:b/>
                <w:sz w:val="16"/>
                <w:szCs w:val="16"/>
              </w:rPr>
              <w:t>Annual Mercury Inputs, kg/</w:t>
            </w:r>
            <w:proofErr w:type="spellStart"/>
            <w:r w:rsidRPr="00C14DE1">
              <w:rPr>
                <w:rFonts w:ascii="Arial" w:hAnsi="Arial" w:cs="Arial"/>
                <w:b/>
                <w:sz w:val="16"/>
                <w:szCs w:val="16"/>
              </w:rPr>
              <w:t>yr</w:t>
            </w:r>
            <w:proofErr w:type="spellEnd"/>
          </w:p>
        </w:tc>
        <w:tc>
          <w:tcPr>
            <w:tcW w:w="2991" w:type="dxa"/>
            <w:gridSpan w:val="2"/>
            <w:vAlign w:val="center"/>
          </w:tcPr>
          <w:p w14:paraId="7EB6322D" w14:textId="77777777" w:rsidR="00EA4F4B" w:rsidRPr="00C14DE1" w:rsidRDefault="00EA4F4B" w:rsidP="00284F82">
            <w:pPr>
              <w:spacing w:line="300" w:lineRule="atLeast"/>
              <w:jc w:val="center"/>
              <w:rPr>
                <w:rFonts w:ascii="Arial" w:hAnsi="Arial" w:cs="Arial"/>
                <w:b/>
                <w:sz w:val="16"/>
                <w:szCs w:val="16"/>
              </w:rPr>
            </w:pPr>
            <w:r w:rsidRPr="00C14DE1">
              <w:rPr>
                <w:rFonts w:ascii="Arial" w:hAnsi="Arial" w:cs="Arial"/>
                <w:b/>
                <w:sz w:val="16"/>
                <w:szCs w:val="16"/>
              </w:rPr>
              <w:t>Annual Mercury Outputs, kg/</w:t>
            </w:r>
            <w:proofErr w:type="spellStart"/>
            <w:r w:rsidRPr="00C14DE1">
              <w:rPr>
                <w:rFonts w:ascii="Arial" w:hAnsi="Arial" w:cs="Arial"/>
                <w:b/>
                <w:sz w:val="16"/>
                <w:szCs w:val="16"/>
              </w:rPr>
              <w:t>yr</w:t>
            </w:r>
            <w:proofErr w:type="spellEnd"/>
          </w:p>
        </w:tc>
      </w:tr>
      <w:tr w:rsidR="00EA4F4B" w:rsidRPr="00C14DE1" w14:paraId="69732221" w14:textId="77777777" w:rsidTr="00C14DE1">
        <w:tc>
          <w:tcPr>
            <w:tcW w:w="1903" w:type="dxa"/>
            <w:vMerge/>
            <w:vAlign w:val="center"/>
          </w:tcPr>
          <w:p w14:paraId="2FA401F0" w14:textId="77777777" w:rsidR="00EA4F4B" w:rsidRPr="00C14DE1" w:rsidRDefault="00EA4F4B" w:rsidP="00284F82">
            <w:pPr>
              <w:spacing w:line="300" w:lineRule="atLeast"/>
              <w:jc w:val="center"/>
              <w:rPr>
                <w:rFonts w:ascii="Arial" w:hAnsi="Arial" w:cs="Arial"/>
                <w:b/>
                <w:sz w:val="16"/>
                <w:szCs w:val="16"/>
              </w:rPr>
            </w:pPr>
          </w:p>
        </w:tc>
        <w:tc>
          <w:tcPr>
            <w:tcW w:w="1258" w:type="dxa"/>
            <w:vMerge/>
            <w:vAlign w:val="center"/>
          </w:tcPr>
          <w:p w14:paraId="41EB117B" w14:textId="77777777" w:rsidR="00EA4F4B" w:rsidRPr="00C14DE1" w:rsidRDefault="00EA4F4B" w:rsidP="00284F82">
            <w:pPr>
              <w:spacing w:line="300" w:lineRule="atLeast"/>
              <w:jc w:val="center"/>
              <w:rPr>
                <w:rFonts w:ascii="Arial" w:hAnsi="Arial" w:cs="Arial"/>
                <w:b/>
                <w:sz w:val="16"/>
                <w:szCs w:val="16"/>
              </w:rPr>
            </w:pPr>
          </w:p>
        </w:tc>
        <w:tc>
          <w:tcPr>
            <w:tcW w:w="1253" w:type="dxa"/>
            <w:vMerge/>
            <w:vAlign w:val="center"/>
          </w:tcPr>
          <w:p w14:paraId="720A657C" w14:textId="77777777" w:rsidR="00EA4F4B" w:rsidRPr="00C14DE1" w:rsidRDefault="00EA4F4B" w:rsidP="00284F82">
            <w:pPr>
              <w:spacing w:line="300" w:lineRule="atLeast"/>
              <w:jc w:val="center"/>
              <w:rPr>
                <w:rFonts w:ascii="Arial" w:hAnsi="Arial" w:cs="Arial"/>
                <w:b/>
                <w:sz w:val="16"/>
                <w:szCs w:val="16"/>
              </w:rPr>
            </w:pPr>
          </w:p>
        </w:tc>
        <w:tc>
          <w:tcPr>
            <w:tcW w:w="1656" w:type="dxa"/>
            <w:vMerge/>
            <w:vAlign w:val="center"/>
          </w:tcPr>
          <w:p w14:paraId="13E44308" w14:textId="77777777" w:rsidR="00EA4F4B" w:rsidRPr="00C14DE1" w:rsidRDefault="00EA4F4B" w:rsidP="00284F82">
            <w:pPr>
              <w:spacing w:line="300" w:lineRule="atLeast"/>
              <w:jc w:val="center"/>
              <w:rPr>
                <w:rFonts w:ascii="Arial" w:hAnsi="Arial" w:cs="Arial"/>
                <w:b/>
                <w:sz w:val="16"/>
                <w:szCs w:val="16"/>
              </w:rPr>
            </w:pPr>
          </w:p>
        </w:tc>
        <w:tc>
          <w:tcPr>
            <w:tcW w:w="1488" w:type="dxa"/>
            <w:vAlign w:val="center"/>
          </w:tcPr>
          <w:p w14:paraId="36EC3C7C" w14:textId="77777777" w:rsidR="00EA4F4B" w:rsidRPr="00C14DE1" w:rsidRDefault="00EA4F4B" w:rsidP="00284F82">
            <w:pPr>
              <w:spacing w:line="300" w:lineRule="atLeast"/>
              <w:jc w:val="center"/>
              <w:rPr>
                <w:rFonts w:ascii="Arial" w:hAnsi="Arial" w:cs="Arial"/>
                <w:b/>
                <w:sz w:val="16"/>
                <w:szCs w:val="16"/>
              </w:rPr>
            </w:pPr>
            <w:r w:rsidRPr="00C14DE1">
              <w:rPr>
                <w:rFonts w:ascii="Arial" w:hAnsi="Arial" w:cs="Arial"/>
                <w:b/>
                <w:sz w:val="16"/>
                <w:szCs w:val="16"/>
              </w:rPr>
              <w:t>Air</w:t>
            </w:r>
          </w:p>
        </w:tc>
        <w:tc>
          <w:tcPr>
            <w:tcW w:w="1503" w:type="dxa"/>
            <w:vAlign w:val="center"/>
          </w:tcPr>
          <w:p w14:paraId="1FD92BD4" w14:textId="77777777" w:rsidR="00EA4F4B" w:rsidRPr="00C14DE1" w:rsidRDefault="00EA4F4B" w:rsidP="00284F82">
            <w:pPr>
              <w:spacing w:line="300" w:lineRule="atLeast"/>
              <w:jc w:val="center"/>
              <w:rPr>
                <w:rFonts w:ascii="Arial" w:hAnsi="Arial" w:cs="Arial"/>
                <w:b/>
                <w:sz w:val="16"/>
                <w:szCs w:val="16"/>
              </w:rPr>
            </w:pPr>
            <w:r w:rsidRPr="00C14DE1">
              <w:rPr>
                <w:rFonts w:ascii="Arial" w:hAnsi="Arial" w:cs="Arial"/>
                <w:b/>
                <w:sz w:val="16"/>
                <w:szCs w:val="16"/>
              </w:rPr>
              <w:t>Waste</w:t>
            </w:r>
          </w:p>
        </w:tc>
      </w:tr>
      <w:tr w:rsidR="00EA4F4B" w:rsidRPr="00C14DE1" w14:paraId="0CEED6D9" w14:textId="77777777" w:rsidTr="00C14DE1">
        <w:tc>
          <w:tcPr>
            <w:tcW w:w="1903" w:type="dxa"/>
            <w:tcBorders>
              <w:bottom w:val="single" w:sz="4" w:space="0" w:color="auto"/>
            </w:tcBorders>
          </w:tcPr>
          <w:p w14:paraId="00F13C16" w14:textId="1B1ED943" w:rsidR="00EA4F4B" w:rsidRPr="00C14DE1" w:rsidRDefault="00C14DE1" w:rsidP="00AB49A2">
            <w:pPr>
              <w:spacing w:line="300" w:lineRule="atLeast"/>
              <w:jc w:val="both"/>
              <w:rPr>
                <w:rFonts w:ascii="Arial" w:hAnsi="Arial" w:cs="Arial"/>
                <w:sz w:val="16"/>
                <w:szCs w:val="16"/>
              </w:rPr>
            </w:pPr>
            <w:r>
              <w:rPr>
                <w:rFonts w:ascii="Arial" w:hAnsi="Arial" w:cs="Arial"/>
                <w:sz w:val="16"/>
                <w:szCs w:val="16"/>
              </w:rPr>
              <w:t>Waikato C</w:t>
            </w:r>
            <w:r w:rsidR="00EA4F4B" w:rsidRPr="00C14DE1">
              <w:rPr>
                <w:rFonts w:ascii="Arial" w:hAnsi="Arial" w:cs="Arial"/>
                <w:sz w:val="16"/>
                <w:szCs w:val="16"/>
              </w:rPr>
              <w:t>oal</w:t>
            </w:r>
            <w:r>
              <w:rPr>
                <w:rFonts w:ascii="Arial" w:hAnsi="Arial" w:cs="Arial"/>
                <w:sz w:val="16"/>
                <w:szCs w:val="16"/>
              </w:rPr>
              <w:t>, 2012</w:t>
            </w:r>
          </w:p>
        </w:tc>
        <w:tc>
          <w:tcPr>
            <w:tcW w:w="1258" w:type="dxa"/>
            <w:tcBorders>
              <w:bottom w:val="single" w:sz="4" w:space="0" w:color="auto"/>
            </w:tcBorders>
            <w:vAlign w:val="center"/>
          </w:tcPr>
          <w:p w14:paraId="419AC147" w14:textId="77777777" w:rsidR="00EA4F4B" w:rsidRPr="00C14DE1" w:rsidRDefault="00EA4F4B" w:rsidP="00AB49A2">
            <w:pPr>
              <w:spacing w:line="300" w:lineRule="atLeast"/>
              <w:jc w:val="center"/>
              <w:rPr>
                <w:rFonts w:ascii="Arial" w:hAnsi="Arial" w:cs="Arial"/>
                <w:sz w:val="16"/>
                <w:szCs w:val="16"/>
              </w:rPr>
            </w:pPr>
            <w:r w:rsidRPr="00C14DE1">
              <w:rPr>
                <w:rFonts w:ascii="Arial" w:hAnsi="Arial" w:cs="Arial"/>
                <w:sz w:val="16"/>
                <w:szCs w:val="16"/>
              </w:rPr>
              <w:t>8</w:t>
            </w:r>
            <w:r w:rsidR="00AB49A2" w:rsidRPr="00C14DE1">
              <w:rPr>
                <w:rFonts w:ascii="Arial" w:hAnsi="Arial" w:cs="Arial"/>
                <w:sz w:val="16"/>
                <w:szCs w:val="16"/>
              </w:rPr>
              <w:t>0</w:t>
            </w:r>
            <w:r w:rsidR="004B46AA" w:rsidRPr="00C14DE1">
              <w:rPr>
                <w:rFonts w:ascii="Arial" w:hAnsi="Arial" w:cs="Arial"/>
                <w:sz w:val="16"/>
                <w:szCs w:val="16"/>
              </w:rPr>
              <w:t>5</w:t>
            </w:r>
            <w:r w:rsidRPr="00C14DE1">
              <w:rPr>
                <w:rFonts w:ascii="Arial" w:hAnsi="Arial" w:cs="Arial"/>
                <w:sz w:val="16"/>
                <w:szCs w:val="16"/>
              </w:rPr>
              <w:t>,000</w:t>
            </w:r>
          </w:p>
        </w:tc>
        <w:tc>
          <w:tcPr>
            <w:tcW w:w="1253" w:type="dxa"/>
            <w:tcBorders>
              <w:bottom w:val="single" w:sz="4" w:space="0" w:color="auto"/>
            </w:tcBorders>
            <w:vAlign w:val="center"/>
          </w:tcPr>
          <w:p w14:paraId="68F59DDA" w14:textId="77777777" w:rsidR="00EA4F4B" w:rsidRPr="00C14DE1" w:rsidRDefault="00EA4F4B" w:rsidP="00284F82">
            <w:pPr>
              <w:spacing w:line="300" w:lineRule="atLeast"/>
              <w:jc w:val="center"/>
              <w:rPr>
                <w:rFonts w:ascii="Arial" w:hAnsi="Arial" w:cs="Arial"/>
                <w:sz w:val="16"/>
                <w:szCs w:val="16"/>
              </w:rPr>
            </w:pPr>
            <w:r w:rsidRPr="00C14DE1">
              <w:rPr>
                <w:rFonts w:ascii="Arial" w:hAnsi="Arial" w:cs="Arial"/>
                <w:sz w:val="16"/>
                <w:szCs w:val="16"/>
              </w:rPr>
              <w:t>0.05 - 0.20</w:t>
            </w:r>
          </w:p>
        </w:tc>
        <w:tc>
          <w:tcPr>
            <w:tcW w:w="1656" w:type="dxa"/>
            <w:tcBorders>
              <w:bottom w:val="single" w:sz="4" w:space="0" w:color="auto"/>
            </w:tcBorders>
            <w:vAlign w:val="center"/>
          </w:tcPr>
          <w:p w14:paraId="31B5B06D" w14:textId="77777777" w:rsidR="00EA4F4B" w:rsidRPr="00C14DE1" w:rsidRDefault="002C0E45" w:rsidP="002F3266">
            <w:pPr>
              <w:spacing w:line="300" w:lineRule="atLeast"/>
              <w:jc w:val="center"/>
              <w:rPr>
                <w:rFonts w:ascii="Arial" w:hAnsi="Arial" w:cs="Arial"/>
                <w:sz w:val="16"/>
                <w:szCs w:val="16"/>
              </w:rPr>
            </w:pPr>
            <w:r w:rsidRPr="00C14DE1">
              <w:rPr>
                <w:rFonts w:ascii="Arial" w:hAnsi="Arial" w:cs="Arial"/>
                <w:sz w:val="16"/>
                <w:szCs w:val="16"/>
              </w:rPr>
              <w:t>4</w:t>
            </w:r>
            <w:r w:rsidR="00AF5F5A" w:rsidRPr="00C14DE1">
              <w:rPr>
                <w:rFonts w:ascii="Arial" w:hAnsi="Arial" w:cs="Arial"/>
                <w:sz w:val="16"/>
                <w:szCs w:val="16"/>
              </w:rPr>
              <w:t>0</w:t>
            </w:r>
            <w:r w:rsidR="004B46AA" w:rsidRPr="00C14DE1">
              <w:rPr>
                <w:rFonts w:ascii="Arial" w:hAnsi="Arial" w:cs="Arial"/>
                <w:sz w:val="16"/>
                <w:szCs w:val="16"/>
              </w:rPr>
              <w:t>.</w:t>
            </w:r>
            <w:r w:rsidR="002F3266" w:rsidRPr="00C14DE1">
              <w:rPr>
                <w:rFonts w:ascii="Arial" w:hAnsi="Arial" w:cs="Arial"/>
                <w:sz w:val="16"/>
                <w:szCs w:val="16"/>
              </w:rPr>
              <w:t>3</w:t>
            </w:r>
            <w:r w:rsidRPr="00C14DE1">
              <w:rPr>
                <w:rFonts w:ascii="Arial" w:hAnsi="Arial" w:cs="Arial"/>
                <w:sz w:val="16"/>
                <w:szCs w:val="16"/>
              </w:rPr>
              <w:t xml:space="preserve"> – 16</w:t>
            </w:r>
            <w:r w:rsidR="004B46AA" w:rsidRPr="00C14DE1">
              <w:rPr>
                <w:rFonts w:ascii="Arial" w:hAnsi="Arial" w:cs="Arial"/>
                <w:sz w:val="16"/>
                <w:szCs w:val="16"/>
              </w:rPr>
              <w:t>1</w:t>
            </w:r>
          </w:p>
        </w:tc>
        <w:tc>
          <w:tcPr>
            <w:tcW w:w="1488" w:type="dxa"/>
            <w:tcBorders>
              <w:bottom w:val="single" w:sz="4" w:space="0" w:color="auto"/>
            </w:tcBorders>
            <w:vAlign w:val="center"/>
          </w:tcPr>
          <w:p w14:paraId="223E2595" w14:textId="77777777" w:rsidR="00EA4F4B" w:rsidRPr="00C14DE1" w:rsidRDefault="002C0E45" w:rsidP="00AF5F5A">
            <w:pPr>
              <w:spacing w:line="300" w:lineRule="atLeast"/>
              <w:jc w:val="center"/>
              <w:rPr>
                <w:rFonts w:ascii="Arial" w:hAnsi="Arial" w:cs="Arial"/>
                <w:sz w:val="16"/>
                <w:szCs w:val="16"/>
              </w:rPr>
            </w:pPr>
            <w:r w:rsidRPr="00C14DE1">
              <w:rPr>
                <w:rFonts w:ascii="Arial" w:hAnsi="Arial" w:cs="Arial"/>
                <w:sz w:val="16"/>
                <w:szCs w:val="16"/>
              </w:rPr>
              <w:t>20</w:t>
            </w:r>
            <w:r w:rsidR="004B46AA" w:rsidRPr="00C14DE1">
              <w:rPr>
                <w:rFonts w:ascii="Arial" w:hAnsi="Arial" w:cs="Arial"/>
                <w:sz w:val="16"/>
                <w:szCs w:val="16"/>
              </w:rPr>
              <w:t>.1</w:t>
            </w:r>
            <w:r w:rsidR="002F3266" w:rsidRPr="00C14DE1">
              <w:rPr>
                <w:rFonts w:ascii="Arial" w:hAnsi="Arial" w:cs="Arial"/>
                <w:sz w:val="16"/>
                <w:szCs w:val="16"/>
              </w:rPr>
              <w:t>5</w:t>
            </w:r>
            <w:r w:rsidRPr="00C14DE1">
              <w:rPr>
                <w:rFonts w:ascii="Arial" w:hAnsi="Arial" w:cs="Arial"/>
                <w:sz w:val="16"/>
                <w:szCs w:val="16"/>
              </w:rPr>
              <w:t xml:space="preserve"> – 80</w:t>
            </w:r>
            <w:r w:rsidR="004B46AA" w:rsidRPr="00C14DE1">
              <w:rPr>
                <w:rFonts w:ascii="Arial" w:hAnsi="Arial" w:cs="Arial"/>
                <w:sz w:val="16"/>
                <w:szCs w:val="16"/>
              </w:rPr>
              <w:t>.5</w:t>
            </w:r>
          </w:p>
        </w:tc>
        <w:tc>
          <w:tcPr>
            <w:tcW w:w="1503" w:type="dxa"/>
            <w:tcBorders>
              <w:bottom w:val="single" w:sz="4" w:space="0" w:color="auto"/>
            </w:tcBorders>
            <w:vAlign w:val="center"/>
          </w:tcPr>
          <w:p w14:paraId="453492C1" w14:textId="77777777" w:rsidR="00EA4F4B" w:rsidRPr="00C14DE1" w:rsidRDefault="002C0E45" w:rsidP="00AF5F5A">
            <w:pPr>
              <w:spacing w:line="300" w:lineRule="atLeast"/>
              <w:jc w:val="center"/>
              <w:rPr>
                <w:rFonts w:ascii="Arial" w:hAnsi="Arial" w:cs="Arial"/>
                <w:sz w:val="16"/>
                <w:szCs w:val="16"/>
              </w:rPr>
            </w:pPr>
            <w:r w:rsidRPr="00C14DE1">
              <w:rPr>
                <w:rFonts w:ascii="Arial" w:hAnsi="Arial" w:cs="Arial"/>
                <w:sz w:val="16"/>
                <w:szCs w:val="16"/>
              </w:rPr>
              <w:t>20</w:t>
            </w:r>
            <w:r w:rsidR="004B46AA" w:rsidRPr="00C14DE1">
              <w:rPr>
                <w:rFonts w:ascii="Arial" w:hAnsi="Arial" w:cs="Arial"/>
                <w:sz w:val="16"/>
                <w:szCs w:val="16"/>
              </w:rPr>
              <w:t>.1</w:t>
            </w:r>
            <w:r w:rsidR="002F3266" w:rsidRPr="00C14DE1">
              <w:rPr>
                <w:rFonts w:ascii="Arial" w:hAnsi="Arial" w:cs="Arial"/>
                <w:sz w:val="16"/>
                <w:szCs w:val="16"/>
              </w:rPr>
              <w:t>5</w:t>
            </w:r>
            <w:r w:rsidRPr="00C14DE1">
              <w:rPr>
                <w:rFonts w:ascii="Arial" w:hAnsi="Arial" w:cs="Arial"/>
                <w:sz w:val="16"/>
                <w:szCs w:val="16"/>
              </w:rPr>
              <w:t xml:space="preserve"> – 80</w:t>
            </w:r>
            <w:r w:rsidR="004B46AA" w:rsidRPr="00C14DE1">
              <w:rPr>
                <w:rFonts w:ascii="Arial" w:hAnsi="Arial" w:cs="Arial"/>
                <w:sz w:val="16"/>
                <w:szCs w:val="16"/>
              </w:rPr>
              <w:t>.5</w:t>
            </w:r>
          </w:p>
        </w:tc>
      </w:tr>
      <w:tr w:rsidR="00C14DE1" w:rsidRPr="00C14DE1" w14:paraId="42774D27" w14:textId="77777777" w:rsidTr="009337A9">
        <w:tc>
          <w:tcPr>
            <w:tcW w:w="1951" w:type="dxa"/>
            <w:tcBorders>
              <w:bottom w:val="double" w:sz="4" w:space="0" w:color="auto"/>
            </w:tcBorders>
          </w:tcPr>
          <w:p w14:paraId="20A03BA7" w14:textId="07F38E7C" w:rsidR="00C14DE1" w:rsidRPr="00C14DE1" w:rsidRDefault="00C14DE1" w:rsidP="00C14DE1">
            <w:pPr>
              <w:spacing w:line="300" w:lineRule="atLeast"/>
              <w:jc w:val="both"/>
              <w:rPr>
                <w:rFonts w:ascii="Arial" w:hAnsi="Arial" w:cs="Arial"/>
                <w:sz w:val="16"/>
                <w:szCs w:val="16"/>
              </w:rPr>
            </w:pPr>
            <w:r>
              <w:rPr>
                <w:rFonts w:ascii="Arial" w:hAnsi="Arial" w:cs="Arial"/>
                <w:sz w:val="16"/>
                <w:szCs w:val="16"/>
              </w:rPr>
              <w:t>Waikato Coal, 2016</w:t>
            </w:r>
          </w:p>
        </w:tc>
        <w:tc>
          <w:tcPr>
            <w:tcW w:w="1276" w:type="dxa"/>
            <w:vAlign w:val="center"/>
          </w:tcPr>
          <w:p w14:paraId="3E1D3715" w14:textId="068CFAE2" w:rsidR="00C14DE1" w:rsidRPr="00C14DE1" w:rsidRDefault="00C14DE1" w:rsidP="00C14DE1">
            <w:pPr>
              <w:spacing w:line="300" w:lineRule="atLeast"/>
              <w:jc w:val="center"/>
              <w:rPr>
                <w:rFonts w:ascii="Arial" w:hAnsi="Arial" w:cs="Arial"/>
                <w:sz w:val="16"/>
                <w:szCs w:val="16"/>
              </w:rPr>
            </w:pPr>
            <w:r>
              <w:rPr>
                <w:rFonts w:ascii="Arial" w:hAnsi="Arial" w:cs="Arial"/>
                <w:sz w:val="16"/>
                <w:szCs w:val="16"/>
              </w:rPr>
              <w:t>847,920</w:t>
            </w:r>
          </w:p>
        </w:tc>
        <w:tc>
          <w:tcPr>
            <w:tcW w:w="1276" w:type="dxa"/>
            <w:vAlign w:val="center"/>
          </w:tcPr>
          <w:p w14:paraId="01D6EA10" w14:textId="69816692" w:rsidR="00C14DE1" w:rsidRPr="00C14DE1" w:rsidRDefault="00C14DE1" w:rsidP="00C14DE1">
            <w:pPr>
              <w:spacing w:line="300" w:lineRule="atLeast"/>
              <w:jc w:val="center"/>
              <w:rPr>
                <w:rFonts w:ascii="Arial" w:hAnsi="Arial" w:cs="Arial"/>
                <w:sz w:val="16"/>
                <w:szCs w:val="16"/>
              </w:rPr>
            </w:pPr>
            <w:r>
              <w:rPr>
                <w:rFonts w:ascii="Arial" w:hAnsi="Arial" w:cs="Arial"/>
                <w:sz w:val="16"/>
                <w:szCs w:val="16"/>
              </w:rPr>
              <w:t>0.05 – 0.20</w:t>
            </w:r>
          </w:p>
        </w:tc>
        <w:tc>
          <w:tcPr>
            <w:tcW w:w="1701" w:type="dxa"/>
            <w:vAlign w:val="center"/>
          </w:tcPr>
          <w:p w14:paraId="2CDE1B97" w14:textId="2448F144" w:rsidR="00C14DE1" w:rsidRPr="00C14DE1" w:rsidRDefault="00C14DE1" w:rsidP="00C14DE1">
            <w:pPr>
              <w:spacing w:line="300" w:lineRule="atLeast"/>
              <w:jc w:val="center"/>
              <w:rPr>
                <w:rFonts w:ascii="Arial" w:hAnsi="Arial" w:cs="Arial"/>
                <w:sz w:val="16"/>
                <w:szCs w:val="16"/>
              </w:rPr>
            </w:pPr>
            <w:r>
              <w:rPr>
                <w:rFonts w:ascii="Arial" w:hAnsi="Arial" w:cs="Arial"/>
                <w:sz w:val="16"/>
                <w:szCs w:val="16"/>
              </w:rPr>
              <w:t>42.4 - 170</w:t>
            </w:r>
          </w:p>
        </w:tc>
        <w:tc>
          <w:tcPr>
            <w:tcW w:w="1535" w:type="dxa"/>
            <w:vAlign w:val="center"/>
          </w:tcPr>
          <w:p w14:paraId="5FD5370A" w14:textId="1D5C8BB5" w:rsidR="00C14DE1" w:rsidRPr="00C14DE1" w:rsidRDefault="00C14DE1" w:rsidP="00C14DE1">
            <w:pPr>
              <w:spacing w:line="300" w:lineRule="atLeast"/>
              <w:jc w:val="center"/>
              <w:rPr>
                <w:rFonts w:ascii="Arial" w:hAnsi="Arial" w:cs="Arial"/>
                <w:sz w:val="16"/>
                <w:szCs w:val="16"/>
              </w:rPr>
            </w:pPr>
            <w:r>
              <w:rPr>
                <w:rFonts w:ascii="Arial" w:hAnsi="Arial" w:cs="Arial"/>
                <w:sz w:val="16"/>
                <w:szCs w:val="16"/>
              </w:rPr>
              <w:t>21.2 – 85.0</w:t>
            </w:r>
          </w:p>
        </w:tc>
        <w:tc>
          <w:tcPr>
            <w:tcW w:w="1548" w:type="dxa"/>
            <w:vAlign w:val="center"/>
          </w:tcPr>
          <w:p w14:paraId="11AD5A8B" w14:textId="0268559B" w:rsidR="00C14DE1" w:rsidRPr="00C14DE1" w:rsidRDefault="00C14DE1" w:rsidP="00C14DE1">
            <w:pPr>
              <w:spacing w:line="300" w:lineRule="atLeast"/>
              <w:jc w:val="center"/>
              <w:rPr>
                <w:rFonts w:ascii="Arial" w:hAnsi="Arial" w:cs="Arial"/>
                <w:sz w:val="16"/>
                <w:szCs w:val="16"/>
              </w:rPr>
            </w:pPr>
            <w:r>
              <w:rPr>
                <w:rFonts w:ascii="Arial" w:hAnsi="Arial" w:cs="Arial"/>
                <w:sz w:val="16"/>
                <w:szCs w:val="16"/>
              </w:rPr>
              <w:t>21.2 – 85.0</w:t>
            </w:r>
          </w:p>
        </w:tc>
      </w:tr>
      <w:tr w:rsidR="00AB49A2" w:rsidRPr="00C14DE1" w14:paraId="235B6D17" w14:textId="77777777" w:rsidTr="00C14DE1">
        <w:tc>
          <w:tcPr>
            <w:tcW w:w="1903" w:type="dxa"/>
            <w:tcBorders>
              <w:top w:val="double" w:sz="4" w:space="0" w:color="auto"/>
              <w:bottom w:val="single" w:sz="4" w:space="0" w:color="auto"/>
            </w:tcBorders>
          </w:tcPr>
          <w:p w14:paraId="41B5096A" w14:textId="098191E2" w:rsidR="00AB49A2" w:rsidRPr="00C14DE1" w:rsidRDefault="00AB49A2" w:rsidP="00EA4F4B">
            <w:pPr>
              <w:spacing w:line="300" w:lineRule="atLeast"/>
              <w:jc w:val="both"/>
              <w:rPr>
                <w:rFonts w:ascii="Arial" w:hAnsi="Arial" w:cs="Arial"/>
                <w:sz w:val="16"/>
                <w:szCs w:val="16"/>
              </w:rPr>
            </w:pPr>
            <w:r w:rsidRPr="00C14DE1">
              <w:rPr>
                <w:rFonts w:ascii="Arial" w:hAnsi="Arial" w:cs="Arial"/>
                <w:sz w:val="16"/>
                <w:szCs w:val="16"/>
              </w:rPr>
              <w:t>Limestone</w:t>
            </w:r>
            <w:r w:rsidR="00C14DE1">
              <w:rPr>
                <w:rFonts w:ascii="Arial" w:hAnsi="Arial" w:cs="Arial"/>
                <w:sz w:val="16"/>
                <w:szCs w:val="16"/>
              </w:rPr>
              <w:t>, 2012</w:t>
            </w:r>
          </w:p>
        </w:tc>
        <w:tc>
          <w:tcPr>
            <w:tcW w:w="1258" w:type="dxa"/>
            <w:tcBorders>
              <w:top w:val="double" w:sz="4" w:space="0" w:color="auto"/>
              <w:bottom w:val="single" w:sz="4" w:space="0" w:color="auto"/>
            </w:tcBorders>
            <w:vAlign w:val="center"/>
          </w:tcPr>
          <w:p w14:paraId="59370564" w14:textId="77777777" w:rsidR="00AB49A2" w:rsidRPr="00C14DE1" w:rsidRDefault="00AB49A2" w:rsidP="00284F82">
            <w:pPr>
              <w:spacing w:line="300" w:lineRule="atLeast"/>
              <w:jc w:val="center"/>
              <w:rPr>
                <w:rFonts w:ascii="Arial" w:hAnsi="Arial" w:cs="Arial"/>
                <w:sz w:val="16"/>
                <w:szCs w:val="16"/>
              </w:rPr>
            </w:pPr>
            <w:r w:rsidRPr="00C14DE1">
              <w:rPr>
                <w:rFonts w:ascii="Arial" w:hAnsi="Arial" w:cs="Arial"/>
                <w:sz w:val="16"/>
                <w:szCs w:val="16"/>
              </w:rPr>
              <w:t>4</w:t>
            </w:r>
            <w:r w:rsidR="004B46AA" w:rsidRPr="00C14DE1">
              <w:rPr>
                <w:rFonts w:ascii="Arial" w:hAnsi="Arial" w:cs="Arial"/>
                <w:sz w:val="16"/>
                <w:szCs w:val="16"/>
              </w:rPr>
              <w:t>3</w:t>
            </w:r>
            <w:r w:rsidRPr="00C14DE1">
              <w:rPr>
                <w:rFonts w:ascii="Arial" w:hAnsi="Arial" w:cs="Arial"/>
                <w:sz w:val="16"/>
                <w:szCs w:val="16"/>
              </w:rPr>
              <w:t>,000</w:t>
            </w:r>
          </w:p>
        </w:tc>
        <w:tc>
          <w:tcPr>
            <w:tcW w:w="1253" w:type="dxa"/>
            <w:tcBorders>
              <w:top w:val="double" w:sz="4" w:space="0" w:color="auto"/>
              <w:bottom w:val="single" w:sz="4" w:space="0" w:color="auto"/>
            </w:tcBorders>
            <w:vAlign w:val="center"/>
          </w:tcPr>
          <w:p w14:paraId="2ED6BE06" w14:textId="77777777" w:rsidR="00AB49A2" w:rsidRPr="00C14DE1" w:rsidRDefault="00AB49A2" w:rsidP="00284F82">
            <w:pPr>
              <w:spacing w:line="300" w:lineRule="atLeast"/>
              <w:jc w:val="center"/>
              <w:rPr>
                <w:rFonts w:ascii="Arial" w:hAnsi="Arial" w:cs="Arial"/>
                <w:sz w:val="16"/>
                <w:szCs w:val="16"/>
              </w:rPr>
            </w:pPr>
            <w:r w:rsidRPr="00C14DE1">
              <w:rPr>
                <w:rFonts w:ascii="Arial" w:hAnsi="Arial" w:cs="Arial"/>
                <w:sz w:val="16"/>
                <w:szCs w:val="16"/>
              </w:rPr>
              <w:t>0.005 – 0.02</w:t>
            </w:r>
          </w:p>
        </w:tc>
        <w:tc>
          <w:tcPr>
            <w:tcW w:w="1656" w:type="dxa"/>
            <w:tcBorders>
              <w:top w:val="double" w:sz="4" w:space="0" w:color="auto"/>
              <w:bottom w:val="single" w:sz="4" w:space="0" w:color="auto"/>
            </w:tcBorders>
            <w:vAlign w:val="center"/>
          </w:tcPr>
          <w:p w14:paraId="7F44A6D8" w14:textId="77777777" w:rsidR="00AB49A2" w:rsidRPr="00C14DE1" w:rsidRDefault="00AF5F5A" w:rsidP="004B46AA">
            <w:pPr>
              <w:spacing w:line="300" w:lineRule="atLeast"/>
              <w:jc w:val="center"/>
              <w:rPr>
                <w:rFonts w:ascii="Arial" w:hAnsi="Arial" w:cs="Arial"/>
                <w:sz w:val="16"/>
                <w:szCs w:val="16"/>
              </w:rPr>
            </w:pPr>
            <w:r w:rsidRPr="00C14DE1">
              <w:rPr>
                <w:rFonts w:ascii="Arial" w:hAnsi="Arial" w:cs="Arial"/>
                <w:sz w:val="16"/>
                <w:szCs w:val="16"/>
              </w:rPr>
              <w:t>0.</w:t>
            </w:r>
            <w:r w:rsidR="004B46AA" w:rsidRPr="00C14DE1">
              <w:rPr>
                <w:rFonts w:ascii="Arial" w:hAnsi="Arial" w:cs="Arial"/>
                <w:sz w:val="16"/>
                <w:szCs w:val="16"/>
              </w:rPr>
              <w:t>22</w:t>
            </w:r>
            <w:r w:rsidRPr="00C14DE1">
              <w:rPr>
                <w:rFonts w:ascii="Arial" w:hAnsi="Arial" w:cs="Arial"/>
                <w:sz w:val="16"/>
                <w:szCs w:val="16"/>
              </w:rPr>
              <w:t xml:space="preserve"> – 0.8</w:t>
            </w:r>
            <w:r w:rsidR="004B46AA" w:rsidRPr="00C14DE1">
              <w:rPr>
                <w:rFonts w:ascii="Arial" w:hAnsi="Arial" w:cs="Arial"/>
                <w:sz w:val="16"/>
                <w:szCs w:val="16"/>
              </w:rPr>
              <w:t>6</w:t>
            </w:r>
          </w:p>
        </w:tc>
        <w:tc>
          <w:tcPr>
            <w:tcW w:w="1488" w:type="dxa"/>
            <w:tcBorders>
              <w:top w:val="double" w:sz="4" w:space="0" w:color="auto"/>
              <w:bottom w:val="single" w:sz="4" w:space="0" w:color="auto"/>
            </w:tcBorders>
            <w:vAlign w:val="center"/>
          </w:tcPr>
          <w:p w14:paraId="07C1B54B" w14:textId="77777777" w:rsidR="00AB49A2" w:rsidRPr="00C14DE1" w:rsidRDefault="00AF5F5A" w:rsidP="00AF5F5A">
            <w:pPr>
              <w:spacing w:line="300" w:lineRule="atLeast"/>
              <w:jc w:val="center"/>
              <w:rPr>
                <w:rFonts w:ascii="Arial" w:hAnsi="Arial" w:cs="Arial"/>
                <w:sz w:val="16"/>
                <w:szCs w:val="16"/>
              </w:rPr>
            </w:pPr>
            <w:r w:rsidRPr="00C14DE1">
              <w:rPr>
                <w:rFonts w:ascii="Arial" w:hAnsi="Arial" w:cs="Arial"/>
                <w:sz w:val="16"/>
                <w:szCs w:val="16"/>
              </w:rPr>
              <w:t>0.</w:t>
            </w:r>
            <w:r w:rsidR="00111AEB" w:rsidRPr="00C14DE1">
              <w:rPr>
                <w:rFonts w:ascii="Arial" w:hAnsi="Arial" w:cs="Arial"/>
                <w:sz w:val="16"/>
                <w:szCs w:val="16"/>
              </w:rPr>
              <w:t>11</w:t>
            </w:r>
            <w:r w:rsidRPr="00C14DE1">
              <w:rPr>
                <w:rFonts w:ascii="Arial" w:hAnsi="Arial" w:cs="Arial"/>
                <w:sz w:val="16"/>
                <w:szCs w:val="16"/>
              </w:rPr>
              <w:t xml:space="preserve"> – 0.4</w:t>
            </w:r>
            <w:r w:rsidR="00111AEB" w:rsidRPr="00C14DE1">
              <w:rPr>
                <w:rFonts w:ascii="Arial" w:hAnsi="Arial" w:cs="Arial"/>
                <w:sz w:val="16"/>
                <w:szCs w:val="16"/>
              </w:rPr>
              <w:t>3</w:t>
            </w:r>
          </w:p>
        </w:tc>
        <w:tc>
          <w:tcPr>
            <w:tcW w:w="1503" w:type="dxa"/>
            <w:tcBorders>
              <w:top w:val="double" w:sz="4" w:space="0" w:color="auto"/>
              <w:bottom w:val="single" w:sz="4" w:space="0" w:color="auto"/>
            </w:tcBorders>
            <w:vAlign w:val="center"/>
          </w:tcPr>
          <w:p w14:paraId="2D54A56F" w14:textId="77777777" w:rsidR="00AB49A2" w:rsidRPr="00C14DE1" w:rsidRDefault="00AF5F5A" w:rsidP="00111AEB">
            <w:pPr>
              <w:spacing w:line="300" w:lineRule="atLeast"/>
              <w:jc w:val="center"/>
              <w:rPr>
                <w:rFonts w:ascii="Arial" w:hAnsi="Arial" w:cs="Arial"/>
                <w:sz w:val="16"/>
                <w:szCs w:val="16"/>
              </w:rPr>
            </w:pPr>
            <w:r w:rsidRPr="00C14DE1">
              <w:rPr>
                <w:rFonts w:ascii="Arial" w:hAnsi="Arial" w:cs="Arial"/>
                <w:sz w:val="16"/>
                <w:szCs w:val="16"/>
              </w:rPr>
              <w:t>0.</w:t>
            </w:r>
            <w:r w:rsidR="00111AEB" w:rsidRPr="00C14DE1">
              <w:rPr>
                <w:rFonts w:ascii="Arial" w:hAnsi="Arial" w:cs="Arial"/>
                <w:sz w:val="16"/>
                <w:szCs w:val="16"/>
              </w:rPr>
              <w:t>11</w:t>
            </w:r>
            <w:r w:rsidRPr="00C14DE1">
              <w:rPr>
                <w:rFonts w:ascii="Arial" w:hAnsi="Arial" w:cs="Arial"/>
                <w:sz w:val="16"/>
                <w:szCs w:val="16"/>
              </w:rPr>
              <w:t xml:space="preserve"> – 0.4</w:t>
            </w:r>
            <w:r w:rsidR="00111AEB" w:rsidRPr="00C14DE1">
              <w:rPr>
                <w:rFonts w:ascii="Arial" w:hAnsi="Arial" w:cs="Arial"/>
                <w:sz w:val="16"/>
                <w:szCs w:val="16"/>
              </w:rPr>
              <w:t>3</w:t>
            </w:r>
          </w:p>
        </w:tc>
      </w:tr>
      <w:tr w:rsidR="00C14DE1" w:rsidRPr="00C14DE1" w14:paraId="7327CF52" w14:textId="77777777" w:rsidTr="009337A9">
        <w:tc>
          <w:tcPr>
            <w:tcW w:w="1903" w:type="dxa"/>
            <w:tcBorders>
              <w:bottom w:val="double" w:sz="4" w:space="0" w:color="auto"/>
            </w:tcBorders>
          </w:tcPr>
          <w:p w14:paraId="0FB5D9B9" w14:textId="4AC63F37" w:rsidR="00C14DE1" w:rsidRPr="00C14DE1" w:rsidRDefault="00C14DE1" w:rsidP="00C14DE1">
            <w:pPr>
              <w:spacing w:line="300" w:lineRule="atLeast"/>
              <w:jc w:val="both"/>
              <w:rPr>
                <w:rFonts w:ascii="Arial" w:hAnsi="Arial" w:cs="Arial"/>
                <w:sz w:val="16"/>
                <w:szCs w:val="16"/>
              </w:rPr>
            </w:pPr>
            <w:r>
              <w:rPr>
                <w:rFonts w:ascii="Arial" w:hAnsi="Arial" w:cs="Arial"/>
                <w:sz w:val="16"/>
                <w:szCs w:val="16"/>
              </w:rPr>
              <w:t>Limestone, 2016</w:t>
            </w:r>
          </w:p>
        </w:tc>
        <w:tc>
          <w:tcPr>
            <w:tcW w:w="1258" w:type="dxa"/>
            <w:vAlign w:val="center"/>
          </w:tcPr>
          <w:p w14:paraId="4E6E388A" w14:textId="586D6E32" w:rsidR="00C14DE1" w:rsidRPr="00C14DE1" w:rsidRDefault="00C14DE1" w:rsidP="00C14DE1">
            <w:pPr>
              <w:spacing w:line="300" w:lineRule="atLeast"/>
              <w:jc w:val="center"/>
              <w:rPr>
                <w:rFonts w:ascii="Arial" w:hAnsi="Arial" w:cs="Arial"/>
                <w:sz w:val="16"/>
                <w:szCs w:val="16"/>
              </w:rPr>
            </w:pPr>
            <w:r>
              <w:rPr>
                <w:rFonts w:ascii="Arial" w:hAnsi="Arial" w:cs="Arial"/>
                <w:sz w:val="16"/>
                <w:szCs w:val="16"/>
              </w:rPr>
              <w:t>61,398</w:t>
            </w:r>
          </w:p>
        </w:tc>
        <w:tc>
          <w:tcPr>
            <w:tcW w:w="1253" w:type="dxa"/>
            <w:vAlign w:val="center"/>
          </w:tcPr>
          <w:p w14:paraId="757BF805" w14:textId="792959EA" w:rsidR="00C14DE1" w:rsidRPr="00C14DE1" w:rsidRDefault="00C14DE1" w:rsidP="00C14DE1">
            <w:pPr>
              <w:spacing w:line="300" w:lineRule="atLeast"/>
              <w:jc w:val="center"/>
              <w:rPr>
                <w:rFonts w:ascii="Arial" w:hAnsi="Arial" w:cs="Arial"/>
                <w:sz w:val="16"/>
                <w:szCs w:val="16"/>
              </w:rPr>
            </w:pPr>
            <w:r>
              <w:rPr>
                <w:rFonts w:ascii="Arial" w:hAnsi="Arial" w:cs="Arial"/>
                <w:sz w:val="16"/>
                <w:szCs w:val="16"/>
              </w:rPr>
              <w:t>0.005 – 0.02</w:t>
            </w:r>
          </w:p>
        </w:tc>
        <w:tc>
          <w:tcPr>
            <w:tcW w:w="1656" w:type="dxa"/>
            <w:vAlign w:val="center"/>
          </w:tcPr>
          <w:p w14:paraId="2FE6DB9E" w14:textId="426B5979" w:rsidR="00C14DE1" w:rsidRPr="00C14DE1" w:rsidRDefault="00C14DE1" w:rsidP="00C14DE1">
            <w:pPr>
              <w:spacing w:line="300" w:lineRule="atLeast"/>
              <w:jc w:val="center"/>
              <w:rPr>
                <w:rFonts w:ascii="Arial" w:hAnsi="Arial" w:cs="Arial"/>
                <w:sz w:val="16"/>
                <w:szCs w:val="16"/>
              </w:rPr>
            </w:pPr>
            <w:r>
              <w:rPr>
                <w:rFonts w:ascii="Arial" w:hAnsi="Arial" w:cs="Arial"/>
                <w:sz w:val="16"/>
                <w:szCs w:val="16"/>
              </w:rPr>
              <w:t>0.31 – 1.23</w:t>
            </w:r>
          </w:p>
        </w:tc>
        <w:tc>
          <w:tcPr>
            <w:tcW w:w="1488" w:type="dxa"/>
            <w:vAlign w:val="center"/>
          </w:tcPr>
          <w:p w14:paraId="4684035B" w14:textId="2B544D5A" w:rsidR="00C14DE1" w:rsidRPr="00C14DE1" w:rsidRDefault="00C14DE1" w:rsidP="00C14DE1">
            <w:pPr>
              <w:spacing w:line="300" w:lineRule="atLeast"/>
              <w:jc w:val="center"/>
              <w:rPr>
                <w:rFonts w:ascii="Arial" w:hAnsi="Arial" w:cs="Arial"/>
                <w:sz w:val="16"/>
                <w:szCs w:val="16"/>
              </w:rPr>
            </w:pPr>
            <w:r>
              <w:rPr>
                <w:rFonts w:ascii="Arial" w:hAnsi="Arial" w:cs="Arial"/>
                <w:sz w:val="16"/>
                <w:szCs w:val="16"/>
              </w:rPr>
              <w:t>0.16 – 0.62</w:t>
            </w:r>
          </w:p>
        </w:tc>
        <w:tc>
          <w:tcPr>
            <w:tcW w:w="1503" w:type="dxa"/>
            <w:vAlign w:val="center"/>
          </w:tcPr>
          <w:p w14:paraId="5181946C" w14:textId="5C2839BB" w:rsidR="00C14DE1" w:rsidRPr="00C14DE1" w:rsidRDefault="00C14DE1" w:rsidP="00C14DE1">
            <w:pPr>
              <w:spacing w:line="300" w:lineRule="atLeast"/>
              <w:jc w:val="center"/>
              <w:rPr>
                <w:rFonts w:ascii="Arial" w:hAnsi="Arial" w:cs="Arial"/>
                <w:sz w:val="16"/>
                <w:szCs w:val="16"/>
              </w:rPr>
            </w:pPr>
            <w:r>
              <w:rPr>
                <w:rFonts w:ascii="Arial" w:hAnsi="Arial" w:cs="Arial"/>
                <w:sz w:val="16"/>
                <w:szCs w:val="16"/>
              </w:rPr>
              <w:t>0.16 – 0.62</w:t>
            </w:r>
          </w:p>
        </w:tc>
      </w:tr>
      <w:tr w:rsidR="00AB49A2" w:rsidRPr="00C14DE1" w14:paraId="7E5CBB21" w14:textId="77777777" w:rsidTr="00C14DE1">
        <w:tc>
          <w:tcPr>
            <w:tcW w:w="1903" w:type="dxa"/>
            <w:tcBorders>
              <w:top w:val="double" w:sz="4" w:space="0" w:color="auto"/>
            </w:tcBorders>
          </w:tcPr>
          <w:p w14:paraId="0574D610" w14:textId="3273F457" w:rsidR="00AB49A2" w:rsidRPr="00C14DE1" w:rsidRDefault="00AB49A2" w:rsidP="00EA4F4B">
            <w:pPr>
              <w:spacing w:line="300" w:lineRule="atLeast"/>
              <w:jc w:val="both"/>
              <w:rPr>
                <w:rFonts w:ascii="Arial" w:hAnsi="Arial" w:cs="Arial"/>
                <w:b/>
                <w:sz w:val="16"/>
                <w:szCs w:val="16"/>
              </w:rPr>
            </w:pPr>
            <w:r w:rsidRPr="00C14DE1">
              <w:rPr>
                <w:rFonts w:ascii="Arial" w:hAnsi="Arial" w:cs="Arial"/>
                <w:b/>
                <w:sz w:val="16"/>
                <w:szCs w:val="16"/>
              </w:rPr>
              <w:t>Total</w:t>
            </w:r>
            <w:r w:rsidR="00C14DE1">
              <w:rPr>
                <w:rFonts w:ascii="Arial" w:hAnsi="Arial" w:cs="Arial"/>
                <w:b/>
                <w:sz w:val="16"/>
                <w:szCs w:val="16"/>
              </w:rPr>
              <w:t>, 2012</w:t>
            </w:r>
          </w:p>
        </w:tc>
        <w:tc>
          <w:tcPr>
            <w:tcW w:w="1258" w:type="dxa"/>
            <w:tcBorders>
              <w:top w:val="double" w:sz="4" w:space="0" w:color="auto"/>
            </w:tcBorders>
            <w:vAlign w:val="center"/>
          </w:tcPr>
          <w:p w14:paraId="6E44DAF5" w14:textId="77777777" w:rsidR="00AB49A2" w:rsidRPr="00C14DE1" w:rsidRDefault="00AB49A2" w:rsidP="00284F82">
            <w:pPr>
              <w:spacing w:line="300" w:lineRule="atLeast"/>
              <w:jc w:val="center"/>
              <w:rPr>
                <w:rFonts w:ascii="Arial" w:hAnsi="Arial" w:cs="Arial"/>
                <w:b/>
                <w:sz w:val="16"/>
                <w:szCs w:val="16"/>
              </w:rPr>
            </w:pPr>
          </w:p>
        </w:tc>
        <w:tc>
          <w:tcPr>
            <w:tcW w:w="1253" w:type="dxa"/>
            <w:tcBorders>
              <w:top w:val="double" w:sz="4" w:space="0" w:color="auto"/>
            </w:tcBorders>
            <w:vAlign w:val="center"/>
          </w:tcPr>
          <w:p w14:paraId="6290DD37" w14:textId="77777777" w:rsidR="00AB49A2" w:rsidRPr="00C14DE1" w:rsidRDefault="00AB49A2" w:rsidP="00284F82">
            <w:pPr>
              <w:spacing w:line="300" w:lineRule="atLeast"/>
              <w:jc w:val="center"/>
              <w:rPr>
                <w:rFonts w:ascii="Arial" w:hAnsi="Arial" w:cs="Arial"/>
                <w:b/>
                <w:sz w:val="16"/>
                <w:szCs w:val="16"/>
              </w:rPr>
            </w:pPr>
          </w:p>
        </w:tc>
        <w:tc>
          <w:tcPr>
            <w:tcW w:w="1656" w:type="dxa"/>
            <w:tcBorders>
              <w:top w:val="double" w:sz="4" w:space="0" w:color="auto"/>
            </w:tcBorders>
            <w:vAlign w:val="center"/>
          </w:tcPr>
          <w:p w14:paraId="6A837CB1" w14:textId="77777777" w:rsidR="00AB49A2" w:rsidRPr="00C14DE1" w:rsidRDefault="00AF5F5A" w:rsidP="00111AEB">
            <w:pPr>
              <w:spacing w:line="300" w:lineRule="atLeast"/>
              <w:jc w:val="center"/>
              <w:rPr>
                <w:rFonts w:ascii="Arial" w:hAnsi="Arial" w:cs="Arial"/>
                <w:b/>
                <w:sz w:val="16"/>
                <w:szCs w:val="16"/>
              </w:rPr>
            </w:pPr>
            <w:r w:rsidRPr="00C14DE1">
              <w:rPr>
                <w:rFonts w:ascii="Arial" w:hAnsi="Arial" w:cs="Arial"/>
                <w:b/>
                <w:sz w:val="16"/>
                <w:szCs w:val="16"/>
              </w:rPr>
              <w:t>40.</w:t>
            </w:r>
            <w:r w:rsidR="00111AEB" w:rsidRPr="00C14DE1">
              <w:rPr>
                <w:rFonts w:ascii="Arial" w:hAnsi="Arial" w:cs="Arial"/>
                <w:b/>
                <w:sz w:val="16"/>
                <w:szCs w:val="16"/>
              </w:rPr>
              <w:t>5</w:t>
            </w:r>
            <w:r w:rsidRPr="00C14DE1">
              <w:rPr>
                <w:rFonts w:ascii="Arial" w:hAnsi="Arial" w:cs="Arial"/>
                <w:b/>
                <w:sz w:val="16"/>
                <w:szCs w:val="16"/>
              </w:rPr>
              <w:t xml:space="preserve"> </w:t>
            </w:r>
            <w:r w:rsidR="000F08C9" w:rsidRPr="00C14DE1">
              <w:rPr>
                <w:rFonts w:ascii="Arial" w:hAnsi="Arial" w:cs="Arial"/>
                <w:b/>
                <w:sz w:val="16"/>
                <w:szCs w:val="16"/>
              </w:rPr>
              <w:t>–</w:t>
            </w:r>
            <w:r w:rsidRPr="00C14DE1">
              <w:rPr>
                <w:rFonts w:ascii="Arial" w:hAnsi="Arial" w:cs="Arial"/>
                <w:b/>
                <w:sz w:val="16"/>
                <w:szCs w:val="16"/>
              </w:rPr>
              <w:t xml:space="preserve"> 161</w:t>
            </w:r>
            <w:r w:rsidR="00111AEB" w:rsidRPr="00C14DE1">
              <w:rPr>
                <w:rFonts w:ascii="Arial" w:hAnsi="Arial" w:cs="Arial"/>
                <w:b/>
                <w:sz w:val="16"/>
                <w:szCs w:val="16"/>
              </w:rPr>
              <w:t>.9</w:t>
            </w:r>
            <w:r w:rsidR="000F08C9" w:rsidRPr="00C14DE1">
              <w:rPr>
                <w:rFonts w:ascii="Arial" w:hAnsi="Arial" w:cs="Arial"/>
                <w:b/>
                <w:sz w:val="16"/>
                <w:szCs w:val="16"/>
              </w:rPr>
              <w:t xml:space="preserve"> (10</w:t>
            </w:r>
            <w:r w:rsidR="00111AEB" w:rsidRPr="00C14DE1">
              <w:rPr>
                <w:rFonts w:ascii="Arial" w:hAnsi="Arial" w:cs="Arial"/>
                <w:b/>
                <w:sz w:val="16"/>
                <w:szCs w:val="16"/>
              </w:rPr>
              <w:t>1</w:t>
            </w:r>
            <w:r w:rsidR="000F08C9" w:rsidRPr="00C14DE1">
              <w:rPr>
                <w:rFonts w:ascii="Arial" w:hAnsi="Arial" w:cs="Arial"/>
                <w:b/>
                <w:sz w:val="16"/>
                <w:szCs w:val="16"/>
              </w:rPr>
              <w:t>.</w:t>
            </w:r>
            <w:r w:rsidR="00111AEB" w:rsidRPr="00C14DE1">
              <w:rPr>
                <w:rFonts w:ascii="Arial" w:hAnsi="Arial" w:cs="Arial"/>
                <w:b/>
                <w:sz w:val="16"/>
                <w:szCs w:val="16"/>
              </w:rPr>
              <w:t>2</w:t>
            </w:r>
            <w:r w:rsidR="000F08C9" w:rsidRPr="00C14DE1">
              <w:rPr>
                <w:rFonts w:ascii="Arial" w:hAnsi="Arial" w:cs="Arial"/>
                <w:b/>
                <w:sz w:val="16"/>
                <w:szCs w:val="16"/>
              </w:rPr>
              <w:t>)</w:t>
            </w:r>
          </w:p>
        </w:tc>
        <w:tc>
          <w:tcPr>
            <w:tcW w:w="1488" w:type="dxa"/>
            <w:tcBorders>
              <w:top w:val="double" w:sz="4" w:space="0" w:color="auto"/>
            </w:tcBorders>
            <w:vAlign w:val="center"/>
          </w:tcPr>
          <w:p w14:paraId="515379DA" w14:textId="7B2981E0" w:rsidR="00AB49A2" w:rsidRPr="00C14DE1" w:rsidRDefault="00AF5F5A" w:rsidP="00861AC9">
            <w:pPr>
              <w:spacing w:line="300" w:lineRule="atLeast"/>
              <w:jc w:val="center"/>
              <w:rPr>
                <w:rFonts w:ascii="Arial" w:hAnsi="Arial" w:cs="Arial"/>
                <w:b/>
                <w:sz w:val="16"/>
                <w:szCs w:val="16"/>
              </w:rPr>
            </w:pPr>
            <w:r w:rsidRPr="00C14DE1">
              <w:rPr>
                <w:rFonts w:ascii="Arial" w:hAnsi="Arial" w:cs="Arial"/>
                <w:b/>
                <w:sz w:val="16"/>
                <w:szCs w:val="16"/>
              </w:rPr>
              <w:t>20.</w:t>
            </w:r>
            <w:r w:rsidR="00861AC9" w:rsidRPr="00C14DE1">
              <w:rPr>
                <w:rFonts w:ascii="Arial" w:hAnsi="Arial" w:cs="Arial"/>
                <w:b/>
                <w:sz w:val="16"/>
                <w:szCs w:val="16"/>
              </w:rPr>
              <w:t>3</w:t>
            </w:r>
            <w:r w:rsidRPr="00C14DE1">
              <w:rPr>
                <w:rFonts w:ascii="Arial" w:hAnsi="Arial" w:cs="Arial"/>
                <w:b/>
                <w:sz w:val="16"/>
                <w:szCs w:val="16"/>
              </w:rPr>
              <w:t xml:space="preserve"> – 8</w:t>
            </w:r>
            <w:r w:rsidR="00861AC9" w:rsidRPr="00C14DE1">
              <w:rPr>
                <w:rFonts w:ascii="Arial" w:hAnsi="Arial" w:cs="Arial"/>
                <w:b/>
                <w:sz w:val="16"/>
                <w:szCs w:val="16"/>
              </w:rPr>
              <w:t>0.9</w:t>
            </w:r>
            <w:r w:rsidR="000F08C9" w:rsidRPr="00C14DE1">
              <w:rPr>
                <w:rFonts w:ascii="Arial" w:hAnsi="Arial" w:cs="Arial"/>
                <w:b/>
                <w:sz w:val="16"/>
                <w:szCs w:val="16"/>
              </w:rPr>
              <w:t xml:space="preserve"> </w:t>
            </w:r>
            <w:r w:rsidR="000F30F2">
              <w:rPr>
                <w:rFonts w:ascii="Arial" w:hAnsi="Arial" w:cs="Arial"/>
                <w:b/>
                <w:sz w:val="16"/>
                <w:szCs w:val="16"/>
              </w:rPr>
              <w:t xml:space="preserve"> </w:t>
            </w:r>
            <w:r w:rsidR="000F08C9" w:rsidRPr="00C14DE1">
              <w:rPr>
                <w:rFonts w:ascii="Arial" w:hAnsi="Arial" w:cs="Arial"/>
                <w:b/>
                <w:sz w:val="16"/>
                <w:szCs w:val="16"/>
              </w:rPr>
              <w:t>(50.</w:t>
            </w:r>
            <w:r w:rsidR="00111AEB" w:rsidRPr="00C14DE1">
              <w:rPr>
                <w:rFonts w:ascii="Arial" w:hAnsi="Arial" w:cs="Arial"/>
                <w:b/>
                <w:sz w:val="16"/>
                <w:szCs w:val="16"/>
              </w:rPr>
              <w:t>6</w:t>
            </w:r>
            <w:r w:rsidR="000F08C9" w:rsidRPr="00C14DE1">
              <w:rPr>
                <w:rFonts w:ascii="Arial" w:hAnsi="Arial" w:cs="Arial"/>
                <w:b/>
                <w:sz w:val="16"/>
                <w:szCs w:val="16"/>
              </w:rPr>
              <w:t>)</w:t>
            </w:r>
          </w:p>
        </w:tc>
        <w:tc>
          <w:tcPr>
            <w:tcW w:w="1503" w:type="dxa"/>
            <w:tcBorders>
              <w:top w:val="double" w:sz="4" w:space="0" w:color="auto"/>
            </w:tcBorders>
            <w:vAlign w:val="center"/>
          </w:tcPr>
          <w:p w14:paraId="0A767B16" w14:textId="02687387" w:rsidR="000F08C9" w:rsidRPr="00C14DE1" w:rsidRDefault="00AF5F5A" w:rsidP="00861AC9">
            <w:pPr>
              <w:spacing w:line="300" w:lineRule="atLeast"/>
              <w:jc w:val="center"/>
              <w:rPr>
                <w:rFonts w:ascii="Arial" w:hAnsi="Arial" w:cs="Arial"/>
                <w:b/>
                <w:sz w:val="16"/>
                <w:szCs w:val="16"/>
              </w:rPr>
            </w:pPr>
            <w:r w:rsidRPr="00C14DE1">
              <w:rPr>
                <w:rFonts w:ascii="Arial" w:hAnsi="Arial" w:cs="Arial"/>
                <w:b/>
                <w:sz w:val="16"/>
                <w:szCs w:val="16"/>
              </w:rPr>
              <w:t>20.</w:t>
            </w:r>
            <w:r w:rsidR="00861AC9" w:rsidRPr="00C14DE1">
              <w:rPr>
                <w:rFonts w:ascii="Arial" w:hAnsi="Arial" w:cs="Arial"/>
                <w:b/>
                <w:sz w:val="16"/>
                <w:szCs w:val="16"/>
              </w:rPr>
              <w:t>3</w:t>
            </w:r>
            <w:r w:rsidRPr="00C14DE1">
              <w:rPr>
                <w:rFonts w:ascii="Arial" w:hAnsi="Arial" w:cs="Arial"/>
                <w:b/>
                <w:sz w:val="16"/>
                <w:szCs w:val="16"/>
              </w:rPr>
              <w:t xml:space="preserve"> – 8</w:t>
            </w:r>
            <w:r w:rsidR="00861AC9" w:rsidRPr="00C14DE1">
              <w:rPr>
                <w:rFonts w:ascii="Arial" w:hAnsi="Arial" w:cs="Arial"/>
                <w:b/>
                <w:sz w:val="16"/>
                <w:szCs w:val="16"/>
              </w:rPr>
              <w:t>0.9</w:t>
            </w:r>
            <w:r w:rsidR="000F08C9" w:rsidRPr="00C14DE1">
              <w:rPr>
                <w:rFonts w:ascii="Arial" w:hAnsi="Arial" w:cs="Arial"/>
                <w:b/>
                <w:sz w:val="16"/>
                <w:szCs w:val="16"/>
              </w:rPr>
              <w:t xml:space="preserve"> </w:t>
            </w:r>
            <w:r w:rsidR="000F30F2">
              <w:rPr>
                <w:rFonts w:ascii="Arial" w:hAnsi="Arial" w:cs="Arial"/>
                <w:b/>
                <w:sz w:val="16"/>
                <w:szCs w:val="16"/>
              </w:rPr>
              <w:t xml:space="preserve"> </w:t>
            </w:r>
            <w:r w:rsidR="000F08C9" w:rsidRPr="00C14DE1">
              <w:rPr>
                <w:rFonts w:ascii="Arial" w:hAnsi="Arial" w:cs="Arial"/>
                <w:b/>
                <w:sz w:val="16"/>
                <w:szCs w:val="16"/>
              </w:rPr>
              <w:t>(50.</w:t>
            </w:r>
            <w:r w:rsidR="00111AEB" w:rsidRPr="00C14DE1">
              <w:rPr>
                <w:rFonts w:ascii="Arial" w:hAnsi="Arial" w:cs="Arial"/>
                <w:b/>
                <w:sz w:val="16"/>
                <w:szCs w:val="16"/>
              </w:rPr>
              <w:t>6</w:t>
            </w:r>
            <w:r w:rsidR="000F08C9" w:rsidRPr="00C14DE1">
              <w:rPr>
                <w:rFonts w:ascii="Arial" w:hAnsi="Arial" w:cs="Arial"/>
                <w:b/>
                <w:sz w:val="16"/>
                <w:szCs w:val="16"/>
              </w:rPr>
              <w:t>)</w:t>
            </w:r>
          </w:p>
        </w:tc>
      </w:tr>
      <w:tr w:rsidR="00C14DE1" w:rsidRPr="00C14DE1" w14:paraId="1F7C66E0" w14:textId="77777777" w:rsidTr="00C14DE1">
        <w:tc>
          <w:tcPr>
            <w:tcW w:w="1903" w:type="dxa"/>
          </w:tcPr>
          <w:p w14:paraId="69B22AF4" w14:textId="25717730" w:rsidR="00C14DE1" w:rsidRPr="00C14DE1" w:rsidRDefault="00C14DE1" w:rsidP="00C14DE1">
            <w:pPr>
              <w:spacing w:line="300" w:lineRule="atLeast"/>
              <w:jc w:val="both"/>
              <w:rPr>
                <w:rFonts w:ascii="Arial" w:hAnsi="Arial" w:cs="Arial"/>
                <w:b/>
                <w:sz w:val="16"/>
                <w:szCs w:val="16"/>
              </w:rPr>
            </w:pPr>
            <w:r>
              <w:rPr>
                <w:rFonts w:ascii="Arial" w:hAnsi="Arial" w:cs="Arial"/>
                <w:b/>
                <w:sz w:val="16"/>
                <w:szCs w:val="16"/>
              </w:rPr>
              <w:t>Total, 2016</w:t>
            </w:r>
          </w:p>
        </w:tc>
        <w:tc>
          <w:tcPr>
            <w:tcW w:w="1258" w:type="dxa"/>
            <w:vAlign w:val="center"/>
          </w:tcPr>
          <w:p w14:paraId="7326B23F" w14:textId="77777777" w:rsidR="00C14DE1" w:rsidRPr="00C14DE1" w:rsidRDefault="00C14DE1" w:rsidP="00C14DE1">
            <w:pPr>
              <w:spacing w:line="300" w:lineRule="atLeast"/>
              <w:jc w:val="center"/>
              <w:rPr>
                <w:rFonts w:ascii="Arial" w:hAnsi="Arial" w:cs="Arial"/>
                <w:b/>
                <w:sz w:val="16"/>
                <w:szCs w:val="16"/>
              </w:rPr>
            </w:pPr>
          </w:p>
        </w:tc>
        <w:tc>
          <w:tcPr>
            <w:tcW w:w="1253" w:type="dxa"/>
            <w:vAlign w:val="center"/>
          </w:tcPr>
          <w:p w14:paraId="2E911266" w14:textId="77777777" w:rsidR="00C14DE1" w:rsidRPr="00C14DE1" w:rsidRDefault="00C14DE1" w:rsidP="00C14DE1">
            <w:pPr>
              <w:spacing w:line="300" w:lineRule="atLeast"/>
              <w:jc w:val="center"/>
              <w:rPr>
                <w:rFonts w:ascii="Arial" w:hAnsi="Arial" w:cs="Arial"/>
                <w:b/>
                <w:sz w:val="16"/>
                <w:szCs w:val="16"/>
              </w:rPr>
            </w:pPr>
          </w:p>
        </w:tc>
        <w:tc>
          <w:tcPr>
            <w:tcW w:w="1656" w:type="dxa"/>
            <w:vAlign w:val="center"/>
          </w:tcPr>
          <w:p w14:paraId="0E7BA21B" w14:textId="091740B1" w:rsidR="00C14DE1" w:rsidRPr="00C14DE1" w:rsidRDefault="00C14DE1" w:rsidP="00C14DE1">
            <w:pPr>
              <w:spacing w:line="300" w:lineRule="atLeast"/>
              <w:jc w:val="center"/>
              <w:rPr>
                <w:rFonts w:ascii="Arial" w:hAnsi="Arial" w:cs="Arial"/>
                <w:b/>
                <w:sz w:val="16"/>
                <w:szCs w:val="16"/>
              </w:rPr>
            </w:pPr>
            <w:r>
              <w:rPr>
                <w:rFonts w:ascii="Arial" w:hAnsi="Arial" w:cs="Arial"/>
                <w:b/>
                <w:sz w:val="16"/>
                <w:szCs w:val="16"/>
              </w:rPr>
              <w:t>42.71 -  171.2 (106.9)</w:t>
            </w:r>
          </w:p>
        </w:tc>
        <w:tc>
          <w:tcPr>
            <w:tcW w:w="1488" w:type="dxa"/>
            <w:vAlign w:val="center"/>
          </w:tcPr>
          <w:p w14:paraId="3806B17D" w14:textId="260CCFBC" w:rsidR="00C14DE1" w:rsidRPr="00C14DE1" w:rsidRDefault="00C14DE1" w:rsidP="00C14DE1">
            <w:pPr>
              <w:spacing w:line="300" w:lineRule="atLeast"/>
              <w:jc w:val="center"/>
              <w:rPr>
                <w:rFonts w:ascii="Arial" w:hAnsi="Arial" w:cs="Arial"/>
                <w:b/>
                <w:sz w:val="16"/>
                <w:szCs w:val="16"/>
              </w:rPr>
            </w:pPr>
            <w:r>
              <w:rPr>
                <w:rFonts w:ascii="Arial" w:hAnsi="Arial" w:cs="Arial"/>
                <w:b/>
                <w:sz w:val="16"/>
                <w:szCs w:val="16"/>
              </w:rPr>
              <w:t xml:space="preserve">21.4 – 85.6 </w:t>
            </w:r>
            <w:r w:rsidR="000F30F2">
              <w:rPr>
                <w:rFonts w:ascii="Arial" w:hAnsi="Arial" w:cs="Arial"/>
                <w:b/>
                <w:sz w:val="16"/>
                <w:szCs w:val="16"/>
              </w:rPr>
              <w:t xml:space="preserve"> </w:t>
            </w:r>
            <w:r>
              <w:rPr>
                <w:rFonts w:ascii="Arial" w:hAnsi="Arial" w:cs="Arial"/>
                <w:b/>
                <w:sz w:val="16"/>
                <w:szCs w:val="16"/>
              </w:rPr>
              <w:t>(53.5)</w:t>
            </w:r>
          </w:p>
        </w:tc>
        <w:tc>
          <w:tcPr>
            <w:tcW w:w="1503" w:type="dxa"/>
            <w:vAlign w:val="center"/>
          </w:tcPr>
          <w:p w14:paraId="73D3CD6B" w14:textId="7C24ACF9" w:rsidR="00C14DE1" w:rsidRPr="00C14DE1" w:rsidRDefault="00C14DE1" w:rsidP="00C14DE1">
            <w:pPr>
              <w:spacing w:line="300" w:lineRule="atLeast"/>
              <w:jc w:val="center"/>
              <w:rPr>
                <w:rFonts w:ascii="Arial" w:hAnsi="Arial" w:cs="Arial"/>
                <w:b/>
                <w:sz w:val="16"/>
                <w:szCs w:val="16"/>
              </w:rPr>
            </w:pPr>
            <w:r>
              <w:rPr>
                <w:rFonts w:ascii="Arial" w:hAnsi="Arial" w:cs="Arial"/>
                <w:b/>
                <w:sz w:val="16"/>
                <w:szCs w:val="16"/>
              </w:rPr>
              <w:t xml:space="preserve">21.4 – 85.6 </w:t>
            </w:r>
            <w:r w:rsidR="000F30F2">
              <w:rPr>
                <w:rFonts w:ascii="Arial" w:hAnsi="Arial" w:cs="Arial"/>
                <w:b/>
                <w:sz w:val="16"/>
                <w:szCs w:val="16"/>
              </w:rPr>
              <w:t xml:space="preserve"> </w:t>
            </w:r>
            <w:r>
              <w:rPr>
                <w:rFonts w:ascii="Arial" w:hAnsi="Arial" w:cs="Arial"/>
                <w:b/>
                <w:sz w:val="16"/>
                <w:szCs w:val="16"/>
              </w:rPr>
              <w:t>(53.5)</w:t>
            </w:r>
          </w:p>
        </w:tc>
      </w:tr>
    </w:tbl>
    <w:p w14:paraId="4683CD69" w14:textId="77777777" w:rsidR="00EA4F4B" w:rsidRPr="00C14DE1" w:rsidRDefault="00EA4F4B" w:rsidP="00DD22C0">
      <w:pPr>
        <w:tabs>
          <w:tab w:val="left" w:pos="2760"/>
        </w:tabs>
        <w:spacing w:before="120" w:line="300" w:lineRule="atLeast"/>
        <w:jc w:val="both"/>
        <w:rPr>
          <w:rFonts w:ascii="Arial" w:hAnsi="Arial" w:cs="Arial"/>
          <w:b/>
          <w:szCs w:val="18"/>
        </w:rPr>
      </w:pPr>
      <w:r w:rsidRPr="00C14DE1">
        <w:rPr>
          <w:rFonts w:ascii="Arial" w:hAnsi="Arial" w:cs="Arial"/>
          <w:b/>
          <w:szCs w:val="18"/>
        </w:rPr>
        <w:t>Certainty assessment</w:t>
      </w:r>
    </w:p>
    <w:p w14:paraId="496C08B0" w14:textId="44741AB2" w:rsidR="00EA4F4B" w:rsidRPr="00C14DE1" w:rsidRDefault="00EA4F4B" w:rsidP="003F0477">
      <w:pPr>
        <w:tabs>
          <w:tab w:val="left" w:pos="1701"/>
        </w:tabs>
        <w:spacing w:line="300" w:lineRule="atLeast"/>
        <w:jc w:val="both"/>
        <w:rPr>
          <w:szCs w:val="18"/>
        </w:rPr>
      </w:pPr>
      <w:r w:rsidRPr="00C14DE1">
        <w:rPr>
          <w:szCs w:val="18"/>
        </w:rPr>
        <w:t xml:space="preserve">Activity data: </w:t>
      </w:r>
      <w:r w:rsidRPr="00C14DE1">
        <w:rPr>
          <w:szCs w:val="18"/>
        </w:rPr>
        <w:tab/>
      </w:r>
      <w:r w:rsidR="00D12873">
        <w:rPr>
          <w:szCs w:val="18"/>
        </w:rPr>
        <w:t>HIGH</w:t>
      </w:r>
      <w:r w:rsidRPr="00C14DE1">
        <w:rPr>
          <w:szCs w:val="18"/>
        </w:rPr>
        <w:t xml:space="preserve"> (because it was </w:t>
      </w:r>
      <w:r w:rsidR="003F0477" w:rsidRPr="00C14DE1">
        <w:rPr>
          <w:szCs w:val="18"/>
        </w:rPr>
        <w:t>based on company data</w:t>
      </w:r>
      <w:r w:rsidRPr="00C14DE1">
        <w:rPr>
          <w:szCs w:val="18"/>
        </w:rPr>
        <w:t>)</w:t>
      </w:r>
    </w:p>
    <w:p w14:paraId="50963615" w14:textId="77777777" w:rsidR="00EA4F4B" w:rsidRPr="00C14DE1" w:rsidRDefault="00EA4F4B" w:rsidP="003F0477">
      <w:pPr>
        <w:tabs>
          <w:tab w:val="left" w:pos="1701"/>
        </w:tabs>
        <w:spacing w:line="300" w:lineRule="atLeast"/>
        <w:jc w:val="both"/>
        <w:rPr>
          <w:szCs w:val="18"/>
        </w:rPr>
      </w:pPr>
      <w:r w:rsidRPr="00C14DE1">
        <w:rPr>
          <w:szCs w:val="18"/>
        </w:rPr>
        <w:t xml:space="preserve">Input estimates: </w:t>
      </w:r>
      <w:r w:rsidRPr="00C14DE1">
        <w:rPr>
          <w:szCs w:val="18"/>
        </w:rPr>
        <w:tab/>
        <w:t xml:space="preserve">LOW (because they are based on a limited range of published </w:t>
      </w:r>
      <w:r w:rsidR="003F0477" w:rsidRPr="00C14DE1">
        <w:rPr>
          <w:szCs w:val="18"/>
        </w:rPr>
        <w:t xml:space="preserve">data </w:t>
      </w:r>
      <w:r w:rsidRPr="00C14DE1">
        <w:rPr>
          <w:szCs w:val="18"/>
        </w:rPr>
        <w:t>and industry estimates)</w:t>
      </w:r>
    </w:p>
    <w:p w14:paraId="2DA59DEB" w14:textId="77777777" w:rsidR="00EA4F4B" w:rsidRDefault="00EA4F4B" w:rsidP="003F0477">
      <w:pPr>
        <w:tabs>
          <w:tab w:val="left" w:pos="1701"/>
        </w:tabs>
        <w:spacing w:line="300" w:lineRule="atLeast"/>
        <w:jc w:val="both"/>
        <w:rPr>
          <w:szCs w:val="18"/>
        </w:rPr>
      </w:pPr>
      <w:r w:rsidRPr="00C14DE1">
        <w:rPr>
          <w:szCs w:val="18"/>
        </w:rPr>
        <w:t xml:space="preserve">Output estimates: </w:t>
      </w:r>
      <w:r w:rsidRPr="00C14DE1">
        <w:rPr>
          <w:szCs w:val="18"/>
        </w:rPr>
        <w:tab/>
        <w:t>LOW (because they are based on default Toolkit output factors</w:t>
      </w:r>
      <w:r w:rsidR="00121BAD" w:rsidRPr="00C14DE1">
        <w:rPr>
          <w:szCs w:val="18"/>
        </w:rPr>
        <w:t xml:space="preserve"> for another category</w:t>
      </w:r>
      <w:r w:rsidRPr="00C14DE1">
        <w:rPr>
          <w:szCs w:val="18"/>
        </w:rPr>
        <w:t>).</w:t>
      </w:r>
    </w:p>
    <w:p w14:paraId="45A8157D" w14:textId="77777777" w:rsidR="002B3717" w:rsidRPr="002B3717" w:rsidRDefault="002B3717" w:rsidP="002B3717">
      <w:pPr>
        <w:pStyle w:val="Heading2"/>
        <w:rPr>
          <w:rFonts w:eastAsia="Calibri"/>
        </w:rPr>
      </w:pPr>
      <w:bookmarkStart w:id="62" w:name="_Toc484949580"/>
      <w:r w:rsidRPr="002B3717">
        <w:rPr>
          <w:rFonts w:eastAsia="Calibri"/>
        </w:rPr>
        <w:lastRenderedPageBreak/>
        <w:t>Summary for this category</w:t>
      </w:r>
      <w:bookmarkEnd w:id="62"/>
      <w:r w:rsidRPr="002B3717">
        <w:rPr>
          <w:rFonts w:eastAsia="Calibri"/>
        </w:rPr>
        <w:t xml:space="preserve"> </w:t>
      </w:r>
    </w:p>
    <w:p w14:paraId="5C4D436F" w14:textId="047DD137" w:rsidR="002B3717" w:rsidRDefault="002B3717" w:rsidP="002B3717">
      <w:pPr>
        <w:spacing w:line="300" w:lineRule="atLeast"/>
        <w:jc w:val="both"/>
        <w:rPr>
          <w:rFonts w:eastAsia="Calibri"/>
          <w:szCs w:val="22"/>
        </w:rPr>
      </w:pPr>
      <w:r>
        <w:rPr>
          <w:rFonts w:eastAsia="Calibri"/>
          <w:szCs w:val="22"/>
        </w:rPr>
        <w:t xml:space="preserve">The estimated inputs and outputs for the Primary Metal Production category are summarised in </w:t>
      </w:r>
      <w:r w:rsidRPr="0003101F">
        <w:rPr>
          <w:rFonts w:eastAsia="Calibri"/>
          <w:szCs w:val="22"/>
        </w:rPr>
        <w:fldChar w:fldCharType="begin"/>
      </w:r>
      <w:r w:rsidRPr="0003101F">
        <w:rPr>
          <w:rFonts w:eastAsia="Calibri"/>
          <w:szCs w:val="22"/>
        </w:rPr>
        <w:instrText xml:space="preserve"> REF _Ref358448653 \h </w:instrText>
      </w:r>
      <w:r w:rsidR="0003101F">
        <w:rPr>
          <w:rFonts w:eastAsia="Calibri"/>
          <w:szCs w:val="22"/>
        </w:rPr>
        <w:instrText xml:space="preserve"> \* MERGEFORMAT </w:instrText>
      </w:r>
      <w:r w:rsidRPr="0003101F">
        <w:rPr>
          <w:rFonts w:eastAsia="Calibri"/>
          <w:szCs w:val="22"/>
        </w:rPr>
      </w:r>
      <w:r w:rsidRPr="0003101F">
        <w:rPr>
          <w:rFonts w:eastAsia="Calibri"/>
          <w:szCs w:val="22"/>
        </w:rPr>
        <w:fldChar w:fldCharType="separate"/>
      </w:r>
      <w:r w:rsidR="00423FC9" w:rsidRPr="00423FC9">
        <w:t xml:space="preserve">Table </w:t>
      </w:r>
      <w:r w:rsidR="00423FC9" w:rsidRPr="00423FC9">
        <w:rPr>
          <w:noProof/>
        </w:rPr>
        <w:t>4</w:t>
      </w:r>
      <w:r w:rsidR="00423FC9" w:rsidRPr="00423FC9">
        <w:rPr>
          <w:noProof/>
        </w:rPr>
        <w:noBreakHyphen/>
        <w:t>5</w:t>
      </w:r>
      <w:r w:rsidRPr="0003101F">
        <w:rPr>
          <w:rFonts w:eastAsia="Calibri"/>
          <w:szCs w:val="22"/>
        </w:rPr>
        <w:fldChar w:fldCharType="end"/>
      </w:r>
      <w:r w:rsidR="00397E7A" w:rsidRPr="0003101F">
        <w:rPr>
          <w:rFonts w:eastAsia="Calibri"/>
          <w:szCs w:val="22"/>
        </w:rPr>
        <w:t>.</w:t>
      </w:r>
      <w:r w:rsidR="00397E7A">
        <w:rPr>
          <w:rFonts w:eastAsia="Calibri"/>
          <w:szCs w:val="22"/>
        </w:rPr>
        <w:t xml:space="preserve"> </w:t>
      </w:r>
      <w:r>
        <w:rPr>
          <w:rFonts w:eastAsia="Calibri"/>
          <w:szCs w:val="22"/>
        </w:rPr>
        <w:t>From this i</w:t>
      </w:r>
      <w:r w:rsidR="0003101F">
        <w:rPr>
          <w:rFonts w:eastAsia="Calibri"/>
          <w:szCs w:val="22"/>
        </w:rPr>
        <w:t>t</w:t>
      </w:r>
      <w:r>
        <w:rPr>
          <w:rFonts w:eastAsia="Calibri"/>
          <w:szCs w:val="22"/>
        </w:rPr>
        <w:t xml:space="preserve"> can be seen that the inputs are </w:t>
      </w:r>
      <w:r w:rsidR="00397E7A">
        <w:rPr>
          <w:rFonts w:eastAsia="Calibri"/>
          <w:szCs w:val="22"/>
        </w:rPr>
        <w:t xml:space="preserve">totally dominated by the use of ore in gold and silver production, most of which is returned to the land </w:t>
      </w:r>
      <w:r w:rsidR="00263225">
        <w:rPr>
          <w:rFonts w:eastAsia="Calibri"/>
          <w:szCs w:val="22"/>
        </w:rPr>
        <w:t>via the tailings</w:t>
      </w:r>
      <w:r w:rsidR="00263225" w:rsidRPr="00263225">
        <w:rPr>
          <w:rFonts w:eastAsia="Calibri"/>
          <w:szCs w:val="22"/>
        </w:rPr>
        <w:t xml:space="preserve"> </w:t>
      </w:r>
      <w:r w:rsidR="00263225">
        <w:rPr>
          <w:rFonts w:eastAsia="Calibri"/>
          <w:szCs w:val="22"/>
        </w:rPr>
        <w:t>disposal facilities</w:t>
      </w:r>
      <w:r w:rsidR="00397E7A">
        <w:rPr>
          <w:rFonts w:eastAsia="Calibri"/>
          <w:szCs w:val="22"/>
        </w:rPr>
        <w:t>.</w:t>
      </w:r>
    </w:p>
    <w:p w14:paraId="1B20F02A" w14:textId="77777777" w:rsidR="002B3717" w:rsidRPr="007901FE" w:rsidRDefault="002B3717" w:rsidP="002B3717">
      <w:pPr>
        <w:pStyle w:val="Caption"/>
        <w:spacing w:before="240"/>
        <w:rPr>
          <w:rFonts w:ascii="Arial" w:hAnsi="Arial" w:cs="Arial"/>
          <w:szCs w:val="18"/>
        </w:rPr>
      </w:pPr>
      <w:bookmarkStart w:id="63" w:name="_Ref358448653"/>
      <w:bookmarkStart w:id="64" w:name="_Toc484949649"/>
      <w:r w:rsidRPr="002B3717">
        <w:rPr>
          <w:rFonts w:ascii="Arial" w:hAnsi="Arial" w:cs="Arial"/>
        </w:rPr>
        <w:t xml:space="preserve">Table </w:t>
      </w:r>
      <w:r w:rsidR="00390C9F">
        <w:rPr>
          <w:rFonts w:ascii="Arial" w:hAnsi="Arial" w:cs="Arial"/>
        </w:rPr>
        <w:fldChar w:fldCharType="begin"/>
      </w:r>
      <w:r w:rsidR="00390C9F">
        <w:rPr>
          <w:rFonts w:ascii="Arial" w:hAnsi="Arial" w:cs="Arial"/>
        </w:rPr>
        <w:instrText xml:space="preserve"> STYLEREF 1 \s </w:instrText>
      </w:r>
      <w:r w:rsidR="00390C9F">
        <w:rPr>
          <w:rFonts w:ascii="Arial" w:hAnsi="Arial" w:cs="Arial"/>
        </w:rPr>
        <w:fldChar w:fldCharType="separate"/>
      </w:r>
      <w:r w:rsidR="00423FC9">
        <w:rPr>
          <w:rFonts w:ascii="Arial" w:hAnsi="Arial" w:cs="Arial"/>
          <w:noProof/>
        </w:rPr>
        <w:t>4</w:t>
      </w:r>
      <w:r w:rsidR="00390C9F">
        <w:rPr>
          <w:rFonts w:ascii="Arial" w:hAnsi="Arial" w:cs="Arial"/>
        </w:rPr>
        <w:fldChar w:fldCharType="end"/>
      </w:r>
      <w:r w:rsidR="00390C9F">
        <w:rPr>
          <w:rFonts w:ascii="Arial" w:hAnsi="Arial" w:cs="Arial"/>
        </w:rPr>
        <w:noBreakHyphen/>
      </w:r>
      <w:r w:rsidR="00390C9F">
        <w:rPr>
          <w:rFonts w:ascii="Arial" w:hAnsi="Arial" w:cs="Arial"/>
        </w:rPr>
        <w:fldChar w:fldCharType="begin"/>
      </w:r>
      <w:r w:rsidR="00390C9F">
        <w:rPr>
          <w:rFonts w:ascii="Arial" w:hAnsi="Arial" w:cs="Arial"/>
        </w:rPr>
        <w:instrText xml:space="preserve"> SEQ Table \* ARABIC \s 1 </w:instrText>
      </w:r>
      <w:r w:rsidR="00390C9F">
        <w:rPr>
          <w:rFonts w:ascii="Arial" w:hAnsi="Arial" w:cs="Arial"/>
        </w:rPr>
        <w:fldChar w:fldCharType="separate"/>
      </w:r>
      <w:r w:rsidR="00423FC9">
        <w:rPr>
          <w:rFonts w:ascii="Arial" w:hAnsi="Arial" w:cs="Arial"/>
          <w:noProof/>
        </w:rPr>
        <w:t>5</w:t>
      </w:r>
      <w:r w:rsidR="00390C9F">
        <w:rPr>
          <w:rFonts w:ascii="Arial" w:hAnsi="Arial" w:cs="Arial"/>
        </w:rPr>
        <w:fldChar w:fldCharType="end"/>
      </w:r>
      <w:bookmarkEnd w:id="63"/>
      <w:r w:rsidRPr="002B3717">
        <w:rPr>
          <w:rFonts w:ascii="Arial" w:hAnsi="Arial" w:cs="Arial"/>
        </w:rPr>
        <w:t>:</w:t>
      </w:r>
      <w:r w:rsidRPr="007901FE">
        <w:rPr>
          <w:rFonts w:ascii="Arial" w:hAnsi="Arial" w:cs="Arial"/>
        </w:rPr>
        <w:t xml:space="preserve"> Summary of inputs and o</w:t>
      </w:r>
      <w:r>
        <w:rPr>
          <w:rFonts w:ascii="Arial" w:hAnsi="Arial" w:cs="Arial"/>
        </w:rPr>
        <w:t xml:space="preserve">utputs for the </w:t>
      </w:r>
      <w:r w:rsidR="00400543">
        <w:rPr>
          <w:rFonts w:ascii="Arial" w:hAnsi="Arial" w:cs="Arial"/>
        </w:rPr>
        <w:t>primary metal production</w:t>
      </w:r>
      <w:r>
        <w:rPr>
          <w:rFonts w:ascii="Arial" w:hAnsi="Arial" w:cs="Arial"/>
        </w:rPr>
        <w:t xml:space="preserve"> c</w:t>
      </w:r>
      <w:r w:rsidRPr="007901FE">
        <w:rPr>
          <w:rFonts w:ascii="Arial" w:hAnsi="Arial" w:cs="Arial"/>
        </w:rPr>
        <w:t>ategory</w:t>
      </w:r>
      <w:r w:rsidR="00DE46AE">
        <w:rPr>
          <w:rFonts w:ascii="Arial" w:hAnsi="Arial" w:cs="Arial"/>
        </w:rPr>
        <w:t xml:space="preserve"> for 2016</w:t>
      </w:r>
      <w:bookmarkEnd w:id="64"/>
    </w:p>
    <w:tbl>
      <w:tblPr>
        <w:tblStyle w:val="TableGrid"/>
        <w:tblW w:w="9292" w:type="dxa"/>
        <w:tblInd w:w="108" w:type="dxa"/>
        <w:tblLook w:val="04A0" w:firstRow="1" w:lastRow="0" w:firstColumn="1" w:lastColumn="0" w:noHBand="0" w:noVBand="1"/>
      </w:tblPr>
      <w:tblGrid>
        <w:gridCol w:w="1985"/>
        <w:gridCol w:w="1559"/>
        <w:gridCol w:w="1134"/>
        <w:gridCol w:w="1137"/>
        <w:gridCol w:w="1368"/>
        <w:gridCol w:w="1026"/>
        <w:gridCol w:w="1083"/>
      </w:tblGrid>
      <w:tr w:rsidR="003007F7" w:rsidRPr="007901FE" w14:paraId="6A7C2DDC" w14:textId="77777777" w:rsidTr="008E329B">
        <w:tc>
          <w:tcPr>
            <w:tcW w:w="1985" w:type="dxa"/>
            <w:vMerge w:val="restart"/>
            <w:vAlign w:val="center"/>
          </w:tcPr>
          <w:p w14:paraId="59AA31E1" w14:textId="77777777" w:rsidR="003007F7" w:rsidRPr="004E3E02" w:rsidRDefault="003007F7" w:rsidP="00284F82">
            <w:pPr>
              <w:spacing w:line="300" w:lineRule="atLeast"/>
              <w:rPr>
                <w:rFonts w:ascii="Arial" w:hAnsi="Arial" w:cs="Arial"/>
                <w:b/>
                <w:sz w:val="16"/>
                <w:szCs w:val="16"/>
              </w:rPr>
            </w:pPr>
            <w:r w:rsidRPr="004E3E02">
              <w:rPr>
                <w:rFonts w:ascii="Arial" w:hAnsi="Arial" w:cs="Arial"/>
                <w:b/>
                <w:sz w:val="16"/>
                <w:szCs w:val="16"/>
              </w:rPr>
              <w:t>Category</w:t>
            </w:r>
          </w:p>
        </w:tc>
        <w:tc>
          <w:tcPr>
            <w:tcW w:w="1559" w:type="dxa"/>
            <w:vMerge w:val="restart"/>
            <w:vAlign w:val="center"/>
          </w:tcPr>
          <w:p w14:paraId="71486E89" w14:textId="77777777" w:rsidR="003007F7" w:rsidRPr="004E3E02" w:rsidRDefault="003007F7" w:rsidP="00284F82">
            <w:pPr>
              <w:spacing w:line="300" w:lineRule="atLeast"/>
              <w:jc w:val="center"/>
              <w:rPr>
                <w:rFonts w:ascii="Arial" w:hAnsi="Arial" w:cs="Arial"/>
                <w:b/>
                <w:sz w:val="16"/>
                <w:szCs w:val="16"/>
              </w:rPr>
            </w:pPr>
            <w:r w:rsidRPr="004E3E02">
              <w:rPr>
                <w:rFonts w:ascii="Arial" w:hAnsi="Arial" w:cs="Arial"/>
                <w:b/>
                <w:sz w:val="16"/>
                <w:szCs w:val="16"/>
              </w:rPr>
              <w:t>Mercury Inputs, kg/year</w:t>
            </w:r>
          </w:p>
        </w:tc>
        <w:tc>
          <w:tcPr>
            <w:tcW w:w="5748" w:type="dxa"/>
            <w:gridSpan w:val="5"/>
            <w:vAlign w:val="center"/>
          </w:tcPr>
          <w:p w14:paraId="02C569E5" w14:textId="77777777" w:rsidR="003007F7" w:rsidRPr="004E3E02" w:rsidRDefault="003007F7" w:rsidP="00284F82">
            <w:pPr>
              <w:spacing w:line="300" w:lineRule="atLeast"/>
              <w:jc w:val="center"/>
              <w:rPr>
                <w:rFonts w:ascii="Arial" w:hAnsi="Arial" w:cs="Arial"/>
                <w:b/>
                <w:sz w:val="16"/>
                <w:szCs w:val="16"/>
              </w:rPr>
            </w:pPr>
            <w:r w:rsidRPr="004E3E02">
              <w:rPr>
                <w:rFonts w:ascii="Arial" w:hAnsi="Arial" w:cs="Arial"/>
                <w:b/>
                <w:sz w:val="16"/>
                <w:szCs w:val="16"/>
              </w:rPr>
              <w:t>Mercury Outputs, kg/</w:t>
            </w:r>
            <w:proofErr w:type="spellStart"/>
            <w:r w:rsidRPr="004E3E02">
              <w:rPr>
                <w:rFonts w:ascii="Arial" w:hAnsi="Arial" w:cs="Arial"/>
                <w:b/>
                <w:sz w:val="16"/>
                <w:szCs w:val="16"/>
              </w:rPr>
              <w:t>yr</w:t>
            </w:r>
            <w:proofErr w:type="spellEnd"/>
          </w:p>
        </w:tc>
      </w:tr>
      <w:tr w:rsidR="00B3626A" w:rsidRPr="007901FE" w14:paraId="0761F180" w14:textId="77777777" w:rsidTr="008E329B">
        <w:tc>
          <w:tcPr>
            <w:tcW w:w="1985" w:type="dxa"/>
            <w:vMerge/>
            <w:vAlign w:val="center"/>
          </w:tcPr>
          <w:p w14:paraId="38F84F8E" w14:textId="77777777" w:rsidR="003007F7" w:rsidRPr="004E3E02" w:rsidRDefault="003007F7" w:rsidP="00284F82">
            <w:pPr>
              <w:spacing w:line="300" w:lineRule="atLeast"/>
              <w:rPr>
                <w:rFonts w:ascii="Arial" w:hAnsi="Arial" w:cs="Arial"/>
                <w:b/>
                <w:sz w:val="16"/>
                <w:szCs w:val="16"/>
              </w:rPr>
            </w:pPr>
          </w:p>
        </w:tc>
        <w:tc>
          <w:tcPr>
            <w:tcW w:w="1559" w:type="dxa"/>
            <w:vMerge/>
          </w:tcPr>
          <w:p w14:paraId="2910C404" w14:textId="77777777" w:rsidR="003007F7" w:rsidRPr="004E3E02" w:rsidRDefault="003007F7" w:rsidP="00284F82">
            <w:pPr>
              <w:spacing w:line="300" w:lineRule="atLeast"/>
              <w:jc w:val="both"/>
              <w:rPr>
                <w:rFonts w:ascii="Arial" w:hAnsi="Arial" w:cs="Arial"/>
                <w:b/>
                <w:sz w:val="16"/>
                <w:szCs w:val="16"/>
              </w:rPr>
            </w:pPr>
          </w:p>
        </w:tc>
        <w:tc>
          <w:tcPr>
            <w:tcW w:w="1134" w:type="dxa"/>
            <w:vAlign w:val="center"/>
          </w:tcPr>
          <w:p w14:paraId="033CA799" w14:textId="77777777" w:rsidR="003007F7" w:rsidRPr="004E3E02" w:rsidRDefault="003007F7" w:rsidP="00284F82">
            <w:pPr>
              <w:spacing w:line="300" w:lineRule="atLeast"/>
              <w:jc w:val="center"/>
              <w:rPr>
                <w:rFonts w:ascii="Arial" w:hAnsi="Arial" w:cs="Arial"/>
                <w:b/>
                <w:sz w:val="16"/>
                <w:szCs w:val="16"/>
              </w:rPr>
            </w:pPr>
            <w:r w:rsidRPr="004E3E02">
              <w:rPr>
                <w:rFonts w:ascii="Arial" w:hAnsi="Arial" w:cs="Arial"/>
                <w:b/>
                <w:sz w:val="16"/>
                <w:szCs w:val="16"/>
              </w:rPr>
              <w:t>Air</w:t>
            </w:r>
          </w:p>
        </w:tc>
        <w:tc>
          <w:tcPr>
            <w:tcW w:w="1137" w:type="dxa"/>
            <w:vAlign w:val="center"/>
          </w:tcPr>
          <w:p w14:paraId="48F63967" w14:textId="77777777" w:rsidR="003007F7" w:rsidRPr="004E3E02" w:rsidRDefault="003007F7" w:rsidP="00284F82">
            <w:pPr>
              <w:spacing w:line="300" w:lineRule="atLeast"/>
              <w:jc w:val="center"/>
              <w:rPr>
                <w:rFonts w:ascii="Arial" w:hAnsi="Arial" w:cs="Arial"/>
                <w:b/>
                <w:sz w:val="16"/>
                <w:szCs w:val="16"/>
              </w:rPr>
            </w:pPr>
            <w:r w:rsidRPr="004E3E02">
              <w:rPr>
                <w:rFonts w:ascii="Arial" w:hAnsi="Arial" w:cs="Arial"/>
                <w:b/>
                <w:sz w:val="16"/>
                <w:szCs w:val="16"/>
              </w:rPr>
              <w:t>Water</w:t>
            </w:r>
          </w:p>
        </w:tc>
        <w:tc>
          <w:tcPr>
            <w:tcW w:w="1368" w:type="dxa"/>
            <w:vAlign w:val="center"/>
          </w:tcPr>
          <w:p w14:paraId="2904ED54" w14:textId="77777777" w:rsidR="003007F7" w:rsidRPr="004E3E02" w:rsidRDefault="003007F7" w:rsidP="00284F82">
            <w:pPr>
              <w:spacing w:line="300" w:lineRule="atLeast"/>
              <w:jc w:val="center"/>
              <w:rPr>
                <w:rFonts w:ascii="Arial" w:hAnsi="Arial" w:cs="Arial"/>
                <w:b/>
                <w:sz w:val="16"/>
                <w:szCs w:val="16"/>
              </w:rPr>
            </w:pPr>
            <w:r w:rsidRPr="004E3E02">
              <w:rPr>
                <w:rFonts w:ascii="Arial" w:hAnsi="Arial" w:cs="Arial"/>
                <w:b/>
                <w:sz w:val="16"/>
                <w:szCs w:val="16"/>
              </w:rPr>
              <w:t>Land</w:t>
            </w:r>
          </w:p>
        </w:tc>
        <w:tc>
          <w:tcPr>
            <w:tcW w:w="1026" w:type="dxa"/>
            <w:vAlign w:val="center"/>
          </w:tcPr>
          <w:p w14:paraId="3D116FE1" w14:textId="77777777" w:rsidR="003007F7" w:rsidRPr="004E3E02" w:rsidRDefault="003007F7" w:rsidP="00284F82">
            <w:pPr>
              <w:spacing w:line="300" w:lineRule="atLeast"/>
              <w:jc w:val="center"/>
              <w:rPr>
                <w:rFonts w:ascii="Arial" w:hAnsi="Arial" w:cs="Arial"/>
                <w:b/>
                <w:sz w:val="16"/>
                <w:szCs w:val="16"/>
              </w:rPr>
            </w:pPr>
            <w:r w:rsidRPr="004E3E02">
              <w:rPr>
                <w:rFonts w:ascii="Arial" w:hAnsi="Arial" w:cs="Arial"/>
                <w:b/>
                <w:sz w:val="16"/>
                <w:szCs w:val="16"/>
              </w:rPr>
              <w:t>Product</w:t>
            </w:r>
          </w:p>
        </w:tc>
        <w:tc>
          <w:tcPr>
            <w:tcW w:w="1083" w:type="dxa"/>
            <w:vAlign w:val="center"/>
          </w:tcPr>
          <w:p w14:paraId="60FDE5B3" w14:textId="77777777" w:rsidR="003007F7" w:rsidRPr="004E3E02" w:rsidRDefault="003007F7" w:rsidP="00284F82">
            <w:pPr>
              <w:spacing w:line="300" w:lineRule="atLeast"/>
              <w:jc w:val="center"/>
              <w:rPr>
                <w:rFonts w:ascii="Arial" w:hAnsi="Arial" w:cs="Arial"/>
                <w:b/>
                <w:sz w:val="16"/>
                <w:szCs w:val="16"/>
              </w:rPr>
            </w:pPr>
            <w:r w:rsidRPr="004E3E02">
              <w:rPr>
                <w:rFonts w:ascii="Arial" w:hAnsi="Arial" w:cs="Arial"/>
                <w:b/>
                <w:sz w:val="16"/>
                <w:szCs w:val="16"/>
              </w:rPr>
              <w:t>Waste</w:t>
            </w:r>
          </w:p>
        </w:tc>
      </w:tr>
      <w:tr w:rsidR="00B3626A" w:rsidRPr="007901FE" w14:paraId="190BCC13" w14:textId="77777777" w:rsidTr="008E329B">
        <w:tc>
          <w:tcPr>
            <w:tcW w:w="1985" w:type="dxa"/>
            <w:vAlign w:val="center"/>
          </w:tcPr>
          <w:p w14:paraId="537A7D70" w14:textId="77777777" w:rsidR="003007F7" w:rsidRPr="004E3E02" w:rsidRDefault="003007F7" w:rsidP="00284F82">
            <w:pPr>
              <w:spacing w:line="300" w:lineRule="atLeast"/>
              <w:rPr>
                <w:rFonts w:ascii="Arial" w:hAnsi="Arial" w:cs="Arial"/>
                <w:sz w:val="16"/>
                <w:szCs w:val="16"/>
              </w:rPr>
            </w:pPr>
            <w:r>
              <w:rPr>
                <w:rFonts w:ascii="Arial" w:hAnsi="Arial" w:cs="Arial"/>
                <w:sz w:val="16"/>
                <w:szCs w:val="16"/>
              </w:rPr>
              <w:t>Mercury</w:t>
            </w:r>
          </w:p>
        </w:tc>
        <w:tc>
          <w:tcPr>
            <w:tcW w:w="1559" w:type="dxa"/>
            <w:vAlign w:val="center"/>
          </w:tcPr>
          <w:p w14:paraId="1D2B0589" w14:textId="77777777" w:rsidR="003007F7" w:rsidRPr="004E3E02" w:rsidRDefault="00805E72" w:rsidP="00284F82">
            <w:pPr>
              <w:spacing w:line="300" w:lineRule="atLeast"/>
              <w:jc w:val="center"/>
              <w:rPr>
                <w:rFonts w:ascii="Arial" w:hAnsi="Arial" w:cs="Arial"/>
                <w:sz w:val="16"/>
                <w:szCs w:val="16"/>
              </w:rPr>
            </w:pPr>
            <w:r>
              <w:rPr>
                <w:rFonts w:ascii="Arial" w:hAnsi="Arial" w:cs="Arial"/>
                <w:sz w:val="16"/>
                <w:szCs w:val="16"/>
              </w:rPr>
              <w:t>-</w:t>
            </w:r>
          </w:p>
        </w:tc>
        <w:tc>
          <w:tcPr>
            <w:tcW w:w="1134" w:type="dxa"/>
            <w:vAlign w:val="center"/>
          </w:tcPr>
          <w:p w14:paraId="16801610" w14:textId="77777777" w:rsidR="003007F7" w:rsidRPr="004E3E02" w:rsidRDefault="00805E72" w:rsidP="00284F82">
            <w:pPr>
              <w:spacing w:line="300" w:lineRule="atLeast"/>
              <w:jc w:val="center"/>
              <w:rPr>
                <w:rFonts w:ascii="Arial" w:hAnsi="Arial" w:cs="Arial"/>
                <w:sz w:val="16"/>
                <w:szCs w:val="16"/>
              </w:rPr>
            </w:pPr>
            <w:r>
              <w:rPr>
                <w:rFonts w:ascii="Arial" w:hAnsi="Arial" w:cs="Arial"/>
                <w:sz w:val="16"/>
                <w:szCs w:val="16"/>
              </w:rPr>
              <w:t>-</w:t>
            </w:r>
          </w:p>
        </w:tc>
        <w:tc>
          <w:tcPr>
            <w:tcW w:w="1137" w:type="dxa"/>
            <w:vAlign w:val="center"/>
          </w:tcPr>
          <w:p w14:paraId="4ADB2D9E" w14:textId="77777777" w:rsidR="003007F7" w:rsidRPr="004E3E02" w:rsidRDefault="003007F7" w:rsidP="00284F82">
            <w:pPr>
              <w:spacing w:line="300" w:lineRule="atLeast"/>
              <w:jc w:val="center"/>
              <w:rPr>
                <w:rFonts w:ascii="Arial" w:hAnsi="Arial" w:cs="Arial"/>
                <w:sz w:val="16"/>
                <w:szCs w:val="16"/>
              </w:rPr>
            </w:pPr>
            <w:r>
              <w:rPr>
                <w:rFonts w:ascii="Arial" w:hAnsi="Arial" w:cs="Arial"/>
                <w:sz w:val="16"/>
                <w:szCs w:val="16"/>
              </w:rPr>
              <w:t>-</w:t>
            </w:r>
          </w:p>
        </w:tc>
        <w:tc>
          <w:tcPr>
            <w:tcW w:w="1368" w:type="dxa"/>
            <w:vAlign w:val="center"/>
          </w:tcPr>
          <w:p w14:paraId="5571DD04" w14:textId="77777777" w:rsidR="003007F7" w:rsidRPr="004E3E02" w:rsidRDefault="003007F7" w:rsidP="00284F82">
            <w:pPr>
              <w:spacing w:line="300" w:lineRule="atLeast"/>
              <w:jc w:val="center"/>
              <w:rPr>
                <w:rFonts w:ascii="Arial" w:hAnsi="Arial" w:cs="Arial"/>
                <w:sz w:val="16"/>
                <w:szCs w:val="16"/>
              </w:rPr>
            </w:pPr>
            <w:r>
              <w:rPr>
                <w:rFonts w:ascii="Arial" w:hAnsi="Arial" w:cs="Arial"/>
                <w:sz w:val="16"/>
                <w:szCs w:val="16"/>
              </w:rPr>
              <w:t>-</w:t>
            </w:r>
          </w:p>
        </w:tc>
        <w:tc>
          <w:tcPr>
            <w:tcW w:w="1026" w:type="dxa"/>
            <w:vAlign w:val="center"/>
          </w:tcPr>
          <w:p w14:paraId="0C38BB66" w14:textId="77777777" w:rsidR="003007F7" w:rsidRPr="004E3E02" w:rsidRDefault="003007F7" w:rsidP="00284F82">
            <w:pPr>
              <w:spacing w:line="300" w:lineRule="atLeast"/>
              <w:jc w:val="center"/>
              <w:rPr>
                <w:rFonts w:ascii="Arial" w:hAnsi="Arial" w:cs="Arial"/>
                <w:sz w:val="16"/>
                <w:szCs w:val="16"/>
              </w:rPr>
            </w:pPr>
            <w:r>
              <w:rPr>
                <w:rFonts w:ascii="Arial" w:hAnsi="Arial" w:cs="Arial"/>
                <w:sz w:val="16"/>
                <w:szCs w:val="16"/>
              </w:rPr>
              <w:t>-</w:t>
            </w:r>
          </w:p>
        </w:tc>
        <w:tc>
          <w:tcPr>
            <w:tcW w:w="1083" w:type="dxa"/>
            <w:vAlign w:val="center"/>
          </w:tcPr>
          <w:p w14:paraId="7779DC77" w14:textId="77777777" w:rsidR="003007F7" w:rsidRPr="004E3E02" w:rsidRDefault="00805E72" w:rsidP="00284F82">
            <w:pPr>
              <w:spacing w:line="300" w:lineRule="atLeast"/>
              <w:jc w:val="center"/>
              <w:rPr>
                <w:rFonts w:ascii="Arial" w:hAnsi="Arial" w:cs="Arial"/>
                <w:sz w:val="16"/>
                <w:szCs w:val="16"/>
              </w:rPr>
            </w:pPr>
            <w:r>
              <w:rPr>
                <w:rFonts w:ascii="Arial" w:hAnsi="Arial" w:cs="Arial"/>
                <w:sz w:val="16"/>
                <w:szCs w:val="16"/>
              </w:rPr>
              <w:t>-</w:t>
            </w:r>
          </w:p>
        </w:tc>
      </w:tr>
      <w:tr w:rsidR="00B3626A" w:rsidRPr="007901FE" w14:paraId="18D33773" w14:textId="77777777" w:rsidTr="008E329B">
        <w:tc>
          <w:tcPr>
            <w:tcW w:w="1985" w:type="dxa"/>
            <w:shd w:val="clear" w:color="auto" w:fill="auto"/>
            <w:vAlign w:val="center"/>
          </w:tcPr>
          <w:p w14:paraId="74A0BEB4" w14:textId="77777777" w:rsidR="003007F7" w:rsidRPr="00BA694F" w:rsidRDefault="003007F7" w:rsidP="00284F82">
            <w:pPr>
              <w:spacing w:line="300" w:lineRule="atLeast"/>
              <w:rPr>
                <w:rFonts w:ascii="Arial" w:hAnsi="Arial" w:cs="Arial"/>
                <w:sz w:val="16"/>
                <w:szCs w:val="16"/>
              </w:rPr>
            </w:pPr>
            <w:r w:rsidRPr="00BA694F">
              <w:rPr>
                <w:rFonts w:ascii="Arial" w:hAnsi="Arial" w:cs="Arial"/>
                <w:sz w:val="16"/>
                <w:szCs w:val="16"/>
              </w:rPr>
              <w:t>Gold &amp; silver, with mercury amalgamation</w:t>
            </w:r>
          </w:p>
        </w:tc>
        <w:tc>
          <w:tcPr>
            <w:tcW w:w="1559" w:type="dxa"/>
            <w:shd w:val="clear" w:color="auto" w:fill="auto"/>
            <w:vAlign w:val="center"/>
          </w:tcPr>
          <w:p w14:paraId="55C0FC5F" w14:textId="77777777" w:rsidR="003007F7" w:rsidRPr="00BA694F" w:rsidRDefault="00790887" w:rsidP="00284F82">
            <w:pPr>
              <w:spacing w:line="300" w:lineRule="atLeast"/>
              <w:jc w:val="center"/>
              <w:rPr>
                <w:rFonts w:ascii="Arial" w:hAnsi="Arial" w:cs="Arial"/>
                <w:sz w:val="16"/>
                <w:szCs w:val="16"/>
              </w:rPr>
            </w:pPr>
            <w:r w:rsidRPr="00BA694F">
              <w:rPr>
                <w:rFonts w:ascii="Arial" w:hAnsi="Arial" w:cs="Arial"/>
                <w:sz w:val="16"/>
                <w:szCs w:val="16"/>
              </w:rPr>
              <w:t>20</w:t>
            </w:r>
          </w:p>
        </w:tc>
        <w:tc>
          <w:tcPr>
            <w:tcW w:w="1134" w:type="dxa"/>
            <w:shd w:val="clear" w:color="auto" w:fill="auto"/>
            <w:vAlign w:val="center"/>
          </w:tcPr>
          <w:p w14:paraId="679EA173" w14:textId="77777777" w:rsidR="003007F7" w:rsidRPr="00BA694F" w:rsidRDefault="00790887" w:rsidP="00284F82">
            <w:pPr>
              <w:spacing w:line="300" w:lineRule="atLeast"/>
              <w:jc w:val="center"/>
              <w:rPr>
                <w:rFonts w:ascii="Arial" w:hAnsi="Arial" w:cs="Arial"/>
                <w:sz w:val="16"/>
                <w:szCs w:val="16"/>
              </w:rPr>
            </w:pPr>
            <w:r w:rsidRPr="00BA694F">
              <w:rPr>
                <w:rFonts w:ascii="Arial" w:hAnsi="Arial" w:cs="Arial"/>
                <w:sz w:val="16"/>
                <w:szCs w:val="16"/>
              </w:rPr>
              <w:t>4</w:t>
            </w:r>
          </w:p>
        </w:tc>
        <w:tc>
          <w:tcPr>
            <w:tcW w:w="1137" w:type="dxa"/>
            <w:shd w:val="clear" w:color="auto" w:fill="auto"/>
            <w:vAlign w:val="center"/>
          </w:tcPr>
          <w:p w14:paraId="4BA4A9EB" w14:textId="77777777" w:rsidR="003007F7" w:rsidRPr="00BA694F" w:rsidRDefault="00790887" w:rsidP="00284F82">
            <w:pPr>
              <w:spacing w:line="300" w:lineRule="atLeast"/>
              <w:jc w:val="center"/>
              <w:rPr>
                <w:rFonts w:ascii="Arial" w:hAnsi="Arial" w:cs="Arial"/>
                <w:sz w:val="16"/>
                <w:szCs w:val="16"/>
              </w:rPr>
            </w:pPr>
            <w:r w:rsidRPr="00BA694F">
              <w:rPr>
                <w:rFonts w:ascii="Arial" w:hAnsi="Arial" w:cs="Arial"/>
                <w:sz w:val="16"/>
                <w:szCs w:val="16"/>
              </w:rPr>
              <w:t>8</w:t>
            </w:r>
          </w:p>
        </w:tc>
        <w:tc>
          <w:tcPr>
            <w:tcW w:w="1368" w:type="dxa"/>
            <w:shd w:val="clear" w:color="auto" w:fill="auto"/>
            <w:vAlign w:val="center"/>
          </w:tcPr>
          <w:p w14:paraId="071780DB" w14:textId="77777777" w:rsidR="003007F7" w:rsidRPr="00BA694F" w:rsidRDefault="00790887" w:rsidP="00284F82">
            <w:pPr>
              <w:spacing w:line="300" w:lineRule="atLeast"/>
              <w:jc w:val="center"/>
              <w:rPr>
                <w:rFonts w:ascii="Arial" w:hAnsi="Arial" w:cs="Arial"/>
                <w:sz w:val="16"/>
                <w:szCs w:val="16"/>
              </w:rPr>
            </w:pPr>
            <w:r w:rsidRPr="00BA694F">
              <w:rPr>
                <w:rFonts w:ascii="Arial" w:hAnsi="Arial" w:cs="Arial"/>
                <w:sz w:val="16"/>
                <w:szCs w:val="16"/>
              </w:rPr>
              <w:t>8</w:t>
            </w:r>
          </w:p>
        </w:tc>
        <w:tc>
          <w:tcPr>
            <w:tcW w:w="1026" w:type="dxa"/>
            <w:shd w:val="clear" w:color="auto" w:fill="auto"/>
            <w:vAlign w:val="center"/>
          </w:tcPr>
          <w:p w14:paraId="2BB6F4ED" w14:textId="77777777" w:rsidR="003007F7" w:rsidRPr="00BA694F" w:rsidRDefault="003007F7" w:rsidP="00284F82">
            <w:pPr>
              <w:spacing w:line="300" w:lineRule="atLeast"/>
              <w:jc w:val="center"/>
              <w:rPr>
                <w:rFonts w:ascii="Arial" w:hAnsi="Arial" w:cs="Arial"/>
                <w:sz w:val="16"/>
                <w:szCs w:val="16"/>
              </w:rPr>
            </w:pPr>
            <w:r w:rsidRPr="00BA694F">
              <w:rPr>
                <w:rFonts w:ascii="Arial" w:hAnsi="Arial" w:cs="Arial"/>
                <w:sz w:val="16"/>
                <w:szCs w:val="16"/>
              </w:rPr>
              <w:t>-</w:t>
            </w:r>
          </w:p>
        </w:tc>
        <w:tc>
          <w:tcPr>
            <w:tcW w:w="1083" w:type="dxa"/>
            <w:shd w:val="clear" w:color="auto" w:fill="auto"/>
            <w:vAlign w:val="center"/>
          </w:tcPr>
          <w:p w14:paraId="24DEF7C0" w14:textId="77777777" w:rsidR="003007F7" w:rsidRPr="004E3E02" w:rsidRDefault="00790887" w:rsidP="00284F82">
            <w:pPr>
              <w:spacing w:line="300" w:lineRule="atLeast"/>
              <w:jc w:val="center"/>
              <w:rPr>
                <w:rFonts w:ascii="Arial" w:hAnsi="Arial" w:cs="Arial"/>
                <w:sz w:val="16"/>
                <w:szCs w:val="16"/>
              </w:rPr>
            </w:pPr>
            <w:r w:rsidRPr="00BA694F">
              <w:rPr>
                <w:rFonts w:ascii="Arial" w:hAnsi="Arial" w:cs="Arial"/>
                <w:sz w:val="16"/>
                <w:szCs w:val="16"/>
              </w:rPr>
              <w:t>-</w:t>
            </w:r>
          </w:p>
        </w:tc>
      </w:tr>
      <w:tr w:rsidR="00B3626A" w:rsidRPr="007901FE" w14:paraId="04B42636" w14:textId="77777777" w:rsidTr="008E329B">
        <w:tc>
          <w:tcPr>
            <w:tcW w:w="1985" w:type="dxa"/>
            <w:vAlign w:val="center"/>
          </w:tcPr>
          <w:p w14:paraId="7A03012E" w14:textId="4C8A9936" w:rsidR="003007F7" w:rsidRPr="004E3E02" w:rsidRDefault="003007F7" w:rsidP="00284F82">
            <w:pPr>
              <w:spacing w:line="300" w:lineRule="atLeast"/>
              <w:rPr>
                <w:rFonts w:ascii="Arial" w:hAnsi="Arial" w:cs="Arial"/>
                <w:sz w:val="16"/>
                <w:szCs w:val="16"/>
              </w:rPr>
            </w:pPr>
            <w:r>
              <w:rPr>
                <w:rFonts w:ascii="Arial" w:hAnsi="Arial" w:cs="Arial"/>
                <w:sz w:val="16"/>
                <w:szCs w:val="16"/>
              </w:rPr>
              <w:t>Zinc</w:t>
            </w:r>
            <w:r w:rsidR="00E20567">
              <w:rPr>
                <w:rFonts w:ascii="Arial" w:hAnsi="Arial" w:cs="Arial"/>
                <w:sz w:val="16"/>
                <w:szCs w:val="16"/>
              </w:rPr>
              <w:t>, copper, lead</w:t>
            </w:r>
            <w:r w:rsidR="00BA694F">
              <w:rPr>
                <w:rFonts w:ascii="Arial" w:hAnsi="Arial" w:cs="Arial"/>
                <w:sz w:val="16"/>
                <w:szCs w:val="16"/>
              </w:rPr>
              <w:t>…</w:t>
            </w:r>
          </w:p>
        </w:tc>
        <w:tc>
          <w:tcPr>
            <w:tcW w:w="1559" w:type="dxa"/>
            <w:vAlign w:val="center"/>
          </w:tcPr>
          <w:p w14:paraId="605129B6" w14:textId="77777777" w:rsidR="003007F7" w:rsidRPr="004E3E02" w:rsidRDefault="00805E72" w:rsidP="00284F82">
            <w:pPr>
              <w:spacing w:line="300" w:lineRule="atLeast"/>
              <w:jc w:val="center"/>
              <w:rPr>
                <w:rFonts w:ascii="Arial" w:hAnsi="Arial" w:cs="Arial"/>
                <w:sz w:val="16"/>
                <w:szCs w:val="16"/>
              </w:rPr>
            </w:pPr>
            <w:r>
              <w:rPr>
                <w:rFonts w:ascii="Arial" w:hAnsi="Arial" w:cs="Arial"/>
                <w:sz w:val="16"/>
                <w:szCs w:val="16"/>
              </w:rPr>
              <w:t>-</w:t>
            </w:r>
          </w:p>
        </w:tc>
        <w:tc>
          <w:tcPr>
            <w:tcW w:w="1134" w:type="dxa"/>
            <w:vAlign w:val="center"/>
          </w:tcPr>
          <w:p w14:paraId="24BA0974" w14:textId="77777777" w:rsidR="003007F7" w:rsidRPr="004E3E02" w:rsidRDefault="00805E72" w:rsidP="00284F82">
            <w:pPr>
              <w:spacing w:line="300" w:lineRule="atLeast"/>
              <w:jc w:val="center"/>
              <w:rPr>
                <w:rFonts w:ascii="Arial" w:hAnsi="Arial" w:cs="Arial"/>
                <w:sz w:val="16"/>
                <w:szCs w:val="16"/>
              </w:rPr>
            </w:pPr>
            <w:r>
              <w:rPr>
                <w:rFonts w:ascii="Arial" w:hAnsi="Arial" w:cs="Arial"/>
                <w:sz w:val="16"/>
                <w:szCs w:val="16"/>
              </w:rPr>
              <w:t>-</w:t>
            </w:r>
          </w:p>
        </w:tc>
        <w:tc>
          <w:tcPr>
            <w:tcW w:w="1137" w:type="dxa"/>
            <w:vAlign w:val="center"/>
          </w:tcPr>
          <w:p w14:paraId="100974EB" w14:textId="77777777" w:rsidR="003007F7" w:rsidRPr="004E3E02" w:rsidRDefault="00805E72" w:rsidP="00284F82">
            <w:pPr>
              <w:spacing w:line="300" w:lineRule="atLeast"/>
              <w:jc w:val="center"/>
              <w:rPr>
                <w:rFonts w:ascii="Arial" w:hAnsi="Arial" w:cs="Arial"/>
                <w:sz w:val="16"/>
                <w:szCs w:val="16"/>
              </w:rPr>
            </w:pPr>
            <w:r>
              <w:rPr>
                <w:rFonts w:ascii="Arial" w:hAnsi="Arial" w:cs="Arial"/>
                <w:sz w:val="16"/>
                <w:szCs w:val="16"/>
              </w:rPr>
              <w:t>-</w:t>
            </w:r>
          </w:p>
        </w:tc>
        <w:tc>
          <w:tcPr>
            <w:tcW w:w="1368" w:type="dxa"/>
            <w:vAlign w:val="center"/>
          </w:tcPr>
          <w:p w14:paraId="55D723AD" w14:textId="77777777" w:rsidR="003007F7" w:rsidRPr="004E3E02" w:rsidRDefault="00805E72" w:rsidP="00284F82">
            <w:pPr>
              <w:spacing w:line="300" w:lineRule="atLeast"/>
              <w:jc w:val="center"/>
              <w:rPr>
                <w:rFonts w:ascii="Arial" w:hAnsi="Arial" w:cs="Arial"/>
                <w:sz w:val="16"/>
                <w:szCs w:val="16"/>
              </w:rPr>
            </w:pPr>
            <w:r>
              <w:rPr>
                <w:rFonts w:ascii="Arial" w:hAnsi="Arial" w:cs="Arial"/>
                <w:sz w:val="16"/>
                <w:szCs w:val="16"/>
              </w:rPr>
              <w:t>-</w:t>
            </w:r>
          </w:p>
        </w:tc>
        <w:tc>
          <w:tcPr>
            <w:tcW w:w="1026" w:type="dxa"/>
            <w:vAlign w:val="center"/>
          </w:tcPr>
          <w:p w14:paraId="3980888D" w14:textId="77777777" w:rsidR="003007F7" w:rsidRPr="004E3E02" w:rsidRDefault="003007F7" w:rsidP="00284F82">
            <w:pPr>
              <w:spacing w:line="300" w:lineRule="atLeast"/>
              <w:jc w:val="center"/>
              <w:rPr>
                <w:rFonts w:ascii="Arial" w:hAnsi="Arial" w:cs="Arial"/>
                <w:sz w:val="16"/>
                <w:szCs w:val="16"/>
              </w:rPr>
            </w:pPr>
            <w:r>
              <w:rPr>
                <w:rFonts w:ascii="Arial" w:hAnsi="Arial" w:cs="Arial"/>
                <w:sz w:val="16"/>
                <w:szCs w:val="16"/>
              </w:rPr>
              <w:t>-</w:t>
            </w:r>
          </w:p>
        </w:tc>
        <w:tc>
          <w:tcPr>
            <w:tcW w:w="1083" w:type="dxa"/>
            <w:vAlign w:val="center"/>
          </w:tcPr>
          <w:p w14:paraId="130367DC" w14:textId="77777777" w:rsidR="003007F7" w:rsidRPr="004E3E02" w:rsidRDefault="00805E72" w:rsidP="00284F82">
            <w:pPr>
              <w:spacing w:line="300" w:lineRule="atLeast"/>
              <w:jc w:val="center"/>
              <w:rPr>
                <w:rFonts w:ascii="Arial" w:hAnsi="Arial" w:cs="Arial"/>
                <w:sz w:val="16"/>
                <w:szCs w:val="16"/>
              </w:rPr>
            </w:pPr>
            <w:r>
              <w:rPr>
                <w:rFonts w:ascii="Arial" w:hAnsi="Arial" w:cs="Arial"/>
                <w:sz w:val="16"/>
                <w:szCs w:val="16"/>
              </w:rPr>
              <w:t>-</w:t>
            </w:r>
          </w:p>
        </w:tc>
      </w:tr>
      <w:tr w:rsidR="003D2F17" w:rsidRPr="007901FE" w14:paraId="7C80BBCD" w14:textId="77777777" w:rsidTr="008E329B">
        <w:tc>
          <w:tcPr>
            <w:tcW w:w="1985" w:type="dxa"/>
            <w:vAlign w:val="center"/>
          </w:tcPr>
          <w:p w14:paraId="0E2A9D71" w14:textId="77777777" w:rsidR="003D2F17" w:rsidRPr="004E3E02" w:rsidRDefault="003D2F17" w:rsidP="003D2F17">
            <w:pPr>
              <w:spacing w:line="300" w:lineRule="atLeast"/>
              <w:rPr>
                <w:rFonts w:ascii="Arial" w:hAnsi="Arial" w:cs="Arial"/>
                <w:sz w:val="16"/>
                <w:szCs w:val="16"/>
              </w:rPr>
            </w:pPr>
            <w:r>
              <w:rPr>
                <w:rFonts w:ascii="Arial" w:hAnsi="Arial" w:cs="Arial"/>
                <w:sz w:val="16"/>
                <w:szCs w:val="16"/>
              </w:rPr>
              <w:t>Gold &amp; silver, without mercury</w:t>
            </w:r>
          </w:p>
        </w:tc>
        <w:tc>
          <w:tcPr>
            <w:tcW w:w="1559" w:type="dxa"/>
            <w:vAlign w:val="center"/>
          </w:tcPr>
          <w:p w14:paraId="13E6B7E5" w14:textId="2AD0FEC1" w:rsidR="003D2F17" w:rsidRPr="00F31685" w:rsidRDefault="003D2F17" w:rsidP="003D2F17">
            <w:pPr>
              <w:spacing w:line="300" w:lineRule="atLeast"/>
              <w:jc w:val="center"/>
              <w:rPr>
                <w:rFonts w:ascii="Arial" w:hAnsi="Arial" w:cs="Arial"/>
                <w:sz w:val="16"/>
                <w:szCs w:val="16"/>
              </w:rPr>
            </w:pPr>
            <w:r>
              <w:rPr>
                <w:rFonts w:ascii="Arial" w:hAnsi="Arial" w:cs="Arial"/>
                <w:sz w:val="16"/>
                <w:szCs w:val="16"/>
              </w:rPr>
              <w:t>1,508</w:t>
            </w:r>
            <w:r w:rsidR="00BA694F">
              <w:rPr>
                <w:rFonts w:ascii="Arial" w:hAnsi="Arial" w:cs="Arial"/>
                <w:sz w:val="16"/>
                <w:szCs w:val="16"/>
              </w:rPr>
              <w:t>.1</w:t>
            </w:r>
            <w:r>
              <w:rPr>
                <w:rFonts w:ascii="Arial" w:hAnsi="Arial" w:cs="Arial"/>
                <w:sz w:val="16"/>
                <w:szCs w:val="16"/>
              </w:rPr>
              <w:t xml:space="preserve"> – 13,114 (4,918)</w:t>
            </w:r>
          </w:p>
        </w:tc>
        <w:tc>
          <w:tcPr>
            <w:tcW w:w="1134" w:type="dxa"/>
            <w:vAlign w:val="center"/>
          </w:tcPr>
          <w:p w14:paraId="15297661" w14:textId="2AEA53B9" w:rsidR="003D2F17" w:rsidRPr="00F31685" w:rsidRDefault="003D2F17" w:rsidP="003D2F17">
            <w:pPr>
              <w:spacing w:line="300" w:lineRule="atLeast"/>
              <w:jc w:val="center"/>
              <w:rPr>
                <w:rFonts w:ascii="Arial" w:hAnsi="Arial" w:cs="Arial"/>
                <w:sz w:val="16"/>
                <w:szCs w:val="16"/>
              </w:rPr>
            </w:pPr>
            <w:r>
              <w:rPr>
                <w:rFonts w:ascii="Arial" w:hAnsi="Arial" w:cs="Arial"/>
                <w:sz w:val="16"/>
                <w:szCs w:val="16"/>
              </w:rPr>
              <w:t>60.3 – 525 (196.7)</w:t>
            </w:r>
          </w:p>
        </w:tc>
        <w:tc>
          <w:tcPr>
            <w:tcW w:w="1137" w:type="dxa"/>
            <w:vAlign w:val="center"/>
          </w:tcPr>
          <w:p w14:paraId="72AF24D4" w14:textId="7A9AB639" w:rsidR="003D2F17" w:rsidRPr="00F31685" w:rsidRDefault="003D2F17" w:rsidP="003D2F17">
            <w:pPr>
              <w:spacing w:line="300" w:lineRule="atLeast"/>
              <w:jc w:val="center"/>
              <w:rPr>
                <w:rFonts w:ascii="Arial" w:hAnsi="Arial" w:cs="Arial"/>
                <w:sz w:val="16"/>
                <w:szCs w:val="16"/>
              </w:rPr>
            </w:pPr>
            <w:r>
              <w:rPr>
                <w:rFonts w:ascii="Arial" w:hAnsi="Arial" w:cs="Arial"/>
                <w:sz w:val="16"/>
                <w:szCs w:val="16"/>
              </w:rPr>
              <w:t>30.2 – 263 (98.4)</w:t>
            </w:r>
          </w:p>
        </w:tc>
        <w:tc>
          <w:tcPr>
            <w:tcW w:w="1368" w:type="dxa"/>
            <w:vAlign w:val="center"/>
          </w:tcPr>
          <w:p w14:paraId="4424BEB2" w14:textId="71778004" w:rsidR="003D2F17" w:rsidRDefault="003D2F17" w:rsidP="003D2F17">
            <w:pPr>
              <w:spacing w:line="300" w:lineRule="atLeast"/>
              <w:jc w:val="center"/>
              <w:rPr>
                <w:rFonts w:ascii="Arial" w:hAnsi="Arial" w:cs="Arial"/>
                <w:sz w:val="16"/>
                <w:szCs w:val="16"/>
              </w:rPr>
            </w:pPr>
            <w:r>
              <w:rPr>
                <w:rFonts w:ascii="Arial" w:hAnsi="Arial" w:cs="Arial"/>
                <w:sz w:val="16"/>
                <w:szCs w:val="16"/>
              </w:rPr>
              <w:t>1,357 –</w:t>
            </w:r>
            <w:r w:rsidR="0039243F">
              <w:rPr>
                <w:rFonts w:ascii="Arial" w:hAnsi="Arial" w:cs="Arial"/>
                <w:sz w:val="16"/>
                <w:szCs w:val="16"/>
              </w:rPr>
              <w:t xml:space="preserve"> 11,803 (4,426</w:t>
            </w:r>
            <w:r>
              <w:rPr>
                <w:rFonts w:ascii="Arial" w:hAnsi="Arial" w:cs="Arial"/>
                <w:sz w:val="16"/>
                <w:szCs w:val="16"/>
              </w:rPr>
              <w:t>)</w:t>
            </w:r>
          </w:p>
        </w:tc>
        <w:tc>
          <w:tcPr>
            <w:tcW w:w="1026" w:type="dxa"/>
            <w:vAlign w:val="center"/>
          </w:tcPr>
          <w:p w14:paraId="50B478DF" w14:textId="401B0214" w:rsidR="003D2F17" w:rsidRPr="00F31685" w:rsidRDefault="0039243F" w:rsidP="003D2F17">
            <w:pPr>
              <w:spacing w:line="300" w:lineRule="atLeast"/>
              <w:jc w:val="center"/>
              <w:rPr>
                <w:rFonts w:ascii="Arial" w:hAnsi="Arial" w:cs="Arial"/>
                <w:sz w:val="16"/>
                <w:szCs w:val="16"/>
              </w:rPr>
            </w:pPr>
            <w:r>
              <w:rPr>
                <w:rFonts w:ascii="Arial" w:hAnsi="Arial" w:cs="Arial"/>
                <w:sz w:val="16"/>
                <w:szCs w:val="16"/>
              </w:rPr>
              <w:t>60.3 – 525 (196.7</w:t>
            </w:r>
            <w:r w:rsidR="003D2F17">
              <w:rPr>
                <w:rFonts w:ascii="Arial" w:hAnsi="Arial" w:cs="Arial"/>
                <w:sz w:val="16"/>
                <w:szCs w:val="16"/>
              </w:rPr>
              <w:t>)</w:t>
            </w:r>
          </w:p>
        </w:tc>
        <w:tc>
          <w:tcPr>
            <w:tcW w:w="1083" w:type="dxa"/>
            <w:vAlign w:val="center"/>
          </w:tcPr>
          <w:p w14:paraId="368DE46B" w14:textId="77777777" w:rsidR="003D2F17" w:rsidRPr="00F31685" w:rsidRDefault="003D2F17" w:rsidP="003D2F17">
            <w:pPr>
              <w:spacing w:line="300" w:lineRule="atLeast"/>
              <w:jc w:val="center"/>
              <w:rPr>
                <w:rFonts w:ascii="Arial" w:hAnsi="Arial" w:cs="Arial"/>
                <w:sz w:val="16"/>
                <w:szCs w:val="16"/>
              </w:rPr>
            </w:pPr>
            <w:r>
              <w:rPr>
                <w:rFonts w:ascii="Arial" w:hAnsi="Arial" w:cs="Arial"/>
                <w:sz w:val="16"/>
                <w:szCs w:val="16"/>
              </w:rPr>
              <w:t>-</w:t>
            </w:r>
          </w:p>
        </w:tc>
      </w:tr>
      <w:tr w:rsidR="003007F7" w:rsidRPr="007901FE" w14:paraId="09F0743F" w14:textId="77777777" w:rsidTr="008E329B">
        <w:tc>
          <w:tcPr>
            <w:tcW w:w="1985" w:type="dxa"/>
            <w:vAlign w:val="center"/>
          </w:tcPr>
          <w:p w14:paraId="71B1ACFE" w14:textId="77777777" w:rsidR="003007F7" w:rsidRDefault="003007F7" w:rsidP="00284F82">
            <w:pPr>
              <w:spacing w:line="300" w:lineRule="atLeast"/>
              <w:rPr>
                <w:rFonts w:ascii="Arial" w:hAnsi="Arial" w:cs="Arial"/>
                <w:sz w:val="16"/>
                <w:szCs w:val="16"/>
              </w:rPr>
            </w:pPr>
            <w:r>
              <w:rPr>
                <w:rFonts w:ascii="Arial" w:hAnsi="Arial" w:cs="Arial"/>
                <w:sz w:val="16"/>
                <w:szCs w:val="16"/>
              </w:rPr>
              <w:t>Aluminium</w:t>
            </w:r>
          </w:p>
        </w:tc>
        <w:tc>
          <w:tcPr>
            <w:tcW w:w="1559" w:type="dxa"/>
            <w:vAlign w:val="center"/>
          </w:tcPr>
          <w:p w14:paraId="4846807D" w14:textId="77777777" w:rsidR="003007F7" w:rsidRDefault="005D7F40" w:rsidP="00284F82">
            <w:pPr>
              <w:spacing w:line="300" w:lineRule="atLeast"/>
              <w:jc w:val="center"/>
              <w:rPr>
                <w:rFonts w:ascii="Arial" w:hAnsi="Arial" w:cs="Arial"/>
                <w:sz w:val="16"/>
                <w:szCs w:val="16"/>
              </w:rPr>
            </w:pPr>
            <w:r>
              <w:rPr>
                <w:rFonts w:ascii="Arial" w:hAnsi="Arial" w:cs="Arial"/>
                <w:sz w:val="16"/>
                <w:szCs w:val="16"/>
              </w:rPr>
              <w:t>-</w:t>
            </w:r>
          </w:p>
        </w:tc>
        <w:tc>
          <w:tcPr>
            <w:tcW w:w="1134" w:type="dxa"/>
            <w:vAlign w:val="center"/>
          </w:tcPr>
          <w:p w14:paraId="53BC0AC2" w14:textId="77777777" w:rsidR="003007F7" w:rsidRDefault="005D7F40" w:rsidP="00284F82">
            <w:pPr>
              <w:spacing w:line="300" w:lineRule="atLeast"/>
              <w:jc w:val="center"/>
              <w:rPr>
                <w:rFonts w:ascii="Arial" w:hAnsi="Arial" w:cs="Arial"/>
                <w:sz w:val="16"/>
                <w:szCs w:val="16"/>
              </w:rPr>
            </w:pPr>
            <w:r>
              <w:rPr>
                <w:rFonts w:ascii="Arial" w:hAnsi="Arial" w:cs="Arial"/>
                <w:sz w:val="16"/>
                <w:szCs w:val="16"/>
              </w:rPr>
              <w:t>-</w:t>
            </w:r>
          </w:p>
        </w:tc>
        <w:tc>
          <w:tcPr>
            <w:tcW w:w="1137" w:type="dxa"/>
            <w:vAlign w:val="center"/>
          </w:tcPr>
          <w:p w14:paraId="6FF59C06" w14:textId="77777777" w:rsidR="003007F7" w:rsidRDefault="005D7F40" w:rsidP="00284F82">
            <w:pPr>
              <w:spacing w:line="300" w:lineRule="atLeast"/>
              <w:jc w:val="center"/>
              <w:rPr>
                <w:rFonts w:ascii="Arial" w:hAnsi="Arial" w:cs="Arial"/>
                <w:sz w:val="16"/>
                <w:szCs w:val="16"/>
              </w:rPr>
            </w:pPr>
            <w:r>
              <w:rPr>
                <w:rFonts w:ascii="Arial" w:hAnsi="Arial" w:cs="Arial"/>
                <w:sz w:val="16"/>
                <w:szCs w:val="16"/>
              </w:rPr>
              <w:t>-</w:t>
            </w:r>
          </w:p>
        </w:tc>
        <w:tc>
          <w:tcPr>
            <w:tcW w:w="1368" w:type="dxa"/>
            <w:vAlign w:val="center"/>
          </w:tcPr>
          <w:p w14:paraId="3C6F936E" w14:textId="77777777" w:rsidR="003007F7" w:rsidRPr="004E3E02" w:rsidRDefault="005D7F40" w:rsidP="00284F82">
            <w:pPr>
              <w:spacing w:line="300" w:lineRule="atLeast"/>
              <w:jc w:val="center"/>
              <w:rPr>
                <w:rFonts w:ascii="Arial" w:hAnsi="Arial" w:cs="Arial"/>
                <w:sz w:val="16"/>
                <w:szCs w:val="16"/>
              </w:rPr>
            </w:pPr>
            <w:r>
              <w:rPr>
                <w:rFonts w:ascii="Arial" w:hAnsi="Arial" w:cs="Arial"/>
                <w:sz w:val="16"/>
                <w:szCs w:val="16"/>
              </w:rPr>
              <w:t>-</w:t>
            </w:r>
          </w:p>
        </w:tc>
        <w:tc>
          <w:tcPr>
            <w:tcW w:w="1026" w:type="dxa"/>
            <w:vAlign w:val="center"/>
          </w:tcPr>
          <w:p w14:paraId="1F77C98A" w14:textId="77777777" w:rsidR="003007F7" w:rsidRPr="004E3E02" w:rsidRDefault="005D7F40" w:rsidP="00284F82">
            <w:pPr>
              <w:spacing w:line="300" w:lineRule="atLeast"/>
              <w:jc w:val="center"/>
              <w:rPr>
                <w:rFonts w:ascii="Arial" w:hAnsi="Arial" w:cs="Arial"/>
                <w:sz w:val="16"/>
                <w:szCs w:val="16"/>
              </w:rPr>
            </w:pPr>
            <w:r>
              <w:rPr>
                <w:rFonts w:ascii="Arial" w:hAnsi="Arial" w:cs="Arial"/>
                <w:sz w:val="16"/>
                <w:szCs w:val="16"/>
              </w:rPr>
              <w:t>-</w:t>
            </w:r>
          </w:p>
        </w:tc>
        <w:tc>
          <w:tcPr>
            <w:tcW w:w="1083" w:type="dxa"/>
            <w:vAlign w:val="center"/>
          </w:tcPr>
          <w:p w14:paraId="517B8029" w14:textId="77777777" w:rsidR="003007F7" w:rsidRPr="004E3E02" w:rsidRDefault="005D7F40" w:rsidP="00284F82">
            <w:pPr>
              <w:spacing w:line="300" w:lineRule="atLeast"/>
              <w:jc w:val="center"/>
              <w:rPr>
                <w:rFonts w:ascii="Arial" w:hAnsi="Arial" w:cs="Arial"/>
                <w:sz w:val="16"/>
                <w:szCs w:val="16"/>
              </w:rPr>
            </w:pPr>
            <w:r>
              <w:rPr>
                <w:rFonts w:ascii="Arial" w:hAnsi="Arial" w:cs="Arial"/>
                <w:sz w:val="16"/>
                <w:szCs w:val="16"/>
              </w:rPr>
              <w:t>-</w:t>
            </w:r>
          </w:p>
        </w:tc>
      </w:tr>
      <w:tr w:rsidR="000F30F2" w:rsidRPr="007901FE" w14:paraId="19CA4CD6" w14:textId="77777777" w:rsidTr="008E329B">
        <w:tc>
          <w:tcPr>
            <w:tcW w:w="1985" w:type="dxa"/>
            <w:vAlign w:val="center"/>
          </w:tcPr>
          <w:p w14:paraId="68A85612" w14:textId="77777777" w:rsidR="000F30F2" w:rsidRDefault="000F30F2" w:rsidP="000F30F2">
            <w:pPr>
              <w:spacing w:line="300" w:lineRule="atLeast"/>
              <w:rPr>
                <w:rFonts w:ascii="Arial" w:hAnsi="Arial" w:cs="Arial"/>
                <w:sz w:val="16"/>
                <w:szCs w:val="16"/>
              </w:rPr>
            </w:pPr>
            <w:r>
              <w:rPr>
                <w:rFonts w:ascii="Arial" w:hAnsi="Arial" w:cs="Arial"/>
                <w:sz w:val="16"/>
                <w:szCs w:val="16"/>
              </w:rPr>
              <w:t>Ferrous metals</w:t>
            </w:r>
          </w:p>
        </w:tc>
        <w:tc>
          <w:tcPr>
            <w:tcW w:w="1559" w:type="dxa"/>
            <w:vAlign w:val="center"/>
          </w:tcPr>
          <w:p w14:paraId="1CFAF1CB" w14:textId="2B057573" w:rsidR="000F30F2" w:rsidRPr="000F30F2" w:rsidRDefault="000F30F2" w:rsidP="000F30F2">
            <w:pPr>
              <w:spacing w:line="300" w:lineRule="atLeast"/>
              <w:jc w:val="center"/>
              <w:rPr>
                <w:rFonts w:ascii="Arial" w:hAnsi="Arial" w:cs="Arial"/>
                <w:sz w:val="16"/>
                <w:szCs w:val="16"/>
              </w:rPr>
            </w:pPr>
            <w:r w:rsidRPr="000F30F2">
              <w:rPr>
                <w:rFonts w:ascii="Arial" w:hAnsi="Arial" w:cs="Arial"/>
                <w:sz w:val="16"/>
                <w:szCs w:val="16"/>
              </w:rPr>
              <w:t>42.71 -  171.2 (106.9)</w:t>
            </w:r>
          </w:p>
        </w:tc>
        <w:tc>
          <w:tcPr>
            <w:tcW w:w="1134" w:type="dxa"/>
            <w:vAlign w:val="center"/>
          </w:tcPr>
          <w:p w14:paraId="621AB8E2" w14:textId="031F7C80" w:rsidR="000F30F2" w:rsidRPr="000F30F2" w:rsidRDefault="000F30F2" w:rsidP="000F30F2">
            <w:pPr>
              <w:spacing w:line="300" w:lineRule="atLeast"/>
              <w:jc w:val="center"/>
              <w:rPr>
                <w:rFonts w:ascii="Arial" w:hAnsi="Arial" w:cs="Arial"/>
                <w:sz w:val="16"/>
                <w:szCs w:val="16"/>
              </w:rPr>
            </w:pPr>
            <w:r w:rsidRPr="000F30F2">
              <w:rPr>
                <w:rFonts w:ascii="Arial" w:hAnsi="Arial" w:cs="Arial"/>
                <w:sz w:val="16"/>
                <w:szCs w:val="16"/>
              </w:rPr>
              <w:t>21.4 – 85.6  (53.5)</w:t>
            </w:r>
          </w:p>
        </w:tc>
        <w:tc>
          <w:tcPr>
            <w:tcW w:w="1137" w:type="dxa"/>
            <w:vAlign w:val="center"/>
          </w:tcPr>
          <w:p w14:paraId="3633A286" w14:textId="15736350" w:rsidR="000F30F2" w:rsidRPr="000F30F2" w:rsidRDefault="000F30F2" w:rsidP="000F30F2">
            <w:pPr>
              <w:spacing w:line="300" w:lineRule="atLeast"/>
              <w:jc w:val="center"/>
              <w:rPr>
                <w:rFonts w:ascii="Arial" w:hAnsi="Arial" w:cs="Arial"/>
                <w:sz w:val="16"/>
                <w:szCs w:val="16"/>
              </w:rPr>
            </w:pPr>
          </w:p>
        </w:tc>
        <w:tc>
          <w:tcPr>
            <w:tcW w:w="1368" w:type="dxa"/>
            <w:vAlign w:val="center"/>
          </w:tcPr>
          <w:p w14:paraId="75EEC226" w14:textId="77777777" w:rsidR="000F30F2" w:rsidRPr="000F30F2" w:rsidRDefault="000F30F2" w:rsidP="000F30F2">
            <w:pPr>
              <w:spacing w:line="300" w:lineRule="atLeast"/>
              <w:jc w:val="center"/>
              <w:rPr>
                <w:rFonts w:ascii="Arial" w:hAnsi="Arial" w:cs="Arial"/>
                <w:sz w:val="16"/>
                <w:szCs w:val="16"/>
              </w:rPr>
            </w:pPr>
            <w:r w:rsidRPr="000F30F2">
              <w:rPr>
                <w:rFonts w:ascii="Arial" w:hAnsi="Arial" w:cs="Arial"/>
                <w:sz w:val="16"/>
                <w:szCs w:val="16"/>
              </w:rPr>
              <w:t>-</w:t>
            </w:r>
          </w:p>
        </w:tc>
        <w:tc>
          <w:tcPr>
            <w:tcW w:w="1026" w:type="dxa"/>
            <w:vAlign w:val="center"/>
          </w:tcPr>
          <w:p w14:paraId="639B12FB" w14:textId="77777777" w:rsidR="000F30F2" w:rsidRPr="000F30F2" w:rsidRDefault="000F30F2" w:rsidP="000F30F2">
            <w:pPr>
              <w:spacing w:line="300" w:lineRule="atLeast"/>
              <w:jc w:val="center"/>
              <w:rPr>
                <w:rFonts w:ascii="Arial" w:hAnsi="Arial" w:cs="Arial"/>
                <w:sz w:val="16"/>
                <w:szCs w:val="16"/>
              </w:rPr>
            </w:pPr>
            <w:r w:rsidRPr="000F30F2">
              <w:rPr>
                <w:rFonts w:ascii="Arial" w:hAnsi="Arial" w:cs="Arial"/>
                <w:sz w:val="16"/>
                <w:szCs w:val="16"/>
              </w:rPr>
              <w:t>-</w:t>
            </w:r>
          </w:p>
        </w:tc>
        <w:tc>
          <w:tcPr>
            <w:tcW w:w="1083" w:type="dxa"/>
            <w:vAlign w:val="center"/>
          </w:tcPr>
          <w:p w14:paraId="4F3405AB" w14:textId="2F39D494" w:rsidR="000F30F2" w:rsidRPr="000F30F2" w:rsidRDefault="000F30F2" w:rsidP="000F30F2">
            <w:pPr>
              <w:spacing w:line="300" w:lineRule="atLeast"/>
              <w:jc w:val="center"/>
              <w:rPr>
                <w:rFonts w:ascii="Arial" w:hAnsi="Arial" w:cs="Arial"/>
                <w:sz w:val="16"/>
                <w:szCs w:val="16"/>
              </w:rPr>
            </w:pPr>
            <w:r w:rsidRPr="000F30F2">
              <w:rPr>
                <w:rFonts w:ascii="Arial" w:hAnsi="Arial" w:cs="Arial"/>
                <w:sz w:val="16"/>
                <w:szCs w:val="16"/>
              </w:rPr>
              <w:t>21.4 – 85.6  (53.5)</w:t>
            </w:r>
          </w:p>
        </w:tc>
      </w:tr>
      <w:tr w:rsidR="00B3626A" w:rsidRPr="007901FE" w14:paraId="137E5047" w14:textId="77777777" w:rsidTr="008E329B">
        <w:tc>
          <w:tcPr>
            <w:tcW w:w="1985" w:type="dxa"/>
            <w:vAlign w:val="center"/>
          </w:tcPr>
          <w:p w14:paraId="00F26DCF" w14:textId="77777777" w:rsidR="003007F7" w:rsidRPr="00DA56F6" w:rsidRDefault="003007F7" w:rsidP="004E008C">
            <w:pPr>
              <w:spacing w:line="300" w:lineRule="atLeast"/>
              <w:rPr>
                <w:rFonts w:ascii="Arial" w:hAnsi="Arial" w:cs="Arial"/>
                <w:b/>
                <w:sz w:val="16"/>
                <w:szCs w:val="16"/>
              </w:rPr>
            </w:pPr>
            <w:r w:rsidRPr="00DA56F6">
              <w:rPr>
                <w:rFonts w:ascii="Arial" w:hAnsi="Arial" w:cs="Arial"/>
                <w:b/>
                <w:sz w:val="16"/>
                <w:szCs w:val="16"/>
              </w:rPr>
              <w:t>Totals</w:t>
            </w:r>
          </w:p>
        </w:tc>
        <w:tc>
          <w:tcPr>
            <w:tcW w:w="1559" w:type="dxa"/>
            <w:vAlign w:val="center"/>
          </w:tcPr>
          <w:p w14:paraId="6F6B5D49" w14:textId="65B0883D" w:rsidR="003007F7" w:rsidRPr="00DA56F6" w:rsidRDefault="00BA694F" w:rsidP="00D83BA9">
            <w:pPr>
              <w:spacing w:line="300" w:lineRule="atLeast"/>
              <w:jc w:val="center"/>
              <w:rPr>
                <w:rFonts w:ascii="Arial" w:hAnsi="Arial" w:cs="Arial"/>
                <w:b/>
                <w:sz w:val="16"/>
                <w:szCs w:val="16"/>
              </w:rPr>
            </w:pPr>
            <w:r>
              <w:rPr>
                <w:rFonts w:ascii="Arial" w:hAnsi="Arial" w:cs="Arial"/>
                <w:b/>
                <w:sz w:val="16"/>
                <w:szCs w:val="16"/>
              </w:rPr>
              <w:t>1570.8 – 13,305.2 (5,044.7)</w:t>
            </w:r>
          </w:p>
        </w:tc>
        <w:tc>
          <w:tcPr>
            <w:tcW w:w="1134" w:type="dxa"/>
            <w:vAlign w:val="center"/>
          </w:tcPr>
          <w:p w14:paraId="04E6B77B" w14:textId="6FDDD9BC" w:rsidR="003007F7" w:rsidRPr="00DA56F6" w:rsidRDefault="00BA694F" w:rsidP="00D83BA9">
            <w:pPr>
              <w:spacing w:line="300" w:lineRule="atLeast"/>
              <w:jc w:val="center"/>
              <w:rPr>
                <w:rFonts w:ascii="Arial" w:hAnsi="Arial" w:cs="Arial"/>
                <w:b/>
                <w:sz w:val="16"/>
                <w:szCs w:val="16"/>
              </w:rPr>
            </w:pPr>
            <w:r>
              <w:rPr>
                <w:rFonts w:ascii="Arial" w:hAnsi="Arial" w:cs="Arial"/>
                <w:b/>
                <w:sz w:val="16"/>
                <w:szCs w:val="16"/>
              </w:rPr>
              <w:t>85.7 – 614.</w:t>
            </w:r>
            <w:r w:rsidR="0039243F">
              <w:rPr>
                <w:rFonts w:ascii="Arial" w:hAnsi="Arial" w:cs="Arial"/>
                <w:b/>
                <w:sz w:val="16"/>
                <w:szCs w:val="16"/>
              </w:rPr>
              <w:t>2 (254.2</w:t>
            </w:r>
            <w:r>
              <w:rPr>
                <w:rFonts w:ascii="Arial" w:hAnsi="Arial" w:cs="Arial"/>
                <w:b/>
                <w:sz w:val="16"/>
                <w:szCs w:val="16"/>
              </w:rPr>
              <w:t>)</w:t>
            </w:r>
          </w:p>
        </w:tc>
        <w:tc>
          <w:tcPr>
            <w:tcW w:w="1137" w:type="dxa"/>
            <w:vAlign w:val="center"/>
          </w:tcPr>
          <w:p w14:paraId="22198F60" w14:textId="50A49D05" w:rsidR="003007F7" w:rsidRPr="00DA56F6" w:rsidRDefault="00BA694F" w:rsidP="00284F82">
            <w:pPr>
              <w:spacing w:line="300" w:lineRule="atLeast"/>
              <w:jc w:val="center"/>
              <w:rPr>
                <w:rFonts w:ascii="Arial" w:hAnsi="Arial" w:cs="Arial"/>
                <w:b/>
                <w:sz w:val="16"/>
                <w:szCs w:val="16"/>
              </w:rPr>
            </w:pPr>
            <w:r>
              <w:rPr>
                <w:rFonts w:ascii="Arial" w:hAnsi="Arial" w:cs="Arial"/>
                <w:b/>
                <w:sz w:val="16"/>
                <w:szCs w:val="16"/>
              </w:rPr>
              <w:t>38.2 – 270.</w:t>
            </w:r>
            <w:r w:rsidR="0039243F">
              <w:rPr>
                <w:rFonts w:ascii="Arial" w:hAnsi="Arial" w:cs="Arial"/>
                <w:b/>
                <w:sz w:val="16"/>
                <w:szCs w:val="16"/>
              </w:rPr>
              <w:t>3 (106.4</w:t>
            </w:r>
            <w:r>
              <w:rPr>
                <w:rFonts w:ascii="Arial" w:hAnsi="Arial" w:cs="Arial"/>
                <w:b/>
                <w:sz w:val="16"/>
                <w:szCs w:val="16"/>
              </w:rPr>
              <w:t>)</w:t>
            </w:r>
          </w:p>
        </w:tc>
        <w:tc>
          <w:tcPr>
            <w:tcW w:w="1368" w:type="dxa"/>
            <w:vAlign w:val="center"/>
          </w:tcPr>
          <w:p w14:paraId="499E175D" w14:textId="33C90DDF" w:rsidR="003007F7" w:rsidRPr="00DA56F6" w:rsidRDefault="00BA694F" w:rsidP="00BA694F">
            <w:pPr>
              <w:spacing w:line="300" w:lineRule="atLeast"/>
              <w:jc w:val="center"/>
              <w:rPr>
                <w:rFonts w:ascii="Arial" w:hAnsi="Arial" w:cs="Arial"/>
                <w:b/>
                <w:sz w:val="16"/>
                <w:szCs w:val="16"/>
              </w:rPr>
            </w:pPr>
            <w:r>
              <w:rPr>
                <w:rFonts w:ascii="Arial" w:hAnsi="Arial" w:cs="Arial"/>
                <w:b/>
                <w:sz w:val="16"/>
                <w:szCs w:val="16"/>
              </w:rPr>
              <w:t>1,365</w:t>
            </w:r>
            <w:r w:rsidR="004813FF" w:rsidRPr="00DA56F6">
              <w:rPr>
                <w:rFonts w:ascii="Arial" w:hAnsi="Arial" w:cs="Arial"/>
                <w:b/>
                <w:sz w:val="16"/>
                <w:szCs w:val="16"/>
              </w:rPr>
              <w:t xml:space="preserve"> – </w:t>
            </w:r>
            <w:r w:rsidR="008E329B">
              <w:rPr>
                <w:rFonts w:ascii="Arial" w:hAnsi="Arial" w:cs="Arial"/>
                <w:b/>
                <w:sz w:val="16"/>
                <w:szCs w:val="16"/>
              </w:rPr>
              <w:t>11,811</w:t>
            </w:r>
            <w:r w:rsidR="0039243F">
              <w:rPr>
                <w:rFonts w:ascii="Arial" w:hAnsi="Arial" w:cs="Arial"/>
                <w:b/>
                <w:sz w:val="16"/>
                <w:szCs w:val="16"/>
              </w:rPr>
              <w:t xml:space="preserve"> (4.426</w:t>
            </w:r>
            <w:r w:rsidR="004813FF" w:rsidRPr="00DA56F6">
              <w:rPr>
                <w:rFonts w:ascii="Arial" w:hAnsi="Arial" w:cs="Arial"/>
                <w:b/>
                <w:sz w:val="16"/>
                <w:szCs w:val="16"/>
              </w:rPr>
              <w:t>)</w:t>
            </w:r>
          </w:p>
        </w:tc>
        <w:tc>
          <w:tcPr>
            <w:tcW w:w="1026" w:type="dxa"/>
            <w:vAlign w:val="center"/>
          </w:tcPr>
          <w:p w14:paraId="50F31B2F" w14:textId="0B923D2F" w:rsidR="003007F7" w:rsidRPr="00DA56F6" w:rsidRDefault="008E329B" w:rsidP="00284F82">
            <w:pPr>
              <w:spacing w:line="300" w:lineRule="atLeast"/>
              <w:jc w:val="center"/>
              <w:rPr>
                <w:rFonts w:ascii="Arial" w:hAnsi="Arial" w:cs="Arial"/>
                <w:b/>
                <w:sz w:val="16"/>
                <w:szCs w:val="16"/>
              </w:rPr>
            </w:pPr>
            <w:r>
              <w:rPr>
                <w:rFonts w:ascii="Arial" w:hAnsi="Arial" w:cs="Arial"/>
                <w:b/>
                <w:sz w:val="16"/>
                <w:szCs w:val="16"/>
              </w:rPr>
              <w:t xml:space="preserve">60.3 – 525 </w:t>
            </w:r>
            <w:r w:rsidR="0039243F">
              <w:rPr>
                <w:rFonts w:ascii="Arial" w:hAnsi="Arial" w:cs="Arial"/>
                <w:b/>
                <w:sz w:val="16"/>
                <w:szCs w:val="16"/>
              </w:rPr>
              <w:t>(196.7</w:t>
            </w:r>
            <w:r>
              <w:rPr>
                <w:rFonts w:ascii="Arial" w:hAnsi="Arial" w:cs="Arial"/>
                <w:b/>
                <w:sz w:val="16"/>
                <w:szCs w:val="16"/>
              </w:rPr>
              <w:t>)</w:t>
            </w:r>
          </w:p>
        </w:tc>
        <w:tc>
          <w:tcPr>
            <w:tcW w:w="1083" w:type="dxa"/>
            <w:vAlign w:val="center"/>
          </w:tcPr>
          <w:p w14:paraId="1966B018" w14:textId="493266BE" w:rsidR="003007F7" w:rsidRPr="00DA56F6" w:rsidRDefault="008E329B" w:rsidP="00D83BA9">
            <w:pPr>
              <w:spacing w:line="300" w:lineRule="atLeast"/>
              <w:jc w:val="center"/>
              <w:rPr>
                <w:rFonts w:ascii="Arial" w:hAnsi="Arial" w:cs="Arial"/>
                <w:b/>
                <w:sz w:val="16"/>
                <w:szCs w:val="16"/>
              </w:rPr>
            </w:pPr>
            <w:r>
              <w:rPr>
                <w:rFonts w:ascii="Arial" w:hAnsi="Arial" w:cs="Arial"/>
                <w:b/>
                <w:sz w:val="16"/>
                <w:szCs w:val="16"/>
              </w:rPr>
              <w:t>21.4 -85.6 (53.5)</w:t>
            </w:r>
          </w:p>
        </w:tc>
      </w:tr>
    </w:tbl>
    <w:p w14:paraId="589CFE91" w14:textId="32F9E6C1" w:rsidR="000F30F2" w:rsidRDefault="00435C60" w:rsidP="00E20567">
      <w:pPr>
        <w:spacing w:line="300" w:lineRule="atLeast"/>
        <w:jc w:val="both"/>
      </w:pPr>
      <w:r w:rsidRPr="00435C60">
        <w:t>The figures shown in brackets are the means of the reported ranges</w:t>
      </w:r>
      <w:r w:rsidR="003D2F17">
        <w:t>, except for gold/silver mining where a lower mid-point factor has been used.</w:t>
      </w:r>
    </w:p>
    <w:p w14:paraId="6FDA792D" w14:textId="19DEE17C" w:rsidR="00EE4754" w:rsidRDefault="00EE4754" w:rsidP="00E20567">
      <w:pPr>
        <w:spacing w:line="300" w:lineRule="atLeast"/>
        <w:jc w:val="both"/>
        <w:rPr>
          <w:szCs w:val="18"/>
        </w:rPr>
      </w:pPr>
      <w:r>
        <w:rPr>
          <w:szCs w:val="18"/>
        </w:rPr>
        <w:br w:type="page"/>
      </w:r>
    </w:p>
    <w:p w14:paraId="2B6794D5" w14:textId="77777777" w:rsidR="006946B7" w:rsidRDefault="001277A1" w:rsidP="00EE4754">
      <w:pPr>
        <w:pStyle w:val="Heading1"/>
      </w:pPr>
      <w:bookmarkStart w:id="65" w:name="_Toc484949581"/>
      <w:r>
        <w:lastRenderedPageBreak/>
        <w:t>Production of minerals and materials with mercury impurities</w:t>
      </w:r>
      <w:bookmarkEnd w:id="65"/>
    </w:p>
    <w:p w14:paraId="3FC56EFE" w14:textId="77777777" w:rsidR="00232361" w:rsidRDefault="00BE3D71" w:rsidP="003833D6">
      <w:pPr>
        <w:spacing w:line="300" w:lineRule="atLeast"/>
        <w:jc w:val="both"/>
        <w:rPr>
          <w:szCs w:val="18"/>
        </w:rPr>
      </w:pPr>
      <w:r w:rsidRPr="00BE3D71">
        <w:rPr>
          <w:szCs w:val="18"/>
        </w:rPr>
        <w:t>This category covers mercury releases from the production</w:t>
      </w:r>
      <w:r w:rsidR="0003101F">
        <w:rPr>
          <w:szCs w:val="18"/>
        </w:rPr>
        <w:t xml:space="preserve"> of minerals and related materials with mercury impurities</w:t>
      </w:r>
      <w:r w:rsidRPr="00BE3D71">
        <w:rPr>
          <w:szCs w:val="18"/>
        </w:rPr>
        <w:t xml:space="preserve"> (</w:t>
      </w:r>
      <w:r w:rsidR="00C738EC">
        <w:rPr>
          <w:szCs w:val="18"/>
        </w:rPr>
        <w:t>UNEP, 2017</w:t>
      </w:r>
      <w:r w:rsidRPr="00BE3D71">
        <w:rPr>
          <w:szCs w:val="18"/>
        </w:rPr>
        <w:t xml:space="preserve">). The sub-categories and the primary release pathways are summarised in </w:t>
      </w:r>
      <w:r>
        <w:rPr>
          <w:szCs w:val="18"/>
        </w:rPr>
        <w:fldChar w:fldCharType="begin"/>
      </w:r>
      <w:r>
        <w:rPr>
          <w:szCs w:val="18"/>
        </w:rPr>
        <w:instrText xml:space="preserve"> REF _Ref358518419 \h </w:instrText>
      </w:r>
      <w:r>
        <w:rPr>
          <w:szCs w:val="18"/>
        </w:rPr>
      </w:r>
      <w:r>
        <w:rPr>
          <w:szCs w:val="18"/>
        </w:rPr>
        <w:fldChar w:fldCharType="separate"/>
      </w:r>
      <w:r w:rsidR="00423FC9">
        <w:t xml:space="preserve">Table </w:t>
      </w:r>
      <w:r w:rsidR="00423FC9">
        <w:rPr>
          <w:noProof/>
        </w:rPr>
        <w:t>5</w:t>
      </w:r>
      <w:r w:rsidR="00423FC9">
        <w:noBreakHyphen/>
      </w:r>
      <w:r w:rsidR="00423FC9">
        <w:rPr>
          <w:noProof/>
        </w:rPr>
        <w:t>1</w:t>
      </w:r>
      <w:r>
        <w:rPr>
          <w:szCs w:val="18"/>
        </w:rPr>
        <w:fldChar w:fldCharType="end"/>
      </w:r>
      <w:r w:rsidR="00DB09D1" w:rsidRPr="00DB09D1">
        <w:rPr>
          <w:szCs w:val="18"/>
        </w:rPr>
        <w:t>, which has been copied directly from the UNEP Toolkit</w:t>
      </w:r>
      <w:r w:rsidR="0003101F">
        <w:rPr>
          <w:szCs w:val="18"/>
        </w:rPr>
        <w:t xml:space="preserve">. For the New Zealand inventory, the use of phosphate-based fertilisers </w:t>
      </w:r>
      <w:r w:rsidR="009F6440">
        <w:rPr>
          <w:szCs w:val="18"/>
        </w:rPr>
        <w:t xml:space="preserve">and agricultural lime </w:t>
      </w:r>
      <w:r w:rsidR="00A25C30">
        <w:rPr>
          <w:szCs w:val="18"/>
        </w:rPr>
        <w:t>has</w:t>
      </w:r>
      <w:r w:rsidR="0003101F">
        <w:rPr>
          <w:szCs w:val="18"/>
        </w:rPr>
        <w:t xml:space="preserve"> </w:t>
      </w:r>
      <w:r w:rsidR="002F5753">
        <w:rPr>
          <w:szCs w:val="18"/>
        </w:rPr>
        <w:t xml:space="preserve">also </w:t>
      </w:r>
      <w:r w:rsidR="0003101F">
        <w:rPr>
          <w:szCs w:val="18"/>
        </w:rPr>
        <w:t>be</w:t>
      </w:r>
      <w:r w:rsidR="00A25C30">
        <w:rPr>
          <w:szCs w:val="18"/>
        </w:rPr>
        <w:t>en</w:t>
      </w:r>
      <w:r w:rsidR="0003101F">
        <w:rPr>
          <w:szCs w:val="18"/>
        </w:rPr>
        <w:t xml:space="preserve"> considered under the catch-all sub-category</w:t>
      </w:r>
      <w:r w:rsidR="00A25C30">
        <w:rPr>
          <w:szCs w:val="18"/>
        </w:rPr>
        <w:t xml:space="preserve"> of</w:t>
      </w:r>
      <w:r w:rsidR="0003101F">
        <w:rPr>
          <w:szCs w:val="18"/>
        </w:rPr>
        <w:t xml:space="preserve"> ‘other minerals and materials’.</w:t>
      </w:r>
    </w:p>
    <w:p w14:paraId="143FE848" w14:textId="77777777" w:rsidR="00D16E72" w:rsidRDefault="0049793A" w:rsidP="00684B56">
      <w:pPr>
        <w:pStyle w:val="Caption"/>
        <w:spacing w:before="240"/>
        <w:rPr>
          <w:szCs w:val="18"/>
        </w:rPr>
      </w:pPr>
      <w:bookmarkStart w:id="66" w:name="_Ref358518419"/>
      <w:bookmarkStart w:id="67" w:name="_Toc484949650"/>
      <w:r>
        <w:t xml:space="preserve">Table </w:t>
      </w:r>
      <w:r w:rsidR="005D7893">
        <w:fldChar w:fldCharType="begin"/>
      </w:r>
      <w:r w:rsidR="005D7893">
        <w:instrText xml:space="preserve"> STYLEREF 1 \s </w:instrText>
      </w:r>
      <w:r w:rsidR="005D7893">
        <w:fldChar w:fldCharType="separate"/>
      </w:r>
      <w:r w:rsidR="00423FC9">
        <w:rPr>
          <w:noProof/>
        </w:rPr>
        <w:t>5</w:t>
      </w:r>
      <w:r w:rsidR="005D7893">
        <w:rPr>
          <w:noProof/>
        </w:rPr>
        <w:fldChar w:fldCharType="end"/>
      </w:r>
      <w:r w:rsidR="00390C9F">
        <w:noBreakHyphen/>
      </w:r>
      <w:r w:rsidR="005D7893">
        <w:fldChar w:fldCharType="begin"/>
      </w:r>
      <w:r w:rsidR="005D7893">
        <w:instrText xml:space="preserve"> SEQ Table \* ARABIC \s 1 </w:instrText>
      </w:r>
      <w:r w:rsidR="005D7893">
        <w:fldChar w:fldCharType="separate"/>
      </w:r>
      <w:r w:rsidR="00423FC9">
        <w:rPr>
          <w:noProof/>
        </w:rPr>
        <w:t>1</w:t>
      </w:r>
      <w:r w:rsidR="005D7893">
        <w:rPr>
          <w:noProof/>
        </w:rPr>
        <w:fldChar w:fldCharType="end"/>
      </w:r>
      <w:bookmarkEnd w:id="66"/>
      <w:r>
        <w:t xml:space="preserve">:  </w:t>
      </w:r>
      <w:r w:rsidR="00D16E72" w:rsidRPr="003D7CC9">
        <w:rPr>
          <w:rFonts w:ascii="Arial" w:hAnsi="Arial" w:cs="Arial"/>
        </w:rPr>
        <w:t>T</w:t>
      </w:r>
      <w:r w:rsidR="00D16E72">
        <w:rPr>
          <w:rFonts w:ascii="Arial" w:hAnsi="Arial" w:cs="Arial"/>
        </w:rPr>
        <w:t xml:space="preserve">oolkit framework for category </w:t>
      </w:r>
      <w:r w:rsidR="00627174">
        <w:rPr>
          <w:rFonts w:ascii="Arial" w:hAnsi="Arial" w:cs="Arial"/>
        </w:rPr>
        <w:t>3</w:t>
      </w:r>
      <w:r w:rsidR="00D16E72">
        <w:rPr>
          <w:rFonts w:ascii="Arial" w:hAnsi="Arial" w:cs="Arial"/>
        </w:rPr>
        <w:t xml:space="preserve"> –production</w:t>
      </w:r>
      <w:r w:rsidR="00627174">
        <w:rPr>
          <w:rFonts w:ascii="Arial" w:hAnsi="Arial" w:cs="Arial"/>
        </w:rPr>
        <w:t xml:space="preserve"> of minerals and materials with mercury impurities</w:t>
      </w:r>
      <w:bookmarkEnd w:id="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850"/>
        <w:gridCol w:w="851"/>
        <w:gridCol w:w="851"/>
        <w:gridCol w:w="992"/>
        <w:gridCol w:w="992"/>
        <w:gridCol w:w="1099"/>
      </w:tblGrid>
      <w:tr w:rsidR="00D16E72" w:rsidRPr="004901F2" w14:paraId="686ADB3D" w14:textId="77777777" w:rsidTr="00284F82">
        <w:tc>
          <w:tcPr>
            <w:tcW w:w="851" w:type="dxa"/>
            <w:shd w:val="clear" w:color="auto" w:fill="auto"/>
            <w:vAlign w:val="center"/>
          </w:tcPr>
          <w:p w14:paraId="72BEDC1C"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Toolkit Chapter</w:t>
            </w:r>
          </w:p>
        </w:tc>
        <w:tc>
          <w:tcPr>
            <w:tcW w:w="2693" w:type="dxa"/>
            <w:shd w:val="clear" w:color="auto" w:fill="auto"/>
            <w:vAlign w:val="center"/>
          </w:tcPr>
          <w:p w14:paraId="1F0F02BA"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Sub-category</w:t>
            </w:r>
          </w:p>
        </w:tc>
        <w:tc>
          <w:tcPr>
            <w:tcW w:w="850" w:type="dxa"/>
            <w:shd w:val="clear" w:color="auto" w:fill="auto"/>
            <w:vAlign w:val="center"/>
          </w:tcPr>
          <w:p w14:paraId="1DE86A6C"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Air</w:t>
            </w:r>
          </w:p>
        </w:tc>
        <w:tc>
          <w:tcPr>
            <w:tcW w:w="851" w:type="dxa"/>
            <w:shd w:val="clear" w:color="auto" w:fill="auto"/>
            <w:vAlign w:val="center"/>
          </w:tcPr>
          <w:p w14:paraId="78476455"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Water</w:t>
            </w:r>
          </w:p>
        </w:tc>
        <w:tc>
          <w:tcPr>
            <w:tcW w:w="851" w:type="dxa"/>
            <w:shd w:val="clear" w:color="auto" w:fill="auto"/>
            <w:vAlign w:val="center"/>
          </w:tcPr>
          <w:p w14:paraId="65E10C6F"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Land</w:t>
            </w:r>
          </w:p>
        </w:tc>
        <w:tc>
          <w:tcPr>
            <w:tcW w:w="992" w:type="dxa"/>
            <w:shd w:val="clear" w:color="auto" w:fill="auto"/>
            <w:vAlign w:val="center"/>
          </w:tcPr>
          <w:p w14:paraId="05A6EC66"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Product</w:t>
            </w:r>
          </w:p>
        </w:tc>
        <w:tc>
          <w:tcPr>
            <w:tcW w:w="992" w:type="dxa"/>
            <w:shd w:val="clear" w:color="auto" w:fill="auto"/>
            <w:vAlign w:val="center"/>
          </w:tcPr>
          <w:p w14:paraId="6FC7B202"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Waste/ residue</w:t>
            </w:r>
          </w:p>
        </w:tc>
        <w:tc>
          <w:tcPr>
            <w:tcW w:w="1099" w:type="dxa"/>
            <w:shd w:val="clear" w:color="auto" w:fill="auto"/>
            <w:vAlign w:val="center"/>
          </w:tcPr>
          <w:p w14:paraId="5B04F654"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Main approach</w:t>
            </w:r>
          </w:p>
        </w:tc>
      </w:tr>
      <w:tr w:rsidR="00D16E72" w:rsidRPr="004901F2" w14:paraId="7889719D" w14:textId="77777777" w:rsidTr="00284F82">
        <w:tc>
          <w:tcPr>
            <w:tcW w:w="851" w:type="dxa"/>
            <w:shd w:val="clear" w:color="auto" w:fill="auto"/>
            <w:vAlign w:val="center"/>
          </w:tcPr>
          <w:p w14:paraId="6669B47C" w14:textId="77777777" w:rsidR="00D16E72" w:rsidRPr="004901F2" w:rsidRDefault="00D16E72" w:rsidP="00627174">
            <w:pPr>
              <w:spacing w:before="40" w:after="40" w:line="300" w:lineRule="atLeast"/>
              <w:rPr>
                <w:rFonts w:ascii="Arial" w:hAnsi="Arial" w:cs="Arial"/>
                <w:sz w:val="16"/>
                <w:szCs w:val="16"/>
              </w:rPr>
            </w:pPr>
            <w:r>
              <w:rPr>
                <w:rFonts w:ascii="Arial" w:hAnsi="Arial" w:cs="Arial"/>
                <w:sz w:val="16"/>
                <w:szCs w:val="16"/>
              </w:rPr>
              <w:t>5</w:t>
            </w:r>
            <w:r w:rsidR="00627174">
              <w:rPr>
                <w:rFonts w:ascii="Arial" w:hAnsi="Arial" w:cs="Arial"/>
                <w:sz w:val="16"/>
                <w:szCs w:val="16"/>
              </w:rPr>
              <w:t>.3</w:t>
            </w:r>
            <w:r w:rsidRPr="004901F2">
              <w:rPr>
                <w:rFonts w:ascii="Arial" w:hAnsi="Arial" w:cs="Arial"/>
                <w:sz w:val="16"/>
                <w:szCs w:val="16"/>
              </w:rPr>
              <w:t>.1</w:t>
            </w:r>
          </w:p>
        </w:tc>
        <w:tc>
          <w:tcPr>
            <w:tcW w:w="2693" w:type="dxa"/>
            <w:shd w:val="clear" w:color="auto" w:fill="auto"/>
            <w:vAlign w:val="center"/>
          </w:tcPr>
          <w:p w14:paraId="003DE685" w14:textId="77777777" w:rsidR="00D16E72" w:rsidRPr="004901F2" w:rsidRDefault="00627174" w:rsidP="00284F82">
            <w:pPr>
              <w:spacing w:line="300" w:lineRule="atLeast"/>
              <w:rPr>
                <w:rFonts w:ascii="Arial" w:hAnsi="Arial" w:cs="Arial"/>
                <w:sz w:val="16"/>
                <w:szCs w:val="16"/>
              </w:rPr>
            </w:pPr>
            <w:r>
              <w:rPr>
                <w:rFonts w:ascii="Arial" w:hAnsi="Arial" w:cs="Arial"/>
                <w:sz w:val="16"/>
                <w:szCs w:val="16"/>
              </w:rPr>
              <w:t>Cement production</w:t>
            </w:r>
          </w:p>
        </w:tc>
        <w:tc>
          <w:tcPr>
            <w:tcW w:w="850" w:type="dxa"/>
            <w:shd w:val="clear" w:color="auto" w:fill="auto"/>
            <w:vAlign w:val="center"/>
          </w:tcPr>
          <w:p w14:paraId="61C13E40"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4D7E1776" w14:textId="77777777" w:rsidR="00D16E72" w:rsidRPr="004901F2" w:rsidRDefault="00D16E72" w:rsidP="00284F82">
            <w:pPr>
              <w:spacing w:before="40" w:after="40" w:line="300" w:lineRule="atLeast"/>
              <w:jc w:val="center"/>
              <w:rPr>
                <w:rFonts w:ascii="Arial" w:hAnsi="Arial" w:cs="Arial"/>
                <w:sz w:val="16"/>
                <w:szCs w:val="16"/>
              </w:rPr>
            </w:pPr>
          </w:p>
        </w:tc>
        <w:tc>
          <w:tcPr>
            <w:tcW w:w="851" w:type="dxa"/>
            <w:shd w:val="clear" w:color="auto" w:fill="auto"/>
            <w:vAlign w:val="center"/>
          </w:tcPr>
          <w:p w14:paraId="7956D58B" w14:textId="77777777" w:rsidR="00D16E72" w:rsidRPr="004901F2" w:rsidRDefault="00627174" w:rsidP="00284F82">
            <w:pPr>
              <w:spacing w:before="40" w:after="40" w:line="300" w:lineRule="atLeast"/>
              <w:jc w:val="center"/>
              <w:rPr>
                <w:rFonts w:ascii="Arial" w:hAnsi="Arial" w:cs="Arial"/>
                <w:sz w:val="16"/>
                <w:szCs w:val="16"/>
              </w:rPr>
            </w:pPr>
            <w:r>
              <w:rPr>
                <w:rFonts w:ascii="Arial" w:hAnsi="Arial" w:cs="Arial"/>
                <w:sz w:val="16"/>
                <w:szCs w:val="16"/>
              </w:rPr>
              <w:t>x</w:t>
            </w:r>
          </w:p>
        </w:tc>
        <w:tc>
          <w:tcPr>
            <w:tcW w:w="992" w:type="dxa"/>
            <w:shd w:val="clear" w:color="auto" w:fill="auto"/>
            <w:vAlign w:val="center"/>
          </w:tcPr>
          <w:p w14:paraId="134B20DF" w14:textId="77777777" w:rsidR="00D16E72" w:rsidRPr="004901F2" w:rsidRDefault="00627174" w:rsidP="00284F82">
            <w:pPr>
              <w:spacing w:before="40" w:after="40" w:line="300" w:lineRule="atLeast"/>
              <w:jc w:val="center"/>
              <w:rPr>
                <w:rFonts w:ascii="Arial" w:hAnsi="Arial" w:cs="Arial"/>
                <w:sz w:val="16"/>
                <w:szCs w:val="16"/>
              </w:rPr>
            </w:pPr>
            <w:r>
              <w:rPr>
                <w:rFonts w:ascii="Arial" w:hAnsi="Arial" w:cs="Arial"/>
                <w:sz w:val="16"/>
                <w:szCs w:val="16"/>
              </w:rPr>
              <w:t>x</w:t>
            </w:r>
          </w:p>
        </w:tc>
        <w:tc>
          <w:tcPr>
            <w:tcW w:w="992" w:type="dxa"/>
            <w:shd w:val="clear" w:color="auto" w:fill="auto"/>
            <w:vAlign w:val="center"/>
          </w:tcPr>
          <w:p w14:paraId="4438C9BA" w14:textId="77777777" w:rsidR="00D16E72" w:rsidRPr="004901F2" w:rsidRDefault="00627174" w:rsidP="00284F82">
            <w:pPr>
              <w:spacing w:before="40" w:after="40" w:line="300" w:lineRule="atLeast"/>
              <w:jc w:val="center"/>
              <w:rPr>
                <w:rFonts w:ascii="Arial" w:hAnsi="Arial" w:cs="Arial"/>
                <w:b/>
                <w:sz w:val="16"/>
                <w:szCs w:val="16"/>
              </w:rPr>
            </w:pPr>
            <w:r>
              <w:rPr>
                <w:rFonts w:ascii="Arial" w:hAnsi="Arial" w:cs="Arial"/>
                <w:b/>
                <w:sz w:val="16"/>
                <w:szCs w:val="16"/>
              </w:rPr>
              <w:t>x</w:t>
            </w:r>
          </w:p>
        </w:tc>
        <w:tc>
          <w:tcPr>
            <w:tcW w:w="1099" w:type="dxa"/>
            <w:shd w:val="clear" w:color="auto" w:fill="auto"/>
            <w:vAlign w:val="center"/>
          </w:tcPr>
          <w:p w14:paraId="519FBFAF"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sz w:val="16"/>
                <w:szCs w:val="16"/>
              </w:rPr>
              <w:t>PS</w:t>
            </w:r>
          </w:p>
        </w:tc>
      </w:tr>
      <w:tr w:rsidR="00D16E72" w:rsidRPr="004901F2" w14:paraId="46C651DA" w14:textId="77777777" w:rsidTr="00284F82">
        <w:tc>
          <w:tcPr>
            <w:tcW w:w="851" w:type="dxa"/>
            <w:shd w:val="clear" w:color="auto" w:fill="auto"/>
            <w:vAlign w:val="center"/>
          </w:tcPr>
          <w:p w14:paraId="4BD89A75" w14:textId="77777777" w:rsidR="00D16E72" w:rsidRPr="004901F2" w:rsidRDefault="00D16E72" w:rsidP="00627174">
            <w:pPr>
              <w:spacing w:before="40" w:after="40" w:line="300" w:lineRule="atLeast"/>
              <w:rPr>
                <w:rFonts w:ascii="Arial" w:hAnsi="Arial" w:cs="Arial"/>
                <w:sz w:val="16"/>
                <w:szCs w:val="16"/>
              </w:rPr>
            </w:pPr>
            <w:r>
              <w:rPr>
                <w:rFonts w:ascii="Arial" w:hAnsi="Arial" w:cs="Arial"/>
                <w:sz w:val="16"/>
                <w:szCs w:val="16"/>
              </w:rPr>
              <w:t>5.</w:t>
            </w:r>
            <w:r w:rsidR="00627174">
              <w:rPr>
                <w:rFonts w:ascii="Arial" w:hAnsi="Arial" w:cs="Arial"/>
                <w:sz w:val="16"/>
                <w:szCs w:val="16"/>
              </w:rPr>
              <w:t>3</w:t>
            </w:r>
            <w:r w:rsidRPr="004901F2">
              <w:rPr>
                <w:rFonts w:ascii="Arial" w:hAnsi="Arial" w:cs="Arial"/>
                <w:sz w:val="16"/>
                <w:szCs w:val="16"/>
              </w:rPr>
              <w:t>.2</w:t>
            </w:r>
          </w:p>
        </w:tc>
        <w:tc>
          <w:tcPr>
            <w:tcW w:w="2693" w:type="dxa"/>
            <w:shd w:val="clear" w:color="auto" w:fill="auto"/>
            <w:vAlign w:val="center"/>
          </w:tcPr>
          <w:p w14:paraId="4FAA4F3F" w14:textId="77777777" w:rsidR="00D16E72" w:rsidRPr="004901F2" w:rsidRDefault="00627174" w:rsidP="00284F82">
            <w:pPr>
              <w:spacing w:before="40" w:after="40" w:line="300" w:lineRule="atLeast"/>
              <w:rPr>
                <w:rFonts w:ascii="Arial" w:hAnsi="Arial" w:cs="Arial"/>
                <w:sz w:val="16"/>
                <w:szCs w:val="16"/>
              </w:rPr>
            </w:pPr>
            <w:r>
              <w:rPr>
                <w:rFonts w:ascii="Arial" w:hAnsi="Arial" w:cs="Arial"/>
                <w:sz w:val="16"/>
                <w:szCs w:val="16"/>
              </w:rPr>
              <w:t>Pulp and paper  production</w:t>
            </w:r>
          </w:p>
        </w:tc>
        <w:tc>
          <w:tcPr>
            <w:tcW w:w="850" w:type="dxa"/>
            <w:shd w:val="clear" w:color="auto" w:fill="auto"/>
            <w:vAlign w:val="center"/>
          </w:tcPr>
          <w:p w14:paraId="53AF0E6F"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7DC99D66" w14:textId="77777777" w:rsidR="00D16E72" w:rsidRPr="004901F2" w:rsidRDefault="00627174" w:rsidP="00284F82">
            <w:pPr>
              <w:spacing w:before="40" w:after="40" w:line="300" w:lineRule="atLeast"/>
              <w:jc w:val="center"/>
              <w:rPr>
                <w:rFonts w:ascii="Arial" w:hAnsi="Arial" w:cs="Arial"/>
                <w:sz w:val="16"/>
                <w:szCs w:val="16"/>
              </w:rPr>
            </w:pPr>
            <w:r>
              <w:rPr>
                <w:rFonts w:ascii="Arial" w:hAnsi="Arial" w:cs="Arial"/>
                <w:sz w:val="16"/>
                <w:szCs w:val="16"/>
              </w:rPr>
              <w:t>x</w:t>
            </w:r>
          </w:p>
        </w:tc>
        <w:tc>
          <w:tcPr>
            <w:tcW w:w="851" w:type="dxa"/>
            <w:shd w:val="clear" w:color="auto" w:fill="auto"/>
            <w:vAlign w:val="center"/>
          </w:tcPr>
          <w:p w14:paraId="3AA85388" w14:textId="77777777" w:rsidR="00D16E72" w:rsidRPr="004901F2" w:rsidRDefault="00627174" w:rsidP="00284F82">
            <w:pPr>
              <w:spacing w:before="40" w:after="40" w:line="300" w:lineRule="atLeast"/>
              <w:jc w:val="center"/>
              <w:rPr>
                <w:rFonts w:ascii="Arial" w:hAnsi="Arial" w:cs="Arial"/>
                <w:sz w:val="16"/>
                <w:szCs w:val="16"/>
              </w:rPr>
            </w:pPr>
            <w:r>
              <w:rPr>
                <w:rFonts w:ascii="Arial" w:hAnsi="Arial" w:cs="Arial"/>
                <w:sz w:val="16"/>
                <w:szCs w:val="16"/>
              </w:rPr>
              <w:t>x</w:t>
            </w:r>
          </w:p>
        </w:tc>
        <w:tc>
          <w:tcPr>
            <w:tcW w:w="992" w:type="dxa"/>
            <w:shd w:val="clear" w:color="auto" w:fill="auto"/>
            <w:vAlign w:val="center"/>
          </w:tcPr>
          <w:p w14:paraId="66995D73" w14:textId="77777777" w:rsidR="00D16E72" w:rsidRPr="004901F2" w:rsidRDefault="00D16E72" w:rsidP="00284F82">
            <w:pPr>
              <w:spacing w:before="40" w:after="40" w:line="300" w:lineRule="atLeast"/>
              <w:jc w:val="center"/>
              <w:rPr>
                <w:rFonts w:ascii="Arial" w:hAnsi="Arial" w:cs="Arial"/>
                <w:sz w:val="16"/>
                <w:szCs w:val="16"/>
              </w:rPr>
            </w:pPr>
          </w:p>
        </w:tc>
        <w:tc>
          <w:tcPr>
            <w:tcW w:w="992" w:type="dxa"/>
            <w:shd w:val="clear" w:color="auto" w:fill="auto"/>
            <w:vAlign w:val="center"/>
          </w:tcPr>
          <w:p w14:paraId="24A2E4D6" w14:textId="77777777" w:rsidR="00D16E72" w:rsidRPr="004901F2" w:rsidRDefault="00627174" w:rsidP="00284F82">
            <w:pPr>
              <w:spacing w:before="40" w:after="40" w:line="300" w:lineRule="atLeast"/>
              <w:jc w:val="center"/>
              <w:rPr>
                <w:rFonts w:ascii="Arial" w:hAnsi="Arial" w:cs="Arial"/>
                <w:sz w:val="16"/>
                <w:szCs w:val="16"/>
              </w:rPr>
            </w:pPr>
            <w:r>
              <w:rPr>
                <w:rFonts w:ascii="Arial" w:hAnsi="Arial" w:cs="Arial"/>
                <w:sz w:val="16"/>
                <w:szCs w:val="16"/>
              </w:rPr>
              <w:t>x</w:t>
            </w:r>
          </w:p>
        </w:tc>
        <w:tc>
          <w:tcPr>
            <w:tcW w:w="1099" w:type="dxa"/>
            <w:shd w:val="clear" w:color="auto" w:fill="auto"/>
            <w:vAlign w:val="center"/>
          </w:tcPr>
          <w:p w14:paraId="1831BA57" w14:textId="77777777" w:rsidR="00D16E72" w:rsidRPr="004901F2" w:rsidRDefault="00627174" w:rsidP="00284F82">
            <w:pPr>
              <w:spacing w:before="40" w:after="40" w:line="300" w:lineRule="atLeast"/>
              <w:jc w:val="center"/>
              <w:rPr>
                <w:rFonts w:ascii="Arial" w:hAnsi="Arial" w:cs="Arial"/>
                <w:sz w:val="16"/>
                <w:szCs w:val="16"/>
              </w:rPr>
            </w:pPr>
            <w:r>
              <w:rPr>
                <w:rFonts w:ascii="Arial" w:hAnsi="Arial" w:cs="Arial"/>
                <w:sz w:val="16"/>
                <w:szCs w:val="16"/>
              </w:rPr>
              <w:t>PS</w:t>
            </w:r>
          </w:p>
        </w:tc>
      </w:tr>
      <w:tr w:rsidR="00D16E72" w:rsidRPr="004901F2" w14:paraId="0D52F786" w14:textId="77777777" w:rsidTr="00284F82">
        <w:tc>
          <w:tcPr>
            <w:tcW w:w="851" w:type="dxa"/>
            <w:shd w:val="clear" w:color="auto" w:fill="auto"/>
            <w:vAlign w:val="center"/>
          </w:tcPr>
          <w:p w14:paraId="413F0584" w14:textId="77777777" w:rsidR="00D16E72" w:rsidRPr="004901F2" w:rsidRDefault="00D16E72" w:rsidP="00627174">
            <w:pPr>
              <w:spacing w:before="40" w:after="40" w:line="300" w:lineRule="atLeast"/>
              <w:rPr>
                <w:rFonts w:ascii="Arial" w:hAnsi="Arial" w:cs="Arial"/>
                <w:sz w:val="16"/>
                <w:szCs w:val="16"/>
              </w:rPr>
            </w:pPr>
            <w:r>
              <w:rPr>
                <w:rFonts w:ascii="Arial" w:hAnsi="Arial" w:cs="Arial"/>
                <w:sz w:val="16"/>
                <w:szCs w:val="16"/>
              </w:rPr>
              <w:t>5.</w:t>
            </w:r>
            <w:r w:rsidR="00627174">
              <w:rPr>
                <w:rFonts w:ascii="Arial" w:hAnsi="Arial" w:cs="Arial"/>
                <w:sz w:val="16"/>
                <w:szCs w:val="16"/>
              </w:rPr>
              <w:t>3</w:t>
            </w:r>
            <w:r w:rsidRPr="004901F2">
              <w:rPr>
                <w:rFonts w:ascii="Arial" w:hAnsi="Arial" w:cs="Arial"/>
                <w:sz w:val="16"/>
                <w:szCs w:val="16"/>
              </w:rPr>
              <w:t>.3</w:t>
            </w:r>
          </w:p>
        </w:tc>
        <w:tc>
          <w:tcPr>
            <w:tcW w:w="2693" w:type="dxa"/>
            <w:shd w:val="clear" w:color="auto" w:fill="auto"/>
            <w:vAlign w:val="center"/>
          </w:tcPr>
          <w:p w14:paraId="29C37351" w14:textId="77777777" w:rsidR="00D16E72" w:rsidRPr="004901F2" w:rsidRDefault="00627174" w:rsidP="00284F82">
            <w:pPr>
              <w:spacing w:line="300" w:lineRule="atLeast"/>
              <w:rPr>
                <w:rFonts w:ascii="Arial" w:hAnsi="Arial" w:cs="Arial"/>
                <w:sz w:val="16"/>
                <w:szCs w:val="16"/>
              </w:rPr>
            </w:pPr>
            <w:r>
              <w:rPr>
                <w:rFonts w:ascii="Arial" w:hAnsi="Arial" w:cs="Arial"/>
                <w:sz w:val="16"/>
                <w:szCs w:val="16"/>
              </w:rPr>
              <w:t>Lime production and light-weight aggregate kilns</w:t>
            </w:r>
          </w:p>
        </w:tc>
        <w:tc>
          <w:tcPr>
            <w:tcW w:w="850" w:type="dxa"/>
            <w:shd w:val="clear" w:color="auto" w:fill="auto"/>
            <w:vAlign w:val="center"/>
          </w:tcPr>
          <w:p w14:paraId="4A2BC683"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0C6B7280" w14:textId="77777777" w:rsidR="00D16E72" w:rsidRPr="004901F2" w:rsidRDefault="00D16E72" w:rsidP="00284F82">
            <w:pPr>
              <w:spacing w:before="40" w:after="40" w:line="300" w:lineRule="atLeast"/>
              <w:jc w:val="center"/>
              <w:rPr>
                <w:rFonts w:ascii="Arial" w:hAnsi="Arial" w:cs="Arial"/>
                <w:b/>
                <w:sz w:val="16"/>
                <w:szCs w:val="16"/>
              </w:rPr>
            </w:pPr>
          </w:p>
        </w:tc>
        <w:tc>
          <w:tcPr>
            <w:tcW w:w="851" w:type="dxa"/>
            <w:shd w:val="clear" w:color="auto" w:fill="auto"/>
            <w:vAlign w:val="center"/>
          </w:tcPr>
          <w:p w14:paraId="111442FD" w14:textId="77777777" w:rsidR="00D16E72" w:rsidRPr="004901F2" w:rsidRDefault="00D16E72" w:rsidP="00284F82">
            <w:pPr>
              <w:spacing w:before="40" w:after="40" w:line="300" w:lineRule="atLeast"/>
              <w:jc w:val="center"/>
              <w:rPr>
                <w:rFonts w:ascii="Arial" w:hAnsi="Arial" w:cs="Arial"/>
                <w:sz w:val="16"/>
                <w:szCs w:val="16"/>
              </w:rPr>
            </w:pPr>
          </w:p>
        </w:tc>
        <w:tc>
          <w:tcPr>
            <w:tcW w:w="992" w:type="dxa"/>
            <w:shd w:val="clear" w:color="auto" w:fill="auto"/>
            <w:vAlign w:val="center"/>
          </w:tcPr>
          <w:p w14:paraId="515A9703" w14:textId="77777777" w:rsidR="00D16E72" w:rsidRPr="004901F2" w:rsidRDefault="00627174" w:rsidP="00284F82">
            <w:pPr>
              <w:spacing w:before="40" w:after="40" w:line="300" w:lineRule="atLeast"/>
              <w:jc w:val="center"/>
              <w:rPr>
                <w:rFonts w:ascii="Arial" w:hAnsi="Arial" w:cs="Arial"/>
                <w:sz w:val="16"/>
                <w:szCs w:val="16"/>
              </w:rPr>
            </w:pPr>
            <w:r>
              <w:rPr>
                <w:rFonts w:ascii="Arial" w:hAnsi="Arial" w:cs="Arial"/>
                <w:sz w:val="16"/>
                <w:szCs w:val="16"/>
              </w:rPr>
              <w:t>x</w:t>
            </w:r>
          </w:p>
        </w:tc>
        <w:tc>
          <w:tcPr>
            <w:tcW w:w="992" w:type="dxa"/>
            <w:shd w:val="clear" w:color="auto" w:fill="auto"/>
            <w:vAlign w:val="center"/>
          </w:tcPr>
          <w:p w14:paraId="1B602349" w14:textId="77777777" w:rsidR="00D16E72" w:rsidRPr="004901F2" w:rsidRDefault="00D16E72" w:rsidP="00284F82">
            <w:pPr>
              <w:spacing w:before="40" w:after="40" w:line="300" w:lineRule="atLeast"/>
              <w:jc w:val="center"/>
              <w:rPr>
                <w:rFonts w:ascii="Arial" w:hAnsi="Arial" w:cs="Arial"/>
                <w:sz w:val="16"/>
                <w:szCs w:val="16"/>
              </w:rPr>
            </w:pPr>
          </w:p>
        </w:tc>
        <w:tc>
          <w:tcPr>
            <w:tcW w:w="1099" w:type="dxa"/>
            <w:shd w:val="clear" w:color="auto" w:fill="auto"/>
            <w:vAlign w:val="center"/>
          </w:tcPr>
          <w:p w14:paraId="52366F26"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sz w:val="16"/>
                <w:szCs w:val="16"/>
              </w:rPr>
              <w:t>PS</w:t>
            </w:r>
          </w:p>
        </w:tc>
      </w:tr>
      <w:tr w:rsidR="00D16E72" w:rsidRPr="004901F2" w14:paraId="2EAB3114" w14:textId="77777777" w:rsidTr="00284F82">
        <w:tc>
          <w:tcPr>
            <w:tcW w:w="851" w:type="dxa"/>
            <w:shd w:val="clear" w:color="auto" w:fill="auto"/>
            <w:vAlign w:val="center"/>
          </w:tcPr>
          <w:p w14:paraId="42EE86AD" w14:textId="77777777" w:rsidR="00D16E72" w:rsidRPr="004901F2" w:rsidRDefault="00D16E72" w:rsidP="00627174">
            <w:pPr>
              <w:spacing w:before="40" w:after="40" w:line="300" w:lineRule="atLeast"/>
              <w:rPr>
                <w:rFonts w:ascii="Arial" w:hAnsi="Arial" w:cs="Arial"/>
                <w:sz w:val="16"/>
                <w:szCs w:val="16"/>
              </w:rPr>
            </w:pPr>
            <w:r>
              <w:rPr>
                <w:rFonts w:ascii="Arial" w:hAnsi="Arial" w:cs="Arial"/>
                <w:sz w:val="16"/>
                <w:szCs w:val="16"/>
              </w:rPr>
              <w:t>5.</w:t>
            </w:r>
            <w:r w:rsidR="00627174">
              <w:rPr>
                <w:rFonts w:ascii="Arial" w:hAnsi="Arial" w:cs="Arial"/>
                <w:sz w:val="16"/>
                <w:szCs w:val="16"/>
              </w:rPr>
              <w:t>3</w:t>
            </w:r>
            <w:r w:rsidRPr="004901F2">
              <w:rPr>
                <w:rFonts w:ascii="Arial" w:hAnsi="Arial" w:cs="Arial"/>
                <w:sz w:val="16"/>
                <w:szCs w:val="16"/>
              </w:rPr>
              <w:t>.4</w:t>
            </w:r>
          </w:p>
        </w:tc>
        <w:tc>
          <w:tcPr>
            <w:tcW w:w="2693" w:type="dxa"/>
            <w:shd w:val="clear" w:color="auto" w:fill="auto"/>
            <w:vAlign w:val="center"/>
          </w:tcPr>
          <w:p w14:paraId="53B18120" w14:textId="77777777" w:rsidR="00D16E72" w:rsidRPr="004901F2" w:rsidRDefault="00627174" w:rsidP="00284F82">
            <w:pPr>
              <w:spacing w:line="300" w:lineRule="atLeast"/>
              <w:rPr>
                <w:rFonts w:ascii="Arial" w:hAnsi="Arial" w:cs="Arial"/>
                <w:sz w:val="16"/>
                <w:szCs w:val="16"/>
              </w:rPr>
            </w:pPr>
            <w:r>
              <w:rPr>
                <w:rFonts w:ascii="Arial" w:hAnsi="Arial" w:cs="Arial"/>
                <w:sz w:val="16"/>
                <w:szCs w:val="16"/>
              </w:rPr>
              <w:t>Other minerals and materials</w:t>
            </w:r>
          </w:p>
        </w:tc>
        <w:tc>
          <w:tcPr>
            <w:tcW w:w="850" w:type="dxa"/>
            <w:shd w:val="clear" w:color="auto" w:fill="auto"/>
            <w:vAlign w:val="center"/>
          </w:tcPr>
          <w:p w14:paraId="5BB38024" w14:textId="77777777" w:rsidR="00D16E72" w:rsidRPr="004901F2" w:rsidRDefault="00D16E72" w:rsidP="00284F82">
            <w:pPr>
              <w:spacing w:before="40" w:after="40" w:line="300" w:lineRule="atLeast"/>
              <w:jc w:val="center"/>
              <w:rPr>
                <w:rFonts w:ascii="Arial" w:hAnsi="Arial" w:cs="Arial"/>
                <w:b/>
                <w:sz w:val="16"/>
                <w:szCs w:val="16"/>
              </w:rPr>
            </w:pPr>
          </w:p>
        </w:tc>
        <w:tc>
          <w:tcPr>
            <w:tcW w:w="851" w:type="dxa"/>
            <w:shd w:val="clear" w:color="auto" w:fill="auto"/>
            <w:vAlign w:val="center"/>
          </w:tcPr>
          <w:p w14:paraId="1047C4EA" w14:textId="77777777" w:rsidR="00D16E72" w:rsidRPr="004901F2" w:rsidRDefault="00D16E72" w:rsidP="00284F82">
            <w:pPr>
              <w:spacing w:before="40" w:after="40" w:line="300" w:lineRule="atLeast"/>
              <w:jc w:val="center"/>
              <w:rPr>
                <w:rFonts w:ascii="Arial" w:hAnsi="Arial" w:cs="Arial"/>
                <w:b/>
                <w:sz w:val="16"/>
                <w:szCs w:val="16"/>
              </w:rPr>
            </w:pPr>
          </w:p>
        </w:tc>
        <w:tc>
          <w:tcPr>
            <w:tcW w:w="851" w:type="dxa"/>
            <w:shd w:val="clear" w:color="auto" w:fill="auto"/>
            <w:vAlign w:val="center"/>
          </w:tcPr>
          <w:p w14:paraId="2C5A04B3" w14:textId="77777777" w:rsidR="00D16E72" w:rsidRPr="004901F2" w:rsidRDefault="00D16E72" w:rsidP="00284F82">
            <w:pPr>
              <w:spacing w:before="40" w:after="40" w:line="300" w:lineRule="atLeast"/>
              <w:jc w:val="center"/>
              <w:rPr>
                <w:rFonts w:ascii="Arial" w:hAnsi="Arial" w:cs="Arial"/>
                <w:b/>
                <w:sz w:val="16"/>
                <w:szCs w:val="16"/>
              </w:rPr>
            </w:pPr>
          </w:p>
        </w:tc>
        <w:tc>
          <w:tcPr>
            <w:tcW w:w="992" w:type="dxa"/>
            <w:shd w:val="clear" w:color="auto" w:fill="auto"/>
            <w:vAlign w:val="center"/>
          </w:tcPr>
          <w:p w14:paraId="147309A4" w14:textId="77777777" w:rsidR="00D16E72" w:rsidRPr="004901F2" w:rsidRDefault="00D16E72" w:rsidP="00284F82">
            <w:pPr>
              <w:spacing w:before="40" w:after="40" w:line="300" w:lineRule="atLeast"/>
              <w:jc w:val="center"/>
              <w:rPr>
                <w:rFonts w:ascii="Arial" w:hAnsi="Arial" w:cs="Arial"/>
                <w:sz w:val="16"/>
                <w:szCs w:val="16"/>
              </w:rPr>
            </w:pPr>
          </w:p>
        </w:tc>
        <w:tc>
          <w:tcPr>
            <w:tcW w:w="992" w:type="dxa"/>
            <w:shd w:val="clear" w:color="auto" w:fill="auto"/>
            <w:vAlign w:val="center"/>
          </w:tcPr>
          <w:p w14:paraId="1C459E6A" w14:textId="77777777" w:rsidR="00D16E72" w:rsidRPr="004901F2" w:rsidRDefault="00D16E72" w:rsidP="00284F82">
            <w:pPr>
              <w:spacing w:before="40" w:after="40" w:line="300" w:lineRule="atLeast"/>
              <w:jc w:val="center"/>
              <w:rPr>
                <w:rFonts w:ascii="Arial" w:hAnsi="Arial" w:cs="Arial"/>
                <w:b/>
                <w:sz w:val="16"/>
                <w:szCs w:val="16"/>
              </w:rPr>
            </w:pPr>
          </w:p>
        </w:tc>
        <w:tc>
          <w:tcPr>
            <w:tcW w:w="1099" w:type="dxa"/>
            <w:shd w:val="clear" w:color="auto" w:fill="auto"/>
            <w:vAlign w:val="center"/>
          </w:tcPr>
          <w:p w14:paraId="35DB0713"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sz w:val="16"/>
                <w:szCs w:val="16"/>
              </w:rPr>
              <w:t>PS</w:t>
            </w:r>
          </w:p>
        </w:tc>
      </w:tr>
    </w:tbl>
    <w:p w14:paraId="7886A98C" w14:textId="77777777" w:rsidR="00D16E72" w:rsidRPr="00582EF2" w:rsidRDefault="00D16E72" w:rsidP="00D16E72">
      <w:pPr>
        <w:spacing w:before="60" w:after="60" w:line="260" w:lineRule="exact"/>
        <w:jc w:val="both"/>
        <w:rPr>
          <w:rFonts w:ascii="Arial" w:hAnsi="Arial" w:cs="Arial"/>
          <w:sz w:val="16"/>
          <w:szCs w:val="18"/>
        </w:rPr>
      </w:pPr>
      <w:r w:rsidRPr="00582EF2">
        <w:rPr>
          <w:rFonts w:ascii="Arial" w:hAnsi="Arial" w:cs="Arial"/>
          <w:sz w:val="16"/>
          <w:szCs w:val="18"/>
        </w:rPr>
        <w:t xml:space="preserve">Notes: </w:t>
      </w:r>
      <w:r w:rsidRPr="00582EF2">
        <w:rPr>
          <w:rFonts w:ascii="Arial" w:hAnsi="Arial" w:cs="Arial"/>
          <w:sz w:val="16"/>
          <w:szCs w:val="18"/>
        </w:rPr>
        <w:tab/>
        <w:t>PS = Point source by point source approach;</w:t>
      </w:r>
    </w:p>
    <w:p w14:paraId="61236588" w14:textId="77777777" w:rsidR="00D16E72" w:rsidRPr="00582EF2" w:rsidRDefault="00D16E72" w:rsidP="00D16E72">
      <w:pPr>
        <w:spacing w:after="60" w:line="260" w:lineRule="exact"/>
        <w:ind w:firstLine="720"/>
        <w:jc w:val="both"/>
        <w:rPr>
          <w:rFonts w:ascii="Arial" w:hAnsi="Arial" w:cs="Arial"/>
          <w:sz w:val="16"/>
          <w:szCs w:val="18"/>
        </w:rPr>
      </w:pPr>
      <w:r w:rsidRPr="00582EF2">
        <w:rPr>
          <w:rFonts w:ascii="Arial" w:hAnsi="Arial" w:cs="Arial"/>
          <w:b/>
          <w:sz w:val="16"/>
          <w:szCs w:val="18"/>
        </w:rPr>
        <w:t>X</w:t>
      </w:r>
      <w:r w:rsidRPr="00582EF2">
        <w:rPr>
          <w:rFonts w:ascii="Arial" w:hAnsi="Arial" w:cs="Arial"/>
          <w:sz w:val="16"/>
          <w:szCs w:val="18"/>
        </w:rPr>
        <w:t xml:space="preserve"> - Release pathway expected to be predominant for the sub-category;</w:t>
      </w:r>
    </w:p>
    <w:p w14:paraId="25FAEE0C" w14:textId="77777777" w:rsidR="00D16E72" w:rsidRPr="00582EF2" w:rsidRDefault="00D16E72" w:rsidP="00D16E72">
      <w:pPr>
        <w:spacing w:after="60" w:line="260" w:lineRule="exact"/>
        <w:ind w:firstLine="720"/>
        <w:jc w:val="both"/>
        <w:rPr>
          <w:rFonts w:ascii="Arial" w:hAnsi="Arial" w:cs="Arial"/>
          <w:sz w:val="16"/>
          <w:szCs w:val="18"/>
        </w:rPr>
      </w:pPr>
      <w:r w:rsidRPr="00582EF2">
        <w:rPr>
          <w:rFonts w:ascii="Arial" w:hAnsi="Arial" w:cs="Arial"/>
          <w:sz w:val="16"/>
          <w:szCs w:val="18"/>
        </w:rPr>
        <w:t>x - Additional release pathways to be considered, depending on specific source and national situation.</w:t>
      </w:r>
    </w:p>
    <w:p w14:paraId="268AFB75" w14:textId="77777777" w:rsidR="005A424C" w:rsidRDefault="007427D1" w:rsidP="007427D1">
      <w:pPr>
        <w:pStyle w:val="Heading2"/>
      </w:pPr>
      <w:bookmarkStart w:id="68" w:name="_Toc484949582"/>
      <w:r>
        <w:t>Cement production</w:t>
      </w:r>
      <w:bookmarkEnd w:id="68"/>
    </w:p>
    <w:p w14:paraId="3CDD7AB7" w14:textId="77777777" w:rsidR="00A25C30" w:rsidRDefault="00A25C30" w:rsidP="003833D6">
      <w:pPr>
        <w:spacing w:line="300" w:lineRule="atLeast"/>
        <w:jc w:val="both"/>
        <w:rPr>
          <w:szCs w:val="18"/>
        </w:rPr>
      </w:pPr>
      <w:r>
        <w:rPr>
          <w:szCs w:val="18"/>
        </w:rPr>
        <w:t>There we</w:t>
      </w:r>
      <w:r w:rsidR="00DC7F5F">
        <w:rPr>
          <w:szCs w:val="18"/>
        </w:rPr>
        <w:t>re two cement plants in New Zealand</w:t>
      </w:r>
      <w:r>
        <w:rPr>
          <w:szCs w:val="18"/>
        </w:rPr>
        <w:t xml:space="preserve"> in 2012</w:t>
      </w:r>
      <w:r w:rsidR="00DC7F5F">
        <w:rPr>
          <w:szCs w:val="18"/>
        </w:rPr>
        <w:t xml:space="preserve">; Golden Bay Cement in Northland, and the Holcim plant </w:t>
      </w:r>
      <w:r>
        <w:rPr>
          <w:szCs w:val="18"/>
        </w:rPr>
        <w:t xml:space="preserve">at Cape </w:t>
      </w:r>
      <w:proofErr w:type="spellStart"/>
      <w:r>
        <w:rPr>
          <w:szCs w:val="18"/>
        </w:rPr>
        <w:t>Foulwind</w:t>
      </w:r>
      <w:proofErr w:type="spellEnd"/>
      <w:r>
        <w:rPr>
          <w:szCs w:val="18"/>
        </w:rPr>
        <w:t xml:space="preserve">, Westport, </w:t>
      </w:r>
      <w:r w:rsidR="00DC7F5F">
        <w:rPr>
          <w:szCs w:val="18"/>
        </w:rPr>
        <w:t xml:space="preserve">in the West Coast region. </w:t>
      </w:r>
      <w:r>
        <w:rPr>
          <w:szCs w:val="18"/>
        </w:rPr>
        <w:t>However, the Westport plant was closed in June 2016 and will not be included in the 2016 inventory</w:t>
      </w:r>
      <w:r>
        <w:rPr>
          <w:rStyle w:val="FootnoteReference"/>
          <w:szCs w:val="18"/>
        </w:rPr>
        <w:footnoteReference w:id="11"/>
      </w:r>
      <w:r>
        <w:rPr>
          <w:szCs w:val="18"/>
        </w:rPr>
        <w:t xml:space="preserve"> </w:t>
      </w:r>
      <w:r w:rsidR="00560430">
        <w:rPr>
          <w:szCs w:val="18"/>
        </w:rPr>
        <w:t>(Holcim, 2017).</w:t>
      </w:r>
    </w:p>
    <w:p w14:paraId="17B995B3" w14:textId="77777777" w:rsidR="005A424C" w:rsidRDefault="00127652" w:rsidP="003833D6">
      <w:pPr>
        <w:spacing w:line="300" w:lineRule="atLeast"/>
        <w:jc w:val="both"/>
        <w:rPr>
          <w:szCs w:val="18"/>
        </w:rPr>
      </w:pPr>
      <w:r>
        <w:rPr>
          <w:szCs w:val="18"/>
        </w:rPr>
        <w:t>C</w:t>
      </w:r>
      <w:r w:rsidR="00DC7F5F">
        <w:rPr>
          <w:szCs w:val="18"/>
        </w:rPr>
        <w:t xml:space="preserve">oal </w:t>
      </w:r>
      <w:r>
        <w:rPr>
          <w:szCs w:val="18"/>
        </w:rPr>
        <w:t xml:space="preserve">is used </w:t>
      </w:r>
      <w:r w:rsidR="00DC7F5F">
        <w:rPr>
          <w:szCs w:val="18"/>
        </w:rPr>
        <w:t xml:space="preserve">as the primary fuel in </w:t>
      </w:r>
      <w:r>
        <w:rPr>
          <w:szCs w:val="18"/>
        </w:rPr>
        <w:t xml:space="preserve">the </w:t>
      </w:r>
      <w:r w:rsidR="00DC7F5F">
        <w:rPr>
          <w:szCs w:val="18"/>
        </w:rPr>
        <w:t xml:space="preserve">Northland </w:t>
      </w:r>
      <w:r>
        <w:rPr>
          <w:szCs w:val="18"/>
        </w:rPr>
        <w:t xml:space="preserve">plant but </w:t>
      </w:r>
      <w:r w:rsidR="00DC7F5F">
        <w:rPr>
          <w:szCs w:val="18"/>
        </w:rPr>
        <w:t>supplemented with wood waste</w:t>
      </w:r>
      <w:r>
        <w:rPr>
          <w:szCs w:val="18"/>
        </w:rPr>
        <w:t>, and t</w:t>
      </w:r>
      <w:r w:rsidR="00DC7F5F">
        <w:rPr>
          <w:szCs w:val="18"/>
        </w:rPr>
        <w:t xml:space="preserve">he </w:t>
      </w:r>
      <w:r>
        <w:rPr>
          <w:szCs w:val="18"/>
        </w:rPr>
        <w:t>total cement production at the plant in 2016 was</w:t>
      </w:r>
      <w:r w:rsidR="00DC7F5F">
        <w:rPr>
          <w:szCs w:val="18"/>
        </w:rPr>
        <w:t xml:space="preserve"> </w:t>
      </w:r>
      <w:r>
        <w:rPr>
          <w:szCs w:val="18"/>
        </w:rPr>
        <w:t>887</w:t>
      </w:r>
      <w:r w:rsidR="00DC7F5F">
        <w:rPr>
          <w:szCs w:val="18"/>
        </w:rPr>
        <w:t>,0</w:t>
      </w:r>
      <w:r>
        <w:rPr>
          <w:szCs w:val="18"/>
        </w:rPr>
        <w:t>25</w:t>
      </w:r>
      <w:r w:rsidR="00DC7F5F">
        <w:rPr>
          <w:szCs w:val="18"/>
        </w:rPr>
        <w:t xml:space="preserve"> tonnes</w:t>
      </w:r>
      <w:r w:rsidR="00DA6BFD" w:rsidRPr="00DA6BFD">
        <w:rPr>
          <w:szCs w:val="18"/>
        </w:rPr>
        <w:t xml:space="preserve"> (O </w:t>
      </w:r>
      <w:proofErr w:type="spellStart"/>
      <w:r w:rsidR="00DA6BFD" w:rsidRPr="00DA6BFD">
        <w:rPr>
          <w:szCs w:val="18"/>
        </w:rPr>
        <w:t>Khanal</w:t>
      </w:r>
      <w:proofErr w:type="spellEnd"/>
      <w:r w:rsidR="00DA6BFD" w:rsidRPr="00DA6BFD">
        <w:rPr>
          <w:szCs w:val="18"/>
        </w:rPr>
        <w:t>, Northland R</w:t>
      </w:r>
      <w:r>
        <w:rPr>
          <w:szCs w:val="18"/>
        </w:rPr>
        <w:t xml:space="preserve">egional Council, </w:t>
      </w:r>
      <w:proofErr w:type="spellStart"/>
      <w:r>
        <w:rPr>
          <w:szCs w:val="18"/>
        </w:rPr>
        <w:t>pers</w:t>
      </w:r>
      <w:proofErr w:type="spellEnd"/>
      <w:r>
        <w:rPr>
          <w:szCs w:val="18"/>
        </w:rPr>
        <w:t xml:space="preserve"> </w:t>
      </w:r>
      <w:proofErr w:type="spellStart"/>
      <w:r>
        <w:rPr>
          <w:szCs w:val="18"/>
        </w:rPr>
        <w:t>comm</w:t>
      </w:r>
      <w:proofErr w:type="spellEnd"/>
      <w:r>
        <w:rPr>
          <w:szCs w:val="18"/>
        </w:rPr>
        <w:t>, 2017</w:t>
      </w:r>
      <w:r w:rsidR="00E7064A">
        <w:rPr>
          <w:szCs w:val="18"/>
        </w:rPr>
        <w:t>)</w:t>
      </w:r>
      <w:r w:rsidR="00DC7F5F">
        <w:rPr>
          <w:szCs w:val="18"/>
        </w:rPr>
        <w:t>.</w:t>
      </w:r>
    </w:p>
    <w:p w14:paraId="45B0B7FD" w14:textId="77777777" w:rsidR="005A424C" w:rsidRDefault="00E84873" w:rsidP="003833D6">
      <w:pPr>
        <w:spacing w:line="300" w:lineRule="atLeast"/>
        <w:jc w:val="both"/>
        <w:rPr>
          <w:szCs w:val="18"/>
        </w:rPr>
      </w:pPr>
      <w:r>
        <w:rPr>
          <w:szCs w:val="18"/>
        </w:rPr>
        <w:t xml:space="preserve">The primary raw ingredient for cement manufacture is limestone, which contains traces of mercury (see section 5.3). There is also mercury in the coal used as fuel and in the supplementary fuels. </w:t>
      </w:r>
      <w:r w:rsidR="00127652">
        <w:rPr>
          <w:szCs w:val="18"/>
        </w:rPr>
        <w:t>The emissions from the kiln are tested annually, and the average mercury emission rate for testing carried out in 2014 and 2015 was 0.33</w:t>
      </w:r>
      <w:r>
        <w:rPr>
          <w:szCs w:val="18"/>
        </w:rPr>
        <w:t xml:space="preserve"> </w:t>
      </w:r>
      <w:r w:rsidR="00127652">
        <w:rPr>
          <w:szCs w:val="18"/>
        </w:rPr>
        <w:t>kg/year. This figure</w:t>
      </w:r>
      <w:r w:rsidR="000E0B19">
        <w:rPr>
          <w:szCs w:val="18"/>
        </w:rPr>
        <w:t xml:space="preserve"> </w:t>
      </w:r>
      <w:r w:rsidR="00DA6BFD">
        <w:rPr>
          <w:szCs w:val="18"/>
        </w:rPr>
        <w:t>has been</w:t>
      </w:r>
      <w:r w:rsidR="000E0B19">
        <w:rPr>
          <w:szCs w:val="18"/>
        </w:rPr>
        <w:t xml:space="preserve"> </w:t>
      </w:r>
      <w:r w:rsidR="00FA5A6A">
        <w:rPr>
          <w:szCs w:val="18"/>
        </w:rPr>
        <w:t>used to estimate</w:t>
      </w:r>
      <w:r w:rsidR="000E0B19">
        <w:rPr>
          <w:szCs w:val="18"/>
        </w:rPr>
        <w:t xml:space="preserve"> the annual mercury inputs </w:t>
      </w:r>
      <w:r w:rsidR="00FA5A6A">
        <w:rPr>
          <w:szCs w:val="18"/>
        </w:rPr>
        <w:t>for cement production, including those due to fuel use.</w:t>
      </w:r>
    </w:p>
    <w:p w14:paraId="278F3516" w14:textId="7C1460AC" w:rsidR="00DB6FCC" w:rsidRDefault="00DB6FCC" w:rsidP="003833D6">
      <w:pPr>
        <w:spacing w:line="300" w:lineRule="atLeast"/>
        <w:jc w:val="both"/>
        <w:rPr>
          <w:szCs w:val="18"/>
        </w:rPr>
      </w:pPr>
      <w:r>
        <w:rPr>
          <w:szCs w:val="18"/>
        </w:rPr>
        <w:t xml:space="preserve">The input factors given </w:t>
      </w:r>
      <w:r w:rsidR="00624FCE">
        <w:rPr>
          <w:szCs w:val="18"/>
        </w:rPr>
        <w:t xml:space="preserve">in </w:t>
      </w:r>
      <w:r>
        <w:rPr>
          <w:szCs w:val="18"/>
        </w:rPr>
        <w:t xml:space="preserve">the Toolkit </w:t>
      </w:r>
      <w:r w:rsidR="009E40D6">
        <w:rPr>
          <w:szCs w:val="18"/>
        </w:rPr>
        <w:t>cover a range of</w:t>
      </w:r>
      <w:r w:rsidR="00624FCE">
        <w:rPr>
          <w:szCs w:val="18"/>
        </w:rPr>
        <w:t xml:space="preserve"> 0.004 </w:t>
      </w:r>
      <w:r w:rsidR="009E40D6">
        <w:rPr>
          <w:szCs w:val="18"/>
        </w:rPr>
        <w:t>to</w:t>
      </w:r>
      <w:r w:rsidR="00624FCE">
        <w:rPr>
          <w:szCs w:val="18"/>
        </w:rPr>
        <w:t xml:space="preserve"> 0.</w:t>
      </w:r>
      <w:r w:rsidR="009E40D6">
        <w:rPr>
          <w:szCs w:val="18"/>
        </w:rPr>
        <w:t>5 g/tonne of cement</w:t>
      </w:r>
      <w:r w:rsidR="00624FCE">
        <w:rPr>
          <w:szCs w:val="18"/>
        </w:rPr>
        <w:t>. Applying th</w:t>
      </w:r>
      <w:r w:rsidR="009E40D6">
        <w:rPr>
          <w:szCs w:val="18"/>
        </w:rPr>
        <w:t>e</w:t>
      </w:r>
      <w:r w:rsidR="00624FCE">
        <w:rPr>
          <w:szCs w:val="18"/>
        </w:rPr>
        <w:t>s</w:t>
      </w:r>
      <w:r w:rsidR="009E40D6">
        <w:rPr>
          <w:szCs w:val="18"/>
        </w:rPr>
        <w:t>e factors</w:t>
      </w:r>
      <w:r w:rsidR="00624FCE">
        <w:rPr>
          <w:szCs w:val="18"/>
        </w:rPr>
        <w:t xml:space="preserve"> to a total annual production </w:t>
      </w:r>
      <w:r w:rsidR="009E40D6">
        <w:rPr>
          <w:szCs w:val="18"/>
        </w:rPr>
        <w:t xml:space="preserve">rate </w:t>
      </w:r>
      <w:r w:rsidR="00624FCE">
        <w:rPr>
          <w:szCs w:val="18"/>
        </w:rPr>
        <w:t xml:space="preserve">of </w:t>
      </w:r>
      <w:r w:rsidR="00127652">
        <w:rPr>
          <w:szCs w:val="18"/>
        </w:rPr>
        <w:t>887,025</w:t>
      </w:r>
      <w:r w:rsidR="009E40D6">
        <w:rPr>
          <w:szCs w:val="18"/>
        </w:rPr>
        <w:t xml:space="preserve"> tonnes gives mercury inputs of from </w:t>
      </w:r>
      <w:r w:rsidR="00127652">
        <w:rPr>
          <w:szCs w:val="18"/>
        </w:rPr>
        <w:t>3.6</w:t>
      </w:r>
      <w:r w:rsidR="009E40D6">
        <w:rPr>
          <w:szCs w:val="18"/>
        </w:rPr>
        <w:t xml:space="preserve"> to </w:t>
      </w:r>
      <w:r w:rsidR="00127652">
        <w:rPr>
          <w:szCs w:val="18"/>
        </w:rPr>
        <w:t>444</w:t>
      </w:r>
      <w:r w:rsidR="009E40D6">
        <w:rPr>
          <w:szCs w:val="18"/>
        </w:rPr>
        <w:t xml:space="preserve"> kg/year. The bottom of this range is </w:t>
      </w:r>
      <w:r w:rsidR="00892EB8">
        <w:rPr>
          <w:szCs w:val="18"/>
        </w:rPr>
        <w:t>an order of magnitude higher than the Northland data</w:t>
      </w:r>
      <w:r w:rsidR="009E40D6">
        <w:rPr>
          <w:szCs w:val="18"/>
        </w:rPr>
        <w:t xml:space="preserve">, while the upper value is based on a highly conservative assessment of international information. The Toolkit default factors </w:t>
      </w:r>
      <w:r w:rsidR="00DA6BFD">
        <w:rPr>
          <w:szCs w:val="18"/>
        </w:rPr>
        <w:t>have not been</w:t>
      </w:r>
      <w:r w:rsidR="009E40D6">
        <w:rPr>
          <w:szCs w:val="18"/>
        </w:rPr>
        <w:t xml:space="preserve"> used for this source category because the available emissions data provides a more relevant estimate.</w:t>
      </w:r>
    </w:p>
    <w:p w14:paraId="3BF44E1B" w14:textId="4B9F6934" w:rsidR="00E84873" w:rsidRDefault="000E0B19" w:rsidP="003833D6">
      <w:pPr>
        <w:spacing w:line="300" w:lineRule="atLeast"/>
        <w:jc w:val="both"/>
        <w:rPr>
          <w:szCs w:val="18"/>
        </w:rPr>
      </w:pPr>
      <w:r>
        <w:rPr>
          <w:szCs w:val="18"/>
        </w:rPr>
        <w:t xml:space="preserve">The Toolkit indicates that there is some partitioning of the mercury between </w:t>
      </w:r>
      <w:r w:rsidR="000F6514">
        <w:rPr>
          <w:szCs w:val="18"/>
        </w:rPr>
        <w:t xml:space="preserve">the </w:t>
      </w:r>
      <w:r>
        <w:rPr>
          <w:szCs w:val="18"/>
        </w:rPr>
        <w:t>air emission</w:t>
      </w:r>
      <w:r w:rsidR="000F6514">
        <w:rPr>
          <w:szCs w:val="18"/>
        </w:rPr>
        <w:t>s</w:t>
      </w:r>
      <w:r>
        <w:rPr>
          <w:szCs w:val="18"/>
        </w:rPr>
        <w:t xml:space="preserve"> and the clinker product. In the Toolkit terminology, the </w:t>
      </w:r>
      <w:r w:rsidR="00127652">
        <w:rPr>
          <w:szCs w:val="18"/>
        </w:rPr>
        <w:t>New Zealand plant</w:t>
      </w:r>
      <w:r>
        <w:rPr>
          <w:szCs w:val="18"/>
        </w:rPr>
        <w:t xml:space="preserve"> would be described as having simple particulate </w:t>
      </w:r>
      <w:r>
        <w:rPr>
          <w:szCs w:val="18"/>
        </w:rPr>
        <w:lastRenderedPageBreak/>
        <w:t>controls</w:t>
      </w:r>
      <w:r w:rsidR="00D4612C">
        <w:rPr>
          <w:rStyle w:val="FootnoteReference"/>
          <w:szCs w:val="18"/>
        </w:rPr>
        <w:footnoteReference w:id="12"/>
      </w:r>
      <w:r>
        <w:rPr>
          <w:szCs w:val="18"/>
        </w:rPr>
        <w:t>, with output distribution factors</w:t>
      </w:r>
      <w:r w:rsidR="00D4612C">
        <w:rPr>
          <w:szCs w:val="18"/>
        </w:rPr>
        <w:t xml:space="preserve"> of 0.7 (70%) to air and 0.3 (30%) to product.</w:t>
      </w:r>
      <w:r w:rsidR="000F6514">
        <w:rPr>
          <w:szCs w:val="18"/>
        </w:rPr>
        <w:t xml:space="preserve"> Applying these to the air emission rate of </w:t>
      </w:r>
      <w:r w:rsidR="00127652">
        <w:rPr>
          <w:szCs w:val="18"/>
        </w:rPr>
        <w:t>0.33</w:t>
      </w:r>
      <w:r w:rsidR="000F6514">
        <w:rPr>
          <w:szCs w:val="18"/>
        </w:rPr>
        <w:t xml:space="preserve"> kg/year, gives an estimated release in</w:t>
      </w:r>
      <w:r w:rsidR="00FA5A6A">
        <w:rPr>
          <w:szCs w:val="18"/>
        </w:rPr>
        <w:t xml:space="preserve"> product of </w:t>
      </w:r>
      <w:r w:rsidR="00127652">
        <w:rPr>
          <w:szCs w:val="18"/>
        </w:rPr>
        <w:t>0.1</w:t>
      </w:r>
      <w:r w:rsidR="00892EB8">
        <w:rPr>
          <w:szCs w:val="18"/>
        </w:rPr>
        <w:t>4</w:t>
      </w:r>
      <w:r w:rsidR="00FA5A6A">
        <w:rPr>
          <w:szCs w:val="18"/>
        </w:rPr>
        <w:t xml:space="preserve"> kg/year, and a total production input of </w:t>
      </w:r>
      <w:r w:rsidR="00BE0250">
        <w:rPr>
          <w:szCs w:val="18"/>
        </w:rPr>
        <w:t>0.4</w:t>
      </w:r>
      <w:r w:rsidR="00892EB8">
        <w:rPr>
          <w:szCs w:val="18"/>
        </w:rPr>
        <w:t>7</w:t>
      </w:r>
      <w:r w:rsidR="00FA5A6A">
        <w:rPr>
          <w:szCs w:val="18"/>
        </w:rPr>
        <w:t xml:space="preserve"> kg/year.</w:t>
      </w:r>
    </w:p>
    <w:p w14:paraId="266535BB" w14:textId="44B5DA1B" w:rsidR="00944DCC" w:rsidRPr="00232361" w:rsidRDefault="00944DCC" w:rsidP="00944DCC">
      <w:pPr>
        <w:spacing w:line="300" w:lineRule="atLeast"/>
        <w:jc w:val="both"/>
        <w:rPr>
          <w:szCs w:val="18"/>
        </w:rPr>
      </w:pPr>
      <w:r w:rsidRPr="00232361">
        <w:rPr>
          <w:szCs w:val="18"/>
        </w:rPr>
        <w:t xml:space="preserve">The mercury input and output </w:t>
      </w:r>
      <w:r w:rsidR="00FA5A6A">
        <w:rPr>
          <w:szCs w:val="18"/>
        </w:rPr>
        <w:t>estimates</w:t>
      </w:r>
      <w:r w:rsidRPr="00232361">
        <w:rPr>
          <w:szCs w:val="18"/>
        </w:rPr>
        <w:t xml:space="preserve"> for </w:t>
      </w:r>
      <w:r w:rsidR="003C357B">
        <w:rPr>
          <w:szCs w:val="18"/>
        </w:rPr>
        <w:t>cement</w:t>
      </w:r>
      <w:r w:rsidRPr="00232361">
        <w:rPr>
          <w:szCs w:val="18"/>
        </w:rPr>
        <w:t xml:space="preserve"> production are shown in </w:t>
      </w:r>
      <w:r w:rsidRPr="0094605E">
        <w:rPr>
          <w:szCs w:val="18"/>
        </w:rPr>
        <w:fldChar w:fldCharType="begin"/>
      </w:r>
      <w:r w:rsidRPr="0094605E">
        <w:rPr>
          <w:szCs w:val="18"/>
        </w:rPr>
        <w:instrText xml:space="preserve"> REF _Ref358523286 \h </w:instrText>
      </w:r>
      <w:r w:rsidR="0094605E">
        <w:rPr>
          <w:szCs w:val="18"/>
        </w:rPr>
        <w:instrText xml:space="preserve"> \* MERGEFORMAT </w:instrText>
      </w:r>
      <w:r w:rsidRPr="0094605E">
        <w:rPr>
          <w:szCs w:val="18"/>
        </w:rPr>
      </w:r>
      <w:r w:rsidRPr="0094605E">
        <w:rPr>
          <w:szCs w:val="18"/>
        </w:rPr>
        <w:fldChar w:fldCharType="separate"/>
      </w:r>
      <w:r w:rsidR="00423FC9" w:rsidRPr="00423FC9">
        <w:t xml:space="preserve">Table </w:t>
      </w:r>
      <w:r w:rsidR="00423FC9" w:rsidRPr="00423FC9">
        <w:rPr>
          <w:noProof/>
        </w:rPr>
        <w:t>5</w:t>
      </w:r>
      <w:r w:rsidR="00423FC9" w:rsidRPr="00423FC9">
        <w:rPr>
          <w:noProof/>
        </w:rPr>
        <w:noBreakHyphen/>
        <w:t>2</w:t>
      </w:r>
      <w:r w:rsidRPr="0094605E">
        <w:rPr>
          <w:szCs w:val="18"/>
        </w:rPr>
        <w:fldChar w:fldCharType="end"/>
      </w:r>
      <w:r w:rsidR="00016AD4">
        <w:rPr>
          <w:szCs w:val="18"/>
        </w:rPr>
        <w:t xml:space="preserve">. </w:t>
      </w:r>
      <w:r w:rsidR="00BE0250">
        <w:rPr>
          <w:szCs w:val="18"/>
        </w:rPr>
        <w:t>The 2012 estimates were much higher than in 2016 because the emissions from the Westport plant were much higher than at the Northland plant.</w:t>
      </w:r>
    </w:p>
    <w:p w14:paraId="13CB0B32" w14:textId="77777777" w:rsidR="00944DCC" w:rsidRDefault="00944DCC" w:rsidP="00213975">
      <w:pPr>
        <w:pStyle w:val="Caption"/>
        <w:spacing w:before="240"/>
        <w:rPr>
          <w:szCs w:val="18"/>
        </w:rPr>
      </w:pPr>
      <w:bookmarkStart w:id="69" w:name="_Ref358523286"/>
      <w:bookmarkStart w:id="70" w:name="_Toc484949651"/>
      <w:r w:rsidRPr="00944DCC">
        <w:rPr>
          <w:rFonts w:ascii="Arial" w:hAnsi="Arial" w:cs="Arial"/>
        </w:rPr>
        <w:t xml:space="preserve">Table </w:t>
      </w:r>
      <w:r w:rsidR="00390C9F">
        <w:rPr>
          <w:rFonts w:ascii="Arial" w:hAnsi="Arial" w:cs="Arial"/>
        </w:rPr>
        <w:fldChar w:fldCharType="begin"/>
      </w:r>
      <w:r w:rsidR="00390C9F">
        <w:rPr>
          <w:rFonts w:ascii="Arial" w:hAnsi="Arial" w:cs="Arial"/>
        </w:rPr>
        <w:instrText xml:space="preserve"> STYLEREF 1 \s </w:instrText>
      </w:r>
      <w:r w:rsidR="00390C9F">
        <w:rPr>
          <w:rFonts w:ascii="Arial" w:hAnsi="Arial" w:cs="Arial"/>
        </w:rPr>
        <w:fldChar w:fldCharType="separate"/>
      </w:r>
      <w:r w:rsidR="00423FC9">
        <w:rPr>
          <w:rFonts w:ascii="Arial" w:hAnsi="Arial" w:cs="Arial"/>
          <w:noProof/>
        </w:rPr>
        <w:t>5</w:t>
      </w:r>
      <w:r w:rsidR="00390C9F">
        <w:rPr>
          <w:rFonts w:ascii="Arial" w:hAnsi="Arial" w:cs="Arial"/>
        </w:rPr>
        <w:fldChar w:fldCharType="end"/>
      </w:r>
      <w:r w:rsidR="00390C9F">
        <w:rPr>
          <w:rFonts w:ascii="Arial" w:hAnsi="Arial" w:cs="Arial"/>
        </w:rPr>
        <w:noBreakHyphen/>
      </w:r>
      <w:r w:rsidR="00390C9F">
        <w:rPr>
          <w:rFonts w:ascii="Arial" w:hAnsi="Arial" w:cs="Arial"/>
        </w:rPr>
        <w:fldChar w:fldCharType="begin"/>
      </w:r>
      <w:r w:rsidR="00390C9F">
        <w:rPr>
          <w:rFonts w:ascii="Arial" w:hAnsi="Arial" w:cs="Arial"/>
        </w:rPr>
        <w:instrText xml:space="preserve"> SEQ Table \* ARABIC \s 1 </w:instrText>
      </w:r>
      <w:r w:rsidR="00390C9F">
        <w:rPr>
          <w:rFonts w:ascii="Arial" w:hAnsi="Arial" w:cs="Arial"/>
        </w:rPr>
        <w:fldChar w:fldCharType="separate"/>
      </w:r>
      <w:r w:rsidR="00423FC9">
        <w:rPr>
          <w:rFonts w:ascii="Arial" w:hAnsi="Arial" w:cs="Arial"/>
          <w:noProof/>
        </w:rPr>
        <w:t>2</w:t>
      </w:r>
      <w:r w:rsidR="00390C9F">
        <w:rPr>
          <w:rFonts w:ascii="Arial" w:hAnsi="Arial" w:cs="Arial"/>
        </w:rPr>
        <w:fldChar w:fldCharType="end"/>
      </w:r>
      <w:bookmarkEnd w:id="69"/>
      <w:r w:rsidRPr="00944DCC">
        <w:rPr>
          <w:rFonts w:ascii="Arial" w:hAnsi="Arial" w:cs="Arial"/>
        </w:rPr>
        <w:t>:</w:t>
      </w:r>
      <w:r>
        <w:t xml:space="preserve">  </w:t>
      </w:r>
      <w:r w:rsidRPr="00284760">
        <w:rPr>
          <w:rFonts w:ascii="Arial" w:hAnsi="Arial" w:cs="Arial"/>
        </w:rPr>
        <w:t>Input and output estimates for</w:t>
      </w:r>
      <w:r>
        <w:rPr>
          <w:rFonts w:ascii="Arial" w:hAnsi="Arial" w:cs="Arial"/>
        </w:rPr>
        <w:t xml:space="preserve"> cement production</w:t>
      </w:r>
      <w:bookmarkEnd w:id="70"/>
    </w:p>
    <w:tbl>
      <w:tblPr>
        <w:tblStyle w:val="TableGrid"/>
        <w:tblW w:w="9322" w:type="dxa"/>
        <w:tblLook w:val="04A0" w:firstRow="1" w:lastRow="0" w:firstColumn="1" w:lastColumn="0" w:noHBand="0" w:noVBand="1"/>
      </w:tblPr>
      <w:tblGrid>
        <w:gridCol w:w="2376"/>
        <w:gridCol w:w="1701"/>
        <w:gridCol w:w="1701"/>
        <w:gridCol w:w="1772"/>
        <w:gridCol w:w="1772"/>
      </w:tblGrid>
      <w:tr w:rsidR="00944DCC" w14:paraId="6449D925" w14:textId="77777777" w:rsidTr="00213975">
        <w:tc>
          <w:tcPr>
            <w:tcW w:w="2376" w:type="dxa"/>
            <w:vMerge w:val="restart"/>
            <w:vAlign w:val="center"/>
          </w:tcPr>
          <w:p w14:paraId="6F7942D8" w14:textId="77777777" w:rsidR="00944DCC" w:rsidRPr="00F31685" w:rsidRDefault="00944DCC" w:rsidP="0002399A">
            <w:pPr>
              <w:spacing w:line="300" w:lineRule="atLeast"/>
              <w:jc w:val="center"/>
              <w:rPr>
                <w:rFonts w:ascii="Arial" w:hAnsi="Arial" w:cs="Arial"/>
                <w:b/>
                <w:sz w:val="16"/>
                <w:szCs w:val="16"/>
              </w:rPr>
            </w:pPr>
            <w:r w:rsidRPr="00F31685">
              <w:rPr>
                <w:rFonts w:ascii="Arial" w:hAnsi="Arial" w:cs="Arial"/>
                <w:b/>
                <w:sz w:val="16"/>
                <w:szCs w:val="16"/>
              </w:rPr>
              <w:t>Source</w:t>
            </w:r>
          </w:p>
        </w:tc>
        <w:tc>
          <w:tcPr>
            <w:tcW w:w="1701" w:type="dxa"/>
            <w:vMerge w:val="restart"/>
            <w:vAlign w:val="center"/>
          </w:tcPr>
          <w:p w14:paraId="1A0655D4" w14:textId="77777777" w:rsidR="00944DCC" w:rsidRPr="00F31685" w:rsidRDefault="00944DCC" w:rsidP="0002399A">
            <w:pPr>
              <w:spacing w:line="300" w:lineRule="atLeast"/>
              <w:jc w:val="center"/>
              <w:rPr>
                <w:rFonts w:ascii="Arial" w:hAnsi="Arial" w:cs="Arial"/>
                <w:b/>
                <w:sz w:val="16"/>
                <w:szCs w:val="16"/>
              </w:rPr>
            </w:pPr>
            <w:r w:rsidRPr="00F31685">
              <w:rPr>
                <w:rFonts w:ascii="Arial" w:hAnsi="Arial" w:cs="Arial"/>
                <w:b/>
                <w:sz w:val="16"/>
                <w:szCs w:val="16"/>
              </w:rPr>
              <w:t>Activity Rate, tonnes/</w:t>
            </w:r>
            <w:proofErr w:type="spellStart"/>
            <w:r w:rsidRPr="00F31685">
              <w:rPr>
                <w:rFonts w:ascii="Arial" w:hAnsi="Arial" w:cs="Arial"/>
                <w:b/>
                <w:sz w:val="16"/>
                <w:szCs w:val="16"/>
              </w:rPr>
              <w:t>yr</w:t>
            </w:r>
            <w:proofErr w:type="spellEnd"/>
          </w:p>
        </w:tc>
        <w:tc>
          <w:tcPr>
            <w:tcW w:w="1701" w:type="dxa"/>
            <w:vMerge w:val="restart"/>
            <w:vAlign w:val="center"/>
          </w:tcPr>
          <w:p w14:paraId="00175526" w14:textId="77777777" w:rsidR="00944DCC" w:rsidRPr="00F31685" w:rsidRDefault="00944DCC" w:rsidP="0002399A">
            <w:pPr>
              <w:spacing w:line="300" w:lineRule="atLeast"/>
              <w:jc w:val="center"/>
              <w:rPr>
                <w:rFonts w:ascii="Arial" w:hAnsi="Arial" w:cs="Arial"/>
                <w:b/>
                <w:sz w:val="16"/>
                <w:szCs w:val="16"/>
              </w:rPr>
            </w:pPr>
            <w:r w:rsidRPr="00F31685">
              <w:rPr>
                <w:rFonts w:ascii="Arial" w:hAnsi="Arial" w:cs="Arial"/>
                <w:b/>
                <w:sz w:val="16"/>
                <w:szCs w:val="16"/>
              </w:rPr>
              <w:t>Annual Mercury Inputs, kg/</w:t>
            </w:r>
            <w:proofErr w:type="spellStart"/>
            <w:r w:rsidRPr="00F31685">
              <w:rPr>
                <w:rFonts w:ascii="Arial" w:hAnsi="Arial" w:cs="Arial"/>
                <w:b/>
                <w:sz w:val="16"/>
                <w:szCs w:val="16"/>
              </w:rPr>
              <w:t>yr</w:t>
            </w:r>
            <w:proofErr w:type="spellEnd"/>
          </w:p>
        </w:tc>
        <w:tc>
          <w:tcPr>
            <w:tcW w:w="3544" w:type="dxa"/>
            <w:gridSpan w:val="2"/>
            <w:vAlign w:val="center"/>
          </w:tcPr>
          <w:p w14:paraId="1A2A4FF3" w14:textId="77777777" w:rsidR="00944DCC" w:rsidRPr="00F31685" w:rsidRDefault="00944DCC" w:rsidP="0002399A">
            <w:pPr>
              <w:spacing w:line="300" w:lineRule="atLeast"/>
              <w:jc w:val="center"/>
              <w:rPr>
                <w:rFonts w:ascii="Arial" w:hAnsi="Arial" w:cs="Arial"/>
                <w:b/>
                <w:sz w:val="16"/>
                <w:szCs w:val="16"/>
              </w:rPr>
            </w:pPr>
            <w:r w:rsidRPr="00F31685">
              <w:rPr>
                <w:rFonts w:ascii="Arial" w:hAnsi="Arial" w:cs="Arial"/>
                <w:b/>
                <w:sz w:val="16"/>
                <w:szCs w:val="16"/>
              </w:rPr>
              <w:t>Annual Mercury Outputs, kg/</w:t>
            </w:r>
            <w:proofErr w:type="spellStart"/>
            <w:r w:rsidRPr="00F31685">
              <w:rPr>
                <w:rFonts w:ascii="Arial" w:hAnsi="Arial" w:cs="Arial"/>
                <w:b/>
                <w:sz w:val="16"/>
                <w:szCs w:val="16"/>
              </w:rPr>
              <w:t>yr</w:t>
            </w:r>
            <w:proofErr w:type="spellEnd"/>
          </w:p>
        </w:tc>
      </w:tr>
      <w:tr w:rsidR="00944DCC" w14:paraId="47F2A342" w14:textId="77777777" w:rsidTr="00213975">
        <w:tc>
          <w:tcPr>
            <w:tcW w:w="2376" w:type="dxa"/>
            <w:vMerge/>
            <w:vAlign w:val="center"/>
          </w:tcPr>
          <w:p w14:paraId="001C4CF6" w14:textId="77777777" w:rsidR="00944DCC" w:rsidRPr="00F31685" w:rsidRDefault="00944DCC" w:rsidP="0002399A">
            <w:pPr>
              <w:spacing w:line="300" w:lineRule="atLeast"/>
              <w:jc w:val="center"/>
              <w:rPr>
                <w:rFonts w:ascii="Arial" w:hAnsi="Arial" w:cs="Arial"/>
                <w:b/>
                <w:sz w:val="16"/>
                <w:szCs w:val="16"/>
              </w:rPr>
            </w:pPr>
          </w:p>
        </w:tc>
        <w:tc>
          <w:tcPr>
            <w:tcW w:w="1701" w:type="dxa"/>
            <w:vMerge/>
            <w:vAlign w:val="center"/>
          </w:tcPr>
          <w:p w14:paraId="58C12593" w14:textId="77777777" w:rsidR="00944DCC" w:rsidRPr="00F31685" w:rsidRDefault="00944DCC" w:rsidP="0002399A">
            <w:pPr>
              <w:spacing w:line="300" w:lineRule="atLeast"/>
              <w:jc w:val="center"/>
              <w:rPr>
                <w:rFonts w:ascii="Arial" w:hAnsi="Arial" w:cs="Arial"/>
                <w:b/>
                <w:sz w:val="16"/>
                <w:szCs w:val="16"/>
              </w:rPr>
            </w:pPr>
          </w:p>
        </w:tc>
        <w:tc>
          <w:tcPr>
            <w:tcW w:w="1701" w:type="dxa"/>
            <w:vMerge/>
            <w:vAlign w:val="center"/>
          </w:tcPr>
          <w:p w14:paraId="04CB58B1" w14:textId="77777777" w:rsidR="00944DCC" w:rsidRPr="00F31685" w:rsidRDefault="00944DCC" w:rsidP="0002399A">
            <w:pPr>
              <w:spacing w:line="300" w:lineRule="atLeast"/>
              <w:jc w:val="center"/>
              <w:rPr>
                <w:rFonts w:ascii="Arial" w:hAnsi="Arial" w:cs="Arial"/>
                <w:b/>
                <w:sz w:val="16"/>
                <w:szCs w:val="16"/>
              </w:rPr>
            </w:pPr>
          </w:p>
        </w:tc>
        <w:tc>
          <w:tcPr>
            <w:tcW w:w="1772" w:type="dxa"/>
            <w:vAlign w:val="center"/>
          </w:tcPr>
          <w:p w14:paraId="08162977" w14:textId="77777777" w:rsidR="00944DCC" w:rsidRPr="00F31685" w:rsidRDefault="00944DCC" w:rsidP="0002399A">
            <w:pPr>
              <w:spacing w:line="300" w:lineRule="atLeast"/>
              <w:jc w:val="center"/>
              <w:rPr>
                <w:rFonts w:ascii="Arial" w:hAnsi="Arial" w:cs="Arial"/>
                <w:b/>
                <w:sz w:val="16"/>
                <w:szCs w:val="16"/>
              </w:rPr>
            </w:pPr>
            <w:r w:rsidRPr="00F31685">
              <w:rPr>
                <w:rFonts w:ascii="Arial" w:hAnsi="Arial" w:cs="Arial"/>
                <w:b/>
                <w:sz w:val="16"/>
                <w:szCs w:val="16"/>
              </w:rPr>
              <w:t>Air</w:t>
            </w:r>
          </w:p>
        </w:tc>
        <w:tc>
          <w:tcPr>
            <w:tcW w:w="1772" w:type="dxa"/>
            <w:vAlign w:val="center"/>
          </w:tcPr>
          <w:p w14:paraId="55415F52" w14:textId="77777777" w:rsidR="00944DCC" w:rsidRPr="00F31685" w:rsidRDefault="00213975" w:rsidP="0002399A">
            <w:pPr>
              <w:spacing w:line="300" w:lineRule="atLeast"/>
              <w:jc w:val="center"/>
              <w:rPr>
                <w:rFonts w:ascii="Arial" w:hAnsi="Arial" w:cs="Arial"/>
                <w:b/>
                <w:sz w:val="16"/>
                <w:szCs w:val="16"/>
              </w:rPr>
            </w:pPr>
            <w:r>
              <w:rPr>
                <w:rFonts w:ascii="Arial" w:hAnsi="Arial" w:cs="Arial"/>
                <w:b/>
                <w:sz w:val="16"/>
                <w:szCs w:val="16"/>
              </w:rPr>
              <w:t>Product</w:t>
            </w:r>
          </w:p>
        </w:tc>
      </w:tr>
      <w:tr w:rsidR="00944DCC" w14:paraId="14E75705" w14:textId="77777777" w:rsidTr="00213975">
        <w:tc>
          <w:tcPr>
            <w:tcW w:w="2376" w:type="dxa"/>
          </w:tcPr>
          <w:p w14:paraId="426DE5FB" w14:textId="77777777" w:rsidR="00944DCC" w:rsidRPr="00F31685" w:rsidRDefault="00944DCC" w:rsidP="0002399A">
            <w:pPr>
              <w:spacing w:line="300" w:lineRule="atLeast"/>
              <w:jc w:val="both"/>
              <w:rPr>
                <w:rFonts w:ascii="Arial" w:hAnsi="Arial" w:cs="Arial"/>
                <w:sz w:val="16"/>
                <w:szCs w:val="16"/>
              </w:rPr>
            </w:pPr>
            <w:r>
              <w:rPr>
                <w:rFonts w:ascii="Arial" w:hAnsi="Arial" w:cs="Arial"/>
                <w:sz w:val="16"/>
                <w:szCs w:val="16"/>
              </w:rPr>
              <w:t>Cement production</w:t>
            </w:r>
            <w:r w:rsidR="00BE0250">
              <w:rPr>
                <w:rFonts w:ascii="Arial" w:hAnsi="Arial" w:cs="Arial"/>
                <w:sz w:val="16"/>
                <w:szCs w:val="16"/>
              </w:rPr>
              <w:t>, 2012</w:t>
            </w:r>
          </w:p>
        </w:tc>
        <w:tc>
          <w:tcPr>
            <w:tcW w:w="1701" w:type="dxa"/>
            <w:vAlign w:val="center"/>
          </w:tcPr>
          <w:p w14:paraId="0D1CA135" w14:textId="77777777" w:rsidR="00944DCC" w:rsidRPr="00F31685" w:rsidRDefault="00DA6BFD" w:rsidP="00944DCC">
            <w:pPr>
              <w:spacing w:line="300" w:lineRule="atLeast"/>
              <w:jc w:val="center"/>
              <w:rPr>
                <w:rFonts w:ascii="Arial" w:hAnsi="Arial" w:cs="Arial"/>
                <w:sz w:val="16"/>
                <w:szCs w:val="16"/>
              </w:rPr>
            </w:pPr>
            <w:r>
              <w:rPr>
                <w:rFonts w:ascii="Arial" w:hAnsi="Arial" w:cs="Arial"/>
                <w:sz w:val="16"/>
                <w:szCs w:val="16"/>
              </w:rPr>
              <w:t>1,110</w:t>
            </w:r>
            <w:r w:rsidR="00944DCC">
              <w:rPr>
                <w:rFonts w:ascii="Arial" w:hAnsi="Arial" w:cs="Arial"/>
                <w:sz w:val="16"/>
                <w:szCs w:val="16"/>
              </w:rPr>
              <w:t>,000</w:t>
            </w:r>
          </w:p>
        </w:tc>
        <w:tc>
          <w:tcPr>
            <w:tcW w:w="1701" w:type="dxa"/>
            <w:vAlign w:val="center"/>
          </w:tcPr>
          <w:p w14:paraId="1E612B9F" w14:textId="77777777" w:rsidR="00944DCC" w:rsidRPr="00F31685" w:rsidRDefault="00944DCC" w:rsidP="0002399A">
            <w:pPr>
              <w:spacing w:line="300" w:lineRule="atLeast"/>
              <w:jc w:val="center"/>
              <w:rPr>
                <w:rFonts w:ascii="Arial" w:hAnsi="Arial" w:cs="Arial"/>
                <w:sz w:val="16"/>
                <w:szCs w:val="16"/>
              </w:rPr>
            </w:pPr>
            <w:r>
              <w:rPr>
                <w:rFonts w:ascii="Arial" w:hAnsi="Arial" w:cs="Arial"/>
                <w:sz w:val="16"/>
                <w:szCs w:val="16"/>
              </w:rPr>
              <w:t>6.</w:t>
            </w:r>
            <w:r w:rsidR="00345303">
              <w:rPr>
                <w:rFonts w:ascii="Arial" w:hAnsi="Arial" w:cs="Arial"/>
                <w:sz w:val="16"/>
                <w:szCs w:val="16"/>
              </w:rPr>
              <w:t>3</w:t>
            </w:r>
          </w:p>
        </w:tc>
        <w:tc>
          <w:tcPr>
            <w:tcW w:w="1772" w:type="dxa"/>
            <w:vAlign w:val="center"/>
          </w:tcPr>
          <w:p w14:paraId="10D3438A" w14:textId="77777777" w:rsidR="00944DCC" w:rsidRPr="00F31685" w:rsidRDefault="00944DCC" w:rsidP="0002399A">
            <w:pPr>
              <w:spacing w:line="300" w:lineRule="atLeast"/>
              <w:jc w:val="center"/>
              <w:rPr>
                <w:rFonts w:ascii="Arial" w:hAnsi="Arial" w:cs="Arial"/>
                <w:sz w:val="16"/>
                <w:szCs w:val="16"/>
              </w:rPr>
            </w:pPr>
            <w:r>
              <w:rPr>
                <w:rFonts w:ascii="Arial" w:hAnsi="Arial" w:cs="Arial"/>
                <w:sz w:val="16"/>
                <w:szCs w:val="16"/>
              </w:rPr>
              <w:t>4.</w:t>
            </w:r>
            <w:r w:rsidR="00345303">
              <w:rPr>
                <w:rFonts w:ascii="Arial" w:hAnsi="Arial" w:cs="Arial"/>
                <w:sz w:val="16"/>
                <w:szCs w:val="16"/>
              </w:rPr>
              <w:t>4</w:t>
            </w:r>
          </w:p>
        </w:tc>
        <w:tc>
          <w:tcPr>
            <w:tcW w:w="1772" w:type="dxa"/>
            <w:vAlign w:val="center"/>
          </w:tcPr>
          <w:p w14:paraId="13D2B145" w14:textId="77777777" w:rsidR="00944DCC" w:rsidRPr="00F31685" w:rsidRDefault="00944DCC" w:rsidP="0002399A">
            <w:pPr>
              <w:spacing w:line="300" w:lineRule="atLeast"/>
              <w:jc w:val="center"/>
              <w:rPr>
                <w:rFonts w:ascii="Arial" w:hAnsi="Arial" w:cs="Arial"/>
                <w:sz w:val="16"/>
                <w:szCs w:val="16"/>
              </w:rPr>
            </w:pPr>
            <w:r>
              <w:rPr>
                <w:rFonts w:ascii="Arial" w:hAnsi="Arial" w:cs="Arial"/>
                <w:sz w:val="16"/>
                <w:szCs w:val="16"/>
              </w:rPr>
              <w:t>1.</w:t>
            </w:r>
            <w:r w:rsidR="00345303">
              <w:rPr>
                <w:rFonts w:ascii="Arial" w:hAnsi="Arial" w:cs="Arial"/>
                <w:sz w:val="16"/>
                <w:szCs w:val="16"/>
              </w:rPr>
              <w:t>9</w:t>
            </w:r>
          </w:p>
        </w:tc>
      </w:tr>
      <w:tr w:rsidR="00BE0250" w14:paraId="0F3143BE" w14:textId="77777777" w:rsidTr="00213975">
        <w:tc>
          <w:tcPr>
            <w:tcW w:w="2376" w:type="dxa"/>
          </w:tcPr>
          <w:p w14:paraId="0A022214" w14:textId="77777777" w:rsidR="00BE0250" w:rsidRDefault="00BE0250" w:rsidP="0002399A">
            <w:pPr>
              <w:spacing w:line="300" w:lineRule="atLeast"/>
              <w:jc w:val="both"/>
              <w:rPr>
                <w:rFonts w:ascii="Arial" w:hAnsi="Arial" w:cs="Arial"/>
                <w:sz w:val="16"/>
                <w:szCs w:val="16"/>
              </w:rPr>
            </w:pPr>
            <w:r>
              <w:rPr>
                <w:rFonts w:ascii="Arial" w:hAnsi="Arial" w:cs="Arial"/>
                <w:sz w:val="16"/>
                <w:szCs w:val="16"/>
              </w:rPr>
              <w:t>Cement production, 2016</w:t>
            </w:r>
          </w:p>
        </w:tc>
        <w:tc>
          <w:tcPr>
            <w:tcW w:w="1701" w:type="dxa"/>
            <w:vAlign w:val="center"/>
          </w:tcPr>
          <w:p w14:paraId="0EE202C7" w14:textId="77777777" w:rsidR="00BE0250" w:rsidRDefault="00BE0250" w:rsidP="00944DCC">
            <w:pPr>
              <w:spacing w:line="300" w:lineRule="atLeast"/>
              <w:jc w:val="center"/>
              <w:rPr>
                <w:rFonts w:ascii="Arial" w:hAnsi="Arial" w:cs="Arial"/>
                <w:sz w:val="16"/>
                <w:szCs w:val="16"/>
              </w:rPr>
            </w:pPr>
            <w:r>
              <w:rPr>
                <w:rFonts w:ascii="Arial" w:hAnsi="Arial" w:cs="Arial"/>
                <w:sz w:val="16"/>
                <w:szCs w:val="16"/>
              </w:rPr>
              <w:t>887,025</w:t>
            </w:r>
          </w:p>
        </w:tc>
        <w:tc>
          <w:tcPr>
            <w:tcW w:w="1701" w:type="dxa"/>
            <w:vAlign w:val="center"/>
          </w:tcPr>
          <w:p w14:paraId="0F9157E6" w14:textId="512EF020" w:rsidR="00BE0250" w:rsidRDefault="00BE0250" w:rsidP="0002399A">
            <w:pPr>
              <w:spacing w:line="300" w:lineRule="atLeast"/>
              <w:jc w:val="center"/>
              <w:rPr>
                <w:rFonts w:ascii="Arial" w:hAnsi="Arial" w:cs="Arial"/>
                <w:sz w:val="16"/>
                <w:szCs w:val="16"/>
              </w:rPr>
            </w:pPr>
            <w:r>
              <w:rPr>
                <w:rFonts w:ascii="Arial" w:hAnsi="Arial" w:cs="Arial"/>
                <w:sz w:val="16"/>
                <w:szCs w:val="16"/>
              </w:rPr>
              <w:t>0.4</w:t>
            </w:r>
            <w:r w:rsidR="00892EB8">
              <w:rPr>
                <w:rFonts w:ascii="Arial" w:hAnsi="Arial" w:cs="Arial"/>
                <w:sz w:val="16"/>
                <w:szCs w:val="16"/>
              </w:rPr>
              <w:t>7</w:t>
            </w:r>
          </w:p>
        </w:tc>
        <w:tc>
          <w:tcPr>
            <w:tcW w:w="1772" w:type="dxa"/>
            <w:vAlign w:val="center"/>
          </w:tcPr>
          <w:p w14:paraId="55E5D098" w14:textId="77777777" w:rsidR="00BE0250" w:rsidRDefault="00BE0250" w:rsidP="0002399A">
            <w:pPr>
              <w:spacing w:line="300" w:lineRule="atLeast"/>
              <w:jc w:val="center"/>
              <w:rPr>
                <w:rFonts w:ascii="Arial" w:hAnsi="Arial" w:cs="Arial"/>
                <w:sz w:val="16"/>
                <w:szCs w:val="16"/>
              </w:rPr>
            </w:pPr>
            <w:r>
              <w:rPr>
                <w:rFonts w:ascii="Arial" w:hAnsi="Arial" w:cs="Arial"/>
                <w:sz w:val="16"/>
                <w:szCs w:val="16"/>
              </w:rPr>
              <w:t>0.33</w:t>
            </w:r>
          </w:p>
        </w:tc>
        <w:tc>
          <w:tcPr>
            <w:tcW w:w="1772" w:type="dxa"/>
            <w:vAlign w:val="center"/>
          </w:tcPr>
          <w:p w14:paraId="6C804057" w14:textId="10BED505" w:rsidR="00BE0250" w:rsidRDefault="00BE0250" w:rsidP="0002399A">
            <w:pPr>
              <w:spacing w:line="300" w:lineRule="atLeast"/>
              <w:jc w:val="center"/>
              <w:rPr>
                <w:rFonts w:ascii="Arial" w:hAnsi="Arial" w:cs="Arial"/>
                <w:sz w:val="16"/>
                <w:szCs w:val="16"/>
              </w:rPr>
            </w:pPr>
            <w:r>
              <w:rPr>
                <w:rFonts w:ascii="Arial" w:hAnsi="Arial" w:cs="Arial"/>
                <w:sz w:val="16"/>
                <w:szCs w:val="16"/>
              </w:rPr>
              <w:t>0.1</w:t>
            </w:r>
            <w:r w:rsidR="00892EB8">
              <w:rPr>
                <w:rFonts w:ascii="Arial" w:hAnsi="Arial" w:cs="Arial"/>
                <w:sz w:val="16"/>
                <w:szCs w:val="16"/>
              </w:rPr>
              <w:t>4</w:t>
            </w:r>
          </w:p>
        </w:tc>
      </w:tr>
    </w:tbl>
    <w:p w14:paraId="7000867E" w14:textId="77777777" w:rsidR="00944DCC" w:rsidRPr="00BE17CF" w:rsidRDefault="00944DCC" w:rsidP="00944DCC">
      <w:pPr>
        <w:tabs>
          <w:tab w:val="left" w:pos="2760"/>
        </w:tabs>
        <w:spacing w:before="120" w:line="300" w:lineRule="atLeast"/>
        <w:jc w:val="both"/>
        <w:rPr>
          <w:rFonts w:ascii="Arial" w:hAnsi="Arial" w:cs="Arial"/>
          <w:b/>
          <w:szCs w:val="18"/>
        </w:rPr>
      </w:pPr>
      <w:r w:rsidRPr="00BE17CF">
        <w:rPr>
          <w:rFonts w:ascii="Arial" w:hAnsi="Arial" w:cs="Arial"/>
          <w:b/>
          <w:szCs w:val="18"/>
        </w:rPr>
        <w:t>Certainty assessment</w:t>
      </w:r>
    </w:p>
    <w:p w14:paraId="5F3491FF" w14:textId="4A7E51AC" w:rsidR="00944DCC" w:rsidRDefault="00944DCC" w:rsidP="00F75355">
      <w:pPr>
        <w:tabs>
          <w:tab w:val="left" w:pos="1701"/>
          <w:tab w:val="left" w:pos="6495"/>
        </w:tabs>
        <w:spacing w:line="300" w:lineRule="atLeast"/>
        <w:jc w:val="both"/>
        <w:rPr>
          <w:szCs w:val="18"/>
        </w:rPr>
      </w:pPr>
      <w:r>
        <w:rPr>
          <w:szCs w:val="18"/>
        </w:rPr>
        <w:t xml:space="preserve">Activity data: </w:t>
      </w:r>
      <w:r>
        <w:rPr>
          <w:szCs w:val="18"/>
        </w:rPr>
        <w:tab/>
        <w:t xml:space="preserve">HIGH (because it was based on </w:t>
      </w:r>
      <w:r w:rsidR="000B1CA2">
        <w:rPr>
          <w:szCs w:val="18"/>
        </w:rPr>
        <w:t xml:space="preserve">plant production </w:t>
      </w:r>
      <w:r>
        <w:rPr>
          <w:szCs w:val="18"/>
        </w:rPr>
        <w:t>data)</w:t>
      </w:r>
      <w:r w:rsidR="00AD2153">
        <w:rPr>
          <w:szCs w:val="18"/>
        </w:rPr>
        <w:t>.</w:t>
      </w:r>
    </w:p>
    <w:p w14:paraId="7ED1D826" w14:textId="77777777" w:rsidR="00944DCC" w:rsidRDefault="00944DCC" w:rsidP="00944DCC">
      <w:pPr>
        <w:tabs>
          <w:tab w:val="left" w:pos="1701"/>
        </w:tabs>
        <w:spacing w:line="300" w:lineRule="atLeast"/>
        <w:jc w:val="both"/>
        <w:rPr>
          <w:szCs w:val="18"/>
        </w:rPr>
      </w:pPr>
      <w:r>
        <w:rPr>
          <w:szCs w:val="18"/>
        </w:rPr>
        <w:t xml:space="preserve">Input estimates: </w:t>
      </w:r>
      <w:r>
        <w:rPr>
          <w:szCs w:val="18"/>
        </w:rPr>
        <w:tab/>
        <w:t>MEDIUM (</w:t>
      </w:r>
      <w:r w:rsidRPr="00944DCC">
        <w:rPr>
          <w:szCs w:val="18"/>
        </w:rPr>
        <w:t xml:space="preserve">because </w:t>
      </w:r>
      <w:r w:rsidR="004F462D">
        <w:rPr>
          <w:szCs w:val="18"/>
        </w:rPr>
        <w:t xml:space="preserve">they </w:t>
      </w:r>
      <w:r w:rsidR="001E5DEF">
        <w:rPr>
          <w:szCs w:val="18"/>
        </w:rPr>
        <w:t>a</w:t>
      </w:r>
      <w:r w:rsidR="004F462D">
        <w:rPr>
          <w:szCs w:val="18"/>
        </w:rPr>
        <w:t>re</w:t>
      </w:r>
      <w:r w:rsidRPr="00944DCC">
        <w:rPr>
          <w:szCs w:val="18"/>
        </w:rPr>
        <w:t xml:space="preserve"> based on </w:t>
      </w:r>
      <w:r w:rsidR="00BE0250">
        <w:rPr>
          <w:szCs w:val="18"/>
        </w:rPr>
        <w:t xml:space="preserve">a limited amount of </w:t>
      </w:r>
      <w:r w:rsidRPr="00944DCC">
        <w:rPr>
          <w:szCs w:val="18"/>
        </w:rPr>
        <w:t>measured data</w:t>
      </w:r>
      <w:r>
        <w:rPr>
          <w:szCs w:val="18"/>
        </w:rPr>
        <w:t>)</w:t>
      </w:r>
      <w:r w:rsidR="00AD2153">
        <w:rPr>
          <w:szCs w:val="18"/>
        </w:rPr>
        <w:t>.</w:t>
      </w:r>
    </w:p>
    <w:p w14:paraId="535E14F4" w14:textId="77777777" w:rsidR="00944DCC" w:rsidRPr="0028681C" w:rsidRDefault="00944DCC" w:rsidP="00944DCC">
      <w:pPr>
        <w:tabs>
          <w:tab w:val="left" w:pos="1701"/>
        </w:tabs>
        <w:spacing w:line="300" w:lineRule="atLeast"/>
        <w:jc w:val="both"/>
        <w:rPr>
          <w:szCs w:val="18"/>
        </w:rPr>
      </w:pPr>
      <w:r>
        <w:rPr>
          <w:szCs w:val="18"/>
        </w:rPr>
        <w:t xml:space="preserve">Output estimates: </w:t>
      </w:r>
      <w:r>
        <w:rPr>
          <w:szCs w:val="18"/>
        </w:rPr>
        <w:tab/>
        <w:t>MEDIUM (</w:t>
      </w:r>
      <w:r w:rsidRPr="00944DCC">
        <w:rPr>
          <w:szCs w:val="18"/>
        </w:rPr>
        <w:t>because the product release was estimated from a default factor</w:t>
      </w:r>
      <w:r>
        <w:rPr>
          <w:szCs w:val="18"/>
        </w:rPr>
        <w:t>).</w:t>
      </w:r>
    </w:p>
    <w:p w14:paraId="5B56A4E3" w14:textId="77777777" w:rsidR="004506C1" w:rsidRDefault="00065714" w:rsidP="004D6C5A">
      <w:pPr>
        <w:pStyle w:val="Heading2"/>
      </w:pPr>
      <w:bookmarkStart w:id="71" w:name="_Toc484949583"/>
      <w:r>
        <w:t xml:space="preserve">Pulp </w:t>
      </w:r>
      <w:r w:rsidR="004D6C5A">
        <w:t>and paper production</w:t>
      </w:r>
      <w:bookmarkEnd w:id="71"/>
    </w:p>
    <w:p w14:paraId="260086E9" w14:textId="77777777" w:rsidR="004506C1" w:rsidRDefault="005C1A7E" w:rsidP="003833D6">
      <w:pPr>
        <w:spacing w:line="300" w:lineRule="atLeast"/>
        <w:jc w:val="both"/>
        <w:rPr>
          <w:szCs w:val="18"/>
        </w:rPr>
      </w:pPr>
      <w:r>
        <w:rPr>
          <w:szCs w:val="18"/>
        </w:rPr>
        <w:t>Pulp and paper production is treated as a separate sub-category in the Toolkit because his</w:t>
      </w:r>
      <w:r w:rsidR="00992921">
        <w:rPr>
          <w:szCs w:val="18"/>
        </w:rPr>
        <w:t xml:space="preserve">torically there were significant </w:t>
      </w:r>
      <w:r>
        <w:rPr>
          <w:szCs w:val="18"/>
        </w:rPr>
        <w:t>use</w:t>
      </w:r>
      <w:r w:rsidR="00992921">
        <w:rPr>
          <w:szCs w:val="18"/>
        </w:rPr>
        <w:t>s</w:t>
      </w:r>
      <w:r>
        <w:rPr>
          <w:szCs w:val="18"/>
        </w:rPr>
        <w:t xml:space="preserve"> of mercury</w:t>
      </w:r>
      <w:r w:rsidR="00992921">
        <w:rPr>
          <w:szCs w:val="18"/>
        </w:rPr>
        <w:t xml:space="preserve"> within the industry; especially in </w:t>
      </w:r>
      <w:proofErr w:type="spellStart"/>
      <w:r w:rsidR="00992921">
        <w:rPr>
          <w:szCs w:val="18"/>
        </w:rPr>
        <w:t>chlor</w:t>
      </w:r>
      <w:proofErr w:type="spellEnd"/>
      <w:r w:rsidR="00992921">
        <w:rPr>
          <w:szCs w:val="18"/>
        </w:rPr>
        <w:t xml:space="preserve">-alkali plants (see section 6.1), and as a </w:t>
      </w:r>
      <w:proofErr w:type="spellStart"/>
      <w:r w:rsidR="00992921">
        <w:rPr>
          <w:szCs w:val="18"/>
        </w:rPr>
        <w:t>slimicide</w:t>
      </w:r>
      <w:proofErr w:type="spellEnd"/>
      <w:r w:rsidR="00992921">
        <w:rPr>
          <w:szCs w:val="18"/>
        </w:rPr>
        <w:t xml:space="preserve"> (</w:t>
      </w:r>
      <w:proofErr w:type="gramStart"/>
      <w:r w:rsidR="00992921">
        <w:rPr>
          <w:szCs w:val="18"/>
        </w:rPr>
        <w:t>see</w:t>
      </w:r>
      <w:proofErr w:type="gramEnd"/>
      <w:r w:rsidR="00992921">
        <w:rPr>
          <w:szCs w:val="18"/>
        </w:rPr>
        <w:t xml:space="preserve"> section 7.6). However, both of these uses no longer occur in New Zealand, so the only significant source of mercury inputs and outputs is via the use of wood, as both a fuel and a raw material.</w:t>
      </w:r>
      <w:r w:rsidR="002925F9">
        <w:rPr>
          <w:szCs w:val="18"/>
        </w:rPr>
        <w:t xml:space="preserve">  These mercury releases have already been addressed under section 3.5 (biomass combustion).</w:t>
      </w:r>
    </w:p>
    <w:p w14:paraId="7D446871" w14:textId="77777777" w:rsidR="000965FA" w:rsidRDefault="001351A3" w:rsidP="001351A3">
      <w:pPr>
        <w:pStyle w:val="Heading2"/>
      </w:pPr>
      <w:bookmarkStart w:id="72" w:name="_Toc484949584"/>
      <w:r>
        <w:t>Production of lime and light-weight aggregate</w:t>
      </w:r>
      <w:bookmarkEnd w:id="72"/>
    </w:p>
    <w:p w14:paraId="4467A20C" w14:textId="77777777" w:rsidR="00666D2A" w:rsidRDefault="00666D2A" w:rsidP="003833D6">
      <w:pPr>
        <w:spacing w:line="300" w:lineRule="atLeast"/>
        <w:jc w:val="both"/>
        <w:rPr>
          <w:szCs w:val="18"/>
        </w:rPr>
      </w:pPr>
      <w:r>
        <w:rPr>
          <w:szCs w:val="18"/>
        </w:rPr>
        <w:t xml:space="preserve">This Toolkit sub-category covers the production of </w:t>
      </w:r>
      <w:r w:rsidRPr="00666D2A">
        <w:rPr>
          <w:szCs w:val="18"/>
        </w:rPr>
        <w:t>burnt lime from the high-temperature treatment (calcination) of limestone</w:t>
      </w:r>
      <w:r w:rsidR="00FA5A6A">
        <w:rPr>
          <w:szCs w:val="18"/>
        </w:rPr>
        <w:t>, and the similar processes used for manufacturing light-weight aggregate from clay, shal</w:t>
      </w:r>
      <w:r w:rsidR="00704007">
        <w:rPr>
          <w:szCs w:val="18"/>
        </w:rPr>
        <w:t>e or slate</w:t>
      </w:r>
      <w:r w:rsidR="00FA5A6A">
        <w:rPr>
          <w:szCs w:val="18"/>
        </w:rPr>
        <w:t xml:space="preserve">. There are a number of lime kilns in New Zealand, but no evidence has been found to indicate any significant production of the type of aggregate covered by the Toolkit. </w:t>
      </w:r>
    </w:p>
    <w:p w14:paraId="56C08EE2" w14:textId="6C3BEF49" w:rsidR="00D16E72" w:rsidRDefault="009F6440" w:rsidP="003833D6">
      <w:pPr>
        <w:spacing w:line="300" w:lineRule="atLeast"/>
        <w:jc w:val="both"/>
        <w:rPr>
          <w:szCs w:val="18"/>
        </w:rPr>
      </w:pPr>
      <w:r>
        <w:rPr>
          <w:szCs w:val="18"/>
        </w:rPr>
        <w:t xml:space="preserve">There are </w:t>
      </w:r>
      <w:r w:rsidR="000B1CA2">
        <w:rPr>
          <w:szCs w:val="18"/>
        </w:rPr>
        <w:t>5</w:t>
      </w:r>
      <w:r>
        <w:rPr>
          <w:szCs w:val="18"/>
        </w:rPr>
        <w:t xml:space="preserve"> lime kilns in New Zealand, which produce burnt lime from limestone. </w:t>
      </w:r>
      <w:r w:rsidR="000B1CA2">
        <w:rPr>
          <w:szCs w:val="18"/>
        </w:rPr>
        <w:t>T</w:t>
      </w:r>
      <w:r w:rsidR="00946235">
        <w:rPr>
          <w:szCs w:val="18"/>
        </w:rPr>
        <w:t>he two North Island pulp and paper mills</w:t>
      </w:r>
      <w:r w:rsidR="000B1CA2">
        <w:rPr>
          <w:szCs w:val="18"/>
        </w:rPr>
        <w:t xml:space="preserve"> also operate lime kilns but these do not process limestone</w:t>
      </w:r>
      <w:r w:rsidR="000B1CA2">
        <w:rPr>
          <w:rStyle w:val="FootnoteReference"/>
          <w:szCs w:val="18"/>
        </w:rPr>
        <w:footnoteReference w:id="13"/>
      </w:r>
      <w:r w:rsidR="00946235">
        <w:rPr>
          <w:szCs w:val="18"/>
        </w:rPr>
        <w:t xml:space="preserve">. The other 5 kilns are located in </w:t>
      </w:r>
      <w:proofErr w:type="spellStart"/>
      <w:r w:rsidR="00946235">
        <w:rPr>
          <w:szCs w:val="18"/>
        </w:rPr>
        <w:t>Te</w:t>
      </w:r>
      <w:proofErr w:type="spellEnd"/>
      <w:r w:rsidR="00946235">
        <w:rPr>
          <w:szCs w:val="18"/>
        </w:rPr>
        <w:t xml:space="preserve"> </w:t>
      </w:r>
      <w:proofErr w:type="spellStart"/>
      <w:r w:rsidR="00946235">
        <w:rPr>
          <w:szCs w:val="18"/>
        </w:rPr>
        <w:t>Kuiti</w:t>
      </w:r>
      <w:proofErr w:type="spellEnd"/>
      <w:r w:rsidR="00946235">
        <w:rPr>
          <w:szCs w:val="18"/>
        </w:rPr>
        <w:t xml:space="preserve">, </w:t>
      </w:r>
      <w:proofErr w:type="spellStart"/>
      <w:r w:rsidR="00946235">
        <w:rPr>
          <w:szCs w:val="18"/>
        </w:rPr>
        <w:t>Otorohanga</w:t>
      </w:r>
      <w:proofErr w:type="spellEnd"/>
      <w:r w:rsidR="00946235">
        <w:rPr>
          <w:szCs w:val="18"/>
        </w:rPr>
        <w:t xml:space="preserve"> (2), and </w:t>
      </w:r>
      <w:proofErr w:type="spellStart"/>
      <w:r w:rsidR="00946235">
        <w:rPr>
          <w:szCs w:val="18"/>
        </w:rPr>
        <w:t>Te</w:t>
      </w:r>
      <w:proofErr w:type="spellEnd"/>
      <w:r w:rsidR="00946235">
        <w:rPr>
          <w:szCs w:val="18"/>
        </w:rPr>
        <w:t xml:space="preserve"> </w:t>
      </w:r>
      <w:proofErr w:type="spellStart"/>
      <w:r w:rsidR="00946235">
        <w:rPr>
          <w:szCs w:val="18"/>
        </w:rPr>
        <w:t>Kumi</w:t>
      </w:r>
      <w:proofErr w:type="spellEnd"/>
      <w:r w:rsidR="00946235">
        <w:rPr>
          <w:szCs w:val="18"/>
        </w:rPr>
        <w:t xml:space="preserve">, all in the Waikato region, and </w:t>
      </w:r>
      <w:proofErr w:type="spellStart"/>
      <w:r w:rsidR="00946235">
        <w:rPr>
          <w:szCs w:val="18"/>
        </w:rPr>
        <w:t>Dunback</w:t>
      </w:r>
      <w:proofErr w:type="spellEnd"/>
      <w:r w:rsidR="00946235">
        <w:rPr>
          <w:szCs w:val="18"/>
        </w:rPr>
        <w:t xml:space="preserve">, in Otago. </w:t>
      </w:r>
      <w:r w:rsidR="004F1A64">
        <w:rPr>
          <w:szCs w:val="18"/>
        </w:rPr>
        <w:t>No data has been obtained for t</w:t>
      </w:r>
      <w:r w:rsidR="00946235">
        <w:rPr>
          <w:szCs w:val="18"/>
        </w:rPr>
        <w:t>he total burnt lime p</w:t>
      </w:r>
      <w:r w:rsidR="00704007">
        <w:rPr>
          <w:szCs w:val="18"/>
        </w:rPr>
        <w:t>roduction in New Zealand in 2016</w:t>
      </w:r>
      <w:r w:rsidR="004F1A64">
        <w:rPr>
          <w:szCs w:val="18"/>
        </w:rPr>
        <w:t xml:space="preserve">, but data given in the </w:t>
      </w:r>
      <w:r w:rsidR="00704007">
        <w:rPr>
          <w:szCs w:val="18"/>
        </w:rPr>
        <w:t xml:space="preserve">most recent </w:t>
      </w:r>
      <w:r w:rsidR="004F1A64">
        <w:rPr>
          <w:szCs w:val="18"/>
        </w:rPr>
        <w:t xml:space="preserve">New Zealand Greenhouse Gas </w:t>
      </w:r>
      <w:r w:rsidR="00704007">
        <w:rPr>
          <w:szCs w:val="18"/>
        </w:rPr>
        <w:t xml:space="preserve">Inventory report indicates an annual production rate of </w:t>
      </w:r>
      <w:r w:rsidR="0084664C">
        <w:rPr>
          <w:szCs w:val="18"/>
        </w:rPr>
        <w:t>245,700 tonnes in 2015</w:t>
      </w:r>
      <w:r w:rsidR="00704007">
        <w:rPr>
          <w:szCs w:val="18"/>
        </w:rPr>
        <w:t xml:space="preserve"> </w:t>
      </w:r>
      <w:r w:rsidR="00A53B83">
        <w:rPr>
          <w:szCs w:val="18"/>
        </w:rPr>
        <w:t>(</w:t>
      </w:r>
      <w:proofErr w:type="spellStart"/>
      <w:r w:rsidR="0084664C">
        <w:rPr>
          <w:szCs w:val="18"/>
        </w:rPr>
        <w:t>MfE</w:t>
      </w:r>
      <w:proofErr w:type="spellEnd"/>
      <w:r w:rsidR="0084664C">
        <w:rPr>
          <w:szCs w:val="18"/>
        </w:rPr>
        <w:t>, 2017</w:t>
      </w:r>
      <w:r w:rsidR="00590B2A">
        <w:rPr>
          <w:szCs w:val="18"/>
        </w:rPr>
        <w:t>).</w:t>
      </w:r>
    </w:p>
    <w:p w14:paraId="34365CDA" w14:textId="77777777" w:rsidR="00D16E72" w:rsidRDefault="007C4605" w:rsidP="003833D6">
      <w:pPr>
        <w:spacing w:line="300" w:lineRule="atLeast"/>
        <w:jc w:val="both"/>
        <w:rPr>
          <w:szCs w:val="18"/>
        </w:rPr>
      </w:pPr>
      <w:r>
        <w:rPr>
          <w:szCs w:val="18"/>
        </w:rPr>
        <w:t>The Toolkit doe</w:t>
      </w:r>
      <w:r w:rsidR="00F912C2">
        <w:rPr>
          <w:szCs w:val="18"/>
        </w:rPr>
        <w:t>s no</w:t>
      </w:r>
      <w:r>
        <w:rPr>
          <w:szCs w:val="18"/>
        </w:rPr>
        <w:t xml:space="preserve">t recommend any default factors for lime manufacture because the available data is very limited. However, it does note a US EPA study which reported a mercury release rate of 9 mg/tonne of lime </w:t>
      </w:r>
      <w:r>
        <w:rPr>
          <w:szCs w:val="18"/>
        </w:rPr>
        <w:lastRenderedPageBreak/>
        <w:t xml:space="preserve">produced. </w:t>
      </w:r>
      <w:r w:rsidR="00F91D3F">
        <w:rPr>
          <w:szCs w:val="18"/>
        </w:rPr>
        <w:t xml:space="preserve">This is consistent with the results of &lt;10 and 20 mg/tonne reported by </w:t>
      </w:r>
      <w:r>
        <w:rPr>
          <w:szCs w:val="18"/>
        </w:rPr>
        <w:t xml:space="preserve">McBride </w:t>
      </w:r>
      <w:r w:rsidR="001842A7">
        <w:rPr>
          <w:szCs w:val="18"/>
        </w:rPr>
        <w:t xml:space="preserve">and </w:t>
      </w:r>
      <w:proofErr w:type="spellStart"/>
      <w:r w:rsidR="001842A7">
        <w:rPr>
          <w:szCs w:val="18"/>
        </w:rPr>
        <w:t>Spiers</w:t>
      </w:r>
      <w:proofErr w:type="spellEnd"/>
      <w:r w:rsidR="001842A7">
        <w:rPr>
          <w:szCs w:val="18"/>
        </w:rPr>
        <w:t xml:space="preserve"> </w:t>
      </w:r>
      <w:r>
        <w:rPr>
          <w:szCs w:val="18"/>
        </w:rPr>
        <w:t xml:space="preserve">(2001) </w:t>
      </w:r>
      <w:r w:rsidR="00F91D3F">
        <w:rPr>
          <w:szCs w:val="18"/>
        </w:rPr>
        <w:t xml:space="preserve">for two samples of agricultural lime (limestone) sourced from </w:t>
      </w:r>
      <w:r w:rsidR="00627ABE">
        <w:rPr>
          <w:szCs w:val="18"/>
        </w:rPr>
        <w:t xml:space="preserve">the </w:t>
      </w:r>
      <w:r w:rsidR="00666D2A">
        <w:rPr>
          <w:szCs w:val="18"/>
        </w:rPr>
        <w:t>n</w:t>
      </w:r>
      <w:r w:rsidR="00F91D3F">
        <w:rPr>
          <w:szCs w:val="18"/>
        </w:rPr>
        <w:t>orth</w:t>
      </w:r>
      <w:r w:rsidR="00627ABE">
        <w:rPr>
          <w:szCs w:val="18"/>
        </w:rPr>
        <w:t>-eastern United States</w:t>
      </w:r>
      <w:r w:rsidR="00F91D3F">
        <w:rPr>
          <w:szCs w:val="18"/>
        </w:rPr>
        <w:t>.</w:t>
      </w:r>
      <w:r>
        <w:rPr>
          <w:szCs w:val="18"/>
        </w:rPr>
        <w:t xml:space="preserve"> </w:t>
      </w:r>
      <w:r w:rsidR="00627ABE">
        <w:rPr>
          <w:szCs w:val="18"/>
        </w:rPr>
        <w:t xml:space="preserve">Within New Zealand, </w:t>
      </w:r>
      <w:r w:rsidR="00666D2A">
        <w:rPr>
          <w:szCs w:val="18"/>
        </w:rPr>
        <w:t xml:space="preserve">Curtis (2007) reported that a sample of </w:t>
      </w:r>
      <w:r w:rsidR="00A55620">
        <w:rPr>
          <w:szCs w:val="18"/>
        </w:rPr>
        <w:t xml:space="preserve">Otago </w:t>
      </w:r>
      <w:r w:rsidR="00666D2A">
        <w:rPr>
          <w:szCs w:val="18"/>
        </w:rPr>
        <w:t>limestone collected had a mercury content of 20 mg/tonne.</w:t>
      </w:r>
    </w:p>
    <w:p w14:paraId="2494EE7D" w14:textId="77777777" w:rsidR="00D16E72" w:rsidRDefault="001A2DC5" w:rsidP="003833D6">
      <w:pPr>
        <w:spacing w:line="300" w:lineRule="atLeast"/>
        <w:jc w:val="both"/>
        <w:rPr>
          <w:szCs w:val="18"/>
        </w:rPr>
      </w:pPr>
      <w:r>
        <w:rPr>
          <w:szCs w:val="18"/>
        </w:rPr>
        <w:t>I</w:t>
      </w:r>
      <w:r w:rsidR="00666D2A">
        <w:rPr>
          <w:szCs w:val="18"/>
        </w:rPr>
        <w:t xml:space="preserve">n the absence of any recommended </w:t>
      </w:r>
      <w:r>
        <w:rPr>
          <w:szCs w:val="18"/>
        </w:rPr>
        <w:t xml:space="preserve">Toolkit </w:t>
      </w:r>
      <w:r w:rsidR="00666D2A">
        <w:rPr>
          <w:szCs w:val="18"/>
        </w:rPr>
        <w:t xml:space="preserve">factors, </w:t>
      </w:r>
      <w:r w:rsidR="00730792">
        <w:rPr>
          <w:szCs w:val="18"/>
        </w:rPr>
        <w:t>a</w:t>
      </w:r>
      <w:r w:rsidR="00666D2A">
        <w:rPr>
          <w:szCs w:val="18"/>
        </w:rPr>
        <w:t xml:space="preserve"> range of </w:t>
      </w:r>
      <w:r w:rsidR="00730792">
        <w:rPr>
          <w:szCs w:val="18"/>
        </w:rPr>
        <w:t>5</w:t>
      </w:r>
      <w:r w:rsidR="00666D2A">
        <w:rPr>
          <w:szCs w:val="18"/>
        </w:rPr>
        <w:t xml:space="preserve"> to 20 mg/tonne</w:t>
      </w:r>
      <w:r w:rsidR="00730792">
        <w:rPr>
          <w:rStyle w:val="FootnoteReference"/>
          <w:szCs w:val="18"/>
        </w:rPr>
        <w:footnoteReference w:id="14"/>
      </w:r>
      <w:r w:rsidR="00666D2A">
        <w:rPr>
          <w:szCs w:val="18"/>
        </w:rPr>
        <w:t xml:space="preserve"> will be used for the mercury inputs estimates. Some of the lime kilns are fired on coal but the inputs and outputs from this component have already been accounted for under section 3.2.</w:t>
      </w:r>
      <w:r w:rsidR="00A55620">
        <w:rPr>
          <w:szCs w:val="18"/>
        </w:rPr>
        <w:t xml:space="preserve"> In accordance with the Toolkit guidance, the output distribution factors will be assumed to be the same as those used for cement production.</w:t>
      </w:r>
    </w:p>
    <w:p w14:paraId="008DFC58" w14:textId="5143C526" w:rsidR="003C357B" w:rsidRPr="00232361" w:rsidRDefault="003C357B" w:rsidP="003C357B">
      <w:pPr>
        <w:spacing w:line="300" w:lineRule="atLeast"/>
        <w:jc w:val="both"/>
        <w:rPr>
          <w:szCs w:val="18"/>
        </w:rPr>
      </w:pPr>
      <w:r w:rsidRPr="00232361">
        <w:rPr>
          <w:szCs w:val="18"/>
        </w:rPr>
        <w:t xml:space="preserve">The mercury input and output </w:t>
      </w:r>
      <w:r>
        <w:rPr>
          <w:szCs w:val="18"/>
        </w:rPr>
        <w:t>estimates</w:t>
      </w:r>
      <w:r w:rsidRPr="00232361">
        <w:rPr>
          <w:szCs w:val="18"/>
        </w:rPr>
        <w:t xml:space="preserve"> for </w:t>
      </w:r>
      <w:r>
        <w:rPr>
          <w:szCs w:val="18"/>
        </w:rPr>
        <w:t>lime</w:t>
      </w:r>
      <w:r w:rsidRPr="00232361">
        <w:rPr>
          <w:szCs w:val="18"/>
        </w:rPr>
        <w:t xml:space="preserve"> production are shown in </w:t>
      </w:r>
      <w:r w:rsidRPr="00B4207D">
        <w:rPr>
          <w:szCs w:val="18"/>
        </w:rPr>
        <w:fldChar w:fldCharType="begin"/>
      </w:r>
      <w:r w:rsidRPr="00B767A9">
        <w:rPr>
          <w:szCs w:val="18"/>
        </w:rPr>
        <w:instrText xml:space="preserve"> REF _Ref358532468 \h </w:instrText>
      </w:r>
      <w:r w:rsidR="00B767A9">
        <w:rPr>
          <w:szCs w:val="18"/>
        </w:rPr>
        <w:instrText xml:space="preserve"> \* MERGEFORMAT </w:instrText>
      </w:r>
      <w:r w:rsidRPr="00B4207D">
        <w:rPr>
          <w:szCs w:val="18"/>
        </w:rPr>
      </w:r>
      <w:r w:rsidRPr="00B4207D">
        <w:rPr>
          <w:szCs w:val="18"/>
        </w:rPr>
        <w:fldChar w:fldCharType="separate"/>
      </w:r>
      <w:r w:rsidR="00423FC9" w:rsidRPr="00423FC9">
        <w:t xml:space="preserve">Table </w:t>
      </w:r>
      <w:r w:rsidR="00423FC9" w:rsidRPr="00423FC9">
        <w:rPr>
          <w:noProof/>
        </w:rPr>
        <w:t>5</w:t>
      </w:r>
      <w:r w:rsidR="00423FC9" w:rsidRPr="00423FC9">
        <w:rPr>
          <w:noProof/>
        </w:rPr>
        <w:noBreakHyphen/>
        <w:t>3</w:t>
      </w:r>
      <w:r w:rsidRPr="00B4207D">
        <w:rPr>
          <w:szCs w:val="18"/>
        </w:rPr>
        <w:fldChar w:fldCharType="end"/>
      </w:r>
      <w:r>
        <w:rPr>
          <w:szCs w:val="18"/>
        </w:rPr>
        <w:t>.</w:t>
      </w:r>
    </w:p>
    <w:p w14:paraId="621661A8" w14:textId="77777777" w:rsidR="003C357B" w:rsidRDefault="003C357B" w:rsidP="00F00580">
      <w:pPr>
        <w:pStyle w:val="Caption"/>
        <w:spacing w:before="240"/>
        <w:rPr>
          <w:szCs w:val="18"/>
        </w:rPr>
      </w:pPr>
      <w:bookmarkStart w:id="73" w:name="_Ref358532468"/>
      <w:bookmarkStart w:id="74" w:name="_Toc484949652"/>
      <w:r w:rsidRPr="003C357B">
        <w:rPr>
          <w:rFonts w:ascii="Arial" w:hAnsi="Arial" w:cs="Arial"/>
        </w:rPr>
        <w:t xml:space="preserve">Table </w:t>
      </w:r>
      <w:r w:rsidR="00390C9F">
        <w:rPr>
          <w:rFonts w:ascii="Arial" w:hAnsi="Arial" w:cs="Arial"/>
        </w:rPr>
        <w:fldChar w:fldCharType="begin"/>
      </w:r>
      <w:r w:rsidR="00390C9F">
        <w:rPr>
          <w:rFonts w:ascii="Arial" w:hAnsi="Arial" w:cs="Arial"/>
        </w:rPr>
        <w:instrText xml:space="preserve"> STYLEREF 1 \s </w:instrText>
      </w:r>
      <w:r w:rsidR="00390C9F">
        <w:rPr>
          <w:rFonts w:ascii="Arial" w:hAnsi="Arial" w:cs="Arial"/>
        </w:rPr>
        <w:fldChar w:fldCharType="separate"/>
      </w:r>
      <w:r w:rsidR="00423FC9">
        <w:rPr>
          <w:rFonts w:ascii="Arial" w:hAnsi="Arial" w:cs="Arial"/>
          <w:noProof/>
        </w:rPr>
        <w:t>5</w:t>
      </w:r>
      <w:r w:rsidR="00390C9F">
        <w:rPr>
          <w:rFonts w:ascii="Arial" w:hAnsi="Arial" w:cs="Arial"/>
        </w:rPr>
        <w:fldChar w:fldCharType="end"/>
      </w:r>
      <w:r w:rsidR="00390C9F">
        <w:rPr>
          <w:rFonts w:ascii="Arial" w:hAnsi="Arial" w:cs="Arial"/>
        </w:rPr>
        <w:noBreakHyphen/>
      </w:r>
      <w:r w:rsidR="00390C9F">
        <w:rPr>
          <w:rFonts w:ascii="Arial" w:hAnsi="Arial" w:cs="Arial"/>
        </w:rPr>
        <w:fldChar w:fldCharType="begin"/>
      </w:r>
      <w:r w:rsidR="00390C9F">
        <w:rPr>
          <w:rFonts w:ascii="Arial" w:hAnsi="Arial" w:cs="Arial"/>
        </w:rPr>
        <w:instrText xml:space="preserve"> SEQ Table \* ARABIC \s 1 </w:instrText>
      </w:r>
      <w:r w:rsidR="00390C9F">
        <w:rPr>
          <w:rFonts w:ascii="Arial" w:hAnsi="Arial" w:cs="Arial"/>
        </w:rPr>
        <w:fldChar w:fldCharType="separate"/>
      </w:r>
      <w:r w:rsidR="00423FC9">
        <w:rPr>
          <w:rFonts w:ascii="Arial" w:hAnsi="Arial" w:cs="Arial"/>
          <w:noProof/>
        </w:rPr>
        <w:t>3</w:t>
      </w:r>
      <w:r w:rsidR="00390C9F">
        <w:rPr>
          <w:rFonts w:ascii="Arial" w:hAnsi="Arial" w:cs="Arial"/>
        </w:rPr>
        <w:fldChar w:fldCharType="end"/>
      </w:r>
      <w:bookmarkEnd w:id="73"/>
      <w:r w:rsidRPr="003C357B">
        <w:rPr>
          <w:rFonts w:ascii="Arial" w:hAnsi="Arial" w:cs="Arial"/>
        </w:rPr>
        <w:t>:</w:t>
      </w:r>
      <w:r>
        <w:t xml:space="preserve">  </w:t>
      </w:r>
      <w:r w:rsidRPr="00284760">
        <w:rPr>
          <w:rFonts w:ascii="Arial" w:hAnsi="Arial" w:cs="Arial"/>
        </w:rPr>
        <w:t>Input and output estimates for</w:t>
      </w:r>
      <w:r>
        <w:rPr>
          <w:rFonts w:ascii="Arial" w:hAnsi="Arial" w:cs="Arial"/>
        </w:rPr>
        <w:t xml:space="preserve"> lime production</w:t>
      </w:r>
      <w:bookmarkEnd w:id="74"/>
    </w:p>
    <w:tbl>
      <w:tblPr>
        <w:tblStyle w:val="TableGrid"/>
        <w:tblW w:w="0" w:type="auto"/>
        <w:tblLook w:val="04A0" w:firstRow="1" w:lastRow="0" w:firstColumn="1" w:lastColumn="0" w:noHBand="0" w:noVBand="1"/>
      </w:tblPr>
      <w:tblGrid>
        <w:gridCol w:w="1809"/>
        <w:gridCol w:w="1418"/>
        <w:gridCol w:w="1417"/>
        <w:gridCol w:w="1560"/>
        <w:gridCol w:w="1535"/>
        <w:gridCol w:w="1548"/>
      </w:tblGrid>
      <w:tr w:rsidR="00730792" w14:paraId="3801256A" w14:textId="77777777" w:rsidTr="00EE5279">
        <w:tc>
          <w:tcPr>
            <w:tcW w:w="1809" w:type="dxa"/>
            <w:vMerge w:val="restart"/>
            <w:vAlign w:val="center"/>
          </w:tcPr>
          <w:p w14:paraId="0FAD51E3" w14:textId="77777777" w:rsidR="00730792" w:rsidRPr="00F31685" w:rsidRDefault="00730792" w:rsidP="0002399A">
            <w:pPr>
              <w:spacing w:line="300" w:lineRule="atLeast"/>
              <w:jc w:val="center"/>
              <w:rPr>
                <w:rFonts w:ascii="Arial" w:hAnsi="Arial" w:cs="Arial"/>
                <w:b/>
                <w:sz w:val="16"/>
                <w:szCs w:val="16"/>
              </w:rPr>
            </w:pPr>
            <w:r w:rsidRPr="00F31685">
              <w:rPr>
                <w:rFonts w:ascii="Arial" w:hAnsi="Arial" w:cs="Arial"/>
                <w:b/>
                <w:sz w:val="16"/>
                <w:szCs w:val="16"/>
              </w:rPr>
              <w:t>Source</w:t>
            </w:r>
          </w:p>
        </w:tc>
        <w:tc>
          <w:tcPr>
            <w:tcW w:w="1418" w:type="dxa"/>
            <w:vMerge w:val="restart"/>
            <w:vAlign w:val="center"/>
          </w:tcPr>
          <w:p w14:paraId="072B26F8" w14:textId="77777777" w:rsidR="00730792" w:rsidRPr="00F31685" w:rsidRDefault="00730792" w:rsidP="0002399A">
            <w:pPr>
              <w:spacing w:line="300" w:lineRule="atLeast"/>
              <w:jc w:val="center"/>
              <w:rPr>
                <w:rFonts w:ascii="Arial" w:hAnsi="Arial" w:cs="Arial"/>
                <w:b/>
                <w:sz w:val="16"/>
                <w:szCs w:val="16"/>
              </w:rPr>
            </w:pPr>
            <w:r w:rsidRPr="00F31685">
              <w:rPr>
                <w:rFonts w:ascii="Arial" w:hAnsi="Arial" w:cs="Arial"/>
                <w:b/>
                <w:sz w:val="16"/>
                <w:szCs w:val="16"/>
              </w:rPr>
              <w:t>Activity Rate, tonnes/</w:t>
            </w:r>
            <w:proofErr w:type="spellStart"/>
            <w:r w:rsidRPr="00F31685">
              <w:rPr>
                <w:rFonts w:ascii="Arial" w:hAnsi="Arial" w:cs="Arial"/>
                <w:b/>
                <w:sz w:val="16"/>
                <w:szCs w:val="16"/>
              </w:rPr>
              <w:t>yr</w:t>
            </w:r>
            <w:proofErr w:type="spellEnd"/>
          </w:p>
        </w:tc>
        <w:tc>
          <w:tcPr>
            <w:tcW w:w="1417" w:type="dxa"/>
            <w:vMerge w:val="restart"/>
            <w:vAlign w:val="center"/>
          </w:tcPr>
          <w:p w14:paraId="1D829FBC" w14:textId="77777777" w:rsidR="00730792" w:rsidRPr="00F31685" w:rsidRDefault="00730792" w:rsidP="0002399A">
            <w:pPr>
              <w:spacing w:line="300" w:lineRule="atLeast"/>
              <w:jc w:val="center"/>
              <w:rPr>
                <w:rFonts w:ascii="Arial" w:hAnsi="Arial" w:cs="Arial"/>
                <w:b/>
                <w:sz w:val="16"/>
                <w:szCs w:val="16"/>
              </w:rPr>
            </w:pPr>
            <w:r w:rsidRPr="00F31685">
              <w:rPr>
                <w:rFonts w:ascii="Arial" w:hAnsi="Arial" w:cs="Arial"/>
                <w:b/>
                <w:sz w:val="16"/>
                <w:szCs w:val="16"/>
              </w:rPr>
              <w:t>Mercury conten</w:t>
            </w:r>
            <w:r>
              <w:rPr>
                <w:rFonts w:ascii="Arial" w:hAnsi="Arial" w:cs="Arial"/>
                <w:b/>
                <w:sz w:val="16"/>
                <w:szCs w:val="16"/>
              </w:rPr>
              <w:t>t, mg/t</w:t>
            </w:r>
          </w:p>
        </w:tc>
        <w:tc>
          <w:tcPr>
            <w:tcW w:w="1560" w:type="dxa"/>
            <w:vMerge w:val="restart"/>
            <w:vAlign w:val="center"/>
          </w:tcPr>
          <w:p w14:paraId="3736A625" w14:textId="77777777" w:rsidR="00730792" w:rsidRPr="00F31685" w:rsidRDefault="00730792" w:rsidP="0002399A">
            <w:pPr>
              <w:spacing w:line="300" w:lineRule="atLeast"/>
              <w:jc w:val="center"/>
              <w:rPr>
                <w:rFonts w:ascii="Arial" w:hAnsi="Arial" w:cs="Arial"/>
                <w:b/>
                <w:sz w:val="16"/>
                <w:szCs w:val="16"/>
              </w:rPr>
            </w:pPr>
            <w:r w:rsidRPr="00F31685">
              <w:rPr>
                <w:rFonts w:ascii="Arial" w:hAnsi="Arial" w:cs="Arial"/>
                <w:b/>
                <w:sz w:val="16"/>
                <w:szCs w:val="16"/>
              </w:rPr>
              <w:t>Annual Mercury Inputs, kg/</w:t>
            </w:r>
            <w:proofErr w:type="spellStart"/>
            <w:r w:rsidRPr="00F31685">
              <w:rPr>
                <w:rFonts w:ascii="Arial" w:hAnsi="Arial" w:cs="Arial"/>
                <w:b/>
                <w:sz w:val="16"/>
                <w:szCs w:val="16"/>
              </w:rPr>
              <w:t>yr</w:t>
            </w:r>
            <w:proofErr w:type="spellEnd"/>
          </w:p>
        </w:tc>
        <w:tc>
          <w:tcPr>
            <w:tcW w:w="3083" w:type="dxa"/>
            <w:gridSpan w:val="2"/>
            <w:vAlign w:val="center"/>
          </w:tcPr>
          <w:p w14:paraId="4690B1C8" w14:textId="77777777" w:rsidR="00730792" w:rsidRPr="00F31685" w:rsidRDefault="00730792" w:rsidP="0002399A">
            <w:pPr>
              <w:spacing w:line="300" w:lineRule="atLeast"/>
              <w:jc w:val="center"/>
              <w:rPr>
                <w:rFonts w:ascii="Arial" w:hAnsi="Arial" w:cs="Arial"/>
                <w:b/>
                <w:sz w:val="16"/>
                <w:szCs w:val="16"/>
              </w:rPr>
            </w:pPr>
            <w:r w:rsidRPr="00F31685">
              <w:rPr>
                <w:rFonts w:ascii="Arial" w:hAnsi="Arial" w:cs="Arial"/>
                <w:b/>
                <w:sz w:val="16"/>
                <w:szCs w:val="16"/>
              </w:rPr>
              <w:t>Annual Mercury Outputs, kg/</w:t>
            </w:r>
            <w:proofErr w:type="spellStart"/>
            <w:r w:rsidRPr="00F31685">
              <w:rPr>
                <w:rFonts w:ascii="Arial" w:hAnsi="Arial" w:cs="Arial"/>
                <w:b/>
                <w:sz w:val="16"/>
                <w:szCs w:val="16"/>
              </w:rPr>
              <w:t>yr</w:t>
            </w:r>
            <w:proofErr w:type="spellEnd"/>
          </w:p>
        </w:tc>
      </w:tr>
      <w:tr w:rsidR="00730792" w14:paraId="0B1930A0" w14:textId="77777777" w:rsidTr="00EE5279">
        <w:tc>
          <w:tcPr>
            <w:tcW w:w="1809" w:type="dxa"/>
            <w:vMerge/>
            <w:vAlign w:val="center"/>
          </w:tcPr>
          <w:p w14:paraId="1F053298" w14:textId="77777777" w:rsidR="00730792" w:rsidRPr="00F31685" w:rsidRDefault="00730792" w:rsidP="0002399A">
            <w:pPr>
              <w:spacing w:line="300" w:lineRule="atLeast"/>
              <w:jc w:val="center"/>
              <w:rPr>
                <w:rFonts w:ascii="Arial" w:hAnsi="Arial" w:cs="Arial"/>
                <w:b/>
                <w:sz w:val="16"/>
                <w:szCs w:val="16"/>
              </w:rPr>
            </w:pPr>
          </w:p>
        </w:tc>
        <w:tc>
          <w:tcPr>
            <w:tcW w:w="1418" w:type="dxa"/>
            <w:vMerge/>
            <w:vAlign w:val="center"/>
          </w:tcPr>
          <w:p w14:paraId="2572B7F4" w14:textId="77777777" w:rsidR="00730792" w:rsidRPr="00F31685" w:rsidRDefault="00730792" w:rsidP="0002399A">
            <w:pPr>
              <w:spacing w:line="300" w:lineRule="atLeast"/>
              <w:jc w:val="center"/>
              <w:rPr>
                <w:rFonts w:ascii="Arial" w:hAnsi="Arial" w:cs="Arial"/>
                <w:b/>
                <w:sz w:val="16"/>
                <w:szCs w:val="16"/>
              </w:rPr>
            </w:pPr>
          </w:p>
        </w:tc>
        <w:tc>
          <w:tcPr>
            <w:tcW w:w="1417" w:type="dxa"/>
            <w:vMerge/>
            <w:vAlign w:val="center"/>
          </w:tcPr>
          <w:p w14:paraId="3D07D11A" w14:textId="77777777" w:rsidR="00730792" w:rsidRPr="00F31685" w:rsidRDefault="00730792" w:rsidP="0002399A">
            <w:pPr>
              <w:spacing w:line="300" w:lineRule="atLeast"/>
              <w:jc w:val="center"/>
              <w:rPr>
                <w:rFonts w:ascii="Arial" w:hAnsi="Arial" w:cs="Arial"/>
                <w:b/>
                <w:sz w:val="16"/>
                <w:szCs w:val="16"/>
              </w:rPr>
            </w:pPr>
          </w:p>
        </w:tc>
        <w:tc>
          <w:tcPr>
            <w:tcW w:w="1560" w:type="dxa"/>
            <w:vMerge/>
            <w:vAlign w:val="center"/>
          </w:tcPr>
          <w:p w14:paraId="6FED9488" w14:textId="77777777" w:rsidR="00730792" w:rsidRPr="00F31685" w:rsidRDefault="00730792" w:rsidP="0002399A">
            <w:pPr>
              <w:spacing w:line="300" w:lineRule="atLeast"/>
              <w:jc w:val="center"/>
              <w:rPr>
                <w:rFonts w:ascii="Arial" w:hAnsi="Arial" w:cs="Arial"/>
                <w:b/>
                <w:sz w:val="16"/>
                <w:szCs w:val="16"/>
              </w:rPr>
            </w:pPr>
          </w:p>
        </w:tc>
        <w:tc>
          <w:tcPr>
            <w:tcW w:w="1535" w:type="dxa"/>
            <w:vAlign w:val="center"/>
          </w:tcPr>
          <w:p w14:paraId="08680731" w14:textId="77777777" w:rsidR="00730792" w:rsidRPr="00F31685" w:rsidRDefault="00730792" w:rsidP="0002399A">
            <w:pPr>
              <w:spacing w:line="300" w:lineRule="atLeast"/>
              <w:jc w:val="center"/>
              <w:rPr>
                <w:rFonts w:ascii="Arial" w:hAnsi="Arial" w:cs="Arial"/>
                <w:b/>
                <w:sz w:val="16"/>
                <w:szCs w:val="16"/>
              </w:rPr>
            </w:pPr>
            <w:r w:rsidRPr="00F31685">
              <w:rPr>
                <w:rFonts w:ascii="Arial" w:hAnsi="Arial" w:cs="Arial"/>
                <w:b/>
                <w:sz w:val="16"/>
                <w:szCs w:val="16"/>
              </w:rPr>
              <w:t>Air</w:t>
            </w:r>
          </w:p>
        </w:tc>
        <w:tc>
          <w:tcPr>
            <w:tcW w:w="1548" w:type="dxa"/>
            <w:vAlign w:val="center"/>
          </w:tcPr>
          <w:p w14:paraId="19E897ED" w14:textId="77777777" w:rsidR="00730792" w:rsidRPr="00F31685" w:rsidRDefault="00730792" w:rsidP="0002399A">
            <w:pPr>
              <w:spacing w:line="300" w:lineRule="atLeast"/>
              <w:jc w:val="center"/>
              <w:rPr>
                <w:rFonts w:ascii="Arial" w:hAnsi="Arial" w:cs="Arial"/>
                <w:b/>
                <w:sz w:val="16"/>
                <w:szCs w:val="16"/>
              </w:rPr>
            </w:pPr>
            <w:r>
              <w:rPr>
                <w:rFonts w:ascii="Arial" w:hAnsi="Arial" w:cs="Arial"/>
                <w:b/>
                <w:sz w:val="16"/>
                <w:szCs w:val="16"/>
              </w:rPr>
              <w:t>Product</w:t>
            </w:r>
          </w:p>
        </w:tc>
      </w:tr>
      <w:tr w:rsidR="00730792" w14:paraId="6B3A0AE9" w14:textId="77777777" w:rsidTr="00EE5279">
        <w:tc>
          <w:tcPr>
            <w:tcW w:w="1809" w:type="dxa"/>
          </w:tcPr>
          <w:p w14:paraId="606B0F36" w14:textId="77777777" w:rsidR="00730792" w:rsidRPr="00F31685" w:rsidRDefault="00730792" w:rsidP="0002399A">
            <w:pPr>
              <w:spacing w:line="300" w:lineRule="atLeast"/>
              <w:jc w:val="both"/>
              <w:rPr>
                <w:rFonts w:ascii="Arial" w:hAnsi="Arial" w:cs="Arial"/>
                <w:sz w:val="16"/>
                <w:szCs w:val="16"/>
              </w:rPr>
            </w:pPr>
            <w:r>
              <w:rPr>
                <w:rFonts w:ascii="Arial" w:hAnsi="Arial" w:cs="Arial"/>
                <w:sz w:val="16"/>
                <w:szCs w:val="16"/>
              </w:rPr>
              <w:t>Lime production</w:t>
            </w:r>
            <w:r w:rsidR="00281515">
              <w:rPr>
                <w:rFonts w:ascii="Arial" w:hAnsi="Arial" w:cs="Arial"/>
                <w:sz w:val="16"/>
                <w:szCs w:val="16"/>
              </w:rPr>
              <w:t>, 2012</w:t>
            </w:r>
          </w:p>
        </w:tc>
        <w:tc>
          <w:tcPr>
            <w:tcW w:w="1418" w:type="dxa"/>
            <w:vAlign w:val="center"/>
          </w:tcPr>
          <w:p w14:paraId="06338774" w14:textId="77777777" w:rsidR="00730792" w:rsidRPr="00F31685" w:rsidRDefault="003630BE" w:rsidP="00730792">
            <w:pPr>
              <w:spacing w:line="300" w:lineRule="atLeast"/>
              <w:jc w:val="center"/>
              <w:rPr>
                <w:rFonts w:ascii="Arial" w:hAnsi="Arial" w:cs="Arial"/>
                <w:sz w:val="16"/>
                <w:szCs w:val="16"/>
              </w:rPr>
            </w:pPr>
            <w:r>
              <w:rPr>
                <w:rFonts w:ascii="Arial" w:hAnsi="Arial" w:cs="Arial"/>
                <w:sz w:val="16"/>
                <w:szCs w:val="16"/>
              </w:rPr>
              <w:t>1</w:t>
            </w:r>
            <w:r w:rsidR="00DA5279">
              <w:rPr>
                <w:rFonts w:ascii="Arial" w:hAnsi="Arial" w:cs="Arial"/>
                <w:sz w:val="16"/>
                <w:szCs w:val="16"/>
              </w:rPr>
              <w:t>7</w:t>
            </w:r>
            <w:r>
              <w:rPr>
                <w:rFonts w:ascii="Arial" w:hAnsi="Arial" w:cs="Arial"/>
                <w:sz w:val="16"/>
                <w:szCs w:val="16"/>
              </w:rPr>
              <w:t>0</w:t>
            </w:r>
            <w:r w:rsidR="00730792">
              <w:rPr>
                <w:rFonts w:ascii="Arial" w:hAnsi="Arial" w:cs="Arial"/>
                <w:sz w:val="16"/>
                <w:szCs w:val="16"/>
              </w:rPr>
              <w:t>,000</w:t>
            </w:r>
          </w:p>
        </w:tc>
        <w:tc>
          <w:tcPr>
            <w:tcW w:w="1417" w:type="dxa"/>
            <w:vAlign w:val="center"/>
          </w:tcPr>
          <w:p w14:paraId="01E011C9" w14:textId="77777777" w:rsidR="00730792" w:rsidRPr="00F31685" w:rsidRDefault="00730792" w:rsidP="00131E33">
            <w:pPr>
              <w:spacing w:line="300" w:lineRule="atLeast"/>
              <w:jc w:val="center"/>
              <w:rPr>
                <w:rFonts w:ascii="Arial" w:hAnsi="Arial" w:cs="Arial"/>
                <w:sz w:val="16"/>
                <w:szCs w:val="16"/>
              </w:rPr>
            </w:pPr>
            <w:r>
              <w:rPr>
                <w:rFonts w:ascii="Arial" w:hAnsi="Arial" w:cs="Arial"/>
                <w:sz w:val="16"/>
                <w:szCs w:val="16"/>
              </w:rPr>
              <w:t>5 - 20</w:t>
            </w:r>
          </w:p>
        </w:tc>
        <w:tc>
          <w:tcPr>
            <w:tcW w:w="1560" w:type="dxa"/>
            <w:vAlign w:val="center"/>
          </w:tcPr>
          <w:p w14:paraId="0C16F8AE" w14:textId="77777777" w:rsidR="00730792" w:rsidRPr="00F31685" w:rsidRDefault="005F5773" w:rsidP="0002399A">
            <w:pPr>
              <w:spacing w:line="300" w:lineRule="atLeast"/>
              <w:jc w:val="center"/>
              <w:rPr>
                <w:rFonts w:ascii="Arial" w:hAnsi="Arial" w:cs="Arial"/>
                <w:sz w:val="16"/>
                <w:szCs w:val="16"/>
              </w:rPr>
            </w:pPr>
            <w:r>
              <w:rPr>
                <w:rFonts w:ascii="Arial" w:hAnsi="Arial" w:cs="Arial"/>
                <w:sz w:val="16"/>
                <w:szCs w:val="16"/>
              </w:rPr>
              <w:t>0.85 – 3.4</w:t>
            </w:r>
            <w:r w:rsidR="008F74B4">
              <w:rPr>
                <w:rFonts w:ascii="Arial" w:hAnsi="Arial" w:cs="Arial"/>
                <w:sz w:val="16"/>
                <w:szCs w:val="16"/>
              </w:rPr>
              <w:t xml:space="preserve"> </w:t>
            </w:r>
            <w:r w:rsidR="00281515">
              <w:rPr>
                <w:rFonts w:ascii="Arial" w:hAnsi="Arial" w:cs="Arial"/>
                <w:sz w:val="16"/>
                <w:szCs w:val="16"/>
              </w:rPr>
              <w:t xml:space="preserve">      </w:t>
            </w:r>
            <w:r w:rsidR="008F74B4">
              <w:rPr>
                <w:rFonts w:ascii="Arial" w:hAnsi="Arial" w:cs="Arial"/>
                <w:sz w:val="16"/>
                <w:szCs w:val="16"/>
              </w:rPr>
              <w:t>(2.1)</w:t>
            </w:r>
          </w:p>
        </w:tc>
        <w:tc>
          <w:tcPr>
            <w:tcW w:w="1535" w:type="dxa"/>
            <w:vAlign w:val="center"/>
          </w:tcPr>
          <w:p w14:paraId="684EE894" w14:textId="77777777" w:rsidR="00730792" w:rsidRPr="00F31685" w:rsidRDefault="00EE5279" w:rsidP="00EE5279">
            <w:pPr>
              <w:spacing w:line="300" w:lineRule="atLeast"/>
              <w:jc w:val="center"/>
              <w:rPr>
                <w:rFonts w:ascii="Arial" w:hAnsi="Arial" w:cs="Arial"/>
                <w:sz w:val="16"/>
                <w:szCs w:val="16"/>
              </w:rPr>
            </w:pPr>
            <w:r>
              <w:rPr>
                <w:rFonts w:ascii="Arial" w:hAnsi="Arial" w:cs="Arial"/>
                <w:sz w:val="16"/>
                <w:szCs w:val="16"/>
              </w:rPr>
              <w:t>0.595</w:t>
            </w:r>
            <w:r w:rsidR="005F5773">
              <w:rPr>
                <w:rFonts w:ascii="Arial" w:hAnsi="Arial" w:cs="Arial"/>
                <w:sz w:val="16"/>
                <w:szCs w:val="16"/>
              </w:rPr>
              <w:t xml:space="preserve"> – 2.</w:t>
            </w:r>
            <w:r>
              <w:rPr>
                <w:rFonts w:ascii="Arial" w:hAnsi="Arial" w:cs="Arial"/>
                <w:sz w:val="16"/>
                <w:szCs w:val="16"/>
              </w:rPr>
              <w:t>38</w:t>
            </w:r>
            <w:r w:rsidR="008F74B4">
              <w:rPr>
                <w:rFonts w:ascii="Arial" w:hAnsi="Arial" w:cs="Arial"/>
                <w:sz w:val="16"/>
                <w:szCs w:val="16"/>
              </w:rPr>
              <w:t xml:space="preserve"> </w:t>
            </w:r>
            <w:r w:rsidR="00281515">
              <w:rPr>
                <w:rFonts w:ascii="Arial" w:hAnsi="Arial" w:cs="Arial"/>
                <w:sz w:val="16"/>
                <w:szCs w:val="16"/>
              </w:rPr>
              <w:t xml:space="preserve">  </w:t>
            </w:r>
            <w:r w:rsidR="008F74B4">
              <w:rPr>
                <w:rFonts w:ascii="Arial" w:hAnsi="Arial" w:cs="Arial"/>
                <w:sz w:val="16"/>
                <w:szCs w:val="16"/>
              </w:rPr>
              <w:t>(1.5)</w:t>
            </w:r>
          </w:p>
        </w:tc>
        <w:tc>
          <w:tcPr>
            <w:tcW w:w="1548" w:type="dxa"/>
            <w:vAlign w:val="center"/>
          </w:tcPr>
          <w:p w14:paraId="363D5D88" w14:textId="77777777" w:rsidR="00730792" w:rsidRPr="00F31685" w:rsidRDefault="005F5773" w:rsidP="00EE5279">
            <w:pPr>
              <w:spacing w:line="300" w:lineRule="atLeast"/>
              <w:jc w:val="center"/>
              <w:rPr>
                <w:rFonts w:ascii="Arial" w:hAnsi="Arial" w:cs="Arial"/>
                <w:sz w:val="16"/>
                <w:szCs w:val="16"/>
              </w:rPr>
            </w:pPr>
            <w:r>
              <w:rPr>
                <w:rFonts w:ascii="Arial" w:hAnsi="Arial" w:cs="Arial"/>
                <w:sz w:val="16"/>
                <w:szCs w:val="16"/>
              </w:rPr>
              <w:t>0.</w:t>
            </w:r>
            <w:r w:rsidR="00D1425D">
              <w:rPr>
                <w:rFonts w:ascii="Arial" w:hAnsi="Arial" w:cs="Arial"/>
                <w:sz w:val="16"/>
                <w:szCs w:val="16"/>
              </w:rPr>
              <w:t>2</w:t>
            </w:r>
            <w:r w:rsidR="00EE5279">
              <w:rPr>
                <w:rFonts w:ascii="Arial" w:hAnsi="Arial" w:cs="Arial"/>
                <w:sz w:val="16"/>
                <w:szCs w:val="16"/>
              </w:rPr>
              <w:t>55</w:t>
            </w:r>
            <w:r>
              <w:rPr>
                <w:rFonts w:ascii="Arial" w:hAnsi="Arial" w:cs="Arial"/>
                <w:sz w:val="16"/>
                <w:szCs w:val="16"/>
              </w:rPr>
              <w:t>– 1.</w:t>
            </w:r>
            <w:r w:rsidR="00D1425D">
              <w:rPr>
                <w:rFonts w:ascii="Arial" w:hAnsi="Arial" w:cs="Arial"/>
                <w:sz w:val="16"/>
                <w:szCs w:val="16"/>
              </w:rPr>
              <w:t>0</w:t>
            </w:r>
            <w:r w:rsidR="00EE5279">
              <w:rPr>
                <w:rFonts w:ascii="Arial" w:hAnsi="Arial" w:cs="Arial"/>
                <w:sz w:val="16"/>
                <w:szCs w:val="16"/>
              </w:rPr>
              <w:t>2</w:t>
            </w:r>
            <w:r w:rsidR="00D1425D">
              <w:rPr>
                <w:rFonts w:ascii="Arial" w:hAnsi="Arial" w:cs="Arial"/>
                <w:sz w:val="16"/>
                <w:szCs w:val="16"/>
              </w:rPr>
              <w:t xml:space="preserve"> </w:t>
            </w:r>
            <w:r w:rsidR="00281515">
              <w:rPr>
                <w:rFonts w:ascii="Arial" w:hAnsi="Arial" w:cs="Arial"/>
                <w:sz w:val="16"/>
                <w:szCs w:val="16"/>
              </w:rPr>
              <w:t xml:space="preserve"> </w:t>
            </w:r>
            <w:r w:rsidR="00D1425D">
              <w:rPr>
                <w:rFonts w:ascii="Arial" w:hAnsi="Arial" w:cs="Arial"/>
                <w:sz w:val="16"/>
                <w:szCs w:val="16"/>
              </w:rPr>
              <w:t>(0.64)</w:t>
            </w:r>
          </w:p>
        </w:tc>
      </w:tr>
      <w:tr w:rsidR="00281515" w14:paraId="245B58A3" w14:textId="77777777" w:rsidTr="00EE5279">
        <w:tc>
          <w:tcPr>
            <w:tcW w:w="1809" w:type="dxa"/>
          </w:tcPr>
          <w:p w14:paraId="2CC18B0D" w14:textId="77777777" w:rsidR="00281515" w:rsidRDefault="00281515" w:rsidP="0002399A">
            <w:pPr>
              <w:spacing w:line="300" w:lineRule="atLeast"/>
              <w:jc w:val="both"/>
              <w:rPr>
                <w:rFonts w:ascii="Arial" w:hAnsi="Arial" w:cs="Arial"/>
                <w:sz w:val="16"/>
                <w:szCs w:val="16"/>
              </w:rPr>
            </w:pPr>
            <w:r>
              <w:rPr>
                <w:rFonts w:ascii="Arial" w:hAnsi="Arial" w:cs="Arial"/>
                <w:sz w:val="16"/>
                <w:szCs w:val="16"/>
              </w:rPr>
              <w:t>Lime production, 2016</w:t>
            </w:r>
          </w:p>
        </w:tc>
        <w:tc>
          <w:tcPr>
            <w:tcW w:w="1418" w:type="dxa"/>
            <w:vAlign w:val="center"/>
          </w:tcPr>
          <w:p w14:paraId="180035AF" w14:textId="42438270" w:rsidR="00281515" w:rsidRDefault="0084664C" w:rsidP="00730792">
            <w:pPr>
              <w:spacing w:line="300" w:lineRule="atLeast"/>
              <w:jc w:val="center"/>
              <w:rPr>
                <w:rFonts w:ascii="Arial" w:hAnsi="Arial" w:cs="Arial"/>
                <w:sz w:val="16"/>
                <w:szCs w:val="16"/>
              </w:rPr>
            </w:pPr>
            <w:r>
              <w:rPr>
                <w:rFonts w:ascii="Arial" w:hAnsi="Arial" w:cs="Arial"/>
                <w:sz w:val="16"/>
                <w:szCs w:val="16"/>
              </w:rPr>
              <w:t>245,7</w:t>
            </w:r>
            <w:r w:rsidR="00281515">
              <w:rPr>
                <w:rFonts w:ascii="Arial" w:hAnsi="Arial" w:cs="Arial"/>
                <w:sz w:val="16"/>
                <w:szCs w:val="16"/>
              </w:rPr>
              <w:t>00</w:t>
            </w:r>
          </w:p>
        </w:tc>
        <w:tc>
          <w:tcPr>
            <w:tcW w:w="1417" w:type="dxa"/>
            <w:vAlign w:val="center"/>
          </w:tcPr>
          <w:p w14:paraId="5B184ABF" w14:textId="77777777" w:rsidR="00281515" w:rsidRDefault="00281515" w:rsidP="00131E33">
            <w:pPr>
              <w:spacing w:line="300" w:lineRule="atLeast"/>
              <w:jc w:val="center"/>
              <w:rPr>
                <w:rFonts w:ascii="Arial" w:hAnsi="Arial" w:cs="Arial"/>
                <w:sz w:val="16"/>
                <w:szCs w:val="16"/>
              </w:rPr>
            </w:pPr>
            <w:r>
              <w:rPr>
                <w:rFonts w:ascii="Arial" w:hAnsi="Arial" w:cs="Arial"/>
                <w:sz w:val="16"/>
                <w:szCs w:val="16"/>
              </w:rPr>
              <w:t>5 - 20</w:t>
            </w:r>
          </w:p>
        </w:tc>
        <w:tc>
          <w:tcPr>
            <w:tcW w:w="1560" w:type="dxa"/>
            <w:vAlign w:val="center"/>
          </w:tcPr>
          <w:p w14:paraId="4DF868DD" w14:textId="6F306550" w:rsidR="00281515" w:rsidRDefault="002E1BB2" w:rsidP="002E1BB2">
            <w:pPr>
              <w:spacing w:line="300" w:lineRule="atLeast"/>
              <w:jc w:val="center"/>
              <w:rPr>
                <w:rFonts w:ascii="Arial" w:hAnsi="Arial" w:cs="Arial"/>
                <w:sz w:val="16"/>
                <w:szCs w:val="16"/>
              </w:rPr>
            </w:pPr>
            <w:r>
              <w:rPr>
                <w:rFonts w:ascii="Arial" w:hAnsi="Arial" w:cs="Arial"/>
                <w:sz w:val="16"/>
                <w:szCs w:val="16"/>
              </w:rPr>
              <w:t>1.23</w:t>
            </w:r>
            <w:r w:rsidR="00281515">
              <w:rPr>
                <w:rFonts w:ascii="Arial" w:hAnsi="Arial" w:cs="Arial"/>
                <w:sz w:val="16"/>
                <w:szCs w:val="16"/>
              </w:rPr>
              <w:t xml:space="preserve"> – </w:t>
            </w:r>
            <w:r>
              <w:rPr>
                <w:rFonts w:ascii="Arial" w:hAnsi="Arial" w:cs="Arial"/>
                <w:sz w:val="16"/>
                <w:szCs w:val="16"/>
              </w:rPr>
              <w:t>4.91    (3.07</w:t>
            </w:r>
            <w:r w:rsidR="00281515">
              <w:rPr>
                <w:rFonts w:ascii="Arial" w:hAnsi="Arial" w:cs="Arial"/>
                <w:sz w:val="16"/>
                <w:szCs w:val="16"/>
              </w:rPr>
              <w:t>)</w:t>
            </w:r>
          </w:p>
        </w:tc>
        <w:tc>
          <w:tcPr>
            <w:tcW w:w="1535" w:type="dxa"/>
            <w:vAlign w:val="center"/>
          </w:tcPr>
          <w:p w14:paraId="4DDBBA34" w14:textId="68DBCA32" w:rsidR="00281515" w:rsidRDefault="00281515" w:rsidP="002E1BB2">
            <w:pPr>
              <w:spacing w:line="300" w:lineRule="atLeast"/>
              <w:jc w:val="center"/>
              <w:rPr>
                <w:rFonts w:ascii="Arial" w:hAnsi="Arial" w:cs="Arial"/>
                <w:sz w:val="16"/>
                <w:szCs w:val="16"/>
              </w:rPr>
            </w:pPr>
            <w:r>
              <w:rPr>
                <w:rFonts w:ascii="Arial" w:hAnsi="Arial" w:cs="Arial"/>
                <w:sz w:val="16"/>
                <w:szCs w:val="16"/>
              </w:rPr>
              <w:t>0</w:t>
            </w:r>
            <w:r w:rsidR="002E1BB2">
              <w:rPr>
                <w:rFonts w:ascii="Arial" w:hAnsi="Arial" w:cs="Arial"/>
                <w:sz w:val="16"/>
                <w:szCs w:val="16"/>
              </w:rPr>
              <w:t xml:space="preserve">.86 – 3.44 </w:t>
            </w:r>
            <w:r>
              <w:rPr>
                <w:rFonts w:ascii="Arial" w:hAnsi="Arial" w:cs="Arial"/>
                <w:sz w:val="16"/>
                <w:szCs w:val="16"/>
              </w:rPr>
              <w:t xml:space="preserve"> (</w:t>
            </w:r>
            <w:r w:rsidR="002E1BB2">
              <w:rPr>
                <w:rFonts w:ascii="Arial" w:hAnsi="Arial" w:cs="Arial"/>
                <w:sz w:val="16"/>
                <w:szCs w:val="16"/>
              </w:rPr>
              <w:t>2</w:t>
            </w:r>
            <w:r>
              <w:rPr>
                <w:rFonts w:ascii="Arial" w:hAnsi="Arial" w:cs="Arial"/>
                <w:sz w:val="16"/>
                <w:szCs w:val="16"/>
              </w:rPr>
              <w:t>.</w:t>
            </w:r>
            <w:r w:rsidR="002E1BB2">
              <w:rPr>
                <w:rFonts w:ascii="Arial" w:hAnsi="Arial" w:cs="Arial"/>
                <w:sz w:val="16"/>
                <w:szCs w:val="16"/>
              </w:rPr>
              <w:t>15</w:t>
            </w:r>
            <w:r>
              <w:rPr>
                <w:rFonts w:ascii="Arial" w:hAnsi="Arial" w:cs="Arial"/>
                <w:sz w:val="16"/>
                <w:szCs w:val="16"/>
              </w:rPr>
              <w:t>)</w:t>
            </w:r>
          </w:p>
        </w:tc>
        <w:tc>
          <w:tcPr>
            <w:tcW w:w="1548" w:type="dxa"/>
            <w:vAlign w:val="center"/>
          </w:tcPr>
          <w:p w14:paraId="01834785" w14:textId="7C3FA0EC" w:rsidR="00281515" w:rsidRDefault="00654EAB" w:rsidP="00EE5279">
            <w:pPr>
              <w:spacing w:line="300" w:lineRule="atLeast"/>
              <w:jc w:val="center"/>
              <w:rPr>
                <w:rFonts w:ascii="Arial" w:hAnsi="Arial" w:cs="Arial"/>
                <w:sz w:val="16"/>
                <w:szCs w:val="16"/>
              </w:rPr>
            </w:pPr>
            <w:r>
              <w:rPr>
                <w:rFonts w:ascii="Arial" w:hAnsi="Arial" w:cs="Arial"/>
                <w:sz w:val="16"/>
                <w:szCs w:val="16"/>
              </w:rPr>
              <w:t>0</w:t>
            </w:r>
            <w:r w:rsidR="002E1BB2">
              <w:rPr>
                <w:rFonts w:ascii="Arial" w:hAnsi="Arial" w:cs="Arial"/>
                <w:sz w:val="16"/>
                <w:szCs w:val="16"/>
              </w:rPr>
              <w:t>.3</w:t>
            </w:r>
            <w:r>
              <w:rPr>
                <w:rFonts w:ascii="Arial" w:hAnsi="Arial" w:cs="Arial"/>
                <w:sz w:val="16"/>
                <w:szCs w:val="16"/>
              </w:rPr>
              <w:t>7 –</w:t>
            </w:r>
            <w:r w:rsidR="002E1BB2">
              <w:rPr>
                <w:rFonts w:ascii="Arial" w:hAnsi="Arial" w:cs="Arial"/>
                <w:sz w:val="16"/>
                <w:szCs w:val="16"/>
              </w:rPr>
              <w:t xml:space="preserve"> 1.47</w:t>
            </w:r>
            <w:r w:rsidR="00C26390">
              <w:rPr>
                <w:rFonts w:ascii="Arial" w:hAnsi="Arial" w:cs="Arial"/>
                <w:sz w:val="16"/>
                <w:szCs w:val="16"/>
              </w:rPr>
              <w:t xml:space="preserve"> </w:t>
            </w:r>
            <w:r w:rsidR="002E1BB2">
              <w:rPr>
                <w:rFonts w:ascii="Arial" w:hAnsi="Arial" w:cs="Arial"/>
                <w:sz w:val="16"/>
                <w:szCs w:val="16"/>
              </w:rPr>
              <w:t xml:space="preserve"> (0.92</w:t>
            </w:r>
            <w:r w:rsidR="00281515">
              <w:rPr>
                <w:rFonts w:ascii="Arial" w:hAnsi="Arial" w:cs="Arial"/>
                <w:sz w:val="16"/>
                <w:szCs w:val="16"/>
              </w:rPr>
              <w:t>)</w:t>
            </w:r>
          </w:p>
        </w:tc>
      </w:tr>
    </w:tbl>
    <w:p w14:paraId="5F643C35" w14:textId="77777777" w:rsidR="00730792" w:rsidRPr="00BE17CF" w:rsidRDefault="00730792" w:rsidP="00730792">
      <w:pPr>
        <w:tabs>
          <w:tab w:val="left" w:pos="2760"/>
        </w:tabs>
        <w:spacing w:before="120" w:line="300" w:lineRule="atLeast"/>
        <w:jc w:val="both"/>
        <w:rPr>
          <w:rFonts w:ascii="Arial" w:hAnsi="Arial" w:cs="Arial"/>
          <w:b/>
          <w:szCs w:val="18"/>
        </w:rPr>
      </w:pPr>
      <w:r w:rsidRPr="00BE17CF">
        <w:rPr>
          <w:rFonts w:ascii="Arial" w:hAnsi="Arial" w:cs="Arial"/>
          <w:b/>
          <w:szCs w:val="18"/>
        </w:rPr>
        <w:t>Certainty assessment</w:t>
      </w:r>
    </w:p>
    <w:p w14:paraId="23669E2D" w14:textId="77777777" w:rsidR="003C357B" w:rsidRDefault="003C357B" w:rsidP="003C357B">
      <w:pPr>
        <w:tabs>
          <w:tab w:val="left" w:pos="1701"/>
        </w:tabs>
        <w:spacing w:line="300" w:lineRule="atLeast"/>
        <w:jc w:val="both"/>
        <w:rPr>
          <w:szCs w:val="18"/>
        </w:rPr>
      </w:pPr>
      <w:r>
        <w:rPr>
          <w:szCs w:val="18"/>
        </w:rPr>
        <w:t xml:space="preserve">Activity data: </w:t>
      </w:r>
      <w:r>
        <w:rPr>
          <w:szCs w:val="18"/>
        </w:rPr>
        <w:tab/>
        <w:t>HIGH (because it was based on published data)</w:t>
      </w:r>
    </w:p>
    <w:p w14:paraId="32CEE922" w14:textId="77777777" w:rsidR="003C357B" w:rsidRDefault="003C357B" w:rsidP="003C357B">
      <w:pPr>
        <w:tabs>
          <w:tab w:val="left" w:pos="1701"/>
        </w:tabs>
        <w:spacing w:line="300" w:lineRule="atLeast"/>
        <w:jc w:val="both"/>
        <w:rPr>
          <w:szCs w:val="18"/>
        </w:rPr>
      </w:pPr>
      <w:r>
        <w:rPr>
          <w:szCs w:val="18"/>
        </w:rPr>
        <w:t xml:space="preserve">Input estimates: </w:t>
      </w:r>
      <w:r>
        <w:rPr>
          <w:szCs w:val="18"/>
        </w:rPr>
        <w:tab/>
      </w:r>
      <w:r w:rsidR="001D62C1">
        <w:rPr>
          <w:szCs w:val="18"/>
        </w:rPr>
        <w:t>LOW</w:t>
      </w:r>
      <w:r>
        <w:rPr>
          <w:szCs w:val="18"/>
        </w:rPr>
        <w:t xml:space="preserve"> (</w:t>
      </w:r>
      <w:r w:rsidRPr="00944DCC">
        <w:rPr>
          <w:szCs w:val="18"/>
        </w:rPr>
        <w:t xml:space="preserve">because </w:t>
      </w:r>
      <w:r w:rsidR="001D62C1">
        <w:rPr>
          <w:szCs w:val="18"/>
        </w:rPr>
        <w:t>they</w:t>
      </w:r>
      <w:r w:rsidRPr="00944DCC">
        <w:rPr>
          <w:szCs w:val="18"/>
        </w:rPr>
        <w:t xml:space="preserve"> </w:t>
      </w:r>
      <w:r w:rsidR="001E5DEF">
        <w:rPr>
          <w:szCs w:val="18"/>
        </w:rPr>
        <w:t>a</w:t>
      </w:r>
      <w:r w:rsidR="001D62C1">
        <w:rPr>
          <w:szCs w:val="18"/>
        </w:rPr>
        <w:t>re</w:t>
      </w:r>
      <w:r w:rsidRPr="00944DCC">
        <w:rPr>
          <w:szCs w:val="18"/>
        </w:rPr>
        <w:t xml:space="preserve"> based on </w:t>
      </w:r>
      <w:r w:rsidR="001D62C1">
        <w:rPr>
          <w:szCs w:val="18"/>
        </w:rPr>
        <w:t>limited published</w:t>
      </w:r>
      <w:r w:rsidRPr="00944DCC">
        <w:rPr>
          <w:szCs w:val="18"/>
        </w:rPr>
        <w:t xml:space="preserve"> data</w:t>
      </w:r>
      <w:r>
        <w:rPr>
          <w:szCs w:val="18"/>
        </w:rPr>
        <w:t>)</w:t>
      </w:r>
    </w:p>
    <w:p w14:paraId="46D28D73" w14:textId="77777777" w:rsidR="003C357B" w:rsidRPr="0028681C" w:rsidRDefault="003C357B" w:rsidP="003C357B">
      <w:pPr>
        <w:tabs>
          <w:tab w:val="left" w:pos="1701"/>
        </w:tabs>
        <w:spacing w:line="300" w:lineRule="atLeast"/>
        <w:jc w:val="both"/>
        <w:rPr>
          <w:szCs w:val="18"/>
        </w:rPr>
      </w:pPr>
      <w:r>
        <w:rPr>
          <w:szCs w:val="18"/>
        </w:rPr>
        <w:t xml:space="preserve">Output estimates: </w:t>
      </w:r>
      <w:r>
        <w:rPr>
          <w:szCs w:val="18"/>
        </w:rPr>
        <w:tab/>
      </w:r>
      <w:r w:rsidR="001D62C1">
        <w:rPr>
          <w:szCs w:val="18"/>
        </w:rPr>
        <w:t>LOW</w:t>
      </w:r>
      <w:r>
        <w:rPr>
          <w:szCs w:val="18"/>
        </w:rPr>
        <w:t xml:space="preserve"> (</w:t>
      </w:r>
      <w:r w:rsidRPr="00944DCC">
        <w:rPr>
          <w:szCs w:val="18"/>
        </w:rPr>
        <w:t xml:space="preserve">because the releases </w:t>
      </w:r>
      <w:r w:rsidR="001D62C1">
        <w:rPr>
          <w:szCs w:val="18"/>
        </w:rPr>
        <w:t xml:space="preserve">were </w:t>
      </w:r>
      <w:r w:rsidRPr="00944DCC">
        <w:rPr>
          <w:szCs w:val="18"/>
        </w:rPr>
        <w:t>estimated from default factor</w:t>
      </w:r>
      <w:r w:rsidR="001D62C1">
        <w:rPr>
          <w:szCs w:val="18"/>
        </w:rPr>
        <w:t>s for cement production</w:t>
      </w:r>
      <w:r>
        <w:rPr>
          <w:szCs w:val="18"/>
        </w:rPr>
        <w:t>).</w:t>
      </w:r>
    </w:p>
    <w:p w14:paraId="1689554A" w14:textId="77777777" w:rsidR="00FA0FEA" w:rsidRDefault="00841900" w:rsidP="00841900">
      <w:pPr>
        <w:pStyle w:val="Heading2"/>
      </w:pPr>
      <w:bookmarkStart w:id="75" w:name="_Toc484949585"/>
      <w:r>
        <w:t>Other minerals and materials</w:t>
      </w:r>
      <w:bookmarkEnd w:id="75"/>
      <w:r w:rsidR="00281515">
        <w:t xml:space="preserve"> </w:t>
      </w:r>
    </w:p>
    <w:p w14:paraId="2D99A990" w14:textId="77777777" w:rsidR="00FA0FEA" w:rsidRDefault="0002399A" w:rsidP="003833D6">
      <w:pPr>
        <w:spacing w:line="300" w:lineRule="atLeast"/>
        <w:jc w:val="both"/>
        <w:rPr>
          <w:szCs w:val="18"/>
        </w:rPr>
      </w:pPr>
      <w:r>
        <w:rPr>
          <w:szCs w:val="18"/>
        </w:rPr>
        <w:t xml:space="preserve">Two other New Zealand sources of mercury releases from minerals have been identified for this inventory; the application of </w:t>
      </w:r>
      <w:proofErr w:type="spellStart"/>
      <w:r>
        <w:rPr>
          <w:szCs w:val="18"/>
        </w:rPr>
        <w:t>phosphatic</w:t>
      </w:r>
      <w:proofErr w:type="spellEnd"/>
      <w:r>
        <w:rPr>
          <w:szCs w:val="18"/>
        </w:rPr>
        <w:t xml:space="preserve"> fertilisers and </w:t>
      </w:r>
      <w:r w:rsidR="0027412C">
        <w:rPr>
          <w:szCs w:val="18"/>
        </w:rPr>
        <w:t>agricultural lime to land.</w:t>
      </w:r>
    </w:p>
    <w:p w14:paraId="7B0ABD32" w14:textId="33F338E3" w:rsidR="00FA0FEA" w:rsidRPr="00D12873" w:rsidRDefault="00D12873" w:rsidP="003833D6">
      <w:pPr>
        <w:spacing w:line="300" w:lineRule="atLeast"/>
        <w:jc w:val="both"/>
        <w:rPr>
          <w:rFonts w:ascii="Arial" w:hAnsi="Arial" w:cs="Arial"/>
          <w:b/>
          <w:szCs w:val="18"/>
        </w:rPr>
      </w:pPr>
      <w:r>
        <w:rPr>
          <w:rFonts w:ascii="Arial" w:hAnsi="Arial" w:cs="Arial"/>
          <w:b/>
          <w:szCs w:val="18"/>
        </w:rPr>
        <w:t>Phosphate</w:t>
      </w:r>
      <w:r w:rsidR="0027412C" w:rsidRPr="00D12873">
        <w:rPr>
          <w:rFonts w:ascii="Arial" w:hAnsi="Arial" w:cs="Arial"/>
          <w:b/>
          <w:szCs w:val="18"/>
        </w:rPr>
        <w:t xml:space="preserve"> fertilisers</w:t>
      </w:r>
    </w:p>
    <w:p w14:paraId="660916BB" w14:textId="77777777" w:rsidR="00FA0FEA" w:rsidRPr="00D12873" w:rsidRDefault="00B2271A" w:rsidP="003833D6">
      <w:pPr>
        <w:spacing w:line="300" w:lineRule="atLeast"/>
        <w:jc w:val="both"/>
        <w:rPr>
          <w:szCs w:val="18"/>
        </w:rPr>
      </w:pPr>
      <w:r w:rsidRPr="00D12873">
        <w:rPr>
          <w:szCs w:val="18"/>
        </w:rPr>
        <w:t>New Zealand agriculture uses a significant amount of superphosphate fertiliser, which is manufactured from imported phosphate rock</w:t>
      </w:r>
      <w:r w:rsidR="00ED315A" w:rsidRPr="00D12873">
        <w:rPr>
          <w:szCs w:val="18"/>
        </w:rPr>
        <w:t xml:space="preserve"> (NZIC, 19</w:t>
      </w:r>
      <w:r w:rsidR="00FE40C7" w:rsidRPr="00D12873">
        <w:rPr>
          <w:szCs w:val="18"/>
        </w:rPr>
        <w:t>9</w:t>
      </w:r>
      <w:r w:rsidR="00ED315A" w:rsidRPr="00D12873">
        <w:rPr>
          <w:szCs w:val="18"/>
        </w:rPr>
        <w:t>8b)</w:t>
      </w:r>
      <w:r w:rsidRPr="00D12873">
        <w:rPr>
          <w:szCs w:val="18"/>
        </w:rPr>
        <w:t xml:space="preserve">. There are </w:t>
      </w:r>
      <w:r w:rsidR="00580634" w:rsidRPr="00D12873">
        <w:rPr>
          <w:szCs w:val="18"/>
        </w:rPr>
        <w:t>6</w:t>
      </w:r>
      <w:r w:rsidRPr="00D12873">
        <w:rPr>
          <w:szCs w:val="18"/>
        </w:rPr>
        <w:t xml:space="preserve"> manufacturing plants in New Zealand, located in </w:t>
      </w:r>
      <w:r w:rsidR="00580634" w:rsidRPr="00D12873">
        <w:rPr>
          <w:szCs w:val="18"/>
        </w:rPr>
        <w:t xml:space="preserve">Northland, </w:t>
      </w:r>
      <w:r w:rsidRPr="00D12873">
        <w:rPr>
          <w:szCs w:val="18"/>
        </w:rPr>
        <w:t xml:space="preserve">Bay of Plenty, </w:t>
      </w:r>
      <w:r w:rsidR="00580634" w:rsidRPr="00D12873">
        <w:rPr>
          <w:szCs w:val="18"/>
        </w:rPr>
        <w:t xml:space="preserve">Hawkes Bay, Canterbury, </w:t>
      </w:r>
      <w:r w:rsidRPr="00D12873">
        <w:rPr>
          <w:szCs w:val="18"/>
        </w:rPr>
        <w:t>Otago and Southland regions.</w:t>
      </w:r>
    </w:p>
    <w:p w14:paraId="05B9EF9C" w14:textId="4CF4FBA9" w:rsidR="0027412C" w:rsidRPr="00D12873" w:rsidRDefault="00B2271A" w:rsidP="003833D6">
      <w:pPr>
        <w:spacing w:line="300" w:lineRule="atLeast"/>
        <w:jc w:val="both"/>
        <w:rPr>
          <w:szCs w:val="18"/>
        </w:rPr>
      </w:pPr>
      <w:r w:rsidRPr="00D12873">
        <w:rPr>
          <w:szCs w:val="18"/>
        </w:rPr>
        <w:t xml:space="preserve">The phosphate rock is imported from numerous other countries and contains varying amounts of mercury. Within this country, the two major suppliers of superphosphate </w:t>
      </w:r>
      <w:r w:rsidR="002C5744" w:rsidRPr="00D12873">
        <w:rPr>
          <w:szCs w:val="18"/>
        </w:rPr>
        <w:t>have adopted</w:t>
      </w:r>
      <w:r w:rsidRPr="00D12873">
        <w:rPr>
          <w:szCs w:val="18"/>
        </w:rPr>
        <w:t xml:space="preserve"> a maximum </w:t>
      </w:r>
      <w:r w:rsidR="002C5744" w:rsidRPr="00D12873">
        <w:rPr>
          <w:szCs w:val="18"/>
        </w:rPr>
        <w:t>mercury guideline</w:t>
      </w:r>
      <w:r w:rsidRPr="00D12873">
        <w:rPr>
          <w:szCs w:val="18"/>
        </w:rPr>
        <w:t xml:space="preserve"> of 10 mg/kg in their products, but indicate that </w:t>
      </w:r>
      <w:r w:rsidR="002C5744" w:rsidRPr="00D12873">
        <w:rPr>
          <w:szCs w:val="18"/>
        </w:rPr>
        <w:t xml:space="preserve">the levels are usually much lower (NZFRMA, 2013). </w:t>
      </w:r>
      <w:r w:rsidR="002C3F5A">
        <w:rPr>
          <w:szCs w:val="18"/>
        </w:rPr>
        <w:t xml:space="preserve">Measurements </w:t>
      </w:r>
      <w:r w:rsidR="00D71DDC">
        <w:rPr>
          <w:szCs w:val="18"/>
        </w:rPr>
        <w:t>in</w:t>
      </w:r>
      <w:r w:rsidR="002C3F5A">
        <w:rPr>
          <w:szCs w:val="18"/>
        </w:rPr>
        <w:t xml:space="preserve"> 2015 and 2016 conducted on 65 monthly samples had values in the range &lt; 0.05 - 2.7 mg/kg product with a mean of 0.09 mg/kg produ</w:t>
      </w:r>
      <w:r w:rsidR="00221A31">
        <w:rPr>
          <w:szCs w:val="18"/>
        </w:rPr>
        <w:t xml:space="preserve">ct (G </w:t>
      </w:r>
      <w:proofErr w:type="spellStart"/>
      <w:r w:rsidR="00221A31">
        <w:rPr>
          <w:szCs w:val="18"/>
        </w:rPr>
        <w:t>Sneath</w:t>
      </w:r>
      <w:proofErr w:type="spellEnd"/>
      <w:r w:rsidR="00221A31">
        <w:rPr>
          <w:szCs w:val="18"/>
        </w:rPr>
        <w:t xml:space="preserve">, </w:t>
      </w:r>
      <w:proofErr w:type="spellStart"/>
      <w:r w:rsidR="00221A31">
        <w:rPr>
          <w:szCs w:val="18"/>
        </w:rPr>
        <w:t>pers</w:t>
      </w:r>
      <w:proofErr w:type="spellEnd"/>
      <w:r w:rsidR="00221A31">
        <w:rPr>
          <w:szCs w:val="18"/>
        </w:rPr>
        <w:t xml:space="preserve"> </w:t>
      </w:r>
      <w:proofErr w:type="spellStart"/>
      <w:r w:rsidR="00221A31">
        <w:rPr>
          <w:szCs w:val="18"/>
        </w:rPr>
        <w:t>comm</w:t>
      </w:r>
      <w:proofErr w:type="spellEnd"/>
      <w:r w:rsidR="00221A31">
        <w:rPr>
          <w:szCs w:val="18"/>
        </w:rPr>
        <w:t xml:space="preserve"> 2017). </w:t>
      </w:r>
      <w:r w:rsidR="002C3F5A" w:rsidRPr="0023228D">
        <w:rPr>
          <w:szCs w:val="18"/>
        </w:rPr>
        <w:t xml:space="preserve">This latter concentration figure has been used for the upper </w:t>
      </w:r>
      <w:r w:rsidR="00B86508">
        <w:rPr>
          <w:szCs w:val="18"/>
        </w:rPr>
        <w:t>limit</w:t>
      </w:r>
      <w:r w:rsidR="00B86508">
        <w:rPr>
          <w:rStyle w:val="FootnoteReference"/>
          <w:szCs w:val="18"/>
        </w:rPr>
        <w:footnoteReference w:id="15"/>
      </w:r>
      <w:r w:rsidR="002C3F5A" w:rsidRPr="0023228D">
        <w:rPr>
          <w:szCs w:val="18"/>
        </w:rPr>
        <w:t xml:space="preserve"> in the input and output estimates, along with a lower level of 0.05 mg/kg.</w:t>
      </w:r>
    </w:p>
    <w:p w14:paraId="24F8B817" w14:textId="4E2140CE" w:rsidR="00D71DDC" w:rsidRDefault="00D71DDC" w:rsidP="00796FAD">
      <w:pPr>
        <w:spacing w:line="300" w:lineRule="atLeast"/>
        <w:jc w:val="both"/>
        <w:rPr>
          <w:szCs w:val="18"/>
        </w:rPr>
      </w:pPr>
      <w:r w:rsidRPr="0023228D">
        <w:rPr>
          <w:szCs w:val="18"/>
        </w:rPr>
        <w:lastRenderedPageBreak/>
        <w:t>The total New Zealand i</w:t>
      </w:r>
      <w:r>
        <w:rPr>
          <w:szCs w:val="18"/>
        </w:rPr>
        <w:t>mports of phosphate rock in 2016 were 559,137</w:t>
      </w:r>
      <w:r w:rsidRPr="0023228D">
        <w:rPr>
          <w:szCs w:val="18"/>
        </w:rPr>
        <w:t xml:space="preserve"> tonnes (import data obtained f</w:t>
      </w:r>
      <w:r>
        <w:rPr>
          <w:szCs w:val="18"/>
        </w:rPr>
        <w:t>rom Statistics New Zealand, 2017</w:t>
      </w:r>
      <w:r w:rsidRPr="0023228D">
        <w:rPr>
          <w:szCs w:val="18"/>
        </w:rPr>
        <w:t>)</w:t>
      </w:r>
      <w:r w:rsidR="00730A7D">
        <w:rPr>
          <w:szCs w:val="18"/>
        </w:rPr>
        <w:t>,</w:t>
      </w:r>
      <w:r w:rsidR="00730A7D" w:rsidRPr="00730A7D">
        <w:rPr>
          <w:szCs w:val="18"/>
        </w:rPr>
        <w:t xml:space="preserve"> </w:t>
      </w:r>
      <w:r w:rsidR="00730A7D">
        <w:rPr>
          <w:szCs w:val="18"/>
        </w:rPr>
        <w:t>which is equivalent to 1,096,000 tonnes of superphosphate</w:t>
      </w:r>
      <w:r w:rsidRPr="0023228D">
        <w:rPr>
          <w:szCs w:val="18"/>
        </w:rPr>
        <w:t xml:space="preserve">. </w:t>
      </w:r>
      <w:r w:rsidR="00730A7D">
        <w:rPr>
          <w:szCs w:val="18"/>
        </w:rPr>
        <w:t xml:space="preserve"> </w:t>
      </w:r>
      <w:r w:rsidRPr="0023228D">
        <w:rPr>
          <w:szCs w:val="18"/>
        </w:rPr>
        <w:t>It is not known whether any of the mercury is released from the rock during processing but, for the purposes of an initial estimate, it has been assumed to remain in the product and be discharged to land.</w:t>
      </w:r>
      <w:r w:rsidR="00796FAD">
        <w:rPr>
          <w:szCs w:val="18"/>
        </w:rPr>
        <w:t xml:space="preserve">  On the basis of the import data, the total </w:t>
      </w:r>
      <w:r>
        <w:rPr>
          <w:szCs w:val="18"/>
        </w:rPr>
        <w:t xml:space="preserve">mercury inputs can be </w:t>
      </w:r>
      <w:r w:rsidR="00796FAD">
        <w:rPr>
          <w:szCs w:val="18"/>
        </w:rPr>
        <w:t>estimated at</w:t>
      </w:r>
      <w:r>
        <w:rPr>
          <w:szCs w:val="18"/>
        </w:rPr>
        <w:t xml:space="preserve"> 54.8 – 98.6 kg</w:t>
      </w:r>
      <w:r w:rsidR="00796FAD">
        <w:rPr>
          <w:szCs w:val="18"/>
        </w:rPr>
        <w:t xml:space="preserve"> per year, and it is assumed that this will all be released to land</w:t>
      </w:r>
      <w:r>
        <w:rPr>
          <w:szCs w:val="18"/>
        </w:rPr>
        <w:t xml:space="preserve">. </w:t>
      </w:r>
    </w:p>
    <w:p w14:paraId="6CC0021D" w14:textId="109C0539" w:rsidR="00730A7D" w:rsidRDefault="00730A7D" w:rsidP="00796FAD">
      <w:pPr>
        <w:spacing w:line="300" w:lineRule="atLeast"/>
        <w:jc w:val="both"/>
        <w:rPr>
          <w:szCs w:val="18"/>
        </w:rPr>
      </w:pPr>
      <w:r>
        <w:rPr>
          <w:szCs w:val="18"/>
        </w:rPr>
        <w:t>Note:</w:t>
      </w:r>
      <w:r w:rsidR="00F50829" w:rsidRPr="00F50829">
        <w:rPr>
          <w:szCs w:val="18"/>
        </w:rPr>
        <w:t xml:space="preserve"> The estimates for inputs from phosphate fertiliser are up by about 75% on 2012, but this is because the previous estimates were incorrectly based on the import quantities of phosphate rock rather than the superphosphate product so</w:t>
      </w:r>
      <w:r w:rsidR="00F50829">
        <w:rPr>
          <w:szCs w:val="18"/>
        </w:rPr>
        <w:t>ld by the fertiliser companies. This difference has been offset to some extent by the use of lower mercury content factors for the 2016 estimates.</w:t>
      </w:r>
    </w:p>
    <w:p w14:paraId="67AF4D4F" w14:textId="77777777" w:rsidR="0027412C" w:rsidRPr="0027412C" w:rsidRDefault="0027412C" w:rsidP="003833D6">
      <w:pPr>
        <w:spacing w:line="300" w:lineRule="atLeast"/>
        <w:jc w:val="both"/>
        <w:rPr>
          <w:rFonts w:ascii="Arial" w:hAnsi="Arial" w:cs="Arial"/>
          <w:b/>
          <w:szCs w:val="18"/>
        </w:rPr>
      </w:pPr>
      <w:r w:rsidRPr="0027412C">
        <w:rPr>
          <w:rFonts w:ascii="Arial" w:hAnsi="Arial" w:cs="Arial"/>
          <w:b/>
          <w:szCs w:val="18"/>
        </w:rPr>
        <w:t>Agricultural lime</w:t>
      </w:r>
    </w:p>
    <w:p w14:paraId="69CFDE74" w14:textId="2F9843B9" w:rsidR="00263225" w:rsidRDefault="00794625" w:rsidP="003833D6">
      <w:pPr>
        <w:spacing w:line="300" w:lineRule="atLeast"/>
        <w:jc w:val="both"/>
        <w:rPr>
          <w:szCs w:val="18"/>
        </w:rPr>
      </w:pPr>
      <w:r>
        <w:rPr>
          <w:szCs w:val="18"/>
        </w:rPr>
        <w:t>Agricultural lime is applied directly to pastures in New Zealand as a soil conditioner. This material is manufactured simply by grinding limestone to produce a coarse powder, and the</w:t>
      </w:r>
      <w:r w:rsidR="00281515">
        <w:rPr>
          <w:szCs w:val="18"/>
        </w:rPr>
        <w:t xml:space="preserve"> total quantity produced in 2015</w:t>
      </w:r>
      <w:r>
        <w:rPr>
          <w:szCs w:val="18"/>
        </w:rPr>
        <w:t xml:space="preserve"> was </w:t>
      </w:r>
      <w:r w:rsidR="00281515">
        <w:rPr>
          <w:szCs w:val="18"/>
        </w:rPr>
        <w:t>975,538</w:t>
      </w:r>
      <w:r>
        <w:rPr>
          <w:szCs w:val="18"/>
        </w:rPr>
        <w:t xml:space="preserve"> tonnes</w:t>
      </w:r>
      <w:r w:rsidR="002F5753">
        <w:rPr>
          <w:szCs w:val="18"/>
        </w:rPr>
        <w:t xml:space="preserve"> (M</w:t>
      </w:r>
      <w:r w:rsidR="00D8194D">
        <w:rPr>
          <w:szCs w:val="18"/>
        </w:rPr>
        <w:t>B</w:t>
      </w:r>
      <w:r w:rsidR="002F5753">
        <w:rPr>
          <w:szCs w:val="18"/>
        </w:rPr>
        <w:t>I</w:t>
      </w:r>
      <w:r w:rsidR="00281515">
        <w:rPr>
          <w:szCs w:val="18"/>
        </w:rPr>
        <w:t>E, 2016</w:t>
      </w:r>
      <w:r w:rsidR="00C774A3">
        <w:rPr>
          <w:szCs w:val="18"/>
        </w:rPr>
        <w:t>a</w:t>
      </w:r>
      <w:r w:rsidR="002F5753">
        <w:rPr>
          <w:szCs w:val="18"/>
        </w:rPr>
        <w:t>)</w:t>
      </w:r>
      <w:r>
        <w:rPr>
          <w:szCs w:val="18"/>
        </w:rPr>
        <w:t xml:space="preserve">. </w:t>
      </w:r>
      <w:r w:rsidR="00263225">
        <w:rPr>
          <w:szCs w:val="18"/>
        </w:rPr>
        <w:t>This is 30% lower than the quantity reported for 2012 but the national data for this mineral show marked fluctuations from year to year.</w:t>
      </w:r>
    </w:p>
    <w:p w14:paraId="4B35D0BA" w14:textId="6696002C" w:rsidR="0027412C" w:rsidRDefault="00794625" w:rsidP="003833D6">
      <w:pPr>
        <w:spacing w:line="300" w:lineRule="atLeast"/>
        <w:jc w:val="both"/>
        <w:rPr>
          <w:szCs w:val="18"/>
        </w:rPr>
      </w:pPr>
      <w:r>
        <w:rPr>
          <w:szCs w:val="18"/>
        </w:rPr>
        <w:t xml:space="preserve">The mercury content </w:t>
      </w:r>
      <w:r w:rsidR="00AA0DC9">
        <w:rPr>
          <w:szCs w:val="18"/>
        </w:rPr>
        <w:t>has been</w:t>
      </w:r>
      <w:r>
        <w:rPr>
          <w:szCs w:val="18"/>
        </w:rPr>
        <w:t xml:space="preserve"> assumed to be the same as that noted previously in section 5.3; </w:t>
      </w:r>
      <w:proofErr w:type="spellStart"/>
      <w:r>
        <w:rPr>
          <w:szCs w:val="18"/>
        </w:rPr>
        <w:t>ie</w:t>
      </w:r>
      <w:proofErr w:type="spellEnd"/>
      <w:r>
        <w:rPr>
          <w:szCs w:val="18"/>
        </w:rPr>
        <w:t xml:space="preserve">. </w:t>
      </w:r>
      <w:proofErr w:type="gramStart"/>
      <w:r w:rsidRPr="00794625">
        <w:rPr>
          <w:szCs w:val="18"/>
        </w:rPr>
        <w:t>5 to 20 mg/tonne</w:t>
      </w:r>
      <w:r w:rsidR="00D8194D">
        <w:rPr>
          <w:szCs w:val="18"/>
        </w:rPr>
        <w:t>.</w:t>
      </w:r>
      <w:proofErr w:type="gramEnd"/>
    </w:p>
    <w:p w14:paraId="6A95412A" w14:textId="77777777" w:rsidR="0027412C" w:rsidRPr="00794625" w:rsidRDefault="00794625" w:rsidP="003833D6">
      <w:pPr>
        <w:spacing w:line="300" w:lineRule="atLeast"/>
        <w:jc w:val="both"/>
        <w:rPr>
          <w:rFonts w:ascii="Arial" w:hAnsi="Arial" w:cs="Arial"/>
          <w:b/>
          <w:szCs w:val="18"/>
        </w:rPr>
      </w:pPr>
      <w:r w:rsidRPr="00794625">
        <w:rPr>
          <w:rFonts w:ascii="Arial" w:hAnsi="Arial" w:cs="Arial"/>
          <w:b/>
          <w:szCs w:val="18"/>
        </w:rPr>
        <w:t>Input and output estimates</w:t>
      </w:r>
    </w:p>
    <w:p w14:paraId="7AF1E10A" w14:textId="2FEF1A3F" w:rsidR="00F00580" w:rsidRPr="00232361" w:rsidRDefault="00F00580" w:rsidP="00F00580">
      <w:pPr>
        <w:spacing w:line="300" w:lineRule="atLeast"/>
        <w:jc w:val="both"/>
        <w:rPr>
          <w:szCs w:val="18"/>
        </w:rPr>
      </w:pPr>
      <w:r w:rsidRPr="00232361">
        <w:rPr>
          <w:szCs w:val="18"/>
        </w:rPr>
        <w:t xml:space="preserve">The mercury input and output </w:t>
      </w:r>
      <w:r>
        <w:rPr>
          <w:szCs w:val="18"/>
        </w:rPr>
        <w:t>estimates</w:t>
      </w:r>
      <w:r w:rsidRPr="00232361">
        <w:rPr>
          <w:szCs w:val="18"/>
        </w:rPr>
        <w:t xml:space="preserve"> for </w:t>
      </w:r>
      <w:r>
        <w:rPr>
          <w:szCs w:val="18"/>
        </w:rPr>
        <w:t>the use of other mineral products</w:t>
      </w:r>
      <w:r w:rsidRPr="00232361">
        <w:rPr>
          <w:szCs w:val="18"/>
        </w:rPr>
        <w:t xml:space="preserve"> are shown in </w:t>
      </w:r>
      <w:r w:rsidRPr="0094605E">
        <w:rPr>
          <w:szCs w:val="18"/>
        </w:rPr>
        <w:fldChar w:fldCharType="begin"/>
      </w:r>
      <w:r w:rsidRPr="0094605E">
        <w:rPr>
          <w:szCs w:val="18"/>
        </w:rPr>
        <w:instrText xml:space="preserve"> REF _Ref358537738 \h </w:instrText>
      </w:r>
      <w:r w:rsidR="0094605E">
        <w:rPr>
          <w:szCs w:val="18"/>
        </w:rPr>
        <w:instrText xml:space="preserve"> \* MERGEFORMAT </w:instrText>
      </w:r>
      <w:r w:rsidRPr="0094605E">
        <w:rPr>
          <w:szCs w:val="18"/>
        </w:rPr>
      </w:r>
      <w:r w:rsidRPr="0094605E">
        <w:rPr>
          <w:szCs w:val="18"/>
        </w:rPr>
        <w:fldChar w:fldCharType="separate"/>
      </w:r>
      <w:r w:rsidR="00423FC9" w:rsidRPr="00423FC9">
        <w:t xml:space="preserve">Table </w:t>
      </w:r>
      <w:r w:rsidR="00423FC9" w:rsidRPr="00423FC9">
        <w:rPr>
          <w:noProof/>
        </w:rPr>
        <w:t>5</w:t>
      </w:r>
      <w:r w:rsidR="00423FC9" w:rsidRPr="00423FC9">
        <w:rPr>
          <w:noProof/>
        </w:rPr>
        <w:noBreakHyphen/>
        <w:t>4</w:t>
      </w:r>
      <w:r w:rsidRPr="0094605E">
        <w:rPr>
          <w:szCs w:val="18"/>
        </w:rPr>
        <w:fldChar w:fldCharType="end"/>
      </w:r>
      <w:r>
        <w:rPr>
          <w:szCs w:val="18"/>
        </w:rPr>
        <w:t>.</w:t>
      </w:r>
    </w:p>
    <w:p w14:paraId="2C533558" w14:textId="77777777" w:rsidR="00F00580" w:rsidRDefault="00F00580" w:rsidP="00F00580">
      <w:pPr>
        <w:pStyle w:val="Caption"/>
        <w:spacing w:before="240"/>
        <w:rPr>
          <w:szCs w:val="18"/>
        </w:rPr>
      </w:pPr>
      <w:bookmarkStart w:id="76" w:name="_Ref358537738"/>
      <w:bookmarkStart w:id="77" w:name="_Toc484949653"/>
      <w:r w:rsidRPr="00DB5237">
        <w:rPr>
          <w:rFonts w:ascii="Arial" w:hAnsi="Arial" w:cs="Arial"/>
        </w:rPr>
        <w:t xml:space="preserve">Table </w:t>
      </w:r>
      <w:r w:rsidR="00390C9F">
        <w:rPr>
          <w:rFonts w:ascii="Arial" w:hAnsi="Arial" w:cs="Arial"/>
        </w:rPr>
        <w:fldChar w:fldCharType="begin"/>
      </w:r>
      <w:r w:rsidR="00390C9F">
        <w:rPr>
          <w:rFonts w:ascii="Arial" w:hAnsi="Arial" w:cs="Arial"/>
        </w:rPr>
        <w:instrText xml:space="preserve"> STYLEREF 1 \s </w:instrText>
      </w:r>
      <w:r w:rsidR="00390C9F">
        <w:rPr>
          <w:rFonts w:ascii="Arial" w:hAnsi="Arial" w:cs="Arial"/>
        </w:rPr>
        <w:fldChar w:fldCharType="separate"/>
      </w:r>
      <w:r w:rsidR="00423FC9">
        <w:rPr>
          <w:rFonts w:ascii="Arial" w:hAnsi="Arial" w:cs="Arial"/>
          <w:noProof/>
        </w:rPr>
        <w:t>5</w:t>
      </w:r>
      <w:r w:rsidR="00390C9F">
        <w:rPr>
          <w:rFonts w:ascii="Arial" w:hAnsi="Arial" w:cs="Arial"/>
        </w:rPr>
        <w:fldChar w:fldCharType="end"/>
      </w:r>
      <w:r w:rsidR="00390C9F">
        <w:rPr>
          <w:rFonts w:ascii="Arial" w:hAnsi="Arial" w:cs="Arial"/>
        </w:rPr>
        <w:noBreakHyphen/>
      </w:r>
      <w:r w:rsidR="00390C9F">
        <w:rPr>
          <w:rFonts w:ascii="Arial" w:hAnsi="Arial" w:cs="Arial"/>
        </w:rPr>
        <w:fldChar w:fldCharType="begin"/>
      </w:r>
      <w:r w:rsidR="00390C9F">
        <w:rPr>
          <w:rFonts w:ascii="Arial" w:hAnsi="Arial" w:cs="Arial"/>
        </w:rPr>
        <w:instrText xml:space="preserve"> SEQ Table \* ARABIC \s 1 </w:instrText>
      </w:r>
      <w:r w:rsidR="00390C9F">
        <w:rPr>
          <w:rFonts w:ascii="Arial" w:hAnsi="Arial" w:cs="Arial"/>
        </w:rPr>
        <w:fldChar w:fldCharType="separate"/>
      </w:r>
      <w:r w:rsidR="00423FC9">
        <w:rPr>
          <w:rFonts w:ascii="Arial" w:hAnsi="Arial" w:cs="Arial"/>
          <w:noProof/>
        </w:rPr>
        <w:t>4</w:t>
      </w:r>
      <w:r w:rsidR="00390C9F">
        <w:rPr>
          <w:rFonts w:ascii="Arial" w:hAnsi="Arial" w:cs="Arial"/>
        </w:rPr>
        <w:fldChar w:fldCharType="end"/>
      </w:r>
      <w:bookmarkEnd w:id="76"/>
      <w:r w:rsidRPr="00DB5237">
        <w:rPr>
          <w:rFonts w:ascii="Arial" w:hAnsi="Arial" w:cs="Arial"/>
        </w:rPr>
        <w:t>:</w:t>
      </w:r>
      <w:r>
        <w:t xml:space="preserve">  </w:t>
      </w:r>
      <w:r w:rsidRPr="00284760">
        <w:rPr>
          <w:rFonts w:ascii="Arial" w:hAnsi="Arial" w:cs="Arial"/>
        </w:rPr>
        <w:t>Input and output estimates for</w:t>
      </w:r>
      <w:r>
        <w:rPr>
          <w:rFonts w:ascii="Arial" w:hAnsi="Arial" w:cs="Arial"/>
        </w:rPr>
        <w:t xml:space="preserve"> other mineral products</w:t>
      </w:r>
      <w:bookmarkEnd w:id="77"/>
    </w:p>
    <w:tbl>
      <w:tblPr>
        <w:tblStyle w:val="TableGrid"/>
        <w:tblW w:w="0" w:type="auto"/>
        <w:tblLook w:val="04A0" w:firstRow="1" w:lastRow="0" w:firstColumn="1" w:lastColumn="0" w:noHBand="0" w:noVBand="1"/>
      </w:tblPr>
      <w:tblGrid>
        <w:gridCol w:w="2103"/>
        <w:gridCol w:w="1368"/>
        <w:gridCol w:w="1482"/>
        <w:gridCol w:w="1767"/>
        <w:gridCol w:w="2567"/>
      </w:tblGrid>
      <w:tr w:rsidR="00F00580" w14:paraId="78DB0C9A" w14:textId="77777777" w:rsidTr="00796FAD">
        <w:tc>
          <w:tcPr>
            <w:tcW w:w="2051" w:type="dxa"/>
            <w:vMerge w:val="restart"/>
            <w:vAlign w:val="center"/>
          </w:tcPr>
          <w:p w14:paraId="0F323C6D" w14:textId="77777777" w:rsidR="00F00580" w:rsidRPr="00F31685" w:rsidRDefault="00F00580" w:rsidP="001E5DEF">
            <w:pPr>
              <w:spacing w:line="300" w:lineRule="atLeast"/>
              <w:jc w:val="center"/>
              <w:rPr>
                <w:rFonts w:ascii="Arial" w:hAnsi="Arial" w:cs="Arial"/>
                <w:b/>
                <w:sz w:val="16"/>
                <w:szCs w:val="16"/>
              </w:rPr>
            </w:pPr>
            <w:r w:rsidRPr="00F31685">
              <w:rPr>
                <w:rFonts w:ascii="Arial" w:hAnsi="Arial" w:cs="Arial"/>
                <w:b/>
                <w:sz w:val="16"/>
                <w:szCs w:val="16"/>
              </w:rPr>
              <w:t>Source</w:t>
            </w:r>
          </w:p>
        </w:tc>
        <w:tc>
          <w:tcPr>
            <w:tcW w:w="1348" w:type="dxa"/>
            <w:vMerge w:val="restart"/>
            <w:vAlign w:val="center"/>
          </w:tcPr>
          <w:p w14:paraId="1544D1B4" w14:textId="77777777" w:rsidR="00F00580" w:rsidRPr="00F31685" w:rsidRDefault="00F00580" w:rsidP="001E5DEF">
            <w:pPr>
              <w:spacing w:line="300" w:lineRule="atLeast"/>
              <w:jc w:val="center"/>
              <w:rPr>
                <w:rFonts w:ascii="Arial" w:hAnsi="Arial" w:cs="Arial"/>
                <w:b/>
                <w:sz w:val="16"/>
                <w:szCs w:val="16"/>
              </w:rPr>
            </w:pPr>
            <w:r w:rsidRPr="00F31685">
              <w:rPr>
                <w:rFonts w:ascii="Arial" w:hAnsi="Arial" w:cs="Arial"/>
                <w:b/>
                <w:sz w:val="16"/>
                <w:szCs w:val="16"/>
              </w:rPr>
              <w:t>Activity Rate, tonnes/</w:t>
            </w:r>
            <w:proofErr w:type="spellStart"/>
            <w:r w:rsidRPr="00F31685">
              <w:rPr>
                <w:rFonts w:ascii="Arial" w:hAnsi="Arial" w:cs="Arial"/>
                <w:b/>
                <w:sz w:val="16"/>
                <w:szCs w:val="16"/>
              </w:rPr>
              <w:t>yr</w:t>
            </w:r>
            <w:proofErr w:type="spellEnd"/>
          </w:p>
        </w:tc>
        <w:tc>
          <w:tcPr>
            <w:tcW w:w="1452" w:type="dxa"/>
            <w:vMerge w:val="restart"/>
            <w:vAlign w:val="center"/>
          </w:tcPr>
          <w:p w14:paraId="0C2DB166" w14:textId="77777777" w:rsidR="00F00580" w:rsidRPr="00F31685" w:rsidRDefault="00F00580" w:rsidP="001E5DEF">
            <w:pPr>
              <w:spacing w:line="300" w:lineRule="atLeast"/>
              <w:jc w:val="center"/>
              <w:rPr>
                <w:rFonts w:ascii="Arial" w:hAnsi="Arial" w:cs="Arial"/>
                <w:b/>
                <w:sz w:val="16"/>
                <w:szCs w:val="16"/>
              </w:rPr>
            </w:pPr>
            <w:r w:rsidRPr="00F31685">
              <w:rPr>
                <w:rFonts w:ascii="Arial" w:hAnsi="Arial" w:cs="Arial"/>
                <w:b/>
                <w:sz w:val="16"/>
                <w:szCs w:val="16"/>
              </w:rPr>
              <w:t>Mercury conten</w:t>
            </w:r>
            <w:r w:rsidR="00B169B3">
              <w:rPr>
                <w:rFonts w:ascii="Arial" w:hAnsi="Arial" w:cs="Arial"/>
                <w:b/>
                <w:sz w:val="16"/>
                <w:szCs w:val="16"/>
              </w:rPr>
              <w:t xml:space="preserve">t, </w:t>
            </w:r>
            <w:r>
              <w:rPr>
                <w:rFonts w:ascii="Arial" w:hAnsi="Arial" w:cs="Arial"/>
                <w:b/>
                <w:sz w:val="16"/>
                <w:szCs w:val="16"/>
              </w:rPr>
              <w:t>g/t</w:t>
            </w:r>
            <w:r w:rsidR="00B169B3">
              <w:rPr>
                <w:rFonts w:ascii="Arial" w:hAnsi="Arial" w:cs="Arial"/>
                <w:b/>
                <w:sz w:val="16"/>
                <w:szCs w:val="16"/>
              </w:rPr>
              <w:t>onne</w:t>
            </w:r>
          </w:p>
        </w:tc>
        <w:tc>
          <w:tcPr>
            <w:tcW w:w="1723" w:type="dxa"/>
            <w:vMerge w:val="restart"/>
            <w:vAlign w:val="center"/>
          </w:tcPr>
          <w:p w14:paraId="4FFB42B6" w14:textId="77777777" w:rsidR="00F00580" w:rsidRPr="00F31685" w:rsidRDefault="00F00580" w:rsidP="001E5DEF">
            <w:pPr>
              <w:spacing w:line="300" w:lineRule="atLeast"/>
              <w:jc w:val="center"/>
              <w:rPr>
                <w:rFonts w:ascii="Arial" w:hAnsi="Arial" w:cs="Arial"/>
                <w:b/>
                <w:sz w:val="16"/>
                <w:szCs w:val="16"/>
              </w:rPr>
            </w:pPr>
            <w:r w:rsidRPr="00F31685">
              <w:rPr>
                <w:rFonts w:ascii="Arial" w:hAnsi="Arial" w:cs="Arial"/>
                <w:b/>
                <w:sz w:val="16"/>
                <w:szCs w:val="16"/>
              </w:rPr>
              <w:t>Annual Mercury Inputs, kg/</w:t>
            </w:r>
            <w:proofErr w:type="spellStart"/>
            <w:r w:rsidRPr="00F31685">
              <w:rPr>
                <w:rFonts w:ascii="Arial" w:hAnsi="Arial" w:cs="Arial"/>
                <w:b/>
                <w:sz w:val="16"/>
                <w:szCs w:val="16"/>
              </w:rPr>
              <w:t>yr</w:t>
            </w:r>
            <w:proofErr w:type="spellEnd"/>
          </w:p>
        </w:tc>
        <w:tc>
          <w:tcPr>
            <w:tcW w:w="2487" w:type="dxa"/>
            <w:vAlign w:val="center"/>
          </w:tcPr>
          <w:p w14:paraId="753B23D8" w14:textId="77777777" w:rsidR="00F00580" w:rsidRPr="00F31685" w:rsidRDefault="00F00580" w:rsidP="001E5DEF">
            <w:pPr>
              <w:spacing w:line="300" w:lineRule="atLeast"/>
              <w:jc w:val="center"/>
              <w:rPr>
                <w:rFonts w:ascii="Arial" w:hAnsi="Arial" w:cs="Arial"/>
                <w:b/>
                <w:sz w:val="16"/>
                <w:szCs w:val="16"/>
              </w:rPr>
            </w:pPr>
            <w:r w:rsidRPr="00F31685">
              <w:rPr>
                <w:rFonts w:ascii="Arial" w:hAnsi="Arial" w:cs="Arial"/>
                <w:b/>
                <w:sz w:val="16"/>
                <w:szCs w:val="16"/>
              </w:rPr>
              <w:t>Annual Mercury Outputs, kg/</w:t>
            </w:r>
            <w:proofErr w:type="spellStart"/>
            <w:r w:rsidRPr="00F31685">
              <w:rPr>
                <w:rFonts w:ascii="Arial" w:hAnsi="Arial" w:cs="Arial"/>
                <w:b/>
                <w:sz w:val="16"/>
                <w:szCs w:val="16"/>
              </w:rPr>
              <w:t>yr</w:t>
            </w:r>
            <w:proofErr w:type="spellEnd"/>
          </w:p>
        </w:tc>
      </w:tr>
      <w:tr w:rsidR="00F00580" w14:paraId="37CE7089" w14:textId="77777777" w:rsidTr="00842CA3">
        <w:tc>
          <w:tcPr>
            <w:tcW w:w="2103" w:type="dxa"/>
            <w:vMerge/>
            <w:vAlign w:val="center"/>
          </w:tcPr>
          <w:p w14:paraId="067F68F5" w14:textId="77777777" w:rsidR="00F00580" w:rsidRPr="00F31685" w:rsidRDefault="00F00580" w:rsidP="001E5DEF">
            <w:pPr>
              <w:spacing w:line="300" w:lineRule="atLeast"/>
              <w:jc w:val="center"/>
              <w:rPr>
                <w:rFonts w:ascii="Arial" w:hAnsi="Arial" w:cs="Arial"/>
                <w:b/>
                <w:sz w:val="16"/>
                <w:szCs w:val="16"/>
              </w:rPr>
            </w:pPr>
          </w:p>
        </w:tc>
        <w:tc>
          <w:tcPr>
            <w:tcW w:w="1368" w:type="dxa"/>
            <w:vMerge/>
            <w:vAlign w:val="center"/>
          </w:tcPr>
          <w:p w14:paraId="60EA3FF7" w14:textId="77777777" w:rsidR="00F00580" w:rsidRPr="00F31685" w:rsidRDefault="00F00580" w:rsidP="001E5DEF">
            <w:pPr>
              <w:spacing w:line="300" w:lineRule="atLeast"/>
              <w:jc w:val="center"/>
              <w:rPr>
                <w:rFonts w:ascii="Arial" w:hAnsi="Arial" w:cs="Arial"/>
                <w:b/>
                <w:sz w:val="16"/>
                <w:szCs w:val="16"/>
              </w:rPr>
            </w:pPr>
          </w:p>
        </w:tc>
        <w:tc>
          <w:tcPr>
            <w:tcW w:w="1482" w:type="dxa"/>
            <w:vMerge/>
            <w:vAlign w:val="center"/>
          </w:tcPr>
          <w:p w14:paraId="15A4D314" w14:textId="77777777" w:rsidR="00F00580" w:rsidRPr="00F31685" w:rsidRDefault="00F00580" w:rsidP="001E5DEF">
            <w:pPr>
              <w:spacing w:line="300" w:lineRule="atLeast"/>
              <w:jc w:val="center"/>
              <w:rPr>
                <w:rFonts w:ascii="Arial" w:hAnsi="Arial" w:cs="Arial"/>
                <w:b/>
                <w:sz w:val="16"/>
                <w:szCs w:val="16"/>
              </w:rPr>
            </w:pPr>
          </w:p>
        </w:tc>
        <w:tc>
          <w:tcPr>
            <w:tcW w:w="1767" w:type="dxa"/>
            <w:vMerge/>
            <w:vAlign w:val="center"/>
          </w:tcPr>
          <w:p w14:paraId="6F4272C4" w14:textId="77777777" w:rsidR="00F00580" w:rsidRPr="00F31685" w:rsidRDefault="00F00580" w:rsidP="001E5DEF">
            <w:pPr>
              <w:spacing w:line="300" w:lineRule="atLeast"/>
              <w:jc w:val="center"/>
              <w:rPr>
                <w:rFonts w:ascii="Arial" w:hAnsi="Arial" w:cs="Arial"/>
                <w:b/>
                <w:sz w:val="16"/>
                <w:szCs w:val="16"/>
              </w:rPr>
            </w:pPr>
          </w:p>
        </w:tc>
        <w:tc>
          <w:tcPr>
            <w:tcW w:w="2567" w:type="dxa"/>
            <w:vAlign w:val="center"/>
          </w:tcPr>
          <w:p w14:paraId="6339B480" w14:textId="77777777" w:rsidR="00F00580" w:rsidRPr="00F31685" w:rsidRDefault="00F00580" w:rsidP="001E5DEF">
            <w:pPr>
              <w:spacing w:line="300" w:lineRule="atLeast"/>
              <w:jc w:val="center"/>
              <w:rPr>
                <w:rFonts w:ascii="Arial" w:hAnsi="Arial" w:cs="Arial"/>
                <w:b/>
                <w:sz w:val="16"/>
                <w:szCs w:val="16"/>
              </w:rPr>
            </w:pPr>
            <w:r>
              <w:rPr>
                <w:rFonts w:ascii="Arial" w:hAnsi="Arial" w:cs="Arial"/>
                <w:b/>
                <w:sz w:val="16"/>
                <w:szCs w:val="16"/>
              </w:rPr>
              <w:t>Land</w:t>
            </w:r>
          </w:p>
        </w:tc>
      </w:tr>
      <w:tr w:rsidR="00F00580" w14:paraId="60BF5564" w14:textId="77777777" w:rsidTr="00F50829">
        <w:tc>
          <w:tcPr>
            <w:tcW w:w="2103" w:type="dxa"/>
            <w:vAlign w:val="center"/>
          </w:tcPr>
          <w:p w14:paraId="05C0100A" w14:textId="77777777" w:rsidR="00F00580" w:rsidRPr="00F31685" w:rsidRDefault="00F00580" w:rsidP="00F50829">
            <w:pPr>
              <w:spacing w:line="300" w:lineRule="atLeast"/>
              <w:rPr>
                <w:rFonts w:ascii="Arial" w:hAnsi="Arial" w:cs="Arial"/>
                <w:sz w:val="16"/>
                <w:szCs w:val="16"/>
              </w:rPr>
            </w:pPr>
            <w:r>
              <w:rPr>
                <w:rFonts w:ascii="Arial" w:hAnsi="Arial" w:cs="Arial"/>
                <w:sz w:val="16"/>
                <w:szCs w:val="16"/>
              </w:rPr>
              <w:t>Phosphate fertiliser</w:t>
            </w:r>
            <w:r w:rsidR="008F0B99">
              <w:rPr>
                <w:rFonts w:ascii="Arial" w:hAnsi="Arial" w:cs="Arial"/>
                <w:sz w:val="16"/>
                <w:szCs w:val="16"/>
              </w:rPr>
              <w:t>, 2012</w:t>
            </w:r>
          </w:p>
        </w:tc>
        <w:tc>
          <w:tcPr>
            <w:tcW w:w="1368" w:type="dxa"/>
            <w:vAlign w:val="center"/>
          </w:tcPr>
          <w:p w14:paraId="34340210" w14:textId="77777777" w:rsidR="00F00580" w:rsidRPr="00F31685" w:rsidRDefault="00F00580" w:rsidP="00B169B3">
            <w:pPr>
              <w:spacing w:line="300" w:lineRule="atLeast"/>
              <w:jc w:val="center"/>
              <w:rPr>
                <w:rFonts w:ascii="Arial" w:hAnsi="Arial" w:cs="Arial"/>
                <w:sz w:val="16"/>
                <w:szCs w:val="16"/>
              </w:rPr>
            </w:pPr>
            <w:r>
              <w:rPr>
                <w:rFonts w:ascii="Arial" w:hAnsi="Arial" w:cs="Arial"/>
                <w:sz w:val="16"/>
                <w:szCs w:val="16"/>
              </w:rPr>
              <w:t>6</w:t>
            </w:r>
            <w:r w:rsidR="00B169B3">
              <w:rPr>
                <w:rFonts w:ascii="Arial" w:hAnsi="Arial" w:cs="Arial"/>
                <w:sz w:val="16"/>
                <w:szCs w:val="16"/>
              </w:rPr>
              <w:t>3</w:t>
            </w:r>
            <w:r>
              <w:rPr>
                <w:rFonts w:ascii="Arial" w:hAnsi="Arial" w:cs="Arial"/>
                <w:sz w:val="16"/>
                <w:szCs w:val="16"/>
              </w:rPr>
              <w:t>0,</w:t>
            </w:r>
            <w:r w:rsidR="00B169B3">
              <w:rPr>
                <w:rFonts w:ascii="Arial" w:hAnsi="Arial" w:cs="Arial"/>
                <w:sz w:val="16"/>
                <w:szCs w:val="16"/>
              </w:rPr>
              <w:t>750</w:t>
            </w:r>
          </w:p>
        </w:tc>
        <w:tc>
          <w:tcPr>
            <w:tcW w:w="1482" w:type="dxa"/>
            <w:vAlign w:val="center"/>
          </w:tcPr>
          <w:p w14:paraId="4A3FDCA7" w14:textId="77777777" w:rsidR="00F00580" w:rsidRPr="00F31685" w:rsidRDefault="00E1590E" w:rsidP="00537ED1">
            <w:pPr>
              <w:spacing w:line="300" w:lineRule="atLeast"/>
              <w:jc w:val="center"/>
              <w:rPr>
                <w:rFonts w:ascii="Arial" w:hAnsi="Arial" w:cs="Arial"/>
                <w:sz w:val="16"/>
                <w:szCs w:val="16"/>
              </w:rPr>
            </w:pPr>
            <w:r>
              <w:rPr>
                <w:rFonts w:ascii="Arial" w:hAnsi="Arial" w:cs="Arial"/>
                <w:sz w:val="16"/>
                <w:szCs w:val="16"/>
              </w:rPr>
              <w:t>0.</w:t>
            </w:r>
            <w:r w:rsidR="00AB4ACB">
              <w:rPr>
                <w:rFonts w:ascii="Arial" w:hAnsi="Arial" w:cs="Arial"/>
                <w:sz w:val="16"/>
                <w:szCs w:val="16"/>
              </w:rPr>
              <w:t>0</w:t>
            </w:r>
            <w:r w:rsidR="004B386B">
              <w:rPr>
                <w:rFonts w:ascii="Arial" w:hAnsi="Arial" w:cs="Arial"/>
                <w:sz w:val="16"/>
                <w:szCs w:val="16"/>
              </w:rPr>
              <w:t>5</w:t>
            </w:r>
            <w:r>
              <w:rPr>
                <w:rFonts w:ascii="Arial" w:hAnsi="Arial" w:cs="Arial"/>
                <w:sz w:val="16"/>
                <w:szCs w:val="16"/>
              </w:rPr>
              <w:t xml:space="preserve"> – 0</w:t>
            </w:r>
            <w:r w:rsidR="00537ED1">
              <w:rPr>
                <w:rFonts w:ascii="Arial" w:hAnsi="Arial" w:cs="Arial"/>
                <w:sz w:val="16"/>
                <w:szCs w:val="16"/>
              </w:rPr>
              <w:t>.3</w:t>
            </w:r>
            <w:r>
              <w:rPr>
                <w:rFonts w:ascii="Arial" w:hAnsi="Arial" w:cs="Arial"/>
                <w:sz w:val="16"/>
                <w:szCs w:val="16"/>
              </w:rPr>
              <w:t>4</w:t>
            </w:r>
          </w:p>
        </w:tc>
        <w:tc>
          <w:tcPr>
            <w:tcW w:w="1767" w:type="dxa"/>
            <w:vAlign w:val="center"/>
          </w:tcPr>
          <w:p w14:paraId="0F00DF64" w14:textId="27B33287" w:rsidR="00F00580" w:rsidRPr="00F31685" w:rsidRDefault="00AA0DC9" w:rsidP="00016AD4">
            <w:pPr>
              <w:spacing w:line="300" w:lineRule="atLeast"/>
              <w:jc w:val="center"/>
              <w:rPr>
                <w:rFonts w:ascii="Arial" w:hAnsi="Arial" w:cs="Arial"/>
                <w:sz w:val="16"/>
                <w:szCs w:val="16"/>
              </w:rPr>
            </w:pPr>
            <w:r>
              <w:rPr>
                <w:rFonts w:ascii="Arial" w:hAnsi="Arial" w:cs="Arial"/>
                <w:sz w:val="16"/>
                <w:szCs w:val="16"/>
              </w:rPr>
              <w:t>31</w:t>
            </w:r>
            <w:r w:rsidR="00AB4ACB">
              <w:rPr>
                <w:rFonts w:ascii="Arial" w:hAnsi="Arial" w:cs="Arial"/>
                <w:sz w:val="16"/>
                <w:szCs w:val="16"/>
              </w:rPr>
              <w:t>.5</w:t>
            </w:r>
            <w:r>
              <w:rPr>
                <w:rFonts w:ascii="Arial" w:hAnsi="Arial" w:cs="Arial"/>
                <w:sz w:val="16"/>
                <w:szCs w:val="16"/>
              </w:rPr>
              <w:t xml:space="preserve"> </w:t>
            </w:r>
            <w:r w:rsidR="00537ED1">
              <w:rPr>
                <w:rFonts w:ascii="Arial" w:hAnsi="Arial" w:cs="Arial"/>
                <w:sz w:val="16"/>
                <w:szCs w:val="16"/>
              </w:rPr>
              <w:t>–</w:t>
            </w:r>
            <w:r>
              <w:rPr>
                <w:rFonts w:ascii="Arial" w:hAnsi="Arial" w:cs="Arial"/>
                <w:sz w:val="16"/>
                <w:szCs w:val="16"/>
              </w:rPr>
              <w:t xml:space="preserve"> 2</w:t>
            </w:r>
            <w:r w:rsidR="00537ED1">
              <w:rPr>
                <w:rFonts w:ascii="Arial" w:hAnsi="Arial" w:cs="Arial"/>
                <w:sz w:val="16"/>
                <w:szCs w:val="16"/>
              </w:rPr>
              <w:t>14.5</w:t>
            </w:r>
            <w:r w:rsidR="00016AD4">
              <w:rPr>
                <w:rFonts w:ascii="Arial" w:hAnsi="Arial" w:cs="Arial"/>
                <w:sz w:val="16"/>
                <w:szCs w:val="16"/>
              </w:rPr>
              <w:t xml:space="preserve"> </w:t>
            </w:r>
            <w:r w:rsidR="00016AD4">
              <w:rPr>
                <w:rFonts w:ascii="Arial" w:hAnsi="Arial" w:cs="Arial"/>
                <w:sz w:val="16"/>
                <w:szCs w:val="16"/>
              </w:rPr>
              <w:br/>
            </w:r>
            <w:r w:rsidR="00537ED1">
              <w:rPr>
                <w:rFonts w:ascii="Arial" w:hAnsi="Arial" w:cs="Arial"/>
                <w:sz w:val="16"/>
                <w:szCs w:val="16"/>
              </w:rPr>
              <w:t>(123)</w:t>
            </w:r>
          </w:p>
        </w:tc>
        <w:tc>
          <w:tcPr>
            <w:tcW w:w="2567" w:type="dxa"/>
            <w:vAlign w:val="center"/>
          </w:tcPr>
          <w:p w14:paraId="2F86C84F" w14:textId="20A61F90" w:rsidR="00F00580" w:rsidRPr="00F31685" w:rsidRDefault="00AA0DC9" w:rsidP="00537ED1">
            <w:pPr>
              <w:spacing w:line="300" w:lineRule="atLeast"/>
              <w:jc w:val="center"/>
              <w:rPr>
                <w:rFonts w:ascii="Arial" w:hAnsi="Arial" w:cs="Arial"/>
                <w:sz w:val="16"/>
                <w:szCs w:val="16"/>
              </w:rPr>
            </w:pPr>
            <w:r>
              <w:rPr>
                <w:rFonts w:ascii="Arial" w:hAnsi="Arial" w:cs="Arial"/>
                <w:sz w:val="16"/>
                <w:szCs w:val="16"/>
              </w:rPr>
              <w:t>3</w:t>
            </w:r>
            <w:r w:rsidR="00AB4ACB">
              <w:rPr>
                <w:rFonts w:ascii="Arial" w:hAnsi="Arial" w:cs="Arial"/>
                <w:sz w:val="16"/>
                <w:szCs w:val="16"/>
              </w:rPr>
              <w:t>1</w:t>
            </w:r>
            <w:r>
              <w:rPr>
                <w:rFonts w:ascii="Arial" w:hAnsi="Arial" w:cs="Arial"/>
                <w:sz w:val="16"/>
                <w:szCs w:val="16"/>
              </w:rPr>
              <w:t>.</w:t>
            </w:r>
            <w:r w:rsidR="00AB4ACB">
              <w:rPr>
                <w:rFonts w:ascii="Arial" w:hAnsi="Arial" w:cs="Arial"/>
                <w:sz w:val="16"/>
                <w:szCs w:val="16"/>
              </w:rPr>
              <w:t>5</w:t>
            </w:r>
            <w:r>
              <w:rPr>
                <w:rFonts w:ascii="Arial" w:hAnsi="Arial" w:cs="Arial"/>
                <w:sz w:val="16"/>
                <w:szCs w:val="16"/>
              </w:rPr>
              <w:t xml:space="preserve"> </w:t>
            </w:r>
            <w:r w:rsidR="00537ED1">
              <w:rPr>
                <w:rFonts w:ascii="Arial" w:hAnsi="Arial" w:cs="Arial"/>
                <w:sz w:val="16"/>
                <w:szCs w:val="16"/>
              </w:rPr>
              <w:t xml:space="preserve">– 214.5 </w:t>
            </w:r>
            <w:r w:rsidR="00016AD4">
              <w:rPr>
                <w:rFonts w:ascii="Arial" w:hAnsi="Arial" w:cs="Arial"/>
                <w:sz w:val="16"/>
                <w:szCs w:val="16"/>
              </w:rPr>
              <w:br/>
            </w:r>
            <w:r w:rsidR="00537ED1">
              <w:rPr>
                <w:rFonts w:ascii="Arial" w:hAnsi="Arial" w:cs="Arial"/>
                <w:sz w:val="16"/>
                <w:szCs w:val="16"/>
              </w:rPr>
              <w:t>(123)</w:t>
            </w:r>
          </w:p>
        </w:tc>
      </w:tr>
      <w:tr w:rsidR="00796FAD" w14:paraId="5CBD473C" w14:textId="77777777" w:rsidTr="00F50829">
        <w:tc>
          <w:tcPr>
            <w:tcW w:w="2103" w:type="dxa"/>
            <w:vAlign w:val="center"/>
          </w:tcPr>
          <w:p w14:paraId="273BBD3D" w14:textId="77777777" w:rsidR="00796FAD" w:rsidRDefault="00796FAD" w:rsidP="00F50829">
            <w:pPr>
              <w:spacing w:line="300" w:lineRule="atLeast"/>
              <w:jc w:val="center"/>
              <w:rPr>
                <w:rFonts w:ascii="Arial" w:hAnsi="Arial" w:cs="Arial"/>
                <w:sz w:val="16"/>
                <w:szCs w:val="16"/>
              </w:rPr>
            </w:pPr>
            <w:r w:rsidRPr="00796FAD">
              <w:rPr>
                <w:rFonts w:ascii="Arial" w:hAnsi="Arial" w:cs="Arial"/>
                <w:sz w:val="16"/>
                <w:szCs w:val="16"/>
              </w:rPr>
              <w:t>Phosphate fertiliser, 2016</w:t>
            </w:r>
          </w:p>
        </w:tc>
        <w:tc>
          <w:tcPr>
            <w:tcW w:w="1368" w:type="dxa"/>
            <w:vAlign w:val="center"/>
          </w:tcPr>
          <w:p w14:paraId="39D793D1" w14:textId="71C39F1E" w:rsidR="00796FAD" w:rsidRDefault="00796FAD" w:rsidP="00796FAD">
            <w:pPr>
              <w:spacing w:line="300" w:lineRule="atLeast"/>
              <w:jc w:val="center"/>
              <w:rPr>
                <w:rFonts w:ascii="Arial" w:hAnsi="Arial" w:cs="Arial"/>
                <w:sz w:val="16"/>
                <w:szCs w:val="16"/>
              </w:rPr>
            </w:pPr>
            <w:r>
              <w:rPr>
                <w:rFonts w:ascii="Arial" w:hAnsi="Arial" w:cs="Arial"/>
                <w:sz w:val="16"/>
                <w:szCs w:val="16"/>
              </w:rPr>
              <w:t>1,096,000</w:t>
            </w:r>
          </w:p>
        </w:tc>
        <w:tc>
          <w:tcPr>
            <w:tcW w:w="1482" w:type="dxa"/>
            <w:vAlign w:val="center"/>
          </w:tcPr>
          <w:p w14:paraId="1E4E9DC8" w14:textId="78BC4399" w:rsidR="00796FAD" w:rsidRDefault="00796FAD" w:rsidP="00796FAD">
            <w:pPr>
              <w:spacing w:line="300" w:lineRule="atLeast"/>
              <w:jc w:val="center"/>
              <w:rPr>
                <w:rFonts w:ascii="Arial" w:hAnsi="Arial" w:cs="Arial"/>
                <w:sz w:val="16"/>
                <w:szCs w:val="16"/>
              </w:rPr>
            </w:pPr>
            <w:r>
              <w:rPr>
                <w:rFonts w:ascii="Arial" w:hAnsi="Arial" w:cs="Arial"/>
                <w:sz w:val="16"/>
                <w:szCs w:val="16"/>
              </w:rPr>
              <w:t>0.05 – 0.09</w:t>
            </w:r>
          </w:p>
        </w:tc>
        <w:tc>
          <w:tcPr>
            <w:tcW w:w="1767" w:type="dxa"/>
            <w:vAlign w:val="center"/>
          </w:tcPr>
          <w:p w14:paraId="4907C7DD" w14:textId="3F09C313" w:rsidR="00796FAD" w:rsidRDefault="00796FAD" w:rsidP="00016AD4">
            <w:pPr>
              <w:spacing w:line="300" w:lineRule="atLeast"/>
              <w:jc w:val="center"/>
              <w:rPr>
                <w:rFonts w:ascii="Arial" w:hAnsi="Arial" w:cs="Arial"/>
                <w:sz w:val="16"/>
                <w:szCs w:val="16"/>
              </w:rPr>
            </w:pPr>
            <w:r>
              <w:rPr>
                <w:rFonts w:ascii="Arial" w:hAnsi="Arial" w:cs="Arial"/>
                <w:sz w:val="16"/>
                <w:szCs w:val="16"/>
              </w:rPr>
              <w:t xml:space="preserve">54.8 – 98.6 </w:t>
            </w:r>
            <w:r w:rsidR="00016AD4">
              <w:rPr>
                <w:rFonts w:ascii="Arial" w:hAnsi="Arial" w:cs="Arial"/>
                <w:sz w:val="16"/>
                <w:szCs w:val="16"/>
              </w:rPr>
              <w:br/>
            </w:r>
            <w:r>
              <w:rPr>
                <w:rFonts w:ascii="Arial" w:hAnsi="Arial" w:cs="Arial"/>
                <w:sz w:val="16"/>
                <w:szCs w:val="16"/>
              </w:rPr>
              <w:t>(76.7)</w:t>
            </w:r>
          </w:p>
        </w:tc>
        <w:tc>
          <w:tcPr>
            <w:tcW w:w="2567" w:type="dxa"/>
            <w:vAlign w:val="center"/>
          </w:tcPr>
          <w:p w14:paraId="4A8B4AB1" w14:textId="2015ABD5" w:rsidR="00796FAD" w:rsidRDefault="00796FAD" w:rsidP="00796FAD">
            <w:pPr>
              <w:spacing w:line="300" w:lineRule="atLeast"/>
              <w:jc w:val="center"/>
              <w:rPr>
                <w:rFonts w:ascii="Arial" w:hAnsi="Arial" w:cs="Arial"/>
                <w:sz w:val="16"/>
                <w:szCs w:val="16"/>
              </w:rPr>
            </w:pPr>
            <w:r>
              <w:rPr>
                <w:rFonts w:ascii="Arial" w:hAnsi="Arial" w:cs="Arial"/>
                <w:sz w:val="16"/>
                <w:szCs w:val="16"/>
              </w:rPr>
              <w:t xml:space="preserve">54.8 – 98.6 </w:t>
            </w:r>
            <w:r w:rsidR="00016AD4">
              <w:rPr>
                <w:rFonts w:ascii="Arial" w:hAnsi="Arial" w:cs="Arial"/>
                <w:sz w:val="16"/>
                <w:szCs w:val="16"/>
              </w:rPr>
              <w:br/>
            </w:r>
            <w:r>
              <w:rPr>
                <w:rFonts w:ascii="Arial" w:hAnsi="Arial" w:cs="Arial"/>
                <w:sz w:val="16"/>
                <w:szCs w:val="16"/>
              </w:rPr>
              <w:t>(76.7)</w:t>
            </w:r>
          </w:p>
        </w:tc>
      </w:tr>
      <w:tr w:rsidR="00F00580" w14:paraId="3E42C86A" w14:textId="77777777" w:rsidTr="00F50829">
        <w:tc>
          <w:tcPr>
            <w:tcW w:w="2051" w:type="dxa"/>
            <w:vAlign w:val="center"/>
          </w:tcPr>
          <w:p w14:paraId="6462A7F4" w14:textId="77777777" w:rsidR="00F00580" w:rsidRDefault="00F00580" w:rsidP="00F50829">
            <w:pPr>
              <w:spacing w:line="300" w:lineRule="atLeast"/>
              <w:rPr>
                <w:rFonts w:ascii="Arial" w:hAnsi="Arial" w:cs="Arial"/>
                <w:sz w:val="16"/>
                <w:szCs w:val="16"/>
              </w:rPr>
            </w:pPr>
            <w:r>
              <w:rPr>
                <w:rFonts w:ascii="Arial" w:hAnsi="Arial" w:cs="Arial"/>
                <w:sz w:val="16"/>
                <w:szCs w:val="16"/>
              </w:rPr>
              <w:t>Agricultural lime</w:t>
            </w:r>
            <w:r w:rsidR="008F0B99">
              <w:rPr>
                <w:rFonts w:ascii="Arial" w:hAnsi="Arial" w:cs="Arial"/>
                <w:sz w:val="16"/>
                <w:szCs w:val="16"/>
              </w:rPr>
              <w:t>, 2012</w:t>
            </w:r>
          </w:p>
        </w:tc>
        <w:tc>
          <w:tcPr>
            <w:tcW w:w="1348" w:type="dxa"/>
            <w:vAlign w:val="center"/>
          </w:tcPr>
          <w:p w14:paraId="37D22FB5" w14:textId="77777777" w:rsidR="00F00580" w:rsidRDefault="00B169B3" w:rsidP="001E5DEF">
            <w:pPr>
              <w:spacing w:line="300" w:lineRule="atLeast"/>
              <w:jc w:val="center"/>
              <w:rPr>
                <w:rFonts w:ascii="Arial" w:hAnsi="Arial" w:cs="Arial"/>
                <w:sz w:val="16"/>
                <w:szCs w:val="16"/>
              </w:rPr>
            </w:pPr>
            <w:r>
              <w:rPr>
                <w:rFonts w:ascii="Arial" w:hAnsi="Arial" w:cs="Arial"/>
                <w:sz w:val="16"/>
                <w:szCs w:val="16"/>
              </w:rPr>
              <w:t>1,370,000</w:t>
            </w:r>
          </w:p>
        </w:tc>
        <w:tc>
          <w:tcPr>
            <w:tcW w:w="1452" w:type="dxa"/>
            <w:vAlign w:val="center"/>
          </w:tcPr>
          <w:p w14:paraId="157CF418" w14:textId="77777777" w:rsidR="00F00580" w:rsidRDefault="00B169B3" w:rsidP="00B169B3">
            <w:pPr>
              <w:spacing w:line="300" w:lineRule="atLeast"/>
              <w:jc w:val="center"/>
              <w:rPr>
                <w:rFonts w:ascii="Arial" w:hAnsi="Arial" w:cs="Arial"/>
                <w:sz w:val="16"/>
                <w:szCs w:val="16"/>
              </w:rPr>
            </w:pPr>
            <w:r>
              <w:rPr>
                <w:rFonts w:ascii="Arial" w:hAnsi="Arial" w:cs="Arial"/>
                <w:sz w:val="16"/>
                <w:szCs w:val="16"/>
              </w:rPr>
              <w:t>0.005 -0.02</w:t>
            </w:r>
          </w:p>
        </w:tc>
        <w:tc>
          <w:tcPr>
            <w:tcW w:w="1723" w:type="dxa"/>
            <w:vAlign w:val="center"/>
          </w:tcPr>
          <w:p w14:paraId="75ACFF2D" w14:textId="62C598C8" w:rsidR="00F00580" w:rsidRDefault="00DD171F" w:rsidP="001E5DEF">
            <w:pPr>
              <w:spacing w:line="300" w:lineRule="atLeast"/>
              <w:jc w:val="center"/>
              <w:rPr>
                <w:rFonts w:ascii="Arial" w:hAnsi="Arial" w:cs="Arial"/>
                <w:sz w:val="16"/>
                <w:szCs w:val="16"/>
              </w:rPr>
            </w:pPr>
            <w:r>
              <w:rPr>
                <w:rFonts w:ascii="Arial" w:hAnsi="Arial" w:cs="Arial"/>
                <w:sz w:val="16"/>
                <w:szCs w:val="16"/>
              </w:rPr>
              <w:t xml:space="preserve">7 </w:t>
            </w:r>
            <w:r w:rsidR="00B169C6">
              <w:rPr>
                <w:rFonts w:ascii="Arial" w:hAnsi="Arial" w:cs="Arial"/>
                <w:sz w:val="16"/>
                <w:szCs w:val="16"/>
              </w:rPr>
              <w:t>–</w:t>
            </w:r>
            <w:r>
              <w:rPr>
                <w:rFonts w:ascii="Arial" w:hAnsi="Arial" w:cs="Arial"/>
                <w:sz w:val="16"/>
                <w:szCs w:val="16"/>
              </w:rPr>
              <w:t xml:space="preserve"> 27</w:t>
            </w:r>
            <w:r w:rsidR="00B169C6">
              <w:rPr>
                <w:rFonts w:ascii="Arial" w:hAnsi="Arial" w:cs="Arial"/>
                <w:sz w:val="16"/>
                <w:szCs w:val="16"/>
              </w:rPr>
              <w:t xml:space="preserve"> </w:t>
            </w:r>
            <w:r w:rsidR="00016AD4">
              <w:rPr>
                <w:rFonts w:ascii="Arial" w:hAnsi="Arial" w:cs="Arial"/>
                <w:sz w:val="16"/>
                <w:szCs w:val="16"/>
              </w:rPr>
              <w:br/>
            </w:r>
            <w:r w:rsidR="00B169C6">
              <w:rPr>
                <w:rFonts w:ascii="Arial" w:hAnsi="Arial" w:cs="Arial"/>
                <w:sz w:val="16"/>
                <w:szCs w:val="16"/>
              </w:rPr>
              <w:t>(17)</w:t>
            </w:r>
          </w:p>
        </w:tc>
        <w:tc>
          <w:tcPr>
            <w:tcW w:w="2487" w:type="dxa"/>
            <w:vAlign w:val="center"/>
          </w:tcPr>
          <w:p w14:paraId="08C665F9" w14:textId="7A6DE005" w:rsidR="00F00580" w:rsidRDefault="00DD171F" w:rsidP="001E5DEF">
            <w:pPr>
              <w:spacing w:line="300" w:lineRule="atLeast"/>
              <w:jc w:val="center"/>
              <w:rPr>
                <w:rFonts w:ascii="Arial" w:hAnsi="Arial" w:cs="Arial"/>
                <w:sz w:val="16"/>
                <w:szCs w:val="16"/>
              </w:rPr>
            </w:pPr>
            <w:r>
              <w:rPr>
                <w:rFonts w:ascii="Arial" w:hAnsi="Arial" w:cs="Arial"/>
                <w:sz w:val="16"/>
                <w:szCs w:val="16"/>
              </w:rPr>
              <w:t xml:space="preserve">7 </w:t>
            </w:r>
            <w:r w:rsidR="00B169C6">
              <w:rPr>
                <w:rFonts w:ascii="Arial" w:hAnsi="Arial" w:cs="Arial"/>
                <w:sz w:val="16"/>
                <w:szCs w:val="16"/>
              </w:rPr>
              <w:t>–</w:t>
            </w:r>
            <w:r>
              <w:rPr>
                <w:rFonts w:ascii="Arial" w:hAnsi="Arial" w:cs="Arial"/>
                <w:sz w:val="16"/>
                <w:szCs w:val="16"/>
              </w:rPr>
              <w:t xml:space="preserve"> 27</w:t>
            </w:r>
            <w:r w:rsidR="00B169C6">
              <w:rPr>
                <w:rFonts w:ascii="Arial" w:hAnsi="Arial" w:cs="Arial"/>
                <w:sz w:val="16"/>
                <w:szCs w:val="16"/>
              </w:rPr>
              <w:t xml:space="preserve"> </w:t>
            </w:r>
            <w:r w:rsidR="00016AD4">
              <w:rPr>
                <w:rFonts w:ascii="Arial" w:hAnsi="Arial" w:cs="Arial"/>
                <w:sz w:val="16"/>
                <w:szCs w:val="16"/>
              </w:rPr>
              <w:br/>
            </w:r>
            <w:r w:rsidR="00B169C6">
              <w:rPr>
                <w:rFonts w:ascii="Arial" w:hAnsi="Arial" w:cs="Arial"/>
                <w:sz w:val="16"/>
                <w:szCs w:val="16"/>
              </w:rPr>
              <w:t>(17)</w:t>
            </w:r>
          </w:p>
        </w:tc>
      </w:tr>
      <w:tr w:rsidR="008F0B99" w14:paraId="68970BBE" w14:textId="77777777" w:rsidTr="00F50829">
        <w:tc>
          <w:tcPr>
            <w:tcW w:w="2051" w:type="dxa"/>
            <w:vAlign w:val="center"/>
          </w:tcPr>
          <w:p w14:paraId="230F64E0" w14:textId="77777777" w:rsidR="008F0B99" w:rsidRDefault="008F0B99" w:rsidP="00F50829">
            <w:pPr>
              <w:spacing w:line="300" w:lineRule="atLeast"/>
              <w:rPr>
                <w:rFonts w:ascii="Arial" w:hAnsi="Arial" w:cs="Arial"/>
                <w:sz w:val="16"/>
                <w:szCs w:val="16"/>
              </w:rPr>
            </w:pPr>
            <w:r>
              <w:rPr>
                <w:rFonts w:ascii="Arial" w:hAnsi="Arial" w:cs="Arial"/>
                <w:sz w:val="16"/>
                <w:szCs w:val="16"/>
              </w:rPr>
              <w:t>Agricultural lime, 2016</w:t>
            </w:r>
          </w:p>
        </w:tc>
        <w:tc>
          <w:tcPr>
            <w:tcW w:w="1348" w:type="dxa"/>
            <w:vAlign w:val="center"/>
          </w:tcPr>
          <w:p w14:paraId="209D9B1A" w14:textId="77777777" w:rsidR="008F0B99" w:rsidRDefault="008F0B99" w:rsidP="001E5DEF">
            <w:pPr>
              <w:spacing w:line="300" w:lineRule="atLeast"/>
              <w:jc w:val="center"/>
              <w:rPr>
                <w:rFonts w:ascii="Arial" w:hAnsi="Arial" w:cs="Arial"/>
                <w:sz w:val="16"/>
                <w:szCs w:val="16"/>
              </w:rPr>
            </w:pPr>
            <w:r>
              <w:rPr>
                <w:rFonts w:ascii="Arial" w:hAnsi="Arial" w:cs="Arial"/>
                <w:sz w:val="16"/>
                <w:szCs w:val="16"/>
              </w:rPr>
              <w:t>975, 538</w:t>
            </w:r>
          </w:p>
        </w:tc>
        <w:tc>
          <w:tcPr>
            <w:tcW w:w="1452" w:type="dxa"/>
            <w:vAlign w:val="center"/>
          </w:tcPr>
          <w:p w14:paraId="5953F0FC" w14:textId="77777777" w:rsidR="008F0B99" w:rsidRDefault="008F0B99" w:rsidP="00B169B3">
            <w:pPr>
              <w:spacing w:line="300" w:lineRule="atLeast"/>
              <w:jc w:val="center"/>
              <w:rPr>
                <w:rFonts w:ascii="Arial" w:hAnsi="Arial" w:cs="Arial"/>
                <w:sz w:val="16"/>
                <w:szCs w:val="16"/>
              </w:rPr>
            </w:pPr>
            <w:r>
              <w:rPr>
                <w:rFonts w:ascii="Arial" w:hAnsi="Arial" w:cs="Arial"/>
                <w:sz w:val="16"/>
                <w:szCs w:val="16"/>
              </w:rPr>
              <w:t>0.005 – 0.02</w:t>
            </w:r>
          </w:p>
        </w:tc>
        <w:tc>
          <w:tcPr>
            <w:tcW w:w="1723" w:type="dxa"/>
            <w:vAlign w:val="center"/>
          </w:tcPr>
          <w:p w14:paraId="0450EAC3" w14:textId="55FAEB1D" w:rsidR="008F0B99" w:rsidRDefault="008F0B99" w:rsidP="001E5DEF">
            <w:pPr>
              <w:spacing w:line="300" w:lineRule="atLeast"/>
              <w:jc w:val="center"/>
              <w:rPr>
                <w:rFonts w:ascii="Arial" w:hAnsi="Arial" w:cs="Arial"/>
                <w:sz w:val="16"/>
                <w:szCs w:val="16"/>
              </w:rPr>
            </w:pPr>
            <w:r>
              <w:rPr>
                <w:rFonts w:ascii="Arial" w:hAnsi="Arial" w:cs="Arial"/>
                <w:sz w:val="16"/>
                <w:szCs w:val="16"/>
              </w:rPr>
              <w:t xml:space="preserve">4.88 – 19.51 </w:t>
            </w:r>
            <w:r w:rsidR="00016AD4">
              <w:rPr>
                <w:rFonts w:ascii="Arial" w:hAnsi="Arial" w:cs="Arial"/>
                <w:sz w:val="16"/>
                <w:szCs w:val="16"/>
              </w:rPr>
              <w:br/>
            </w:r>
            <w:r>
              <w:rPr>
                <w:rFonts w:ascii="Arial" w:hAnsi="Arial" w:cs="Arial"/>
                <w:sz w:val="16"/>
                <w:szCs w:val="16"/>
              </w:rPr>
              <w:t>(12.2</w:t>
            </w:r>
            <w:r w:rsidR="00842CA3">
              <w:rPr>
                <w:rFonts w:ascii="Arial" w:hAnsi="Arial" w:cs="Arial"/>
                <w:sz w:val="16"/>
                <w:szCs w:val="16"/>
              </w:rPr>
              <w:t>0</w:t>
            </w:r>
            <w:r>
              <w:rPr>
                <w:rFonts w:ascii="Arial" w:hAnsi="Arial" w:cs="Arial"/>
                <w:sz w:val="16"/>
                <w:szCs w:val="16"/>
              </w:rPr>
              <w:t>)</w:t>
            </w:r>
          </w:p>
        </w:tc>
        <w:tc>
          <w:tcPr>
            <w:tcW w:w="2487" w:type="dxa"/>
            <w:vAlign w:val="center"/>
          </w:tcPr>
          <w:p w14:paraId="2F4AEDF1" w14:textId="64381142" w:rsidR="008F0B99" w:rsidRDefault="00842CA3" w:rsidP="001E5DEF">
            <w:pPr>
              <w:spacing w:line="300" w:lineRule="atLeast"/>
              <w:jc w:val="center"/>
              <w:rPr>
                <w:rFonts w:ascii="Arial" w:hAnsi="Arial" w:cs="Arial"/>
                <w:sz w:val="16"/>
                <w:szCs w:val="16"/>
              </w:rPr>
            </w:pPr>
            <w:r>
              <w:rPr>
                <w:rFonts w:ascii="Arial" w:hAnsi="Arial" w:cs="Arial"/>
                <w:sz w:val="16"/>
                <w:szCs w:val="16"/>
              </w:rPr>
              <w:t xml:space="preserve">4.88 – 19.51 </w:t>
            </w:r>
            <w:r w:rsidR="00016AD4">
              <w:rPr>
                <w:rFonts w:ascii="Arial" w:hAnsi="Arial" w:cs="Arial"/>
                <w:sz w:val="16"/>
                <w:szCs w:val="16"/>
              </w:rPr>
              <w:br/>
            </w:r>
            <w:r>
              <w:rPr>
                <w:rFonts w:ascii="Arial" w:hAnsi="Arial" w:cs="Arial"/>
                <w:sz w:val="16"/>
                <w:szCs w:val="16"/>
              </w:rPr>
              <w:t>(12.2)</w:t>
            </w:r>
          </w:p>
        </w:tc>
      </w:tr>
    </w:tbl>
    <w:p w14:paraId="05AA6606" w14:textId="77777777" w:rsidR="00F00580" w:rsidRPr="00BE17CF" w:rsidRDefault="00F00580" w:rsidP="00F00580">
      <w:pPr>
        <w:tabs>
          <w:tab w:val="left" w:pos="2760"/>
        </w:tabs>
        <w:spacing w:before="120" w:line="300" w:lineRule="atLeast"/>
        <w:jc w:val="both"/>
        <w:rPr>
          <w:rFonts w:ascii="Arial" w:hAnsi="Arial" w:cs="Arial"/>
          <w:b/>
          <w:szCs w:val="18"/>
        </w:rPr>
      </w:pPr>
      <w:r w:rsidRPr="00BE17CF">
        <w:rPr>
          <w:rFonts w:ascii="Arial" w:hAnsi="Arial" w:cs="Arial"/>
          <w:b/>
          <w:szCs w:val="18"/>
        </w:rPr>
        <w:t>Certainty assessment</w:t>
      </w:r>
    </w:p>
    <w:p w14:paraId="75189A2A" w14:textId="77777777" w:rsidR="00F00580" w:rsidRDefault="00F00580" w:rsidP="00F00580">
      <w:pPr>
        <w:tabs>
          <w:tab w:val="left" w:pos="1701"/>
        </w:tabs>
        <w:spacing w:line="300" w:lineRule="atLeast"/>
        <w:jc w:val="both"/>
        <w:rPr>
          <w:szCs w:val="18"/>
        </w:rPr>
      </w:pPr>
      <w:r>
        <w:rPr>
          <w:szCs w:val="18"/>
        </w:rPr>
        <w:t>Act</w:t>
      </w:r>
      <w:r w:rsidR="00110FC0">
        <w:rPr>
          <w:szCs w:val="18"/>
        </w:rPr>
        <w:t xml:space="preserve">ivity data: </w:t>
      </w:r>
      <w:r w:rsidR="00110FC0">
        <w:rPr>
          <w:szCs w:val="18"/>
        </w:rPr>
        <w:tab/>
        <w:t>HIGH (because it i</w:t>
      </w:r>
      <w:r>
        <w:rPr>
          <w:szCs w:val="18"/>
        </w:rPr>
        <w:t xml:space="preserve">s based on </w:t>
      </w:r>
      <w:r w:rsidR="00110FC0">
        <w:rPr>
          <w:szCs w:val="18"/>
        </w:rPr>
        <w:t>national statistics</w:t>
      </w:r>
      <w:r>
        <w:rPr>
          <w:szCs w:val="18"/>
        </w:rPr>
        <w:t>)</w:t>
      </w:r>
    </w:p>
    <w:p w14:paraId="4BDF40FB" w14:textId="77777777" w:rsidR="00F00580" w:rsidRDefault="00F00580" w:rsidP="00F00580">
      <w:pPr>
        <w:tabs>
          <w:tab w:val="left" w:pos="1701"/>
        </w:tabs>
        <w:spacing w:line="300" w:lineRule="atLeast"/>
        <w:jc w:val="both"/>
        <w:rPr>
          <w:szCs w:val="18"/>
        </w:rPr>
      </w:pPr>
      <w:r>
        <w:rPr>
          <w:szCs w:val="18"/>
        </w:rPr>
        <w:t xml:space="preserve">Input estimates: </w:t>
      </w:r>
      <w:r>
        <w:rPr>
          <w:szCs w:val="18"/>
        </w:rPr>
        <w:tab/>
        <w:t>LOW (</w:t>
      </w:r>
      <w:r w:rsidRPr="00944DCC">
        <w:rPr>
          <w:szCs w:val="18"/>
        </w:rPr>
        <w:t xml:space="preserve">because </w:t>
      </w:r>
      <w:r>
        <w:rPr>
          <w:szCs w:val="18"/>
        </w:rPr>
        <w:t>they</w:t>
      </w:r>
      <w:r w:rsidR="00110FC0">
        <w:rPr>
          <w:szCs w:val="18"/>
        </w:rPr>
        <w:t xml:space="preserve"> a</w:t>
      </w:r>
      <w:r>
        <w:rPr>
          <w:szCs w:val="18"/>
        </w:rPr>
        <w:t>re</w:t>
      </w:r>
      <w:r w:rsidRPr="00944DCC">
        <w:rPr>
          <w:szCs w:val="18"/>
        </w:rPr>
        <w:t xml:space="preserve"> based on </w:t>
      </w:r>
      <w:r>
        <w:rPr>
          <w:szCs w:val="18"/>
        </w:rPr>
        <w:t>limited published</w:t>
      </w:r>
      <w:r w:rsidRPr="00944DCC">
        <w:rPr>
          <w:szCs w:val="18"/>
        </w:rPr>
        <w:t xml:space="preserve"> data</w:t>
      </w:r>
      <w:r>
        <w:rPr>
          <w:szCs w:val="18"/>
        </w:rPr>
        <w:t>)</w:t>
      </w:r>
    </w:p>
    <w:p w14:paraId="4ECCC39C" w14:textId="77777777" w:rsidR="00F00580" w:rsidRPr="0028681C" w:rsidRDefault="00F00580" w:rsidP="00F00580">
      <w:pPr>
        <w:tabs>
          <w:tab w:val="left" w:pos="1701"/>
        </w:tabs>
        <w:spacing w:line="300" w:lineRule="atLeast"/>
        <w:jc w:val="both"/>
        <w:rPr>
          <w:szCs w:val="18"/>
        </w:rPr>
      </w:pPr>
      <w:r>
        <w:rPr>
          <w:szCs w:val="18"/>
        </w:rPr>
        <w:t xml:space="preserve">Output estimates: </w:t>
      </w:r>
      <w:r>
        <w:rPr>
          <w:szCs w:val="18"/>
        </w:rPr>
        <w:tab/>
        <w:t>LOW (</w:t>
      </w:r>
      <w:r w:rsidRPr="00944DCC">
        <w:rPr>
          <w:szCs w:val="18"/>
        </w:rPr>
        <w:t xml:space="preserve">because the </w:t>
      </w:r>
      <w:r w:rsidR="00110FC0">
        <w:rPr>
          <w:szCs w:val="18"/>
        </w:rPr>
        <w:t xml:space="preserve">no manufacturing </w:t>
      </w:r>
      <w:r w:rsidRPr="00944DCC">
        <w:rPr>
          <w:szCs w:val="18"/>
        </w:rPr>
        <w:t>release</w:t>
      </w:r>
      <w:r w:rsidR="00110FC0">
        <w:rPr>
          <w:szCs w:val="18"/>
        </w:rPr>
        <w:t xml:space="preserve"> factors were available</w:t>
      </w:r>
      <w:r>
        <w:rPr>
          <w:szCs w:val="18"/>
        </w:rPr>
        <w:t>).</w:t>
      </w:r>
    </w:p>
    <w:p w14:paraId="48A00BD8" w14:textId="77777777" w:rsidR="00CE1F59" w:rsidRDefault="00CE1F59">
      <w:pPr>
        <w:spacing w:after="0"/>
        <w:rPr>
          <w:rFonts w:ascii="Arial" w:eastAsia="Calibri" w:hAnsi="Arial"/>
          <w:b/>
          <w:sz w:val="24"/>
        </w:rPr>
      </w:pPr>
      <w:r>
        <w:rPr>
          <w:rFonts w:eastAsia="Calibri"/>
        </w:rPr>
        <w:br w:type="page"/>
      </w:r>
    </w:p>
    <w:p w14:paraId="20791D21" w14:textId="38163FF2" w:rsidR="00D766AB" w:rsidRPr="00D766AB" w:rsidRDefault="00D766AB" w:rsidP="00D766AB">
      <w:pPr>
        <w:pStyle w:val="Heading2"/>
        <w:rPr>
          <w:rFonts w:eastAsia="Calibri"/>
        </w:rPr>
      </w:pPr>
      <w:bookmarkStart w:id="78" w:name="_Toc484949586"/>
      <w:r w:rsidRPr="00D766AB">
        <w:rPr>
          <w:rFonts w:eastAsia="Calibri"/>
        </w:rPr>
        <w:lastRenderedPageBreak/>
        <w:t>Summary for this category</w:t>
      </w:r>
      <w:bookmarkEnd w:id="78"/>
      <w:r w:rsidRPr="00D766AB">
        <w:rPr>
          <w:rFonts w:eastAsia="Calibri"/>
        </w:rPr>
        <w:t xml:space="preserve"> </w:t>
      </w:r>
    </w:p>
    <w:p w14:paraId="615F2C37" w14:textId="343D0FF1" w:rsidR="00682584" w:rsidRDefault="00D766AB" w:rsidP="00D766AB">
      <w:pPr>
        <w:spacing w:line="300" w:lineRule="atLeast"/>
        <w:jc w:val="both"/>
        <w:rPr>
          <w:rFonts w:eastAsia="Calibri"/>
          <w:szCs w:val="22"/>
        </w:rPr>
      </w:pPr>
      <w:r>
        <w:rPr>
          <w:rFonts w:eastAsia="Calibri"/>
          <w:szCs w:val="22"/>
        </w:rPr>
        <w:t xml:space="preserve">The estimated inputs and outputs for the minerals category are summarised in </w:t>
      </w:r>
      <w:r w:rsidRPr="0094605E">
        <w:rPr>
          <w:rFonts w:eastAsia="Calibri"/>
          <w:szCs w:val="22"/>
        </w:rPr>
        <w:fldChar w:fldCharType="begin"/>
      </w:r>
      <w:r w:rsidRPr="0094605E">
        <w:rPr>
          <w:rFonts w:eastAsia="Calibri"/>
          <w:szCs w:val="22"/>
        </w:rPr>
        <w:instrText xml:space="preserve"> REF _Ref358538907 \h </w:instrText>
      </w:r>
      <w:r w:rsidR="0094605E">
        <w:rPr>
          <w:rFonts w:eastAsia="Calibri"/>
          <w:szCs w:val="22"/>
        </w:rPr>
        <w:instrText xml:space="preserve"> \* MERGEFORMAT </w:instrText>
      </w:r>
      <w:r w:rsidRPr="0094605E">
        <w:rPr>
          <w:rFonts w:eastAsia="Calibri"/>
          <w:szCs w:val="22"/>
        </w:rPr>
      </w:r>
      <w:r w:rsidRPr="0094605E">
        <w:rPr>
          <w:rFonts w:eastAsia="Calibri"/>
          <w:szCs w:val="22"/>
        </w:rPr>
        <w:fldChar w:fldCharType="separate"/>
      </w:r>
      <w:r w:rsidR="00423FC9" w:rsidRPr="00423FC9">
        <w:t xml:space="preserve">Table </w:t>
      </w:r>
      <w:r w:rsidR="00423FC9" w:rsidRPr="00423FC9">
        <w:rPr>
          <w:noProof/>
        </w:rPr>
        <w:t>5</w:t>
      </w:r>
      <w:r w:rsidR="00423FC9" w:rsidRPr="00423FC9">
        <w:rPr>
          <w:noProof/>
        </w:rPr>
        <w:noBreakHyphen/>
        <w:t>5</w:t>
      </w:r>
      <w:r w:rsidRPr="0094605E">
        <w:rPr>
          <w:rFonts w:eastAsia="Calibri"/>
          <w:szCs w:val="22"/>
        </w:rPr>
        <w:fldChar w:fldCharType="end"/>
      </w:r>
      <w:r w:rsidR="005D2204">
        <w:rPr>
          <w:rFonts w:eastAsia="Calibri"/>
          <w:szCs w:val="22"/>
        </w:rPr>
        <w:t xml:space="preserve">, which shows </w:t>
      </w:r>
      <w:r>
        <w:rPr>
          <w:rFonts w:eastAsia="Calibri"/>
          <w:szCs w:val="22"/>
        </w:rPr>
        <w:t xml:space="preserve">that the inputs </w:t>
      </w:r>
      <w:r w:rsidR="005D2204">
        <w:rPr>
          <w:rFonts w:eastAsia="Calibri"/>
          <w:szCs w:val="22"/>
        </w:rPr>
        <w:t xml:space="preserve">and outputs </w:t>
      </w:r>
      <w:r>
        <w:rPr>
          <w:rFonts w:eastAsia="Calibri"/>
          <w:szCs w:val="22"/>
        </w:rPr>
        <w:t xml:space="preserve">are totally dominated by the </w:t>
      </w:r>
      <w:r w:rsidR="00682584">
        <w:rPr>
          <w:rFonts w:eastAsia="Calibri"/>
          <w:szCs w:val="22"/>
        </w:rPr>
        <w:t>application</w:t>
      </w:r>
      <w:r>
        <w:rPr>
          <w:rFonts w:eastAsia="Calibri"/>
          <w:szCs w:val="22"/>
        </w:rPr>
        <w:t xml:space="preserve"> of </w:t>
      </w:r>
      <w:r w:rsidR="00682584">
        <w:rPr>
          <w:rFonts w:eastAsia="Calibri"/>
          <w:szCs w:val="22"/>
        </w:rPr>
        <w:t>superphosphate to land</w:t>
      </w:r>
      <w:r>
        <w:rPr>
          <w:rFonts w:eastAsia="Calibri"/>
          <w:szCs w:val="22"/>
        </w:rPr>
        <w:t>.</w:t>
      </w:r>
    </w:p>
    <w:p w14:paraId="1B3020C9" w14:textId="77777777" w:rsidR="00D766AB" w:rsidRPr="007901FE" w:rsidRDefault="00D766AB" w:rsidP="008A059D">
      <w:pPr>
        <w:pStyle w:val="Caption"/>
        <w:spacing w:before="240"/>
        <w:ind w:left="1440" w:hanging="1440"/>
        <w:rPr>
          <w:rFonts w:ascii="Arial" w:hAnsi="Arial" w:cs="Arial"/>
          <w:szCs w:val="18"/>
        </w:rPr>
      </w:pPr>
      <w:bookmarkStart w:id="79" w:name="_Ref358538907"/>
      <w:bookmarkStart w:id="80" w:name="_Toc484949654"/>
      <w:r w:rsidRPr="00682584">
        <w:rPr>
          <w:rFonts w:ascii="Arial" w:hAnsi="Arial" w:cs="Arial"/>
        </w:rPr>
        <w:t xml:space="preserve">Table </w:t>
      </w:r>
      <w:r w:rsidR="00390C9F">
        <w:rPr>
          <w:rFonts w:ascii="Arial" w:hAnsi="Arial" w:cs="Arial"/>
        </w:rPr>
        <w:fldChar w:fldCharType="begin"/>
      </w:r>
      <w:r w:rsidR="00390C9F">
        <w:rPr>
          <w:rFonts w:ascii="Arial" w:hAnsi="Arial" w:cs="Arial"/>
        </w:rPr>
        <w:instrText xml:space="preserve"> STYLEREF 1 \s </w:instrText>
      </w:r>
      <w:r w:rsidR="00390C9F">
        <w:rPr>
          <w:rFonts w:ascii="Arial" w:hAnsi="Arial" w:cs="Arial"/>
        </w:rPr>
        <w:fldChar w:fldCharType="separate"/>
      </w:r>
      <w:r w:rsidR="00423FC9">
        <w:rPr>
          <w:rFonts w:ascii="Arial" w:hAnsi="Arial" w:cs="Arial"/>
          <w:noProof/>
        </w:rPr>
        <w:t>5</w:t>
      </w:r>
      <w:r w:rsidR="00390C9F">
        <w:rPr>
          <w:rFonts w:ascii="Arial" w:hAnsi="Arial" w:cs="Arial"/>
        </w:rPr>
        <w:fldChar w:fldCharType="end"/>
      </w:r>
      <w:r w:rsidR="00390C9F">
        <w:rPr>
          <w:rFonts w:ascii="Arial" w:hAnsi="Arial" w:cs="Arial"/>
        </w:rPr>
        <w:noBreakHyphen/>
      </w:r>
      <w:r w:rsidR="00390C9F">
        <w:rPr>
          <w:rFonts w:ascii="Arial" w:hAnsi="Arial" w:cs="Arial"/>
        </w:rPr>
        <w:fldChar w:fldCharType="begin"/>
      </w:r>
      <w:r w:rsidR="00390C9F">
        <w:rPr>
          <w:rFonts w:ascii="Arial" w:hAnsi="Arial" w:cs="Arial"/>
        </w:rPr>
        <w:instrText xml:space="preserve"> SEQ Table \* ARABIC \s 1 </w:instrText>
      </w:r>
      <w:r w:rsidR="00390C9F">
        <w:rPr>
          <w:rFonts w:ascii="Arial" w:hAnsi="Arial" w:cs="Arial"/>
        </w:rPr>
        <w:fldChar w:fldCharType="separate"/>
      </w:r>
      <w:r w:rsidR="00423FC9">
        <w:rPr>
          <w:rFonts w:ascii="Arial" w:hAnsi="Arial" w:cs="Arial"/>
          <w:noProof/>
        </w:rPr>
        <w:t>5</w:t>
      </w:r>
      <w:r w:rsidR="00390C9F">
        <w:rPr>
          <w:rFonts w:ascii="Arial" w:hAnsi="Arial" w:cs="Arial"/>
        </w:rPr>
        <w:fldChar w:fldCharType="end"/>
      </w:r>
      <w:bookmarkEnd w:id="79"/>
      <w:r w:rsidRPr="00682584">
        <w:rPr>
          <w:rFonts w:ascii="Arial" w:hAnsi="Arial" w:cs="Arial"/>
        </w:rPr>
        <w:t>:</w:t>
      </w:r>
      <w:r w:rsidRPr="007901FE">
        <w:rPr>
          <w:rFonts w:ascii="Arial" w:hAnsi="Arial" w:cs="Arial"/>
        </w:rPr>
        <w:t xml:space="preserve"> Summary of inputs and o</w:t>
      </w:r>
      <w:r>
        <w:rPr>
          <w:rFonts w:ascii="Arial" w:hAnsi="Arial" w:cs="Arial"/>
        </w:rPr>
        <w:t xml:space="preserve">utputs for </w:t>
      </w:r>
      <w:r w:rsidRPr="00D766AB">
        <w:rPr>
          <w:rFonts w:ascii="Arial" w:hAnsi="Arial" w:cs="Arial"/>
        </w:rPr>
        <w:t>production of minerals and related materials with mercury impurities</w:t>
      </w:r>
      <w:r w:rsidR="00842CA3">
        <w:rPr>
          <w:rFonts w:ascii="Arial" w:hAnsi="Arial" w:cs="Arial"/>
        </w:rPr>
        <w:t xml:space="preserve"> for 2016</w:t>
      </w:r>
      <w:bookmarkEnd w:id="80"/>
    </w:p>
    <w:tbl>
      <w:tblPr>
        <w:tblStyle w:val="TableGrid"/>
        <w:tblW w:w="9214" w:type="dxa"/>
        <w:tblInd w:w="108" w:type="dxa"/>
        <w:tblLook w:val="04A0" w:firstRow="1" w:lastRow="0" w:firstColumn="1" w:lastColumn="0" w:noHBand="0" w:noVBand="1"/>
      </w:tblPr>
      <w:tblGrid>
        <w:gridCol w:w="1985"/>
        <w:gridCol w:w="1417"/>
        <w:gridCol w:w="1134"/>
        <w:gridCol w:w="1134"/>
        <w:gridCol w:w="1304"/>
        <w:gridCol w:w="1077"/>
        <w:gridCol w:w="1163"/>
      </w:tblGrid>
      <w:tr w:rsidR="00D766AB" w:rsidRPr="007901FE" w14:paraId="387F85FB" w14:textId="77777777" w:rsidTr="001E5DEF">
        <w:tc>
          <w:tcPr>
            <w:tcW w:w="1985" w:type="dxa"/>
            <w:vMerge w:val="restart"/>
            <w:vAlign w:val="center"/>
          </w:tcPr>
          <w:p w14:paraId="20667A97" w14:textId="77777777" w:rsidR="00D766AB" w:rsidRPr="004E3E02" w:rsidRDefault="00D766AB" w:rsidP="001E5DEF">
            <w:pPr>
              <w:spacing w:line="300" w:lineRule="atLeast"/>
              <w:rPr>
                <w:rFonts w:ascii="Arial" w:hAnsi="Arial" w:cs="Arial"/>
                <w:b/>
                <w:sz w:val="16"/>
                <w:szCs w:val="16"/>
              </w:rPr>
            </w:pPr>
            <w:r w:rsidRPr="004E3E02">
              <w:rPr>
                <w:rFonts w:ascii="Arial" w:hAnsi="Arial" w:cs="Arial"/>
                <w:b/>
                <w:sz w:val="16"/>
                <w:szCs w:val="16"/>
              </w:rPr>
              <w:t>Category</w:t>
            </w:r>
          </w:p>
        </w:tc>
        <w:tc>
          <w:tcPr>
            <w:tcW w:w="1417" w:type="dxa"/>
            <w:vMerge w:val="restart"/>
            <w:vAlign w:val="center"/>
          </w:tcPr>
          <w:p w14:paraId="1679B5D8" w14:textId="77777777" w:rsidR="00D766AB" w:rsidRPr="004E3E02" w:rsidRDefault="00D766AB" w:rsidP="001E5DEF">
            <w:pPr>
              <w:spacing w:line="300" w:lineRule="atLeast"/>
              <w:jc w:val="center"/>
              <w:rPr>
                <w:rFonts w:ascii="Arial" w:hAnsi="Arial" w:cs="Arial"/>
                <w:b/>
                <w:sz w:val="16"/>
                <w:szCs w:val="16"/>
              </w:rPr>
            </w:pPr>
            <w:r w:rsidRPr="004E3E02">
              <w:rPr>
                <w:rFonts w:ascii="Arial" w:hAnsi="Arial" w:cs="Arial"/>
                <w:b/>
                <w:sz w:val="16"/>
                <w:szCs w:val="16"/>
              </w:rPr>
              <w:t>Mercury Inputs, kg/year</w:t>
            </w:r>
          </w:p>
        </w:tc>
        <w:tc>
          <w:tcPr>
            <w:tcW w:w="5812" w:type="dxa"/>
            <w:gridSpan w:val="5"/>
            <w:vAlign w:val="center"/>
          </w:tcPr>
          <w:p w14:paraId="5641E1C7" w14:textId="77777777" w:rsidR="00D766AB" w:rsidRPr="004E3E02" w:rsidRDefault="00D766AB" w:rsidP="001E5DEF">
            <w:pPr>
              <w:spacing w:line="300" w:lineRule="atLeast"/>
              <w:jc w:val="center"/>
              <w:rPr>
                <w:rFonts w:ascii="Arial" w:hAnsi="Arial" w:cs="Arial"/>
                <w:b/>
                <w:sz w:val="16"/>
                <w:szCs w:val="16"/>
              </w:rPr>
            </w:pPr>
            <w:r w:rsidRPr="004E3E02">
              <w:rPr>
                <w:rFonts w:ascii="Arial" w:hAnsi="Arial" w:cs="Arial"/>
                <w:b/>
                <w:sz w:val="16"/>
                <w:szCs w:val="16"/>
              </w:rPr>
              <w:t>Mercury Outputs, kg/</w:t>
            </w:r>
            <w:proofErr w:type="spellStart"/>
            <w:r w:rsidRPr="004E3E02">
              <w:rPr>
                <w:rFonts w:ascii="Arial" w:hAnsi="Arial" w:cs="Arial"/>
                <w:b/>
                <w:sz w:val="16"/>
                <w:szCs w:val="16"/>
              </w:rPr>
              <w:t>yr</w:t>
            </w:r>
            <w:proofErr w:type="spellEnd"/>
          </w:p>
        </w:tc>
      </w:tr>
      <w:tr w:rsidR="00D766AB" w:rsidRPr="007901FE" w14:paraId="45682AF9" w14:textId="77777777" w:rsidTr="004E008C">
        <w:tc>
          <w:tcPr>
            <w:tcW w:w="1985" w:type="dxa"/>
            <w:vMerge/>
            <w:vAlign w:val="center"/>
          </w:tcPr>
          <w:p w14:paraId="0F43BD3C" w14:textId="77777777" w:rsidR="00D766AB" w:rsidRPr="004E3E02" w:rsidRDefault="00D766AB" w:rsidP="001E5DEF">
            <w:pPr>
              <w:spacing w:line="300" w:lineRule="atLeast"/>
              <w:rPr>
                <w:rFonts w:ascii="Arial" w:hAnsi="Arial" w:cs="Arial"/>
                <w:b/>
                <w:sz w:val="16"/>
                <w:szCs w:val="16"/>
              </w:rPr>
            </w:pPr>
          </w:p>
        </w:tc>
        <w:tc>
          <w:tcPr>
            <w:tcW w:w="1417" w:type="dxa"/>
            <w:vMerge/>
          </w:tcPr>
          <w:p w14:paraId="34BF727A" w14:textId="77777777" w:rsidR="00D766AB" w:rsidRPr="004E3E02" w:rsidRDefault="00D766AB" w:rsidP="001E5DEF">
            <w:pPr>
              <w:spacing w:line="300" w:lineRule="atLeast"/>
              <w:jc w:val="both"/>
              <w:rPr>
                <w:rFonts w:ascii="Arial" w:hAnsi="Arial" w:cs="Arial"/>
                <w:b/>
                <w:sz w:val="16"/>
                <w:szCs w:val="16"/>
              </w:rPr>
            </w:pPr>
          </w:p>
        </w:tc>
        <w:tc>
          <w:tcPr>
            <w:tcW w:w="1134" w:type="dxa"/>
            <w:vAlign w:val="center"/>
          </w:tcPr>
          <w:p w14:paraId="2F977755" w14:textId="77777777" w:rsidR="00D766AB" w:rsidRPr="004E3E02" w:rsidRDefault="00D766AB" w:rsidP="001E5DEF">
            <w:pPr>
              <w:spacing w:line="300" w:lineRule="atLeast"/>
              <w:jc w:val="center"/>
              <w:rPr>
                <w:rFonts w:ascii="Arial" w:hAnsi="Arial" w:cs="Arial"/>
                <w:b/>
                <w:sz w:val="16"/>
                <w:szCs w:val="16"/>
              </w:rPr>
            </w:pPr>
            <w:r w:rsidRPr="004E3E02">
              <w:rPr>
                <w:rFonts w:ascii="Arial" w:hAnsi="Arial" w:cs="Arial"/>
                <w:b/>
                <w:sz w:val="16"/>
                <w:szCs w:val="16"/>
              </w:rPr>
              <w:t>Air</w:t>
            </w:r>
          </w:p>
        </w:tc>
        <w:tc>
          <w:tcPr>
            <w:tcW w:w="1134" w:type="dxa"/>
            <w:vAlign w:val="center"/>
          </w:tcPr>
          <w:p w14:paraId="60C9B684" w14:textId="77777777" w:rsidR="00D766AB" w:rsidRPr="004E3E02" w:rsidRDefault="00D766AB" w:rsidP="001E5DEF">
            <w:pPr>
              <w:spacing w:line="300" w:lineRule="atLeast"/>
              <w:jc w:val="center"/>
              <w:rPr>
                <w:rFonts w:ascii="Arial" w:hAnsi="Arial" w:cs="Arial"/>
                <w:b/>
                <w:sz w:val="16"/>
                <w:szCs w:val="16"/>
              </w:rPr>
            </w:pPr>
            <w:r w:rsidRPr="004E3E02">
              <w:rPr>
                <w:rFonts w:ascii="Arial" w:hAnsi="Arial" w:cs="Arial"/>
                <w:b/>
                <w:sz w:val="16"/>
                <w:szCs w:val="16"/>
              </w:rPr>
              <w:t>Water</w:t>
            </w:r>
          </w:p>
        </w:tc>
        <w:tc>
          <w:tcPr>
            <w:tcW w:w="1304" w:type="dxa"/>
            <w:vAlign w:val="center"/>
          </w:tcPr>
          <w:p w14:paraId="356BE076" w14:textId="77777777" w:rsidR="00D766AB" w:rsidRPr="004E3E02" w:rsidRDefault="00D766AB" w:rsidP="001E5DEF">
            <w:pPr>
              <w:spacing w:line="300" w:lineRule="atLeast"/>
              <w:jc w:val="center"/>
              <w:rPr>
                <w:rFonts w:ascii="Arial" w:hAnsi="Arial" w:cs="Arial"/>
                <w:b/>
                <w:sz w:val="16"/>
                <w:szCs w:val="16"/>
              </w:rPr>
            </w:pPr>
            <w:r w:rsidRPr="004E3E02">
              <w:rPr>
                <w:rFonts w:ascii="Arial" w:hAnsi="Arial" w:cs="Arial"/>
                <w:b/>
                <w:sz w:val="16"/>
                <w:szCs w:val="16"/>
              </w:rPr>
              <w:t>Land</w:t>
            </w:r>
          </w:p>
        </w:tc>
        <w:tc>
          <w:tcPr>
            <w:tcW w:w="1077" w:type="dxa"/>
            <w:vAlign w:val="center"/>
          </w:tcPr>
          <w:p w14:paraId="068EE809" w14:textId="77777777" w:rsidR="00D766AB" w:rsidRPr="004E3E02" w:rsidRDefault="00D766AB" w:rsidP="001E5DEF">
            <w:pPr>
              <w:spacing w:line="300" w:lineRule="atLeast"/>
              <w:jc w:val="center"/>
              <w:rPr>
                <w:rFonts w:ascii="Arial" w:hAnsi="Arial" w:cs="Arial"/>
                <w:b/>
                <w:sz w:val="16"/>
                <w:szCs w:val="16"/>
              </w:rPr>
            </w:pPr>
            <w:r w:rsidRPr="004E3E02">
              <w:rPr>
                <w:rFonts w:ascii="Arial" w:hAnsi="Arial" w:cs="Arial"/>
                <w:b/>
                <w:sz w:val="16"/>
                <w:szCs w:val="16"/>
              </w:rPr>
              <w:t>Product</w:t>
            </w:r>
          </w:p>
        </w:tc>
        <w:tc>
          <w:tcPr>
            <w:tcW w:w="1163" w:type="dxa"/>
            <w:vAlign w:val="center"/>
          </w:tcPr>
          <w:p w14:paraId="33685A97" w14:textId="77777777" w:rsidR="00D766AB" w:rsidRPr="004E3E02" w:rsidRDefault="00D766AB" w:rsidP="001E5DEF">
            <w:pPr>
              <w:spacing w:line="300" w:lineRule="atLeast"/>
              <w:jc w:val="center"/>
              <w:rPr>
                <w:rFonts w:ascii="Arial" w:hAnsi="Arial" w:cs="Arial"/>
                <w:b/>
                <w:sz w:val="16"/>
                <w:szCs w:val="16"/>
              </w:rPr>
            </w:pPr>
            <w:r w:rsidRPr="004E3E02">
              <w:rPr>
                <w:rFonts w:ascii="Arial" w:hAnsi="Arial" w:cs="Arial"/>
                <w:b/>
                <w:sz w:val="16"/>
                <w:szCs w:val="16"/>
              </w:rPr>
              <w:t>Waste</w:t>
            </w:r>
          </w:p>
        </w:tc>
      </w:tr>
      <w:tr w:rsidR="00D766AB" w:rsidRPr="007901FE" w14:paraId="61CE6B05" w14:textId="77777777" w:rsidTr="004E008C">
        <w:tc>
          <w:tcPr>
            <w:tcW w:w="1985" w:type="dxa"/>
            <w:vAlign w:val="center"/>
          </w:tcPr>
          <w:p w14:paraId="48455D4F" w14:textId="77777777" w:rsidR="00D766AB" w:rsidRPr="004E3E02" w:rsidRDefault="00D766AB" w:rsidP="001E5DEF">
            <w:pPr>
              <w:spacing w:line="300" w:lineRule="atLeast"/>
              <w:rPr>
                <w:rFonts w:ascii="Arial" w:hAnsi="Arial" w:cs="Arial"/>
                <w:sz w:val="16"/>
                <w:szCs w:val="16"/>
              </w:rPr>
            </w:pPr>
            <w:r>
              <w:rPr>
                <w:rFonts w:ascii="Arial" w:hAnsi="Arial" w:cs="Arial"/>
                <w:sz w:val="16"/>
                <w:szCs w:val="16"/>
              </w:rPr>
              <w:t>Cement</w:t>
            </w:r>
          </w:p>
        </w:tc>
        <w:tc>
          <w:tcPr>
            <w:tcW w:w="1417" w:type="dxa"/>
            <w:vAlign w:val="center"/>
          </w:tcPr>
          <w:p w14:paraId="28198B26" w14:textId="25995BA2" w:rsidR="00D766AB" w:rsidRPr="004E3E02" w:rsidRDefault="00842CA3" w:rsidP="001E5DEF">
            <w:pPr>
              <w:spacing w:line="300" w:lineRule="atLeast"/>
              <w:jc w:val="center"/>
              <w:rPr>
                <w:rFonts w:ascii="Arial" w:hAnsi="Arial" w:cs="Arial"/>
                <w:sz w:val="16"/>
                <w:szCs w:val="16"/>
              </w:rPr>
            </w:pPr>
            <w:r>
              <w:rPr>
                <w:rFonts w:ascii="Arial" w:hAnsi="Arial" w:cs="Arial"/>
                <w:sz w:val="16"/>
                <w:szCs w:val="16"/>
              </w:rPr>
              <w:t>0.4</w:t>
            </w:r>
            <w:r w:rsidR="00892EB8">
              <w:rPr>
                <w:rFonts w:ascii="Arial" w:hAnsi="Arial" w:cs="Arial"/>
                <w:sz w:val="16"/>
                <w:szCs w:val="16"/>
              </w:rPr>
              <w:t>7</w:t>
            </w:r>
          </w:p>
        </w:tc>
        <w:tc>
          <w:tcPr>
            <w:tcW w:w="1134" w:type="dxa"/>
            <w:vAlign w:val="center"/>
          </w:tcPr>
          <w:p w14:paraId="76FBF669" w14:textId="77777777" w:rsidR="00D766AB" w:rsidRPr="004E3E02" w:rsidRDefault="00842CA3" w:rsidP="00A51C46">
            <w:pPr>
              <w:spacing w:line="300" w:lineRule="atLeast"/>
              <w:jc w:val="center"/>
              <w:rPr>
                <w:rFonts w:ascii="Arial" w:hAnsi="Arial" w:cs="Arial"/>
                <w:sz w:val="16"/>
                <w:szCs w:val="16"/>
              </w:rPr>
            </w:pPr>
            <w:r>
              <w:rPr>
                <w:rFonts w:ascii="Arial" w:hAnsi="Arial" w:cs="Arial"/>
                <w:sz w:val="16"/>
                <w:szCs w:val="16"/>
              </w:rPr>
              <w:t>0.33</w:t>
            </w:r>
          </w:p>
        </w:tc>
        <w:tc>
          <w:tcPr>
            <w:tcW w:w="1134" w:type="dxa"/>
            <w:vAlign w:val="center"/>
          </w:tcPr>
          <w:p w14:paraId="3B291088" w14:textId="77777777" w:rsidR="00D766AB" w:rsidRPr="004E3E02" w:rsidRDefault="00D766AB" w:rsidP="001E5DEF">
            <w:pPr>
              <w:spacing w:line="300" w:lineRule="atLeast"/>
              <w:jc w:val="center"/>
              <w:rPr>
                <w:rFonts w:ascii="Arial" w:hAnsi="Arial" w:cs="Arial"/>
                <w:sz w:val="16"/>
                <w:szCs w:val="16"/>
              </w:rPr>
            </w:pPr>
            <w:r>
              <w:rPr>
                <w:rFonts w:ascii="Arial" w:hAnsi="Arial" w:cs="Arial"/>
                <w:sz w:val="16"/>
                <w:szCs w:val="16"/>
              </w:rPr>
              <w:t>-</w:t>
            </w:r>
          </w:p>
        </w:tc>
        <w:tc>
          <w:tcPr>
            <w:tcW w:w="1304" w:type="dxa"/>
            <w:vAlign w:val="center"/>
          </w:tcPr>
          <w:p w14:paraId="316C0AF2" w14:textId="77777777" w:rsidR="00D766AB" w:rsidRPr="004E3E02" w:rsidRDefault="00D766AB" w:rsidP="001E5DEF">
            <w:pPr>
              <w:spacing w:line="300" w:lineRule="atLeast"/>
              <w:jc w:val="center"/>
              <w:rPr>
                <w:rFonts w:ascii="Arial" w:hAnsi="Arial" w:cs="Arial"/>
                <w:sz w:val="16"/>
                <w:szCs w:val="16"/>
              </w:rPr>
            </w:pPr>
            <w:r>
              <w:rPr>
                <w:rFonts w:ascii="Arial" w:hAnsi="Arial" w:cs="Arial"/>
                <w:sz w:val="16"/>
                <w:szCs w:val="16"/>
              </w:rPr>
              <w:t>-</w:t>
            </w:r>
          </w:p>
        </w:tc>
        <w:tc>
          <w:tcPr>
            <w:tcW w:w="1077" w:type="dxa"/>
            <w:vAlign w:val="center"/>
          </w:tcPr>
          <w:p w14:paraId="18ECC214" w14:textId="075D097B" w:rsidR="00D766AB" w:rsidRPr="004E3E02" w:rsidRDefault="00842CA3" w:rsidP="00A51C46">
            <w:pPr>
              <w:spacing w:line="300" w:lineRule="atLeast"/>
              <w:jc w:val="center"/>
              <w:rPr>
                <w:rFonts w:ascii="Arial" w:hAnsi="Arial" w:cs="Arial"/>
                <w:sz w:val="16"/>
                <w:szCs w:val="16"/>
              </w:rPr>
            </w:pPr>
            <w:r>
              <w:rPr>
                <w:rFonts w:ascii="Arial" w:hAnsi="Arial" w:cs="Arial"/>
                <w:sz w:val="16"/>
                <w:szCs w:val="16"/>
              </w:rPr>
              <w:t>0.1</w:t>
            </w:r>
            <w:r w:rsidR="00892EB8">
              <w:rPr>
                <w:rFonts w:ascii="Arial" w:hAnsi="Arial" w:cs="Arial"/>
                <w:sz w:val="16"/>
                <w:szCs w:val="16"/>
              </w:rPr>
              <w:t>4</w:t>
            </w:r>
          </w:p>
        </w:tc>
        <w:tc>
          <w:tcPr>
            <w:tcW w:w="1163" w:type="dxa"/>
            <w:vAlign w:val="center"/>
          </w:tcPr>
          <w:p w14:paraId="4DDE3CC7" w14:textId="77777777" w:rsidR="00D766AB" w:rsidRPr="004E3E02" w:rsidRDefault="00D766AB" w:rsidP="001E5DEF">
            <w:pPr>
              <w:spacing w:line="300" w:lineRule="atLeast"/>
              <w:jc w:val="center"/>
              <w:rPr>
                <w:rFonts w:ascii="Arial" w:hAnsi="Arial" w:cs="Arial"/>
                <w:sz w:val="16"/>
                <w:szCs w:val="16"/>
              </w:rPr>
            </w:pPr>
            <w:r>
              <w:rPr>
                <w:rFonts w:ascii="Arial" w:hAnsi="Arial" w:cs="Arial"/>
                <w:sz w:val="16"/>
                <w:szCs w:val="16"/>
              </w:rPr>
              <w:t>-</w:t>
            </w:r>
          </w:p>
        </w:tc>
      </w:tr>
      <w:tr w:rsidR="00D766AB" w:rsidRPr="007901FE" w14:paraId="6732C28E" w14:textId="77777777" w:rsidTr="004E008C">
        <w:tc>
          <w:tcPr>
            <w:tcW w:w="1985" w:type="dxa"/>
            <w:vAlign w:val="center"/>
          </w:tcPr>
          <w:p w14:paraId="46EC78A8" w14:textId="77777777" w:rsidR="00D766AB" w:rsidRPr="004E3E02" w:rsidRDefault="00D766AB" w:rsidP="001E5DEF">
            <w:pPr>
              <w:spacing w:line="300" w:lineRule="atLeast"/>
              <w:rPr>
                <w:rFonts w:ascii="Arial" w:hAnsi="Arial" w:cs="Arial"/>
                <w:sz w:val="16"/>
                <w:szCs w:val="16"/>
              </w:rPr>
            </w:pPr>
            <w:r>
              <w:rPr>
                <w:rFonts w:ascii="Arial" w:hAnsi="Arial" w:cs="Arial"/>
                <w:sz w:val="16"/>
                <w:szCs w:val="16"/>
              </w:rPr>
              <w:t>Pulp and paper</w:t>
            </w:r>
          </w:p>
        </w:tc>
        <w:tc>
          <w:tcPr>
            <w:tcW w:w="1417" w:type="dxa"/>
            <w:vAlign w:val="center"/>
          </w:tcPr>
          <w:p w14:paraId="78DD96B3" w14:textId="77777777" w:rsidR="00D766AB" w:rsidRPr="004E3E02" w:rsidRDefault="00B72462" w:rsidP="001E5DEF">
            <w:pPr>
              <w:spacing w:line="300" w:lineRule="atLeast"/>
              <w:jc w:val="center"/>
              <w:rPr>
                <w:rFonts w:ascii="Arial" w:hAnsi="Arial" w:cs="Arial"/>
                <w:sz w:val="16"/>
                <w:szCs w:val="16"/>
              </w:rPr>
            </w:pPr>
            <w:r>
              <w:rPr>
                <w:rFonts w:ascii="Arial" w:hAnsi="Arial" w:cs="Arial"/>
                <w:sz w:val="16"/>
                <w:szCs w:val="16"/>
              </w:rPr>
              <w:t>-</w:t>
            </w:r>
          </w:p>
        </w:tc>
        <w:tc>
          <w:tcPr>
            <w:tcW w:w="1134" w:type="dxa"/>
            <w:vAlign w:val="center"/>
          </w:tcPr>
          <w:p w14:paraId="67EB50C7" w14:textId="77777777" w:rsidR="00D766AB" w:rsidRPr="004E3E02" w:rsidRDefault="00B72462" w:rsidP="001E5DEF">
            <w:pPr>
              <w:spacing w:line="300" w:lineRule="atLeast"/>
              <w:jc w:val="center"/>
              <w:rPr>
                <w:rFonts w:ascii="Arial" w:hAnsi="Arial" w:cs="Arial"/>
                <w:sz w:val="16"/>
                <w:szCs w:val="16"/>
              </w:rPr>
            </w:pPr>
            <w:r>
              <w:rPr>
                <w:rFonts w:ascii="Arial" w:hAnsi="Arial" w:cs="Arial"/>
                <w:sz w:val="16"/>
                <w:szCs w:val="16"/>
              </w:rPr>
              <w:t>-</w:t>
            </w:r>
          </w:p>
        </w:tc>
        <w:tc>
          <w:tcPr>
            <w:tcW w:w="1134" w:type="dxa"/>
            <w:vAlign w:val="center"/>
          </w:tcPr>
          <w:p w14:paraId="4986D6F5" w14:textId="77777777" w:rsidR="00D766AB" w:rsidRPr="004E3E02" w:rsidRDefault="00B72462" w:rsidP="001E5DEF">
            <w:pPr>
              <w:spacing w:line="300" w:lineRule="atLeast"/>
              <w:jc w:val="center"/>
              <w:rPr>
                <w:rFonts w:ascii="Arial" w:hAnsi="Arial" w:cs="Arial"/>
                <w:sz w:val="16"/>
                <w:szCs w:val="16"/>
              </w:rPr>
            </w:pPr>
            <w:r>
              <w:rPr>
                <w:rFonts w:ascii="Arial" w:hAnsi="Arial" w:cs="Arial"/>
                <w:sz w:val="16"/>
                <w:szCs w:val="16"/>
              </w:rPr>
              <w:t>-</w:t>
            </w:r>
          </w:p>
        </w:tc>
        <w:tc>
          <w:tcPr>
            <w:tcW w:w="1304" w:type="dxa"/>
            <w:vAlign w:val="center"/>
          </w:tcPr>
          <w:p w14:paraId="54F147B9" w14:textId="77777777" w:rsidR="00D766AB" w:rsidRPr="004E3E02" w:rsidRDefault="00B72462" w:rsidP="001E5DEF">
            <w:pPr>
              <w:spacing w:line="300" w:lineRule="atLeast"/>
              <w:jc w:val="center"/>
              <w:rPr>
                <w:rFonts w:ascii="Arial" w:hAnsi="Arial" w:cs="Arial"/>
                <w:sz w:val="16"/>
                <w:szCs w:val="16"/>
              </w:rPr>
            </w:pPr>
            <w:r>
              <w:rPr>
                <w:rFonts w:ascii="Arial" w:hAnsi="Arial" w:cs="Arial"/>
                <w:sz w:val="16"/>
                <w:szCs w:val="16"/>
              </w:rPr>
              <w:t>-</w:t>
            </w:r>
          </w:p>
        </w:tc>
        <w:tc>
          <w:tcPr>
            <w:tcW w:w="1077" w:type="dxa"/>
            <w:vAlign w:val="center"/>
          </w:tcPr>
          <w:p w14:paraId="4759726D" w14:textId="77777777" w:rsidR="00D766AB" w:rsidRPr="004E3E02" w:rsidRDefault="00D766AB" w:rsidP="001E5DEF">
            <w:pPr>
              <w:spacing w:line="300" w:lineRule="atLeast"/>
              <w:jc w:val="center"/>
              <w:rPr>
                <w:rFonts w:ascii="Arial" w:hAnsi="Arial" w:cs="Arial"/>
                <w:sz w:val="16"/>
                <w:szCs w:val="16"/>
              </w:rPr>
            </w:pPr>
            <w:r>
              <w:rPr>
                <w:rFonts w:ascii="Arial" w:hAnsi="Arial" w:cs="Arial"/>
                <w:sz w:val="16"/>
                <w:szCs w:val="16"/>
              </w:rPr>
              <w:t>-</w:t>
            </w:r>
          </w:p>
        </w:tc>
        <w:tc>
          <w:tcPr>
            <w:tcW w:w="1163" w:type="dxa"/>
            <w:vAlign w:val="center"/>
          </w:tcPr>
          <w:p w14:paraId="4D87A0DB" w14:textId="77777777" w:rsidR="00D766AB" w:rsidRPr="004E3E02" w:rsidRDefault="00D766AB" w:rsidP="001E5DEF">
            <w:pPr>
              <w:spacing w:line="300" w:lineRule="atLeast"/>
              <w:jc w:val="center"/>
              <w:rPr>
                <w:rFonts w:ascii="Arial" w:hAnsi="Arial" w:cs="Arial"/>
                <w:sz w:val="16"/>
                <w:szCs w:val="16"/>
              </w:rPr>
            </w:pPr>
            <w:r>
              <w:rPr>
                <w:rFonts w:ascii="Arial" w:hAnsi="Arial" w:cs="Arial"/>
                <w:sz w:val="16"/>
                <w:szCs w:val="16"/>
              </w:rPr>
              <w:t>-</w:t>
            </w:r>
          </w:p>
        </w:tc>
      </w:tr>
      <w:tr w:rsidR="002E1BB2" w:rsidRPr="007901FE" w14:paraId="77D46D64" w14:textId="77777777" w:rsidTr="004E008C">
        <w:tc>
          <w:tcPr>
            <w:tcW w:w="1985" w:type="dxa"/>
            <w:vAlign w:val="center"/>
          </w:tcPr>
          <w:p w14:paraId="215EA8FD" w14:textId="77777777" w:rsidR="002E1BB2" w:rsidRPr="004E3E02" w:rsidRDefault="002E1BB2" w:rsidP="002E1BB2">
            <w:pPr>
              <w:spacing w:line="300" w:lineRule="atLeast"/>
              <w:rPr>
                <w:rFonts w:ascii="Arial" w:hAnsi="Arial" w:cs="Arial"/>
                <w:sz w:val="16"/>
                <w:szCs w:val="16"/>
              </w:rPr>
            </w:pPr>
            <w:r>
              <w:rPr>
                <w:rFonts w:ascii="Arial" w:hAnsi="Arial" w:cs="Arial"/>
                <w:sz w:val="16"/>
                <w:szCs w:val="16"/>
              </w:rPr>
              <w:t>Lime</w:t>
            </w:r>
          </w:p>
        </w:tc>
        <w:tc>
          <w:tcPr>
            <w:tcW w:w="1417" w:type="dxa"/>
            <w:vAlign w:val="center"/>
          </w:tcPr>
          <w:p w14:paraId="4785BEDD" w14:textId="7C31D003" w:rsidR="002E1BB2" w:rsidRPr="004E3E02" w:rsidRDefault="002E1BB2" w:rsidP="002E1BB2">
            <w:pPr>
              <w:spacing w:line="300" w:lineRule="atLeast"/>
              <w:jc w:val="center"/>
              <w:rPr>
                <w:rFonts w:ascii="Arial" w:hAnsi="Arial" w:cs="Arial"/>
                <w:sz w:val="16"/>
                <w:szCs w:val="16"/>
              </w:rPr>
            </w:pPr>
            <w:r>
              <w:rPr>
                <w:rFonts w:ascii="Arial" w:hAnsi="Arial" w:cs="Arial"/>
                <w:sz w:val="16"/>
                <w:szCs w:val="16"/>
              </w:rPr>
              <w:t>1.23 – 4.91    (3.07)</w:t>
            </w:r>
          </w:p>
        </w:tc>
        <w:tc>
          <w:tcPr>
            <w:tcW w:w="1134" w:type="dxa"/>
            <w:vAlign w:val="center"/>
          </w:tcPr>
          <w:p w14:paraId="70F7ECAA" w14:textId="6649368B" w:rsidR="002E1BB2" w:rsidRPr="004E3E02" w:rsidRDefault="002E1BB2" w:rsidP="002E1BB2">
            <w:pPr>
              <w:spacing w:line="300" w:lineRule="atLeast"/>
              <w:jc w:val="center"/>
              <w:rPr>
                <w:rFonts w:ascii="Arial" w:hAnsi="Arial" w:cs="Arial"/>
                <w:sz w:val="16"/>
                <w:szCs w:val="16"/>
              </w:rPr>
            </w:pPr>
            <w:r>
              <w:rPr>
                <w:rFonts w:ascii="Arial" w:hAnsi="Arial" w:cs="Arial"/>
                <w:sz w:val="16"/>
                <w:szCs w:val="16"/>
              </w:rPr>
              <w:t>0.86 – 3.44  (2.15)</w:t>
            </w:r>
          </w:p>
        </w:tc>
        <w:tc>
          <w:tcPr>
            <w:tcW w:w="1134" w:type="dxa"/>
            <w:vAlign w:val="center"/>
          </w:tcPr>
          <w:p w14:paraId="723F216D" w14:textId="351379B5" w:rsidR="002E1BB2" w:rsidRPr="004E3E02" w:rsidRDefault="002E1BB2" w:rsidP="002E1BB2">
            <w:pPr>
              <w:spacing w:line="300" w:lineRule="atLeast"/>
              <w:jc w:val="center"/>
              <w:rPr>
                <w:rFonts w:ascii="Arial" w:hAnsi="Arial" w:cs="Arial"/>
                <w:sz w:val="16"/>
                <w:szCs w:val="16"/>
              </w:rPr>
            </w:pPr>
            <w:r>
              <w:rPr>
                <w:rFonts w:ascii="Arial" w:hAnsi="Arial" w:cs="Arial"/>
                <w:sz w:val="16"/>
                <w:szCs w:val="16"/>
              </w:rPr>
              <w:t>-</w:t>
            </w:r>
          </w:p>
        </w:tc>
        <w:tc>
          <w:tcPr>
            <w:tcW w:w="1304" w:type="dxa"/>
            <w:vAlign w:val="center"/>
          </w:tcPr>
          <w:p w14:paraId="7AF2538C" w14:textId="77777777" w:rsidR="002E1BB2" w:rsidRPr="004E3E02" w:rsidRDefault="002E1BB2" w:rsidP="002E1BB2">
            <w:pPr>
              <w:spacing w:line="300" w:lineRule="atLeast"/>
              <w:jc w:val="center"/>
              <w:rPr>
                <w:rFonts w:ascii="Arial" w:hAnsi="Arial" w:cs="Arial"/>
                <w:sz w:val="16"/>
                <w:szCs w:val="16"/>
              </w:rPr>
            </w:pPr>
            <w:r>
              <w:rPr>
                <w:rFonts w:ascii="Arial" w:hAnsi="Arial" w:cs="Arial"/>
                <w:sz w:val="16"/>
                <w:szCs w:val="16"/>
              </w:rPr>
              <w:t>-</w:t>
            </w:r>
          </w:p>
        </w:tc>
        <w:tc>
          <w:tcPr>
            <w:tcW w:w="1077" w:type="dxa"/>
            <w:vAlign w:val="center"/>
          </w:tcPr>
          <w:p w14:paraId="3D7C12ED" w14:textId="7DF22149" w:rsidR="002E1BB2" w:rsidRPr="004E3E02" w:rsidRDefault="002E1BB2" w:rsidP="002E1BB2">
            <w:pPr>
              <w:spacing w:line="300" w:lineRule="atLeast"/>
              <w:jc w:val="center"/>
              <w:rPr>
                <w:rFonts w:ascii="Arial" w:hAnsi="Arial" w:cs="Arial"/>
                <w:sz w:val="16"/>
                <w:szCs w:val="16"/>
              </w:rPr>
            </w:pPr>
            <w:r>
              <w:rPr>
                <w:rFonts w:ascii="Arial" w:hAnsi="Arial" w:cs="Arial"/>
                <w:sz w:val="16"/>
                <w:szCs w:val="16"/>
              </w:rPr>
              <w:t>0.37 – 1.47  (0.92)</w:t>
            </w:r>
          </w:p>
        </w:tc>
        <w:tc>
          <w:tcPr>
            <w:tcW w:w="1163" w:type="dxa"/>
            <w:vAlign w:val="center"/>
          </w:tcPr>
          <w:p w14:paraId="5BEEEBAF" w14:textId="77777777" w:rsidR="002E1BB2" w:rsidRPr="004E3E02" w:rsidRDefault="002E1BB2" w:rsidP="002E1BB2">
            <w:pPr>
              <w:spacing w:line="300" w:lineRule="atLeast"/>
              <w:jc w:val="center"/>
              <w:rPr>
                <w:rFonts w:ascii="Arial" w:hAnsi="Arial" w:cs="Arial"/>
                <w:sz w:val="16"/>
                <w:szCs w:val="16"/>
              </w:rPr>
            </w:pPr>
            <w:r>
              <w:rPr>
                <w:rFonts w:ascii="Arial" w:hAnsi="Arial" w:cs="Arial"/>
                <w:sz w:val="16"/>
                <w:szCs w:val="16"/>
              </w:rPr>
              <w:t>-</w:t>
            </w:r>
          </w:p>
        </w:tc>
      </w:tr>
      <w:tr w:rsidR="00796FAD" w:rsidRPr="007901FE" w14:paraId="42CEC4CA" w14:textId="77777777" w:rsidTr="004E008C">
        <w:tc>
          <w:tcPr>
            <w:tcW w:w="1985" w:type="dxa"/>
            <w:vAlign w:val="center"/>
          </w:tcPr>
          <w:p w14:paraId="2B7586D9" w14:textId="509AD612" w:rsidR="00796FAD" w:rsidRPr="00796FAD" w:rsidRDefault="00796FAD" w:rsidP="00796FAD">
            <w:pPr>
              <w:spacing w:line="300" w:lineRule="atLeast"/>
              <w:rPr>
                <w:rFonts w:ascii="Arial" w:hAnsi="Arial" w:cs="Arial"/>
                <w:sz w:val="16"/>
                <w:szCs w:val="16"/>
              </w:rPr>
            </w:pPr>
            <w:r>
              <w:rPr>
                <w:rFonts w:ascii="Arial" w:hAnsi="Arial" w:cs="Arial"/>
                <w:sz w:val="16"/>
                <w:szCs w:val="16"/>
              </w:rPr>
              <w:t>P</w:t>
            </w:r>
            <w:r w:rsidRPr="00796FAD">
              <w:rPr>
                <w:rFonts w:ascii="Arial" w:hAnsi="Arial" w:cs="Arial"/>
                <w:sz w:val="16"/>
                <w:szCs w:val="16"/>
              </w:rPr>
              <w:t>hosphate</w:t>
            </w:r>
            <w:r>
              <w:rPr>
                <w:rFonts w:ascii="Arial" w:hAnsi="Arial" w:cs="Arial"/>
                <w:sz w:val="16"/>
                <w:szCs w:val="16"/>
              </w:rPr>
              <w:t xml:space="preserve"> fertiliser</w:t>
            </w:r>
          </w:p>
        </w:tc>
        <w:tc>
          <w:tcPr>
            <w:tcW w:w="1417" w:type="dxa"/>
            <w:vAlign w:val="center"/>
          </w:tcPr>
          <w:p w14:paraId="56C2ED80" w14:textId="2DCED79B" w:rsidR="00796FAD" w:rsidRPr="00796FAD" w:rsidRDefault="00796FAD" w:rsidP="00796FAD">
            <w:pPr>
              <w:spacing w:line="300" w:lineRule="atLeast"/>
              <w:jc w:val="center"/>
              <w:rPr>
                <w:rFonts w:ascii="Arial" w:hAnsi="Arial" w:cs="Arial"/>
                <w:sz w:val="16"/>
                <w:szCs w:val="16"/>
              </w:rPr>
            </w:pPr>
            <w:r w:rsidRPr="00796FAD">
              <w:rPr>
                <w:rFonts w:ascii="Arial" w:hAnsi="Arial" w:cs="Arial"/>
                <w:sz w:val="16"/>
                <w:szCs w:val="16"/>
              </w:rPr>
              <w:t>54.8 – 98.6 (76.7)</w:t>
            </w:r>
          </w:p>
        </w:tc>
        <w:tc>
          <w:tcPr>
            <w:tcW w:w="1134" w:type="dxa"/>
            <w:vAlign w:val="center"/>
          </w:tcPr>
          <w:p w14:paraId="0F1E29F6" w14:textId="1CDEE225" w:rsidR="00796FAD" w:rsidRPr="00796FAD" w:rsidRDefault="00796FAD" w:rsidP="00796FAD">
            <w:pPr>
              <w:spacing w:line="300" w:lineRule="atLeast"/>
              <w:jc w:val="center"/>
              <w:rPr>
                <w:rFonts w:ascii="Arial" w:hAnsi="Arial" w:cs="Arial"/>
                <w:sz w:val="16"/>
                <w:szCs w:val="16"/>
              </w:rPr>
            </w:pPr>
          </w:p>
        </w:tc>
        <w:tc>
          <w:tcPr>
            <w:tcW w:w="1134" w:type="dxa"/>
            <w:vAlign w:val="center"/>
          </w:tcPr>
          <w:p w14:paraId="133C6968" w14:textId="77777777" w:rsidR="00796FAD" w:rsidRPr="00796FAD" w:rsidRDefault="00796FAD" w:rsidP="00796FAD">
            <w:pPr>
              <w:spacing w:line="300" w:lineRule="atLeast"/>
              <w:jc w:val="center"/>
              <w:rPr>
                <w:rFonts w:ascii="Arial" w:hAnsi="Arial" w:cs="Arial"/>
                <w:sz w:val="16"/>
                <w:szCs w:val="16"/>
              </w:rPr>
            </w:pPr>
            <w:r w:rsidRPr="00796FAD">
              <w:rPr>
                <w:rFonts w:ascii="Arial" w:hAnsi="Arial" w:cs="Arial"/>
                <w:sz w:val="16"/>
                <w:szCs w:val="16"/>
              </w:rPr>
              <w:t>-</w:t>
            </w:r>
          </w:p>
        </w:tc>
        <w:tc>
          <w:tcPr>
            <w:tcW w:w="1304" w:type="dxa"/>
            <w:vAlign w:val="center"/>
          </w:tcPr>
          <w:p w14:paraId="0FA4869D" w14:textId="00954ABB" w:rsidR="00796FAD" w:rsidRPr="00796FAD" w:rsidRDefault="00796FAD" w:rsidP="00796FAD">
            <w:pPr>
              <w:spacing w:line="300" w:lineRule="atLeast"/>
              <w:jc w:val="center"/>
              <w:rPr>
                <w:rFonts w:ascii="Arial" w:hAnsi="Arial" w:cs="Arial"/>
                <w:sz w:val="16"/>
                <w:szCs w:val="16"/>
              </w:rPr>
            </w:pPr>
            <w:r w:rsidRPr="00796FAD">
              <w:rPr>
                <w:rFonts w:ascii="Arial" w:hAnsi="Arial" w:cs="Arial"/>
                <w:sz w:val="16"/>
                <w:szCs w:val="16"/>
              </w:rPr>
              <w:t>54.8 – 98.6 (76.7)</w:t>
            </w:r>
          </w:p>
        </w:tc>
        <w:tc>
          <w:tcPr>
            <w:tcW w:w="1077" w:type="dxa"/>
            <w:vAlign w:val="center"/>
          </w:tcPr>
          <w:p w14:paraId="35CCE19E" w14:textId="77777777" w:rsidR="00796FAD" w:rsidRPr="00796FAD" w:rsidRDefault="00796FAD" w:rsidP="00796FAD">
            <w:pPr>
              <w:spacing w:line="300" w:lineRule="atLeast"/>
              <w:jc w:val="center"/>
              <w:rPr>
                <w:rFonts w:ascii="Arial" w:hAnsi="Arial" w:cs="Arial"/>
                <w:sz w:val="16"/>
                <w:szCs w:val="16"/>
              </w:rPr>
            </w:pPr>
            <w:r w:rsidRPr="00796FAD">
              <w:rPr>
                <w:rFonts w:ascii="Arial" w:hAnsi="Arial" w:cs="Arial"/>
                <w:sz w:val="16"/>
                <w:szCs w:val="16"/>
              </w:rPr>
              <w:t>-</w:t>
            </w:r>
          </w:p>
        </w:tc>
        <w:tc>
          <w:tcPr>
            <w:tcW w:w="1163" w:type="dxa"/>
            <w:vAlign w:val="center"/>
          </w:tcPr>
          <w:p w14:paraId="0FF8472A" w14:textId="77777777" w:rsidR="00796FAD" w:rsidRPr="004E3E02" w:rsidRDefault="00796FAD" w:rsidP="00796FAD">
            <w:pPr>
              <w:spacing w:line="300" w:lineRule="atLeast"/>
              <w:jc w:val="center"/>
              <w:rPr>
                <w:rFonts w:ascii="Arial" w:hAnsi="Arial" w:cs="Arial"/>
                <w:sz w:val="16"/>
                <w:szCs w:val="16"/>
              </w:rPr>
            </w:pPr>
            <w:r w:rsidRPr="00796FAD">
              <w:rPr>
                <w:rFonts w:ascii="Arial" w:hAnsi="Arial" w:cs="Arial"/>
                <w:sz w:val="16"/>
                <w:szCs w:val="16"/>
              </w:rPr>
              <w:t>-</w:t>
            </w:r>
          </w:p>
        </w:tc>
      </w:tr>
      <w:tr w:rsidR="00D766AB" w:rsidRPr="007901FE" w14:paraId="0E035535" w14:textId="77777777" w:rsidTr="004E008C">
        <w:tc>
          <w:tcPr>
            <w:tcW w:w="1985" w:type="dxa"/>
            <w:vAlign w:val="center"/>
          </w:tcPr>
          <w:p w14:paraId="11604B82" w14:textId="77777777" w:rsidR="00D766AB" w:rsidRPr="004E3E02" w:rsidRDefault="00D766AB" w:rsidP="001E5DEF">
            <w:pPr>
              <w:spacing w:line="300" w:lineRule="atLeast"/>
              <w:rPr>
                <w:rFonts w:ascii="Arial" w:hAnsi="Arial" w:cs="Arial"/>
                <w:sz w:val="16"/>
                <w:szCs w:val="16"/>
              </w:rPr>
            </w:pPr>
            <w:r>
              <w:rPr>
                <w:rFonts w:ascii="Arial" w:hAnsi="Arial" w:cs="Arial"/>
                <w:sz w:val="16"/>
                <w:szCs w:val="16"/>
              </w:rPr>
              <w:t>Agricultural lime</w:t>
            </w:r>
          </w:p>
        </w:tc>
        <w:tc>
          <w:tcPr>
            <w:tcW w:w="1417" w:type="dxa"/>
            <w:vAlign w:val="center"/>
          </w:tcPr>
          <w:p w14:paraId="363D70B3" w14:textId="77777777" w:rsidR="00D766AB" w:rsidRPr="004E3E02" w:rsidRDefault="00842CA3" w:rsidP="001E5DEF">
            <w:pPr>
              <w:spacing w:line="300" w:lineRule="atLeast"/>
              <w:jc w:val="center"/>
              <w:rPr>
                <w:rFonts w:ascii="Arial" w:hAnsi="Arial" w:cs="Arial"/>
                <w:sz w:val="16"/>
                <w:szCs w:val="16"/>
              </w:rPr>
            </w:pPr>
            <w:r>
              <w:rPr>
                <w:rFonts w:ascii="Arial" w:hAnsi="Arial" w:cs="Arial"/>
                <w:sz w:val="16"/>
                <w:szCs w:val="16"/>
              </w:rPr>
              <w:t>4.88 - 19.51 (12.20)</w:t>
            </w:r>
          </w:p>
        </w:tc>
        <w:tc>
          <w:tcPr>
            <w:tcW w:w="1134" w:type="dxa"/>
            <w:vAlign w:val="center"/>
          </w:tcPr>
          <w:p w14:paraId="6E195EE3" w14:textId="77777777" w:rsidR="00D766AB" w:rsidRPr="004E3E02" w:rsidRDefault="00D766AB" w:rsidP="001E5DEF">
            <w:pPr>
              <w:spacing w:line="300" w:lineRule="atLeast"/>
              <w:jc w:val="center"/>
              <w:rPr>
                <w:rFonts w:ascii="Arial" w:hAnsi="Arial" w:cs="Arial"/>
                <w:sz w:val="16"/>
                <w:szCs w:val="16"/>
              </w:rPr>
            </w:pPr>
            <w:r>
              <w:rPr>
                <w:rFonts w:ascii="Arial" w:hAnsi="Arial" w:cs="Arial"/>
                <w:sz w:val="16"/>
                <w:szCs w:val="16"/>
              </w:rPr>
              <w:t>-</w:t>
            </w:r>
          </w:p>
        </w:tc>
        <w:tc>
          <w:tcPr>
            <w:tcW w:w="1134" w:type="dxa"/>
            <w:vAlign w:val="center"/>
          </w:tcPr>
          <w:p w14:paraId="5E5A1ED4" w14:textId="77777777" w:rsidR="00D766AB" w:rsidRPr="004E3E02" w:rsidRDefault="00D766AB" w:rsidP="001E5DEF">
            <w:pPr>
              <w:spacing w:line="300" w:lineRule="atLeast"/>
              <w:jc w:val="center"/>
              <w:rPr>
                <w:rFonts w:ascii="Arial" w:hAnsi="Arial" w:cs="Arial"/>
                <w:sz w:val="16"/>
                <w:szCs w:val="16"/>
              </w:rPr>
            </w:pPr>
            <w:r>
              <w:rPr>
                <w:rFonts w:ascii="Arial" w:hAnsi="Arial" w:cs="Arial"/>
                <w:sz w:val="16"/>
                <w:szCs w:val="16"/>
              </w:rPr>
              <w:t>-</w:t>
            </w:r>
          </w:p>
        </w:tc>
        <w:tc>
          <w:tcPr>
            <w:tcW w:w="1304" w:type="dxa"/>
            <w:vAlign w:val="center"/>
          </w:tcPr>
          <w:p w14:paraId="425D884D" w14:textId="77777777" w:rsidR="00D766AB" w:rsidRPr="004E3E02" w:rsidRDefault="00842CA3" w:rsidP="001E5DEF">
            <w:pPr>
              <w:spacing w:line="300" w:lineRule="atLeast"/>
              <w:jc w:val="center"/>
              <w:rPr>
                <w:rFonts w:ascii="Arial" w:hAnsi="Arial" w:cs="Arial"/>
                <w:sz w:val="16"/>
                <w:szCs w:val="16"/>
              </w:rPr>
            </w:pPr>
            <w:r>
              <w:rPr>
                <w:rFonts w:ascii="Arial" w:hAnsi="Arial" w:cs="Arial"/>
                <w:sz w:val="16"/>
                <w:szCs w:val="16"/>
              </w:rPr>
              <w:t>4.88 - 19.51 (12.20)</w:t>
            </w:r>
          </w:p>
        </w:tc>
        <w:tc>
          <w:tcPr>
            <w:tcW w:w="1077" w:type="dxa"/>
            <w:vAlign w:val="center"/>
          </w:tcPr>
          <w:p w14:paraId="1942D149" w14:textId="77777777" w:rsidR="00D766AB" w:rsidRPr="004E3E02" w:rsidRDefault="005F5773" w:rsidP="00A51C46">
            <w:pPr>
              <w:spacing w:line="300" w:lineRule="atLeast"/>
              <w:jc w:val="center"/>
              <w:rPr>
                <w:rFonts w:ascii="Arial" w:hAnsi="Arial" w:cs="Arial"/>
                <w:sz w:val="16"/>
                <w:szCs w:val="16"/>
              </w:rPr>
            </w:pPr>
            <w:r>
              <w:rPr>
                <w:rFonts w:ascii="Arial" w:hAnsi="Arial" w:cs="Arial"/>
                <w:sz w:val="16"/>
                <w:szCs w:val="16"/>
              </w:rPr>
              <w:t>-</w:t>
            </w:r>
          </w:p>
        </w:tc>
        <w:tc>
          <w:tcPr>
            <w:tcW w:w="1163" w:type="dxa"/>
            <w:vAlign w:val="center"/>
          </w:tcPr>
          <w:p w14:paraId="336392CB" w14:textId="77777777" w:rsidR="00D766AB" w:rsidRPr="004E3E02" w:rsidRDefault="00D766AB" w:rsidP="001E5DEF">
            <w:pPr>
              <w:spacing w:line="300" w:lineRule="atLeast"/>
              <w:jc w:val="center"/>
              <w:rPr>
                <w:rFonts w:ascii="Arial" w:hAnsi="Arial" w:cs="Arial"/>
                <w:sz w:val="16"/>
                <w:szCs w:val="16"/>
              </w:rPr>
            </w:pPr>
            <w:r>
              <w:rPr>
                <w:rFonts w:ascii="Arial" w:hAnsi="Arial" w:cs="Arial"/>
                <w:sz w:val="16"/>
                <w:szCs w:val="16"/>
              </w:rPr>
              <w:t>-</w:t>
            </w:r>
          </w:p>
        </w:tc>
      </w:tr>
      <w:tr w:rsidR="00D766AB" w:rsidRPr="007901FE" w14:paraId="01A3B49A" w14:textId="77777777" w:rsidTr="004E008C">
        <w:tc>
          <w:tcPr>
            <w:tcW w:w="1985" w:type="dxa"/>
          </w:tcPr>
          <w:p w14:paraId="30E89577" w14:textId="77777777" w:rsidR="00D766AB" w:rsidRPr="0028621C" w:rsidRDefault="00D766AB" w:rsidP="001E5DEF">
            <w:pPr>
              <w:spacing w:line="300" w:lineRule="atLeast"/>
              <w:jc w:val="both"/>
              <w:rPr>
                <w:rFonts w:ascii="Arial" w:hAnsi="Arial" w:cs="Arial"/>
                <w:b/>
                <w:sz w:val="16"/>
                <w:szCs w:val="16"/>
              </w:rPr>
            </w:pPr>
            <w:r w:rsidRPr="0028621C">
              <w:rPr>
                <w:rFonts w:ascii="Arial" w:hAnsi="Arial" w:cs="Arial"/>
                <w:b/>
                <w:sz w:val="16"/>
                <w:szCs w:val="16"/>
              </w:rPr>
              <w:t>Totals</w:t>
            </w:r>
          </w:p>
        </w:tc>
        <w:tc>
          <w:tcPr>
            <w:tcW w:w="1417" w:type="dxa"/>
            <w:vAlign w:val="center"/>
          </w:tcPr>
          <w:p w14:paraId="65BACD72" w14:textId="468AD23A" w:rsidR="00D766AB" w:rsidRPr="0028621C" w:rsidRDefault="009C00C2" w:rsidP="002E1BB2">
            <w:pPr>
              <w:spacing w:line="300" w:lineRule="atLeast"/>
              <w:jc w:val="center"/>
              <w:rPr>
                <w:rFonts w:ascii="Arial" w:hAnsi="Arial" w:cs="Arial"/>
                <w:b/>
                <w:sz w:val="16"/>
                <w:szCs w:val="16"/>
              </w:rPr>
            </w:pPr>
            <w:r>
              <w:rPr>
                <w:rFonts w:ascii="Arial" w:hAnsi="Arial" w:cs="Arial"/>
                <w:b/>
                <w:sz w:val="16"/>
                <w:szCs w:val="16"/>
              </w:rPr>
              <w:t>61.4</w:t>
            </w:r>
            <w:r w:rsidR="002E1BB2">
              <w:rPr>
                <w:rFonts w:ascii="Arial" w:hAnsi="Arial" w:cs="Arial"/>
                <w:b/>
                <w:sz w:val="16"/>
                <w:szCs w:val="16"/>
              </w:rPr>
              <w:t xml:space="preserve"> – 123.</w:t>
            </w:r>
            <w:r>
              <w:rPr>
                <w:rFonts w:ascii="Arial" w:hAnsi="Arial" w:cs="Arial"/>
                <w:b/>
                <w:sz w:val="16"/>
                <w:szCs w:val="16"/>
              </w:rPr>
              <w:t>5</w:t>
            </w:r>
            <w:r w:rsidR="002E1BB2">
              <w:rPr>
                <w:rFonts w:ascii="Arial" w:hAnsi="Arial" w:cs="Arial"/>
                <w:b/>
                <w:sz w:val="16"/>
                <w:szCs w:val="16"/>
              </w:rPr>
              <w:t xml:space="preserve"> (92</w:t>
            </w:r>
            <w:r w:rsidR="0028621C">
              <w:rPr>
                <w:rFonts w:ascii="Arial" w:hAnsi="Arial" w:cs="Arial"/>
                <w:b/>
                <w:sz w:val="16"/>
                <w:szCs w:val="16"/>
              </w:rPr>
              <w:t>.</w:t>
            </w:r>
            <w:r w:rsidR="002E1BB2">
              <w:rPr>
                <w:rFonts w:ascii="Arial" w:hAnsi="Arial" w:cs="Arial"/>
                <w:b/>
                <w:sz w:val="16"/>
                <w:szCs w:val="16"/>
              </w:rPr>
              <w:t>4</w:t>
            </w:r>
            <w:r w:rsidR="0028621C">
              <w:rPr>
                <w:rFonts w:ascii="Arial" w:hAnsi="Arial" w:cs="Arial"/>
                <w:b/>
                <w:sz w:val="16"/>
                <w:szCs w:val="16"/>
              </w:rPr>
              <w:t>)</w:t>
            </w:r>
          </w:p>
        </w:tc>
        <w:tc>
          <w:tcPr>
            <w:tcW w:w="1134" w:type="dxa"/>
            <w:vAlign w:val="center"/>
          </w:tcPr>
          <w:p w14:paraId="4A6878BD" w14:textId="292DC48C" w:rsidR="00D766AB" w:rsidRPr="0028621C" w:rsidRDefault="0028621C" w:rsidP="00392B4A">
            <w:pPr>
              <w:spacing w:line="300" w:lineRule="atLeast"/>
              <w:jc w:val="center"/>
              <w:rPr>
                <w:rFonts w:ascii="Arial" w:hAnsi="Arial" w:cs="Arial"/>
                <w:b/>
                <w:sz w:val="16"/>
                <w:szCs w:val="16"/>
              </w:rPr>
            </w:pPr>
            <w:r>
              <w:rPr>
                <w:rFonts w:ascii="Arial" w:hAnsi="Arial" w:cs="Arial"/>
                <w:b/>
                <w:sz w:val="16"/>
                <w:szCs w:val="16"/>
              </w:rPr>
              <w:t>1</w:t>
            </w:r>
            <w:r w:rsidR="009C00C2">
              <w:rPr>
                <w:rFonts w:ascii="Arial" w:hAnsi="Arial" w:cs="Arial"/>
                <w:b/>
                <w:sz w:val="16"/>
                <w:szCs w:val="16"/>
              </w:rPr>
              <w:t>.2</w:t>
            </w:r>
            <w:r>
              <w:rPr>
                <w:rFonts w:ascii="Arial" w:hAnsi="Arial" w:cs="Arial"/>
                <w:b/>
                <w:sz w:val="16"/>
                <w:szCs w:val="16"/>
              </w:rPr>
              <w:t xml:space="preserve"> –</w:t>
            </w:r>
            <w:r w:rsidR="009C00C2">
              <w:rPr>
                <w:rFonts w:ascii="Arial" w:hAnsi="Arial" w:cs="Arial"/>
                <w:b/>
                <w:sz w:val="16"/>
                <w:szCs w:val="16"/>
              </w:rPr>
              <w:t xml:space="preserve"> 3.8 (2.5</w:t>
            </w:r>
            <w:r>
              <w:rPr>
                <w:rFonts w:ascii="Arial" w:hAnsi="Arial" w:cs="Arial"/>
                <w:b/>
                <w:sz w:val="16"/>
                <w:szCs w:val="16"/>
              </w:rPr>
              <w:t>)</w:t>
            </w:r>
          </w:p>
        </w:tc>
        <w:tc>
          <w:tcPr>
            <w:tcW w:w="1134" w:type="dxa"/>
            <w:vAlign w:val="center"/>
          </w:tcPr>
          <w:p w14:paraId="24ECBAD6" w14:textId="77777777" w:rsidR="00D766AB" w:rsidRPr="0028621C" w:rsidRDefault="00BF30F1" w:rsidP="001E5DEF">
            <w:pPr>
              <w:spacing w:line="300" w:lineRule="atLeast"/>
              <w:jc w:val="center"/>
              <w:rPr>
                <w:rFonts w:ascii="Arial" w:hAnsi="Arial" w:cs="Arial"/>
                <w:b/>
                <w:sz w:val="16"/>
                <w:szCs w:val="16"/>
              </w:rPr>
            </w:pPr>
            <w:r w:rsidRPr="0028621C">
              <w:rPr>
                <w:rFonts w:ascii="Arial" w:hAnsi="Arial" w:cs="Arial"/>
                <w:b/>
                <w:sz w:val="16"/>
                <w:szCs w:val="16"/>
              </w:rPr>
              <w:t>-</w:t>
            </w:r>
          </w:p>
        </w:tc>
        <w:tc>
          <w:tcPr>
            <w:tcW w:w="1304" w:type="dxa"/>
            <w:vAlign w:val="center"/>
          </w:tcPr>
          <w:p w14:paraId="28C864DB" w14:textId="559557D2" w:rsidR="00D766AB" w:rsidRPr="0028621C" w:rsidRDefault="009C00C2" w:rsidP="001E5DEF">
            <w:pPr>
              <w:spacing w:line="300" w:lineRule="atLeast"/>
              <w:jc w:val="center"/>
              <w:rPr>
                <w:rFonts w:ascii="Arial" w:hAnsi="Arial" w:cs="Arial"/>
                <w:b/>
                <w:sz w:val="16"/>
                <w:szCs w:val="16"/>
              </w:rPr>
            </w:pPr>
            <w:r>
              <w:rPr>
                <w:rFonts w:ascii="Arial" w:hAnsi="Arial" w:cs="Arial"/>
                <w:b/>
                <w:sz w:val="16"/>
                <w:szCs w:val="16"/>
              </w:rPr>
              <w:t>59.7 – 118.1 (88.</w:t>
            </w:r>
            <w:r w:rsidR="0028621C">
              <w:rPr>
                <w:rFonts w:ascii="Arial" w:hAnsi="Arial" w:cs="Arial"/>
                <w:b/>
                <w:sz w:val="16"/>
                <w:szCs w:val="16"/>
              </w:rPr>
              <w:t>9)</w:t>
            </w:r>
          </w:p>
        </w:tc>
        <w:tc>
          <w:tcPr>
            <w:tcW w:w="1077" w:type="dxa"/>
            <w:vAlign w:val="center"/>
          </w:tcPr>
          <w:p w14:paraId="2AD1F97B" w14:textId="67047397" w:rsidR="00D766AB" w:rsidRPr="0028621C" w:rsidRDefault="009C00C2" w:rsidP="00863A03">
            <w:pPr>
              <w:spacing w:line="300" w:lineRule="atLeast"/>
              <w:jc w:val="center"/>
              <w:rPr>
                <w:rFonts w:ascii="Arial" w:hAnsi="Arial" w:cs="Arial"/>
                <w:b/>
                <w:sz w:val="16"/>
                <w:szCs w:val="16"/>
              </w:rPr>
            </w:pPr>
            <w:r>
              <w:rPr>
                <w:rFonts w:ascii="Arial" w:hAnsi="Arial" w:cs="Arial"/>
                <w:b/>
                <w:sz w:val="16"/>
                <w:szCs w:val="16"/>
              </w:rPr>
              <w:t>0.5 – 1.6 (1.1</w:t>
            </w:r>
            <w:r w:rsidR="0028621C">
              <w:rPr>
                <w:rFonts w:ascii="Arial" w:hAnsi="Arial" w:cs="Arial"/>
                <w:b/>
                <w:sz w:val="16"/>
                <w:szCs w:val="16"/>
              </w:rPr>
              <w:t>)</w:t>
            </w:r>
          </w:p>
        </w:tc>
        <w:tc>
          <w:tcPr>
            <w:tcW w:w="1163" w:type="dxa"/>
            <w:vAlign w:val="center"/>
          </w:tcPr>
          <w:p w14:paraId="545CA7F1" w14:textId="77777777" w:rsidR="00D766AB" w:rsidRPr="0028621C" w:rsidRDefault="00BF30F1" w:rsidP="001E5DEF">
            <w:pPr>
              <w:spacing w:line="300" w:lineRule="atLeast"/>
              <w:jc w:val="center"/>
              <w:rPr>
                <w:rFonts w:ascii="Arial" w:hAnsi="Arial" w:cs="Arial"/>
                <w:b/>
                <w:sz w:val="16"/>
                <w:szCs w:val="16"/>
              </w:rPr>
            </w:pPr>
            <w:r w:rsidRPr="0028621C">
              <w:rPr>
                <w:rFonts w:ascii="Arial" w:hAnsi="Arial" w:cs="Arial"/>
                <w:b/>
                <w:sz w:val="16"/>
                <w:szCs w:val="16"/>
              </w:rPr>
              <w:t>-</w:t>
            </w:r>
          </w:p>
        </w:tc>
      </w:tr>
    </w:tbl>
    <w:p w14:paraId="00542894" w14:textId="18D92A2E" w:rsidR="00FA0FEA" w:rsidRDefault="00FA0FEA" w:rsidP="003833D6">
      <w:pPr>
        <w:spacing w:line="300" w:lineRule="atLeast"/>
        <w:jc w:val="both"/>
        <w:rPr>
          <w:szCs w:val="18"/>
        </w:rPr>
      </w:pPr>
    </w:p>
    <w:p w14:paraId="37A564D3" w14:textId="77777777" w:rsidR="00D16E72" w:rsidRDefault="00D16E72">
      <w:pPr>
        <w:spacing w:after="0"/>
        <w:rPr>
          <w:szCs w:val="18"/>
        </w:rPr>
      </w:pPr>
      <w:r>
        <w:rPr>
          <w:szCs w:val="18"/>
        </w:rPr>
        <w:br w:type="page"/>
      </w:r>
    </w:p>
    <w:p w14:paraId="5F19B453" w14:textId="77777777" w:rsidR="00D16E72" w:rsidRDefault="00284F82" w:rsidP="00D16E72">
      <w:pPr>
        <w:pStyle w:val="Heading1"/>
      </w:pPr>
      <w:bookmarkStart w:id="81" w:name="_Toc484949587"/>
      <w:r>
        <w:lastRenderedPageBreak/>
        <w:t>Intentional use of mercury in industrial processes</w:t>
      </w:r>
      <w:bookmarkEnd w:id="81"/>
    </w:p>
    <w:p w14:paraId="7827B508" w14:textId="43FCB79C" w:rsidR="00D16E72" w:rsidRDefault="00F63F5D" w:rsidP="003833D6">
      <w:pPr>
        <w:spacing w:line="300" w:lineRule="atLeast"/>
        <w:jc w:val="both"/>
        <w:rPr>
          <w:szCs w:val="18"/>
        </w:rPr>
      </w:pPr>
      <w:r w:rsidRPr="00F63F5D">
        <w:rPr>
          <w:szCs w:val="18"/>
        </w:rPr>
        <w:t xml:space="preserve">This category covers mercury releases from </w:t>
      </w:r>
      <w:r>
        <w:rPr>
          <w:szCs w:val="18"/>
        </w:rPr>
        <w:t>several industrial chemical processes</w:t>
      </w:r>
      <w:r w:rsidRPr="00F63F5D">
        <w:rPr>
          <w:szCs w:val="18"/>
        </w:rPr>
        <w:t xml:space="preserve"> (</w:t>
      </w:r>
      <w:r w:rsidR="00C738EC">
        <w:rPr>
          <w:szCs w:val="18"/>
        </w:rPr>
        <w:t>UNEP, 2017</w:t>
      </w:r>
      <w:r w:rsidRPr="00F63F5D">
        <w:rPr>
          <w:szCs w:val="18"/>
        </w:rPr>
        <w:t>)</w:t>
      </w:r>
      <w:r>
        <w:rPr>
          <w:szCs w:val="18"/>
        </w:rPr>
        <w:t>, none of which exist in New Zealand</w:t>
      </w:r>
      <w:r w:rsidRPr="00F63F5D">
        <w:rPr>
          <w:szCs w:val="18"/>
        </w:rPr>
        <w:t xml:space="preserve">. </w:t>
      </w:r>
      <w:r>
        <w:rPr>
          <w:szCs w:val="18"/>
        </w:rPr>
        <w:t>However, for the sake of completeness, t</w:t>
      </w:r>
      <w:r w:rsidRPr="00F63F5D">
        <w:rPr>
          <w:szCs w:val="18"/>
        </w:rPr>
        <w:t xml:space="preserve">he sub-categories and the primary release pathways are summarised in </w:t>
      </w:r>
      <w:r w:rsidRPr="0094605E">
        <w:rPr>
          <w:szCs w:val="18"/>
        </w:rPr>
        <w:fldChar w:fldCharType="begin"/>
      </w:r>
      <w:r w:rsidRPr="0094605E">
        <w:rPr>
          <w:szCs w:val="18"/>
        </w:rPr>
        <w:instrText xml:space="preserve"> REF _Ref358539938 \h </w:instrText>
      </w:r>
      <w:r w:rsidR="0094605E">
        <w:rPr>
          <w:szCs w:val="18"/>
        </w:rPr>
        <w:instrText xml:space="preserve"> \* MERGEFORMAT </w:instrText>
      </w:r>
      <w:r w:rsidRPr="0094605E">
        <w:rPr>
          <w:szCs w:val="18"/>
        </w:rPr>
      </w:r>
      <w:r w:rsidRPr="0094605E">
        <w:rPr>
          <w:szCs w:val="18"/>
        </w:rPr>
        <w:fldChar w:fldCharType="separate"/>
      </w:r>
      <w:r w:rsidR="00423FC9" w:rsidRPr="00423FC9">
        <w:t xml:space="preserve">Table </w:t>
      </w:r>
      <w:r w:rsidR="00423FC9" w:rsidRPr="00423FC9">
        <w:rPr>
          <w:noProof/>
        </w:rPr>
        <w:t>6</w:t>
      </w:r>
      <w:r w:rsidR="00423FC9" w:rsidRPr="00423FC9">
        <w:rPr>
          <w:noProof/>
        </w:rPr>
        <w:noBreakHyphen/>
        <w:t>1</w:t>
      </w:r>
      <w:r w:rsidRPr="0094605E">
        <w:rPr>
          <w:szCs w:val="18"/>
        </w:rPr>
        <w:fldChar w:fldCharType="end"/>
      </w:r>
      <w:r w:rsidR="00DB09D1" w:rsidRPr="00DB09D1">
        <w:rPr>
          <w:szCs w:val="18"/>
        </w:rPr>
        <w:t>, which has been copied directly from the UNEP Toolkit</w:t>
      </w:r>
      <w:r>
        <w:rPr>
          <w:szCs w:val="18"/>
        </w:rPr>
        <w:t>, and information on the relevance to New Zealand</w:t>
      </w:r>
      <w:r w:rsidRPr="00F63F5D">
        <w:rPr>
          <w:szCs w:val="18"/>
        </w:rPr>
        <w:t xml:space="preserve"> </w:t>
      </w:r>
      <w:r>
        <w:rPr>
          <w:szCs w:val="18"/>
        </w:rPr>
        <w:t xml:space="preserve">is presented </w:t>
      </w:r>
      <w:r w:rsidRPr="00F63F5D">
        <w:rPr>
          <w:szCs w:val="18"/>
        </w:rPr>
        <w:t>below.</w:t>
      </w:r>
    </w:p>
    <w:p w14:paraId="2658EECA" w14:textId="77777777" w:rsidR="00D16E72" w:rsidRDefault="00684B56" w:rsidP="00DB5237">
      <w:pPr>
        <w:pStyle w:val="Caption"/>
        <w:spacing w:before="240"/>
        <w:ind w:left="1440" w:hanging="1440"/>
        <w:rPr>
          <w:szCs w:val="18"/>
        </w:rPr>
      </w:pPr>
      <w:bookmarkStart w:id="82" w:name="_Ref358539938"/>
      <w:bookmarkStart w:id="83" w:name="_Toc484949655"/>
      <w:r w:rsidRPr="00DB5237">
        <w:rPr>
          <w:rFonts w:ascii="Arial" w:hAnsi="Arial" w:cs="Arial"/>
        </w:rPr>
        <w:t xml:space="preserve">Table </w:t>
      </w:r>
      <w:r w:rsidR="00390C9F">
        <w:rPr>
          <w:rFonts w:ascii="Arial" w:hAnsi="Arial" w:cs="Arial"/>
        </w:rPr>
        <w:fldChar w:fldCharType="begin"/>
      </w:r>
      <w:r w:rsidR="00390C9F">
        <w:rPr>
          <w:rFonts w:ascii="Arial" w:hAnsi="Arial" w:cs="Arial"/>
        </w:rPr>
        <w:instrText xml:space="preserve"> STYLEREF 1 \s </w:instrText>
      </w:r>
      <w:r w:rsidR="00390C9F">
        <w:rPr>
          <w:rFonts w:ascii="Arial" w:hAnsi="Arial" w:cs="Arial"/>
        </w:rPr>
        <w:fldChar w:fldCharType="separate"/>
      </w:r>
      <w:r w:rsidR="00423FC9">
        <w:rPr>
          <w:rFonts w:ascii="Arial" w:hAnsi="Arial" w:cs="Arial"/>
          <w:noProof/>
        </w:rPr>
        <w:t>6</w:t>
      </w:r>
      <w:r w:rsidR="00390C9F">
        <w:rPr>
          <w:rFonts w:ascii="Arial" w:hAnsi="Arial" w:cs="Arial"/>
        </w:rPr>
        <w:fldChar w:fldCharType="end"/>
      </w:r>
      <w:r w:rsidR="00390C9F">
        <w:rPr>
          <w:rFonts w:ascii="Arial" w:hAnsi="Arial" w:cs="Arial"/>
        </w:rPr>
        <w:noBreakHyphen/>
      </w:r>
      <w:r w:rsidR="00390C9F">
        <w:rPr>
          <w:rFonts w:ascii="Arial" w:hAnsi="Arial" w:cs="Arial"/>
        </w:rPr>
        <w:fldChar w:fldCharType="begin"/>
      </w:r>
      <w:r w:rsidR="00390C9F">
        <w:rPr>
          <w:rFonts w:ascii="Arial" w:hAnsi="Arial" w:cs="Arial"/>
        </w:rPr>
        <w:instrText xml:space="preserve"> SEQ Table \* ARABIC \s 1 </w:instrText>
      </w:r>
      <w:r w:rsidR="00390C9F">
        <w:rPr>
          <w:rFonts w:ascii="Arial" w:hAnsi="Arial" w:cs="Arial"/>
        </w:rPr>
        <w:fldChar w:fldCharType="separate"/>
      </w:r>
      <w:r w:rsidR="00423FC9">
        <w:rPr>
          <w:rFonts w:ascii="Arial" w:hAnsi="Arial" w:cs="Arial"/>
          <w:noProof/>
        </w:rPr>
        <w:t>1</w:t>
      </w:r>
      <w:r w:rsidR="00390C9F">
        <w:rPr>
          <w:rFonts w:ascii="Arial" w:hAnsi="Arial" w:cs="Arial"/>
        </w:rPr>
        <w:fldChar w:fldCharType="end"/>
      </w:r>
      <w:bookmarkEnd w:id="82"/>
      <w:r w:rsidRPr="00DB5237">
        <w:rPr>
          <w:rFonts w:ascii="Arial" w:hAnsi="Arial" w:cs="Arial"/>
        </w:rPr>
        <w:t>:</w:t>
      </w:r>
      <w:r>
        <w:t xml:space="preserve">  </w:t>
      </w:r>
      <w:r w:rsidR="00D16E72" w:rsidRPr="003D7CC9">
        <w:rPr>
          <w:rFonts w:ascii="Arial" w:hAnsi="Arial" w:cs="Arial"/>
        </w:rPr>
        <w:t>T</w:t>
      </w:r>
      <w:r w:rsidR="00D16E72">
        <w:rPr>
          <w:rFonts w:ascii="Arial" w:hAnsi="Arial" w:cs="Arial"/>
        </w:rPr>
        <w:t xml:space="preserve">oolkit framework for category </w:t>
      </w:r>
      <w:r w:rsidR="00284F82">
        <w:rPr>
          <w:rFonts w:ascii="Arial" w:hAnsi="Arial" w:cs="Arial"/>
        </w:rPr>
        <w:t>4</w:t>
      </w:r>
      <w:r w:rsidR="00D16E72">
        <w:rPr>
          <w:rFonts w:ascii="Arial" w:hAnsi="Arial" w:cs="Arial"/>
        </w:rPr>
        <w:t xml:space="preserve"> – </w:t>
      </w:r>
      <w:r w:rsidR="00284F82">
        <w:rPr>
          <w:rFonts w:ascii="Arial" w:hAnsi="Arial" w:cs="Arial"/>
        </w:rPr>
        <w:t>intentional use of mercury in industrial processes</w:t>
      </w:r>
      <w:bookmarkEnd w:id="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850"/>
        <w:gridCol w:w="851"/>
        <w:gridCol w:w="851"/>
        <w:gridCol w:w="992"/>
        <w:gridCol w:w="992"/>
        <w:gridCol w:w="1099"/>
      </w:tblGrid>
      <w:tr w:rsidR="00D16E72" w:rsidRPr="004901F2" w14:paraId="14BC7099" w14:textId="77777777" w:rsidTr="00284F82">
        <w:tc>
          <w:tcPr>
            <w:tcW w:w="851" w:type="dxa"/>
            <w:shd w:val="clear" w:color="auto" w:fill="auto"/>
            <w:vAlign w:val="center"/>
          </w:tcPr>
          <w:p w14:paraId="3CCD9107"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Toolkit Chapter</w:t>
            </w:r>
          </w:p>
        </w:tc>
        <w:tc>
          <w:tcPr>
            <w:tcW w:w="2693" w:type="dxa"/>
            <w:shd w:val="clear" w:color="auto" w:fill="auto"/>
            <w:vAlign w:val="center"/>
          </w:tcPr>
          <w:p w14:paraId="3541849F"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Sub-category</w:t>
            </w:r>
          </w:p>
        </w:tc>
        <w:tc>
          <w:tcPr>
            <w:tcW w:w="850" w:type="dxa"/>
            <w:shd w:val="clear" w:color="auto" w:fill="auto"/>
            <w:vAlign w:val="center"/>
          </w:tcPr>
          <w:p w14:paraId="2D89A1C1"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Air</w:t>
            </w:r>
          </w:p>
        </w:tc>
        <w:tc>
          <w:tcPr>
            <w:tcW w:w="851" w:type="dxa"/>
            <w:shd w:val="clear" w:color="auto" w:fill="auto"/>
            <w:vAlign w:val="center"/>
          </w:tcPr>
          <w:p w14:paraId="140F225D"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Water</w:t>
            </w:r>
          </w:p>
        </w:tc>
        <w:tc>
          <w:tcPr>
            <w:tcW w:w="851" w:type="dxa"/>
            <w:shd w:val="clear" w:color="auto" w:fill="auto"/>
            <w:vAlign w:val="center"/>
          </w:tcPr>
          <w:p w14:paraId="23A5F492"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Land</w:t>
            </w:r>
          </w:p>
        </w:tc>
        <w:tc>
          <w:tcPr>
            <w:tcW w:w="992" w:type="dxa"/>
            <w:shd w:val="clear" w:color="auto" w:fill="auto"/>
            <w:vAlign w:val="center"/>
          </w:tcPr>
          <w:p w14:paraId="30A45404"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Product</w:t>
            </w:r>
          </w:p>
        </w:tc>
        <w:tc>
          <w:tcPr>
            <w:tcW w:w="992" w:type="dxa"/>
            <w:shd w:val="clear" w:color="auto" w:fill="auto"/>
            <w:vAlign w:val="center"/>
          </w:tcPr>
          <w:p w14:paraId="2B37E22A"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Waste/ residue</w:t>
            </w:r>
          </w:p>
        </w:tc>
        <w:tc>
          <w:tcPr>
            <w:tcW w:w="1099" w:type="dxa"/>
            <w:shd w:val="clear" w:color="auto" w:fill="auto"/>
            <w:vAlign w:val="center"/>
          </w:tcPr>
          <w:p w14:paraId="19EC2E64"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Main approach</w:t>
            </w:r>
          </w:p>
        </w:tc>
      </w:tr>
      <w:tr w:rsidR="00D16E72" w:rsidRPr="004901F2" w14:paraId="6E8B5EB8" w14:textId="77777777" w:rsidTr="00284F82">
        <w:tc>
          <w:tcPr>
            <w:tcW w:w="851" w:type="dxa"/>
            <w:shd w:val="clear" w:color="auto" w:fill="auto"/>
            <w:vAlign w:val="center"/>
          </w:tcPr>
          <w:p w14:paraId="1C384EE3" w14:textId="77777777" w:rsidR="00D16E72" w:rsidRPr="004901F2" w:rsidRDefault="00D16E72" w:rsidP="00684B56">
            <w:pPr>
              <w:spacing w:before="40" w:after="40" w:line="300" w:lineRule="atLeast"/>
              <w:rPr>
                <w:rFonts w:ascii="Arial" w:hAnsi="Arial" w:cs="Arial"/>
                <w:sz w:val="16"/>
                <w:szCs w:val="16"/>
              </w:rPr>
            </w:pPr>
            <w:r>
              <w:rPr>
                <w:rFonts w:ascii="Arial" w:hAnsi="Arial" w:cs="Arial"/>
                <w:sz w:val="16"/>
                <w:szCs w:val="16"/>
              </w:rPr>
              <w:t>5.</w:t>
            </w:r>
            <w:r w:rsidR="00684B56">
              <w:rPr>
                <w:rFonts w:ascii="Arial" w:hAnsi="Arial" w:cs="Arial"/>
                <w:sz w:val="16"/>
                <w:szCs w:val="16"/>
              </w:rPr>
              <w:t>4</w:t>
            </w:r>
            <w:r w:rsidRPr="004901F2">
              <w:rPr>
                <w:rFonts w:ascii="Arial" w:hAnsi="Arial" w:cs="Arial"/>
                <w:sz w:val="16"/>
                <w:szCs w:val="16"/>
              </w:rPr>
              <w:t>.1</w:t>
            </w:r>
          </w:p>
        </w:tc>
        <w:tc>
          <w:tcPr>
            <w:tcW w:w="2693" w:type="dxa"/>
            <w:shd w:val="clear" w:color="auto" w:fill="auto"/>
            <w:vAlign w:val="center"/>
          </w:tcPr>
          <w:p w14:paraId="373721DF" w14:textId="77777777" w:rsidR="00D16E72" w:rsidRPr="004901F2" w:rsidRDefault="00684B56" w:rsidP="00684B56">
            <w:pPr>
              <w:spacing w:line="300" w:lineRule="atLeast"/>
              <w:rPr>
                <w:rFonts w:ascii="Arial" w:hAnsi="Arial" w:cs="Arial"/>
                <w:sz w:val="16"/>
                <w:szCs w:val="16"/>
              </w:rPr>
            </w:pPr>
            <w:proofErr w:type="spellStart"/>
            <w:r>
              <w:rPr>
                <w:rFonts w:ascii="Arial" w:hAnsi="Arial" w:cs="Arial"/>
                <w:sz w:val="16"/>
                <w:szCs w:val="16"/>
              </w:rPr>
              <w:t>Chlor</w:t>
            </w:r>
            <w:proofErr w:type="spellEnd"/>
            <w:r>
              <w:rPr>
                <w:rFonts w:ascii="Arial" w:hAnsi="Arial" w:cs="Arial"/>
                <w:sz w:val="16"/>
                <w:szCs w:val="16"/>
              </w:rPr>
              <w:t>-alkali production with m</w:t>
            </w:r>
            <w:r w:rsidR="00D16E72">
              <w:rPr>
                <w:rFonts w:ascii="Arial" w:hAnsi="Arial" w:cs="Arial"/>
                <w:sz w:val="16"/>
                <w:szCs w:val="16"/>
              </w:rPr>
              <w:t>ercury</w:t>
            </w:r>
            <w:r>
              <w:rPr>
                <w:rFonts w:ascii="Arial" w:hAnsi="Arial" w:cs="Arial"/>
                <w:sz w:val="16"/>
                <w:szCs w:val="16"/>
              </w:rPr>
              <w:t xml:space="preserve"> technology</w:t>
            </w:r>
          </w:p>
        </w:tc>
        <w:tc>
          <w:tcPr>
            <w:tcW w:w="850" w:type="dxa"/>
            <w:shd w:val="clear" w:color="auto" w:fill="auto"/>
            <w:vAlign w:val="center"/>
          </w:tcPr>
          <w:p w14:paraId="591B45D2"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06527304" w14:textId="77777777" w:rsidR="00D16E72" w:rsidRPr="004901F2" w:rsidRDefault="00D16E72" w:rsidP="00284F82">
            <w:pPr>
              <w:spacing w:before="40" w:after="40" w:line="300" w:lineRule="atLeast"/>
              <w:jc w:val="center"/>
              <w:rPr>
                <w:rFonts w:ascii="Arial" w:hAnsi="Arial" w:cs="Arial"/>
                <w:sz w:val="16"/>
                <w:szCs w:val="16"/>
              </w:rPr>
            </w:pPr>
            <w:r w:rsidRPr="00177AB0">
              <w:rPr>
                <w:rFonts w:ascii="Arial" w:hAnsi="Arial" w:cs="Arial"/>
                <w:b/>
                <w:sz w:val="16"/>
                <w:szCs w:val="16"/>
              </w:rPr>
              <w:t>X</w:t>
            </w:r>
          </w:p>
        </w:tc>
        <w:tc>
          <w:tcPr>
            <w:tcW w:w="851" w:type="dxa"/>
            <w:shd w:val="clear" w:color="auto" w:fill="auto"/>
            <w:vAlign w:val="center"/>
          </w:tcPr>
          <w:p w14:paraId="24131F3F"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0CA26F9C"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4EA05E3B"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1099" w:type="dxa"/>
            <w:shd w:val="clear" w:color="auto" w:fill="auto"/>
            <w:vAlign w:val="center"/>
          </w:tcPr>
          <w:p w14:paraId="794BDDDD"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sz w:val="16"/>
                <w:szCs w:val="16"/>
              </w:rPr>
              <w:t>PS</w:t>
            </w:r>
          </w:p>
        </w:tc>
      </w:tr>
      <w:tr w:rsidR="00D16E72" w:rsidRPr="004901F2" w14:paraId="662DB9A1" w14:textId="77777777" w:rsidTr="00284F82">
        <w:tc>
          <w:tcPr>
            <w:tcW w:w="851" w:type="dxa"/>
            <w:shd w:val="clear" w:color="auto" w:fill="auto"/>
            <w:vAlign w:val="center"/>
          </w:tcPr>
          <w:p w14:paraId="73BDA75C" w14:textId="77777777" w:rsidR="00D16E72" w:rsidRPr="004901F2" w:rsidRDefault="00684B56" w:rsidP="00284F82">
            <w:pPr>
              <w:spacing w:before="40" w:after="40" w:line="300" w:lineRule="atLeast"/>
              <w:rPr>
                <w:rFonts w:ascii="Arial" w:hAnsi="Arial" w:cs="Arial"/>
                <w:sz w:val="16"/>
                <w:szCs w:val="16"/>
              </w:rPr>
            </w:pPr>
            <w:r>
              <w:rPr>
                <w:rFonts w:ascii="Arial" w:hAnsi="Arial" w:cs="Arial"/>
                <w:sz w:val="16"/>
                <w:szCs w:val="16"/>
              </w:rPr>
              <w:t>5.4</w:t>
            </w:r>
            <w:r w:rsidR="00D16E72" w:rsidRPr="004901F2">
              <w:rPr>
                <w:rFonts w:ascii="Arial" w:hAnsi="Arial" w:cs="Arial"/>
                <w:sz w:val="16"/>
                <w:szCs w:val="16"/>
              </w:rPr>
              <w:t>.2</w:t>
            </w:r>
          </w:p>
        </w:tc>
        <w:tc>
          <w:tcPr>
            <w:tcW w:w="2693" w:type="dxa"/>
            <w:shd w:val="clear" w:color="auto" w:fill="auto"/>
            <w:vAlign w:val="center"/>
          </w:tcPr>
          <w:p w14:paraId="4DCA71A0" w14:textId="77777777" w:rsidR="00D16E72" w:rsidRPr="004901F2" w:rsidRDefault="00684B56" w:rsidP="00284F82">
            <w:pPr>
              <w:spacing w:before="40" w:after="40" w:line="300" w:lineRule="atLeast"/>
              <w:rPr>
                <w:rFonts w:ascii="Arial" w:hAnsi="Arial" w:cs="Arial"/>
                <w:sz w:val="16"/>
                <w:szCs w:val="16"/>
              </w:rPr>
            </w:pPr>
            <w:r>
              <w:rPr>
                <w:rFonts w:ascii="Arial" w:hAnsi="Arial" w:cs="Arial"/>
                <w:sz w:val="16"/>
                <w:szCs w:val="16"/>
              </w:rPr>
              <w:t>VCM (vinyl chloride monomer) production with HgCl</w:t>
            </w:r>
            <w:r w:rsidRPr="00684B56">
              <w:rPr>
                <w:rFonts w:ascii="Arial" w:hAnsi="Arial" w:cs="Arial"/>
                <w:sz w:val="16"/>
                <w:szCs w:val="16"/>
                <w:vertAlign w:val="subscript"/>
              </w:rPr>
              <w:t>2</w:t>
            </w:r>
            <w:r>
              <w:rPr>
                <w:rFonts w:ascii="Arial" w:hAnsi="Arial" w:cs="Arial"/>
                <w:sz w:val="16"/>
                <w:szCs w:val="16"/>
              </w:rPr>
              <w:t xml:space="preserve"> catalyst</w:t>
            </w:r>
          </w:p>
        </w:tc>
        <w:tc>
          <w:tcPr>
            <w:tcW w:w="850" w:type="dxa"/>
            <w:shd w:val="clear" w:color="auto" w:fill="auto"/>
            <w:vAlign w:val="center"/>
          </w:tcPr>
          <w:p w14:paraId="6A75F50B" w14:textId="77777777" w:rsidR="00D16E72" w:rsidRPr="00684B56" w:rsidRDefault="00684B56" w:rsidP="00284F82">
            <w:pPr>
              <w:spacing w:before="40" w:after="40" w:line="300" w:lineRule="atLeast"/>
              <w:jc w:val="center"/>
              <w:rPr>
                <w:rFonts w:ascii="Arial" w:hAnsi="Arial" w:cs="Arial"/>
                <w:sz w:val="16"/>
                <w:szCs w:val="16"/>
              </w:rPr>
            </w:pPr>
            <w:r w:rsidRPr="00684B56">
              <w:rPr>
                <w:rFonts w:ascii="Arial" w:hAnsi="Arial" w:cs="Arial"/>
                <w:sz w:val="16"/>
                <w:szCs w:val="16"/>
              </w:rPr>
              <w:t>x</w:t>
            </w:r>
          </w:p>
        </w:tc>
        <w:tc>
          <w:tcPr>
            <w:tcW w:w="851" w:type="dxa"/>
            <w:shd w:val="clear" w:color="auto" w:fill="auto"/>
            <w:vAlign w:val="center"/>
          </w:tcPr>
          <w:p w14:paraId="4A4692BE" w14:textId="77777777" w:rsidR="00D16E72" w:rsidRPr="00684B56" w:rsidRDefault="00684B56" w:rsidP="00284F82">
            <w:pPr>
              <w:spacing w:before="40" w:after="40" w:line="300" w:lineRule="atLeast"/>
              <w:jc w:val="center"/>
              <w:rPr>
                <w:rFonts w:ascii="Arial" w:hAnsi="Arial" w:cs="Arial"/>
                <w:sz w:val="16"/>
                <w:szCs w:val="16"/>
              </w:rPr>
            </w:pPr>
            <w:r>
              <w:rPr>
                <w:rFonts w:ascii="Arial" w:hAnsi="Arial" w:cs="Arial"/>
                <w:sz w:val="16"/>
                <w:szCs w:val="16"/>
              </w:rPr>
              <w:t>x</w:t>
            </w:r>
          </w:p>
        </w:tc>
        <w:tc>
          <w:tcPr>
            <w:tcW w:w="851" w:type="dxa"/>
            <w:shd w:val="clear" w:color="auto" w:fill="auto"/>
            <w:vAlign w:val="center"/>
          </w:tcPr>
          <w:p w14:paraId="10786482" w14:textId="77777777" w:rsidR="00D16E72" w:rsidRPr="004901F2" w:rsidRDefault="00D16E72" w:rsidP="00284F82">
            <w:pPr>
              <w:spacing w:before="40" w:after="40" w:line="300" w:lineRule="atLeast"/>
              <w:jc w:val="center"/>
              <w:rPr>
                <w:rFonts w:ascii="Arial" w:hAnsi="Arial" w:cs="Arial"/>
                <w:sz w:val="16"/>
                <w:szCs w:val="16"/>
              </w:rPr>
            </w:pPr>
          </w:p>
        </w:tc>
        <w:tc>
          <w:tcPr>
            <w:tcW w:w="992" w:type="dxa"/>
            <w:shd w:val="clear" w:color="auto" w:fill="auto"/>
            <w:vAlign w:val="center"/>
          </w:tcPr>
          <w:p w14:paraId="75B48EC3" w14:textId="77777777" w:rsidR="00D16E72" w:rsidRPr="004901F2" w:rsidRDefault="00D16E72" w:rsidP="00284F82">
            <w:pPr>
              <w:spacing w:before="40" w:after="40" w:line="300" w:lineRule="atLeast"/>
              <w:jc w:val="center"/>
              <w:rPr>
                <w:rFonts w:ascii="Arial" w:hAnsi="Arial" w:cs="Arial"/>
                <w:sz w:val="16"/>
                <w:szCs w:val="16"/>
              </w:rPr>
            </w:pPr>
          </w:p>
        </w:tc>
        <w:tc>
          <w:tcPr>
            <w:tcW w:w="992" w:type="dxa"/>
            <w:shd w:val="clear" w:color="auto" w:fill="auto"/>
            <w:vAlign w:val="center"/>
          </w:tcPr>
          <w:p w14:paraId="2AD5D03E" w14:textId="77777777" w:rsidR="00D16E72" w:rsidRPr="004901F2" w:rsidRDefault="00684B56" w:rsidP="00284F82">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1099" w:type="dxa"/>
            <w:shd w:val="clear" w:color="auto" w:fill="auto"/>
            <w:vAlign w:val="center"/>
          </w:tcPr>
          <w:p w14:paraId="67A2A8AC" w14:textId="77777777" w:rsidR="00D16E72" w:rsidRPr="004901F2" w:rsidRDefault="00684B56" w:rsidP="00284F82">
            <w:pPr>
              <w:spacing w:before="40" w:after="40" w:line="300" w:lineRule="atLeast"/>
              <w:jc w:val="center"/>
              <w:rPr>
                <w:rFonts w:ascii="Arial" w:hAnsi="Arial" w:cs="Arial"/>
                <w:sz w:val="16"/>
                <w:szCs w:val="16"/>
              </w:rPr>
            </w:pPr>
            <w:r>
              <w:rPr>
                <w:rFonts w:ascii="Arial" w:hAnsi="Arial" w:cs="Arial"/>
                <w:sz w:val="16"/>
                <w:szCs w:val="16"/>
              </w:rPr>
              <w:t>PS</w:t>
            </w:r>
          </w:p>
        </w:tc>
      </w:tr>
      <w:tr w:rsidR="00D16E72" w:rsidRPr="004901F2" w14:paraId="51238B60" w14:textId="77777777" w:rsidTr="00284F82">
        <w:tc>
          <w:tcPr>
            <w:tcW w:w="851" w:type="dxa"/>
            <w:shd w:val="clear" w:color="auto" w:fill="auto"/>
            <w:vAlign w:val="center"/>
          </w:tcPr>
          <w:p w14:paraId="03374BF4" w14:textId="77777777" w:rsidR="00D16E72" w:rsidRPr="004901F2" w:rsidRDefault="00684B56" w:rsidP="00284F82">
            <w:pPr>
              <w:spacing w:before="40" w:after="40" w:line="300" w:lineRule="atLeast"/>
              <w:rPr>
                <w:rFonts w:ascii="Arial" w:hAnsi="Arial" w:cs="Arial"/>
                <w:sz w:val="16"/>
                <w:szCs w:val="16"/>
              </w:rPr>
            </w:pPr>
            <w:r>
              <w:rPr>
                <w:rFonts w:ascii="Arial" w:hAnsi="Arial" w:cs="Arial"/>
                <w:sz w:val="16"/>
                <w:szCs w:val="16"/>
              </w:rPr>
              <w:t>5.4</w:t>
            </w:r>
            <w:r w:rsidR="00D16E72" w:rsidRPr="004901F2">
              <w:rPr>
                <w:rFonts w:ascii="Arial" w:hAnsi="Arial" w:cs="Arial"/>
                <w:sz w:val="16"/>
                <w:szCs w:val="16"/>
              </w:rPr>
              <w:t>.3</w:t>
            </w:r>
          </w:p>
        </w:tc>
        <w:tc>
          <w:tcPr>
            <w:tcW w:w="2693" w:type="dxa"/>
            <w:shd w:val="clear" w:color="auto" w:fill="auto"/>
            <w:vAlign w:val="center"/>
          </w:tcPr>
          <w:p w14:paraId="7B6989C8" w14:textId="77777777" w:rsidR="00D16E72" w:rsidRPr="004901F2" w:rsidRDefault="00684B56" w:rsidP="00284F82">
            <w:pPr>
              <w:spacing w:line="300" w:lineRule="atLeast"/>
              <w:rPr>
                <w:rFonts w:ascii="Arial" w:hAnsi="Arial" w:cs="Arial"/>
                <w:sz w:val="16"/>
                <w:szCs w:val="16"/>
              </w:rPr>
            </w:pPr>
            <w:r>
              <w:rPr>
                <w:rFonts w:ascii="Arial" w:hAnsi="Arial" w:cs="Arial"/>
                <w:sz w:val="16"/>
                <w:szCs w:val="16"/>
              </w:rPr>
              <w:t>Acetaldehyde production with HgSO</w:t>
            </w:r>
            <w:r w:rsidRPr="00684B56">
              <w:rPr>
                <w:rFonts w:ascii="Arial" w:hAnsi="Arial" w:cs="Arial"/>
                <w:sz w:val="16"/>
                <w:szCs w:val="16"/>
                <w:vertAlign w:val="subscript"/>
              </w:rPr>
              <w:t>4</w:t>
            </w:r>
            <w:r>
              <w:rPr>
                <w:rFonts w:ascii="Arial" w:hAnsi="Arial" w:cs="Arial"/>
                <w:sz w:val="16"/>
                <w:szCs w:val="16"/>
              </w:rPr>
              <w:t xml:space="preserve"> as catalyst</w:t>
            </w:r>
          </w:p>
        </w:tc>
        <w:tc>
          <w:tcPr>
            <w:tcW w:w="850" w:type="dxa"/>
            <w:shd w:val="clear" w:color="auto" w:fill="auto"/>
            <w:vAlign w:val="center"/>
          </w:tcPr>
          <w:p w14:paraId="1AD7BC11" w14:textId="77777777" w:rsidR="00D16E72" w:rsidRPr="004901F2" w:rsidRDefault="00D16E72" w:rsidP="00284F82">
            <w:pPr>
              <w:spacing w:before="40" w:after="40" w:line="300" w:lineRule="atLeast"/>
              <w:jc w:val="center"/>
              <w:rPr>
                <w:rFonts w:ascii="Arial" w:hAnsi="Arial" w:cs="Arial"/>
                <w:b/>
                <w:sz w:val="16"/>
                <w:szCs w:val="16"/>
              </w:rPr>
            </w:pPr>
          </w:p>
        </w:tc>
        <w:tc>
          <w:tcPr>
            <w:tcW w:w="851" w:type="dxa"/>
            <w:shd w:val="clear" w:color="auto" w:fill="auto"/>
            <w:vAlign w:val="center"/>
          </w:tcPr>
          <w:p w14:paraId="61568CB3" w14:textId="77777777" w:rsidR="00D16E72" w:rsidRPr="004901F2" w:rsidRDefault="00D16E72" w:rsidP="00284F82">
            <w:pPr>
              <w:spacing w:before="40" w:after="40" w:line="300" w:lineRule="atLeast"/>
              <w:jc w:val="center"/>
              <w:rPr>
                <w:rFonts w:ascii="Arial" w:hAnsi="Arial" w:cs="Arial"/>
                <w:b/>
                <w:sz w:val="16"/>
                <w:szCs w:val="16"/>
              </w:rPr>
            </w:pPr>
          </w:p>
        </w:tc>
        <w:tc>
          <w:tcPr>
            <w:tcW w:w="851" w:type="dxa"/>
            <w:shd w:val="clear" w:color="auto" w:fill="auto"/>
            <w:vAlign w:val="center"/>
          </w:tcPr>
          <w:p w14:paraId="50609587" w14:textId="77777777" w:rsidR="00D16E72" w:rsidRPr="004901F2" w:rsidRDefault="00D16E72" w:rsidP="00284F82">
            <w:pPr>
              <w:spacing w:before="40" w:after="40" w:line="300" w:lineRule="atLeast"/>
              <w:jc w:val="center"/>
              <w:rPr>
                <w:rFonts w:ascii="Arial" w:hAnsi="Arial" w:cs="Arial"/>
                <w:sz w:val="16"/>
                <w:szCs w:val="16"/>
              </w:rPr>
            </w:pPr>
          </w:p>
        </w:tc>
        <w:tc>
          <w:tcPr>
            <w:tcW w:w="992" w:type="dxa"/>
            <w:shd w:val="clear" w:color="auto" w:fill="auto"/>
            <w:vAlign w:val="center"/>
          </w:tcPr>
          <w:p w14:paraId="24554877" w14:textId="77777777" w:rsidR="00D16E72" w:rsidRPr="004901F2" w:rsidRDefault="00D16E72" w:rsidP="00284F82">
            <w:pPr>
              <w:spacing w:before="40" w:after="40" w:line="300" w:lineRule="atLeast"/>
              <w:jc w:val="center"/>
              <w:rPr>
                <w:rFonts w:ascii="Arial" w:hAnsi="Arial" w:cs="Arial"/>
                <w:sz w:val="16"/>
                <w:szCs w:val="16"/>
              </w:rPr>
            </w:pPr>
          </w:p>
        </w:tc>
        <w:tc>
          <w:tcPr>
            <w:tcW w:w="992" w:type="dxa"/>
            <w:shd w:val="clear" w:color="auto" w:fill="auto"/>
            <w:vAlign w:val="center"/>
          </w:tcPr>
          <w:p w14:paraId="76C9D0B3" w14:textId="77777777" w:rsidR="00D16E72" w:rsidRPr="004901F2" w:rsidRDefault="00D16E72" w:rsidP="00284F82">
            <w:pPr>
              <w:spacing w:before="40" w:after="40" w:line="300" w:lineRule="atLeast"/>
              <w:jc w:val="center"/>
              <w:rPr>
                <w:rFonts w:ascii="Arial" w:hAnsi="Arial" w:cs="Arial"/>
                <w:sz w:val="16"/>
                <w:szCs w:val="16"/>
              </w:rPr>
            </w:pPr>
          </w:p>
        </w:tc>
        <w:tc>
          <w:tcPr>
            <w:tcW w:w="1099" w:type="dxa"/>
            <w:shd w:val="clear" w:color="auto" w:fill="auto"/>
            <w:vAlign w:val="center"/>
          </w:tcPr>
          <w:p w14:paraId="37584A34"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sz w:val="16"/>
                <w:szCs w:val="16"/>
              </w:rPr>
              <w:t>PS</w:t>
            </w:r>
          </w:p>
        </w:tc>
      </w:tr>
      <w:tr w:rsidR="00D16E72" w:rsidRPr="004901F2" w14:paraId="2C31B9BE" w14:textId="77777777" w:rsidTr="00284F82">
        <w:tc>
          <w:tcPr>
            <w:tcW w:w="851" w:type="dxa"/>
            <w:shd w:val="clear" w:color="auto" w:fill="auto"/>
            <w:vAlign w:val="center"/>
          </w:tcPr>
          <w:p w14:paraId="5BA6BD96" w14:textId="77777777" w:rsidR="00D16E72" w:rsidRPr="004901F2" w:rsidRDefault="00684B56" w:rsidP="00284F82">
            <w:pPr>
              <w:spacing w:before="40" w:after="40" w:line="300" w:lineRule="atLeast"/>
              <w:rPr>
                <w:rFonts w:ascii="Arial" w:hAnsi="Arial" w:cs="Arial"/>
                <w:sz w:val="16"/>
                <w:szCs w:val="16"/>
              </w:rPr>
            </w:pPr>
            <w:r>
              <w:rPr>
                <w:rFonts w:ascii="Arial" w:hAnsi="Arial" w:cs="Arial"/>
                <w:sz w:val="16"/>
                <w:szCs w:val="16"/>
              </w:rPr>
              <w:t>5.4</w:t>
            </w:r>
            <w:r w:rsidR="00D16E72" w:rsidRPr="004901F2">
              <w:rPr>
                <w:rFonts w:ascii="Arial" w:hAnsi="Arial" w:cs="Arial"/>
                <w:sz w:val="16"/>
                <w:szCs w:val="16"/>
              </w:rPr>
              <w:t>.4</w:t>
            </w:r>
          </w:p>
        </w:tc>
        <w:tc>
          <w:tcPr>
            <w:tcW w:w="2693" w:type="dxa"/>
            <w:shd w:val="clear" w:color="auto" w:fill="auto"/>
            <w:vAlign w:val="center"/>
          </w:tcPr>
          <w:p w14:paraId="26C409EC" w14:textId="77777777" w:rsidR="00D16E72" w:rsidRPr="004901F2" w:rsidRDefault="00684B56" w:rsidP="00284F82">
            <w:pPr>
              <w:spacing w:line="300" w:lineRule="atLeast"/>
              <w:rPr>
                <w:rFonts w:ascii="Arial" w:hAnsi="Arial" w:cs="Arial"/>
                <w:sz w:val="16"/>
                <w:szCs w:val="16"/>
              </w:rPr>
            </w:pPr>
            <w:r>
              <w:rPr>
                <w:rFonts w:ascii="Arial" w:hAnsi="Arial" w:cs="Arial"/>
                <w:sz w:val="16"/>
                <w:szCs w:val="16"/>
              </w:rPr>
              <w:t>Other chemicals and polymers with mercury catalysts</w:t>
            </w:r>
          </w:p>
        </w:tc>
        <w:tc>
          <w:tcPr>
            <w:tcW w:w="850" w:type="dxa"/>
            <w:shd w:val="clear" w:color="auto" w:fill="auto"/>
            <w:vAlign w:val="center"/>
          </w:tcPr>
          <w:p w14:paraId="49BD61D3" w14:textId="77777777" w:rsidR="00D16E72" w:rsidRPr="004901F2" w:rsidRDefault="00D16E72" w:rsidP="00284F82">
            <w:pPr>
              <w:spacing w:before="40" w:after="40" w:line="300" w:lineRule="atLeast"/>
              <w:jc w:val="center"/>
              <w:rPr>
                <w:rFonts w:ascii="Arial" w:hAnsi="Arial" w:cs="Arial"/>
                <w:b/>
                <w:sz w:val="16"/>
                <w:szCs w:val="16"/>
              </w:rPr>
            </w:pPr>
          </w:p>
        </w:tc>
        <w:tc>
          <w:tcPr>
            <w:tcW w:w="851" w:type="dxa"/>
            <w:shd w:val="clear" w:color="auto" w:fill="auto"/>
            <w:vAlign w:val="center"/>
          </w:tcPr>
          <w:p w14:paraId="015EB33F" w14:textId="77777777" w:rsidR="00D16E72" w:rsidRPr="004901F2" w:rsidRDefault="00D16E72" w:rsidP="00284F82">
            <w:pPr>
              <w:spacing w:before="40" w:after="40" w:line="300" w:lineRule="atLeast"/>
              <w:jc w:val="center"/>
              <w:rPr>
                <w:rFonts w:ascii="Arial" w:hAnsi="Arial" w:cs="Arial"/>
                <w:b/>
                <w:sz w:val="16"/>
                <w:szCs w:val="16"/>
              </w:rPr>
            </w:pPr>
          </w:p>
        </w:tc>
        <w:tc>
          <w:tcPr>
            <w:tcW w:w="851" w:type="dxa"/>
            <w:shd w:val="clear" w:color="auto" w:fill="auto"/>
            <w:vAlign w:val="center"/>
          </w:tcPr>
          <w:p w14:paraId="290F3854" w14:textId="77777777" w:rsidR="00D16E72" w:rsidRPr="004901F2" w:rsidRDefault="00D16E72" w:rsidP="00284F82">
            <w:pPr>
              <w:spacing w:before="40" w:after="40" w:line="300" w:lineRule="atLeast"/>
              <w:jc w:val="center"/>
              <w:rPr>
                <w:rFonts w:ascii="Arial" w:hAnsi="Arial" w:cs="Arial"/>
                <w:b/>
                <w:sz w:val="16"/>
                <w:szCs w:val="16"/>
              </w:rPr>
            </w:pPr>
          </w:p>
        </w:tc>
        <w:tc>
          <w:tcPr>
            <w:tcW w:w="992" w:type="dxa"/>
            <w:shd w:val="clear" w:color="auto" w:fill="auto"/>
            <w:vAlign w:val="center"/>
          </w:tcPr>
          <w:p w14:paraId="47F0AA16" w14:textId="77777777" w:rsidR="00D16E72" w:rsidRPr="004901F2" w:rsidRDefault="00D16E72" w:rsidP="00284F82">
            <w:pPr>
              <w:spacing w:before="40" w:after="40" w:line="300" w:lineRule="atLeast"/>
              <w:jc w:val="center"/>
              <w:rPr>
                <w:rFonts w:ascii="Arial" w:hAnsi="Arial" w:cs="Arial"/>
                <w:sz w:val="16"/>
                <w:szCs w:val="16"/>
              </w:rPr>
            </w:pPr>
          </w:p>
        </w:tc>
        <w:tc>
          <w:tcPr>
            <w:tcW w:w="992" w:type="dxa"/>
            <w:shd w:val="clear" w:color="auto" w:fill="auto"/>
            <w:vAlign w:val="center"/>
          </w:tcPr>
          <w:p w14:paraId="76B9DC7A" w14:textId="77777777" w:rsidR="00D16E72" w:rsidRPr="004901F2" w:rsidRDefault="00D16E72" w:rsidP="00284F82">
            <w:pPr>
              <w:spacing w:before="40" w:after="40" w:line="300" w:lineRule="atLeast"/>
              <w:jc w:val="center"/>
              <w:rPr>
                <w:rFonts w:ascii="Arial" w:hAnsi="Arial" w:cs="Arial"/>
                <w:b/>
                <w:sz w:val="16"/>
                <w:szCs w:val="16"/>
              </w:rPr>
            </w:pPr>
          </w:p>
        </w:tc>
        <w:tc>
          <w:tcPr>
            <w:tcW w:w="1099" w:type="dxa"/>
            <w:shd w:val="clear" w:color="auto" w:fill="auto"/>
            <w:vAlign w:val="center"/>
          </w:tcPr>
          <w:p w14:paraId="534C2B9B"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sz w:val="16"/>
                <w:szCs w:val="16"/>
              </w:rPr>
              <w:t>PS</w:t>
            </w:r>
          </w:p>
        </w:tc>
      </w:tr>
    </w:tbl>
    <w:p w14:paraId="0AAF7F19" w14:textId="77777777" w:rsidR="00D16E72" w:rsidRPr="00582EF2" w:rsidRDefault="00D16E72" w:rsidP="00D16E72">
      <w:pPr>
        <w:spacing w:before="60" w:after="60" w:line="260" w:lineRule="exact"/>
        <w:jc w:val="both"/>
        <w:rPr>
          <w:rFonts w:ascii="Arial" w:hAnsi="Arial" w:cs="Arial"/>
          <w:sz w:val="16"/>
          <w:szCs w:val="18"/>
        </w:rPr>
      </w:pPr>
      <w:r w:rsidRPr="00582EF2">
        <w:rPr>
          <w:rFonts w:ascii="Arial" w:hAnsi="Arial" w:cs="Arial"/>
          <w:sz w:val="16"/>
          <w:szCs w:val="18"/>
        </w:rPr>
        <w:t xml:space="preserve">Notes: </w:t>
      </w:r>
      <w:r w:rsidRPr="00582EF2">
        <w:rPr>
          <w:rFonts w:ascii="Arial" w:hAnsi="Arial" w:cs="Arial"/>
          <w:sz w:val="16"/>
          <w:szCs w:val="18"/>
        </w:rPr>
        <w:tab/>
        <w:t xml:space="preserve">PS = Point </w:t>
      </w:r>
      <w:r w:rsidR="003F6605">
        <w:rPr>
          <w:rFonts w:ascii="Arial" w:hAnsi="Arial" w:cs="Arial"/>
          <w:sz w:val="16"/>
          <w:szCs w:val="18"/>
        </w:rPr>
        <w:t>source by point source approach;</w:t>
      </w:r>
    </w:p>
    <w:p w14:paraId="09ABAA17" w14:textId="77777777" w:rsidR="00D16E72" w:rsidRPr="00582EF2" w:rsidRDefault="00D16E72" w:rsidP="00D16E72">
      <w:pPr>
        <w:spacing w:after="60" w:line="260" w:lineRule="exact"/>
        <w:ind w:firstLine="720"/>
        <w:jc w:val="both"/>
        <w:rPr>
          <w:rFonts w:ascii="Arial" w:hAnsi="Arial" w:cs="Arial"/>
          <w:sz w:val="16"/>
          <w:szCs w:val="18"/>
        </w:rPr>
      </w:pPr>
      <w:r w:rsidRPr="00582EF2">
        <w:rPr>
          <w:rFonts w:ascii="Arial" w:hAnsi="Arial" w:cs="Arial"/>
          <w:b/>
          <w:sz w:val="16"/>
          <w:szCs w:val="18"/>
        </w:rPr>
        <w:t>X</w:t>
      </w:r>
      <w:r w:rsidRPr="00582EF2">
        <w:rPr>
          <w:rFonts w:ascii="Arial" w:hAnsi="Arial" w:cs="Arial"/>
          <w:sz w:val="16"/>
          <w:szCs w:val="18"/>
        </w:rPr>
        <w:t xml:space="preserve"> - Release pathway expected to be predominant for the sub-category;</w:t>
      </w:r>
    </w:p>
    <w:p w14:paraId="19A8FD30" w14:textId="77777777" w:rsidR="00D16E72" w:rsidRPr="00582EF2" w:rsidRDefault="00D16E72" w:rsidP="00D16E72">
      <w:pPr>
        <w:spacing w:after="60" w:line="260" w:lineRule="exact"/>
        <w:ind w:firstLine="720"/>
        <w:jc w:val="both"/>
        <w:rPr>
          <w:rFonts w:ascii="Arial" w:hAnsi="Arial" w:cs="Arial"/>
          <w:sz w:val="16"/>
          <w:szCs w:val="18"/>
        </w:rPr>
      </w:pPr>
      <w:r w:rsidRPr="00582EF2">
        <w:rPr>
          <w:rFonts w:ascii="Arial" w:hAnsi="Arial" w:cs="Arial"/>
          <w:sz w:val="16"/>
          <w:szCs w:val="18"/>
        </w:rPr>
        <w:t>x - Additional release pathways to be considered, depending on specific source and national situation.</w:t>
      </w:r>
    </w:p>
    <w:p w14:paraId="0305E332" w14:textId="77777777" w:rsidR="00351058" w:rsidRDefault="00351058" w:rsidP="00351058">
      <w:pPr>
        <w:pStyle w:val="Heading2"/>
      </w:pPr>
      <w:bookmarkStart w:id="84" w:name="_Toc484949588"/>
      <w:r>
        <w:t>Industrial uses of mercury in New Zealand</w:t>
      </w:r>
      <w:r w:rsidR="00842CA3">
        <w:rPr>
          <w:rStyle w:val="FootnoteReference"/>
        </w:rPr>
        <w:footnoteReference w:id="16"/>
      </w:r>
      <w:bookmarkEnd w:id="84"/>
    </w:p>
    <w:p w14:paraId="13E9B6F4" w14:textId="77777777" w:rsidR="00D16E72" w:rsidRDefault="00351058" w:rsidP="003833D6">
      <w:pPr>
        <w:spacing w:line="300" w:lineRule="atLeast"/>
        <w:jc w:val="both"/>
        <w:rPr>
          <w:szCs w:val="18"/>
        </w:rPr>
      </w:pPr>
      <w:proofErr w:type="spellStart"/>
      <w:r>
        <w:rPr>
          <w:szCs w:val="18"/>
        </w:rPr>
        <w:t>Chlor</w:t>
      </w:r>
      <w:proofErr w:type="spellEnd"/>
      <w:r>
        <w:rPr>
          <w:szCs w:val="18"/>
        </w:rPr>
        <w:t xml:space="preserve">-alkali plants were used at </w:t>
      </w:r>
      <w:r w:rsidR="00EE6CF7">
        <w:rPr>
          <w:szCs w:val="18"/>
        </w:rPr>
        <w:t xml:space="preserve">one </w:t>
      </w:r>
      <w:r>
        <w:rPr>
          <w:szCs w:val="18"/>
        </w:rPr>
        <w:t>of the pulp and paper mills until th</w:t>
      </w:r>
      <w:r w:rsidR="00C26911">
        <w:rPr>
          <w:szCs w:val="18"/>
        </w:rPr>
        <w:t>e</w:t>
      </w:r>
      <w:r>
        <w:rPr>
          <w:szCs w:val="18"/>
        </w:rPr>
        <w:t xml:space="preserve"> early 1980s, when they were replaced with </w:t>
      </w:r>
      <w:r w:rsidR="00EE6CF7">
        <w:rPr>
          <w:szCs w:val="18"/>
        </w:rPr>
        <w:t xml:space="preserve">a </w:t>
      </w:r>
      <w:r>
        <w:rPr>
          <w:szCs w:val="18"/>
        </w:rPr>
        <w:t xml:space="preserve">modern </w:t>
      </w:r>
      <w:r w:rsidR="00EE6CF7">
        <w:rPr>
          <w:szCs w:val="18"/>
        </w:rPr>
        <w:t xml:space="preserve">system based on a </w:t>
      </w:r>
      <w:r>
        <w:rPr>
          <w:szCs w:val="18"/>
        </w:rPr>
        <w:t>membrane cell technolog</w:t>
      </w:r>
      <w:r w:rsidR="00EE6CF7">
        <w:rPr>
          <w:szCs w:val="18"/>
        </w:rPr>
        <w:t>y</w:t>
      </w:r>
      <w:r>
        <w:rPr>
          <w:szCs w:val="18"/>
        </w:rPr>
        <w:t xml:space="preserve"> </w:t>
      </w:r>
      <w:r w:rsidR="00842CA3">
        <w:rPr>
          <w:szCs w:val="18"/>
        </w:rPr>
        <w:t xml:space="preserve">which does not involve mercury </w:t>
      </w:r>
      <w:r>
        <w:rPr>
          <w:szCs w:val="18"/>
        </w:rPr>
        <w:t>(NZIC, 1998</w:t>
      </w:r>
      <w:r w:rsidR="00FC7951">
        <w:rPr>
          <w:szCs w:val="18"/>
        </w:rPr>
        <w:t>b</w:t>
      </w:r>
      <w:r>
        <w:rPr>
          <w:szCs w:val="18"/>
        </w:rPr>
        <w:t>).</w:t>
      </w:r>
    </w:p>
    <w:p w14:paraId="081C748E" w14:textId="77777777" w:rsidR="00842CA3" w:rsidRDefault="00FC7951" w:rsidP="00982F85">
      <w:pPr>
        <w:spacing w:line="300" w:lineRule="atLeast"/>
        <w:jc w:val="both"/>
        <w:rPr>
          <w:szCs w:val="18"/>
        </w:rPr>
      </w:pPr>
      <w:r>
        <w:rPr>
          <w:szCs w:val="18"/>
        </w:rPr>
        <w:t xml:space="preserve">Vinyl chloride monomer </w:t>
      </w:r>
      <w:r w:rsidR="001E5DEF">
        <w:rPr>
          <w:szCs w:val="18"/>
        </w:rPr>
        <w:t>is not manufactured in New Zealand, although significant volumes of the polymerised form of vinyl chloride (</w:t>
      </w:r>
      <w:proofErr w:type="spellStart"/>
      <w:r w:rsidR="001E5DEF">
        <w:rPr>
          <w:szCs w:val="18"/>
        </w:rPr>
        <w:t>ie</w:t>
      </w:r>
      <w:proofErr w:type="spellEnd"/>
      <w:r w:rsidR="001E5DEF">
        <w:rPr>
          <w:szCs w:val="18"/>
        </w:rPr>
        <w:t xml:space="preserve"> polyvinyl chloride, PVC) are imported for use in making PVC products. </w:t>
      </w:r>
    </w:p>
    <w:p w14:paraId="46B021C2" w14:textId="77777777" w:rsidR="00D16E72" w:rsidRDefault="00842CA3" w:rsidP="00982F85">
      <w:pPr>
        <w:spacing w:line="300" w:lineRule="atLeast"/>
        <w:jc w:val="both"/>
        <w:rPr>
          <w:szCs w:val="18"/>
        </w:rPr>
      </w:pPr>
      <w:r>
        <w:rPr>
          <w:szCs w:val="18"/>
        </w:rPr>
        <w:t xml:space="preserve">Similarly, there is </w:t>
      </w:r>
      <w:r w:rsidR="001E5DEF">
        <w:rPr>
          <w:szCs w:val="18"/>
        </w:rPr>
        <w:t>no manufacturing of acetaldehyde in New Zealand</w:t>
      </w:r>
      <w:r>
        <w:rPr>
          <w:szCs w:val="18"/>
        </w:rPr>
        <w:t>, or of two-part polyurethanes involving mercury catalysts</w:t>
      </w:r>
      <w:r w:rsidR="001E5DEF">
        <w:rPr>
          <w:szCs w:val="18"/>
        </w:rPr>
        <w:t>.</w:t>
      </w:r>
    </w:p>
    <w:p w14:paraId="6E0BF5D3" w14:textId="77777777" w:rsidR="00D16E72" w:rsidRDefault="00D16E72" w:rsidP="009049D8">
      <w:pPr>
        <w:spacing w:line="300" w:lineRule="atLeast"/>
        <w:jc w:val="both"/>
        <w:rPr>
          <w:szCs w:val="18"/>
        </w:rPr>
      </w:pPr>
      <w:r>
        <w:rPr>
          <w:szCs w:val="18"/>
        </w:rPr>
        <w:br w:type="page"/>
      </w:r>
    </w:p>
    <w:p w14:paraId="5BE2A480" w14:textId="77777777" w:rsidR="00D16E72" w:rsidRDefault="00EF225E" w:rsidP="00D16E72">
      <w:pPr>
        <w:pStyle w:val="Heading1"/>
      </w:pPr>
      <w:bookmarkStart w:id="85" w:name="_Toc484949589"/>
      <w:r>
        <w:lastRenderedPageBreak/>
        <w:t>Consumer products with intentional use of mercury</w:t>
      </w:r>
      <w:bookmarkEnd w:id="85"/>
    </w:p>
    <w:p w14:paraId="20CD9E4A" w14:textId="07BFE033" w:rsidR="00D16E72" w:rsidRDefault="004A332D" w:rsidP="003833D6">
      <w:pPr>
        <w:spacing w:line="300" w:lineRule="atLeast"/>
        <w:jc w:val="both"/>
        <w:rPr>
          <w:szCs w:val="18"/>
        </w:rPr>
      </w:pPr>
      <w:r w:rsidRPr="004A332D">
        <w:rPr>
          <w:szCs w:val="18"/>
        </w:rPr>
        <w:t xml:space="preserve">This category covers mercury </w:t>
      </w:r>
      <w:r>
        <w:rPr>
          <w:szCs w:val="18"/>
        </w:rPr>
        <w:t>uses in</w:t>
      </w:r>
      <w:r w:rsidRPr="004A332D">
        <w:rPr>
          <w:szCs w:val="18"/>
        </w:rPr>
        <w:t xml:space="preserve"> </w:t>
      </w:r>
      <w:r>
        <w:rPr>
          <w:szCs w:val="18"/>
        </w:rPr>
        <w:t>a wide range of different consumer</w:t>
      </w:r>
      <w:r w:rsidRPr="004A332D">
        <w:rPr>
          <w:szCs w:val="18"/>
        </w:rPr>
        <w:t xml:space="preserve"> pro</w:t>
      </w:r>
      <w:r>
        <w:rPr>
          <w:szCs w:val="18"/>
        </w:rPr>
        <w:t>duct</w:t>
      </w:r>
      <w:r w:rsidRPr="004A332D">
        <w:rPr>
          <w:szCs w:val="18"/>
        </w:rPr>
        <w:t>s (</w:t>
      </w:r>
      <w:r w:rsidR="00C738EC">
        <w:rPr>
          <w:szCs w:val="18"/>
        </w:rPr>
        <w:t>UNEP, 2017</w:t>
      </w:r>
      <w:r w:rsidRPr="004A332D">
        <w:rPr>
          <w:szCs w:val="18"/>
        </w:rPr>
        <w:t>)</w:t>
      </w:r>
      <w:r>
        <w:rPr>
          <w:szCs w:val="18"/>
        </w:rPr>
        <w:t>. T</w:t>
      </w:r>
      <w:r w:rsidRPr="004A332D">
        <w:rPr>
          <w:szCs w:val="18"/>
        </w:rPr>
        <w:t xml:space="preserve">he </w:t>
      </w:r>
      <w:r>
        <w:rPr>
          <w:szCs w:val="18"/>
        </w:rPr>
        <w:t xml:space="preserve">various </w:t>
      </w:r>
      <w:r w:rsidRPr="004A332D">
        <w:rPr>
          <w:szCs w:val="18"/>
        </w:rPr>
        <w:t>sub-categories and the primary release pathw</w:t>
      </w:r>
      <w:r>
        <w:rPr>
          <w:szCs w:val="18"/>
        </w:rPr>
        <w:t xml:space="preserve">ays are summarised in </w:t>
      </w:r>
      <w:r w:rsidRPr="00016AD4">
        <w:rPr>
          <w:szCs w:val="18"/>
        </w:rPr>
        <w:fldChar w:fldCharType="begin"/>
      </w:r>
      <w:r w:rsidRPr="00016AD4">
        <w:rPr>
          <w:szCs w:val="18"/>
        </w:rPr>
        <w:instrText xml:space="preserve"> REF _Ref358542118 \h </w:instrText>
      </w:r>
      <w:r w:rsidR="00016AD4">
        <w:rPr>
          <w:szCs w:val="18"/>
        </w:rPr>
        <w:instrText xml:space="preserve"> \* MERGEFORMAT </w:instrText>
      </w:r>
      <w:r w:rsidRPr="00016AD4">
        <w:rPr>
          <w:szCs w:val="18"/>
        </w:rPr>
      </w:r>
      <w:r w:rsidRPr="00016AD4">
        <w:rPr>
          <w:szCs w:val="18"/>
        </w:rPr>
        <w:fldChar w:fldCharType="separate"/>
      </w:r>
      <w:r w:rsidR="00423FC9" w:rsidRPr="00016AD4">
        <w:t xml:space="preserve">Table </w:t>
      </w:r>
      <w:r w:rsidR="00423FC9" w:rsidRPr="00016AD4">
        <w:rPr>
          <w:noProof/>
        </w:rPr>
        <w:t>7</w:t>
      </w:r>
      <w:r w:rsidR="00423FC9" w:rsidRPr="00016AD4">
        <w:noBreakHyphen/>
      </w:r>
      <w:r w:rsidR="00423FC9" w:rsidRPr="00016AD4">
        <w:rPr>
          <w:noProof/>
        </w:rPr>
        <w:t>1</w:t>
      </w:r>
      <w:r w:rsidRPr="00016AD4">
        <w:rPr>
          <w:szCs w:val="18"/>
        </w:rPr>
        <w:fldChar w:fldCharType="end"/>
      </w:r>
      <w:r w:rsidRPr="004A332D">
        <w:rPr>
          <w:szCs w:val="18"/>
        </w:rPr>
        <w:t>.</w:t>
      </w:r>
    </w:p>
    <w:p w14:paraId="0B3E43EB" w14:textId="77777777" w:rsidR="00D16E72" w:rsidRDefault="00EF225E" w:rsidP="00EF225E">
      <w:pPr>
        <w:pStyle w:val="Caption"/>
        <w:spacing w:before="240"/>
        <w:ind w:left="1440" w:hanging="1440"/>
        <w:rPr>
          <w:szCs w:val="18"/>
        </w:rPr>
      </w:pPr>
      <w:bookmarkStart w:id="86" w:name="_Ref358542118"/>
      <w:bookmarkStart w:id="87" w:name="_Toc484949656"/>
      <w:r w:rsidRPr="00F14312">
        <w:rPr>
          <w:rFonts w:ascii="Arial" w:hAnsi="Arial" w:cs="Arial"/>
        </w:rPr>
        <w:t xml:space="preserve">Table </w:t>
      </w:r>
      <w:r w:rsidR="002B0D65" w:rsidRPr="00F14312">
        <w:rPr>
          <w:rFonts w:ascii="Arial" w:hAnsi="Arial" w:cs="Arial"/>
        </w:rPr>
        <w:fldChar w:fldCharType="begin"/>
      </w:r>
      <w:r w:rsidR="002B0D65" w:rsidRPr="00F14312">
        <w:rPr>
          <w:rFonts w:ascii="Arial" w:hAnsi="Arial" w:cs="Arial"/>
        </w:rPr>
        <w:instrText xml:space="preserve"> STYLEREF 1 \s </w:instrText>
      </w:r>
      <w:r w:rsidR="002B0D65" w:rsidRPr="00F14312">
        <w:rPr>
          <w:rFonts w:ascii="Arial" w:hAnsi="Arial" w:cs="Arial"/>
        </w:rPr>
        <w:fldChar w:fldCharType="separate"/>
      </w:r>
      <w:r w:rsidR="00423FC9">
        <w:rPr>
          <w:rFonts w:ascii="Arial" w:hAnsi="Arial" w:cs="Arial"/>
          <w:noProof/>
        </w:rPr>
        <w:t>7</w:t>
      </w:r>
      <w:r w:rsidR="002B0D65" w:rsidRPr="00F14312">
        <w:rPr>
          <w:rFonts w:ascii="Arial" w:hAnsi="Arial" w:cs="Arial"/>
          <w:noProof/>
        </w:rPr>
        <w:fldChar w:fldCharType="end"/>
      </w:r>
      <w:r w:rsidR="00390C9F" w:rsidRPr="00F14312">
        <w:rPr>
          <w:rFonts w:ascii="Arial" w:hAnsi="Arial" w:cs="Arial"/>
        </w:rPr>
        <w:noBreakHyphen/>
      </w:r>
      <w:r w:rsidR="002B0D65" w:rsidRPr="00F14312">
        <w:rPr>
          <w:rFonts w:ascii="Arial" w:hAnsi="Arial" w:cs="Arial"/>
        </w:rPr>
        <w:fldChar w:fldCharType="begin"/>
      </w:r>
      <w:r w:rsidR="002B0D65" w:rsidRPr="00F14312">
        <w:rPr>
          <w:rFonts w:ascii="Arial" w:hAnsi="Arial" w:cs="Arial"/>
        </w:rPr>
        <w:instrText xml:space="preserve"> SEQ Table \* ARABIC \s 1 </w:instrText>
      </w:r>
      <w:r w:rsidR="002B0D65" w:rsidRPr="00F14312">
        <w:rPr>
          <w:rFonts w:ascii="Arial" w:hAnsi="Arial" w:cs="Arial"/>
        </w:rPr>
        <w:fldChar w:fldCharType="separate"/>
      </w:r>
      <w:r w:rsidR="00423FC9">
        <w:rPr>
          <w:rFonts w:ascii="Arial" w:hAnsi="Arial" w:cs="Arial"/>
          <w:noProof/>
        </w:rPr>
        <w:t>1</w:t>
      </w:r>
      <w:r w:rsidR="002B0D65" w:rsidRPr="00F14312">
        <w:rPr>
          <w:rFonts w:ascii="Arial" w:hAnsi="Arial" w:cs="Arial"/>
          <w:noProof/>
        </w:rPr>
        <w:fldChar w:fldCharType="end"/>
      </w:r>
      <w:bookmarkEnd w:id="86"/>
      <w:r w:rsidRPr="00F14312">
        <w:rPr>
          <w:rFonts w:ascii="Arial" w:hAnsi="Arial" w:cs="Arial"/>
        </w:rPr>
        <w:t>:</w:t>
      </w:r>
      <w:r>
        <w:t xml:space="preserve">  </w:t>
      </w:r>
      <w:r w:rsidR="00D16E72" w:rsidRPr="003D7CC9">
        <w:rPr>
          <w:rFonts w:ascii="Arial" w:hAnsi="Arial" w:cs="Arial"/>
        </w:rPr>
        <w:t>T</w:t>
      </w:r>
      <w:r w:rsidR="00D16E72">
        <w:rPr>
          <w:rFonts w:ascii="Arial" w:hAnsi="Arial" w:cs="Arial"/>
        </w:rPr>
        <w:t xml:space="preserve">oolkit framework for category </w:t>
      </w:r>
      <w:r>
        <w:rPr>
          <w:rFonts w:ascii="Arial" w:hAnsi="Arial" w:cs="Arial"/>
        </w:rPr>
        <w:t>5</w:t>
      </w:r>
      <w:r w:rsidR="00D16E72">
        <w:rPr>
          <w:rFonts w:ascii="Arial" w:hAnsi="Arial" w:cs="Arial"/>
        </w:rPr>
        <w:t xml:space="preserve"> – </w:t>
      </w:r>
      <w:r>
        <w:rPr>
          <w:rFonts w:ascii="Arial" w:hAnsi="Arial" w:cs="Arial"/>
        </w:rPr>
        <w:t>consumer products with intentional use of mercury</w:t>
      </w:r>
      <w:bookmarkEnd w:id="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850"/>
        <w:gridCol w:w="851"/>
        <w:gridCol w:w="851"/>
        <w:gridCol w:w="992"/>
        <w:gridCol w:w="992"/>
        <w:gridCol w:w="1099"/>
      </w:tblGrid>
      <w:tr w:rsidR="00D16E72" w:rsidRPr="004901F2" w14:paraId="75B3DA43" w14:textId="77777777" w:rsidTr="00284F82">
        <w:tc>
          <w:tcPr>
            <w:tcW w:w="851" w:type="dxa"/>
            <w:shd w:val="clear" w:color="auto" w:fill="auto"/>
            <w:vAlign w:val="center"/>
          </w:tcPr>
          <w:p w14:paraId="6EC04956"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Toolkit Chapter</w:t>
            </w:r>
          </w:p>
        </w:tc>
        <w:tc>
          <w:tcPr>
            <w:tcW w:w="2693" w:type="dxa"/>
            <w:shd w:val="clear" w:color="auto" w:fill="auto"/>
            <w:vAlign w:val="center"/>
          </w:tcPr>
          <w:p w14:paraId="61CA6692"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Sub-category</w:t>
            </w:r>
          </w:p>
        </w:tc>
        <w:tc>
          <w:tcPr>
            <w:tcW w:w="850" w:type="dxa"/>
            <w:shd w:val="clear" w:color="auto" w:fill="auto"/>
            <w:vAlign w:val="center"/>
          </w:tcPr>
          <w:p w14:paraId="2CCDD278"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Air</w:t>
            </w:r>
          </w:p>
        </w:tc>
        <w:tc>
          <w:tcPr>
            <w:tcW w:w="851" w:type="dxa"/>
            <w:shd w:val="clear" w:color="auto" w:fill="auto"/>
            <w:vAlign w:val="center"/>
          </w:tcPr>
          <w:p w14:paraId="6F1020DB"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Water</w:t>
            </w:r>
          </w:p>
        </w:tc>
        <w:tc>
          <w:tcPr>
            <w:tcW w:w="851" w:type="dxa"/>
            <w:shd w:val="clear" w:color="auto" w:fill="auto"/>
            <w:vAlign w:val="center"/>
          </w:tcPr>
          <w:p w14:paraId="58C9548A"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Land</w:t>
            </w:r>
          </w:p>
        </w:tc>
        <w:tc>
          <w:tcPr>
            <w:tcW w:w="992" w:type="dxa"/>
            <w:shd w:val="clear" w:color="auto" w:fill="auto"/>
            <w:vAlign w:val="center"/>
          </w:tcPr>
          <w:p w14:paraId="3EBD0A06"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Product</w:t>
            </w:r>
          </w:p>
        </w:tc>
        <w:tc>
          <w:tcPr>
            <w:tcW w:w="992" w:type="dxa"/>
            <w:shd w:val="clear" w:color="auto" w:fill="auto"/>
            <w:vAlign w:val="center"/>
          </w:tcPr>
          <w:p w14:paraId="7536647D"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Waste/ residue</w:t>
            </w:r>
          </w:p>
        </w:tc>
        <w:tc>
          <w:tcPr>
            <w:tcW w:w="1099" w:type="dxa"/>
            <w:shd w:val="clear" w:color="auto" w:fill="auto"/>
            <w:vAlign w:val="center"/>
          </w:tcPr>
          <w:p w14:paraId="42BA0738"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Main approach</w:t>
            </w:r>
          </w:p>
        </w:tc>
      </w:tr>
      <w:tr w:rsidR="00D16E72" w:rsidRPr="004901F2" w14:paraId="6B81EEDD" w14:textId="77777777" w:rsidTr="00284F82">
        <w:tc>
          <w:tcPr>
            <w:tcW w:w="851" w:type="dxa"/>
            <w:shd w:val="clear" w:color="auto" w:fill="auto"/>
            <w:vAlign w:val="center"/>
          </w:tcPr>
          <w:p w14:paraId="0FC94443" w14:textId="77777777" w:rsidR="00D16E72" w:rsidRPr="004901F2" w:rsidRDefault="00D16E72" w:rsidP="00EF225E">
            <w:pPr>
              <w:spacing w:before="40" w:after="40" w:line="300" w:lineRule="atLeast"/>
              <w:rPr>
                <w:rFonts w:ascii="Arial" w:hAnsi="Arial" w:cs="Arial"/>
                <w:sz w:val="16"/>
                <w:szCs w:val="16"/>
              </w:rPr>
            </w:pPr>
            <w:r>
              <w:rPr>
                <w:rFonts w:ascii="Arial" w:hAnsi="Arial" w:cs="Arial"/>
                <w:sz w:val="16"/>
                <w:szCs w:val="16"/>
              </w:rPr>
              <w:t>5.</w:t>
            </w:r>
            <w:r w:rsidR="00EF225E">
              <w:rPr>
                <w:rFonts w:ascii="Arial" w:hAnsi="Arial" w:cs="Arial"/>
                <w:sz w:val="16"/>
                <w:szCs w:val="16"/>
              </w:rPr>
              <w:t>5</w:t>
            </w:r>
            <w:r w:rsidRPr="004901F2">
              <w:rPr>
                <w:rFonts w:ascii="Arial" w:hAnsi="Arial" w:cs="Arial"/>
                <w:sz w:val="16"/>
                <w:szCs w:val="16"/>
              </w:rPr>
              <w:t>.1</w:t>
            </w:r>
          </w:p>
        </w:tc>
        <w:tc>
          <w:tcPr>
            <w:tcW w:w="2693" w:type="dxa"/>
            <w:shd w:val="clear" w:color="auto" w:fill="auto"/>
            <w:vAlign w:val="center"/>
          </w:tcPr>
          <w:p w14:paraId="374C8500" w14:textId="77777777" w:rsidR="00D16E72" w:rsidRPr="004901F2" w:rsidRDefault="00EF225E" w:rsidP="00EF225E">
            <w:pPr>
              <w:spacing w:line="300" w:lineRule="atLeast"/>
              <w:rPr>
                <w:rFonts w:ascii="Arial" w:hAnsi="Arial" w:cs="Arial"/>
                <w:sz w:val="16"/>
                <w:szCs w:val="16"/>
              </w:rPr>
            </w:pPr>
            <w:r>
              <w:rPr>
                <w:rFonts w:ascii="Arial" w:hAnsi="Arial" w:cs="Arial"/>
                <w:sz w:val="16"/>
                <w:szCs w:val="16"/>
              </w:rPr>
              <w:t>Thermometers with m</w:t>
            </w:r>
            <w:r w:rsidR="00D16E72">
              <w:rPr>
                <w:rFonts w:ascii="Arial" w:hAnsi="Arial" w:cs="Arial"/>
                <w:sz w:val="16"/>
                <w:szCs w:val="16"/>
              </w:rPr>
              <w:t>ercury</w:t>
            </w:r>
          </w:p>
        </w:tc>
        <w:tc>
          <w:tcPr>
            <w:tcW w:w="850" w:type="dxa"/>
            <w:shd w:val="clear" w:color="auto" w:fill="auto"/>
            <w:vAlign w:val="center"/>
          </w:tcPr>
          <w:p w14:paraId="0D970F7E"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773A1AFA" w14:textId="77777777" w:rsidR="00D16E72" w:rsidRPr="004901F2" w:rsidRDefault="00D16E72" w:rsidP="00284F82">
            <w:pPr>
              <w:spacing w:before="40" w:after="40" w:line="300" w:lineRule="atLeast"/>
              <w:jc w:val="center"/>
              <w:rPr>
                <w:rFonts w:ascii="Arial" w:hAnsi="Arial" w:cs="Arial"/>
                <w:sz w:val="16"/>
                <w:szCs w:val="16"/>
              </w:rPr>
            </w:pPr>
            <w:r w:rsidRPr="00177AB0">
              <w:rPr>
                <w:rFonts w:ascii="Arial" w:hAnsi="Arial" w:cs="Arial"/>
                <w:b/>
                <w:sz w:val="16"/>
                <w:szCs w:val="16"/>
              </w:rPr>
              <w:t>X</w:t>
            </w:r>
          </w:p>
        </w:tc>
        <w:tc>
          <w:tcPr>
            <w:tcW w:w="851" w:type="dxa"/>
            <w:shd w:val="clear" w:color="auto" w:fill="auto"/>
            <w:vAlign w:val="center"/>
          </w:tcPr>
          <w:p w14:paraId="0B29F098"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62FFAFCA"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0607B78C"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1099" w:type="dxa"/>
            <w:shd w:val="clear" w:color="auto" w:fill="auto"/>
            <w:vAlign w:val="center"/>
          </w:tcPr>
          <w:p w14:paraId="71191D32" w14:textId="77777777" w:rsidR="00D16E72" w:rsidRPr="004901F2" w:rsidRDefault="00EF225E" w:rsidP="00284F82">
            <w:pPr>
              <w:spacing w:before="40" w:after="40" w:line="300" w:lineRule="atLeast"/>
              <w:jc w:val="center"/>
              <w:rPr>
                <w:rFonts w:ascii="Arial" w:hAnsi="Arial" w:cs="Arial"/>
                <w:sz w:val="16"/>
                <w:szCs w:val="16"/>
              </w:rPr>
            </w:pPr>
            <w:r w:rsidRPr="00EF225E">
              <w:rPr>
                <w:rFonts w:ascii="Arial" w:hAnsi="Arial" w:cs="Arial"/>
                <w:sz w:val="16"/>
                <w:szCs w:val="16"/>
              </w:rPr>
              <w:t>OW</w:t>
            </w:r>
          </w:p>
        </w:tc>
      </w:tr>
      <w:tr w:rsidR="00D16E72" w:rsidRPr="004901F2" w14:paraId="1EE7FB58" w14:textId="77777777" w:rsidTr="00284F82">
        <w:tc>
          <w:tcPr>
            <w:tcW w:w="851" w:type="dxa"/>
            <w:shd w:val="clear" w:color="auto" w:fill="auto"/>
            <w:vAlign w:val="center"/>
          </w:tcPr>
          <w:p w14:paraId="72B57D1B" w14:textId="77777777" w:rsidR="00D16E72" w:rsidRPr="004901F2" w:rsidRDefault="00EF225E" w:rsidP="00284F82">
            <w:pPr>
              <w:spacing w:before="40" w:after="40" w:line="300" w:lineRule="atLeast"/>
              <w:rPr>
                <w:rFonts w:ascii="Arial" w:hAnsi="Arial" w:cs="Arial"/>
                <w:sz w:val="16"/>
                <w:szCs w:val="16"/>
              </w:rPr>
            </w:pPr>
            <w:r>
              <w:rPr>
                <w:rFonts w:ascii="Arial" w:hAnsi="Arial" w:cs="Arial"/>
                <w:sz w:val="16"/>
                <w:szCs w:val="16"/>
              </w:rPr>
              <w:t>5.5</w:t>
            </w:r>
            <w:r w:rsidR="00D16E72" w:rsidRPr="004901F2">
              <w:rPr>
                <w:rFonts w:ascii="Arial" w:hAnsi="Arial" w:cs="Arial"/>
                <w:sz w:val="16"/>
                <w:szCs w:val="16"/>
              </w:rPr>
              <w:t>.2</w:t>
            </w:r>
          </w:p>
        </w:tc>
        <w:tc>
          <w:tcPr>
            <w:tcW w:w="2693" w:type="dxa"/>
            <w:shd w:val="clear" w:color="auto" w:fill="auto"/>
            <w:vAlign w:val="center"/>
          </w:tcPr>
          <w:p w14:paraId="378D7982" w14:textId="77777777" w:rsidR="00D16E72" w:rsidRPr="004901F2" w:rsidRDefault="00EF225E" w:rsidP="00EF225E">
            <w:pPr>
              <w:spacing w:before="40" w:after="40" w:line="300" w:lineRule="atLeast"/>
              <w:rPr>
                <w:rFonts w:ascii="Arial" w:hAnsi="Arial" w:cs="Arial"/>
                <w:sz w:val="16"/>
                <w:szCs w:val="16"/>
              </w:rPr>
            </w:pPr>
            <w:r>
              <w:rPr>
                <w:rFonts w:ascii="Arial" w:hAnsi="Arial" w:cs="Arial"/>
                <w:sz w:val="16"/>
                <w:szCs w:val="16"/>
              </w:rPr>
              <w:t xml:space="preserve">Electrical switches, contacts and relays with </w:t>
            </w:r>
            <w:r w:rsidR="00D16E72">
              <w:rPr>
                <w:rFonts w:ascii="Arial" w:hAnsi="Arial" w:cs="Arial"/>
                <w:sz w:val="16"/>
                <w:szCs w:val="16"/>
              </w:rPr>
              <w:t xml:space="preserve">mercury </w:t>
            </w:r>
          </w:p>
        </w:tc>
        <w:tc>
          <w:tcPr>
            <w:tcW w:w="850" w:type="dxa"/>
            <w:shd w:val="clear" w:color="auto" w:fill="auto"/>
            <w:vAlign w:val="center"/>
          </w:tcPr>
          <w:p w14:paraId="497B3E14"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1809548B" w14:textId="77777777" w:rsidR="00D16E72" w:rsidRPr="004901F2" w:rsidRDefault="00EF225E" w:rsidP="00284F82">
            <w:pPr>
              <w:spacing w:before="40" w:after="40" w:line="300" w:lineRule="atLeast"/>
              <w:jc w:val="center"/>
              <w:rPr>
                <w:rFonts w:ascii="Arial" w:hAnsi="Arial" w:cs="Arial"/>
                <w:sz w:val="16"/>
                <w:szCs w:val="16"/>
              </w:rPr>
            </w:pPr>
            <w:r>
              <w:rPr>
                <w:rFonts w:ascii="Arial" w:hAnsi="Arial" w:cs="Arial"/>
                <w:sz w:val="16"/>
                <w:szCs w:val="16"/>
              </w:rPr>
              <w:t>x</w:t>
            </w:r>
          </w:p>
        </w:tc>
        <w:tc>
          <w:tcPr>
            <w:tcW w:w="851" w:type="dxa"/>
            <w:shd w:val="clear" w:color="auto" w:fill="auto"/>
            <w:vAlign w:val="center"/>
          </w:tcPr>
          <w:p w14:paraId="38FD12B7"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5FC3D57D" w14:textId="77777777" w:rsidR="00D16E72" w:rsidRPr="004901F2" w:rsidRDefault="00EF225E" w:rsidP="00284F82">
            <w:pPr>
              <w:spacing w:before="40" w:after="40" w:line="300" w:lineRule="atLeast"/>
              <w:jc w:val="center"/>
              <w:rPr>
                <w:rFonts w:ascii="Arial" w:hAnsi="Arial" w:cs="Arial"/>
                <w:sz w:val="16"/>
                <w:szCs w:val="16"/>
              </w:rPr>
            </w:pPr>
            <w:r w:rsidRPr="00EF225E">
              <w:rPr>
                <w:rFonts w:ascii="Arial" w:hAnsi="Arial" w:cs="Arial"/>
                <w:b/>
                <w:sz w:val="16"/>
                <w:szCs w:val="16"/>
              </w:rPr>
              <w:t>X</w:t>
            </w:r>
          </w:p>
        </w:tc>
        <w:tc>
          <w:tcPr>
            <w:tcW w:w="992" w:type="dxa"/>
            <w:shd w:val="clear" w:color="auto" w:fill="auto"/>
            <w:vAlign w:val="center"/>
          </w:tcPr>
          <w:p w14:paraId="76E20289" w14:textId="77777777" w:rsidR="00D16E72" w:rsidRPr="004901F2" w:rsidRDefault="00EF225E" w:rsidP="00284F82">
            <w:pPr>
              <w:spacing w:before="40" w:after="40" w:line="300" w:lineRule="atLeast"/>
              <w:jc w:val="center"/>
              <w:rPr>
                <w:rFonts w:ascii="Arial" w:hAnsi="Arial" w:cs="Arial"/>
                <w:sz w:val="16"/>
                <w:szCs w:val="16"/>
              </w:rPr>
            </w:pPr>
            <w:r w:rsidRPr="00EF225E">
              <w:rPr>
                <w:rFonts w:ascii="Arial" w:hAnsi="Arial" w:cs="Arial"/>
                <w:b/>
                <w:sz w:val="16"/>
                <w:szCs w:val="16"/>
              </w:rPr>
              <w:t>X</w:t>
            </w:r>
          </w:p>
        </w:tc>
        <w:tc>
          <w:tcPr>
            <w:tcW w:w="1099" w:type="dxa"/>
            <w:shd w:val="clear" w:color="auto" w:fill="auto"/>
            <w:vAlign w:val="center"/>
          </w:tcPr>
          <w:p w14:paraId="578831B6"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sz w:val="16"/>
                <w:szCs w:val="16"/>
              </w:rPr>
              <w:t>OW</w:t>
            </w:r>
          </w:p>
        </w:tc>
      </w:tr>
      <w:tr w:rsidR="00D16E72" w:rsidRPr="004901F2" w14:paraId="522EDBA8" w14:textId="77777777" w:rsidTr="00284F82">
        <w:tc>
          <w:tcPr>
            <w:tcW w:w="851" w:type="dxa"/>
            <w:shd w:val="clear" w:color="auto" w:fill="auto"/>
            <w:vAlign w:val="center"/>
          </w:tcPr>
          <w:p w14:paraId="44A22BD8" w14:textId="77777777" w:rsidR="00D16E72" w:rsidRPr="004901F2" w:rsidRDefault="00EF225E" w:rsidP="00284F82">
            <w:pPr>
              <w:spacing w:before="40" w:after="40" w:line="300" w:lineRule="atLeast"/>
              <w:rPr>
                <w:rFonts w:ascii="Arial" w:hAnsi="Arial" w:cs="Arial"/>
                <w:sz w:val="16"/>
                <w:szCs w:val="16"/>
              </w:rPr>
            </w:pPr>
            <w:r>
              <w:rPr>
                <w:rFonts w:ascii="Arial" w:hAnsi="Arial" w:cs="Arial"/>
                <w:sz w:val="16"/>
                <w:szCs w:val="16"/>
              </w:rPr>
              <w:t>5.5</w:t>
            </w:r>
            <w:r w:rsidR="00D16E72" w:rsidRPr="004901F2">
              <w:rPr>
                <w:rFonts w:ascii="Arial" w:hAnsi="Arial" w:cs="Arial"/>
                <w:sz w:val="16"/>
                <w:szCs w:val="16"/>
              </w:rPr>
              <w:t>.3</w:t>
            </w:r>
          </w:p>
        </w:tc>
        <w:tc>
          <w:tcPr>
            <w:tcW w:w="2693" w:type="dxa"/>
            <w:shd w:val="clear" w:color="auto" w:fill="auto"/>
            <w:vAlign w:val="center"/>
          </w:tcPr>
          <w:p w14:paraId="1C78E53F" w14:textId="77777777" w:rsidR="00D16E72" w:rsidRPr="004901F2" w:rsidRDefault="00EF225E" w:rsidP="00284F82">
            <w:pPr>
              <w:spacing w:line="300" w:lineRule="atLeast"/>
              <w:rPr>
                <w:rFonts w:ascii="Arial" w:hAnsi="Arial" w:cs="Arial"/>
                <w:sz w:val="16"/>
                <w:szCs w:val="16"/>
              </w:rPr>
            </w:pPr>
            <w:r>
              <w:rPr>
                <w:rFonts w:ascii="Arial" w:hAnsi="Arial" w:cs="Arial"/>
                <w:sz w:val="16"/>
                <w:szCs w:val="16"/>
              </w:rPr>
              <w:t>Light sources with mercury</w:t>
            </w:r>
          </w:p>
        </w:tc>
        <w:tc>
          <w:tcPr>
            <w:tcW w:w="850" w:type="dxa"/>
            <w:shd w:val="clear" w:color="auto" w:fill="auto"/>
            <w:vAlign w:val="center"/>
          </w:tcPr>
          <w:p w14:paraId="64FF6B51"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35C4DC91" w14:textId="77777777" w:rsidR="00D16E72" w:rsidRPr="00EF225E" w:rsidRDefault="00EF225E" w:rsidP="00284F82">
            <w:pPr>
              <w:spacing w:before="40" w:after="40" w:line="300" w:lineRule="atLeast"/>
              <w:jc w:val="center"/>
              <w:rPr>
                <w:rFonts w:ascii="Arial" w:hAnsi="Arial" w:cs="Arial"/>
                <w:sz w:val="16"/>
                <w:szCs w:val="16"/>
              </w:rPr>
            </w:pPr>
            <w:r>
              <w:rPr>
                <w:rFonts w:ascii="Arial" w:hAnsi="Arial" w:cs="Arial"/>
                <w:sz w:val="16"/>
                <w:szCs w:val="16"/>
              </w:rPr>
              <w:t>x</w:t>
            </w:r>
          </w:p>
        </w:tc>
        <w:tc>
          <w:tcPr>
            <w:tcW w:w="851" w:type="dxa"/>
            <w:shd w:val="clear" w:color="auto" w:fill="auto"/>
            <w:vAlign w:val="center"/>
          </w:tcPr>
          <w:p w14:paraId="5C4E6DDB"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47D959D4"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7857E9BC" w14:textId="77777777" w:rsidR="00D16E72" w:rsidRPr="004901F2" w:rsidRDefault="00D16E72" w:rsidP="00284F82">
            <w:pPr>
              <w:spacing w:before="40" w:after="40" w:line="300" w:lineRule="atLeast"/>
              <w:jc w:val="center"/>
              <w:rPr>
                <w:rFonts w:ascii="Arial" w:hAnsi="Arial" w:cs="Arial"/>
                <w:sz w:val="16"/>
                <w:szCs w:val="16"/>
              </w:rPr>
            </w:pPr>
            <w:r w:rsidRPr="00177AB0">
              <w:rPr>
                <w:rFonts w:ascii="Arial" w:hAnsi="Arial" w:cs="Arial"/>
                <w:b/>
                <w:sz w:val="16"/>
                <w:szCs w:val="16"/>
              </w:rPr>
              <w:t>X</w:t>
            </w:r>
          </w:p>
        </w:tc>
        <w:tc>
          <w:tcPr>
            <w:tcW w:w="1099" w:type="dxa"/>
            <w:shd w:val="clear" w:color="auto" w:fill="auto"/>
            <w:vAlign w:val="center"/>
          </w:tcPr>
          <w:p w14:paraId="5FAEDBB0" w14:textId="77777777" w:rsidR="00D16E72" w:rsidRPr="004901F2" w:rsidRDefault="00121BFA" w:rsidP="00284F82">
            <w:pPr>
              <w:spacing w:before="40" w:after="40" w:line="300" w:lineRule="atLeast"/>
              <w:jc w:val="center"/>
              <w:rPr>
                <w:rFonts w:ascii="Arial" w:hAnsi="Arial" w:cs="Arial"/>
                <w:sz w:val="16"/>
                <w:szCs w:val="16"/>
              </w:rPr>
            </w:pPr>
            <w:r w:rsidRPr="00121BFA">
              <w:rPr>
                <w:rFonts w:ascii="Arial" w:hAnsi="Arial" w:cs="Arial"/>
                <w:sz w:val="16"/>
                <w:szCs w:val="16"/>
              </w:rPr>
              <w:t>OW</w:t>
            </w:r>
          </w:p>
        </w:tc>
      </w:tr>
      <w:tr w:rsidR="00D16E72" w:rsidRPr="004901F2" w14:paraId="6756CDA5" w14:textId="77777777" w:rsidTr="00284F82">
        <w:tc>
          <w:tcPr>
            <w:tcW w:w="851" w:type="dxa"/>
            <w:shd w:val="clear" w:color="auto" w:fill="auto"/>
            <w:vAlign w:val="center"/>
          </w:tcPr>
          <w:p w14:paraId="6AADAB5F" w14:textId="77777777" w:rsidR="00D16E72" w:rsidRPr="004901F2" w:rsidRDefault="00EF225E" w:rsidP="00284F82">
            <w:pPr>
              <w:spacing w:before="40" w:after="40" w:line="300" w:lineRule="atLeast"/>
              <w:rPr>
                <w:rFonts w:ascii="Arial" w:hAnsi="Arial" w:cs="Arial"/>
                <w:sz w:val="16"/>
                <w:szCs w:val="16"/>
              </w:rPr>
            </w:pPr>
            <w:r>
              <w:rPr>
                <w:rFonts w:ascii="Arial" w:hAnsi="Arial" w:cs="Arial"/>
                <w:sz w:val="16"/>
                <w:szCs w:val="16"/>
              </w:rPr>
              <w:t>5.5</w:t>
            </w:r>
            <w:r w:rsidR="00D16E72" w:rsidRPr="004901F2">
              <w:rPr>
                <w:rFonts w:ascii="Arial" w:hAnsi="Arial" w:cs="Arial"/>
                <w:sz w:val="16"/>
                <w:szCs w:val="16"/>
              </w:rPr>
              <w:t>.4</w:t>
            </w:r>
          </w:p>
        </w:tc>
        <w:tc>
          <w:tcPr>
            <w:tcW w:w="2693" w:type="dxa"/>
            <w:shd w:val="clear" w:color="auto" w:fill="auto"/>
            <w:vAlign w:val="center"/>
          </w:tcPr>
          <w:p w14:paraId="23945892" w14:textId="77777777" w:rsidR="00D16E72" w:rsidRPr="004901F2" w:rsidRDefault="00EF225E" w:rsidP="00284F82">
            <w:pPr>
              <w:spacing w:line="300" w:lineRule="atLeast"/>
              <w:rPr>
                <w:rFonts w:ascii="Arial" w:hAnsi="Arial" w:cs="Arial"/>
                <w:sz w:val="16"/>
                <w:szCs w:val="16"/>
              </w:rPr>
            </w:pPr>
            <w:r>
              <w:rPr>
                <w:rFonts w:ascii="Arial" w:hAnsi="Arial" w:cs="Arial"/>
                <w:sz w:val="16"/>
                <w:szCs w:val="16"/>
              </w:rPr>
              <w:t>Batteries containing mercury</w:t>
            </w:r>
          </w:p>
        </w:tc>
        <w:tc>
          <w:tcPr>
            <w:tcW w:w="850" w:type="dxa"/>
            <w:shd w:val="clear" w:color="auto" w:fill="auto"/>
            <w:vAlign w:val="center"/>
          </w:tcPr>
          <w:p w14:paraId="0D169296"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36024B27" w14:textId="77777777" w:rsidR="00D16E72" w:rsidRPr="00EF225E" w:rsidRDefault="00EF225E" w:rsidP="00284F82">
            <w:pPr>
              <w:spacing w:before="40" w:after="40" w:line="300" w:lineRule="atLeast"/>
              <w:jc w:val="center"/>
              <w:rPr>
                <w:rFonts w:ascii="Arial" w:hAnsi="Arial" w:cs="Arial"/>
                <w:sz w:val="16"/>
                <w:szCs w:val="16"/>
              </w:rPr>
            </w:pPr>
            <w:r>
              <w:rPr>
                <w:rFonts w:ascii="Arial" w:hAnsi="Arial" w:cs="Arial"/>
                <w:sz w:val="16"/>
                <w:szCs w:val="16"/>
              </w:rPr>
              <w:t>x</w:t>
            </w:r>
          </w:p>
        </w:tc>
        <w:tc>
          <w:tcPr>
            <w:tcW w:w="851" w:type="dxa"/>
            <w:shd w:val="clear" w:color="auto" w:fill="auto"/>
            <w:vAlign w:val="center"/>
          </w:tcPr>
          <w:p w14:paraId="1109D5A9"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992" w:type="dxa"/>
            <w:shd w:val="clear" w:color="auto" w:fill="auto"/>
            <w:vAlign w:val="center"/>
          </w:tcPr>
          <w:p w14:paraId="41567A9A"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2DAA475B"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1099" w:type="dxa"/>
            <w:shd w:val="clear" w:color="auto" w:fill="auto"/>
            <w:vAlign w:val="center"/>
          </w:tcPr>
          <w:p w14:paraId="788026A0" w14:textId="77777777" w:rsidR="00D16E72" w:rsidRPr="004901F2" w:rsidRDefault="00121BFA" w:rsidP="00284F82">
            <w:pPr>
              <w:spacing w:before="40" w:after="40" w:line="300" w:lineRule="atLeast"/>
              <w:jc w:val="center"/>
              <w:rPr>
                <w:rFonts w:ascii="Arial" w:hAnsi="Arial" w:cs="Arial"/>
                <w:sz w:val="16"/>
                <w:szCs w:val="16"/>
              </w:rPr>
            </w:pPr>
            <w:r w:rsidRPr="004901F2">
              <w:rPr>
                <w:rFonts w:ascii="Arial" w:hAnsi="Arial" w:cs="Arial"/>
                <w:sz w:val="16"/>
                <w:szCs w:val="16"/>
              </w:rPr>
              <w:t>OW</w:t>
            </w:r>
          </w:p>
        </w:tc>
      </w:tr>
      <w:tr w:rsidR="00D16E72" w:rsidRPr="004901F2" w14:paraId="5BBE66E9" w14:textId="77777777" w:rsidTr="00284F82">
        <w:tc>
          <w:tcPr>
            <w:tcW w:w="851" w:type="dxa"/>
            <w:shd w:val="clear" w:color="auto" w:fill="auto"/>
            <w:vAlign w:val="center"/>
          </w:tcPr>
          <w:p w14:paraId="081C2729" w14:textId="77777777" w:rsidR="00D16E72" w:rsidRPr="004901F2" w:rsidRDefault="00EF225E" w:rsidP="00284F82">
            <w:pPr>
              <w:spacing w:before="40" w:after="40" w:line="300" w:lineRule="atLeast"/>
              <w:rPr>
                <w:rFonts w:ascii="Arial" w:hAnsi="Arial" w:cs="Arial"/>
                <w:sz w:val="16"/>
                <w:szCs w:val="16"/>
              </w:rPr>
            </w:pPr>
            <w:r>
              <w:rPr>
                <w:rFonts w:ascii="Arial" w:hAnsi="Arial" w:cs="Arial"/>
                <w:sz w:val="16"/>
                <w:szCs w:val="16"/>
              </w:rPr>
              <w:t>5.5</w:t>
            </w:r>
            <w:r w:rsidR="00D16E72" w:rsidRPr="004901F2">
              <w:rPr>
                <w:rFonts w:ascii="Arial" w:hAnsi="Arial" w:cs="Arial"/>
                <w:sz w:val="16"/>
                <w:szCs w:val="16"/>
              </w:rPr>
              <w:t>.5</w:t>
            </w:r>
          </w:p>
        </w:tc>
        <w:tc>
          <w:tcPr>
            <w:tcW w:w="2693" w:type="dxa"/>
            <w:shd w:val="clear" w:color="auto" w:fill="auto"/>
            <w:vAlign w:val="center"/>
          </w:tcPr>
          <w:p w14:paraId="3B16F8CE" w14:textId="77777777" w:rsidR="00D16E72" w:rsidRPr="004901F2" w:rsidRDefault="00EF225E" w:rsidP="00284F82">
            <w:pPr>
              <w:spacing w:line="300" w:lineRule="atLeast"/>
              <w:rPr>
                <w:rFonts w:ascii="Arial" w:hAnsi="Arial" w:cs="Arial"/>
                <w:sz w:val="16"/>
                <w:szCs w:val="16"/>
              </w:rPr>
            </w:pPr>
            <w:r>
              <w:rPr>
                <w:rFonts w:ascii="Arial" w:hAnsi="Arial" w:cs="Arial"/>
                <w:sz w:val="16"/>
                <w:szCs w:val="16"/>
              </w:rPr>
              <w:t>Polyurethane with mercury catalyst</w:t>
            </w:r>
          </w:p>
        </w:tc>
        <w:tc>
          <w:tcPr>
            <w:tcW w:w="850" w:type="dxa"/>
            <w:shd w:val="clear" w:color="auto" w:fill="auto"/>
            <w:vAlign w:val="center"/>
          </w:tcPr>
          <w:p w14:paraId="7B53D76A"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5A7C02E1" w14:textId="77777777" w:rsidR="00D16E72" w:rsidRPr="00EF225E" w:rsidRDefault="00EF225E" w:rsidP="00284F82">
            <w:pPr>
              <w:spacing w:before="40" w:after="40" w:line="300" w:lineRule="atLeast"/>
              <w:jc w:val="center"/>
              <w:rPr>
                <w:rFonts w:ascii="Arial" w:hAnsi="Arial" w:cs="Arial"/>
                <w:sz w:val="16"/>
                <w:szCs w:val="16"/>
              </w:rPr>
            </w:pPr>
            <w:r>
              <w:rPr>
                <w:rFonts w:ascii="Arial" w:hAnsi="Arial" w:cs="Arial"/>
                <w:sz w:val="16"/>
                <w:szCs w:val="16"/>
              </w:rPr>
              <w:t>x</w:t>
            </w:r>
          </w:p>
        </w:tc>
        <w:tc>
          <w:tcPr>
            <w:tcW w:w="851" w:type="dxa"/>
            <w:shd w:val="clear" w:color="auto" w:fill="auto"/>
            <w:vAlign w:val="center"/>
          </w:tcPr>
          <w:p w14:paraId="628757DD"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7D42A939"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0162FE26"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1099" w:type="dxa"/>
            <w:shd w:val="clear" w:color="auto" w:fill="auto"/>
            <w:vAlign w:val="center"/>
          </w:tcPr>
          <w:p w14:paraId="4DBCB6D2" w14:textId="77777777" w:rsidR="00D16E72" w:rsidRPr="004901F2" w:rsidRDefault="00121BFA" w:rsidP="00284F82">
            <w:pPr>
              <w:spacing w:before="40" w:after="40" w:line="300" w:lineRule="atLeast"/>
              <w:jc w:val="center"/>
              <w:rPr>
                <w:rFonts w:ascii="Arial" w:hAnsi="Arial" w:cs="Arial"/>
                <w:sz w:val="16"/>
                <w:szCs w:val="16"/>
              </w:rPr>
            </w:pPr>
            <w:r w:rsidRPr="004901F2">
              <w:rPr>
                <w:rFonts w:ascii="Arial" w:hAnsi="Arial" w:cs="Arial"/>
                <w:sz w:val="16"/>
                <w:szCs w:val="16"/>
              </w:rPr>
              <w:t>OW</w:t>
            </w:r>
          </w:p>
        </w:tc>
      </w:tr>
      <w:tr w:rsidR="00D16E72" w:rsidRPr="004901F2" w14:paraId="130A2F6D" w14:textId="77777777" w:rsidTr="00284F82">
        <w:tc>
          <w:tcPr>
            <w:tcW w:w="851" w:type="dxa"/>
            <w:shd w:val="clear" w:color="auto" w:fill="auto"/>
            <w:vAlign w:val="center"/>
          </w:tcPr>
          <w:p w14:paraId="327EEF08" w14:textId="77777777" w:rsidR="00D16E72" w:rsidRPr="004901F2" w:rsidRDefault="00EF225E" w:rsidP="00284F82">
            <w:pPr>
              <w:spacing w:before="40" w:after="40" w:line="300" w:lineRule="atLeast"/>
              <w:rPr>
                <w:rFonts w:ascii="Arial" w:hAnsi="Arial" w:cs="Arial"/>
                <w:sz w:val="16"/>
                <w:szCs w:val="16"/>
              </w:rPr>
            </w:pPr>
            <w:r>
              <w:rPr>
                <w:rFonts w:ascii="Arial" w:hAnsi="Arial" w:cs="Arial"/>
                <w:sz w:val="16"/>
                <w:szCs w:val="16"/>
              </w:rPr>
              <w:t>5.5</w:t>
            </w:r>
            <w:r w:rsidR="00D16E72" w:rsidRPr="004901F2">
              <w:rPr>
                <w:rFonts w:ascii="Arial" w:hAnsi="Arial" w:cs="Arial"/>
                <w:sz w:val="16"/>
                <w:szCs w:val="16"/>
              </w:rPr>
              <w:t>.6</w:t>
            </w:r>
          </w:p>
        </w:tc>
        <w:tc>
          <w:tcPr>
            <w:tcW w:w="2693" w:type="dxa"/>
            <w:shd w:val="clear" w:color="auto" w:fill="auto"/>
            <w:vAlign w:val="center"/>
          </w:tcPr>
          <w:p w14:paraId="4AA4DF72" w14:textId="77777777" w:rsidR="00D16E72" w:rsidRPr="004901F2" w:rsidRDefault="00EF225E" w:rsidP="00284F82">
            <w:pPr>
              <w:spacing w:before="40" w:after="40" w:line="300" w:lineRule="atLeast"/>
              <w:rPr>
                <w:rFonts w:ascii="Arial" w:hAnsi="Arial" w:cs="Arial"/>
                <w:sz w:val="16"/>
                <w:szCs w:val="16"/>
              </w:rPr>
            </w:pPr>
            <w:r>
              <w:rPr>
                <w:rFonts w:ascii="Arial" w:hAnsi="Arial" w:cs="Arial"/>
                <w:sz w:val="16"/>
                <w:szCs w:val="16"/>
              </w:rPr>
              <w:t>Biocides and pesticides</w:t>
            </w:r>
          </w:p>
        </w:tc>
        <w:tc>
          <w:tcPr>
            <w:tcW w:w="850" w:type="dxa"/>
            <w:shd w:val="clear" w:color="auto" w:fill="auto"/>
            <w:vAlign w:val="center"/>
          </w:tcPr>
          <w:p w14:paraId="321CF494"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1BDF9547"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851" w:type="dxa"/>
            <w:shd w:val="clear" w:color="auto" w:fill="auto"/>
            <w:vAlign w:val="center"/>
          </w:tcPr>
          <w:p w14:paraId="6B6E9184" w14:textId="77777777" w:rsidR="00D16E72" w:rsidRPr="004901F2" w:rsidRDefault="00D16E72" w:rsidP="00284F82">
            <w:pPr>
              <w:spacing w:before="40" w:after="40" w:line="300" w:lineRule="atLeast"/>
              <w:jc w:val="center"/>
              <w:rPr>
                <w:rFonts w:ascii="Arial" w:hAnsi="Arial" w:cs="Arial"/>
                <w:sz w:val="16"/>
                <w:szCs w:val="16"/>
              </w:rPr>
            </w:pPr>
            <w:r w:rsidRPr="00177AB0">
              <w:rPr>
                <w:rFonts w:ascii="Arial" w:hAnsi="Arial" w:cs="Arial"/>
                <w:b/>
                <w:sz w:val="16"/>
                <w:szCs w:val="16"/>
              </w:rPr>
              <w:t>X</w:t>
            </w:r>
          </w:p>
        </w:tc>
        <w:tc>
          <w:tcPr>
            <w:tcW w:w="992" w:type="dxa"/>
            <w:shd w:val="clear" w:color="auto" w:fill="auto"/>
            <w:vAlign w:val="center"/>
          </w:tcPr>
          <w:p w14:paraId="0BD17529"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7D885146" w14:textId="77777777" w:rsidR="00D16E72" w:rsidRPr="004901F2" w:rsidRDefault="00D16E72" w:rsidP="00284F82">
            <w:pPr>
              <w:spacing w:before="40" w:after="40" w:line="300" w:lineRule="atLeast"/>
              <w:jc w:val="center"/>
              <w:rPr>
                <w:rFonts w:ascii="Arial" w:hAnsi="Arial" w:cs="Arial"/>
                <w:sz w:val="16"/>
                <w:szCs w:val="16"/>
              </w:rPr>
            </w:pPr>
            <w:r w:rsidRPr="00177AB0">
              <w:rPr>
                <w:rFonts w:ascii="Arial" w:hAnsi="Arial" w:cs="Arial"/>
                <w:b/>
                <w:sz w:val="16"/>
                <w:szCs w:val="16"/>
              </w:rPr>
              <w:t>X</w:t>
            </w:r>
          </w:p>
        </w:tc>
        <w:tc>
          <w:tcPr>
            <w:tcW w:w="1099" w:type="dxa"/>
            <w:shd w:val="clear" w:color="auto" w:fill="auto"/>
            <w:vAlign w:val="center"/>
          </w:tcPr>
          <w:p w14:paraId="71A2F126" w14:textId="77777777" w:rsidR="00D16E72" w:rsidRPr="004901F2" w:rsidRDefault="00121BFA" w:rsidP="00284F82">
            <w:pPr>
              <w:spacing w:before="40" w:after="40" w:line="300" w:lineRule="atLeast"/>
              <w:jc w:val="center"/>
              <w:rPr>
                <w:rFonts w:ascii="Arial" w:hAnsi="Arial" w:cs="Arial"/>
                <w:sz w:val="16"/>
                <w:szCs w:val="16"/>
              </w:rPr>
            </w:pPr>
            <w:r w:rsidRPr="004901F2">
              <w:rPr>
                <w:rFonts w:ascii="Arial" w:hAnsi="Arial" w:cs="Arial"/>
                <w:sz w:val="16"/>
                <w:szCs w:val="16"/>
              </w:rPr>
              <w:t>OW</w:t>
            </w:r>
          </w:p>
        </w:tc>
      </w:tr>
      <w:tr w:rsidR="00D16E72" w:rsidRPr="004901F2" w14:paraId="71371B82" w14:textId="77777777" w:rsidTr="00284F82">
        <w:tc>
          <w:tcPr>
            <w:tcW w:w="851" w:type="dxa"/>
            <w:shd w:val="clear" w:color="auto" w:fill="auto"/>
            <w:vAlign w:val="center"/>
          </w:tcPr>
          <w:p w14:paraId="08CA1C60" w14:textId="77777777" w:rsidR="00D16E72" w:rsidRPr="004901F2" w:rsidRDefault="00EF225E" w:rsidP="00284F82">
            <w:pPr>
              <w:spacing w:before="40" w:after="40" w:line="300" w:lineRule="atLeast"/>
              <w:rPr>
                <w:rFonts w:ascii="Arial" w:hAnsi="Arial" w:cs="Arial"/>
                <w:sz w:val="16"/>
                <w:szCs w:val="16"/>
              </w:rPr>
            </w:pPr>
            <w:r>
              <w:rPr>
                <w:rFonts w:ascii="Arial" w:hAnsi="Arial" w:cs="Arial"/>
                <w:sz w:val="16"/>
                <w:szCs w:val="16"/>
              </w:rPr>
              <w:t>5.5</w:t>
            </w:r>
            <w:r w:rsidR="00D16E72" w:rsidRPr="004901F2">
              <w:rPr>
                <w:rFonts w:ascii="Arial" w:hAnsi="Arial" w:cs="Arial"/>
                <w:sz w:val="16"/>
                <w:szCs w:val="16"/>
              </w:rPr>
              <w:t>.7</w:t>
            </w:r>
          </w:p>
        </w:tc>
        <w:tc>
          <w:tcPr>
            <w:tcW w:w="2693" w:type="dxa"/>
            <w:shd w:val="clear" w:color="auto" w:fill="auto"/>
            <w:vAlign w:val="center"/>
          </w:tcPr>
          <w:p w14:paraId="4CAF560E" w14:textId="77777777" w:rsidR="00D16E72" w:rsidRPr="004901F2" w:rsidRDefault="00EF225E" w:rsidP="00284F82">
            <w:pPr>
              <w:spacing w:before="40" w:after="40" w:line="300" w:lineRule="atLeast"/>
              <w:rPr>
                <w:rFonts w:ascii="Arial" w:hAnsi="Arial" w:cs="Arial"/>
                <w:sz w:val="16"/>
                <w:szCs w:val="16"/>
              </w:rPr>
            </w:pPr>
            <w:r>
              <w:rPr>
                <w:rFonts w:ascii="Arial" w:hAnsi="Arial" w:cs="Arial"/>
                <w:sz w:val="16"/>
                <w:szCs w:val="16"/>
              </w:rPr>
              <w:t>Paints</w:t>
            </w:r>
          </w:p>
        </w:tc>
        <w:tc>
          <w:tcPr>
            <w:tcW w:w="850" w:type="dxa"/>
            <w:shd w:val="clear" w:color="auto" w:fill="auto"/>
            <w:vAlign w:val="center"/>
          </w:tcPr>
          <w:p w14:paraId="7D85465A"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7CE8E0C7" w14:textId="77777777" w:rsidR="00D16E72" w:rsidRPr="004901F2" w:rsidRDefault="00EF225E" w:rsidP="00284F82">
            <w:pPr>
              <w:spacing w:before="40" w:after="40" w:line="300" w:lineRule="atLeast"/>
              <w:jc w:val="center"/>
              <w:rPr>
                <w:rFonts w:ascii="Arial" w:hAnsi="Arial" w:cs="Arial"/>
                <w:sz w:val="16"/>
                <w:szCs w:val="16"/>
              </w:rPr>
            </w:pPr>
            <w:r>
              <w:rPr>
                <w:rFonts w:ascii="Arial" w:hAnsi="Arial" w:cs="Arial"/>
                <w:sz w:val="16"/>
                <w:szCs w:val="16"/>
              </w:rPr>
              <w:t>x</w:t>
            </w:r>
          </w:p>
        </w:tc>
        <w:tc>
          <w:tcPr>
            <w:tcW w:w="851" w:type="dxa"/>
            <w:shd w:val="clear" w:color="auto" w:fill="auto"/>
            <w:vAlign w:val="center"/>
          </w:tcPr>
          <w:p w14:paraId="0D043CB0"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sz w:val="16"/>
                <w:szCs w:val="16"/>
              </w:rPr>
              <w:t>x</w:t>
            </w:r>
          </w:p>
        </w:tc>
        <w:tc>
          <w:tcPr>
            <w:tcW w:w="992" w:type="dxa"/>
            <w:shd w:val="clear" w:color="auto" w:fill="auto"/>
            <w:vAlign w:val="center"/>
          </w:tcPr>
          <w:p w14:paraId="7698F24B" w14:textId="77777777" w:rsidR="00D16E72" w:rsidRPr="004901F2" w:rsidRDefault="00EF225E" w:rsidP="00284F82">
            <w:pPr>
              <w:spacing w:before="40" w:after="40" w:line="300" w:lineRule="atLeast"/>
              <w:jc w:val="center"/>
              <w:rPr>
                <w:rFonts w:ascii="Arial" w:hAnsi="Arial" w:cs="Arial"/>
                <w:sz w:val="16"/>
                <w:szCs w:val="16"/>
              </w:rPr>
            </w:pPr>
            <w:r w:rsidRPr="00EF225E">
              <w:rPr>
                <w:rFonts w:ascii="Arial" w:hAnsi="Arial" w:cs="Arial"/>
                <w:b/>
                <w:sz w:val="16"/>
                <w:szCs w:val="16"/>
              </w:rPr>
              <w:t>X</w:t>
            </w:r>
          </w:p>
        </w:tc>
        <w:tc>
          <w:tcPr>
            <w:tcW w:w="992" w:type="dxa"/>
            <w:shd w:val="clear" w:color="auto" w:fill="auto"/>
            <w:vAlign w:val="center"/>
          </w:tcPr>
          <w:p w14:paraId="64941696" w14:textId="77777777" w:rsidR="00D16E72" w:rsidRPr="004901F2" w:rsidRDefault="00EF225E" w:rsidP="00284F82">
            <w:pPr>
              <w:spacing w:before="40" w:after="40" w:line="300" w:lineRule="atLeast"/>
              <w:jc w:val="center"/>
              <w:rPr>
                <w:rFonts w:ascii="Arial" w:hAnsi="Arial" w:cs="Arial"/>
                <w:sz w:val="16"/>
                <w:szCs w:val="16"/>
              </w:rPr>
            </w:pPr>
            <w:r>
              <w:rPr>
                <w:rFonts w:ascii="Arial" w:hAnsi="Arial" w:cs="Arial"/>
                <w:sz w:val="16"/>
                <w:szCs w:val="16"/>
              </w:rPr>
              <w:t>x</w:t>
            </w:r>
          </w:p>
        </w:tc>
        <w:tc>
          <w:tcPr>
            <w:tcW w:w="1099" w:type="dxa"/>
            <w:shd w:val="clear" w:color="auto" w:fill="auto"/>
            <w:vAlign w:val="center"/>
          </w:tcPr>
          <w:p w14:paraId="203375B3" w14:textId="77777777" w:rsidR="00D16E72" w:rsidRPr="004901F2" w:rsidRDefault="00121BFA" w:rsidP="00284F82">
            <w:pPr>
              <w:spacing w:before="40" w:after="40" w:line="300" w:lineRule="atLeast"/>
              <w:jc w:val="center"/>
              <w:rPr>
                <w:rFonts w:ascii="Arial" w:hAnsi="Arial" w:cs="Arial"/>
                <w:sz w:val="16"/>
                <w:szCs w:val="16"/>
              </w:rPr>
            </w:pPr>
            <w:r w:rsidRPr="004901F2">
              <w:rPr>
                <w:rFonts w:ascii="Arial" w:hAnsi="Arial" w:cs="Arial"/>
                <w:sz w:val="16"/>
                <w:szCs w:val="16"/>
              </w:rPr>
              <w:t>OW</w:t>
            </w:r>
          </w:p>
        </w:tc>
      </w:tr>
      <w:tr w:rsidR="00D16E72" w:rsidRPr="004901F2" w14:paraId="6E50F069" w14:textId="77777777" w:rsidTr="00284F82">
        <w:tc>
          <w:tcPr>
            <w:tcW w:w="851" w:type="dxa"/>
            <w:shd w:val="clear" w:color="auto" w:fill="auto"/>
            <w:vAlign w:val="center"/>
          </w:tcPr>
          <w:p w14:paraId="6A272F01" w14:textId="77777777" w:rsidR="00D16E72" w:rsidRDefault="00EF225E" w:rsidP="00284F82">
            <w:pPr>
              <w:spacing w:before="40" w:after="40" w:line="300" w:lineRule="atLeast"/>
              <w:rPr>
                <w:rFonts w:ascii="Arial" w:hAnsi="Arial" w:cs="Arial"/>
                <w:sz w:val="16"/>
                <w:szCs w:val="16"/>
              </w:rPr>
            </w:pPr>
            <w:r>
              <w:rPr>
                <w:rFonts w:ascii="Arial" w:hAnsi="Arial" w:cs="Arial"/>
                <w:sz w:val="16"/>
                <w:szCs w:val="16"/>
              </w:rPr>
              <w:t>5.5</w:t>
            </w:r>
            <w:r w:rsidR="00D16E72">
              <w:rPr>
                <w:rFonts w:ascii="Arial" w:hAnsi="Arial" w:cs="Arial"/>
                <w:sz w:val="16"/>
                <w:szCs w:val="16"/>
              </w:rPr>
              <w:t>.8</w:t>
            </w:r>
          </w:p>
        </w:tc>
        <w:tc>
          <w:tcPr>
            <w:tcW w:w="2693" w:type="dxa"/>
            <w:shd w:val="clear" w:color="auto" w:fill="auto"/>
            <w:vAlign w:val="center"/>
          </w:tcPr>
          <w:p w14:paraId="7C431F0A" w14:textId="77777777" w:rsidR="00D16E72" w:rsidRPr="004901F2" w:rsidRDefault="00EF225E" w:rsidP="00EF225E">
            <w:pPr>
              <w:spacing w:before="40" w:after="40" w:line="300" w:lineRule="atLeast"/>
              <w:rPr>
                <w:rFonts w:ascii="Arial" w:hAnsi="Arial" w:cs="Arial"/>
                <w:sz w:val="16"/>
                <w:szCs w:val="16"/>
              </w:rPr>
            </w:pPr>
            <w:r>
              <w:rPr>
                <w:rFonts w:ascii="Arial" w:hAnsi="Arial" w:cs="Arial"/>
                <w:sz w:val="16"/>
                <w:szCs w:val="16"/>
              </w:rPr>
              <w:t>Pharmaceuticals for human and veterinary uses</w:t>
            </w:r>
          </w:p>
        </w:tc>
        <w:tc>
          <w:tcPr>
            <w:tcW w:w="850" w:type="dxa"/>
            <w:shd w:val="clear" w:color="auto" w:fill="auto"/>
            <w:vAlign w:val="center"/>
          </w:tcPr>
          <w:p w14:paraId="360AAF21" w14:textId="77777777" w:rsidR="00D16E72" w:rsidRPr="004901F2" w:rsidRDefault="00D16E72" w:rsidP="00284F82">
            <w:pPr>
              <w:spacing w:before="40" w:after="40" w:line="300" w:lineRule="atLeast"/>
              <w:jc w:val="center"/>
              <w:rPr>
                <w:rFonts w:ascii="Arial" w:hAnsi="Arial" w:cs="Arial"/>
                <w:b/>
                <w:sz w:val="16"/>
                <w:szCs w:val="16"/>
              </w:rPr>
            </w:pPr>
            <w:r w:rsidRPr="00177AB0">
              <w:rPr>
                <w:rFonts w:ascii="Arial" w:hAnsi="Arial" w:cs="Arial"/>
                <w:b/>
                <w:sz w:val="16"/>
                <w:szCs w:val="16"/>
              </w:rPr>
              <w:t>X</w:t>
            </w:r>
          </w:p>
        </w:tc>
        <w:tc>
          <w:tcPr>
            <w:tcW w:w="851" w:type="dxa"/>
            <w:shd w:val="clear" w:color="auto" w:fill="auto"/>
            <w:vAlign w:val="center"/>
          </w:tcPr>
          <w:p w14:paraId="52ED5F6D" w14:textId="77777777" w:rsidR="00D16E72" w:rsidRPr="00EF225E" w:rsidRDefault="00EF225E" w:rsidP="00284F82">
            <w:pPr>
              <w:spacing w:before="40" w:after="40" w:line="300" w:lineRule="atLeast"/>
              <w:jc w:val="center"/>
              <w:rPr>
                <w:rFonts w:ascii="Arial" w:hAnsi="Arial" w:cs="Arial"/>
                <w:sz w:val="16"/>
                <w:szCs w:val="16"/>
              </w:rPr>
            </w:pPr>
            <w:r>
              <w:rPr>
                <w:rFonts w:ascii="Arial" w:hAnsi="Arial" w:cs="Arial"/>
                <w:sz w:val="16"/>
                <w:szCs w:val="16"/>
              </w:rPr>
              <w:t>x</w:t>
            </w:r>
          </w:p>
        </w:tc>
        <w:tc>
          <w:tcPr>
            <w:tcW w:w="851" w:type="dxa"/>
            <w:shd w:val="clear" w:color="auto" w:fill="auto"/>
            <w:vAlign w:val="center"/>
          </w:tcPr>
          <w:p w14:paraId="7772BBA6" w14:textId="77777777" w:rsidR="00D16E72" w:rsidRPr="004901F2" w:rsidRDefault="00EF225E" w:rsidP="00284F82">
            <w:pPr>
              <w:spacing w:before="40" w:after="40" w:line="300" w:lineRule="atLeast"/>
              <w:jc w:val="center"/>
              <w:rPr>
                <w:rFonts w:ascii="Arial" w:hAnsi="Arial" w:cs="Arial"/>
                <w:sz w:val="16"/>
                <w:szCs w:val="16"/>
              </w:rPr>
            </w:pPr>
            <w:r>
              <w:rPr>
                <w:rFonts w:ascii="Arial" w:hAnsi="Arial" w:cs="Arial"/>
                <w:sz w:val="16"/>
                <w:szCs w:val="16"/>
              </w:rPr>
              <w:t>x</w:t>
            </w:r>
          </w:p>
        </w:tc>
        <w:tc>
          <w:tcPr>
            <w:tcW w:w="992" w:type="dxa"/>
            <w:shd w:val="clear" w:color="auto" w:fill="auto"/>
            <w:vAlign w:val="center"/>
          </w:tcPr>
          <w:p w14:paraId="0795D475" w14:textId="77777777" w:rsidR="00D16E72" w:rsidRPr="004901F2" w:rsidRDefault="00EF225E" w:rsidP="00284F82">
            <w:pPr>
              <w:spacing w:before="40" w:after="40" w:line="300" w:lineRule="atLeast"/>
              <w:jc w:val="center"/>
              <w:rPr>
                <w:rFonts w:ascii="Arial" w:hAnsi="Arial" w:cs="Arial"/>
                <w:sz w:val="16"/>
                <w:szCs w:val="16"/>
              </w:rPr>
            </w:pPr>
            <w:r>
              <w:rPr>
                <w:rFonts w:ascii="Arial" w:hAnsi="Arial" w:cs="Arial"/>
                <w:sz w:val="16"/>
                <w:szCs w:val="16"/>
              </w:rPr>
              <w:t>x</w:t>
            </w:r>
          </w:p>
        </w:tc>
        <w:tc>
          <w:tcPr>
            <w:tcW w:w="992" w:type="dxa"/>
            <w:shd w:val="clear" w:color="auto" w:fill="auto"/>
            <w:vAlign w:val="center"/>
          </w:tcPr>
          <w:p w14:paraId="1A043771"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1099" w:type="dxa"/>
            <w:shd w:val="clear" w:color="auto" w:fill="auto"/>
            <w:vAlign w:val="center"/>
          </w:tcPr>
          <w:p w14:paraId="2ECFA09A" w14:textId="77777777" w:rsidR="00D16E72" w:rsidRPr="004901F2" w:rsidRDefault="00121BFA" w:rsidP="00284F82">
            <w:pPr>
              <w:spacing w:before="40" w:after="40" w:line="300" w:lineRule="atLeast"/>
              <w:jc w:val="center"/>
              <w:rPr>
                <w:rFonts w:ascii="Arial" w:hAnsi="Arial" w:cs="Arial"/>
                <w:sz w:val="16"/>
                <w:szCs w:val="16"/>
              </w:rPr>
            </w:pPr>
            <w:r w:rsidRPr="004901F2">
              <w:rPr>
                <w:rFonts w:ascii="Arial" w:hAnsi="Arial" w:cs="Arial"/>
                <w:sz w:val="16"/>
                <w:szCs w:val="16"/>
              </w:rPr>
              <w:t>OW</w:t>
            </w:r>
          </w:p>
        </w:tc>
      </w:tr>
      <w:tr w:rsidR="00D16E72" w:rsidRPr="004901F2" w14:paraId="08D2A74F" w14:textId="77777777" w:rsidTr="00284F82">
        <w:tc>
          <w:tcPr>
            <w:tcW w:w="851" w:type="dxa"/>
            <w:shd w:val="clear" w:color="auto" w:fill="auto"/>
            <w:vAlign w:val="center"/>
          </w:tcPr>
          <w:p w14:paraId="3223DC63" w14:textId="77777777" w:rsidR="00D16E72" w:rsidRDefault="00EF225E" w:rsidP="00284F82">
            <w:pPr>
              <w:spacing w:before="40" w:after="40" w:line="300" w:lineRule="atLeast"/>
              <w:rPr>
                <w:rFonts w:ascii="Arial" w:hAnsi="Arial" w:cs="Arial"/>
                <w:sz w:val="16"/>
                <w:szCs w:val="16"/>
              </w:rPr>
            </w:pPr>
            <w:r>
              <w:rPr>
                <w:rFonts w:ascii="Arial" w:hAnsi="Arial" w:cs="Arial"/>
                <w:sz w:val="16"/>
                <w:szCs w:val="16"/>
              </w:rPr>
              <w:t>5.5</w:t>
            </w:r>
            <w:r w:rsidR="00D16E72">
              <w:rPr>
                <w:rFonts w:ascii="Arial" w:hAnsi="Arial" w:cs="Arial"/>
                <w:sz w:val="16"/>
                <w:szCs w:val="16"/>
              </w:rPr>
              <w:t>.9</w:t>
            </w:r>
          </w:p>
        </w:tc>
        <w:tc>
          <w:tcPr>
            <w:tcW w:w="2693" w:type="dxa"/>
            <w:shd w:val="clear" w:color="auto" w:fill="auto"/>
            <w:vAlign w:val="center"/>
          </w:tcPr>
          <w:p w14:paraId="24CA9FB4" w14:textId="77777777" w:rsidR="00D16E72" w:rsidRPr="004901F2" w:rsidRDefault="00EF225E" w:rsidP="00284F82">
            <w:pPr>
              <w:spacing w:before="40" w:after="40" w:line="300" w:lineRule="atLeast"/>
              <w:rPr>
                <w:rFonts w:ascii="Arial" w:hAnsi="Arial" w:cs="Arial"/>
                <w:sz w:val="16"/>
                <w:szCs w:val="16"/>
              </w:rPr>
            </w:pPr>
            <w:r>
              <w:rPr>
                <w:rFonts w:ascii="Arial" w:hAnsi="Arial" w:cs="Arial"/>
                <w:sz w:val="16"/>
                <w:szCs w:val="16"/>
              </w:rPr>
              <w:t>Cosmetics and related products</w:t>
            </w:r>
          </w:p>
        </w:tc>
        <w:tc>
          <w:tcPr>
            <w:tcW w:w="850" w:type="dxa"/>
            <w:shd w:val="clear" w:color="auto" w:fill="auto"/>
            <w:vAlign w:val="center"/>
          </w:tcPr>
          <w:p w14:paraId="0C5D78C9" w14:textId="77777777" w:rsidR="00D16E72" w:rsidRPr="004901F2" w:rsidRDefault="00D16E72" w:rsidP="00284F82">
            <w:pPr>
              <w:spacing w:before="40" w:after="40" w:line="300" w:lineRule="atLeast"/>
              <w:jc w:val="center"/>
              <w:rPr>
                <w:rFonts w:ascii="Arial" w:hAnsi="Arial" w:cs="Arial"/>
                <w:b/>
                <w:sz w:val="16"/>
                <w:szCs w:val="16"/>
              </w:rPr>
            </w:pPr>
          </w:p>
        </w:tc>
        <w:tc>
          <w:tcPr>
            <w:tcW w:w="851" w:type="dxa"/>
            <w:shd w:val="clear" w:color="auto" w:fill="auto"/>
            <w:vAlign w:val="center"/>
          </w:tcPr>
          <w:p w14:paraId="78EF79ED" w14:textId="77777777" w:rsidR="00D16E72" w:rsidRPr="004901F2" w:rsidRDefault="00EF225E" w:rsidP="00284F82">
            <w:pPr>
              <w:spacing w:before="40" w:after="40" w:line="300" w:lineRule="atLeast"/>
              <w:jc w:val="center"/>
              <w:rPr>
                <w:rFonts w:ascii="Arial" w:hAnsi="Arial" w:cs="Arial"/>
                <w:sz w:val="16"/>
                <w:szCs w:val="16"/>
              </w:rPr>
            </w:pPr>
            <w:r w:rsidRPr="00177AB0">
              <w:rPr>
                <w:rFonts w:ascii="Arial" w:hAnsi="Arial" w:cs="Arial"/>
                <w:b/>
                <w:sz w:val="16"/>
                <w:szCs w:val="16"/>
              </w:rPr>
              <w:t>X</w:t>
            </w:r>
          </w:p>
        </w:tc>
        <w:tc>
          <w:tcPr>
            <w:tcW w:w="851" w:type="dxa"/>
            <w:shd w:val="clear" w:color="auto" w:fill="auto"/>
            <w:vAlign w:val="center"/>
          </w:tcPr>
          <w:p w14:paraId="1625812C" w14:textId="77777777" w:rsidR="00D16E72" w:rsidRPr="004901F2" w:rsidRDefault="00D16E72" w:rsidP="00284F82">
            <w:pPr>
              <w:spacing w:before="40" w:after="40" w:line="300" w:lineRule="atLeast"/>
              <w:jc w:val="center"/>
              <w:rPr>
                <w:rFonts w:ascii="Arial" w:hAnsi="Arial" w:cs="Arial"/>
                <w:sz w:val="16"/>
                <w:szCs w:val="16"/>
              </w:rPr>
            </w:pPr>
          </w:p>
        </w:tc>
        <w:tc>
          <w:tcPr>
            <w:tcW w:w="992" w:type="dxa"/>
            <w:shd w:val="clear" w:color="auto" w:fill="auto"/>
            <w:vAlign w:val="center"/>
          </w:tcPr>
          <w:p w14:paraId="37D92311" w14:textId="77777777" w:rsidR="00D16E72" w:rsidRPr="004901F2" w:rsidRDefault="00EF225E" w:rsidP="00284F82">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202311DA"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sz w:val="16"/>
                <w:szCs w:val="16"/>
              </w:rPr>
              <w:t>x</w:t>
            </w:r>
          </w:p>
        </w:tc>
        <w:tc>
          <w:tcPr>
            <w:tcW w:w="1099" w:type="dxa"/>
            <w:shd w:val="clear" w:color="auto" w:fill="auto"/>
            <w:vAlign w:val="center"/>
          </w:tcPr>
          <w:p w14:paraId="7C70A764" w14:textId="77777777" w:rsidR="00D16E72" w:rsidRPr="004901F2" w:rsidRDefault="00121BFA" w:rsidP="00284F82">
            <w:pPr>
              <w:spacing w:before="40" w:after="40" w:line="300" w:lineRule="atLeast"/>
              <w:jc w:val="center"/>
              <w:rPr>
                <w:rFonts w:ascii="Arial" w:hAnsi="Arial" w:cs="Arial"/>
                <w:sz w:val="16"/>
                <w:szCs w:val="16"/>
              </w:rPr>
            </w:pPr>
            <w:r w:rsidRPr="004901F2">
              <w:rPr>
                <w:rFonts w:ascii="Arial" w:hAnsi="Arial" w:cs="Arial"/>
                <w:sz w:val="16"/>
                <w:szCs w:val="16"/>
              </w:rPr>
              <w:t>OW</w:t>
            </w:r>
          </w:p>
        </w:tc>
      </w:tr>
    </w:tbl>
    <w:p w14:paraId="14693E78" w14:textId="77777777" w:rsidR="00D16E72" w:rsidRPr="00582EF2" w:rsidRDefault="00D16E72" w:rsidP="00D16E72">
      <w:pPr>
        <w:spacing w:before="60" w:after="60" w:line="260" w:lineRule="exact"/>
        <w:jc w:val="both"/>
        <w:rPr>
          <w:rFonts w:ascii="Arial" w:hAnsi="Arial" w:cs="Arial"/>
          <w:sz w:val="16"/>
          <w:szCs w:val="18"/>
        </w:rPr>
      </w:pPr>
      <w:r w:rsidRPr="00582EF2">
        <w:rPr>
          <w:rFonts w:ascii="Arial" w:hAnsi="Arial" w:cs="Arial"/>
          <w:sz w:val="16"/>
          <w:szCs w:val="18"/>
        </w:rPr>
        <w:t xml:space="preserve">Notes: </w:t>
      </w:r>
      <w:r w:rsidRPr="00582EF2">
        <w:rPr>
          <w:rFonts w:ascii="Arial" w:hAnsi="Arial" w:cs="Arial"/>
          <w:sz w:val="16"/>
          <w:szCs w:val="18"/>
        </w:rPr>
        <w:tab/>
        <w:t>OW = National/overview approach;</w:t>
      </w:r>
    </w:p>
    <w:p w14:paraId="248E40FC" w14:textId="77777777" w:rsidR="00D16E72" w:rsidRPr="00582EF2" w:rsidRDefault="00D16E72" w:rsidP="00D16E72">
      <w:pPr>
        <w:spacing w:after="60" w:line="260" w:lineRule="exact"/>
        <w:ind w:firstLine="720"/>
        <w:jc w:val="both"/>
        <w:rPr>
          <w:rFonts w:ascii="Arial" w:hAnsi="Arial" w:cs="Arial"/>
          <w:sz w:val="16"/>
          <w:szCs w:val="18"/>
        </w:rPr>
      </w:pPr>
      <w:r w:rsidRPr="00582EF2">
        <w:rPr>
          <w:rFonts w:ascii="Arial" w:hAnsi="Arial" w:cs="Arial"/>
          <w:b/>
          <w:sz w:val="16"/>
          <w:szCs w:val="18"/>
        </w:rPr>
        <w:t>X</w:t>
      </w:r>
      <w:r w:rsidRPr="00582EF2">
        <w:rPr>
          <w:rFonts w:ascii="Arial" w:hAnsi="Arial" w:cs="Arial"/>
          <w:sz w:val="16"/>
          <w:szCs w:val="18"/>
        </w:rPr>
        <w:t xml:space="preserve"> - Release pathway expected to be predominant for the sub-category;</w:t>
      </w:r>
    </w:p>
    <w:p w14:paraId="005FD0A7" w14:textId="77777777" w:rsidR="00D16E72" w:rsidRPr="00582EF2" w:rsidRDefault="00D16E72" w:rsidP="00D16E72">
      <w:pPr>
        <w:spacing w:after="60" w:line="260" w:lineRule="exact"/>
        <w:ind w:firstLine="720"/>
        <w:jc w:val="both"/>
        <w:rPr>
          <w:rFonts w:ascii="Arial" w:hAnsi="Arial" w:cs="Arial"/>
          <w:sz w:val="16"/>
          <w:szCs w:val="18"/>
        </w:rPr>
      </w:pPr>
      <w:r w:rsidRPr="00582EF2">
        <w:rPr>
          <w:rFonts w:ascii="Arial" w:hAnsi="Arial" w:cs="Arial"/>
          <w:sz w:val="16"/>
          <w:szCs w:val="18"/>
        </w:rPr>
        <w:t>x - Additional release pathways to be considered, depending on specific source and national situation.</w:t>
      </w:r>
    </w:p>
    <w:p w14:paraId="76D4469E" w14:textId="77777777" w:rsidR="00D16E72" w:rsidRDefault="00F215CA" w:rsidP="00F215CA">
      <w:pPr>
        <w:pStyle w:val="Heading2"/>
      </w:pPr>
      <w:bookmarkStart w:id="88" w:name="_Toc484949590"/>
      <w:r>
        <w:t>Mercury thermometers</w:t>
      </w:r>
      <w:bookmarkEnd w:id="88"/>
    </w:p>
    <w:p w14:paraId="48A62531" w14:textId="77777777" w:rsidR="00E22081" w:rsidRDefault="00E22081" w:rsidP="00E22081">
      <w:pPr>
        <w:spacing w:line="300" w:lineRule="atLeast"/>
        <w:jc w:val="both"/>
        <w:rPr>
          <w:szCs w:val="18"/>
        </w:rPr>
      </w:pPr>
      <w:r>
        <w:rPr>
          <w:szCs w:val="18"/>
        </w:rPr>
        <w:t>No New Zealand manufacturers of mercury in glass thermometers were identified in this survey.</w:t>
      </w:r>
    </w:p>
    <w:p w14:paraId="28EDB287" w14:textId="77777777" w:rsidR="007F5800" w:rsidRPr="007F5800" w:rsidRDefault="007F5800" w:rsidP="00043714">
      <w:pPr>
        <w:spacing w:line="300" w:lineRule="atLeast"/>
        <w:jc w:val="both"/>
        <w:rPr>
          <w:rFonts w:ascii="Arial" w:hAnsi="Arial" w:cs="Arial"/>
          <w:b/>
          <w:szCs w:val="18"/>
        </w:rPr>
      </w:pPr>
      <w:r w:rsidRPr="007F5800">
        <w:rPr>
          <w:rFonts w:ascii="Arial" w:hAnsi="Arial" w:cs="Arial"/>
          <w:b/>
          <w:szCs w:val="18"/>
        </w:rPr>
        <w:t>Imports/sales</w:t>
      </w:r>
    </w:p>
    <w:p w14:paraId="41E6A3D5" w14:textId="77777777" w:rsidR="00390602" w:rsidRDefault="00390602" w:rsidP="00043714">
      <w:pPr>
        <w:spacing w:line="300" w:lineRule="atLeast"/>
        <w:jc w:val="both"/>
        <w:rPr>
          <w:szCs w:val="18"/>
        </w:rPr>
      </w:pPr>
      <w:r>
        <w:rPr>
          <w:szCs w:val="18"/>
        </w:rPr>
        <w:t xml:space="preserve">(Note: this category would also include hygrometers, which are listed in the proposed text for the </w:t>
      </w:r>
      <w:proofErr w:type="spellStart"/>
      <w:r>
        <w:rPr>
          <w:szCs w:val="18"/>
        </w:rPr>
        <w:t>Minamata</w:t>
      </w:r>
      <w:proofErr w:type="spellEnd"/>
      <w:r>
        <w:rPr>
          <w:szCs w:val="18"/>
        </w:rPr>
        <w:t xml:space="preserve"> Convention, but are not specifically noted in the Toolkit. The most common form of hygrometer is also known as a wet-and-dry bulb thermometer, and these would have been picked up by the various enquiries on sales and use, noted below.)</w:t>
      </w:r>
    </w:p>
    <w:p w14:paraId="48280476" w14:textId="77777777" w:rsidR="00F705E1" w:rsidRDefault="00043714" w:rsidP="00043714">
      <w:pPr>
        <w:spacing w:line="300" w:lineRule="atLeast"/>
        <w:jc w:val="both"/>
        <w:rPr>
          <w:szCs w:val="18"/>
        </w:rPr>
      </w:pPr>
      <w:r>
        <w:rPr>
          <w:szCs w:val="18"/>
        </w:rPr>
        <w:t xml:space="preserve">Import data for </w:t>
      </w:r>
      <w:r w:rsidR="006B60B4">
        <w:rPr>
          <w:szCs w:val="18"/>
        </w:rPr>
        <w:t xml:space="preserve">Customs’ code </w:t>
      </w:r>
      <w:r w:rsidR="006B60B4" w:rsidRPr="006B60B4">
        <w:rPr>
          <w:szCs w:val="18"/>
        </w:rPr>
        <w:t>9025.11.00.00</w:t>
      </w:r>
      <w:r w:rsidR="006B60B4">
        <w:rPr>
          <w:szCs w:val="18"/>
        </w:rPr>
        <w:t xml:space="preserve"> (liquid-filled, direct-reading, th</w:t>
      </w:r>
      <w:r w:rsidR="006B60B4" w:rsidRPr="006B60B4">
        <w:rPr>
          <w:szCs w:val="18"/>
        </w:rPr>
        <w:t>ermometers</w:t>
      </w:r>
      <w:r w:rsidR="006B60B4">
        <w:rPr>
          <w:szCs w:val="18"/>
        </w:rPr>
        <w:t xml:space="preserve"> and pyrometers) was obtained from Statistics New Zealand for </w:t>
      </w:r>
      <w:r w:rsidR="00F539EB">
        <w:rPr>
          <w:szCs w:val="18"/>
        </w:rPr>
        <w:t>2016</w:t>
      </w:r>
      <w:r w:rsidR="006B60B4">
        <w:rPr>
          <w:szCs w:val="18"/>
        </w:rPr>
        <w:t xml:space="preserve">. However, this </w:t>
      </w:r>
      <w:r w:rsidR="00F539EB">
        <w:rPr>
          <w:szCs w:val="18"/>
        </w:rPr>
        <w:t>only indicates the total value of the imports, which was $321,900 in 2016.  In addition, the data cover all types of thermometers, including those not containing mercury, such as alcohol-filled thermometers.</w:t>
      </w:r>
    </w:p>
    <w:p w14:paraId="423FF3CA" w14:textId="68F6EE25" w:rsidR="00544451" w:rsidRDefault="00F705E1" w:rsidP="00043714">
      <w:pPr>
        <w:spacing w:line="300" w:lineRule="atLeast"/>
        <w:jc w:val="both"/>
        <w:rPr>
          <w:szCs w:val="18"/>
        </w:rPr>
      </w:pPr>
      <w:r>
        <w:rPr>
          <w:szCs w:val="18"/>
        </w:rPr>
        <w:t>As an alternative approach,</w:t>
      </w:r>
      <w:r w:rsidR="00043714" w:rsidRPr="00043714">
        <w:rPr>
          <w:szCs w:val="18"/>
        </w:rPr>
        <w:t xml:space="preserve"> </w:t>
      </w:r>
      <w:r w:rsidR="00F539EB">
        <w:rPr>
          <w:szCs w:val="18"/>
        </w:rPr>
        <w:t>12</w:t>
      </w:r>
      <w:r w:rsidR="00043714" w:rsidRPr="00043714">
        <w:rPr>
          <w:szCs w:val="18"/>
        </w:rPr>
        <w:t xml:space="preserve"> suppliers </w:t>
      </w:r>
      <w:r w:rsidR="000A7107">
        <w:rPr>
          <w:szCs w:val="18"/>
        </w:rPr>
        <w:t>of medical and veterinary equipment</w:t>
      </w:r>
      <w:r w:rsidR="000A7107" w:rsidRPr="00043714">
        <w:rPr>
          <w:szCs w:val="18"/>
        </w:rPr>
        <w:t xml:space="preserve"> </w:t>
      </w:r>
      <w:r w:rsidR="00043714" w:rsidRPr="00043714">
        <w:rPr>
          <w:szCs w:val="18"/>
        </w:rPr>
        <w:t xml:space="preserve">were </w:t>
      </w:r>
      <w:r w:rsidR="00AD43FD">
        <w:rPr>
          <w:szCs w:val="18"/>
        </w:rPr>
        <w:t>approached for information on their current imports</w:t>
      </w:r>
      <w:r w:rsidR="00043714" w:rsidRPr="00043714">
        <w:rPr>
          <w:szCs w:val="18"/>
        </w:rPr>
        <w:t>. Re</w:t>
      </w:r>
      <w:r w:rsidR="000A7107">
        <w:rPr>
          <w:szCs w:val="18"/>
        </w:rPr>
        <w:t>sponse</w:t>
      </w:r>
      <w:r w:rsidR="00AD43FD">
        <w:rPr>
          <w:szCs w:val="18"/>
        </w:rPr>
        <w:t>s were obtained from all</w:t>
      </w:r>
      <w:r w:rsidR="00043714" w:rsidRPr="00043714">
        <w:rPr>
          <w:szCs w:val="18"/>
        </w:rPr>
        <w:t xml:space="preserve"> </w:t>
      </w:r>
      <w:r w:rsidR="00AD43FD">
        <w:rPr>
          <w:szCs w:val="18"/>
        </w:rPr>
        <w:t>of the firms contacted</w:t>
      </w:r>
      <w:r w:rsidR="00043714" w:rsidRPr="00043714">
        <w:rPr>
          <w:szCs w:val="18"/>
        </w:rPr>
        <w:t xml:space="preserve">, </w:t>
      </w:r>
      <w:r w:rsidR="00F539EB">
        <w:rPr>
          <w:szCs w:val="18"/>
        </w:rPr>
        <w:t xml:space="preserve">but only </w:t>
      </w:r>
      <w:r w:rsidR="005C2229">
        <w:rPr>
          <w:szCs w:val="18"/>
        </w:rPr>
        <w:t>two companies</w:t>
      </w:r>
      <w:r w:rsidR="00F539EB">
        <w:rPr>
          <w:szCs w:val="18"/>
        </w:rPr>
        <w:t xml:space="preserve"> reported any imports </w:t>
      </w:r>
      <w:r w:rsidR="00043714" w:rsidRPr="00043714">
        <w:rPr>
          <w:szCs w:val="18"/>
        </w:rPr>
        <w:t>of mercury thermometers</w:t>
      </w:r>
      <w:r w:rsidR="00F539EB">
        <w:rPr>
          <w:szCs w:val="18"/>
        </w:rPr>
        <w:t>, with total sales</w:t>
      </w:r>
      <w:r w:rsidR="00043714" w:rsidRPr="00043714">
        <w:rPr>
          <w:szCs w:val="18"/>
        </w:rPr>
        <w:t xml:space="preserve"> of </w:t>
      </w:r>
      <w:r w:rsidR="005C2229">
        <w:rPr>
          <w:szCs w:val="18"/>
        </w:rPr>
        <w:t>2,897</w:t>
      </w:r>
      <w:r w:rsidR="00F539EB">
        <w:rPr>
          <w:szCs w:val="18"/>
        </w:rPr>
        <w:t xml:space="preserve"> </w:t>
      </w:r>
      <w:r w:rsidR="00043714" w:rsidRPr="00043714">
        <w:rPr>
          <w:szCs w:val="18"/>
        </w:rPr>
        <w:t>units</w:t>
      </w:r>
      <w:r w:rsidR="00E21D7F">
        <w:rPr>
          <w:szCs w:val="18"/>
        </w:rPr>
        <w:t xml:space="preserve"> </w:t>
      </w:r>
      <w:r w:rsidR="00EC2DCF">
        <w:rPr>
          <w:szCs w:val="18"/>
        </w:rPr>
        <w:t>over the last 12 months</w:t>
      </w:r>
      <w:r w:rsidR="00E21D7F">
        <w:rPr>
          <w:szCs w:val="18"/>
        </w:rPr>
        <w:t>.</w:t>
      </w:r>
      <w:r w:rsidR="000A7107">
        <w:rPr>
          <w:szCs w:val="18"/>
        </w:rPr>
        <w:t xml:space="preserve"> Three laboratory supply companies were also contacted and they reported </w:t>
      </w:r>
      <w:r w:rsidR="00EC2DCF">
        <w:rPr>
          <w:szCs w:val="18"/>
        </w:rPr>
        <w:t xml:space="preserve">annual </w:t>
      </w:r>
      <w:r w:rsidR="000A7107">
        <w:rPr>
          <w:szCs w:val="18"/>
        </w:rPr>
        <w:t xml:space="preserve">sales of </w:t>
      </w:r>
      <w:r w:rsidR="00F539EB">
        <w:rPr>
          <w:szCs w:val="18"/>
        </w:rPr>
        <w:t>913</w:t>
      </w:r>
      <w:r w:rsidR="000A7107">
        <w:rPr>
          <w:szCs w:val="18"/>
        </w:rPr>
        <w:t xml:space="preserve"> units</w:t>
      </w:r>
      <w:r w:rsidR="00F539EB">
        <w:rPr>
          <w:szCs w:val="18"/>
        </w:rPr>
        <w:t xml:space="preserve">, which </w:t>
      </w:r>
      <w:proofErr w:type="gramStart"/>
      <w:r w:rsidR="00F539EB">
        <w:rPr>
          <w:szCs w:val="18"/>
        </w:rPr>
        <w:t>gives</w:t>
      </w:r>
      <w:proofErr w:type="gramEnd"/>
      <w:r w:rsidR="00F539EB">
        <w:rPr>
          <w:szCs w:val="18"/>
        </w:rPr>
        <w:t xml:space="preserve"> an</w:t>
      </w:r>
      <w:r w:rsidR="000A7107">
        <w:rPr>
          <w:szCs w:val="18"/>
        </w:rPr>
        <w:t xml:space="preserve"> </w:t>
      </w:r>
      <w:r w:rsidR="00F539EB">
        <w:rPr>
          <w:szCs w:val="18"/>
        </w:rPr>
        <w:lastRenderedPageBreak/>
        <w:t>o</w:t>
      </w:r>
      <w:r w:rsidR="000A7107">
        <w:rPr>
          <w:szCs w:val="18"/>
        </w:rPr>
        <w:t>verall</w:t>
      </w:r>
      <w:r w:rsidR="00F539EB">
        <w:rPr>
          <w:szCs w:val="18"/>
        </w:rPr>
        <w:t xml:space="preserve"> total of 3,8</w:t>
      </w:r>
      <w:r w:rsidR="005C2229">
        <w:rPr>
          <w:szCs w:val="18"/>
        </w:rPr>
        <w:t>1</w:t>
      </w:r>
      <w:r w:rsidR="00F539EB">
        <w:rPr>
          <w:szCs w:val="18"/>
        </w:rPr>
        <w:t>0</w:t>
      </w:r>
      <w:r w:rsidR="000A7107">
        <w:rPr>
          <w:szCs w:val="18"/>
        </w:rPr>
        <w:t xml:space="preserve"> units</w:t>
      </w:r>
      <w:r w:rsidR="00F539EB">
        <w:rPr>
          <w:szCs w:val="18"/>
        </w:rPr>
        <w:t>.</w:t>
      </w:r>
      <w:r w:rsidR="00866172">
        <w:rPr>
          <w:szCs w:val="18"/>
        </w:rPr>
        <w:t xml:space="preserve"> </w:t>
      </w:r>
      <w:r w:rsidR="00544451">
        <w:rPr>
          <w:szCs w:val="18"/>
        </w:rPr>
        <w:t>An estimate of the amount of mercury included in these thermometers is given below.</w:t>
      </w:r>
    </w:p>
    <w:p w14:paraId="2A786CD1" w14:textId="77777777" w:rsidR="0070571C" w:rsidRPr="0070571C" w:rsidRDefault="0070571C" w:rsidP="00043714">
      <w:pPr>
        <w:spacing w:line="300" w:lineRule="atLeast"/>
        <w:jc w:val="both"/>
        <w:rPr>
          <w:rFonts w:ascii="Arial" w:hAnsi="Arial" w:cs="Arial"/>
          <w:b/>
          <w:szCs w:val="18"/>
        </w:rPr>
      </w:pPr>
      <w:r w:rsidRPr="0070571C">
        <w:rPr>
          <w:rFonts w:ascii="Arial" w:hAnsi="Arial" w:cs="Arial"/>
          <w:b/>
          <w:szCs w:val="18"/>
        </w:rPr>
        <w:t>Current Stocks</w:t>
      </w:r>
    </w:p>
    <w:p w14:paraId="68F35EFF" w14:textId="77777777" w:rsidR="0070571C" w:rsidRDefault="0070571C" w:rsidP="00043714">
      <w:pPr>
        <w:spacing w:line="300" w:lineRule="atLeast"/>
        <w:jc w:val="both"/>
        <w:rPr>
          <w:szCs w:val="18"/>
        </w:rPr>
      </w:pPr>
      <w:r>
        <w:rPr>
          <w:szCs w:val="18"/>
        </w:rPr>
        <w:t>An estimate of ‘current’ thermometer stocks in New Zealand was pr</w:t>
      </w:r>
      <w:r w:rsidR="00CD6AF0">
        <w:rPr>
          <w:szCs w:val="18"/>
        </w:rPr>
        <w:t>epared for the 2012</w:t>
      </w:r>
      <w:r>
        <w:rPr>
          <w:szCs w:val="18"/>
        </w:rPr>
        <w:t xml:space="preserve"> Inventory Report through a survey of hospitals and laboratories throughout the country.  The total stocks were estimated at 53,400 units, with a total mercury content of between 26.7 and 267 kg.  This work has not been repeated for the current inventory, but it could be expected that the total will have declined slightly, as </w:t>
      </w:r>
      <w:r w:rsidR="00BB30B4">
        <w:rPr>
          <w:szCs w:val="18"/>
        </w:rPr>
        <w:t xml:space="preserve">the </w:t>
      </w:r>
      <w:r>
        <w:rPr>
          <w:szCs w:val="18"/>
        </w:rPr>
        <w:t xml:space="preserve">organisations </w:t>
      </w:r>
      <w:r w:rsidR="00BB30B4">
        <w:rPr>
          <w:szCs w:val="18"/>
        </w:rPr>
        <w:t xml:space="preserve">continue to </w:t>
      </w:r>
      <w:r>
        <w:rPr>
          <w:szCs w:val="18"/>
        </w:rPr>
        <w:t>move towards using non-mercury alternatives.</w:t>
      </w:r>
    </w:p>
    <w:p w14:paraId="5B904B01" w14:textId="77777777" w:rsidR="00EC2DCF" w:rsidRPr="00EC2DCF" w:rsidRDefault="00EC2DCF" w:rsidP="00EC2DCF">
      <w:pPr>
        <w:spacing w:line="300" w:lineRule="atLeast"/>
        <w:jc w:val="both"/>
        <w:rPr>
          <w:rFonts w:ascii="Arial" w:hAnsi="Arial" w:cs="Arial"/>
          <w:b/>
          <w:szCs w:val="18"/>
        </w:rPr>
      </w:pPr>
      <w:r w:rsidRPr="00EC2DCF">
        <w:rPr>
          <w:rFonts w:ascii="Arial" w:hAnsi="Arial" w:cs="Arial"/>
          <w:b/>
          <w:szCs w:val="18"/>
        </w:rPr>
        <w:t>Input and output estimates</w:t>
      </w:r>
    </w:p>
    <w:p w14:paraId="499A548E" w14:textId="77777777" w:rsidR="00EC2DCF" w:rsidRPr="00EC2DCF" w:rsidRDefault="00EC2DCF" w:rsidP="00EC2DCF">
      <w:pPr>
        <w:spacing w:line="300" w:lineRule="atLeast"/>
        <w:jc w:val="both"/>
        <w:rPr>
          <w:szCs w:val="18"/>
        </w:rPr>
      </w:pPr>
      <w:r w:rsidRPr="00EC2DCF">
        <w:rPr>
          <w:szCs w:val="18"/>
        </w:rPr>
        <w:t xml:space="preserve">The Toolkit indicates that medical thermometers typically contain 0.5 – 1.5 grams of mercury each, while laboratory thermometers can contain 1 – 40 grams per unit. The upper limit for laboratory thermometers appears quite extreme, so for the purposes of this inventory, the estimate </w:t>
      </w:r>
      <w:r w:rsidR="00F34A46">
        <w:rPr>
          <w:szCs w:val="18"/>
        </w:rPr>
        <w:t>has been</w:t>
      </w:r>
      <w:r w:rsidRPr="00EC2DCF">
        <w:rPr>
          <w:szCs w:val="18"/>
        </w:rPr>
        <w:t xml:space="preserve"> based on an overall range of 0.5 –</w:t>
      </w:r>
      <w:r w:rsidR="00FA2C00">
        <w:rPr>
          <w:szCs w:val="18"/>
        </w:rPr>
        <w:t xml:space="preserve"> 5</w:t>
      </w:r>
      <w:r w:rsidRPr="00EC2DCF">
        <w:rPr>
          <w:szCs w:val="18"/>
        </w:rPr>
        <w:t xml:space="preserve"> grams/unit</w:t>
      </w:r>
      <w:r w:rsidR="00FA2C00">
        <w:rPr>
          <w:szCs w:val="18"/>
        </w:rPr>
        <w:t xml:space="preserve"> (also noting that </w:t>
      </w:r>
      <w:r w:rsidR="00F313F7">
        <w:rPr>
          <w:szCs w:val="18"/>
        </w:rPr>
        <w:t xml:space="preserve">the </w:t>
      </w:r>
      <w:r w:rsidR="00FA2C00">
        <w:rPr>
          <w:szCs w:val="18"/>
        </w:rPr>
        <w:t>majority of units are ‘medical’ size)</w:t>
      </w:r>
      <w:r w:rsidRPr="00EC2DCF">
        <w:rPr>
          <w:szCs w:val="18"/>
        </w:rPr>
        <w:t>.</w:t>
      </w:r>
    </w:p>
    <w:p w14:paraId="40AABAB4" w14:textId="77777777" w:rsidR="00043714" w:rsidRPr="00043714" w:rsidRDefault="00F313F7" w:rsidP="00043714">
      <w:pPr>
        <w:spacing w:line="300" w:lineRule="atLeast"/>
        <w:jc w:val="both"/>
        <w:rPr>
          <w:szCs w:val="18"/>
        </w:rPr>
      </w:pPr>
      <w:r>
        <w:rPr>
          <w:szCs w:val="18"/>
        </w:rPr>
        <w:t>For estimating outputs, the Toolkit recommends distribution factors of 0.1 (10%) to air, 0.3 (30%) to water and 0.6 (60%) to waste</w:t>
      </w:r>
      <w:r w:rsidR="002E5978">
        <w:rPr>
          <w:szCs w:val="18"/>
        </w:rPr>
        <w:t>, for countries with publicly controlled waste collection services.</w:t>
      </w:r>
      <w:r w:rsidR="009F5AB4">
        <w:rPr>
          <w:szCs w:val="18"/>
        </w:rPr>
        <w:t xml:space="preserve"> </w:t>
      </w:r>
      <w:r w:rsidR="00F539EB">
        <w:rPr>
          <w:szCs w:val="18"/>
        </w:rPr>
        <w:t>I</w:t>
      </w:r>
      <w:r w:rsidR="009F5AB4">
        <w:rPr>
          <w:szCs w:val="18"/>
        </w:rPr>
        <w:t xml:space="preserve">t should be noted that these factors </w:t>
      </w:r>
      <w:r w:rsidR="00F34A46">
        <w:rPr>
          <w:szCs w:val="18"/>
        </w:rPr>
        <w:t xml:space="preserve">should </w:t>
      </w:r>
      <w:r w:rsidR="009F5AB4">
        <w:rPr>
          <w:szCs w:val="18"/>
        </w:rPr>
        <w:t>only be applied to the annual imports/sales numbers, rather than the total thermometer stocks</w:t>
      </w:r>
      <w:r w:rsidR="00F539EB">
        <w:rPr>
          <w:szCs w:val="18"/>
        </w:rPr>
        <w:t xml:space="preserve"> in a country</w:t>
      </w:r>
      <w:r w:rsidR="009F5AB4">
        <w:rPr>
          <w:szCs w:val="18"/>
        </w:rPr>
        <w:t xml:space="preserve">, on the basis that the former </w:t>
      </w:r>
      <w:r w:rsidR="002941D9">
        <w:rPr>
          <w:szCs w:val="18"/>
        </w:rPr>
        <w:t xml:space="preserve">most likely </w:t>
      </w:r>
      <w:r w:rsidR="009F5AB4">
        <w:rPr>
          <w:szCs w:val="18"/>
        </w:rPr>
        <w:t xml:space="preserve">represent the annual turnover rate for </w:t>
      </w:r>
      <w:r w:rsidR="002941D9">
        <w:rPr>
          <w:szCs w:val="18"/>
        </w:rPr>
        <w:t xml:space="preserve">the </w:t>
      </w:r>
      <w:r w:rsidR="009F5AB4">
        <w:rPr>
          <w:szCs w:val="18"/>
        </w:rPr>
        <w:t>current stocks.</w:t>
      </w:r>
      <w:r w:rsidR="002941D9">
        <w:rPr>
          <w:szCs w:val="18"/>
        </w:rPr>
        <w:t xml:space="preserve"> In addition, the current stocks </w:t>
      </w:r>
      <w:r w:rsidR="00F34A46">
        <w:rPr>
          <w:szCs w:val="18"/>
        </w:rPr>
        <w:t xml:space="preserve">should </w:t>
      </w:r>
      <w:r w:rsidR="002941D9">
        <w:rPr>
          <w:szCs w:val="18"/>
        </w:rPr>
        <w:t>not be counted as part of the annual inputs because the mercury is not ‘mobilised’ until the thermometers are disposed.</w:t>
      </w:r>
    </w:p>
    <w:p w14:paraId="70C9738A" w14:textId="0D61B143" w:rsidR="009F5AB4" w:rsidRPr="00232361" w:rsidRDefault="009F5AB4" w:rsidP="009F5AB4">
      <w:pPr>
        <w:spacing w:line="300" w:lineRule="atLeast"/>
        <w:jc w:val="both"/>
        <w:rPr>
          <w:szCs w:val="18"/>
        </w:rPr>
      </w:pPr>
      <w:r w:rsidRPr="00232361">
        <w:rPr>
          <w:szCs w:val="18"/>
        </w:rPr>
        <w:t xml:space="preserve">The mercury input and output </w:t>
      </w:r>
      <w:r>
        <w:rPr>
          <w:szCs w:val="18"/>
        </w:rPr>
        <w:t>estimates</w:t>
      </w:r>
      <w:r w:rsidRPr="00232361">
        <w:rPr>
          <w:szCs w:val="18"/>
        </w:rPr>
        <w:t xml:space="preserve"> for </w:t>
      </w:r>
      <w:r>
        <w:rPr>
          <w:szCs w:val="18"/>
        </w:rPr>
        <w:t xml:space="preserve">the use of thermometers </w:t>
      </w:r>
      <w:r w:rsidRPr="00232361">
        <w:rPr>
          <w:szCs w:val="18"/>
        </w:rPr>
        <w:t>are shown in</w:t>
      </w:r>
      <w:r>
        <w:rPr>
          <w:szCs w:val="18"/>
        </w:rPr>
        <w:t xml:space="preserve"> </w:t>
      </w:r>
      <w:r w:rsidRPr="00F14312">
        <w:rPr>
          <w:szCs w:val="18"/>
        </w:rPr>
        <w:fldChar w:fldCharType="begin"/>
      </w:r>
      <w:r w:rsidRPr="00F14312">
        <w:rPr>
          <w:szCs w:val="18"/>
        </w:rPr>
        <w:instrText xml:space="preserve"> REF _Ref358641586 \h </w:instrText>
      </w:r>
      <w:r w:rsidR="00F14312">
        <w:rPr>
          <w:szCs w:val="18"/>
        </w:rPr>
        <w:instrText xml:space="preserve"> \* MERGEFORMAT </w:instrText>
      </w:r>
      <w:r w:rsidRPr="00F14312">
        <w:rPr>
          <w:szCs w:val="18"/>
        </w:rPr>
      </w:r>
      <w:r w:rsidRPr="00F14312">
        <w:rPr>
          <w:szCs w:val="18"/>
        </w:rPr>
        <w:fldChar w:fldCharType="separate"/>
      </w:r>
      <w:r w:rsidR="00423FC9" w:rsidRPr="00423FC9">
        <w:t xml:space="preserve">Table </w:t>
      </w:r>
      <w:r w:rsidR="00423FC9" w:rsidRPr="00423FC9">
        <w:rPr>
          <w:noProof/>
        </w:rPr>
        <w:t>7</w:t>
      </w:r>
      <w:r w:rsidR="00423FC9" w:rsidRPr="00423FC9">
        <w:rPr>
          <w:noProof/>
        </w:rPr>
        <w:noBreakHyphen/>
        <w:t>2</w:t>
      </w:r>
      <w:r w:rsidRPr="00F14312">
        <w:rPr>
          <w:szCs w:val="18"/>
        </w:rPr>
        <w:fldChar w:fldCharType="end"/>
      </w:r>
      <w:r w:rsidR="00016AD4">
        <w:rPr>
          <w:szCs w:val="18"/>
        </w:rPr>
        <w:t>.</w:t>
      </w:r>
    </w:p>
    <w:p w14:paraId="7B626167" w14:textId="77777777" w:rsidR="009F5AB4" w:rsidRDefault="009F5AB4" w:rsidP="009F5AB4">
      <w:pPr>
        <w:pStyle w:val="Caption"/>
        <w:spacing w:before="240"/>
        <w:rPr>
          <w:szCs w:val="18"/>
        </w:rPr>
      </w:pPr>
      <w:bookmarkStart w:id="89" w:name="_Ref358641586"/>
      <w:bookmarkStart w:id="90" w:name="_Toc484949657"/>
      <w:r w:rsidRPr="00350DC4">
        <w:rPr>
          <w:rFonts w:ascii="Arial" w:hAnsi="Arial" w:cs="Arial"/>
        </w:rPr>
        <w:t xml:space="preserve">Table </w:t>
      </w:r>
      <w:r w:rsidR="00390C9F" w:rsidRPr="00350DC4">
        <w:rPr>
          <w:rFonts w:ascii="Arial" w:hAnsi="Arial" w:cs="Arial"/>
        </w:rPr>
        <w:fldChar w:fldCharType="begin"/>
      </w:r>
      <w:r w:rsidR="00390C9F" w:rsidRPr="00350DC4">
        <w:rPr>
          <w:rFonts w:ascii="Arial" w:hAnsi="Arial" w:cs="Arial"/>
        </w:rPr>
        <w:instrText xml:space="preserve"> STYLEREF 1 \s </w:instrText>
      </w:r>
      <w:r w:rsidR="00390C9F" w:rsidRPr="00350DC4">
        <w:rPr>
          <w:rFonts w:ascii="Arial" w:hAnsi="Arial" w:cs="Arial"/>
        </w:rPr>
        <w:fldChar w:fldCharType="separate"/>
      </w:r>
      <w:r w:rsidR="00423FC9">
        <w:rPr>
          <w:rFonts w:ascii="Arial" w:hAnsi="Arial" w:cs="Arial"/>
          <w:noProof/>
        </w:rPr>
        <w:t>7</w:t>
      </w:r>
      <w:r w:rsidR="00390C9F" w:rsidRPr="00350DC4">
        <w:rPr>
          <w:rFonts w:ascii="Arial" w:hAnsi="Arial" w:cs="Arial"/>
        </w:rPr>
        <w:fldChar w:fldCharType="end"/>
      </w:r>
      <w:r w:rsidR="00390C9F" w:rsidRPr="00350DC4">
        <w:rPr>
          <w:rFonts w:ascii="Arial" w:hAnsi="Arial" w:cs="Arial"/>
        </w:rPr>
        <w:noBreakHyphen/>
      </w:r>
      <w:r w:rsidR="00390C9F" w:rsidRPr="00350DC4">
        <w:rPr>
          <w:rFonts w:ascii="Arial" w:hAnsi="Arial" w:cs="Arial"/>
        </w:rPr>
        <w:fldChar w:fldCharType="begin"/>
      </w:r>
      <w:r w:rsidR="00390C9F" w:rsidRPr="00350DC4">
        <w:rPr>
          <w:rFonts w:ascii="Arial" w:hAnsi="Arial" w:cs="Arial"/>
        </w:rPr>
        <w:instrText xml:space="preserve"> SEQ Table \* ARABIC \s 1 </w:instrText>
      </w:r>
      <w:r w:rsidR="00390C9F" w:rsidRPr="00350DC4">
        <w:rPr>
          <w:rFonts w:ascii="Arial" w:hAnsi="Arial" w:cs="Arial"/>
        </w:rPr>
        <w:fldChar w:fldCharType="separate"/>
      </w:r>
      <w:r w:rsidR="00423FC9">
        <w:rPr>
          <w:rFonts w:ascii="Arial" w:hAnsi="Arial" w:cs="Arial"/>
          <w:noProof/>
        </w:rPr>
        <w:t>2</w:t>
      </w:r>
      <w:r w:rsidR="00390C9F" w:rsidRPr="00350DC4">
        <w:rPr>
          <w:rFonts w:ascii="Arial" w:hAnsi="Arial" w:cs="Arial"/>
        </w:rPr>
        <w:fldChar w:fldCharType="end"/>
      </w:r>
      <w:bookmarkEnd w:id="89"/>
      <w:r w:rsidRPr="00DB5237">
        <w:rPr>
          <w:rFonts w:ascii="Arial" w:hAnsi="Arial" w:cs="Arial"/>
        </w:rPr>
        <w:t>:</w:t>
      </w:r>
      <w:r>
        <w:t xml:space="preserve">  </w:t>
      </w:r>
      <w:r w:rsidRPr="00284760">
        <w:rPr>
          <w:rFonts w:ascii="Arial" w:hAnsi="Arial" w:cs="Arial"/>
        </w:rPr>
        <w:t>Input and output estimates for</w:t>
      </w:r>
      <w:r>
        <w:rPr>
          <w:rFonts w:ascii="Arial" w:hAnsi="Arial" w:cs="Arial"/>
        </w:rPr>
        <w:t xml:space="preserve"> mercury thermometers</w:t>
      </w:r>
      <w:bookmarkEnd w:id="90"/>
    </w:p>
    <w:tbl>
      <w:tblPr>
        <w:tblStyle w:val="TableGrid"/>
        <w:tblW w:w="9228" w:type="dxa"/>
        <w:tblLayout w:type="fixed"/>
        <w:tblLook w:val="04A0" w:firstRow="1" w:lastRow="0" w:firstColumn="1" w:lastColumn="0" w:noHBand="0" w:noVBand="1"/>
      </w:tblPr>
      <w:tblGrid>
        <w:gridCol w:w="1590"/>
        <w:gridCol w:w="969"/>
        <w:gridCol w:w="1083"/>
        <w:gridCol w:w="1311"/>
        <w:gridCol w:w="1425"/>
        <w:gridCol w:w="1425"/>
        <w:gridCol w:w="1425"/>
      </w:tblGrid>
      <w:tr w:rsidR="00F539EB" w14:paraId="20EBCEFC" w14:textId="77777777" w:rsidTr="00FB536D">
        <w:trPr>
          <w:trHeight w:val="776"/>
        </w:trPr>
        <w:tc>
          <w:tcPr>
            <w:tcW w:w="1590" w:type="dxa"/>
            <w:vMerge w:val="restart"/>
            <w:vAlign w:val="center"/>
          </w:tcPr>
          <w:p w14:paraId="083F9865" w14:textId="77777777" w:rsidR="00F539EB" w:rsidRPr="00F31685" w:rsidRDefault="00F539EB" w:rsidP="009F5AB4">
            <w:pPr>
              <w:spacing w:line="300" w:lineRule="atLeast"/>
              <w:jc w:val="center"/>
              <w:rPr>
                <w:rFonts w:ascii="Arial" w:hAnsi="Arial" w:cs="Arial"/>
                <w:b/>
                <w:sz w:val="16"/>
                <w:szCs w:val="16"/>
              </w:rPr>
            </w:pPr>
            <w:r w:rsidRPr="00F31685">
              <w:rPr>
                <w:rFonts w:ascii="Arial" w:hAnsi="Arial" w:cs="Arial"/>
                <w:b/>
                <w:sz w:val="16"/>
                <w:szCs w:val="16"/>
              </w:rPr>
              <w:t>Source</w:t>
            </w:r>
          </w:p>
        </w:tc>
        <w:tc>
          <w:tcPr>
            <w:tcW w:w="969" w:type="dxa"/>
            <w:vMerge w:val="restart"/>
            <w:vAlign w:val="center"/>
          </w:tcPr>
          <w:p w14:paraId="0AC6046E" w14:textId="77777777" w:rsidR="00F539EB" w:rsidRPr="00F31685" w:rsidRDefault="00F539EB" w:rsidP="009F5AB4">
            <w:pPr>
              <w:spacing w:line="300" w:lineRule="atLeast"/>
              <w:jc w:val="center"/>
              <w:rPr>
                <w:rFonts w:ascii="Arial" w:hAnsi="Arial" w:cs="Arial"/>
                <w:b/>
                <w:sz w:val="16"/>
                <w:szCs w:val="16"/>
              </w:rPr>
            </w:pPr>
            <w:r w:rsidRPr="00F31685">
              <w:rPr>
                <w:rFonts w:ascii="Arial" w:hAnsi="Arial" w:cs="Arial"/>
                <w:b/>
                <w:sz w:val="16"/>
                <w:szCs w:val="16"/>
              </w:rPr>
              <w:t xml:space="preserve">Activity Rate, </w:t>
            </w:r>
            <w:r>
              <w:rPr>
                <w:rFonts w:ascii="Arial" w:hAnsi="Arial" w:cs="Arial"/>
                <w:b/>
                <w:sz w:val="16"/>
                <w:szCs w:val="16"/>
              </w:rPr>
              <w:t>units</w:t>
            </w:r>
            <w:r w:rsidRPr="00F31685">
              <w:rPr>
                <w:rFonts w:ascii="Arial" w:hAnsi="Arial" w:cs="Arial"/>
                <w:b/>
                <w:sz w:val="16"/>
                <w:szCs w:val="16"/>
              </w:rPr>
              <w:t>/</w:t>
            </w:r>
            <w:proofErr w:type="spellStart"/>
            <w:r w:rsidRPr="00F31685">
              <w:rPr>
                <w:rFonts w:ascii="Arial" w:hAnsi="Arial" w:cs="Arial"/>
                <w:b/>
                <w:sz w:val="16"/>
                <w:szCs w:val="16"/>
              </w:rPr>
              <w:t>yr</w:t>
            </w:r>
            <w:proofErr w:type="spellEnd"/>
          </w:p>
        </w:tc>
        <w:tc>
          <w:tcPr>
            <w:tcW w:w="1083" w:type="dxa"/>
            <w:vMerge w:val="restart"/>
            <w:vAlign w:val="center"/>
          </w:tcPr>
          <w:p w14:paraId="69A4AA1A" w14:textId="77777777" w:rsidR="00F539EB" w:rsidRPr="00F31685" w:rsidRDefault="00F539EB" w:rsidP="009F5AB4">
            <w:pPr>
              <w:spacing w:line="300" w:lineRule="atLeast"/>
              <w:jc w:val="center"/>
              <w:rPr>
                <w:rFonts w:ascii="Arial" w:hAnsi="Arial" w:cs="Arial"/>
                <w:b/>
                <w:sz w:val="16"/>
                <w:szCs w:val="16"/>
              </w:rPr>
            </w:pPr>
            <w:r>
              <w:rPr>
                <w:rFonts w:ascii="Arial" w:hAnsi="Arial" w:cs="Arial"/>
                <w:b/>
                <w:sz w:val="16"/>
                <w:szCs w:val="16"/>
              </w:rPr>
              <w:t>Mercury content, g/unit</w:t>
            </w:r>
          </w:p>
        </w:tc>
        <w:tc>
          <w:tcPr>
            <w:tcW w:w="1311" w:type="dxa"/>
            <w:vMerge w:val="restart"/>
            <w:vAlign w:val="center"/>
          </w:tcPr>
          <w:p w14:paraId="6D1EA5D9" w14:textId="77777777" w:rsidR="00F539EB" w:rsidRPr="00F31685" w:rsidRDefault="00F539EB" w:rsidP="009F5AB4">
            <w:pPr>
              <w:spacing w:line="300" w:lineRule="atLeast"/>
              <w:jc w:val="center"/>
              <w:rPr>
                <w:rFonts w:ascii="Arial" w:hAnsi="Arial" w:cs="Arial"/>
                <w:b/>
                <w:sz w:val="16"/>
                <w:szCs w:val="16"/>
              </w:rPr>
            </w:pPr>
            <w:r w:rsidRPr="00F31685">
              <w:rPr>
                <w:rFonts w:ascii="Arial" w:hAnsi="Arial" w:cs="Arial"/>
                <w:b/>
                <w:sz w:val="16"/>
                <w:szCs w:val="16"/>
              </w:rPr>
              <w:t>Annual Mercury Inputs, kg/</w:t>
            </w:r>
            <w:proofErr w:type="spellStart"/>
            <w:r w:rsidRPr="00F31685">
              <w:rPr>
                <w:rFonts w:ascii="Arial" w:hAnsi="Arial" w:cs="Arial"/>
                <w:b/>
                <w:sz w:val="16"/>
                <w:szCs w:val="16"/>
              </w:rPr>
              <w:t>yr</w:t>
            </w:r>
            <w:proofErr w:type="spellEnd"/>
          </w:p>
        </w:tc>
        <w:tc>
          <w:tcPr>
            <w:tcW w:w="4275" w:type="dxa"/>
            <w:gridSpan w:val="3"/>
            <w:vAlign w:val="center"/>
          </w:tcPr>
          <w:p w14:paraId="4BCD6014" w14:textId="77777777" w:rsidR="00F539EB" w:rsidRPr="00F31685" w:rsidRDefault="00F539EB" w:rsidP="00C94C0B">
            <w:pPr>
              <w:spacing w:line="300" w:lineRule="atLeast"/>
              <w:jc w:val="center"/>
              <w:rPr>
                <w:rFonts w:ascii="Arial" w:hAnsi="Arial" w:cs="Arial"/>
                <w:b/>
                <w:sz w:val="16"/>
                <w:szCs w:val="16"/>
              </w:rPr>
            </w:pPr>
            <w:r w:rsidRPr="009B0A69">
              <w:rPr>
                <w:rFonts w:ascii="Arial" w:hAnsi="Arial" w:cs="Arial"/>
                <w:b/>
                <w:sz w:val="16"/>
                <w:szCs w:val="16"/>
              </w:rPr>
              <w:t>Annual Mercury Outputs, kg/</w:t>
            </w:r>
            <w:proofErr w:type="spellStart"/>
            <w:r w:rsidRPr="009B0A69">
              <w:rPr>
                <w:rFonts w:ascii="Arial" w:hAnsi="Arial" w:cs="Arial"/>
                <w:b/>
                <w:sz w:val="16"/>
                <w:szCs w:val="16"/>
              </w:rPr>
              <w:t>yr</w:t>
            </w:r>
            <w:proofErr w:type="spellEnd"/>
          </w:p>
        </w:tc>
      </w:tr>
      <w:tr w:rsidR="00F539EB" w14:paraId="6FD2135E" w14:textId="77777777" w:rsidTr="00FB536D">
        <w:tc>
          <w:tcPr>
            <w:tcW w:w="1590" w:type="dxa"/>
            <w:vMerge/>
            <w:vAlign w:val="center"/>
          </w:tcPr>
          <w:p w14:paraId="11706CB8" w14:textId="77777777" w:rsidR="00F539EB" w:rsidRPr="00F31685" w:rsidRDefault="00F539EB" w:rsidP="009F5AB4">
            <w:pPr>
              <w:spacing w:line="300" w:lineRule="atLeast"/>
              <w:jc w:val="center"/>
              <w:rPr>
                <w:rFonts w:ascii="Arial" w:hAnsi="Arial" w:cs="Arial"/>
                <w:b/>
                <w:sz w:val="16"/>
                <w:szCs w:val="16"/>
              </w:rPr>
            </w:pPr>
          </w:p>
        </w:tc>
        <w:tc>
          <w:tcPr>
            <w:tcW w:w="969" w:type="dxa"/>
            <w:vMerge/>
            <w:vAlign w:val="center"/>
          </w:tcPr>
          <w:p w14:paraId="21079A26" w14:textId="77777777" w:rsidR="00F539EB" w:rsidRPr="00F31685" w:rsidRDefault="00F539EB" w:rsidP="009F5AB4">
            <w:pPr>
              <w:spacing w:line="300" w:lineRule="atLeast"/>
              <w:jc w:val="center"/>
              <w:rPr>
                <w:rFonts w:ascii="Arial" w:hAnsi="Arial" w:cs="Arial"/>
                <w:b/>
                <w:sz w:val="16"/>
                <w:szCs w:val="16"/>
              </w:rPr>
            </w:pPr>
          </w:p>
        </w:tc>
        <w:tc>
          <w:tcPr>
            <w:tcW w:w="1083" w:type="dxa"/>
            <w:vMerge/>
            <w:vAlign w:val="center"/>
          </w:tcPr>
          <w:p w14:paraId="3BB16C56" w14:textId="77777777" w:rsidR="00F539EB" w:rsidRPr="00F31685" w:rsidRDefault="00F539EB" w:rsidP="009F5AB4">
            <w:pPr>
              <w:spacing w:line="300" w:lineRule="atLeast"/>
              <w:jc w:val="center"/>
              <w:rPr>
                <w:rFonts w:ascii="Arial" w:hAnsi="Arial" w:cs="Arial"/>
                <w:b/>
                <w:sz w:val="16"/>
                <w:szCs w:val="16"/>
              </w:rPr>
            </w:pPr>
          </w:p>
        </w:tc>
        <w:tc>
          <w:tcPr>
            <w:tcW w:w="1311" w:type="dxa"/>
            <w:vMerge/>
            <w:vAlign w:val="center"/>
          </w:tcPr>
          <w:p w14:paraId="2095F27D" w14:textId="77777777" w:rsidR="00F539EB" w:rsidRPr="00F31685" w:rsidRDefault="00F539EB" w:rsidP="009F5AB4">
            <w:pPr>
              <w:spacing w:line="300" w:lineRule="atLeast"/>
              <w:jc w:val="center"/>
              <w:rPr>
                <w:rFonts w:ascii="Arial" w:hAnsi="Arial" w:cs="Arial"/>
                <w:b/>
                <w:sz w:val="16"/>
                <w:szCs w:val="16"/>
              </w:rPr>
            </w:pPr>
          </w:p>
        </w:tc>
        <w:tc>
          <w:tcPr>
            <w:tcW w:w="1425" w:type="dxa"/>
            <w:vAlign w:val="center"/>
          </w:tcPr>
          <w:p w14:paraId="338477AF" w14:textId="77777777" w:rsidR="00F539EB" w:rsidRPr="00F31685" w:rsidRDefault="00F539EB" w:rsidP="009F5AB4">
            <w:pPr>
              <w:spacing w:line="300" w:lineRule="atLeast"/>
              <w:jc w:val="center"/>
              <w:rPr>
                <w:rFonts w:ascii="Arial" w:hAnsi="Arial" w:cs="Arial"/>
                <w:b/>
                <w:sz w:val="16"/>
                <w:szCs w:val="16"/>
              </w:rPr>
            </w:pPr>
            <w:r w:rsidRPr="00F31685">
              <w:rPr>
                <w:rFonts w:ascii="Arial" w:hAnsi="Arial" w:cs="Arial"/>
                <w:b/>
                <w:sz w:val="16"/>
                <w:szCs w:val="16"/>
              </w:rPr>
              <w:t>Air</w:t>
            </w:r>
          </w:p>
        </w:tc>
        <w:tc>
          <w:tcPr>
            <w:tcW w:w="1425" w:type="dxa"/>
            <w:vAlign w:val="center"/>
          </w:tcPr>
          <w:p w14:paraId="7BF038FB" w14:textId="77777777" w:rsidR="00F539EB" w:rsidRPr="00F31685" w:rsidRDefault="00F539EB" w:rsidP="009F5AB4">
            <w:pPr>
              <w:spacing w:line="300" w:lineRule="atLeast"/>
              <w:jc w:val="center"/>
              <w:rPr>
                <w:rFonts w:ascii="Arial" w:hAnsi="Arial" w:cs="Arial"/>
                <w:b/>
                <w:sz w:val="16"/>
                <w:szCs w:val="16"/>
              </w:rPr>
            </w:pPr>
            <w:r>
              <w:rPr>
                <w:rFonts w:ascii="Arial" w:hAnsi="Arial" w:cs="Arial"/>
                <w:b/>
                <w:sz w:val="16"/>
                <w:szCs w:val="16"/>
              </w:rPr>
              <w:t>Water</w:t>
            </w:r>
          </w:p>
        </w:tc>
        <w:tc>
          <w:tcPr>
            <w:tcW w:w="1425" w:type="dxa"/>
            <w:vAlign w:val="center"/>
          </w:tcPr>
          <w:p w14:paraId="49C6EF2B" w14:textId="77777777" w:rsidR="00F539EB" w:rsidRPr="00F31685" w:rsidRDefault="00F539EB" w:rsidP="00531219">
            <w:pPr>
              <w:spacing w:line="300" w:lineRule="atLeast"/>
              <w:jc w:val="center"/>
              <w:rPr>
                <w:rFonts w:ascii="Arial" w:hAnsi="Arial" w:cs="Arial"/>
                <w:b/>
                <w:sz w:val="16"/>
                <w:szCs w:val="16"/>
              </w:rPr>
            </w:pPr>
            <w:r>
              <w:rPr>
                <w:rFonts w:ascii="Arial" w:hAnsi="Arial" w:cs="Arial"/>
                <w:b/>
                <w:sz w:val="16"/>
                <w:szCs w:val="16"/>
              </w:rPr>
              <w:t>Waste</w:t>
            </w:r>
          </w:p>
        </w:tc>
      </w:tr>
      <w:tr w:rsidR="00F539EB" w14:paraId="4C5E22DD" w14:textId="77777777" w:rsidTr="00FB536D">
        <w:tc>
          <w:tcPr>
            <w:tcW w:w="1590" w:type="dxa"/>
            <w:vAlign w:val="center"/>
          </w:tcPr>
          <w:p w14:paraId="693DF9AD" w14:textId="77777777" w:rsidR="00F539EB" w:rsidRPr="00F31685" w:rsidRDefault="00F539EB" w:rsidP="00F539EB">
            <w:pPr>
              <w:spacing w:line="300" w:lineRule="atLeast"/>
              <w:rPr>
                <w:rFonts w:ascii="Arial" w:hAnsi="Arial" w:cs="Arial"/>
                <w:sz w:val="16"/>
                <w:szCs w:val="16"/>
              </w:rPr>
            </w:pPr>
            <w:r>
              <w:rPr>
                <w:rFonts w:ascii="Arial" w:hAnsi="Arial" w:cs="Arial"/>
                <w:sz w:val="16"/>
                <w:szCs w:val="16"/>
              </w:rPr>
              <w:t xml:space="preserve">Annual sales, 2012 </w:t>
            </w:r>
          </w:p>
        </w:tc>
        <w:tc>
          <w:tcPr>
            <w:tcW w:w="969" w:type="dxa"/>
            <w:vAlign w:val="center"/>
          </w:tcPr>
          <w:p w14:paraId="09A05DDC" w14:textId="77777777" w:rsidR="00F539EB" w:rsidRDefault="00F539EB" w:rsidP="008B086D">
            <w:pPr>
              <w:spacing w:line="300" w:lineRule="atLeast"/>
              <w:jc w:val="center"/>
              <w:rPr>
                <w:rFonts w:ascii="Arial" w:hAnsi="Arial" w:cs="Arial"/>
                <w:sz w:val="16"/>
                <w:szCs w:val="16"/>
              </w:rPr>
            </w:pPr>
            <w:r>
              <w:rPr>
                <w:rFonts w:ascii="Arial" w:hAnsi="Arial" w:cs="Arial"/>
                <w:sz w:val="16"/>
                <w:szCs w:val="16"/>
              </w:rPr>
              <w:t>6,500</w:t>
            </w:r>
          </w:p>
        </w:tc>
        <w:tc>
          <w:tcPr>
            <w:tcW w:w="1083" w:type="dxa"/>
            <w:vAlign w:val="center"/>
          </w:tcPr>
          <w:p w14:paraId="683D65A2" w14:textId="77777777" w:rsidR="00F539EB" w:rsidRDefault="00F539EB" w:rsidP="009F5AB4">
            <w:pPr>
              <w:spacing w:line="300" w:lineRule="atLeast"/>
              <w:jc w:val="center"/>
              <w:rPr>
                <w:rFonts w:ascii="Arial" w:hAnsi="Arial" w:cs="Arial"/>
                <w:sz w:val="16"/>
                <w:szCs w:val="16"/>
              </w:rPr>
            </w:pPr>
            <w:r>
              <w:rPr>
                <w:rFonts w:ascii="Arial" w:hAnsi="Arial" w:cs="Arial"/>
                <w:sz w:val="16"/>
                <w:szCs w:val="16"/>
              </w:rPr>
              <w:t>0.5 – 5</w:t>
            </w:r>
          </w:p>
        </w:tc>
        <w:tc>
          <w:tcPr>
            <w:tcW w:w="1311" w:type="dxa"/>
            <w:vAlign w:val="center"/>
          </w:tcPr>
          <w:p w14:paraId="1670F835" w14:textId="77777777" w:rsidR="00F539EB" w:rsidRDefault="00F539EB" w:rsidP="00B12769">
            <w:pPr>
              <w:spacing w:line="300" w:lineRule="atLeast"/>
              <w:jc w:val="center"/>
              <w:rPr>
                <w:rFonts w:ascii="Arial" w:hAnsi="Arial" w:cs="Arial"/>
                <w:sz w:val="16"/>
                <w:szCs w:val="16"/>
              </w:rPr>
            </w:pPr>
            <w:r>
              <w:rPr>
                <w:rFonts w:ascii="Arial" w:hAnsi="Arial" w:cs="Arial"/>
                <w:sz w:val="16"/>
                <w:szCs w:val="16"/>
              </w:rPr>
              <w:t>3.25 – 32.5</w:t>
            </w:r>
            <w:r w:rsidR="00FB536D">
              <w:rPr>
                <w:rFonts w:ascii="Arial" w:hAnsi="Arial" w:cs="Arial"/>
                <w:sz w:val="16"/>
                <w:szCs w:val="16"/>
              </w:rPr>
              <w:t xml:space="preserve"> (17.9)</w:t>
            </w:r>
          </w:p>
        </w:tc>
        <w:tc>
          <w:tcPr>
            <w:tcW w:w="1425" w:type="dxa"/>
            <w:vAlign w:val="center"/>
          </w:tcPr>
          <w:p w14:paraId="06EEC281" w14:textId="77777777" w:rsidR="00F539EB" w:rsidRDefault="00F539EB" w:rsidP="00B12769">
            <w:pPr>
              <w:spacing w:line="300" w:lineRule="atLeast"/>
              <w:jc w:val="center"/>
              <w:rPr>
                <w:rFonts w:ascii="Arial" w:hAnsi="Arial" w:cs="Arial"/>
                <w:sz w:val="16"/>
                <w:szCs w:val="16"/>
              </w:rPr>
            </w:pPr>
            <w:r>
              <w:rPr>
                <w:rFonts w:ascii="Arial" w:hAnsi="Arial" w:cs="Arial"/>
                <w:sz w:val="16"/>
                <w:szCs w:val="16"/>
              </w:rPr>
              <w:t>0.325 – 3.25</w:t>
            </w:r>
            <w:r w:rsidR="00FB536D">
              <w:rPr>
                <w:rFonts w:ascii="Arial" w:hAnsi="Arial" w:cs="Arial"/>
                <w:sz w:val="16"/>
                <w:szCs w:val="16"/>
              </w:rPr>
              <w:t xml:space="preserve"> (1.8)</w:t>
            </w:r>
          </w:p>
        </w:tc>
        <w:tc>
          <w:tcPr>
            <w:tcW w:w="1425" w:type="dxa"/>
          </w:tcPr>
          <w:p w14:paraId="10A879A7" w14:textId="77777777" w:rsidR="00F539EB" w:rsidRDefault="00F539EB" w:rsidP="00B12769">
            <w:pPr>
              <w:spacing w:line="300" w:lineRule="atLeast"/>
              <w:jc w:val="center"/>
              <w:rPr>
                <w:rFonts w:ascii="Arial" w:hAnsi="Arial" w:cs="Arial"/>
                <w:sz w:val="16"/>
                <w:szCs w:val="16"/>
              </w:rPr>
            </w:pPr>
            <w:r>
              <w:rPr>
                <w:rFonts w:ascii="Arial" w:hAnsi="Arial" w:cs="Arial"/>
                <w:sz w:val="16"/>
                <w:szCs w:val="16"/>
              </w:rPr>
              <w:t>0.975 – 9.75</w:t>
            </w:r>
            <w:r w:rsidR="00FB536D">
              <w:rPr>
                <w:rFonts w:ascii="Arial" w:hAnsi="Arial" w:cs="Arial"/>
                <w:sz w:val="16"/>
                <w:szCs w:val="16"/>
              </w:rPr>
              <w:t xml:space="preserve"> (5.4)</w:t>
            </w:r>
          </w:p>
        </w:tc>
        <w:tc>
          <w:tcPr>
            <w:tcW w:w="1425" w:type="dxa"/>
            <w:vAlign w:val="center"/>
          </w:tcPr>
          <w:p w14:paraId="2A4FA448" w14:textId="77777777" w:rsidR="00F539EB" w:rsidRDefault="00F539EB" w:rsidP="00DD3364">
            <w:pPr>
              <w:spacing w:line="300" w:lineRule="atLeast"/>
              <w:jc w:val="center"/>
              <w:rPr>
                <w:rFonts w:ascii="Arial" w:hAnsi="Arial" w:cs="Arial"/>
                <w:sz w:val="16"/>
                <w:szCs w:val="16"/>
              </w:rPr>
            </w:pPr>
            <w:r>
              <w:rPr>
                <w:rFonts w:ascii="Arial" w:hAnsi="Arial" w:cs="Arial"/>
                <w:sz w:val="16"/>
                <w:szCs w:val="16"/>
              </w:rPr>
              <w:t>1.95 – 19.5</w:t>
            </w:r>
            <w:r w:rsidR="00FB536D">
              <w:rPr>
                <w:rFonts w:ascii="Arial" w:hAnsi="Arial" w:cs="Arial"/>
                <w:sz w:val="16"/>
                <w:szCs w:val="16"/>
              </w:rPr>
              <w:t xml:space="preserve"> (10.7)</w:t>
            </w:r>
          </w:p>
        </w:tc>
      </w:tr>
      <w:tr w:rsidR="00F539EB" w14:paraId="76DD00CE" w14:textId="77777777" w:rsidTr="00FB536D">
        <w:tc>
          <w:tcPr>
            <w:tcW w:w="1590" w:type="dxa"/>
            <w:vAlign w:val="center"/>
          </w:tcPr>
          <w:p w14:paraId="526C67C7" w14:textId="77777777" w:rsidR="00F539EB" w:rsidRDefault="00F539EB" w:rsidP="00F539EB">
            <w:pPr>
              <w:spacing w:line="300" w:lineRule="atLeast"/>
              <w:rPr>
                <w:rFonts w:ascii="Arial" w:hAnsi="Arial" w:cs="Arial"/>
                <w:sz w:val="16"/>
                <w:szCs w:val="16"/>
              </w:rPr>
            </w:pPr>
            <w:r>
              <w:rPr>
                <w:rFonts w:ascii="Arial" w:hAnsi="Arial" w:cs="Arial"/>
                <w:sz w:val="16"/>
                <w:szCs w:val="16"/>
              </w:rPr>
              <w:t>Annual sales, 2016</w:t>
            </w:r>
          </w:p>
        </w:tc>
        <w:tc>
          <w:tcPr>
            <w:tcW w:w="969" w:type="dxa"/>
            <w:vAlign w:val="center"/>
          </w:tcPr>
          <w:p w14:paraId="23D621EC" w14:textId="5A9174F5" w:rsidR="00F539EB" w:rsidRDefault="00FB536D" w:rsidP="005C2229">
            <w:pPr>
              <w:spacing w:line="300" w:lineRule="atLeast"/>
              <w:jc w:val="center"/>
              <w:rPr>
                <w:rFonts w:ascii="Arial" w:hAnsi="Arial" w:cs="Arial"/>
                <w:sz w:val="16"/>
                <w:szCs w:val="16"/>
              </w:rPr>
            </w:pPr>
            <w:r>
              <w:rPr>
                <w:rFonts w:ascii="Arial" w:hAnsi="Arial" w:cs="Arial"/>
                <w:sz w:val="16"/>
                <w:szCs w:val="16"/>
              </w:rPr>
              <w:t>3,8</w:t>
            </w:r>
            <w:r w:rsidR="005C2229">
              <w:rPr>
                <w:rFonts w:ascii="Arial" w:hAnsi="Arial" w:cs="Arial"/>
                <w:sz w:val="16"/>
                <w:szCs w:val="16"/>
              </w:rPr>
              <w:t>1</w:t>
            </w:r>
            <w:r>
              <w:rPr>
                <w:rFonts w:ascii="Arial" w:hAnsi="Arial" w:cs="Arial"/>
                <w:sz w:val="16"/>
                <w:szCs w:val="16"/>
              </w:rPr>
              <w:t>0</w:t>
            </w:r>
          </w:p>
        </w:tc>
        <w:tc>
          <w:tcPr>
            <w:tcW w:w="1083" w:type="dxa"/>
            <w:vAlign w:val="center"/>
          </w:tcPr>
          <w:p w14:paraId="68E03266" w14:textId="77777777" w:rsidR="00F539EB" w:rsidRDefault="00FB536D" w:rsidP="009F5AB4">
            <w:pPr>
              <w:spacing w:line="300" w:lineRule="atLeast"/>
              <w:jc w:val="center"/>
              <w:rPr>
                <w:rFonts w:ascii="Arial" w:hAnsi="Arial" w:cs="Arial"/>
                <w:sz w:val="16"/>
                <w:szCs w:val="16"/>
              </w:rPr>
            </w:pPr>
            <w:r>
              <w:rPr>
                <w:rFonts w:ascii="Arial" w:hAnsi="Arial" w:cs="Arial"/>
                <w:sz w:val="16"/>
                <w:szCs w:val="16"/>
              </w:rPr>
              <w:t>0.5 - 5</w:t>
            </w:r>
          </w:p>
        </w:tc>
        <w:tc>
          <w:tcPr>
            <w:tcW w:w="1311" w:type="dxa"/>
            <w:vAlign w:val="center"/>
          </w:tcPr>
          <w:p w14:paraId="7BFA60D2" w14:textId="178235B3" w:rsidR="00F539EB" w:rsidRDefault="00FB536D" w:rsidP="00B12769">
            <w:pPr>
              <w:spacing w:line="300" w:lineRule="atLeast"/>
              <w:jc w:val="center"/>
              <w:rPr>
                <w:rFonts w:ascii="Arial" w:hAnsi="Arial" w:cs="Arial"/>
                <w:sz w:val="16"/>
                <w:szCs w:val="16"/>
              </w:rPr>
            </w:pPr>
            <w:r>
              <w:rPr>
                <w:rFonts w:ascii="Arial" w:hAnsi="Arial" w:cs="Arial"/>
                <w:sz w:val="16"/>
                <w:szCs w:val="16"/>
              </w:rPr>
              <w:t>1.9</w:t>
            </w:r>
            <w:r w:rsidR="009F0657">
              <w:rPr>
                <w:rFonts w:ascii="Arial" w:hAnsi="Arial" w:cs="Arial"/>
                <w:sz w:val="16"/>
                <w:szCs w:val="16"/>
              </w:rPr>
              <w:t>1</w:t>
            </w:r>
            <w:r>
              <w:rPr>
                <w:rFonts w:ascii="Arial" w:hAnsi="Arial" w:cs="Arial"/>
                <w:sz w:val="16"/>
                <w:szCs w:val="16"/>
              </w:rPr>
              <w:t xml:space="preserve"> – 19.0</w:t>
            </w:r>
            <w:r w:rsidR="009F0657">
              <w:rPr>
                <w:rFonts w:ascii="Arial" w:hAnsi="Arial" w:cs="Arial"/>
                <w:sz w:val="16"/>
                <w:szCs w:val="16"/>
              </w:rPr>
              <w:t>5</w:t>
            </w:r>
            <w:r>
              <w:rPr>
                <w:rFonts w:ascii="Arial" w:hAnsi="Arial" w:cs="Arial"/>
                <w:sz w:val="16"/>
                <w:szCs w:val="16"/>
              </w:rPr>
              <w:t xml:space="preserve"> (</w:t>
            </w:r>
            <w:r w:rsidR="00AE16C6">
              <w:rPr>
                <w:rFonts w:ascii="Arial" w:hAnsi="Arial" w:cs="Arial"/>
                <w:sz w:val="16"/>
                <w:szCs w:val="16"/>
              </w:rPr>
              <w:t>10.</w:t>
            </w:r>
            <w:r w:rsidR="00E13A5B">
              <w:rPr>
                <w:rFonts w:ascii="Arial" w:hAnsi="Arial" w:cs="Arial"/>
                <w:sz w:val="16"/>
                <w:szCs w:val="16"/>
              </w:rPr>
              <w:t>48</w:t>
            </w:r>
            <w:r>
              <w:rPr>
                <w:rFonts w:ascii="Arial" w:hAnsi="Arial" w:cs="Arial"/>
                <w:sz w:val="16"/>
                <w:szCs w:val="16"/>
              </w:rPr>
              <w:t>)</w:t>
            </w:r>
          </w:p>
        </w:tc>
        <w:tc>
          <w:tcPr>
            <w:tcW w:w="1425" w:type="dxa"/>
            <w:vAlign w:val="center"/>
          </w:tcPr>
          <w:p w14:paraId="4F615C76" w14:textId="7B4E8868" w:rsidR="00F539EB" w:rsidRDefault="009337A9" w:rsidP="009F0657">
            <w:pPr>
              <w:spacing w:line="300" w:lineRule="atLeast"/>
              <w:jc w:val="center"/>
              <w:rPr>
                <w:rFonts w:ascii="Arial" w:hAnsi="Arial" w:cs="Arial"/>
                <w:sz w:val="16"/>
                <w:szCs w:val="16"/>
              </w:rPr>
            </w:pPr>
            <w:r>
              <w:rPr>
                <w:rFonts w:ascii="Arial" w:hAnsi="Arial" w:cs="Arial"/>
                <w:sz w:val="16"/>
                <w:szCs w:val="16"/>
              </w:rPr>
              <w:t>0.19 – 1.9</w:t>
            </w:r>
            <w:r w:rsidR="00E13A5B">
              <w:rPr>
                <w:rFonts w:ascii="Arial" w:hAnsi="Arial" w:cs="Arial"/>
                <w:sz w:val="16"/>
                <w:szCs w:val="16"/>
              </w:rPr>
              <w:t>1   (1.05</w:t>
            </w:r>
            <w:r w:rsidR="00FB536D">
              <w:rPr>
                <w:rFonts w:ascii="Arial" w:hAnsi="Arial" w:cs="Arial"/>
                <w:sz w:val="16"/>
                <w:szCs w:val="16"/>
              </w:rPr>
              <w:t>)</w:t>
            </w:r>
          </w:p>
        </w:tc>
        <w:tc>
          <w:tcPr>
            <w:tcW w:w="1425" w:type="dxa"/>
          </w:tcPr>
          <w:p w14:paraId="65250497" w14:textId="0ED3F765" w:rsidR="00F539EB" w:rsidRDefault="009337A9" w:rsidP="00B12769">
            <w:pPr>
              <w:spacing w:line="300" w:lineRule="atLeast"/>
              <w:jc w:val="center"/>
              <w:rPr>
                <w:rFonts w:ascii="Arial" w:hAnsi="Arial" w:cs="Arial"/>
                <w:sz w:val="16"/>
                <w:szCs w:val="16"/>
              </w:rPr>
            </w:pPr>
            <w:r>
              <w:rPr>
                <w:rFonts w:ascii="Arial" w:hAnsi="Arial" w:cs="Arial"/>
                <w:sz w:val="16"/>
                <w:szCs w:val="16"/>
              </w:rPr>
              <w:t>0</w:t>
            </w:r>
            <w:r w:rsidR="009F0657">
              <w:rPr>
                <w:rFonts w:ascii="Arial" w:hAnsi="Arial" w:cs="Arial"/>
                <w:sz w:val="16"/>
                <w:szCs w:val="16"/>
              </w:rPr>
              <w:t>.57 – 5.72</w:t>
            </w:r>
            <w:r>
              <w:rPr>
                <w:rFonts w:ascii="Arial" w:hAnsi="Arial" w:cs="Arial"/>
                <w:sz w:val="16"/>
                <w:szCs w:val="16"/>
              </w:rPr>
              <w:t xml:space="preserve">  (3.1</w:t>
            </w:r>
            <w:r w:rsidR="00E13A5B">
              <w:rPr>
                <w:rFonts w:ascii="Arial" w:hAnsi="Arial" w:cs="Arial"/>
                <w:sz w:val="16"/>
                <w:szCs w:val="16"/>
              </w:rPr>
              <w:t>4</w:t>
            </w:r>
            <w:r w:rsidR="00FB536D">
              <w:rPr>
                <w:rFonts w:ascii="Arial" w:hAnsi="Arial" w:cs="Arial"/>
                <w:sz w:val="16"/>
                <w:szCs w:val="16"/>
              </w:rPr>
              <w:t>)</w:t>
            </w:r>
          </w:p>
        </w:tc>
        <w:tc>
          <w:tcPr>
            <w:tcW w:w="1425" w:type="dxa"/>
            <w:vAlign w:val="center"/>
          </w:tcPr>
          <w:p w14:paraId="582DFA02" w14:textId="0EF2D578" w:rsidR="00F539EB" w:rsidRDefault="00E13A5B" w:rsidP="00DD3364">
            <w:pPr>
              <w:spacing w:line="300" w:lineRule="atLeast"/>
              <w:jc w:val="center"/>
              <w:rPr>
                <w:rFonts w:ascii="Arial" w:hAnsi="Arial" w:cs="Arial"/>
                <w:sz w:val="16"/>
                <w:szCs w:val="16"/>
              </w:rPr>
            </w:pPr>
            <w:r>
              <w:rPr>
                <w:rFonts w:ascii="Arial" w:hAnsi="Arial" w:cs="Arial"/>
                <w:sz w:val="16"/>
                <w:szCs w:val="16"/>
              </w:rPr>
              <w:t>1.14 – 11.4  (6.29</w:t>
            </w:r>
            <w:r w:rsidR="00FB536D">
              <w:rPr>
                <w:rFonts w:ascii="Arial" w:hAnsi="Arial" w:cs="Arial"/>
                <w:sz w:val="16"/>
                <w:szCs w:val="16"/>
              </w:rPr>
              <w:t>)</w:t>
            </w:r>
          </w:p>
        </w:tc>
      </w:tr>
    </w:tbl>
    <w:p w14:paraId="1774D620" w14:textId="77777777" w:rsidR="009F5AB4" w:rsidRPr="00BE17CF" w:rsidRDefault="009F5AB4" w:rsidP="009F5AB4">
      <w:pPr>
        <w:tabs>
          <w:tab w:val="left" w:pos="2760"/>
        </w:tabs>
        <w:spacing w:before="120" w:line="300" w:lineRule="atLeast"/>
        <w:jc w:val="both"/>
        <w:rPr>
          <w:rFonts w:ascii="Arial" w:hAnsi="Arial" w:cs="Arial"/>
          <w:b/>
          <w:szCs w:val="18"/>
        </w:rPr>
      </w:pPr>
      <w:r w:rsidRPr="00BE17CF">
        <w:rPr>
          <w:rFonts w:ascii="Arial" w:hAnsi="Arial" w:cs="Arial"/>
          <w:b/>
          <w:szCs w:val="18"/>
        </w:rPr>
        <w:t>Certainty assessment</w:t>
      </w:r>
    </w:p>
    <w:p w14:paraId="784743B1" w14:textId="77777777" w:rsidR="009F5AB4" w:rsidRDefault="009F5AB4" w:rsidP="009F5AB4">
      <w:pPr>
        <w:tabs>
          <w:tab w:val="left" w:pos="1701"/>
        </w:tabs>
        <w:spacing w:line="300" w:lineRule="atLeast"/>
        <w:jc w:val="both"/>
        <w:rPr>
          <w:szCs w:val="18"/>
        </w:rPr>
      </w:pPr>
      <w:r>
        <w:rPr>
          <w:szCs w:val="18"/>
        </w:rPr>
        <w:t xml:space="preserve">Activity data: </w:t>
      </w:r>
      <w:r>
        <w:rPr>
          <w:szCs w:val="18"/>
        </w:rPr>
        <w:tab/>
      </w:r>
      <w:r w:rsidR="00B871DA">
        <w:rPr>
          <w:szCs w:val="18"/>
        </w:rPr>
        <w:t>MEDIUM</w:t>
      </w:r>
      <w:r>
        <w:rPr>
          <w:szCs w:val="18"/>
        </w:rPr>
        <w:t xml:space="preserve"> (because it is based on </w:t>
      </w:r>
      <w:r w:rsidR="00B871DA">
        <w:rPr>
          <w:szCs w:val="18"/>
        </w:rPr>
        <w:t>survey data plus estimates</w:t>
      </w:r>
      <w:r>
        <w:rPr>
          <w:szCs w:val="18"/>
        </w:rPr>
        <w:t>)</w:t>
      </w:r>
    </w:p>
    <w:p w14:paraId="60FCD4BC" w14:textId="77777777" w:rsidR="009F5AB4" w:rsidRDefault="009F5AB4" w:rsidP="009F5AB4">
      <w:pPr>
        <w:tabs>
          <w:tab w:val="left" w:pos="1701"/>
        </w:tabs>
        <w:spacing w:line="300" w:lineRule="atLeast"/>
        <w:jc w:val="both"/>
        <w:rPr>
          <w:szCs w:val="18"/>
        </w:rPr>
      </w:pPr>
      <w:r>
        <w:rPr>
          <w:szCs w:val="18"/>
        </w:rPr>
        <w:t xml:space="preserve">Input estimates: </w:t>
      </w:r>
      <w:r>
        <w:rPr>
          <w:szCs w:val="18"/>
        </w:rPr>
        <w:tab/>
        <w:t>LOW (</w:t>
      </w:r>
      <w:r w:rsidRPr="00944DCC">
        <w:rPr>
          <w:szCs w:val="18"/>
        </w:rPr>
        <w:t xml:space="preserve">because </w:t>
      </w:r>
      <w:r>
        <w:rPr>
          <w:szCs w:val="18"/>
        </w:rPr>
        <w:t>they are</w:t>
      </w:r>
      <w:r w:rsidRPr="00944DCC">
        <w:rPr>
          <w:szCs w:val="18"/>
        </w:rPr>
        <w:t xml:space="preserve"> based on </w:t>
      </w:r>
      <w:r w:rsidR="00B871DA">
        <w:rPr>
          <w:szCs w:val="18"/>
        </w:rPr>
        <w:t>the Toolkit default factors</w:t>
      </w:r>
      <w:r>
        <w:rPr>
          <w:szCs w:val="18"/>
        </w:rPr>
        <w:t>)</w:t>
      </w:r>
    </w:p>
    <w:p w14:paraId="5E7A1ED1" w14:textId="77777777" w:rsidR="009F5AB4" w:rsidRPr="0028681C" w:rsidRDefault="009F5AB4" w:rsidP="009F5AB4">
      <w:pPr>
        <w:tabs>
          <w:tab w:val="left" w:pos="1701"/>
        </w:tabs>
        <w:spacing w:line="300" w:lineRule="atLeast"/>
        <w:jc w:val="both"/>
        <w:rPr>
          <w:szCs w:val="18"/>
        </w:rPr>
      </w:pPr>
      <w:r>
        <w:rPr>
          <w:szCs w:val="18"/>
        </w:rPr>
        <w:t xml:space="preserve">Output estimates: </w:t>
      </w:r>
      <w:r>
        <w:rPr>
          <w:szCs w:val="18"/>
        </w:rPr>
        <w:tab/>
        <w:t>LOW (</w:t>
      </w:r>
      <w:r w:rsidRPr="00944DCC">
        <w:rPr>
          <w:szCs w:val="18"/>
        </w:rPr>
        <w:t xml:space="preserve">because </w:t>
      </w:r>
      <w:r w:rsidR="00B871DA" w:rsidRPr="00B871DA">
        <w:rPr>
          <w:szCs w:val="18"/>
        </w:rPr>
        <w:t>they are based on the Toolkit default factors</w:t>
      </w:r>
      <w:r>
        <w:rPr>
          <w:szCs w:val="18"/>
        </w:rPr>
        <w:t>).</w:t>
      </w:r>
    </w:p>
    <w:p w14:paraId="0DFD0EB2" w14:textId="77777777" w:rsidR="00F215CA" w:rsidRPr="00165D6C" w:rsidRDefault="00700CDE" w:rsidP="00700CDE">
      <w:pPr>
        <w:pStyle w:val="Heading2"/>
      </w:pPr>
      <w:bookmarkStart w:id="91" w:name="_Toc484949591"/>
      <w:r>
        <w:t>Electrical and electronic switches, contacts and relays</w:t>
      </w:r>
      <w:bookmarkEnd w:id="91"/>
    </w:p>
    <w:p w14:paraId="4029832D" w14:textId="77777777" w:rsidR="00F215CA" w:rsidRDefault="00A6353F" w:rsidP="003833D6">
      <w:pPr>
        <w:spacing w:line="300" w:lineRule="atLeast"/>
        <w:jc w:val="both"/>
        <w:rPr>
          <w:szCs w:val="18"/>
        </w:rPr>
      </w:pPr>
      <w:r w:rsidRPr="00A6353F">
        <w:rPr>
          <w:szCs w:val="18"/>
        </w:rPr>
        <w:t>Mercury has been used</w:t>
      </w:r>
      <w:r>
        <w:rPr>
          <w:szCs w:val="18"/>
        </w:rPr>
        <w:t>,</w:t>
      </w:r>
      <w:r w:rsidRPr="00A6353F">
        <w:rPr>
          <w:szCs w:val="18"/>
        </w:rPr>
        <w:t xml:space="preserve"> and continues to be used</w:t>
      </w:r>
      <w:r>
        <w:rPr>
          <w:szCs w:val="18"/>
        </w:rPr>
        <w:t>,</w:t>
      </w:r>
      <w:r w:rsidRPr="00A6353F">
        <w:rPr>
          <w:szCs w:val="18"/>
        </w:rPr>
        <w:t xml:space="preserve"> in a variety of electrical switches and relays.</w:t>
      </w:r>
      <w:r>
        <w:rPr>
          <w:szCs w:val="18"/>
        </w:rPr>
        <w:t xml:space="preserve"> Histori</w:t>
      </w:r>
      <w:r w:rsidR="00967CFC">
        <w:rPr>
          <w:szCs w:val="18"/>
        </w:rPr>
        <w:t xml:space="preserve">cally, one of the largest uses </w:t>
      </w:r>
      <w:r>
        <w:rPr>
          <w:szCs w:val="18"/>
        </w:rPr>
        <w:t>by volumes of mercury</w:t>
      </w:r>
      <w:r w:rsidR="00967CFC">
        <w:rPr>
          <w:szCs w:val="18"/>
        </w:rPr>
        <w:t>,</w:t>
      </w:r>
      <w:r>
        <w:rPr>
          <w:szCs w:val="18"/>
        </w:rPr>
        <w:t xml:space="preserve"> per unit</w:t>
      </w:r>
      <w:r w:rsidR="00967CFC">
        <w:rPr>
          <w:szCs w:val="18"/>
        </w:rPr>
        <w:t>,</w:t>
      </w:r>
      <w:r>
        <w:rPr>
          <w:szCs w:val="18"/>
        </w:rPr>
        <w:t xml:space="preserve"> was in electrical rectifiers and </w:t>
      </w:r>
      <w:r w:rsidR="00967CFC">
        <w:rPr>
          <w:szCs w:val="18"/>
        </w:rPr>
        <w:t>mercury arc valves, which were used in electricity distribution networks</w:t>
      </w:r>
      <w:r w:rsidR="007A32B6">
        <w:rPr>
          <w:szCs w:val="18"/>
        </w:rPr>
        <w:t xml:space="preserve"> and industrial facilities</w:t>
      </w:r>
      <w:r w:rsidR="00967CFC">
        <w:rPr>
          <w:szCs w:val="18"/>
        </w:rPr>
        <w:t xml:space="preserve">. This type of equipment has a long service life, so there may still be a significant number of items still in use, despite the ready availability of non-mercury alternatives. At the consumer level, small mercury tilt switches have </w:t>
      </w:r>
      <w:r w:rsidR="007332EE">
        <w:rPr>
          <w:szCs w:val="18"/>
        </w:rPr>
        <w:t xml:space="preserve">been widely used in many </w:t>
      </w:r>
      <w:r w:rsidR="00967CFC">
        <w:rPr>
          <w:szCs w:val="18"/>
        </w:rPr>
        <w:t xml:space="preserve">electrical </w:t>
      </w:r>
      <w:r w:rsidR="00967CFC">
        <w:rPr>
          <w:szCs w:val="18"/>
        </w:rPr>
        <w:lastRenderedPageBreak/>
        <w:t>appliances</w:t>
      </w:r>
      <w:r w:rsidR="007332EE">
        <w:rPr>
          <w:szCs w:val="18"/>
        </w:rPr>
        <w:t>, and in car boot li</w:t>
      </w:r>
      <w:r w:rsidR="007A32B6">
        <w:rPr>
          <w:szCs w:val="18"/>
        </w:rPr>
        <w:t>ght switches and ABS braking systems</w:t>
      </w:r>
      <w:r w:rsidR="007332EE">
        <w:rPr>
          <w:szCs w:val="18"/>
        </w:rPr>
        <w:t xml:space="preserve">. </w:t>
      </w:r>
      <w:r w:rsidR="007A32B6">
        <w:rPr>
          <w:szCs w:val="18"/>
        </w:rPr>
        <w:t xml:space="preserve">Mercury switches can also </w:t>
      </w:r>
      <w:r w:rsidR="00917E95">
        <w:rPr>
          <w:szCs w:val="18"/>
        </w:rPr>
        <w:t xml:space="preserve">be </w:t>
      </w:r>
      <w:r w:rsidR="007A32B6">
        <w:rPr>
          <w:szCs w:val="18"/>
        </w:rPr>
        <w:t>found in some electrical thermostats, flame sensors, and bilge pumps for boats</w:t>
      </w:r>
      <w:r w:rsidR="00E979AB">
        <w:rPr>
          <w:szCs w:val="18"/>
        </w:rPr>
        <w:t xml:space="preserve"> (</w:t>
      </w:r>
      <w:r w:rsidR="00C738EC">
        <w:rPr>
          <w:szCs w:val="18"/>
        </w:rPr>
        <w:t>UNEP, 2017</w:t>
      </w:r>
      <w:r w:rsidR="00E979AB">
        <w:rPr>
          <w:szCs w:val="18"/>
        </w:rPr>
        <w:t>)</w:t>
      </w:r>
      <w:r w:rsidR="007A32B6">
        <w:rPr>
          <w:szCs w:val="18"/>
        </w:rPr>
        <w:t>.</w:t>
      </w:r>
    </w:p>
    <w:p w14:paraId="139A3E40" w14:textId="77777777" w:rsidR="004E106C" w:rsidRPr="007F5800" w:rsidRDefault="00CE6712" w:rsidP="004E106C">
      <w:pPr>
        <w:spacing w:line="300" w:lineRule="atLeast"/>
        <w:jc w:val="both"/>
        <w:rPr>
          <w:rFonts w:ascii="Arial" w:hAnsi="Arial" w:cs="Arial"/>
          <w:b/>
          <w:szCs w:val="18"/>
        </w:rPr>
      </w:pPr>
      <w:r>
        <w:rPr>
          <w:rFonts w:ascii="Arial" w:hAnsi="Arial" w:cs="Arial"/>
          <w:b/>
          <w:szCs w:val="18"/>
        </w:rPr>
        <w:t>2012 survey of current stocks, imports, sales and use</w:t>
      </w:r>
    </w:p>
    <w:p w14:paraId="1F52DC1E" w14:textId="77777777" w:rsidR="004E106C" w:rsidRPr="004E106C" w:rsidRDefault="00CE6712" w:rsidP="004E106C">
      <w:pPr>
        <w:spacing w:line="300" w:lineRule="atLeast"/>
        <w:jc w:val="both"/>
        <w:rPr>
          <w:szCs w:val="18"/>
        </w:rPr>
      </w:pPr>
      <w:r>
        <w:rPr>
          <w:szCs w:val="18"/>
        </w:rPr>
        <w:t xml:space="preserve">The </w:t>
      </w:r>
      <w:r w:rsidR="00506DFC">
        <w:rPr>
          <w:szCs w:val="18"/>
        </w:rPr>
        <w:t xml:space="preserve">work for the </w:t>
      </w:r>
      <w:r>
        <w:rPr>
          <w:szCs w:val="18"/>
        </w:rPr>
        <w:t>2012 Inventory included a</w:t>
      </w:r>
      <w:r w:rsidR="00FD1D32">
        <w:rPr>
          <w:szCs w:val="18"/>
        </w:rPr>
        <w:t>n extensive</w:t>
      </w:r>
      <w:r>
        <w:rPr>
          <w:szCs w:val="18"/>
        </w:rPr>
        <w:t xml:space="preserve"> survey of </w:t>
      </w:r>
      <w:r w:rsidR="00FD1D32">
        <w:rPr>
          <w:szCs w:val="18"/>
        </w:rPr>
        <w:t xml:space="preserve">possible importers, distributors and users of electrical equipment to identify possible stocks of mercury-containing equipment. No significant imports were identified but one supplier was found to have about 200 small switches in stock, with a mercury content of about 1 gram per switch, and annual sales of about 10 switches. It was concluded that </w:t>
      </w:r>
      <w:r w:rsidR="00A63879">
        <w:rPr>
          <w:szCs w:val="18"/>
        </w:rPr>
        <w:t xml:space="preserve">the total quantities of mercury </w:t>
      </w:r>
      <w:r w:rsidR="00FD1D32">
        <w:rPr>
          <w:szCs w:val="18"/>
        </w:rPr>
        <w:t>possibly being distributed through sales of switches would</w:t>
      </w:r>
      <w:r w:rsidR="00A63879">
        <w:rPr>
          <w:szCs w:val="18"/>
        </w:rPr>
        <w:t xml:space="preserve"> be very small.</w:t>
      </w:r>
    </w:p>
    <w:p w14:paraId="48D32D96" w14:textId="77777777" w:rsidR="004E106C" w:rsidRPr="004E106C" w:rsidRDefault="00FD1D32" w:rsidP="004E106C">
      <w:pPr>
        <w:spacing w:line="300" w:lineRule="atLeast"/>
        <w:jc w:val="both"/>
        <w:rPr>
          <w:szCs w:val="18"/>
        </w:rPr>
      </w:pPr>
      <w:r>
        <w:rPr>
          <w:szCs w:val="18"/>
        </w:rPr>
        <w:t xml:space="preserve">The survey of possible users of electrical equipment identified total current stock holdings of about 170 kg of mercury, mainly in old relays and switches. This survey has not been repeated for the current </w:t>
      </w:r>
      <w:r w:rsidR="00506DFC">
        <w:rPr>
          <w:szCs w:val="18"/>
        </w:rPr>
        <w:t>inventory, but it should be</w:t>
      </w:r>
      <w:r>
        <w:rPr>
          <w:szCs w:val="18"/>
        </w:rPr>
        <w:t xml:space="preserve"> expecte</w:t>
      </w:r>
      <w:r w:rsidR="00506DFC">
        <w:rPr>
          <w:szCs w:val="18"/>
        </w:rPr>
        <w:t>d</w:t>
      </w:r>
      <w:r>
        <w:rPr>
          <w:szCs w:val="18"/>
        </w:rPr>
        <w:t xml:space="preserve"> that </w:t>
      </w:r>
      <w:r w:rsidR="00506DFC">
        <w:rPr>
          <w:szCs w:val="18"/>
        </w:rPr>
        <w:t>the stock</w:t>
      </w:r>
      <w:r>
        <w:rPr>
          <w:szCs w:val="18"/>
        </w:rPr>
        <w:t xml:space="preserve"> holdings will be gradually decreasing, </w:t>
      </w:r>
      <w:r w:rsidR="00506DFC">
        <w:rPr>
          <w:szCs w:val="18"/>
        </w:rPr>
        <w:t>as most people contacted in 2012 indicated that they were phasing out any mercury-containing equipment.</w:t>
      </w:r>
    </w:p>
    <w:p w14:paraId="6888A04B" w14:textId="77777777" w:rsidR="004E106C" w:rsidRPr="00EC2DCF" w:rsidRDefault="004E106C" w:rsidP="004E106C">
      <w:pPr>
        <w:spacing w:line="300" w:lineRule="atLeast"/>
        <w:jc w:val="both"/>
        <w:rPr>
          <w:rFonts w:ascii="Arial" w:hAnsi="Arial" w:cs="Arial"/>
          <w:b/>
          <w:szCs w:val="18"/>
        </w:rPr>
      </w:pPr>
      <w:r w:rsidRPr="00EC2DCF">
        <w:rPr>
          <w:rFonts w:ascii="Arial" w:hAnsi="Arial" w:cs="Arial"/>
          <w:b/>
          <w:szCs w:val="18"/>
        </w:rPr>
        <w:t>Input and output estimates</w:t>
      </w:r>
    </w:p>
    <w:p w14:paraId="5C7A3E0D" w14:textId="77777777" w:rsidR="004E106C" w:rsidRPr="00EC2DCF" w:rsidRDefault="004E106C" w:rsidP="004E106C">
      <w:pPr>
        <w:spacing w:line="300" w:lineRule="atLeast"/>
        <w:jc w:val="both"/>
        <w:rPr>
          <w:szCs w:val="18"/>
        </w:rPr>
      </w:pPr>
      <w:r w:rsidRPr="00EC2DCF">
        <w:rPr>
          <w:szCs w:val="18"/>
        </w:rPr>
        <w:t xml:space="preserve">The </w:t>
      </w:r>
      <w:r w:rsidR="00506DFC">
        <w:rPr>
          <w:szCs w:val="18"/>
        </w:rPr>
        <w:t xml:space="preserve">methodology given in the </w:t>
      </w:r>
      <w:r w:rsidRPr="00EC2DCF">
        <w:rPr>
          <w:szCs w:val="18"/>
        </w:rPr>
        <w:t>Toolkit</w:t>
      </w:r>
      <w:r w:rsidR="00595ACA">
        <w:rPr>
          <w:szCs w:val="18"/>
        </w:rPr>
        <w:t xml:space="preserve"> </w:t>
      </w:r>
      <w:r w:rsidR="00506DFC">
        <w:rPr>
          <w:szCs w:val="18"/>
        </w:rPr>
        <w:t>is based on a simple population-based estimate, using recommended</w:t>
      </w:r>
      <w:r w:rsidR="00595ACA">
        <w:rPr>
          <w:szCs w:val="18"/>
        </w:rPr>
        <w:t xml:space="preserve"> default factors of 0.02 – 0.25 grams/year per capita for current mercury inputs via electrical switches and relays. </w:t>
      </w:r>
      <w:r w:rsidR="007E4980">
        <w:rPr>
          <w:szCs w:val="18"/>
        </w:rPr>
        <w:t>However, t</w:t>
      </w:r>
      <w:r w:rsidR="00595ACA">
        <w:rPr>
          <w:szCs w:val="18"/>
        </w:rPr>
        <w:t xml:space="preserve">hese factors </w:t>
      </w:r>
      <w:r w:rsidR="007E4980">
        <w:rPr>
          <w:szCs w:val="18"/>
        </w:rPr>
        <w:t xml:space="preserve">are based on data which is 10 to 20 years old, and they are also dominated by relatively high usage rates in the USA. </w:t>
      </w:r>
      <w:r w:rsidR="00CC1036">
        <w:rPr>
          <w:szCs w:val="18"/>
        </w:rPr>
        <w:t xml:space="preserve">For the 2012 Inventory it was decided to use lower factors of </w:t>
      </w:r>
      <w:r w:rsidR="007E4980">
        <w:rPr>
          <w:szCs w:val="18"/>
        </w:rPr>
        <w:t xml:space="preserve">0.002 - 0.02 </w:t>
      </w:r>
      <w:r w:rsidR="007E4980" w:rsidRPr="007E4980">
        <w:rPr>
          <w:szCs w:val="18"/>
        </w:rPr>
        <w:t>grams/year per capita</w:t>
      </w:r>
      <w:r w:rsidR="007E4980">
        <w:rPr>
          <w:szCs w:val="18"/>
        </w:rPr>
        <w:t xml:space="preserve"> </w:t>
      </w:r>
      <w:r w:rsidR="00CC1036">
        <w:rPr>
          <w:szCs w:val="18"/>
        </w:rPr>
        <w:t>for the New Zealand estimates, and the same approach has been taken here.</w:t>
      </w:r>
    </w:p>
    <w:p w14:paraId="58AB6CA3" w14:textId="77777777" w:rsidR="004E106C" w:rsidRPr="00043714" w:rsidRDefault="004E106C" w:rsidP="004E106C">
      <w:pPr>
        <w:spacing w:line="300" w:lineRule="atLeast"/>
        <w:jc w:val="both"/>
        <w:rPr>
          <w:szCs w:val="18"/>
        </w:rPr>
      </w:pPr>
      <w:r>
        <w:rPr>
          <w:szCs w:val="18"/>
        </w:rPr>
        <w:t>For outputs, the Toolkit recommends distribution factors of 0.1 (10%) to air, 0</w:t>
      </w:r>
      <w:r w:rsidR="0021500D">
        <w:rPr>
          <w:szCs w:val="18"/>
        </w:rPr>
        <w:t>.1</w:t>
      </w:r>
      <w:r>
        <w:rPr>
          <w:szCs w:val="18"/>
        </w:rPr>
        <w:t xml:space="preserve"> (</w:t>
      </w:r>
      <w:r w:rsidR="0021500D">
        <w:rPr>
          <w:szCs w:val="18"/>
        </w:rPr>
        <w:t>1</w:t>
      </w:r>
      <w:r>
        <w:rPr>
          <w:szCs w:val="18"/>
        </w:rPr>
        <w:t xml:space="preserve">0%) to </w:t>
      </w:r>
      <w:r w:rsidR="0021500D">
        <w:rPr>
          <w:szCs w:val="18"/>
        </w:rPr>
        <w:t>land and 0.8</w:t>
      </w:r>
      <w:r>
        <w:rPr>
          <w:szCs w:val="18"/>
        </w:rPr>
        <w:t xml:space="preserve"> (</w:t>
      </w:r>
      <w:r w:rsidR="0021500D">
        <w:rPr>
          <w:szCs w:val="18"/>
        </w:rPr>
        <w:t>8</w:t>
      </w:r>
      <w:r>
        <w:rPr>
          <w:szCs w:val="18"/>
        </w:rPr>
        <w:t>0%) to waste, for countries with publicly controlled waste collection services</w:t>
      </w:r>
      <w:r w:rsidR="0021500D">
        <w:rPr>
          <w:szCs w:val="18"/>
        </w:rPr>
        <w:t>, but only limited waste separation</w:t>
      </w:r>
      <w:r>
        <w:rPr>
          <w:szCs w:val="18"/>
        </w:rPr>
        <w:t xml:space="preserve">. </w:t>
      </w:r>
      <w:r w:rsidR="0021500D">
        <w:rPr>
          <w:szCs w:val="18"/>
        </w:rPr>
        <w:t>T</w:t>
      </w:r>
      <w:r>
        <w:rPr>
          <w:szCs w:val="18"/>
        </w:rPr>
        <w:t xml:space="preserve">hese factors </w:t>
      </w:r>
      <w:r w:rsidR="004A35E3">
        <w:rPr>
          <w:szCs w:val="18"/>
        </w:rPr>
        <w:t xml:space="preserve">have </w:t>
      </w:r>
      <w:r>
        <w:rPr>
          <w:szCs w:val="18"/>
        </w:rPr>
        <w:t>be</w:t>
      </w:r>
      <w:r w:rsidR="004A35E3">
        <w:rPr>
          <w:szCs w:val="18"/>
        </w:rPr>
        <w:t>en</w:t>
      </w:r>
      <w:r>
        <w:rPr>
          <w:szCs w:val="18"/>
        </w:rPr>
        <w:t xml:space="preserve"> applied to the </w:t>
      </w:r>
      <w:r w:rsidR="0021500D">
        <w:rPr>
          <w:szCs w:val="18"/>
        </w:rPr>
        <w:t xml:space="preserve">per capita inputs estimated using the </w:t>
      </w:r>
      <w:r w:rsidR="004A35E3">
        <w:rPr>
          <w:szCs w:val="18"/>
        </w:rPr>
        <w:t xml:space="preserve">modified </w:t>
      </w:r>
      <w:r w:rsidR="0021500D">
        <w:rPr>
          <w:szCs w:val="18"/>
        </w:rPr>
        <w:t xml:space="preserve">Toolkit factors. </w:t>
      </w:r>
    </w:p>
    <w:p w14:paraId="437382FB" w14:textId="77DA1DFF" w:rsidR="00FA6036" w:rsidRPr="00232361" w:rsidRDefault="00FA6036" w:rsidP="00FA6036">
      <w:pPr>
        <w:spacing w:line="300" w:lineRule="atLeast"/>
        <w:jc w:val="both"/>
        <w:rPr>
          <w:szCs w:val="18"/>
        </w:rPr>
      </w:pPr>
      <w:r w:rsidRPr="00232361">
        <w:rPr>
          <w:szCs w:val="18"/>
        </w:rPr>
        <w:t xml:space="preserve">The mercury input and output </w:t>
      </w:r>
      <w:r>
        <w:rPr>
          <w:szCs w:val="18"/>
        </w:rPr>
        <w:t>estimates</w:t>
      </w:r>
      <w:r w:rsidRPr="00232361">
        <w:rPr>
          <w:szCs w:val="18"/>
        </w:rPr>
        <w:t xml:space="preserve"> for </w:t>
      </w:r>
      <w:r>
        <w:rPr>
          <w:szCs w:val="18"/>
        </w:rPr>
        <w:t>m</w:t>
      </w:r>
      <w:r w:rsidR="0021500D">
        <w:rPr>
          <w:szCs w:val="18"/>
        </w:rPr>
        <w:t>ercu</w:t>
      </w:r>
      <w:r>
        <w:rPr>
          <w:szCs w:val="18"/>
        </w:rPr>
        <w:t xml:space="preserve">ry switches and relays </w:t>
      </w:r>
      <w:r w:rsidRPr="00232361">
        <w:rPr>
          <w:szCs w:val="18"/>
        </w:rPr>
        <w:t>are shown in</w:t>
      </w:r>
      <w:r w:rsidR="006F6748">
        <w:rPr>
          <w:szCs w:val="18"/>
        </w:rPr>
        <w:t xml:space="preserve"> Table 7-3</w:t>
      </w:r>
      <w:r w:rsidR="00435C60" w:rsidRPr="00435C60">
        <w:rPr>
          <w:szCs w:val="18"/>
        </w:rPr>
        <w:t>.</w:t>
      </w:r>
    </w:p>
    <w:p w14:paraId="4174A1E3" w14:textId="77777777" w:rsidR="00CC1036" w:rsidRDefault="00CC1036" w:rsidP="00CC1036">
      <w:pPr>
        <w:pStyle w:val="Caption"/>
        <w:spacing w:before="240"/>
        <w:rPr>
          <w:szCs w:val="18"/>
        </w:rPr>
      </w:pPr>
      <w:bookmarkStart w:id="92" w:name="_Toc484949658"/>
      <w:bookmarkStart w:id="93" w:name="_Ref358705422"/>
      <w:r w:rsidRPr="00FA6036">
        <w:rPr>
          <w:rFonts w:ascii="Arial" w:hAnsi="Arial" w:cs="Arial"/>
        </w:rPr>
        <w:t xml:space="preserve">Table </w:t>
      </w:r>
      <w:r>
        <w:rPr>
          <w:rFonts w:ascii="Arial" w:hAnsi="Arial" w:cs="Arial"/>
        </w:rPr>
        <w:fldChar w:fldCharType="begin"/>
      </w:r>
      <w:r>
        <w:rPr>
          <w:rFonts w:ascii="Arial" w:hAnsi="Arial" w:cs="Arial"/>
        </w:rPr>
        <w:instrText xml:space="preserve"> STYLEREF 1 \s </w:instrText>
      </w:r>
      <w:r>
        <w:rPr>
          <w:rFonts w:ascii="Arial" w:hAnsi="Arial" w:cs="Arial"/>
        </w:rPr>
        <w:fldChar w:fldCharType="separate"/>
      </w:r>
      <w:r w:rsidR="00423FC9">
        <w:rPr>
          <w:rFonts w:ascii="Arial" w:hAnsi="Arial" w:cs="Arial"/>
          <w:noProof/>
        </w:rPr>
        <w:t>7</w:t>
      </w:r>
      <w:r>
        <w:rPr>
          <w:rFonts w:ascii="Arial" w:hAnsi="Arial" w:cs="Arial"/>
        </w:rPr>
        <w:fldChar w:fldCharType="end"/>
      </w:r>
      <w:r>
        <w:rPr>
          <w:rFonts w:ascii="Arial" w:hAnsi="Arial" w:cs="Arial"/>
        </w:rPr>
        <w:noBreakHyphen/>
      </w:r>
      <w:r>
        <w:rPr>
          <w:rFonts w:ascii="Arial" w:hAnsi="Arial" w:cs="Arial"/>
        </w:rPr>
        <w:fldChar w:fldCharType="begin"/>
      </w:r>
      <w:r>
        <w:rPr>
          <w:rFonts w:ascii="Arial" w:hAnsi="Arial" w:cs="Arial"/>
        </w:rPr>
        <w:instrText xml:space="preserve"> SEQ Table \* ARABIC \s 1 </w:instrText>
      </w:r>
      <w:r>
        <w:rPr>
          <w:rFonts w:ascii="Arial" w:hAnsi="Arial" w:cs="Arial"/>
        </w:rPr>
        <w:fldChar w:fldCharType="separate"/>
      </w:r>
      <w:r w:rsidR="00423FC9">
        <w:rPr>
          <w:rFonts w:ascii="Arial" w:hAnsi="Arial" w:cs="Arial"/>
          <w:noProof/>
        </w:rPr>
        <w:t>3</w:t>
      </w:r>
      <w:r>
        <w:rPr>
          <w:rFonts w:ascii="Arial" w:hAnsi="Arial" w:cs="Arial"/>
        </w:rPr>
        <w:fldChar w:fldCharType="end"/>
      </w:r>
      <w:r w:rsidRPr="00FA6036">
        <w:rPr>
          <w:rFonts w:ascii="Arial" w:hAnsi="Arial" w:cs="Arial"/>
        </w:rPr>
        <w:t>:</w:t>
      </w:r>
      <w:r>
        <w:t xml:space="preserve">  </w:t>
      </w:r>
      <w:r w:rsidRPr="00284760">
        <w:rPr>
          <w:rFonts w:ascii="Arial" w:hAnsi="Arial" w:cs="Arial"/>
        </w:rPr>
        <w:t>Input and output estimates for</w:t>
      </w:r>
      <w:r>
        <w:rPr>
          <w:rFonts w:ascii="Arial" w:hAnsi="Arial" w:cs="Arial"/>
        </w:rPr>
        <w:t xml:space="preserve"> mercury switches and relays</w:t>
      </w:r>
      <w:bookmarkEnd w:id="92"/>
    </w:p>
    <w:tbl>
      <w:tblPr>
        <w:tblStyle w:val="TableGrid"/>
        <w:tblW w:w="9285" w:type="dxa"/>
        <w:tblLayout w:type="fixed"/>
        <w:tblLook w:val="04A0" w:firstRow="1" w:lastRow="0" w:firstColumn="1" w:lastColumn="0" w:noHBand="0" w:noVBand="1"/>
      </w:tblPr>
      <w:tblGrid>
        <w:gridCol w:w="1704"/>
        <w:gridCol w:w="1197"/>
        <w:gridCol w:w="1254"/>
        <w:gridCol w:w="1425"/>
        <w:gridCol w:w="1235"/>
        <w:gridCol w:w="1235"/>
        <w:gridCol w:w="1235"/>
      </w:tblGrid>
      <w:tr w:rsidR="00CC1036" w14:paraId="01CB92A3" w14:textId="77777777" w:rsidTr="00CF1189">
        <w:trPr>
          <w:trHeight w:val="776"/>
        </w:trPr>
        <w:tc>
          <w:tcPr>
            <w:tcW w:w="1704" w:type="dxa"/>
            <w:vMerge w:val="restart"/>
            <w:vAlign w:val="center"/>
          </w:tcPr>
          <w:p w14:paraId="32735EFA" w14:textId="77777777" w:rsidR="00CC1036" w:rsidRPr="00F31685" w:rsidRDefault="00CC1036" w:rsidP="00430120">
            <w:pPr>
              <w:spacing w:line="300" w:lineRule="atLeast"/>
              <w:jc w:val="center"/>
              <w:rPr>
                <w:rFonts w:ascii="Arial" w:hAnsi="Arial" w:cs="Arial"/>
                <w:b/>
                <w:sz w:val="16"/>
                <w:szCs w:val="16"/>
              </w:rPr>
            </w:pPr>
            <w:r w:rsidRPr="00F31685">
              <w:rPr>
                <w:rFonts w:ascii="Arial" w:hAnsi="Arial" w:cs="Arial"/>
                <w:b/>
                <w:sz w:val="16"/>
                <w:szCs w:val="16"/>
              </w:rPr>
              <w:t>Source</w:t>
            </w:r>
          </w:p>
        </w:tc>
        <w:tc>
          <w:tcPr>
            <w:tcW w:w="1197" w:type="dxa"/>
            <w:vMerge w:val="restart"/>
            <w:vAlign w:val="center"/>
          </w:tcPr>
          <w:p w14:paraId="0F0F6AAD" w14:textId="77777777" w:rsidR="00CC1036" w:rsidRPr="00F31685" w:rsidRDefault="00CC1036" w:rsidP="00430120">
            <w:pPr>
              <w:spacing w:line="300" w:lineRule="atLeast"/>
              <w:jc w:val="center"/>
              <w:rPr>
                <w:rFonts w:ascii="Arial" w:hAnsi="Arial" w:cs="Arial"/>
                <w:b/>
                <w:sz w:val="16"/>
                <w:szCs w:val="16"/>
              </w:rPr>
            </w:pPr>
            <w:r>
              <w:rPr>
                <w:rFonts w:ascii="Arial" w:hAnsi="Arial" w:cs="Arial"/>
                <w:b/>
                <w:sz w:val="16"/>
                <w:szCs w:val="16"/>
              </w:rPr>
              <w:t>‘</w:t>
            </w:r>
            <w:r w:rsidRPr="00F31685">
              <w:rPr>
                <w:rFonts w:ascii="Arial" w:hAnsi="Arial" w:cs="Arial"/>
                <w:b/>
                <w:sz w:val="16"/>
                <w:szCs w:val="16"/>
              </w:rPr>
              <w:t>Activity</w:t>
            </w:r>
            <w:r>
              <w:rPr>
                <w:rFonts w:ascii="Arial" w:hAnsi="Arial" w:cs="Arial"/>
                <w:b/>
                <w:sz w:val="16"/>
                <w:szCs w:val="16"/>
              </w:rPr>
              <w:t>’ (population)</w:t>
            </w:r>
          </w:p>
        </w:tc>
        <w:tc>
          <w:tcPr>
            <w:tcW w:w="1254" w:type="dxa"/>
            <w:vMerge w:val="restart"/>
            <w:vAlign w:val="center"/>
          </w:tcPr>
          <w:p w14:paraId="5D7C17C2" w14:textId="77777777" w:rsidR="00CC1036" w:rsidRPr="00F31685" w:rsidRDefault="00CC1036" w:rsidP="00430120">
            <w:pPr>
              <w:spacing w:line="300" w:lineRule="atLeast"/>
              <w:jc w:val="center"/>
              <w:rPr>
                <w:rFonts w:ascii="Arial" w:hAnsi="Arial" w:cs="Arial"/>
                <w:b/>
                <w:sz w:val="16"/>
                <w:szCs w:val="16"/>
              </w:rPr>
            </w:pPr>
            <w:r>
              <w:rPr>
                <w:rFonts w:ascii="Arial" w:hAnsi="Arial" w:cs="Arial"/>
                <w:b/>
                <w:sz w:val="16"/>
                <w:szCs w:val="16"/>
              </w:rPr>
              <w:t>Mercury input rate, g/capita</w:t>
            </w:r>
          </w:p>
        </w:tc>
        <w:tc>
          <w:tcPr>
            <w:tcW w:w="1425" w:type="dxa"/>
            <w:vMerge w:val="restart"/>
            <w:vAlign w:val="center"/>
          </w:tcPr>
          <w:p w14:paraId="7CA84E0E" w14:textId="77777777" w:rsidR="00CC1036" w:rsidRPr="00F31685" w:rsidRDefault="00CC1036" w:rsidP="00430120">
            <w:pPr>
              <w:spacing w:line="300" w:lineRule="atLeast"/>
              <w:jc w:val="center"/>
              <w:rPr>
                <w:rFonts w:ascii="Arial" w:hAnsi="Arial" w:cs="Arial"/>
                <w:b/>
                <w:sz w:val="16"/>
                <w:szCs w:val="16"/>
              </w:rPr>
            </w:pPr>
            <w:r w:rsidRPr="00F31685">
              <w:rPr>
                <w:rFonts w:ascii="Arial" w:hAnsi="Arial" w:cs="Arial"/>
                <w:b/>
                <w:sz w:val="16"/>
                <w:szCs w:val="16"/>
              </w:rPr>
              <w:t>Annual Mercury Inputs, kg/</w:t>
            </w:r>
            <w:proofErr w:type="spellStart"/>
            <w:r w:rsidRPr="00F31685">
              <w:rPr>
                <w:rFonts w:ascii="Arial" w:hAnsi="Arial" w:cs="Arial"/>
                <w:b/>
                <w:sz w:val="16"/>
                <w:szCs w:val="16"/>
              </w:rPr>
              <w:t>yr</w:t>
            </w:r>
            <w:proofErr w:type="spellEnd"/>
          </w:p>
        </w:tc>
        <w:tc>
          <w:tcPr>
            <w:tcW w:w="3705" w:type="dxa"/>
            <w:gridSpan w:val="3"/>
            <w:vAlign w:val="center"/>
          </w:tcPr>
          <w:p w14:paraId="5FC77475" w14:textId="77777777" w:rsidR="00CC1036" w:rsidRPr="00F31685" w:rsidRDefault="00CC1036" w:rsidP="00430120">
            <w:pPr>
              <w:spacing w:line="300" w:lineRule="atLeast"/>
              <w:jc w:val="center"/>
              <w:rPr>
                <w:rFonts w:ascii="Arial" w:hAnsi="Arial" w:cs="Arial"/>
                <w:b/>
                <w:sz w:val="16"/>
                <w:szCs w:val="16"/>
              </w:rPr>
            </w:pPr>
            <w:r w:rsidRPr="009B0A69">
              <w:rPr>
                <w:rFonts w:ascii="Arial" w:hAnsi="Arial" w:cs="Arial"/>
                <w:b/>
                <w:sz w:val="16"/>
                <w:szCs w:val="16"/>
              </w:rPr>
              <w:t>Annual Mercury Outputs, kg/</w:t>
            </w:r>
            <w:proofErr w:type="spellStart"/>
            <w:r w:rsidRPr="009B0A69">
              <w:rPr>
                <w:rFonts w:ascii="Arial" w:hAnsi="Arial" w:cs="Arial"/>
                <w:b/>
                <w:sz w:val="16"/>
                <w:szCs w:val="16"/>
              </w:rPr>
              <w:t>yr</w:t>
            </w:r>
            <w:proofErr w:type="spellEnd"/>
          </w:p>
        </w:tc>
      </w:tr>
      <w:tr w:rsidR="00CC1036" w14:paraId="01685EC9" w14:textId="77777777" w:rsidTr="00CF1189">
        <w:tc>
          <w:tcPr>
            <w:tcW w:w="1704" w:type="dxa"/>
            <w:vMerge/>
            <w:vAlign w:val="center"/>
          </w:tcPr>
          <w:p w14:paraId="79C51A6E" w14:textId="77777777" w:rsidR="00CC1036" w:rsidRPr="00F31685" w:rsidRDefault="00CC1036" w:rsidP="00430120">
            <w:pPr>
              <w:spacing w:line="300" w:lineRule="atLeast"/>
              <w:jc w:val="center"/>
              <w:rPr>
                <w:rFonts w:ascii="Arial" w:hAnsi="Arial" w:cs="Arial"/>
                <w:b/>
                <w:sz w:val="16"/>
                <w:szCs w:val="16"/>
              </w:rPr>
            </w:pPr>
          </w:p>
        </w:tc>
        <w:tc>
          <w:tcPr>
            <w:tcW w:w="1197" w:type="dxa"/>
            <w:vMerge/>
            <w:vAlign w:val="center"/>
          </w:tcPr>
          <w:p w14:paraId="1993D60B" w14:textId="77777777" w:rsidR="00CC1036" w:rsidRPr="00F31685" w:rsidRDefault="00CC1036" w:rsidP="00430120">
            <w:pPr>
              <w:spacing w:line="300" w:lineRule="atLeast"/>
              <w:jc w:val="center"/>
              <w:rPr>
                <w:rFonts w:ascii="Arial" w:hAnsi="Arial" w:cs="Arial"/>
                <w:b/>
                <w:sz w:val="16"/>
                <w:szCs w:val="16"/>
              </w:rPr>
            </w:pPr>
          </w:p>
        </w:tc>
        <w:tc>
          <w:tcPr>
            <w:tcW w:w="1254" w:type="dxa"/>
            <w:vMerge/>
            <w:vAlign w:val="center"/>
          </w:tcPr>
          <w:p w14:paraId="57871393" w14:textId="77777777" w:rsidR="00CC1036" w:rsidRPr="00F31685" w:rsidRDefault="00CC1036" w:rsidP="00430120">
            <w:pPr>
              <w:spacing w:line="300" w:lineRule="atLeast"/>
              <w:jc w:val="center"/>
              <w:rPr>
                <w:rFonts w:ascii="Arial" w:hAnsi="Arial" w:cs="Arial"/>
                <w:b/>
                <w:sz w:val="16"/>
                <w:szCs w:val="16"/>
              </w:rPr>
            </w:pPr>
          </w:p>
        </w:tc>
        <w:tc>
          <w:tcPr>
            <w:tcW w:w="1425" w:type="dxa"/>
            <w:vMerge/>
            <w:vAlign w:val="center"/>
          </w:tcPr>
          <w:p w14:paraId="7406D55A" w14:textId="77777777" w:rsidR="00CC1036" w:rsidRPr="00F31685" w:rsidRDefault="00CC1036" w:rsidP="00430120">
            <w:pPr>
              <w:spacing w:line="300" w:lineRule="atLeast"/>
              <w:jc w:val="center"/>
              <w:rPr>
                <w:rFonts w:ascii="Arial" w:hAnsi="Arial" w:cs="Arial"/>
                <w:b/>
                <w:sz w:val="16"/>
                <w:szCs w:val="16"/>
              </w:rPr>
            </w:pPr>
          </w:p>
        </w:tc>
        <w:tc>
          <w:tcPr>
            <w:tcW w:w="1235" w:type="dxa"/>
            <w:vAlign w:val="center"/>
          </w:tcPr>
          <w:p w14:paraId="4533CD90" w14:textId="77777777" w:rsidR="00CC1036" w:rsidRPr="00F31685" w:rsidRDefault="00CC1036" w:rsidP="00430120">
            <w:pPr>
              <w:spacing w:line="300" w:lineRule="atLeast"/>
              <w:jc w:val="center"/>
              <w:rPr>
                <w:rFonts w:ascii="Arial" w:hAnsi="Arial" w:cs="Arial"/>
                <w:b/>
                <w:sz w:val="16"/>
                <w:szCs w:val="16"/>
              </w:rPr>
            </w:pPr>
            <w:r w:rsidRPr="00F31685">
              <w:rPr>
                <w:rFonts w:ascii="Arial" w:hAnsi="Arial" w:cs="Arial"/>
                <w:b/>
                <w:sz w:val="16"/>
                <w:szCs w:val="16"/>
              </w:rPr>
              <w:t>Air</w:t>
            </w:r>
          </w:p>
        </w:tc>
        <w:tc>
          <w:tcPr>
            <w:tcW w:w="1235" w:type="dxa"/>
            <w:vAlign w:val="center"/>
          </w:tcPr>
          <w:p w14:paraId="6F61EE7E" w14:textId="77777777" w:rsidR="00CC1036" w:rsidRPr="00F31685" w:rsidRDefault="00CC1036" w:rsidP="00430120">
            <w:pPr>
              <w:spacing w:line="300" w:lineRule="atLeast"/>
              <w:jc w:val="center"/>
              <w:rPr>
                <w:rFonts w:ascii="Arial" w:hAnsi="Arial" w:cs="Arial"/>
                <w:b/>
                <w:sz w:val="16"/>
                <w:szCs w:val="16"/>
              </w:rPr>
            </w:pPr>
            <w:r>
              <w:rPr>
                <w:rFonts w:ascii="Arial" w:hAnsi="Arial" w:cs="Arial"/>
                <w:b/>
                <w:sz w:val="16"/>
                <w:szCs w:val="16"/>
              </w:rPr>
              <w:t>Land</w:t>
            </w:r>
          </w:p>
        </w:tc>
        <w:tc>
          <w:tcPr>
            <w:tcW w:w="1235" w:type="dxa"/>
            <w:vAlign w:val="center"/>
          </w:tcPr>
          <w:p w14:paraId="1B07482B" w14:textId="77777777" w:rsidR="00CC1036" w:rsidRPr="00F31685" w:rsidRDefault="00CC1036" w:rsidP="00430120">
            <w:pPr>
              <w:spacing w:line="300" w:lineRule="atLeast"/>
              <w:jc w:val="center"/>
              <w:rPr>
                <w:rFonts w:ascii="Arial" w:hAnsi="Arial" w:cs="Arial"/>
                <w:b/>
                <w:sz w:val="16"/>
                <w:szCs w:val="16"/>
              </w:rPr>
            </w:pPr>
            <w:r>
              <w:rPr>
                <w:rFonts w:ascii="Arial" w:hAnsi="Arial" w:cs="Arial"/>
                <w:b/>
                <w:sz w:val="16"/>
                <w:szCs w:val="16"/>
              </w:rPr>
              <w:t>Waste</w:t>
            </w:r>
          </w:p>
        </w:tc>
      </w:tr>
      <w:tr w:rsidR="00CC1036" w14:paraId="4E331AA1" w14:textId="77777777" w:rsidTr="00FB4130">
        <w:tc>
          <w:tcPr>
            <w:tcW w:w="1704" w:type="dxa"/>
            <w:vAlign w:val="center"/>
          </w:tcPr>
          <w:p w14:paraId="1C08EB3C" w14:textId="77777777" w:rsidR="00CC1036" w:rsidRPr="00F31685" w:rsidRDefault="00CC1036" w:rsidP="00FB4130">
            <w:pPr>
              <w:spacing w:line="300" w:lineRule="atLeast"/>
              <w:rPr>
                <w:rFonts w:ascii="Arial" w:hAnsi="Arial" w:cs="Arial"/>
                <w:sz w:val="16"/>
                <w:szCs w:val="16"/>
              </w:rPr>
            </w:pPr>
            <w:r>
              <w:rPr>
                <w:rFonts w:ascii="Arial" w:hAnsi="Arial" w:cs="Arial"/>
                <w:sz w:val="16"/>
                <w:szCs w:val="16"/>
              </w:rPr>
              <w:t>Annual usage</w:t>
            </w:r>
            <w:r w:rsidR="00CF1189">
              <w:rPr>
                <w:rFonts w:ascii="Arial" w:hAnsi="Arial" w:cs="Arial"/>
                <w:sz w:val="16"/>
                <w:szCs w:val="16"/>
              </w:rPr>
              <w:t>, 2012</w:t>
            </w:r>
          </w:p>
        </w:tc>
        <w:tc>
          <w:tcPr>
            <w:tcW w:w="1197" w:type="dxa"/>
            <w:vAlign w:val="center"/>
          </w:tcPr>
          <w:p w14:paraId="1D3528B4" w14:textId="77777777" w:rsidR="00CC1036" w:rsidRDefault="00CC1036" w:rsidP="00430120">
            <w:pPr>
              <w:spacing w:line="300" w:lineRule="atLeast"/>
              <w:jc w:val="center"/>
              <w:rPr>
                <w:rFonts w:ascii="Arial" w:hAnsi="Arial" w:cs="Arial"/>
                <w:sz w:val="16"/>
                <w:szCs w:val="16"/>
              </w:rPr>
            </w:pPr>
            <w:r>
              <w:rPr>
                <w:rFonts w:ascii="Arial" w:hAnsi="Arial" w:cs="Arial"/>
                <w:sz w:val="16"/>
                <w:szCs w:val="16"/>
              </w:rPr>
              <w:t>4.4 x 10</w:t>
            </w:r>
            <w:r w:rsidRPr="00F9273E">
              <w:rPr>
                <w:rFonts w:ascii="Arial" w:hAnsi="Arial" w:cs="Arial"/>
                <w:sz w:val="16"/>
                <w:szCs w:val="16"/>
                <w:vertAlign w:val="superscript"/>
              </w:rPr>
              <w:t>6</w:t>
            </w:r>
          </w:p>
        </w:tc>
        <w:tc>
          <w:tcPr>
            <w:tcW w:w="1254" w:type="dxa"/>
            <w:vAlign w:val="center"/>
          </w:tcPr>
          <w:p w14:paraId="1B674072" w14:textId="77777777" w:rsidR="00CC1036" w:rsidRDefault="00CC1036" w:rsidP="00430120">
            <w:pPr>
              <w:spacing w:line="300" w:lineRule="atLeast"/>
              <w:jc w:val="center"/>
              <w:rPr>
                <w:rFonts w:ascii="Arial" w:hAnsi="Arial" w:cs="Arial"/>
                <w:sz w:val="16"/>
                <w:szCs w:val="16"/>
              </w:rPr>
            </w:pPr>
            <w:r>
              <w:rPr>
                <w:rFonts w:ascii="Arial" w:hAnsi="Arial" w:cs="Arial"/>
                <w:sz w:val="16"/>
                <w:szCs w:val="16"/>
              </w:rPr>
              <w:t>0.002 – 0.02</w:t>
            </w:r>
          </w:p>
        </w:tc>
        <w:tc>
          <w:tcPr>
            <w:tcW w:w="1425" w:type="dxa"/>
            <w:vAlign w:val="center"/>
          </w:tcPr>
          <w:p w14:paraId="63201656" w14:textId="1FD108C8" w:rsidR="00CC1036" w:rsidRDefault="00CC1036" w:rsidP="00430120">
            <w:pPr>
              <w:spacing w:line="300" w:lineRule="atLeast"/>
              <w:jc w:val="center"/>
              <w:rPr>
                <w:rFonts w:ascii="Arial" w:hAnsi="Arial" w:cs="Arial"/>
                <w:sz w:val="16"/>
                <w:szCs w:val="16"/>
              </w:rPr>
            </w:pPr>
            <w:r>
              <w:rPr>
                <w:rFonts w:ascii="Arial" w:hAnsi="Arial" w:cs="Arial"/>
                <w:sz w:val="16"/>
                <w:szCs w:val="16"/>
              </w:rPr>
              <w:t>8.8 – 88</w:t>
            </w:r>
            <w:r w:rsidR="006E651F">
              <w:rPr>
                <w:rFonts w:ascii="Arial" w:hAnsi="Arial" w:cs="Arial"/>
                <w:sz w:val="16"/>
                <w:szCs w:val="16"/>
              </w:rPr>
              <w:t xml:space="preserve">     (48.4)</w:t>
            </w:r>
          </w:p>
        </w:tc>
        <w:tc>
          <w:tcPr>
            <w:tcW w:w="1235" w:type="dxa"/>
            <w:vAlign w:val="center"/>
          </w:tcPr>
          <w:p w14:paraId="6105DD49" w14:textId="457C62DD" w:rsidR="00CC1036" w:rsidRDefault="00CC1036" w:rsidP="00430120">
            <w:pPr>
              <w:spacing w:line="300" w:lineRule="atLeast"/>
              <w:jc w:val="center"/>
              <w:rPr>
                <w:rFonts w:ascii="Arial" w:hAnsi="Arial" w:cs="Arial"/>
                <w:sz w:val="16"/>
                <w:szCs w:val="16"/>
              </w:rPr>
            </w:pPr>
            <w:r>
              <w:rPr>
                <w:rFonts w:ascii="Arial" w:hAnsi="Arial" w:cs="Arial"/>
                <w:sz w:val="16"/>
                <w:szCs w:val="16"/>
              </w:rPr>
              <w:t>0.9 – 8.8</w:t>
            </w:r>
            <w:r w:rsidR="006E651F">
              <w:rPr>
                <w:rFonts w:ascii="Arial" w:hAnsi="Arial" w:cs="Arial"/>
                <w:sz w:val="16"/>
                <w:szCs w:val="16"/>
              </w:rPr>
              <w:t xml:space="preserve"> (4.84)</w:t>
            </w:r>
          </w:p>
        </w:tc>
        <w:tc>
          <w:tcPr>
            <w:tcW w:w="1235" w:type="dxa"/>
          </w:tcPr>
          <w:p w14:paraId="39071B3A" w14:textId="4FE9980B" w:rsidR="00CC1036" w:rsidRDefault="00CC1036" w:rsidP="00430120">
            <w:pPr>
              <w:spacing w:line="300" w:lineRule="atLeast"/>
              <w:jc w:val="center"/>
              <w:rPr>
                <w:rFonts w:ascii="Arial" w:hAnsi="Arial" w:cs="Arial"/>
                <w:sz w:val="16"/>
                <w:szCs w:val="16"/>
              </w:rPr>
            </w:pPr>
            <w:r>
              <w:rPr>
                <w:rFonts w:ascii="Arial" w:hAnsi="Arial" w:cs="Arial"/>
                <w:sz w:val="16"/>
                <w:szCs w:val="16"/>
              </w:rPr>
              <w:t xml:space="preserve">0.9 – 8.8 </w:t>
            </w:r>
            <w:r w:rsidR="006E651F">
              <w:rPr>
                <w:rFonts w:ascii="Arial" w:hAnsi="Arial" w:cs="Arial"/>
                <w:sz w:val="16"/>
                <w:szCs w:val="16"/>
              </w:rPr>
              <w:t>(4.84)</w:t>
            </w:r>
          </w:p>
        </w:tc>
        <w:tc>
          <w:tcPr>
            <w:tcW w:w="1235" w:type="dxa"/>
            <w:vAlign w:val="center"/>
          </w:tcPr>
          <w:p w14:paraId="60AC5483" w14:textId="32B4955D" w:rsidR="00CC1036" w:rsidRDefault="00CC1036" w:rsidP="00430120">
            <w:pPr>
              <w:spacing w:line="300" w:lineRule="atLeast"/>
              <w:jc w:val="center"/>
              <w:rPr>
                <w:rFonts w:ascii="Arial" w:hAnsi="Arial" w:cs="Arial"/>
                <w:sz w:val="16"/>
                <w:szCs w:val="16"/>
              </w:rPr>
            </w:pPr>
            <w:r>
              <w:rPr>
                <w:rFonts w:ascii="Arial" w:hAnsi="Arial" w:cs="Arial"/>
                <w:sz w:val="16"/>
                <w:szCs w:val="16"/>
              </w:rPr>
              <w:t xml:space="preserve">7.0 – 70.4 </w:t>
            </w:r>
            <w:r w:rsidR="006E651F">
              <w:rPr>
                <w:rFonts w:ascii="Arial" w:hAnsi="Arial" w:cs="Arial"/>
                <w:sz w:val="16"/>
                <w:szCs w:val="16"/>
              </w:rPr>
              <w:t>(38.7)</w:t>
            </w:r>
          </w:p>
        </w:tc>
      </w:tr>
      <w:tr w:rsidR="006E651F" w14:paraId="553AE895" w14:textId="77777777" w:rsidTr="00FB4130">
        <w:tc>
          <w:tcPr>
            <w:tcW w:w="1704" w:type="dxa"/>
            <w:vAlign w:val="center"/>
          </w:tcPr>
          <w:p w14:paraId="199161B1" w14:textId="77777777" w:rsidR="006E651F" w:rsidRDefault="006E651F" w:rsidP="00FB4130">
            <w:pPr>
              <w:spacing w:line="300" w:lineRule="atLeast"/>
              <w:rPr>
                <w:rFonts w:ascii="Arial" w:hAnsi="Arial" w:cs="Arial"/>
                <w:sz w:val="16"/>
                <w:szCs w:val="16"/>
              </w:rPr>
            </w:pPr>
            <w:r>
              <w:rPr>
                <w:rFonts w:ascii="Arial" w:hAnsi="Arial" w:cs="Arial"/>
                <w:sz w:val="16"/>
                <w:szCs w:val="16"/>
              </w:rPr>
              <w:t>Annual usage, 2016</w:t>
            </w:r>
          </w:p>
        </w:tc>
        <w:tc>
          <w:tcPr>
            <w:tcW w:w="1197" w:type="dxa"/>
            <w:vAlign w:val="center"/>
          </w:tcPr>
          <w:p w14:paraId="795D768C" w14:textId="77777777" w:rsidR="006E651F" w:rsidRDefault="006E651F" w:rsidP="006E651F">
            <w:pPr>
              <w:spacing w:line="300" w:lineRule="atLeast"/>
              <w:jc w:val="center"/>
              <w:rPr>
                <w:rFonts w:ascii="Arial" w:hAnsi="Arial" w:cs="Arial"/>
                <w:sz w:val="16"/>
                <w:szCs w:val="16"/>
              </w:rPr>
            </w:pPr>
            <w:r>
              <w:rPr>
                <w:rFonts w:ascii="Arial" w:hAnsi="Arial" w:cs="Arial"/>
                <w:sz w:val="16"/>
                <w:szCs w:val="16"/>
              </w:rPr>
              <w:t>4.7 x 10</w:t>
            </w:r>
            <w:r w:rsidRPr="000A1874">
              <w:rPr>
                <w:rFonts w:ascii="Arial" w:hAnsi="Arial" w:cs="Arial"/>
                <w:sz w:val="16"/>
                <w:szCs w:val="16"/>
                <w:vertAlign w:val="superscript"/>
              </w:rPr>
              <w:t>6</w:t>
            </w:r>
          </w:p>
        </w:tc>
        <w:tc>
          <w:tcPr>
            <w:tcW w:w="1254" w:type="dxa"/>
            <w:vAlign w:val="center"/>
          </w:tcPr>
          <w:p w14:paraId="1199E25B" w14:textId="77777777" w:rsidR="006E651F" w:rsidRDefault="006E651F" w:rsidP="006E651F">
            <w:pPr>
              <w:spacing w:line="300" w:lineRule="atLeast"/>
              <w:jc w:val="center"/>
              <w:rPr>
                <w:rFonts w:ascii="Arial" w:hAnsi="Arial" w:cs="Arial"/>
                <w:sz w:val="16"/>
                <w:szCs w:val="16"/>
              </w:rPr>
            </w:pPr>
            <w:r>
              <w:rPr>
                <w:rFonts w:ascii="Arial" w:hAnsi="Arial" w:cs="Arial"/>
                <w:sz w:val="16"/>
                <w:szCs w:val="16"/>
              </w:rPr>
              <w:t>0.002 – 0.02</w:t>
            </w:r>
          </w:p>
        </w:tc>
        <w:tc>
          <w:tcPr>
            <w:tcW w:w="1425" w:type="dxa"/>
            <w:vAlign w:val="center"/>
          </w:tcPr>
          <w:p w14:paraId="578D7C86" w14:textId="15FAC2B8" w:rsidR="006E651F" w:rsidRDefault="006E651F" w:rsidP="006E651F">
            <w:pPr>
              <w:spacing w:line="300" w:lineRule="atLeast"/>
              <w:jc w:val="center"/>
              <w:rPr>
                <w:rFonts w:ascii="Arial" w:hAnsi="Arial" w:cs="Arial"/>
                <w:sz w:val="16"/>
                <w:szCs w:val="16"/>
              </w:rPr>
            </w:pPr>
            <w:r>
              <w:rPr>
                <w:rFonts w:ascii="Arial" w:hAnsi="Arial" w:cs="Arial"/>
                <w:sz w:val="16"/>
                <w:szCs w:val="16"/>
              </w:rPr>
              <w:t>9.4 - 94      (51.7</w:t>
            </w:r>
            <w:r w:rsidR="00E13A5B">
              <w:rPr>
                <w:rFonts w:ascii="Arial" w:hAnsi="Arial" w:cs="Arial"/>
                <w:sz w:val="16"/>
                <w:szCs w:val="16"/>
              </w:rPr>
              <w:t>0</w:t>
            </w:r>
            <w:r>
              <w:rPr>
                <w:rFonts w:ascii="Arial" w:hAnsi="Arial" w:cs="Arial"/>
                <w:sz w:val="16"/>
                <w:szCs w:val="16"/>
              </w:rPr>
              <w:t>)</w:t>
            </w:r>
          </w:p>
        </w:tc>
        <w:tc>
          <w:tcPr>
            <w:tcW w:w="1235" w:type="dxa"/>
            <w:vAlign w:val="center"/>
          </w:tcPr>
          <w:p w14:paraId="69EEF4BF" w14:textId="10FAF0CD" w:rsidR="006E651F" w:rsidRDefault="006E651F" w:rsidP="006E651F">
            <w:pPr>
              <w:spacing w:line="300" w:lineRule="atLeast"/>
              <w:jc w:val="center"/>
              <w:rPr>
                <w:rFonts w:ascii="Arial" w:hAnsi="Arial" w:cs="Arial"/>
                <w:sz w:val="16"/>
                <w:szCs w:val="16"/>
              </w:rPr>
            </w:pPr>
            <w:r w:rsidRPr="00851857">
              <w:rPr>
                <w:rFonts w:ascii="Arial" w:hAnsi="Arial" w:cs="Arial"/>
                <w:sz w:val="16"/>
                <w:szCs w:val="16"/>
              </w:rPr>
              <w:t>0.9</w:t>
            </w:r>
            <w:r>
              <w:rPr>
                <w:rFonts w:ascii="Arial" w:hAnsi="Arial" w:cs="Arial"/>
                <w:sz w:val="16"/>
                <w:szCs w:val="16"/>
              </w:rPr>
              <w:t>4 – 9.4 (5.17)</w:t>
            </w:r>
          </w:p>
        </w:tc>
        <w:tc>
          <w:tcPr>
            <w:tcW w:w="1235" w:type="dxa"/>
          </w:tcPr>
          <w:p w14:paraId="0F303BF3" w14:textId="44B41391" w:rsidR="006E651F" w:rsidRDefault="009E4945" w:rsidP="006E651F">
            <w:pPr>
              <w:spacing w:line="300" w:lineRule="atLeast"/>
              <w:jc w:val="center"/>
              <w:rPr>
                <w:rFonts w:ascii="Arial" w:hAnsi="Arial" w:cs="Arial"/>
                <w:sz w:val="16"/>
                <w:szCs w:val="16"/>
              </w:rPr>
            </w:pPr>
            <w:r>
              <w:rPr>
                <w:rFonts w:ascii="Arial" w:hAnsi="Arial" w:cs="Arial"/>
                <w:sz w:val="16"/>
                <w:szCs w:val="16"/>
              </w:rPr>
              <w:t>0.9</w:t>
            </w:r>
            <w:r w:rsidR="006E651F">
              <w:rPr>
                <w:rFonts w:ascii="Arial" w:hAnsi="Arial" w:cs="Arial"/>
                <w:sz w:val="16"/>
                <w:szCs w:val="16"/>
              </w:rPr>
              <w:t>4 – 9.4   (5.17)</w:t>
            </w:r>
          </w:p>
        </w:tc>
        <w:tc>
          <w:tcPr>
            <w:tcW w:w="1235" w:type="dxa"/>
            <w:vAlign w:val="center"/>
          </w:tcPr>
          <w:p w14:paraId="487896B8" w14:textId="7D847E7F" w:rsidR="006E651F" w:rsidRDefault="006E651F" w:rsidP="006E651F">
            <w:pPr>
              <w:spacing w:line="300" w:lineRule="atLeast"/>
              <w:jc w:val="center"/>
              <w:rPr>
                <w:rFonts w:ascii="Arial" w:hAnsi="Arial" w:cs="Arial"/>
                <w:sz w:val="16"/>
                <w:szCs w:val="16"/>
              </w:rPr>
            </w:pPr>
            <w:r>
              <w:rPr>
                <w:rFonts w:ascii="Arial" w:hAnsi="Arial" w:cs="Arial"/>
                <w:sz w:val="16"/>
                <w:szCs w:val="16"/>
              </w:rPr>
              <w:t>7.5 – 75.2 (41.36)</w:t>
            </w:r>
          </w:p>
        </w:tc>
      </w:tr>
    </w:tbl>
    <w:p w14:paraId="4FF990DE" w14:textId="77777777" w:rsidR="0087321F" w:rsidRPr="00BE17CF" w:rsidRDefault="0087321F" w:rsidP="0087321F">
      <w:pPr>
        <w:tabs>
          <w:tab w:val="left" w:pos="2760"/>
        </w:tabs>
        <w:spacing w:before="120" w:line="300" w:lineRule="atLeast"/>
        <w:jc w:val="both"/>
        <w:rPr>
          <w:rFonts w:ascii="Arial" w:hAnsi="Arial" w:cs="Arial"/>
          <w:b/>
          <w:szCs w:val="18"/>
        </w:rPr>
      </w:pPr>
      <w:r w:rsidRPr="00BE17CF">
        <w:rPr>
          <w:rFonts w:ascii="Arial" w:hAnsi="Arial" w:cs="Arial"/>
          <w:b/>
          <w:szCs w:val="18"/>
        </w:rPr>
        <w:t>Certainty assessment</w:t>
      </w:r>
    </w:p>
    <w:p w14:paraId="34376E57" w14:textId="77777777" w:rsidR="0087321F" w:rsidRDefault="0087321F" w:rsidP="0087321F">
      <w:pPr>
        <w:tabs>
          <w:tab w:val="left" w:pos="1701"/>
        </w:tabs>
        <w:spacing w:line="300" w:lineRule="atLeast"/>
        <w:jc w:val="both"/>
        <w:rPr>
          <w:szCs w:val="18"/>
        </w:rPr>
      </w:pPr>
      <w:r>
        <w:rPr>
          <w:szCs w:val="18"/>
        </w:rPr>
        <w:t xml:space="preserve">Activity data: </w:t>
      </w:r>
      <w:r>
        <w:rPr>
          <w:szCs w:val="18"/>
        </w:rPr>
        <w:tab/>
        <w:t>HIGH (because it is based on national population)</w:t>
      </w:r>
    </w:p>
    <w:p w14:paraId="4D90C357" w14:textId="77777777" w:rsidR="0087321F" w:rsidRDefault="0087321F" w:rsidP="0087321F">
      <w:pPr>
        <w:tabs>
          <w:tab w:val="left" w:pos="1701"/>
        </w:tabs>
        <w:spacing w:line="300" w:lineRule="atLeast"/>
        <w:jc w:val="both"/>
        <w:rPr>
          <w:szCs w:val="18"/>
        </w:rPr>
      </w:pPr>
      <w:r>
        <w:rPr>
          <w:szCs w:val="18"/>
        </w:rPr>
        <w:t xml:space="preserve">Input estimates: </w:t>
      </w:r>
      <w:r>
        <w:rPr>
          <w:szCs w:val="18"/>
        </w:rPr>
        <w:tab/>
        <w:t>LOW (</w:t>
      </w:r>
      <w:r w:rsidRPr="00944DCC">
        <w:rPr>
          <w:szCs w:val="18"/>
        </w:rPr>
        <w:t xml:space="preserve">because </w:t>
      </w:r>
      <w:r>
        <w:rPr>
          <w:szCs w:val="18"/>
        </w:rPr>
        <w:t>they are</w:t>
      </w:r>
      <w:r w:rsidRPr="00944DCC">
        <w:rPr>
          <w:szCs w:val="18"/>
        </w:rPr>
        <w:t xml:space="preserve"> based on </w:t>
      </w:r>
      <w:r>
        <w:rPr>
          <w:szCs w:val="18"/>
        </w:rPr>
        <w:t>the Toolkit default factors)</w:t>
      </w:r>
    </w:p>
    <w:p w14:paraId="45A2C23D" w14:textId="77777777" w:rsidR="0087321F" w:rsidRPr="0028681C" w:rsidRDefault="0087321F" w:rsidP="0087321F">
      <w:pPr>
        <w:tabs>
          <w:tab w:val="left" w:pos="1701"/>
        </w:tabs>
        <w:spacing w:line="300" w:lineRule="atLeast"/>
        <w:jc w:val="both"/>
        <w:rPr>
          <w:szCs w:val="18"/>
        </w:rPr>
      </w:pPr>
      <w:r>
        <w:rPr>
          <w:szCs w:val="18"/>
        </w:rPr>
        <w:t xml:space="preserve">Output estimates: </w:t>
      </w:r>
      <w:r>
        <w:rPr>
          <w:szCs w:val="18"/>
        </w:rPr>
        <w:tab/>
        <w:t>LOW (</w:t>
      </w:r>
      <w:r w:rsidRPr="00944DCC">
        <w:rPr>
          <w:szCs w:val="18"/>
        </w:rPr>
        <w:t xml:space="preserve">because </w:t>
      </w:r>
      <w:r w:rsidRPr="00B871DA">
        <w:rPr>
          <w:szCs w:val="18"/>
        </w:rPr>
        <w:t>they are based on the Toolkit default factors</w:t>
      </w:r>
      <w:r>
        <w:rPr>
          <w:szCs w:val="18"/>
        </w:rPr>
        <w:t>).</w:t>
      </w:r>
    </w:p>
    <w:p w14:paraId="10026BA4" w14:textId="5C602CA7" w:rsidR="00700CDE" w:rsidRPr="00306F85" w:rsidRDefault="00700CDE" w:rsidP="00700CDE">
      <w:pPr>
        <w:pStyle w:val="Heading2"/>
      </w:pPr>
      <w:bookmarkStart w:id="94" w:name="_Toc484949592"/>
      <w:bookmarkEnd w:id="93"/>
      <w:r w:rsidRPr="00306F85">
        <w:t>Light sources (lamps)</w:t>
      </w:r>
      <w:bookmarkEnd w:id="94"/>
    </w:p>
    <w:p w14:paraId="47E81F03" w14:textId="26259C28" w:rsidR="00700CDE" w:rsidRPr="00306F85" w:rsidRDefault="00E979AB" w:rsidP="00E979AB">
      <w:pPr>
        <w:spacing w:line="300" w:lineRule="atLeast"/>
        <w:jc w:val="both"/>
        <w:rPr>
          <w:szCs w:val="18"/>
        </w:rPr>
      </w:pPr>
      <w:r w:rsidRPr="00306F85">
        <w:rPr>
          <w:szCs w:val="18"/>
        </w:rPr>
        <w:t>Mercury is used in small amounts (per lamp) in fluorescent tubes (LFLs) and compact fluorescent lamps (CFLs), and in high-pressure discharge types, such as metal halide, mercury vapour, sodium, and neon lamps</w:t>
      </w:r>
      <w:r w:rsidR="00964A7A" w:rsidRPr="00306F85">
        <w:rPr>
          <w:szCs w:val="18"/>
        </w:rPr>
        <w:t xml:space="preserve"> (</w:t>
      </w:r>
      <w:r w:rsidR="00C738EC" w:rsidRPr="00306F85">
        <w:rPr>
          <w:szCs w:val="18"/>
        </w:rPr>
        <w:t>UNEP, 2017</w:t>
      </w:r>
      <w:r w:rsidR="00964A7A" w:rsidRPr="00306F85">
        <w:rPr>
          <w:szCs w:val="18"/>
        </w:rPr>
        <w:t>)</w:t>
      </w:r>
      <w:r w:rsidRPr="00306F85">
        <w:rPr>
          <w:szCs w:val="18"/>
        </w:rPr>
        <w:t xml:space="preserve">. The most common use for the discharge lamps is in street lighting. Significant progress has been made by </w:t>
      </w:r>
      <w:r w:rsidRPr="00306F85">
        <w:rPr>
          <w:szCs w:val="18"/>
        </w:rPr>
        <w:lastRenderedPageBreak/>
        <w:t xml:space="preserve">some producers to reduce the amount of mercury per lamp, with reductions of about a factor </w:t>
      </w:r>
      <w:r w:rsidR="00917E95" w:rsidRPr="00306F85">
        <w:rPr>
          <w:szCs w:val="18"/>
        </w:rPr>
        <w:t xml:space="preserve">of </w:t>
      </w:r>
      <w:r w:rsidRPr="00306F85">
        <w:rPr>
          <w:szCs w:val="18"/>
        </w:rPr>
        <w:t xml:space="preserve">10 achieved in newer mercury-lamps as compared to traditional types. </w:t>
      </w:r>
      <w:r w:rsidR="00306F85" w:rsidRPr="00306F85">
        <w:rPr>
          <w:szCs w:val="18"/>
        </w:rPr>
        <w:t>I</w:t>
      </w:r>
      <w:r w:rsidR="00306F85">
        <w:rPr>
          <w:szCs w:val="18"/>
        </w:rPr>
        <w:t>ncreasingly i</w:t>
      </w:r>
      <w:r w:rsidR="00306F85" w:rsidRPr="00306F85">
        <w:rPr>
          <w:szCs w:val="18"/>
        </w:rPr>
        <w:t xml:space="preserve">n New Zealand high discharge street lamps are being replaced by light emitting diode (LED) lights which do not contain mercury and which are more energy efficient, have lower maintenance costs and produce a safer driving environment due to improved white light clarity and colour recognition for drivers. </w:t>
      </w:r>
      <w:proofErr w:type="gramStart"/>
      <w:r w:rsidR="00306F85" w:rsidRPr="00306F85">
        <w:rPr>
          <w:szCs w:val="18"/>
        </w:rPr>
        <w:t>(IPWEA, 2016).</w:t>
      </w:r>
      <w:proofErr w:type="gramEnd"/>
      <w:r w:rsidR="00306F85">
        <w:rPr>
          <w:szCs w:val="18"/>
        </w:rPr>
        <w:t xml:space="preserve"> </w:t>
      </w:r>
    </w:p>
    <w:p w14:paraId="5BC9E224" w14:textId="77777777" w:rsidR="000F030B" w:rsidRPr="00306F85" w:rsidRDefault="00B647AA" w:rsidP="003833D6">
      <w:pPr>
        <w:spacing w:line="300" w:lineRule="atLeast"/>
        <w:jc w:val="both"/>
        <w:rPr>
          <w:rFonts w:ascii="Arial" w:hAnsi="Arial" w:cs="Arial"/>
          <w:b/>
          <w:szCs w:val="18"/>
        </w:rPr>
      </w:pPr>
      <w:r w:rsidRPr="00306F85">
        <w:rPr>
          <w:rFonts w:ascii="Arial" w:hAnsi="Arial" w:cs="Arial"/>
          <w:b/>
          <w:szCs w:val="18"/>
        </w:rPr>
        <w:t>LFL</w:t>
      </w:r>
      <w:r w:rsidR="00AD5485" w:rsidRPr="00306F85">
        <w:rPr>
          <w:rFonts w:ascii="Arial" w:hAnsi="Arial" w:cs="Arial"/>
          <w:b/>
          <w:szCs w:val="18"/>
        </w:rPr>
        <w:t>s</w:t>
      </w:r>
      <w:r w:rsidRPr="00306F85">
        <w:rPr>
          <w:rFonts w:ascii="Arial" w:hAnsi="Arial" w:cs="Arial"/>
          <w:b/>
          <w:szCs w:val="18"/>
        </w:rPr>
        <w:t xml:space="preserve"> and CFL</w:t>
      </w:r>
      <w:r w:rsidR="00AD5485" w:rsidRPr="00306F85">
        <w:rPr>
          <w:rFonts w:ascii="Arial" w:hAnsi="Arial" w:cs="Arial"/>
          <w:b/>
          <w:szCs w:val="18"/>
        </w:rPr>
        <w:t>s</w:t>
      </w:r>
    </w:p>
    <w:p w14:paraId="6AF576D0" w14:textId="49E0A149" w:rsidR="00D16E72" w:rsidRDefault="00E4552A" w:rsidP="003833D6">
      <w:pPr>
        <w:spacing w:line="300" w:lineRule="atLeast"/>
        <w:jc w:val="both"/>
        <w:rPr>
          <w:szCs w:val="18"/>
        </w:rPr>
      </w:pPr>
      <w:r w:rsidRPr="009E66DB">
        <w:rPr>
          <w:szCs w:val="18"/>
        </w:rPr>
        <w:t>Import data for fluorescent lamps and tubes was obtained from Statistics New Zealand, covering the per</w:t>
      </w:r>
      <w:r w:rsidRPr="00F6799C">
        <w:rPr>
          <w:szCs w:val="18"/>
        </w:rPr>
        <w:t>iod 2013 to 2016</w:t>
      </w:r>
      <w:r w:rsidRPr="009E66DB">
        <w:rPr>
          <w:szCs w:val="18"/>
        </w:rPr>
        <w:t xml:space="preserve"> (HS Code: 8539.31.00.00). This indicated total annual import</w:t>
      </w:r>
      <w:r w:rsidRPr="00917E24">
        <w:rPr>
          <w:szCs w:val="18"/>
        </w:rPr>
        <w:t>s of LFLs and CFLs of between 4.0 and 6</w:t>
      </w:r>
      <w:r w:rsidRPr="009E66DB">
        <w:rPr>
          <w:szCs w:val="18"/>
        </w:rPr>
        <w:t>.5 m</w:t>
      </w:r>
      <w:r>
        <w:rPr>
          <w:szCs w:val="18"/>
        </w:rPr>
        <w:t>illion units per year, with 4.0</w:t>
      </w:r>
      <w:r w:rsidRPr="00917E24">
        <w:rPr>
          <w:szCs w:val="18"/>
        </w:rPr>
        <w:t xml:space="preserve"> million units imported in 2016</w:t>
      </w:r>
      <w:r w:rsidRPr="009E66DB">
        <w:rPr>
          <w:szCs w:val="18"/>
        </w:rPr>
        <w:t>. The L</w:t>
      </w:r>
      <w:r w:rsidRPr="00EB63BD">
        <w:rPr>
          <w:szCs w:val="18"/>
        </w:rPr>
        <w:t xml:space="preserve">ighting </w:t>
      </w:r>
      <w:r w:rsidRPr="009E66DB">
        <w:rPr>
          <w:szCs w:val="18"/>
        </w:rPr>
        <w:t>C</w:t>
      </w:r>
      <w:r w:rsidRPr="00EB63BD">
        <w:rPr>
          <w:szCs w:val="18"/>
        </w:rPr>
        <w:t xml:space="preserve">ouncil of </w:t>
      </w:r>
      <w:r w:rsidRPr="009E66DB">
        <w:rPr>
          <w:szCs w:val="18"/>
        </w:rPr>
        <w:t>N</w:t>
      </w:r>
      <w:r>
        <w:rPr>
          <w:szCs w:val="18"/>
        </w:rPr>
        <w:t>ew Zealand</w:t>
      </w:r>
      <w:r w:rsidRPr="009E66DB">
        <w:rPr>
          <w:szCs w:val="18"/>
        </w:rPr>
        <w:t xml:space="preserve"> estimates that the split between LFLs and CFLs is approximately 3:2 (</w:t>
      </w:r>
      <w:proofErr w:type="spellStart"/>
      <w:r w:rsidRPr="009E66DB">
        <w:rPr>
          <w:szCs w:val="18"/>
        </w:rPr>
        <w:t>ie</w:t>
      </w:r>
      <w:proofErr w:type="spellEnd"/>
      <w:r w:rsidRPr="009E66DB">
        <w:rPr>
          <w:szCs w:val="18"/>
        </w:rPr>
        <w:t xml:space="preserve"> 60% LFLs), and the current mercury contents are about 4mg for both types of lamps</w:t>
      </w:r>
      <w:r>
        <w:rPr>
          <w:szCs w:val="18"/>
        </w:rPr>
        <w:t xml:space="preserve">. </w:t>
      </w:r>
      <w:proofErr w:type="gramStart"/>
      <w:r>
        <w:rPr>
          <w:szCs w:val="18"/>
        </w:rPr>
        <w:t xml:space="preserve">(B. King, Lighting Council New Zealand, pers. </w:t>
      </w:r>
      <w:proofErr w:type="spellStart"/>
      <w:r>
        <w:rPr>
          <w:szCs w:val="18"/>
        </w:rPr>
        <w:t>comm</w:t>
      </w:r>
      <w:proofErr w:type="spellEnd"/>
      <w:r>
        <w:rPr>
          <w:szCs w:val="18"/>
        </w:rPr>
        <w:t>)</w:t>
      </w:r>
      <w:r w:rsidRPr="009E66DB">
        <w:rPr>
          <w:szCs w:val="18"/>
        </w:rPr>
        <w:t>.</w:t>
      </w:r>
      <w:proofErr w:type="gramEnd"/>
      <w:r w:rsidRPr="009E66DB">
        <w:rPr>
          <w:szCs w:val="18"/>
        </w:rPr>
        <w:t xml:space="preserve"> </w:t>
      </w:r>
      <w:r>
        <w:rPr>
          <w:szCs w:val="18"/>
        </w:rPr>
        <w:t>The import quantities are 15 to 30% lower than those quoted in the 2012 Inventory Report, and this trend of declining fluorescent sales can be attributed to their replacement by LED lamps.</w:t>
      </w:r>
      <w:r w:rsidR="00B647AA" w:rsidRPr="00306F85">
        <w:rPr>
          <w:szCs w:val="18"/>
        </w:rPr>
        <w:t xml:space="preserve"> </w:t>
      </w:r>
    </w:p>
    <w:p w14:paraId="2133504A" w14:textId="2CA42213" w:rsidR="00DF0900" w:rsidRPr="00306F85" w:rsidRDefault="00DF0900" w:rsidP="003833D6">
      <w:pPr>
        <w:spacing w:line="300" w:lineRule="atLeast"/>
        <w:jc w:val="both"/>
        <w:rPr>
          <w:szCs w:val="18"/>
        </w:rPr>
      </w:pPr>
      <w:r>
        <w:rPr>
          <w:szCs w:val="18"/>
        </w:rPr>
        <w:t>The Energy Efficiency &amp; Conservation Authority (EECA) collects sales data for all regulated appliances. For the year ending July 2016 the organisation recorded sales of over 1.4 million CFLs and 1.6 million LFLs. Mercury levels in the CFLs ranged from 1.12 mg – 5 mg. (L. Sinclair, EECA, pers. comm.).</w:t>
      </w:r>
      <w:r w:rsidR="006F0ECC">
        <w:rPr>
          <w:szCs w:val="18"/>
        </w:rPr>
        <w:t xml:space="preserve"> This sales data has been used in estimating the mercury inputs, rather than the bulk import information noted above.</w:t>
      </w:r>
    </w:p>
    <w:p w14:paraId="65DBED71" w14:textId="77777777" w:rsidR="00B647AA" w:rsidRPr="00306F85" w:rsidRDefault="00B647AA" w:rsidP="003833D6">
      <w:pPr>
        <w:spacing w:line="300" w:lineRule="atLeast"/>
        <w:jc w:val="both"/>
        <w:rPr>
          <w:rFonts w:ascii="Arial" w:hAnsi="Arial" w:cs="Arial"/>
          <w:b/>
          <w:szCs w:val="18"/>
        </w:rPr>
      </w:pPr>
      <w:r w:rsidRPr="00306F85">
        <w:rPr>
          <w:rFonts w:ascii="Arial" w:hAnsi="Arial" w:cs="Arial"/>
          <w:b/>
          <w:szCs w:val="18"/>
        </w:rPr>
        <w:t>Other discharge lamps</w:t>
      </w:r>
    </w:p>
    <w:p w14:paraId="4130E6D6" w14:textId="630F2462" w:rsidR="008159A5" w:rsidRPr="00306F85" w:rsidRDefault="003A7F6D" w:rsidP="003833D6">
      <w:pPr>
        <w:spacing w:line="300" w:lineRule="atLeast"/>
        <w:jc w:val="both"/>
        <w:rPr>
          <w:szCs w:val="18"/>
        </w:rPr>
      </w:pPr>
      <w:r w:rsidRPr="009E66DB">
        <w:rPr>
          <w:szCs w:val="18"/>
        </w:rPr>
        <w:t>Import data was also obtained for a range of other discharge lamps, using 7 different HS codes (</w:t>
      </w:r>
      <w:proofErr w:type="spellStart"/>
      <w:r w:rsidRPr="009E66DB">
        <w:rPr>
          <w:szCs w:val="18"/>
        </w:rPr>
        <w:t>ie</w:t>
      </w:r>
      <w:proofErr w:type="spellEnd"/>
      <w:r w:rsidRPr="009E66DB">
        <w:rPr>
          <w:szCs w:val="18"/>
        </w:rPr>
        <w:t>. those in the range 8539.32.00.01 to 8539.49.90.00). This showed total impor</w:t>
      </w:r>
      <w:r w:rsidRPr="00F6799C">
        <w:rPr>
          <w:szCs w:val="18"/>
        </w:rPr>
        <w:t>ts in 2016</w:t>
      </w:r>
      <w:r w:rsidRPr="009E66DB">
        <w:rPr>
          <w:szCs w:val="18"/>
        </w:rPr>
        <w:t xml:space="preserve"> of about </w:t>
      </w:r>
      <w:r>
        <w:rPr>
          <w:szCs w:val="18"/>
        </w:rPr>
        <w:t>197,000</w:t>
      </w:r>
      <w:r w:rsidRPr="009E66DB">
        <w:rPr>
          <w:szCs w:val="18"/>
        </w:rPr>
        <w:t xml:space="preserve"> high-intensity discharge lamps, and </w:t>
      </w:r>
      <w:r w:rsidRPr="00F6799C">
        <w:rPr>
          <w:szCs w:val="18"/>
        </w:rPr>
        <w:t>about 92</w:t>
      </w:r>
      <w:r w:rsidRPr="009E66DB">
        <w:rPr>
          <w:szCs w:val="18"/>
        </w:rPr>
        <w:t>,000 ‘other’ lamps. The mercury content for these varies from 5 to 30 mg/lamp (UNEP, 2017).</w:t>
      </w:r>
      <w:r>
        <w:rPr>
          <w:szCs w:val="18"/>
        </w:rPr>
        <w:t xml:space="preserve"> </w:t>
      </w:r>
      <w:r w:rsidR="00E7159E" w:rsidRPr="00306F85">
        <w:rPr>
          <w:szCs w:val="18"/>
        </w:rPr>
        <w:t>Th</w:t>
      </w:r>
      <w:r>
        <w:rPr>
          <w:szCs w:val="18"/>
        </w:rPr>
        <w:t>ese quantities are markedly lower than those given in the 2012 Inventory Report, especially for the high-intensity discharge lamps, which is consistent with the comments given above regarding the increasing use of LEDs for street lighting</w:t>
      </w:r>
      <w:r w:rsidR="00E7159E" w:rsidRPr="00306F85">
        <w:rPr>
          <w:szCs w:val="18"/>
        </w:rPr>
        <w:t>.</w:t>
      </w:r>
    </w:p>
    <w:p w14:paraId="0C1470F8" w14:textId="77777777" w:rsidR="00AD5485" w:rsidRPr="00306F85" w:rsidRDefault="00AD5485" w:rsidP="00AD5485">
      <w:pPr>
        <w:spacing w:line="300" w:lineRule="atLeast"/>
        <w:jc w:val="both"/>
        <w:rPr>
          <w:rFonts w:ascii="Arial" w:hAnsi="Arial" w:cs="Arial"/>
          <w:b/>
          <w:szCs w:val="18"/>
        </w:rPr>
      </w:pPr>
      <w:r w:rsidRPr="00306F85">
        <w:rPr>
          <w:rFonts w:ascii="Arial" w:hAnsi="Arial" w:cs="Arial"/>
          <w:b/>
          <w:szCs w:val="18"/>
        </w:rPr>
        <w:t>Input and output estimates</w:t>
      </w:r>
    </w:p>
    <w:p w14:paraId="073E89AD" w14:textId="77777777" w:rsidR="00AD5485" w:rsidRPr="00306F85" w:rsidRDefault="00AD5485" w:rsidP="00AD5485">
      <w:pPr>
        <w:spacing w:line="300" w:lineRule="atLeast"/>
        <w:jc w:val="both"/>
        <w:rPr>
          <w:szCs w:val="18"/>
        </w:rPr>
      </w:pPr>
      <w:r w:rsidRPr="00306F85">
        <w:rPr>
          <w:szCs w:val="18"/>
        </w:rPr>
        <w:t xml:space="preserve">The </w:t>
      </w:r>
      <w:r w:rsidR="006B3D36" w:rsidRPr="00306F85">
        <w:rPr>
          <w:szCs w:val="18"/>
        </w:rPr>
        <w:t xml:space="preserve">estimates for the </w:t>
      </w:r>
      <w:r w:rsidRPr="00306F85">
        <w:rPr>
          <w:szCs w:val="18"/>
        </w:rPr>
        <w:t xml:space="preserve">total mercury inputs for all types of lamps </w:t>
      </w:r>
      <w:r w:rsidR="006B3D36" w:rsidRPr="00306F85">
        <w:rPr>
          <w:szCs w:val="18"/>
        </w:rPr>
        <w:t>are summarised in</w:t>
      </w:r>
      <w:r w:rsidR="00635649" w:rsidRPr="00306F85">
        <w:rPr>
          <w:szCs w:val="18"/>
        </w:rPr>
        <w:t xml:space="preserve"> Table 7-4</w:t>
      </w:r>
      <w:r w:rsidR="006B3D36" w:rsidRPr="00306F85">
        <w:rPr>
          <w:szCs w:val="18"/>
        </w:rPr>
        <w:t xml:space="preserve">. </w:t>
      </w:r>
      <w:r w:rsidR="00C76876" w:rsidRPr="00306F85">
        <w:rPr>
          <w:szCs w:val="18"/>
        </w:rPr>
        <w:t xml:space="preserve">This </w:t>
      </w:r>
      <w:r w:rsidRPr="00306F85">
        <w:rPr>
          <w:szCs w:val="18"/>
        </w:rPr>
        <w:t xml:space="preserve">has been based on the </w:t>
      </w:r>
      <w:r w:rsidR="00C76876" w:rsidRPr="00306F85">
        <w:rPr>
          <w:szCs w:val="18"/>
        </w:rPr>
        <w:t xml:space="preserve">mercury content information </w:t>
      </w:r>
      <w:r w:rsidRPr="00306F85">
        <w:rPr>
          <w:szCs w:val="18"/>
        </w:rPr>
        <w:t xml:space="preserve">given above </w:t>
      </w:r>
      <w:r w:rsidR="00C76876" w:rsidRPr="00306F85">
        <w:rPr>
          <w:szCs w:val="18"/>
        </w:rPr>
        <w:t>or the</w:t>
      </w:r>
      <w:r w:rsidRPr="00306F85">
        <w:rPr>
          <w:szCs w:val="18"/>
        </w:rPr>
        <w:t xml:space="preserve"> Toolkit default factors</w:t>
      </w:r>
      <w:r w:rsidR="00C76876" w:rsidRPr="00306F85">
        <w:rPr>
          <w:szCs w:val="18"/>
        </w:rPr>
        <w:t xml:space="preserve"> when local information was not available</w:t>
      </w:r>
      <w:r w:rsidRPr="00306F85">
        <w:rPr>
          <w:szCs w:val="18"/>
        </w:rPr>
        <w:t>.</w:t>
      </w:r>
    </w:p>
    <w:p w14:paraId="5307B3B0" w14:textId="361A11AB" w:rsidR="006E7B4B" w:rsidRPr="00306F85" w:rsidRDefault="003A7F6D" w:rsidP="003A7F6D">
      <w:pPr>
        <w:spacing w:line="300" w:lineRule="atLeast"/>
        <w:jc w:val="both"/>
        <w:rPr>
          <w:szCs w:val="18"/>
        </w:rPr>
      </w:pPr>
      <w:bookmarkStart w:id="95" w:name="_Ref360000428"/>
      <w:r w:rsidRPr="00306F85">
        <w:rPr>
          <w:szCs w:val="18"/>
        </w:rPr>
        <w:t>For outputs, the Toolkit recommends distribution factors of 0.05 (5%) to air, and 0.95 (95%) to waste, for countries with publicly controlled waste collection services, but only limited waste separation. These factors will be applied to the New Zealand input estimates, although the output calculations should be applied to the mercury inputs from</w:t>
      </w:r>
      <w:r>
        <w:rPr>
          <w:szCs w:val="18"/>
        </w:rPr>
        <w:t>, say,</w:t>
      </w:r>
      <w:r w:rsidRPr="00306F85">
        <w:rPr>
          <w:szCs w:val="18"/>
        </w:rPr>
        <w:t xml:space="preserve"> 10</w:t>
      </w:r>
      <w:r>
        <w:rPr>
          <w:szCs w:val="18"/>
        </w:rPr>
        <w:t xml:space="preserve"> or more years ago, rather than the 2016</w:t>
      </w:r>
      <w:r w:rsidRPr="00306F85">
        <w:rPr>
          <w:szCs w:val="18"/>
        </w:rPr>
        <w:t xml:space="preserve"> data (because the outputs occur when the  lamps come to their end of the useful life). However, this older data is not available, so the indicated outputs should be regarded as a conservative over-estimate (but also a good indicator of future outputs). It should also be noted that a small proportion of lamps are collected by </w:t>
      </w:r>
      <w:r w:rsidR="00DF0900">
        <w:rPr>
          <w:szCs w:val="18"/>
        </w:rPr>
        <w:t>a specialist waste company</w:t>
      </w:r>
      <w:r w:rsidRPr="00306F85">
        <w:rPr>
          <w:szCs w:val="18"/>
        </w:rPr>
        <w:t xml:space="preserve"> and exported to Australia. </w:t>
      </w:r>
      <w:r w:rsidR="00DF0900">
        <w:rPr>
          <w:szCs w:val="18"/>
        </w:rPr>
        <w:t xml:space="preserve">The 2012 Inventory Report indicated that these exports </w:t>
      </w:r>
      <w:r w:rsidRPr="00DF0900">
        <w:rPr>
          <w:szCs w:val="18"/>
        </w:rPr>
        <w:t>were estimated to contain about 3 kg of mercury</w:t>
      </w:r>
      <w:r w:rsidR="00747617">
        <w:rPr>
          <w:szCs w:val="18"/>
        </w:rPr>
        <w:t xml:space="preserve"> and more recent data provided by the company indicates that similar quantities were exported in 2016.</w:t>
      </w:r>
    </w:p>
    <w:p w14:paraId="575C3C21" w14:textId="77777777" w:rsidR="00016AD4" w:rsidRDefault="00016AD4">
      <w:pPr>
        <w:spacing w:after="0"/>
        <w:rPr>
          <w:rFonts w:ascii="Arial" w:hAnsi="Arial" w:cs="Arial"/>
          <w:b/>
          <w:bCs/>
        </w:rPr>
      </w:pPr>
      <w:bookmarkStart w:id="96" w:name="_Toc484949659"/>
      <w:r>
        <w:rPr>
          <w:rFonts w:ascii="Arial" w:hAnsi="Arial" w:cs="Arial"/>
        </w:rPr>
        <w:br w:type="page"/>
      </w:r>
    </w:p>
    <w:p w14:paraId="05347271" w14:textId="05BDA47E" w:rsidR="006B3D36" w:rsidRPr="00306F85" w:rsidRDefault="006B3D36" w:rsidP="006B3D36">
      <w:pPr>
        <w:pStyle w:val="Caption"/>
        <w:spacing w:before="240"/>
        <w:rPr>
          <w:rFonts w:ascii="Arial" w:hAnsi="Arial" w:cs="Arial"/>
          <w:szCs w:val="18"/>
        </w:rPr>
      </w:pPr>
      <w:r w:rsidRPr="00306F85">
        <w:rPr>
          <w:rFonts w:ascii="Arial" w:hAnsi="Arial" w:cs="Arial"/>
        </w:rPr>
        <w:lastRenderedPageBreak/>
        <w:t xml:space="preserve">Table </w:t>
      </w:r>
      <w:r w:rsidR="00390C9F" w:rsidRPr="00306F85">
        <w:rPr>
          <w:rFonts w:ascii="Arial" w:hAnsi="Arial" w:cs="Arial"/>
        </w:rPr>
        <w:fldChar w:fldCharType="begin"/>
      </w:r>
      <w:r w:rsidR="00390C9F" w:rsidRPr="00306F85">
        <w:rPr>
          <w:rFonts w:ascii="Arial" w:hAnsi="Arial" w:cs="Arial"/>
        </w:rPr>
        <w:instrText xml:space="preserve"> STYLEREF 1 \s </w:instrText>
      </w:r>
      <w:r w:rsidR="00390C9F" w:rsidRPr="00306F85">
        <w:rPr>
          <w:rFonts w:ascii="Arial" w:hAnsi="Arial" w:cs="Arial"/>
        </w:rPr>
        <w:fldChar w:fldCharType="separate"/>
      </w:r>
      <w:r w:rsidR="00423FC9">
        <w:rPr>
          <w:rFonts w:ascii="Arial" w:hAnsi="Arial" w:cs="Arial"/>
          <w:noProof/>
        </w:rPr>
        <w:t>7</w:t>
      </w:r>
      <w:r w:rsidR="00390C9F" w:rsidRPr="00306F85">
        <w:rPr>
          <w:rFonts w:ascii="Arial" w:hAnsi="Arial" w:cs="Arial"/>
        </w:rPr>
        <w:fldChar w:fldCharType="end"/>
      </w:r>
      <w:r w:rsidR="00390C9F" w:rsidRPr="00306F85">
        <w:rPr>
          <w:rFonts w:ascii="Arial" w:hAnsi="Arial" w:cs="Arial"/>
        </w:rPr>
        <w:noBreakHyphen/>
      </w:r>
      <w:r w:rsidR="00390C9F" w:rsidRPr="00306F85">
        <w:rPr>
          <w:rFonts w:ascii="Arial" w:hAnsi="Arial" w:cs="Arial"/>
        </w:rPr>
        <w:fldChar w:fldCharType="begin"/>
      </w:r>
      <w:r w:rsidR="00390C9F" w:rsidRPr="00306F85">
        <w:rPr>
          <w:rFonts w:ascii="Arial" w:hAnsi="Arial" w:cs="Arial"/>
        </w:rPr>
        <w:instrText xml:space="preserve"> SEQ Table \* ARABIC \s 1 </w:instrText>
      </w:r>
      <w:r w:rsidR="00390C9F" w:rsidRPr="00306F85">
        <w:rPr>
          <w:rFonts w:ascii="Arial" w:hAnsi="Arial" w:cs="Arial"/>
        </w:rPr>
        <w:fldChar w:fldCharType="separate"/>
      </w:r>
      <w:r w:rsidR="00423FC9">
        <w:rPr>
          <w:rFonts w:ascii="Arial" w:hAnsi="Arial" w:cs="Arial"/>
          <w:noProof/>
        </w:rPr>
        <w:t>4</w:t>
      </w:r>
      <w:r w:rsidR="00390C9F" w:rsidRPr="00306F85">
        <w:rPr>
          <w:rFonts w:ascii="Arial" w:hAnsi="Arial" w:cs="Arial"/>
        </w:rPr>
        <w:fldChar w:fldCharType="end"/>
      </w:r>
      <w:bookmarkEnd w:id="95"/>
      <w:r w:rsidRPr="00306F85">
        <w:rPr>
          <w:rFonts w:ascii="Arial" w:hAnsi="Arial" w:cs="Arial"/>
          <w:szCs w:val="18"/>
        </w:rPr>
        <w:t>: Input estimates for lamps</w:t>
      </w:r>
      <w:bookmarkEnd w:id="96"/>
    </w:p>
    <w:tbl>
      <w:tblPr>
        <w:tblStyle w:val="TableGrid"/>
        <w:tblW w:w="0" w:type="auto"/>
        <w:tblLook w:val="04A0" w:firstRow="1" w:lastRow="0" w:firstColumn="1" w:lastColumn="0" w:noHBand="0" w:noVBand="1"/>
      </w:tblPr>
      <w:tblGrid>
        <w:gridCol w:w="3472"/>
        <w:gridCol w:w="1824"/>
        <w:gridCol w:w="1938"/>
        <w:gridCol w:w="1827"/>
      </w:tblGrid>
      <w:tr w:rsidR="00E45E6D" w:rsidRPr="00306F85" w14:paraId="18987379" w14:textId="77777777" w:rsidTr="0043742F">
        <w:tc>
          <w:tcPr>
            <w:tcW w:w="3472" w:type="dxa"/>
            <w:vAlign w:val="center"/>
          </w:tcPr>
          <w:p w14:paraId="4816FC31" w14:textId="77777777" w:rsidR="00E45E6D" w:rsidRPr="00306F85" w:rsidRDefault="00E45E6D" w:rsidP="00E45E6D">
            <w:pPr>
              <w:spacing w:line="300" w:lineRule="atLeast"/>
              <w:jc w:val="center"/>
              <w:rPr>
                <w:rFonts w:ascii="Arial" w:hAnsi="Arial" w:cs="Arial"/>
                <w:b/>
                <w:sz w:val="16"/>
                <w:szCs w:val="16"/>
              </w:rPr>
            </w:pPr>
            <w:r w:rsidRPr="00306F85">
              <w:rPr>
                <w:rFonts w:ascii="Arial" w:hAnsi="Arial" w:cs="Arial"/>
                <w:b/>
                <w:sz w:val="16"/>
                <w:szCs w:val="16"/>
              </w:rPr>
              <w:t>Lamp type</w:t>
            </w:r>
          </w:p>
        </w:tc>
        <w:tc>
          <w:tcPr>
            <w:tcW w:w="1824" w:type="dxa"/>
            <w:vAlign w:val="center"/>
          </w:tcPr>
          <w:p w14:paraId="34D5C4E9" w14:textId="77777777" w:rsidR="00E45E6D" w:rsidRPr="00306F85" w:rsidRDefault="00E45E6D" w:rsidP="00E45E6D">
            <w:pPr>
              <w:spacing w:line="300" w:lineRule="atLeast"/>
              <w:jc w:val="center"/>
              <w:rPr>
                <w:rFonts w:ascii="Arial" w:hAnsi="Arial" w:cs="Arial"/>
                <w:b/>
                <w:sz w:val="16"/>
                <w:szCs w:val="16"/>
              </w:rPr>
            </w:pPr>
            <w:r w:rsidRPr="00306F85">
              <w:rPr>
                <w:rFonts w:ascii="Arial" w:hAnsi="Arial" w:cs="Arial"/>
                <w:b/>
                <w:sz w:val="16"/>
                <w:szCs w:val="16"/>
              </w:rPr>
              <w:t>Mercury content, mg/lamp</w:t>
            </w:r>
          </w:p>
        </w:tc>
        <w:tc>
          <w:tcPr>
            <w:tcW w:w="1938" w:type="dxa"/>
            <w:vAlign w:val="center"/>
          </w:tcPr>
          <w:p w14:paraId="07EFE1B6" w14:textId="77777777" w:rsidR="00E45E6D" w:rsidRPr="00306F85" w:rsidRDefault="00E45E6D" w:rsidP="00E45E6D">
            <w:pPr>
              <w:spacing w:line="300" w:lineRule="atLeast"/>
              <w:jc w:val="center"/>
              <w:rPr>
                <w:rFonts w:ascii="Arial" w:hAnsi="Arial" w:cs="Arial"/>
                <w:b/>
                <w:sz w:val="16"/>
                <w:szCs w:val="16"/>
              </w:rPr>
            </w:pPr>
            <w:r w:rsidRPr="00306F85">
              <w:rPr>
                <w:rFonts w:ascii="Arial" w:hAnsi="Arial" w:cs="Arial"/>
                <w:b/>
                <w:sz w:val="16"/>
                <w:szCs w:val="16"/>
              </w:rPr>
              <w:t>Number of lamps, thousands</w:t>
            </w:r>
          </w:p>
        </w:tc>
        <w:tc>
          <w:tcPr>
            <w:tcW w:w="1827" w:type="dxa"/>
            <w:vAlign w:val="center"/>
          </w:tcPr>
          <w:p w14:paraId="18B2A609" w14:textId="77777777" w:rsidR="00E45E6D" w:rsidRPr="00306F85" w:rsidRDefault="00E45E6D" w:rsidP="00E45E6D">
            <w:pPr>
              <w:spacing w:line="300" w:lineRule="atLeast"/>
              <w:jc w:val="center"/>
              <w:rPr>
                <w:rFonts w:ascii="Arial" w:hAnsi="Arial" w:cs="Arial"/>
                <w:b/>
                <w:sz w:val="16"/>
                <w:szCs w:val="16"/>
              </w:rPr>
            </w:pPr>
            <w:r w:rsidRPr="00306F85">
              <w:rPr>
                <w:rFonts w:ascii="Arial" w:hAnsi="Arial" w:cs="Arial"/>
                <w:b/>
                <w:sz w:val="16"/>
                <w:szCs w:val="16"/>
              </w:rPr>
              <w:t>Total mercury input, kg/year</w:t>
            </w:r>
          </w:p>
        </w:tc>
      </w:tr>
      <w:tr w:rsidR="00E45E6D" w:rsidRPr="00306F85" w14:paraId="05B07AF5" w14:textId="77777777" w:rsidTr="0043742F">
        <w:tc>
          <w:tcPr>
            <w:tcW w:w="3472" w:type="dxa"/>
            <w:tcBorders>
              <w:bottom w:val="single" w:sz="4" w:space="0" w:color="auto"/>
            </w:tcBorders>
            <w:vAlign w:val="bottom"/>
          </w:tcPr>
          <w:p w14:paraId="2B92B862" w14:textId="76F57B60" w:rsidR="00E45E6D" w:rsidRPr="00306F85" w:rsidRDefault="00E45E6D" w:rsidP="00E45E6D">
            <w:pPr>
              <w:spacing w:line="300" w:lineRule="atLeast"/>
              <w:rPr>
                <w:rFonts w:ascii="Arial" w:hAnsi="Arial" w:cs="Arial"/>
                <w:sz w:val="16"/>
                <w:szCs w:val="16"/>
              </w:rPr>
            </w:pPr>
            <w:r w:rsidRPr="00306F85">
              <w:rPr>
                <w:rFonts w:ascii="Arial" w:hAnsi="Arial" w:cs="Arial"/>
                <w:sz w:val="16"/>
                <w:szCs w:val="16"/>
              </w:rPr>
              <w:t>Fluorescent Tubes (LFLs)</w:t>
            </w:r>
            <w:r w:rsidR="003A7F6D">
              <w:rPr>
                <w:rFonts w:ascii="Arial" w:hAnsi="Arial" w:cs="Arial"/>
                <w:sz w:val="16"/>
                <w:szCs w:val="16"/>
              </w:rPr>
              <w:t>, 2012</w:t>
            </w:r>
          </w:p>
        </w:tc>
        <w:tc>
          <w:tcPr>
            <w:tcW w:w="1824" w:type="dxa"/>
            <w:tcBorders>
              <w:bottom w:val="single" w:sz="4" w:space="0" w:color="auto"/>
            </w:tcBorders>
            <w:vAlign w:val="center"/>
          </w:tcPr>
          <w:p w14:paraId="36B84FC2" w14:textId="77777777" w:rsidR="00E45E6D" w:rsidRPr="00306F85" w:rsidRDefault="00E45E6D" w:rsidP="00E45E6D">
            <w:pPr>
              <w:spacing w:line="300" w:lineRule="atLeast"/>
              <w:jc w:val="center"/>
              <w:rPr>
                <w:rFonts w:ascii="Arial" w:hAnsi="Arial" w:cs="Arial"/>
                <w:sz w:val="16"/>
                <w:szCs w:val="16"/>
              </w:rPr>
            </w:pPr>
            <w:r w:rsidRPr="00306F85">
              <w:rPr>
                <w:rFonts w:ascii="Arial" w:hAnsi="Arial" w:cs="Arial"/>
                <w:sz w:val="16"/>
                <w:szCs w:val="16"/>
              </w:rPr>
              <w:t>2 – 5</w:t>
            </w:r>
          </w:p>
        </w:tc>
        <w:tc>
          <w:tcPr>
            <w:tcW w:w="1938" w:type="dxa"/>
            <w:tcBorders>
              <w:bottom w:val="single" w:sz="4" w:space="0" w:color="auto"/>
            </w:tcBorders>
            <w:vAlign w:val="center"/>
          </w:tcPr>
          <w:p w14:paraId="57D89C3E" w14:textId="77777777" w:rsidR="00E45E6D" w:rsidRPr="00306F85" w:rsidRDefault="00E45E6D" w:rsidP="00E45E6D">
            <w:pPr>
              <w:spacing w:line="300" w:lineRule="atLeast"/>
              <w:jc w:val="center"/>
              <w:rPr>
                <w:rFonts w:ascii="Arial" w:hAnsi="Arial" w:cs="Arial"/>
                <w:sz w:val="16"/>
                <w:szCs w:val="16"/>
              </w:rPr>
            </w:pPr>
            <w:r w:rsidRPr="00306F85">
              <w:rPr>
                <w:rFonts w:ascii="Arial" w:hAnsi="Arial" w:cs="Arial"/>
                <w:sz w:val="16"/>
                <w:szCs w:val="16"/>
              </w:rPr>
              <w:t>3</w:t>
            </w:r>
            <w:r w:rsidR="00406B91" w:rsidRPr="00306F85">
              <w:rPr>
                <w:rFonts w:ascii="Arial" w:hAnsi="Arial" w:cs="Arial"/>
                <w:sz w:val="16"/>
                <w:szCs w:val="16"/>
              </w:rPr>
              <w:t>,0</w:t>
            </w:r>
            <w:r w:rsidRPr="00306F85">
              <w:rPr>
                <w:rFonts w:ascii="Arial" w:hAnsi="Arial" w:cs="Arial"/>
                <w:sz w:val="16"/>
                <w:szCs w:val="16"/>
              </w:rPr>
              <w:t>00 – 3</w:t>
            </w:r>
            <w:r w:rsidR="00406B91" w:rsidRPr="00306F85">
              <w:rPr>
                <w:rFonts w:ascii="Arial" w:hAnsi="Arial" w:cs="Arial"/>
                <w:sz w:val="16"/>
                <w:szCs w:val="16"/>
              </w:rPr>
              <w:t>,</w:t>
            </w:r>
            <w:r w:rsidRPr="00306F85">
              <w:rPr>
                <w:rFonts w:ascii="Arial" w:hAnsi="Arial" w:cs="Arial"/>
                <w:sz w:val="16"/>
                <w:szCs w:val="16"/>
              </w:rPr>
              <w:t>5</w:t>
            </w:r>
            <w:r w:rsidR="00406B91" w:rsidRPr="00306F85">
              <w:rPr>
                <w:rFonts w:ascii="Arial" w:hAnsi="Arial" w:cs="Arial"/>
                <w:sz w:val="16"/>
                <w:szCs w:val="16"/>
              </w:rPr>
              <w:t>0</w:t>
            </w:r>
            <w:r w:rsidRPr="00306F85">
              <w:rPr>
                <w:rFonts w:ascii="Arial" w:hAnsi="Arial" w:cs="Arial"/>
                <w:sz w:val="16"/>
                <w:szCs w:val="16"/>
              </w:rPr>
              <w:t>0</w:t>
            </w:r>
          </w:p>
        </w:tc>
        <w:tc>
          <w:tcPr>
            <w:tcW w:w="1827" w:type="dxa"/>
            <w:tcBorders>
              <w:bottom w:val="single" w:sz="4" w:space="0" w:color="auto"/>
            </w:tcBorders>
            <w:vAlign w:val="center"/>
          </w:tcPr>
          <w:p w14:paraId="2BEEDD67" w14:textId="77777777" w:rsidR="00E45E6D" w:rsidRPr="00306F85" w:rsidRDefault="00C76876" w:rsidP="00E45E6D">
            <w:pPr>
              <w:spacing w:line="300" w:lineRule="atLeast"/>
              <w:jc w:val="center"/>
              <w:rPr>
                <w:rFonts w:ascii="Arial" w:hAnsi="Arial" w:cs="Arial"/>
                <w:sz w:val="16"/>
                <w:szCs w:val="16"/>
              </w:rPr>
            </w:pPr>
            <w:r w:rsidRPr="00306F85">
              <w:rPr>
                <w:rFonts w:ascii="Arial" w:hAnsi="Arial" w:cs="Arial"/>
                <w:sz w:val="16"/>
                <w:szCs w:val="16"/>
              </w:rPr>
              <w:t>6 – 17.5</w:t>
            </w:r>
          </w:p>
        </w:tc>
      </w:tr>
      <w:tr w:rsidR="003A7F6D" w:rsidRPr="00306F85" w14:paraId="0598222A" w14:textId="77777777" w:rsidTr="0043742F">
        <w:tc>
          <w:tcPr>
            <w:tcW w:w="3472" w:type="dxa"/>
            <w:tcBorders>
              <w:bottom w:val="double" w:sz="4" w:space="0" w:color="auto"/>
            </w:tcBorders>
            <w:vAlign w:val="bottom"/>
          </w:tcPr>
          <w:p w14:paraId="08A057B1" w14:textId="3D7E0077" w:rsidR="003A7F6D" w:rsidRPr="00306F85" w:rsidRDefault="003A7F6D" w:rsidP="00E45E6D">
            <w:pPr>
              <w:spacing w:line="300" w:lineRule="atLeast"/>
              <w:rPr>
                <w:rFonts w:ascii="Arial" w:hAnsi="Arial" w:cs="Arial"/>
                <w:sz w:val="16"/>
                <w:szCs w:val="16"/>
              </w:rPr>
            </w:pPr>
            <w:r w:rsidRPr="00306F85">
              <w:rPr>
                <w:rFonts w:ascii="Arial" w:hAnsi="Arial" w:cs="Arial"/>
                <w:sz w:val="16"/>
                <w:szCs w:val="16"/>
              </w:rPr>
              <w:t>Fluorescent Tubes (LFLs)</w:t>
            </w:r>
            <w:r>
              <w:rPr>
                <w:rFonts w:ascii="Arial" w:hAnsi="Arial" w:cs="Arial"/>
                <w:sz w:val="16"/>
                <w:szCs w:val="16"/>
              </w:rPr>
              <w:t>, 2016</w:t>
            </w:r>
          </w:p>
        </w:tc>
        <w:tc>
          <w:tcPr>
            <w:tcW w:w="1824" w:type="dxa"/>
            <w:tcBorders>
              <w:bottom w:val="double" w:sz="4" w:space="0" w:color="auto"/>
            </w:tcBorders>
            <w:vAlign w:val="center"/>
          </w:tcPr>
          <w:p w14:paraId="0A50CBB7" w14:textId="000A4C76" w:rsidR="003A7F6D" w:rsidRPr="00306F85" w:rsidRDefault="006F0ECC" w:rsidP="00E45E6D">
            <w:pPr>
              <w:spacing w:line="300" w:lineRule="atLeast"/>
              <w:jc w:val="center"/>
              <w:rPr>
                <w:rFonts w:ascii="Arial" w:hAnsi="Arial" w:cs="Arial"/>
                <w:sz w:val="16"/>
                <w:szCs w:val="16"/>
              </w:rPr>
            </w:pPr>
            <w:r>
              <w:rPr>
                <w:rFonts w:ascii="Arial" w:hAnsi="Arial" w:cs="Arial"/>
                <w:sz w:val="16"/>
                <w:szCs w:val="16"/>
              </w:rPr>
              <w:t>1.1 - 5</w:t>
            </w:r>
          </w:p>
        </w:tc>
        <w:tc>
          <w:tcPr>
            <w:tcW w:w="1938" w:type="dxa"/>
            <w:tcBorders>
              <w:bottom w:val="double" w:sz="4" w:space="0" w:color="auto"/>
            </w:tcBorders>
            <w:vAlign w:val="center"/>
          </w:tcPr>
          <w:p w14:paraId="58A3EE9B" w14:textId="1E984616" w:rsidR="003A7F6D" w:rsidRPr="00306F85" w:rsidRDefault="006F0ECC" w:rsidP="00E45E6D">
            <w:pPr>
              <w:spacing w:line="300" w:lineRule="atLeast"/>
              <w:jc w:val="center"/>
              <w:rPr>
                <w:rFonts w:ascii="Arial" w:hAnsi="Arial" w:cs="Arial"/>
                <w:sz w:val="16"/>
                <w:szCs w:val="16"/>
              </w:rPr>
            </w:pPr>
            <w:r>
              <w:rPr>
                <w:rFonts w:ascii="Arial" w:hAnsi="Arial" w:cs="Arial"/>
                <w:sz w:val="16"/>
                <w:szCs w:val="16"/>
              </w:rPr>
              <w:t>1,600</w:t>
            </w:r>
          </w:p>
        </w:tc>
        <w:tc>
          <w:tcPr>
            <w:tcW w:w="1827" w:type="dxa"/>
            <w:tcBorders>
              <w:bottom w:val="double" w:sz="4" w:space="0" w:color="auto"/>
            </w:tcBorders>
            <w:vAlign w:val="center"/>
          </w:tcPr>
          <w:p w14:paraId="240597AA" w14:textId="01ABFF6B" w:rsidR="003A7F6D" w:rsidRPr="00306F85" w:rsidRDefault="006F0ECC" w:rsidP="00E45E6D">
            <w:pPr>
              <w:spacing w:line="300" w:lineRule="atLeast"/>
              <w:jc w:val="center"/>
              <w:rPr>
                <w:rFonts w:ascii="Arial" w:hAnsi="Arial" w:cs="Arial"/>
                <w:sz w:val="16"/>
                <w:szCs w:val="16"/>
              </w:rPr>
            </w:pPr>
            <w:r>
              <w:rPr>
                <w:rFonts w:ascii="Arial" w:hAnsi="Arial" w:cs="Arial"/>
                <w:sz w:val="16"/>
                <w:szCs w:val="16"/>
              </w:rPr>
              <w:t>1.76 – 8.0</w:t>
            </w:r>
          </w:p>
        </w:tc>
      </w:tr>
      <w:tr w:rsidR="00E45E6D" w:rsidRPr="00306F85" w14:paraId="03DC8C35" w14:textId="77777777" w:rsidTr="0043742F">
        <w:tc>
          <w:tcPr>
            <w:tcW w:w="3472" w:type="dxa"/>
            <w:tcBorders>
              <w:top w:val="double" w:sz="4" w:space="0" w:color="auto"/>
              <w:bottom w:val="single" w:sz="4" w:space="0" w:color="auto"/>
            </w:tcBorders>
            <w:vAlign w:val="bottom"/>
          </w:tcPr>
          <w:p w14:paraId="5E69C7DE" w14:textId="25E4ABA0" w:rsidR="00E45E6D" w:rsidRPr="00306F85" w:rsidRDefault="00E45E6D" w:rsidP="00E45E6D">
            <w:pPr>
              <w:spacing w:line="300" w:lineRule="atLeast"/>
              <w:rPr>
                <w:rFonts w:ascii="Arial" w:hAnsi="Arial" w:cs="Arial"/>
                <w:sz w:val="16"/>
                <w:szCs w:val="16"/>
              </w:rPr>
            </w:pPr>
            <w:r w:rsidRPr="00306F85">
              <w:rPr>
                <w:rFonts w:ascii="Arial" w:hAnsi="Arial" w:cs="Arial"/>
                <w:sz w:val="16"/>
                <w:szCs w:val="16"/>
              </w:rPr>
              <w:t>Compact Fluorescent Lamps (CFLs)</w:t>
            </w:r>
            <w:r w:rsidR="003A7F6D">
              <w:rPr>
                <w:rFonts w:ascii="Arial" w:hAnsi="Arial" w:cs="Arial"/>
                <w:sz w:val="16"/>
                <w:szCs w:val="16"/>
              </w:rPr>
              <w:t>, 2012</w:t>
            </w:r>
          </w:p>
        </w:tc>
        <w:tc>
          <w:tcPr>
            <w:tcW w:w="1824" w:type="dxa"/>
            <w:tcBorders>
              <w:top w:val="double" w:sz="4" w:space="0" w:color="auto"/>
              <w:bottom w:val="single" w:sz="4" w:space="0" w:color="auto"/>
            </w:tcBorders>
            <w:vAlign w:val="center"/>
          </w:tcPr>
          <w:p w14:paraId="1B2578B3" w14:textId="77777777" w:rsidR="00E45E6D" w:rsidRPr="00306F85" w:rsidRDefault="00E45E6D" w:rsidP="00E45E6D">
            <w:pPr>
              <w:spacing w:line="300" w:lineRule="atLeast"/>
              <w:jc w:val="center"/>
              <w:rPr>
                <w:rFonts w:ascii="Arial" w:hAnsi="Arial" w:cs="Arial"/>
                <w:sz w:val="16"/>
                <w:szCs w:val="16"/>
              </w:rPr>
            </w:pPr>
            <w:r w:rsidRPr="00306F85">
              <w:rPr>
                <w:rFonts w:ascii="Arial" w:hAnsi="Arial" w:cs="Arial"/>
                <w:sz w:val="16"/>
                <w:szCs w:val="16"/>
              </w:rPr>
              <w:t>1 – 3</w:t>
            </w:r>
          </w:p>
        </w:tc>
        <w:tc>
          <w:tcPr>
            <w:tcW w:w="1938" w:type="dxa"/>
            <w:tcBorders>
              <w:top w:val="double" w:sz="4" w:space="0" w:color="auto"/>
              <w:bottom w:val="single" w:sz="4" w:space="0" w:color="auto"/>
            </w:tcBorders>
            <w:vAlign w:val="center"/>
          </w:tcPr>
          <w:p w14:paraId="079437D5" w14:textId="77777777" w:rsidR="00E45E6D" w:rsidRPr="00306F85" w:rsidRDefault="00E45E6D" w:rsidP="00E45E6D">
            <w:pPr>
              <w:spacing w:line="300" w:lineRule="atLeast"/>
              <w:jc w:val="center"/>
              <w:rPr>
                <w:rFonts w:ascii="Arial" w:hAnsi="Arial" w:cs="Arial"/>
                <w:sz w:val="16"/>
                <w:szCs w:val="16"/>
              </w:rPr>
            </w:pPr>
            <w:r w:rsidRPr="00306F85">
              <w:rPr>
                <w:rFonts w:ascii="Arial" w:hAnsi="Arial" w:cs="Arial"/>
                <w:sz w:val="16"/>
                <w:szCs w:val="16"/>
              </w:rPr>
              <w:t>2</w:t>
            </w:r>
            <w:r w:rsidR="00406B91" w:rsidRPr="00306F85">
              <w:rPr>
                <w:rFonts w:ascii="Arial" w:hAnsi="Arial" w:cs="Arial"/>
                <w:sz w:val="16"/>
                <w:szCs w:val="16"/>
              </w:rPr>
              <w:t>,</w:t>
            </w:r>
            <w:r w:rsidRPr="00306F85">
              <w:rPr>
                <w:rFonts w:ascii="Arial" w:hAnsi="Arial" w:cs="Arial"/>
                <w:sz w:val="16"/>
                <w:szCs w:val="16"/>
              </w:rPr>
              <w:t>5</w:t>
            </w:r>
            <w:r w:rsidR="00406B91" w:rsidRPr="00306F85">
              <w:rPr>
                <w:rFonts w:ascii="Arial" w:hAnsi="Arial" w:cs="Arial"/>
                <w:sz w:val="16"/>
                <w:szCs w:val="16"/>
              </w:rPr>
              <w:t>0</w:t>
            </w:r>
            <w:r w:rsidRPr="00306F85">
              <w:rPr>
                <w:rFonts w:ascii="Arial" w:hAnsi="Arial" w:cs="Arial"/>
                <w:sz w:val="16"/>
                <w:szCs w:val="16"/>
              </w:rPr>
              <w:t xml:space="preserve">0 </w:t>
            </w:r>
            <w:r w:rsidR="00406B91" w:rsidRPr="00306F85">
              <w:rPr>
                <w:rFonts w:ascii="Arial" w:hAnsi="Arial" w:cs="Arial"/>
                <w:sz w:val="16"/>
                <w:szCs w:val="16"/>
              </w:rPr>
              <w:t>–</w:t>
            </w:r>
            <w:r w:rsidRPr="00306F85">
              <w:rPr>
                <w:rFonts w:ascii="Arial" w:hAnsi="Arial" w:cs="Arial"/>
                <w:sz w:val="16"/>
                <w:szCs w:val="16"/>
              </w:rPr>
              <w:t xml:space="preserve"> 3</w:t>
            </w:r>
            <w:r w:rsidR="00406B91" w:rsidRPr="00306F85">
              <w:rPr>
                <w:rFonts w:ascii="Arial" w:hAnsi="Arial" w:cs="Arial"/>
                <w:sz w:val="16"/>
                <w:szCs w:val="16"/>
              </w:rPr>
              <w:t>,</w:t>
            </w:r>
            <w:r w:rsidRPr="00306F85">
              <w:rPr>
                <w:rFonts w:ascii="Arial" w:hAnsi="Arial" w:cs="Arial"/>
                <w:sz w:val="16"/>
                <w:szCs w:val="16"/>
              </w:rPr>
              <w:t>5</w:t>
            </w:r>
            <w:r w:rsidR="00406B91" w:rsidRPr="00306F85">
              <w:rPr>
                <w:rFonts w:ascii="Arial" w:hAnsi="Arial" w:cs="Arial"/>
                <w:sz w:val="16"/>
                <w:szCs w:val="16"/>
              </w:rPr>
              <w:t>0</w:t>
            </w:r>
            <w:r w:rsidRPr="00306F85">
              <w:rPr>
                <w:rFonts w:ascii="Arial" w:hAnsi="Arial" w:cs="Arial"/>
                <w:sz w:val="16"/>
                <w:szCs w:val="16"/>
              </w:rPr>
              <w:t>0</w:t>
            </w:r>
          </w:p>
        </w:tc>
        <w:tc>
          <w:tcPr>
            <w:tcW w:w="1827" w:type="dxa"/>
            <w:tcBorders>
              <w:top w:val="double" w:sz="4" w:space="0" w:color="auto"/>
              <w:bottom w:val="single" w:sz="4" w:space="0" w:color="auto"/>
            </w:tcBorders>
            <w:vAlign w:val="center"/>
          </w:tcPr>
          <w:p w14:paraId="5C2EA0D2" w14:textId="77777777" w:rsidR="00E45E6D" w:rsidRPr="00306F85" w:rsidRDefault="00C76876" w:rsidP="00E45E6D">
            <w:pPr>
              <w:spacing w:line="300" w:lineRule="atLeast"/>
              <w:jc w:val="center"/>
              <w:rPr>
                <w:rFonts w:ascii="Arial" w:hAnsi="Arial" w:cs="Arial"/>
                <w:sz w:val="16"/>
                <w:szCs w:val="16"/>
              </w:rPr>
            </w:pPr>
            <w:r w:rsidRPr="00306F85">
              <w:rPr>
                <w:rFonts w:ascii="Arial" w:hAnsi="Arial" w:cs="Arial"/>
                <w:sz w:val="16"/>
                <w:szCs w:val="16"/>
              </w:rPr>
              <w:t>2.5 – 10.5</w:t>
            </w:r>
          </w:p>
        </w:tc>
      </w:tr>
      <w:tr w:rsidR="003A7F6D" w:rsidRPr="00306F85" w14:paraId="083D94AC" w14:textId="77777777" w:rsidTr="0043742F">
        <w:tc>
          <w:tcPr>
            <w:tcW w:w="3472" w:type="dxa"/>
            <w:tcBorders>
              <w:bottom w:val="double" w:sz="4" w:space="0" w:color="auto"/>
            </w:tcBorders>
            <w:vAlign w:val="bottom"/>
          </w:tcPr>
          <w:p w14:paraId="1ABFAE51" w14:textId="75E8057E" w:rsidR="003A7F6D" w:rsidRPr="00306F85" w:rsidRDefault="003A7F6D" w:rsidP="00E45E6D">
            <w:pPr>
              <w:spacing w:line="300" w:lineRule="atLeast"/>
              <w:rPr>
                <w:rFonts w:ascii="Arial" w:hAnsi="Arial" w:cs="Arial"/>
                <w:sz w:val="16"/>
                <w:szCs w:val="16"/>
              </w:rPr>
            </w:pPr>
            <w:r w:rsidRPr="00306F85">
              <w:rPr>
                <w:rFonts w:ascii="Arial" w:hAnsi="Arial" w:cs="Arial"/>
                <w:sz w:val="16"/>
                <w:szCs w:val="16"/>
              </w:rPr>
              <w:t>Compact Fluorescent Lamps (CFLs)</w:t>
            </w:r>
            <w:r>
              <w:rPr>
                <w:rFonts w:ascii="Arial" w:hAnsi="Arial" w:cs="Arial"/>
                <w:sz w:val="16"/>
                <w:szCs w:val="16"/>
              </w:rPr>
              <w:t>, 2016</w:t>
            </w:r>
          </w:p>
        </w:tc>
        <w:tc>
          <w:tcPr>
            <w:tcW w:w="1824" w:type="dxa"/>
            <w:tcBorders>
              <w:bottom w:val="double" w:sz="4" w:space="0" w:color="auto"/>
            </w:tcBorders>
            <w:vAlign w:val="center"/>
          </w:tcPr>
          <w:p w14:paraId="468F24BB" w14:textId="280A749E" w:rsidR="003A7F6D" w:rsidRPr="00306F85" w:rsidRDefault="006F0ECC" w:rsidP="00E45E6D">
            <w:pPr>
              <w:spacing w:line="300" w:lineRule="atLeast"/>
              <w:jc w:val="center"/>
              <w:rPr>
                <w:rFonts w:ascii="Arial" w:hAnsi="Arial" w:cs="Arial"/>
                <w:sz w:val="16"/>
                <w:szCs w:val="16"/>
              </w:rPr>
            </w:pPr>
            <w:r>
              <w:rPr>
                <w:rFonts w:ascii="Arial" w:hAnsi="Arial" w:cs="Arial"/>
                <w:sz w:val="16"/>
                <w:szCs w:val="16"/>
              </w:rPr>
              <w:t>1.1 - 5</w:t>
            </w:r>
          </w:p>
        </w:tc>
        <w:tc>
          <w:tcPr>
            <w:tcW w:w="1938" w:type="dxa"/>
            <w:tcBorders>
              <w:bottom w:val="double" w:sz="4" w:space="0" w:color="auto"/>
            </w:tcBorders>
            <w:vAlign w:val="center"/>
          </w:tcPr>
          <w:p w14:paraId="7C80E276" w14:textId="199B1EFD" w:rsidR="003A7F6D" w:rsidRPr="00306F85" w:rsidRDefault="006F0ECC" w:rsidP="00E45E6D">
            <w:pPr>
              <w:spacing w:line="300" w:lineRule="atLeast"/>
              <w:jc w:val="center"/>
              <w:rPr>
                <w:rFonts w:ascii="Arial" w:hAnsi="Arial" w:cs="Arial"/>
                <w:sz w:val="16"/>
                <w:szCs w:val="16"/>
              </w:rPr>
            </w:pPr>
            <w:r>
              <w:rPr>
                <w:rFonts w:ascii="Arial" w:hAnsi="Arial" w:cs="Arial"/>
                <w:sz w:val="16"/>
                <w:szCs w:val="16"/>
              </w:rPr>
              <w:t>1,4</w:t>
            </w:r>
            <w:r w:rsidR="0043742F">
              <w:rPr>
                <w:rFonts w:ascii="Arial" w:hAnsi="Arial" w:cs="Arial"/>
                <w:sz w:val="16"/>
                <w:szCs w:val="16"/>
              </w:rPr>
              <w:t>00</w:t>
            </w:r>
          </w:p>
        </w:tc>
        <w:tc>
          <w:tcPr>
            <w:tcW w:w="1827" w:type="dxa"/>
            <w:tcBorders>
              <w:bottom w:val="double" w:sz="4" w:space="0" w:color="auto"/>
            </w:tcBorders>
            <w:vAlign w:val="center"/>
          </w:tcPr>
          <w:p w14:paraId="777CC279" w14:textId="42A93284" w:rsidR="003A7F6D" w:rsidRPr="00306F85" w:rsidRDefault="006F0ECC" w:rsidP="00E45E6D">
            <w:pPr>
              <w:spacing w:line="300" w:lineRule="atLeast"/>
              <w:jc w:val="center"/>
              <w:rPr>
                <w:rFonts w:ascii="Arial" w:hAnsi="Arial" w:cs="Arial"/>
                <w:sz w:val="16"/>
                <w:szCs w:val="16"/>
              </w:rPr>
            </w:pPr>
            <w:r>
              <w:rPr>
                <w:rFonts w:ascii="Arial" w:hAnsi="Arial" w:cs="Arial"/>
                <w:sz w:val="16"/>
                <w:szCs w:val="16"/>
              </w:rPr>
              <w:t>1.54 – 7.0</w:t>
            </w:r>
          </w:p>
        </w:tc>
      </w:tr>
      <w:tr w:rsidR="00E45E6D" w:rsidRPr="00306F85" w14:paraId="32B2CCFF" w14:textId="77777777" w:rsidTr="0043742F">
        <w:tc>
          <w:tcPr>
            <w:tcW w:w="3472" w:type="dxa"/>
            <w:tcBorders>
              <w:top w:val="double" w:sz="4" w:space="0" w:color="auto"/>
              <w:bottom w:val="single" w:sz="4" w:space="0" w:color="auto"/>
            </w:tcBorders>
            <w:vAlign w:val="bottom"/>
          </w:tcPr>
          <w:p w14:paraId="3EFB80A8" w14:textId="6127A3EA" w:rsidR="00E45E6D" w:rsidRPr="00306F85" w:rsidRDefault="00E45E6D" w:rsidP="00E45E6D">
            <w:pPr>
              <w:spacing w:line="300" w:lineRule="atLeast"/>
              <w:rPr>
                <w:rFonts w:ascii="Arial" w:hAnsi="Arial" w:cs="Arial"/>
                <w:sz w:val="16"/>
                <w:szCs w:val="16"/>
              </w:rPr>
            </w:pPr>
            <w:r w:rsidRPr="00306F85">
              <w:rPr>
                <w:rFonts w:ascii="Arial" w:hAnsi="Arial" w:cs="Arial"/>
                <w:sz w:val="16"/>
                <w:szCs w:val="16"/>
              </w:rPr>
              <w:t>High Pressure Mercury Vapour</w:t>
            </w:r>
            <w:r w:rsidR="003A7F6D">
              <w:rPr>
                <w:rFonts w:ascii="Arial" w:hAnsi="Arial" w:cs="Arial"/>
                <w:sz w:val="16"/>
                <w:szCs w:val="16"/>
              </w:rPr>
              <w:t>, 2012</w:t>
            </w:r>
          </w:p>
        </w:tc>
        <w:tc>
          <w:tcPr>
            <w:tcW w:w="1824" w:type="dxa"/>
            <w:tcBorders>
              <w:top w:val="double" w:sz="4" w:space="0" w:color="auto"/>
              <w:bottom w:val="single" w:sz="4" w:space="0" w:color="auto"/>
            </w:tcBorders>
            <w:vAlign w:val="center"/>
          </w:tcPr>
          <w:p w14:paraId="518377BC" w14:textId="77777777" w:rsidR="00E45E6D" w:rsidRPr="00306F85" w:rsidRDefault="00E45E6D" w:rsidP="00E45E6D">
            <w:pPr>
              <w:spacing w:line="300" w:lineRule="atLeast"/>
              <w:jc w:val="center"/>
              <w:rPr>
                <w:rFonts w:ascii="Arial" w:hAnsi="Arial" w:cs="Arial"/>
                <w:sz w:val="16"/>
                <w:szCs w:val="16"/>
              </w:rPr>
            </w:pPr>
            <w:r w:rsidRPr="00306F85">
              <w:rPr>
                <w:rFonts w:ascii="Arial" w:hAnsi="Arial" w:cs="Arial"/>
                <w:sz w:val="16"/>
                <w:szCs w:val="16"/>
              </w:rPr>
              <w:t>30</w:t>
            </w:r>
          </w:p>
        </w:tc>
        <w:tc>
          <w:tcPr>
            <w:tcW w:w="1938" w:type="dxa"/>
            <w:tcBorders>
              <w:top w:val="double" w:sz="4" w:space="0" w:color="auto"/>
              <w:bottom w:val="single" w:sz="4" w:space="0" w:color="auto"/>
            </w:tcBorders>
            <w:vAlign w:val="center"/>
          </w:tcPr>
          <w:p w14:paraId="3B9544CF" w14:textId="77777777" w:rsidR="00E45E6D" w:rsidRPr="00306F85" w:rsidRDefault="00E45E6D" w:rsidP="00E45E6D">
            <w:pPr>
              <w:spacing w:line="300" w:lineRule="atLeast"/>
              <w:jc w:val="center"/>
              <w:rPr>
                <w:rFonts w:ascii="Arial" w:hAnsi="Arial" w:cs="Arial"/>
                <w:sz w:val="16"/>
                <w:szCs w:val="16"/>
              </w:rPr>
            </w:pPr>
            <w:r w:rsidRPr="00306F85">
              <w:rPr>
                <w:rFonts w:ascii="Arial" w:hAnsi="Arial" w:cs="Arial"/>
                <w:sz w:val="16"/>
                <w:szCs w:val="16"/>
              </w:rPr>
              <w:t>50</w:t>
            </w:r>
          </w:p>
        </w:tc>
        <w:tc>
          <w:tcPr>
            <w:tcW w:w="1827" w:type="dxa"/>
            <w:tcBorders>
              <w:top w:val="double" w:sz="4" w:space="0" w:color="auto"/>
              <w:bottom w:val="single" w:sz="4" w:space="0" w:color="auto"/>
            </w:tcBorders>
            <w:vAlign w:val="center"/>
          </w:tcPr>
          <w:p w14:paraId="687D870C" w14:textId="77777777" w:rsidR="00E45E6D" w:rsidRPr="00306F85" w:rsidRDefault="00A5791E" w:rsidP="00E45E6D">
            <w:pPr>
              <w:spacing w:line="300" w:lineRule="atLeast"/>
              <w:jc w:val="center"/>
              <w:rPr>
                <w:rFonts w:ascii="Arial" w:hAnsi="Arial" w:cs="Arial"/>
                <w:sz w:val="16"/>
                <w:szCs w:val="16"/>
              </w:rPr>
            </w:pPr>
            <w:r w:rsidRPr="00306F85">
              <w:rPr>
                <w:rFonts w:ascii="Arial" w:hAnsi="Arial" w:cs="Arial"/>
                <w:sz w:val="16"/>
                <w:szCs w:val="16"/>
              </w:rPr>
              <w:t>1.</w:t>
            </w:r>
            <w:r w:rsidR="00C76876" w:rsidRPr="00306F85">
              <w:rPr>
                <w:rFonts w:ascii="Arial" w:hAnsi="Arial" w:cs="Arial"/>
                <w:sz w:val="16"/>
                <w:szCs w:val="16"/>
              </w:rPr>
              <w:t>5</w:t>
            </w:r>
          </w:p>
        </w:tc>
      </w:tr>
      <w:tr w:rsidR="003A7F6D" w:rsidRPr="00306F85" w14:paraId="08E45678" w14:textId="77777777" w:rsidTr="0043742F">
        <w:tc>
          <w:tcPr>
            <w:tcW w:w="3472" w:type="dxa"/>
            <w:tcBorders>
              <w:bottom w:val="double" w:sz="4" w:space="0" w:color="auto"/>
            </w:tcBorders>
            <w:vAlign w:val="bottom"/>
          </w:tcPr>
          <w:p w14:paraId="6026122E" w14:textId="4B6F64FE" w:rsidR="003A7F6D" w:rsidRPr="00306F85" w:rsidRDefault="003A7F6D" w:rsidP="00E45E6D">
            <w:pPr>
              <w:spacing w:line="300" w:lineRule="atLeast"/>
              <w:rPr>
                <w:rFonts w:ascii="Arial" w:hAnsi="Arial" w:cs="Arial"/>
                <w:sz w:val="16"/>
                <w:szCs w:val="16"/>
              </w:rPr>
            </w:pPr>
            <w:r w:rsidRPr="00306F85">
              <w:rPr>
                <w:rFonts w:ascii="Arial" w:hAnsi="Arial" w:cs="Arial"/>
                <w:sz w:val="16"/>
                <w:szCs w:val="16"/>
              </w:rPr>
              <w:t>High Pressure Mercury Vapour</w:t>
            </w:r>
            <w:r>
              <w:rPr>
                <w:rFonts w:ascii="Arial" w:hAnsi="Arial" w:cs="Arial"/>
                <w:sz w:val="16"/>
                <w:szCs w:val="16"/>
              </w:rPr>
              <w:t>, 2016</w:t>
            </w:r>
          </w:p>
        </w:tc>
        <w:tc>
          <w:tcPr>
            <w:tcW w:w="1824" w:type="dxa"/>
            <w:tcBorders>
              <w:bottom w:val="double" w:sz="4" w:space="0" w:color="auto"/>
            </w:tcBorders>
            <w:vAlign w:val="center"/>
          </w:tcPr>
          <w:p w14:paraId="2F944B8C" w14:textId="192C27C3" w:rsidR="003A7F6D" w:rsidRPr="00306F85" w:rsidRDefault="0043742F" w:rsidP="00E45E6D">
            <w:pPr>
              <w:spacing w:line="300" w:lineRule="atLeast"/>
              <w:jc w:val="center"/>
              <w:rPr>
                <w:rFonts w:ascii="Arial" w:hAnsi="Arial" w:cs="Arial"/>
                <w:sz w:val="16"/>
                <w:szCs w:val="16"/>
              </w:rPr>
            </w:pPr>
            <w:r>
              <w:rPr>
                <w:rFonts w:ascii="Arial" w:hAnsi="Arial" w:cs="Arial"/>
                <w:sz w:val="16"/>
                <w:szCs w:val="16"/>
              </w:rPr>
              <w:t>30</w:t>
            </w:r>
          </w:p>
        </w:tc>
        <w:tc>
          <w:tcPr>
            <w:tcW w:w="1938" w:type="dxa"/>
            <w:tcBorders>
              <w:bottom w:val="double" w:sz="4" w:space="0" w:color="auto"/>
            </w:tcBorders>
            <w:vAlign w:val="center"/>
          </w:tcPr>
          <w:p w14:paraId="672315B8" w14:textId="6CCA13F1" w:rsidR="003A7F6D" w:rsidRPr="00306F85" w:rsidRDefault="0043742F" w:rsidP="00E45E6D">
            <w:pPr>
              <w:spacing w:line="300" w:lineRule="atLeast"/>
              <w:jc w:val="center"/>
              <w:rPr>
                <w:rFonts w:ascii="Arial" w:hAnsi="Arial" w:cs="Arial"/>
                <w:sz w:val="16"/>
                <w:szCs w:val="16"/>
              </w:rPr>
            </w:pPr>
            <w:r>
              <w:rPr>
                <w:rFonts w:ascii="Arial" w:hAnsi="Arial" w:cs="Arial"/>
                <w:sz w:val="16"/>
                <w:szCs w:val="16"/>
              </w:rPr>
              <w:t>35</w:t>
            </w:r>
          </w:p>
        </w:tc>
        <w:tc>
          <w:tcPr>
            <w:tcW w:w="1827" w:type="dxa"/>
            <w:tcBorders>
              <w:bottom w:val="double" w:sz="4" w:space="0" w:color="auto"/>
            </w:tcBorders>
            <w:vAlign w:val="center"/>
          </w:tcPr>
          <w:p w14:paraId="48052835" w14:textId="74CD57A7" w:rsidR="003A7F6D" w:rsidRPr="00306F85" w:rsidRDefault="0043742F" w:rsidP="00E45E6D">
            <w:pPr>
              <w:spacing w:line="300" w:lineRule="atLeast"/>
              <w:jc w:val="center"/>
              <w:rPr>
                <w:rFonts w:ascii="Arial" w:hAnsi="Arial" w:cs="Arial"/>
                <w:sz w:val="16"/>
                <w:szCs w:val="16"/>
              </w:rPr>
            </w:pPr>
            <w:r>
              <w:rPr>
                <w:rFonts w:ascii="Arial" w:hAnsi="Arial" w:cs="Arial"/>
                <w:sz w:val="16"/>
                <w:szCs w:val="16"/>
              </w:rPr>
              <w:t>1.1</w:t>
            </w:r>
          </w:p>
        </w:tc>
      </w:tr>
      <w:tr w:rsidR="00E45E6D" w:rsidRPr="00306F85" w14:paraId="56C86B82" w14:textId="77777777" w:rsidTr="0043742F">
        <w:tc>
          <w:tcPr>
            <w:tcW w:w="3472" w:type="dxa"/>
            <w:tcBorders>
              <w:top w:val="double" w:sz="4" w:space="0" w:color="auto"/>
              <w:bottom w:val="single" w:sz="4" w:space="0" w:color="auto"/>
            </w:tcBorders>
            <w:vAlign w:val="bottom"/>
          </w:tcPr>
          <w:p w14:paraId="106F3339" w14:textId="0B82496E" w:rsidR="00E45E6D" w:rsidRPr="00306F85" w:rsidRDefault="00E45E6D" w:rsidP="00E45E6D">
            <w:pPr>
              <w:spacing w:line="300" w:lineRule="atLeast"/>
              <w:rPr>
                <w:rFonts w:ascii="Arial" w:hAnsi="Arial" w:cs="Arial"/>
                <w:sz w:val="16"/>
                <w:szCs w:val="16"/>
              </w:rPr>
            </w:pPr>
            <w:r w:rsidRPr="00306F85">
              <w:rPr>
                <w:rFonts w:ascii="Arial" w:hAnsi="Arial" w:cs="Arial"/>
                <w:sz w:val="16"/>
                <w:szCs w:val="16"/>
              </w:rPr>
              <w:t>High Pressure Sodium Lamps (HPS)</w:t>
            </w:r>
            <w:r w:rsidR="003A7F6D">
              <w:rPr>
                <w:rFonts w:ascii="Arial" w:hAnsi="Arial" w:cs="Arial"/>
                <w:sz w:val="16"/>
                <w:szCs w:val="16"/>
              </w:rPr>
              <w:t>, 2012</w:t>
            </w:r>
          </w:p>
        </w:tc>
        <w:tc>
          <w:tcPr>
            <w:tcW w:w="1824" w:type="dxa"/>
            <w:tcBorders>
              <w:top w:val="double" w:sz="4" w:space="0" w:color="auto"/>
              <w:bottom w:val="single" w:sz="4" w:space="0" w:color="auto"/>
            </w:tcBorders>
            <w:vAlign w:val="center"/>
          </w:tcPr>
          <w:p w14:paraId="150CCA5B" w14:textId="77777777" w:rsidR="00E45E6D" w:rsidRPr="00306F85" w:rsidRDefault="00E45E6D" w:rsidP="00E45E6D">
            <w:pPr>
              <w:spacing w:line="300" w:lineRule="atLeast"/>
              <w:jc w:val="center"/>
              <w:rPr>
                <w:rFonts w:ascii="Arial" w:hAnsi="Arial" w:cs="Arial"/>
                <w:sz w:val="16"/>
                <w:szCs w:val="16"/>
              </w:rPr>
            </w:pPr>
            <w:r w:rsidRPr="00306F85">
              <w:rPr>
                <w:rFonts w:ascii="Arial" w:hAnsi="Arial" w:cs="Arial"/>
                <w:sz w:val="16"/>
                <w:szCs w:val="16"/>
              </w:rPr>
              <w:t>10 - 30</w:t>
            </w:r>
          </w:p>
        </w:tc>
        <w:tc>
          <w:tcPr>
            <w:tcW w:w="1938" w:type="dxa"/>
            <w:tcBorders>
              <w:top w:val="double" w:sz="4" w:space="0" w:color="auto"/>
              <w:bottom w:val="single" w:sz="4" w:space="0" w:color="auto"/>
            </w:tcBorders>
            <w:vAlign w:val="center"/>
          </w:tcPr>
          <w:p w14:paraId="26BBC4D3" w14:textId="77777777" w:rsidR="00E45E6D" w:rsidRPr="00306F85" w:rsidRDefault="00E45E6D" w:rsidP="00E45E6D">
            <w:pPr>
              <w:spacing w:line="300" w:lineRule="atLeast"/>
              <w:jc w:val="center"/>
              <w:rPr>
                <w:rFonts w:ascii="Arial" w:hAnsi="Arial" w:cs="Arial"/>
                <w:sz w:val="16"/>
                <w:szCs w:val="16"/>
              </w:rPr>
            </w:pPr>
            <w:r w:rsidRPr="00306F85">
              <w:rPr>
                <w:rFonts w:ascii="Arial" w:hAnsi="Arial" w:cs="Arial"/>
                <w:sz w:val="16"/>
                <w:szCs w:val="16"/>
              </w:rPr>
              <w:t>120</w:t>
            </w:r>
          </w:p>
        </w:tc>
        <w:tc>
          <w:tcPr>
            <w:tcW w:w="1827" w:type="dxa"/>
            <w:tcBorders>
              <w:top w:val="double" w:sz="4" w:space="0" w:color="auto"/>
              <w:bottom w:val="single" w:sz="4" w:space="0" w:color="auto"/>
            </w:tcBorders>
            <w:vAlign w:val="center"/>
          </w:tcPr>
          <w:p w14:paraId="0C7A9C3C" w14:textId="77777777" w:rsidR="00E45E6D" w:rsidRPr="00306F85" w:rsidRDefault="00A71C13" w:rsidP="00E45E6D">
            <w:pPr>
              <w:spacing w:line="300" w:lineRule="atLeast"/>
              <w:jc w:val="center"/>
              <w:rPr>
                <w:rFonts w:ascii="Arial" w:hAnsi="Arial" w:cs="Arial"/>
                <w:sz w:val="16"/>
                <w:szCs w:val="16"/>
              </w:rPr>
            </w:pPr>
            <w:r w:rsidRPr="00306F85">
              <w:rPr>
                <w:rFonts w:ascii="Arial" w:hAnsi="Arial" w:cs="Arial"/>
                <w:sz w:val="16"/>
                <w:szCs w:val="16"/>
              </w:rPr>
              <w:t xml:space="preserve">1.2 - </w:t>
            </w:r>
            <w:r w:rsidR="00C76876" w:rsidRPr="00306F85">
              <w:rPr>
                <w:rFonts w:ascii="Arial" w:hAnsi="Arial" w:cs="Arial"/>
                <w:sz w:val="16"/>
                <w:szCs w:val="16"/>
              </w:rPr>
              <w:t>3.6</w:t>
            </w:r>
          </w:p>
        </w:tc>
      </w:tr>
      <w:tr w:rsidR="003A7F6D" w:rsidRPr="00306F85" w14:paraId="209EF8A9" w14:textId="77777777" w:rsidTr="0043742F">
        <w:tc>
          <w:tcPr>
            <w:tcW w:w="3472" w:type="dxa"/>
            <w:tcBorders>
              <w:bottom w:val="double" w:sz="4" w:space="0" w:color="auto"/>
            </w:tcBorders>
            <w:vAlign w:val="bottom"/>
          </w:tcPr>
          <w:p w14:paraId="120C4504" w14:textId="79D58873" w:rsidR="003A7F6D" w:rsidRPr="00306F85" w:rsidRDefault="003A7F6D" w:rsidP="00E45E6D">
            <w:pPr>
              <w:spacing w:line="300" w:lineRule="atLeast"/>
              <w:rPr>
                <w:rFonts w:ascii="Arial" w:hAnsi="Arial" w:cs="Arial"/>
                <w:sz w:val="16"/>
                <w:szCs w:val="16"/>
              </w:rPr>
            </w:pPr>
            <w:r w:rsidRPr="00306F85">
              <w:rPr>
                <w:rFonts w:ascii="Arial" w:hAnsi="Arial" w:cs="Arial"/>
                <w:sz w:val="16"/>
                <w:szCs w:val="16"/>
              </w:rPr>
              <w:t>High Pressure Sodium Lamps (HPS)</w:t>
            </w:r>
            <w:r>
              <w:rPr>
                <w:rFonts w:ascii="Arial" w:hAnsi="Arial" w:cs="Arial"/>
                <w:sz w:val="16"/>
                <w:szCs w:val="16"/>
              </w:rPr>
              <w:t>, 2016</w:t>
            </w:r>
          </w:p>
        </w:tc>
        <w:tc>
          <w:tcPr>
            <w:tcW w:w="1824" w:type="dxa"/>
            <w:tcBorders>
              <w:bottom w:val="double" w:sz="4" w:space="0" w:color="auto"/>
            </w:tcBorders>
            <w:vAlign w:val="center"/>
          </w:tcPr>
          <w:p w14:paraId="7BC06C89" w14:textId="2BED4C76" w:rsidR="003A7F6D" w:rsidRPr="00306F85" w:rsidRDefault="0043742F" w:rsidP="00E45E6D">
            <w:pPr>
              <w:spacing w:line="300" w:lineRule="atLeast"/>
              <w:jc w:val="center"/>
              <w:rPr>
                <w:rFonts w:ascii="Arial" w:hAnsi="Arial" w:cs="Arial"/>
                <w:sz w:val="16"/>
                <w:szCs w:val="16"/>
              </w:rPr>
            </w:pPr>
            <w:r>
              <w:rPr>
                <w:rFonts w:ascii="Arial" w:hAnsi="Arial" w:cs="Arial"/>
                <w:sz w:val="16"/>
                <w:szCs w:val="16"/>
              </w:rPr>
              <w:t>10 – 30</w:t>
            </w:r>
          </w:p>
        </w:tc>
        <w:tc>
          <w:tcPr>
            <w:tcW w:w="1938" w:type="dxa"/>
            <w:tcBorders>
              <w:bottom w:val="double" w:sz="4" w:space="0" w:color="auto"/>
            </w:tcBorders>
            <w:vAlign w:val="center"/>
          </w:tcPr>
          <w:p w14:paraId="2010CBEB" w14:textId="1F6BE55C" w:rsidR="003A7F6D" w:rsidRPr="00306F85" w:rsidRDefault="0043742F" w:rsidP="00E45E6D">
            <w:pPr>
              <w:spacing w:line="300" w:lineRule="atLeast"/>
              <w:jc w:val="center"/>
              <w:rPr>
                <w:rFonts w:ascii="Arial" w:hAnsi="Arial" w:cs="Arial"/>
                <w:sz w:val="16"/>
                <w:szCs w:val="16"/>
              </w:rPr>
            </w:pPr>
            <w:r>
              <w:rPr>
                <w:rFonts w:ascii="Arial" w:hAnsi="Arial" w:cs="Arial"/>
                <w:sz w:val="16"/>
                <w:szCs w:val="16"/>
              </w:rPr>
              <w:t>56</w:t>
            </w:r>
          </w:p>
        </w:tc>
        <w:tc>
          <w:tcPr>
            <w:tcW w:w="1827" w:type="dxa"/>
            <w:tcBorders>
              <w:bottom w:val="double" w:sz="4" w:space="0" w:color="auto"/>
            </w:tcBorders>
            <w:vAlign w:val="center"/>
          </w:tcPr>
          <w:p w14:paraId="3F6BAB7F" w14:textId="694FE667" w:rsidR="003A7F6D" w:rsidRPr="00306F85" w:rsidRDefault="0043742F" w:rsidP="00E45E6D">
            <w:pPr>
              <w:spacing w:line="300" w:lineRule="atLeast"/>
              <w:jc w:val="center"/>
              <w:rPr>
                <w:rFonts w:ascii="Arial" w:hAnsi="Arial" w:cs="Arial"/>
                <w:sz w:val="16"/>
                <w:szCs w:val="16"/>
              </w:rPr>
            </w:pPr>
            <w:r>
              <w:rPr>
                <w:rFonts w:ascii="Arial" w:hAnsi="Arial" w:cs="Arial"/>
                <w:sz w:val="16"/>
                <w:szCs w:val="16"/>
              </w:rPr>
              <w:t>1.7 – 2.8</w:t>
            </w:r>
          </w:p>
        </w:tc>
      </w:tr>
      <w:tr w:rsidR="00E45E6D" w:rsidRPr="00306F85" w14:paraId="40D35F09" w14:textId="77777777" w:rsidTr="0043742F">
        <w:tc>
          <w:tcPr>
            <w:tcW w:w="3472" w:type="dxa"/>
            <w:tcBorders>
              <w:top w:val="double" w:sz="4" w:space="0" w:color="auto"/>
              <w:bottom w:val="single" w:sz="4" w:space="0" w:color="auto"/>
            </w:tcBorders>
            <w:vAlign w:val="bottom"/>
          </w:tcPr>
          <w:p w14:paraId="61D13F87" w14:textId="0FE08F61" w:rsidR="00E45E6D" w:rsidRPr="00306F85" w:rsidRDefault="00243A35" w:rsidP="00E45E6D">
            <w:pPr>
              <w:spacing w:line="300" w:lineRule="atLeast"/>
              <w:rPr>
                <w:rFonts w:ascii="Arial" w:hAnsi="Arial" w:cs="Arial"/>
                <w:sz w:val="16"/>
                <w:szCs w:val="16"/>
              </w:rPr>
            </w:pPr>
            <w:r w:rsidRPr="00306F85">
              <w:rPr>
                <w:rFonts w:ascii="Arial" w:hAnsi="Arial" w:cs="Arial"/>
                <w:sz w:val="16"/>
                <w:szCs w:val="16"/>
              </w:rPr>
              <w:t>UV lamps</w:t>
            </w:r>
            <w:r w:rsidR="00E45E6D" w:rsidRPr="00306F85">
              <w:rPr>
                <w:rFonts w:ascii="Arial" w:hAnsi="Arial" w:cs="Arial"/>
                <w:sz w:val="16"/>
                <w:szCs w:val="16"/>
              </w:rPr>
              <w:t xml:space="preserve"> for tanning</w:t>
            </w:r>
            <w:r w:rsidR="003A7F6D">
              <w:rPr>
                <w:rFonts w:ascii="Arial" w:hAnsi="Arial" w:cs="Arial"/>
                <w:sz w:val="16"/>
                <w:szCs w:val="16"/>
              </w:rPr>
              <w:t>, 2012</w:t>
            </w:r>
          </w:p>
        </w:tc>
        <w:tc>
          <w:tcPr>
            <w:tcW w:w="1824" w:type="dxa"/>
            <w:tcBorders>
              <w:top w:val="double" w:sz="4" w:space="0" w:color="auto"/>
              <w:bottom w:val="single" w:sz="4" w:space="0" w:color="auto"/>
            </w:tcBorders>
            <w:vAlign w:val="center"/>
          </w:tcPr>
          <w:p w14:paraId="337F0E10" w14:textId="5CB729A3" w:rsidR="00E45E6D" w:rsidRPr="00306F85" w:rsidRDefault="00E45E6D" w:rsidP="00E45E6D">
            <w:pPr>
              <w:spacing w:line="300" w:lineRule="atLeast"/>
              <w:jc w:val="center"/>
              <w:rPr>
                <w:rFonts w:ascii="Arial" w:hAnsi="Arial" w:cs="Arial"/>
                <w:sz w:val="16"/>
                <w:szCs w:val="16"/>
              </w:rPr>
            </w:pPr>
            <w:r w:rsidRPr="00306F85">
              <w:rPr>
                <w:rFonts w:ascii="Arial" w:hAnsi="Arial" w:cs="Arial"/>
                <w:sz w:val="16"/>
                <w:szCs w:val="16"/>
              </w:rPr>
              <w:t xml:space="preserve">5 </w:t>
            </w:r>
            <w:r w:rsidR="0043742F">
              <w:rPr>
                <w:rFonts w:ascii="Arial" w:hAnsi="Arial" w:cs="Arial"/>
                <w:sz w:val="16"/>
                <w:szCs w:val="16"/>
              </w:rPr>
              <w:t>–</w:t>
            </w:r>
            <w:r w:rsidRPr="00306F85">
              <w:rPr>
                <w:rFonts w:ascii="Arial" w:hAnsi="Arial" w:cs="Arial"/>
                <w:sz w:val="16"/>
                <w:szCs w:val="16"/>
              </w:rPr>
              <w:t xml:space="preserve"> 25</w:t>
            </w:r>
          </w:p>
        </w:tc>
        <w:tc>
          <w:tcPr>
            <w:tcW w:w="1938" w:type="dxa"/>
            <w:tcBorders>
              <w:top w:val="double" w:sz="4" w:space="0" w:color="auto"/>
              <w:bottom w:val="single" w:sz="4" w:space="0" w:color="auto"/>
            </w:tcBorders>
            <w:vAlign w:val="center"/>
          </w:tcPr>
          <w:p w14:paraId="2C4B447F" w14:textId="77777777" w:rsidR="00E45E6D" w:rsidRPr="00306F85" w:rsidRDefault="00E45E6D" w:rsidP="00E45E6D">
            <w:pPr>
              <w:spacing w:line="300" w:lineRule="atLeast"/>
              <w:jc w:val="center"/>
              <w:rPr>
                <w:rFonts w:ascii="Arial" w:hAnsi="Arial" w:cs="Arial"/>
                <w:sz w:val="16"/>
                <w:szCs w:val="16"/>
              </w:rPr>
            </w:pPr>
            <w:r w:rsidRPr="00306F85">
              <w:rPr>
                <w:rFonts w:ascii="Arial" w:hAnsi="Arial" w:cs="Arial"/>
                <w:sz w:val="16"/>
                <w:szCs w:val="16"/>
              </w:rPr>
              <w:t>50 - 100</w:t>
            </w:r>
          </w:p>
        </w:tc>
        <w:tc>
          <w:tcPr>
            <w:tcW w:w="1827" w:type="dxa"/>
            <w:tcBorders>
              <w:top w:val="double" w:sz="4" w:space="0" w:color="auto"/>
              <w:bottom w:val="single" w:sz="4" w:space="0" w:color="auto"/>
            </w:tcBorders>
            <w:vAlign w:val="center"/>
          </w:tcPr>
          <w:p w14:paraId="5E8F76F4" w14:textId="77777777" w:rsidR="00E45E6D" w:rsidRPr="00306F85" w:rsidRDefault="0082333F" w:rsidP="0082333F">
            <w:pPr>
              <w:spacing w:line="300" w:lineRule="atLeast"/>
              <w:jc w:val="center"/>
              <w:rPr>
                <w:rFonts w:ascii="Arial" w:hAnsi="Arial" w:cs="Arial"/>
                <w:sz w:val="16"/>
                <w:szCs w:val="16"/>
              </w:rPr>
            </w:pPr>
            <w:r w:rsidRPr="00306F85">
              <w:rPr>
                <w:rFonts w:ascii="Arial" w:hAnsi="Arial" w:cs="Arial"/>
                <w:sz w:val="16"/>
                <w:szCs w:val="16"/>
              </w:rPr>
              <w:t>0.</w:t>
            </w:r>
            <w:r w:rsidR="00C76876" w:rsidRPr="00306F85">
              <w:rPr>
                <w:rFonts w:ascii="Arial" w:hAnsi="Arial" w:cs="Arial"/>
                <w:sz w:val="16"/>
                <w:szCs w:val="16"/>
              </w:rPr>
              <w:t>25</w:t>
            </w:r>
            <w:r w:rsidR="00923950" w:rsidRPr="00306F85">
              <w:rPr>
                <w:rFonts w:ascii="Arial" w:hAnsi="Arial" w:cs="Arial"/>
                <w:sz w:val="16"/>
                <w:szCs w:val="16"/>
              </w:rPr>
              <w:t xml:space="preserve"> </w:t>
            </w:r>
            <w:r w:rsidRPr="00306F85">
              <w:rPr>
                <w:rFonts w:ascii="Arial" w:hAnsi="Arial" w:cs="Arial"/>
                <w:sz w:val="16"/>
                <w:szCs w:val="16"/>
              </w:rPr>
              <w:t>–</w:t>
            </w:r>
            <w:r w:rsidR="00923950" w:rsidRPr="00306F85">
              <w:rPr>
                <w:rFonts w:ascii="Arial" w:hAnsi="Arial" w:cs="Arial"/>
                <w:sz w:val="16"/>
                <w:szCs w:val="16"/>
              </w:rPr>
              <w:t xml:space="preserve"> 2</w:t>
            </w:r>
            <w:r w:rsidRPr="00306F85">
              <w:rPr>
                <w:rFonts w:ascii="Arial" w:hAnsi="Arial" w:cs="Arial"/>
                <w:sz w:val="16"/>
                <w:szCs w:val="16"/>
              </w:rPr>
              <w:t>.</w:t>
            </w:r>
            <w:r w:rsidR="00923950" w:rsidRPr="00306F85">
              <w:rPr>
                <w:rFonts w:ascii="Arial" w:hAnsi="Arial" w:cs="Arial"/>
                <w:sz w:val="16"/>
                <w:szCs w:val="16"/>
              </w:rPr>
              <w:t>5</w:t>
            </w:r>
          </w:p>
        </w:tc>
      </w:tr>
      <w:tr w:rsidR="003A7F6D" w:rsidRPr="00306F85" w14:paraId="684695F9" w14:textId="77777777" w:rsidTr="0043742F">
        <w:tc>
          <w:tcPr>
            <w:tcW w:w="3472" w:type="dxa"/>
            <w:tcBorders>
              <w:bottom w:val="double" w:sz="4" w:space="0" w:color="auto"/>
            </w:tcBorders>
            <w:vAlign w:val="bottom"/>
          </w:tcPr>
          <w:p w14:paraId="14DC71D7" w14:textId="0BEDA46C" w:rsidR="003A7F6D" w:rsidRPr="00306F85" w:rsidRDefault="003A7F6D" w:rsidP="00E45E6D">
            <w:pPr>
              <w:spacing w:line="300" w:lineRule="atLeast"/>
              <w:rPr>
                <w:rFonts w:ascii="Arial" w:hAnsi="Arial" w:cs="Arial"/>
                <w:sz w:val="16"/>
                <w:szCs w:val="16"/>
              </w:rPr>
            </w:pPr>
            <w:r w:rsidRPr="00306F85">
              <w:rPr>
                <w:rFonts w:ascii="Arial" w:hAnsi="Arial" w:cs="Arial"/>
                <w:sz w:val="16"/>
                <w:szCs w:val="16"/>
              </w:rPr>
              <w:t>UV lamps for tanning</w:t>
            </w:r>
            <w:r>
              <w:rPr>
                <w:rFonts w:ascii="Arial" w:hAnsi="Arial" w:cs="Arial"/>
                <w:sz w:val="16"/>
                <w:szCs w:val="16"/>
              </w:rPr>
              <w:t>, 2016</w:t>
            </w:r>
          </w:p>
        </w:tc>
        <w:tc>
          <w:tcPr>
            <w:tcW w:w="1824" w:type="dxa"/>
            <w:tcBorders>
              <w:bottom w:val="double" w:sz="4" w:space="0" w:color="auto"/>
            </w:tcBorders>
            <w:vAlign w:val="center"/>
          </w:tcPr>
          <w:p w14:paraId="6807EF83" w14:textId="4CF68A26" w:rsidR="003A7F6D" w:rsidRPr="00306F85" w:rsidRDefault="0043742F" w:rsidP="00E45E6D">
            <w:pPr>
              <w:spacing w:line="300" w:lineRule="atLeast"/>
              <w:jc w:val="center"/>
              <w:rPr>
                <w:rFonts w:ascii="Arial" w:hAnsi="Arial" w:cs="Arial"/>
                <w:sz w:val="16"/>
                <w:szCs w:val="16"/>
              </w:rPr>
            </w:pPr>
            <w:r>
              <w:rPr>
                <w:rFonts w:ascii="Arial" w:hAnsi="Arial" w:cs="Arial"/>
                <w:sz w:val="16"/>
                <w:szCs w:val="16"/>
              </w:rPr>
              <w:t>5 – 25</w:t>
            </w:r>
          </w:p>
        </w:tc>
        <w:tc>
          <w:tcPr>
            <w:tcW w:w="1938" w:type="dxa"/>
            <w:tcBorders>
              <w:bottom w:val="double" w:sz="4" w:space="0" w:color="auto"/>
            </w:tcBorders>
            <w:vAlign w:val="center"/>
          </w:tcPr>
          <w:p w14:paraId="137C6D74" w14:textId="094AC7FA" w:rsidR="003A7F6D" w:rsidRPr="00306F85" w:rsidRDefault="0043742F" w:rsidP="00E45E6D">
            <w:pPr>
              <w:spacing w:line="300" w:lineRule="atLeast"/>
              <w:jc w:val="center"/>
              <w:rPr>
                <w:rFonts w:ascii="Arial" w:hAnsi="Arial" w:cs="Arial"/>
                <w:sz w:val="16"/>
                <w:szCs w:val="16"/>
              </w:rPr>
            </w:pPr>
            <w:r>
              <w:rPr>
                <w:rFonts w:ascii="Arial" w:hAnsi="Arial" w:cs="Arial"/>
                <w:sz w:val="16"/>
                <w:szCs w:val="16"/>
              </w:rPr>
              <w:t>92</w:t>
            </w:r>
          </w:p>
        </w:tc>
        <w:tc>
          <w:tcPr>
            <w:tcW w:w="1827" w:type="dxa"/>
            <w:tcBorders>
              <w:bottom w:val="double" w:sz="4" w:space="0" w:color="auto"/>
            </w:tcBorders>
            <w:vAlign w:val="center"/>
          </w:tcPr>
          <w:p w14:paraId="277FAE18" w14:textId="7D81F24E" w:rsidR="003A7F6D" w:rsidRPr="00306F85" w:rsidRDefault="0043742F" w:rsidP="0082333F">
            <w:pPr>
              <w:spacing w:line="300" w:lineRule="atLeast"/>
              <w:jc w:val="center"/>
              <w:rPr>
                <w:rFonts w:ascii="Arial" w:hAnsi="Arial" w:cs="Arial"/>
                <w:sz w:val="16"/>
                <w:szCs w:val="16"/>
              </w:rPr>
            </w:pPr>
            <w:r>
              <w:rPr>
                <w:rFonts w:ascii="Arial" w:hAnsi="Arial" w:cs="Arial"/>
                <w:sz w:val="16"/>
                <w:szCs w:val="16"/>
              </w:rPr>
              <w:t>0.46 – 2.3</w:t>
            </w:r>
          </w:p>
        </w:tc>
      </w:tr>
      <w:tr w:rsidR="00E45E6D" w:rsidRPr="00306F85" w14:paraId="29070DB7" w14:textId="77777777" w:rsidTr="0043742F">
        <w:tc>
          <w:tcPr>
            <w:tcW w:w="3472" w:type="dxa"/>
            <w:tcBorders>
              <w:top w:val="double" w:sz="4" w:space="0" w:color="auto"/>
            </w:tcBorders>
            <w:vAlign w:val="bottom"/>
          </w:tcPr>
          <w:p w14:paraId="07F1A16F" w14:textId="36C98A1E" w:rsidR="00E45E6D" w:rsidRPr="00306F85" w:rsidRDefault="00E45E6D" w:rsidP="00E45E6D">
            <w:pPr>
              <w:spacing w:line="300" w:lineRule="atLeast"/>
              <w:rPr>
                <w:rFonts w:ascii="Arial" w:hAnsi="Arial" w:cs="Arial"/>
                <w:sz w:val="16"/>
                <w:szCs w:val="16"/>
              </w:rPr>
            </w:pPr>
            <w:r w:rsidRPr="00306F85">
              <w:rPr>
                <w:rFonts w:ascii="Arial" w:hAnsi="Arial" w:cs="Arial"/>
                <w:sz w:val="16"/>
                <w:szCs w:val="16"/>
              </w:rPr>
              <w:t>Metal halide lamps</w:t>
            </w:r>
            <w:r w:rsidR="003A7F6D">
              <w:rPr>
                <w:rFonts w:ascii="Arial" w:hAnsi="Arial" w:cs="Arial"/>
                <w:sz w:val="16"/>
                <w:szCs w:val="16"/>
              </w:rPr>
              <w:t>, 2012</w:t>
            </w:r>
          </w:p>
        </w:tc>
        <w:tc>
          <w:tcPr>
            <w:tcW w:w="1824" w:type="dxa"/>
            <w:tcBorders>
              <w:top w:val="double" w:sz="4" w:space="0" w:color="auto"/>
            </w:tcBorders>
            <w:vAlign w:val="center"/>
          </w:tcPr>
          <w:p w14:paraId="5BCAC589" w14:textId="77777777" w:rsidR="00E45E6D" w:rsidRPr="00306F85" w:rsidRDefault="00E45E6D" w:rsidP="00E45E6D">
            <w:pPr>
              <w:spacing w:line="300" w:lineRule="atLeast"/>
              <w:jc w:val="center"/>
              <w:rPr>
                <w:rFonts w:ascii="Arial" w:hAnsi="Arial" w:cs="Arial"/>
                <w:sz w:val="16"/>
                <w:szCs w:val="16"/>
              </w:rPr>
            </w:pPr>
            <w:r w:rsidRPr="00306F85">
              <w:rPr>
                <w:rFonts w:ascii="Arial" w:hAnsi="Arial" w:cs="Arial"/>
                <w:sz w:val="16"/>
                <w:szCs w:val="16"/>
              </w:rPr>
              <w:t>25</w:t>
            </w:r>
          </w:p>
        </w:tc>
        <w:tc>
          <w:tcPr>
            <w:tcW w:w="1938" w:type="dxa"/>
            <w:tcBorders>
              <w:top w:val="double" w:sz="4" w:space="0" w:color="auto"/>
            </w:tcBorders>
            <w:vAlign w:val="center"/>
          </w:tcPr>
          <w:p w14:paraId="0D090B0A" w14:textId="77777777" w:rsidR="00E45E6D" w:rsidRPr="00306F85" w:rsidRDefault="00E45E6D" w:rsidP="00E45E6D">
            <w:pPr>
              <w:spacing w:line="300" w:lineRule="atLeast"/>
              <w:jc w:val="center"/>
              <w:rPr>
                <w:rFonts w:ascii="Arial" w:hAnsi="Arial" w:cs="Arial"/>
                <w:sz w:val="16"/>
                <w:szCs w:val="16"/>
              </w:rPr>
            </w:pPr>
            <w:r w:rsidRPr="00306F85">
              <w:rPr>
                <w:rFonts w:ascii="Arial" w:hAnsi="Arial" w:cs="Arial"/>
                <w:sz w:val="16"/>
                <w:szCs w:val="16"/>
              </w:rPr>
              <w:t>500</w:t>
            </w:r>
          </w:p>
        </w:tc>
        <w:tc>
          <w:tcPr>
            <w:tcW w:w="1827" w:type="dxa"/>
            <w:tcBorders>
              <w:top w:val="double" w:sz="4" w:space="0" w:color="auto"/>
            </w:tcBorders>
            <w:vAlign w:val="center"/>
          </w:tcPr>
          <w:p w14:paraId="2EF9322F" w14:textId="77777777" w:rsidR="00E45E6D" w:rsidRPr="00306F85" w:rsidRDefault="00C76876" w:rsidP="00E45E6D">
            <w:pPr>
              <w:spacing w:line="300" w:lineRule="atLeast"/>
              <w:jc w:val="center"/>
              <w:rPr>
                <w:rFonts w:ascii="Arial" w:hAnsi="Arial" w:cs="Arial"/>
                <w:sz w:val="16"/>
                <w:szCs w:val="16"/>
              </w:rPr>
            </w:pPr>
            <w:r w:rsidRPr="00306F85">
              <w:rPr>
                <w:rFonts w:ascii="Arial" w:hAnsi="Arial" w:cs="Arial"/>
                <w:sz w:val="16"/>
                <w:szCs w:val="16"/>
              </w:rPr>
              <w:t>12.5</w:t>
            </w:r>
          </w:p>
        </w:tc>
      </w:tr>
      <w:tr w:rsidR="003A7F6D" w:rsidRPr="00306F85" w14:paraId="3445DB29" w14:textId="77777777" w:rsidTr="0043742F">
        <w:tc>
          <w:tcPr>
            <w:tcW w:w="3472" w:type="dxa"/>
            <w:vAlign w:val="bottom"/>
          </w:tcPr>
          <w:p w14:paraId="75F69E7C" w14:textId="2E363445" w:rsidR="003A7F6D" w:rsidRPr="00306F85" w:rsidRDefault="003A7F6D" w:rsidP="00E45E6D">
            <w:pPr>
              <w:spacing w:line="300" w:lineRule="atLeast"/>
              <w:rPr>
                <w:rFonts w:ascii="Arial" w:hAnsi="Arial" w:cs="Arial"/>
                <w:sz w:val="16"/>
                <w:szCs w:val="16"/>
              </w:rPr>
            </w:pPr>
            <w:r w:rsidRPr="00306F85">
              <w:rPr>
                <w:rFonts w:ascii="Arial" w:hAnsi="Arial" w:cs="Arial"/>
                <w:sz w:val="16"/>
                <w:szCs w:val="16"/>
              </w:rPr>
              <w:t>Metal halide lamps</w:t>
            </w:r>
            <w:r>
              <w:rPr>
                <w:rFonts w:ascii="Arial" w:hAnsi="Arial" w:cs="Arial"/>
                <w:sz w:val="16"/>
                <w:szCs w:val="16"/>
              </w:rPr>
              <w:t>, 2016</w:t>
            </w:r>
          </w:p>
        </w:tc>
        <w:tc>
          <w:tcPr>
            <w:tcW w:w="1824" w:type="dxa"/>
            <w:vAlign w:val="center"/>
          </w:tcPr>
          <w:p w14:paraId="112AEF1B" w14:textId="291EAEC5" w:rsidR="003A7F6D" w:rsidRPr="00306F85" w:rsidRDefault="0043742F" w:rsidP="00E45E6D">
            <w:pPr>
              <w:spacing w:line="300" w:lineRule="atLeast"/>
              <w:jc w:val="center"/>
              <w:rPr>
                <w:rFonts w:ascii="Arial" w:hAnsi="Arial" w:cs="Arial"/>
                <w:sz w:val="16"/>
                <w:szCs w:val="16"/>
              </w:rPr>
            </w:pPr>
            <w:r>
              <w:rPr>
                <w:rFonts w:ascii="Arial" w:hAnsi="Arial" w:cs="Arial"/>
                <w:sz w:val="16"/>
                <w:szCs w:val="16"/>
              </w:rPr>
              <w:t>25</w:t>
            </w:r>
          </w:p>
        </w:tc>
        <w:tc>
          <w:tcPr>
            <w:tcW w:w="1938" w:type="dxa"/>
            <w:vAlign w:val="center"/>
          </w:tcPr>
          <w:p w14:paraId="372390F0" w14:textId="14E67539" w:rsidR="003A7F6D" w:rsidRPr="00306F85" w:rsidRDefault="0043742F" w:rsidP="00E45E6D">
            <w:pPr>
              <w:spacing w:line="300" w:lineRule="atLeast"/>
              <w:jc w:val="center"/>
              <w:rPr>
                <w:rFonts w:ascii="Arial" w:hAnsi="Arial" w:cs="Arial"/>
                <w:sz w:val="16"/>
                <w:szCs w:val="16"/>
              </w:rPr>
            </w:pPr>
            <w:r>
              <w:rPr>
                <w:rFonts w:ascii="Arial" w:hAnsi="Arial" w:cs="Arial"/>
                <w:sz w:val="16"/>
                <w:szCs w:val="16"/>
              </w:rPr>
              <w:t>106</w:t>
            </w:r>
          </w:p>
        </w:tc>
        <w:tc>
          <w:tcPr>
            <w:tcW w:w="1827" w:type="dxa"/>
            <w:vAlign w:val="center"/>
          </w:tcPr>
          <w:p w14:paraId="6A7C0E84" w14:textId="1357BE38" w:rsidR="003A7F6D" w:rsidRPr="00306F85" w:rsidRDefault="0043742F" w:rsidP="00E45E6D">
            <w:pPr>
              <w:spacing w:line="300" w:lineRule="atLeast"/>
              <w:jc w:val="center"/>
              <w:rPr>
                <w:rFonts w:ascii="Arial" w:hAnsi="Arial" w:cs="Arial"/>
                <w:sz w:val="16"/>
                <w:szCs w:val="16"/>
              </w:rPr>
            </w:pPr>
            <w:r>
              <w:rPr>
                <w:rFonts w:ascii="Arial" w:hAnsi="Arial" w:cs="Arial"/>
                <w:sz w:val="16"/>
                <w:szCs w:val="16"/>
              </w:rPr>
              <w:t>1.6 – 5.3</w:t>
            </w:r>
          </w:p>
        </w:tc>
      </w:tr>
    </w:tbl>
    <w:p w14:paraId="0EA5FAC1" w14:textId="77777777" w:rsidR="00E45E6D" w:rsidRPr="00306F85" w:rsidRDefault="00E45E6D" w:rsidP="003A7F6D">
      <w:pPr>
        <w:spacing w:after="0" w:line="300" w:lineRule="atLeast"/>
        <w:jc w:val="both"/>
        <w:rPr>
          <w:szCs w:val="18"/>
        </w:rPr>
      </w:pPr>
    </w:p>
    <w:p w14:paraId="351052ED" w14:textId="0BB56C93" w:rsidR="00AD5485" w:rsidRPr="00306F85" w:rsidRDefault="00AD5485" w:rsidP="00AD5485">
      <w:pPr>
        <w:spacing w:line="300" w:lineRule="atLeast"/>
        <w:jc w:val="both"/>
        <w:rPr>
          <w:szCs w:val="18"/>
        </w:rPr>
      </w:pPr>
      <w:r w:rsidRPr="00306F85">
        <w:rPr>
          <w:szCs w:val="18"/>
        </w:rPr>
        <w:t xml:space="preserve">The mercury input and output estimates for mercury </w:t>
      </w:r>
      <w:r w:rsidR="000678C3" w:rsidRPr="00306F85">
        <w:rPr>
          <w:szCs w:val="18"/>
        </w:rPr>
        <w:t>lamps</w:t>
      </w:r>
      <w:r w:rsidRPr="00306F85">
        <w:rPr>
          <w:szCs w:val="18"/>
        </w:rPr>
        <w:t xml:space="preserve"> are shown in</w:t>
      </w:r>
      <w:r w:rsidR="000678C3" w:rsidRPr="00306F85">
        <w:rPr>
          <w:szCs w:val="18"/>
        </w:rPr>
        <w:t xml:space="preserve"> </w:t>
      </w:r>
      <w:r w:rsidR="000678C3" w:rsidRPr="00016AD4">
        <w:rPr>
          <w:szCs w:val="18"/>
        </w:rPr>
        <w:fldChar w:fldCharType="begin"/>
      </w:r>
      <w:r w:rsidR="000678C3" w:rsidRPr="00016AD4">
        <w:rPr>
          <w:szCs w:val="18"/>
        </w:rPr>
        <w:instrText xml:space="preserve"> REF _Ref358714485 \h </w:instrText>
      </w:r>
      <w:r w:rsidR="000A1874" w:rsidRPr="00016AD4">
        <w:rPr>
          <w:szCs w:val="18"/>
        </w:rPr>
        <w:instrText xml:space="preserve"> \* MERGEFORMAT </w:instrText>
      </w:r>
      <w:r w:rsidR="000678C3" w:rsidRPr="00016AD4">
        <w:rPr>
          <w:szCs w:val="18"/>
        </w:rPr>
      </w:r>
      <w:r w:rsidR="000678C3" w:rsidRPr="00016AD4">
        <w:rPr>
          <w:szCs w:val="18"/>
        </w:rPr>
        <w:fldChar w:fldCharType="separate"/>
      </w:r>
      <w:r w:rsidR="00423FC9" w:rsidRPr="00016AD4">
        <w:t xml:space="preserve">Table </w:t>
      </w:r>
      <w:r w:rsidR="00423FC9" w:rsidRPr="00016AD4">
        <w:rPr>
          <w:noProof/>
        </w:rPr>
        <w:t>7</w:t>
      </w:r>
      <w:r w:rsidR="00423FC9" w:rsidRPr="00016AD4">
        <w:rPr>
          <w:noProof/>
        </w:rPr>
        <w:noBreakHyphen/>
        <w:t>5</w:t>
      </w:r>
      <w:r w:rsidR="000678C3" w:rsidRPr="00016AD4">
        <w:rPr>
          <w:szCs w:val="18"/>
        </w:rPr>
        <w:fldChar w:fldCharType="end"/>
      </w:r>
      <w:r w:rsidR="00435C60" w:rsidRPr="00306F85">
        <w:rPr>
          <w:szCs w:val="18"/>
        </w:rPr>
        <w:t>.</w:t>
      </w:r>
    </w:p>
    <w:p w14:paraId="4E4A2BD5" w14:textId="77777777" w:rsidR="00AD5485" w:rsidRPr="00306F85" w:rsidRDefault="000678C3" w:rsidP="008A45A0">
      <w:pPr>
        <w:pStyle w:val="Caption"/>
        <w:spacing w:before="240"/>
        <w:rPr>
          <w:szCs w:val="18"/>
        </w:rPr>
      </w:pPr>
      <w:bookmarkStart w:id="97" w:name="_Ref358714485"/>
      <w:bookmarkStart w:id="98" w:name="_Toc484949660"/>
      <w:r w:rsidRPr="00306F85">
        <w:rPr>
          <w:rFonts w:ascii="Arial" w:hAnsi="Arial" w:cs="Arial"/>
        </w:rPr>
        <w:t xml:space="preserve">Table </w:t>
      </w:r>
      <w:r w:rsidR="002B0D65" w:rsidRPr="00306F85">
        <w:rPr>
          <w:rFonts w:ascii="Arial" w:hAnsi="Arial" w:cs="Arial"/>
        </w:rPr>
        <w:fldChar w:fldCharType="begin"/>
      </w:r>
      <w:r w:rsidR="002B0D65" w:rsidRPr="00306F85">
        <w:rPr>
          <w:rFonts w:ascii="Arial" w:hAnsi="Arial" w:cs="Arial"/>
        </w:rPr>
        <w:instrText xml:space="preserve"> STYLEREF 1 \s </w:instrText>
      </w:r>
      <w:r w:rsidR="002B0D65" w:rsidRPr="00306F85">
        <w:rPr>
          <w:rFonts w:ascii="Arial" w:hAnsi="Arial" w:cs="Arial"/>
        </w:rPr>
        <w:fldChar w:fldCharType="separate"/>
      </w:r>
      <w:r w:rsidR="00423FC9">
        <w:rPr>
          <w:rFonts w:ascii="Arial" w:hAnsi="Arial" w:cs="Arial"/>
          <w:noProof/>
        </w:rPr>
        <w:t>7</w:t>
      </w:r>
      <w:r w:rsidR="002B0D65" w:rsidRPr="00306F85">
        <w:rPr>
          <w:rFonts w:ascii="Arial" w:hAnsi="Arial" w:cs="Arial"/>
          <w:noProof/>
        </w:rPr>
        <w:fldChar w:fldCharType="end"/>
      </w:r>
      <w:r w:rsidR="00390C9F" w:rsidRPr="00306F85">
        <w:rPr>
          <w:rFonts w:ascii="Arial" w:hAnsi="Arial" w:cs="Arial"/>
        </w:rPr>
        <w:noBreakHyphen/>
      </w:r>
      <w:r w:rsidR="002B0D65" w:rsidRPr="00306F85">
        <w:rPr>
          <w:rFonts w:ascii="Arial" w:hAnsi="Arial" w:cs="Arial"/>
        </w:rPr>
        <w:fldChar w:fldCharType="begin"/>
      </w:r>
      <w:r w:rsidR="002B0D65" w:rsidRPr="00306F85">
        <w:rPr>
          <w:rFonts w:ascii="Arial" w:hAnsi="Arial" w:cs="Arial"/>
        </w:rPr>
        <w:instrText xml:space="preserve"> SEQ Table \* ARABIC \s 1 </w:instrText>
      </w:r>
      <w:r w:rsidR="002B0D65" w:rsidRPr="00306F85">
        <w:rPr>
          <w:rFonts w:ascii="Arial" w:hAnsi="Arial" w:cs="Arial"/>
        </w:rPr>
        <w:fldChar w:fldCharType="separate"/>
      </w:r>
      <w:r w:rsidR="00423FC9">
        <w:rPr>
          <w:rFonts w:ascii="Arial" w:hAnsi="Arial" w:cs="Arial"/>
          <w:noProof/>
        </w:rPr>
        <w:t>5</w:t>
      </w:r>
      <w:r w:rsidR="002B0D65" w:rsidRPr="00306F85">
        <w:rPr>
          <w:rFonts w:ascii="Arial" w:hAnsi="Arial" w:cs="Arial"/>
          <w:noProof/>
        </w:rPr>
        <w:fldChar w:fldCharType="end"/>
      </w:r>
      <w:bookmarkEnd w:id="97"/>
      <w:r w:rsidR="00AD5485" w:rsidRPr="00306F85">
        <w:rPr>
          <w:rFonts w:ascii="Arial" w:hAnsi="Arial" w:cs="Arial"/>
        </w:rPr>
        <w:t>:</w:t>
      </w:r>
      <w:r w:rsidR="00AD5485" w:rsidRPr="00306F85">
        <w:t xml:space="preserve">  </w:t>
      </w:r>
      <w:r w:rsidR="00AD5485" w:rsidRPr="00306F85">
        <w:rPr>
          <w:rFonts w:ascii="Arial" w:hAnsi="Arial" w:cs="Arial"/>
        </w:rPr>
        <w:t xml:space="preserve">Input and output estimates for mercury </w:t>
      </w:r>
      <w:r w:rsidRPr="00306F85">
        <w:rPr>
          <w:rFonts w:ascii="Arial" w:hAnsi="Arial" w:cs="Arial"/>
        </w:rPr>
        <w:t>lamps</w:t>
      </w:r>
      <w:bookmarkEnd w:id="98"/>
    </w:p>
    <w:tbl>
      <w:tblPr>
        <w:tblStyle w:val="TableGrid"/>
        <w:tblW w:w="9322" w:type="dxa"/>
        <w:tblLook w:val="04A0" w:firstRow="1" w:lastRow="0" w:firstColumn="1" w:lastColumn="0" w:noHBand="0" w:noVBand="1"/>
      </w:tblPr>
      <w:tblGrid>
        <w:gridCol w:w="3073"/>
        <w:gridCol w:w="2166"/>
        <w:gridCol w:w="1995"/>
        <w:gridCol w:w="2088"/>
      </w:tblGrid>
      <w:tr w:rsidR="001B6E36" w:rsidRPr="00306F85" w14:paraId="2F9C38D3" w14:textId="77777777" w:rsidTr="0043742F">
        <w:trPr>
          <w:trHeight w:val="776"/>
        </w:trPr>
        <w:tc>
          <w:tcPr>
            <w:tcW w:w="3073" w:type="dxa"/>
            <w:vMerge w:val="restart"/>
            <w:vAlign w:val="center"/>
          </w:tcPr>
          <w:p w14:paraId="0E806D23" w14:textId="77777777" w:rsidR="001B6E36" w:rsidRPr="00306F85" w:rsidRDefault="001B6E36" w:rsidP="00C34A7E">
            <w:pPr>
              <w:spacing w:line="300" w:lineRule="atLeast"/>
              <w:jc w:val="center"/>
              <w:rPr>
                <w:rFonts w:ascii="Arial" w:hAnsi="Arial" w:cs="Arial"/>
                <w:b/>
                <w:sz w:val="16"/>
                <w:szCs w:val="16"/>
              </w:rPr>
            </w:pPr>
            <w:r w:rsidRPr="00306F85">
              <w:rPr>
                <w:rFonts w:ascii="Arial" w:hAnsi="Arial" w:cs="Arial"/>
                <w:b/>
                <w:sz w:val="16"/>
                <w:szCs w:val="16"/>
              </w:rPr>
              <w:t>Source</w:t>
            </w:r>
          </w:p>
        </w:tc>
        <w:tc>
          <w:tcPr>
            <w:tcW w:w="2166" w:type="dxa"/>
            <w:vMerge w:val="restart"/>
            <w:vAlign w:val="center"/>
          </w:tcPr>
          <w:p w14:paraId="6FE79AA0" w14:textId="77777777" w:rsidR="001B6E36" w:rsidRPr="00306F85" w:rsidRDefault="001B6E36" w:rsidP="00C34A7E">
            <w:pPr>
              <w:spacing w:line="300" w:lineRule="atLeast"/>
              <w:jc w:val="center"/>
              <w:rPr>
                <w:rFonts w:ascii="Arial" w:hAnsi="Arial" w:cs="Arial"/>
                <w:b/>
                <w:sz w:val="16"/>
                <w:szCs w:val="16"/>
              </w:rPr>
            </w:pPr>
            <w:r w:rsidRPr="00306F85">
              <w:rPr>
                <w:rFonts w:ascii="Arial" w:hAnsi="Arial" w:cs="Arial"/>
                <w:b/>
                <w:sz w:val="16"/>
                <w:szCs w:val="16"/>
              </w:rPr>
              <w:t>Annual Mercury Inputs, kg/</w:t>
            </w:r>
            <w:proofErr w:type="spellStart"/>
            <w:r w:rsidRPr="00306F85">
              <w:rPr>
                <w:rFonts w:ascii="Arial" w:hAnsi="Arial" w:cs="Arial"/>
                <w:b/>
                <w:sz w:val="16"/>
                <w:szCs w:val="16"/>
              </w:rPr>
              <w:t>yr</w:t>
            </w:r>
            <w:proofErr w:type="spellEnd"/>
          </w:p>
        </w:tc>
        <w:tc>
          <w:tcPr>
            <w:tcW w:w="4083" w:type="dxa"/>
            <w:gridSpan w:val="2"/>
            <w:vAlign w:val="center"/>
          </w:tcPr>
          <w:p w14:paraId="2323CDD5" w14:textId="77777777" w:rsidR="001B6E36" w:rsidRPr="00306F85" w:rsidRDefault="001B6E36" w:rsidP="00C34A7E">
            <w:pPr>
              <w:spacing w:line="300" w:lineRule="atLeast"/>
              <w:jc w:val="center"/>
              <w:rPr>
                <w:rFonts w:ascii="Arial" w:hAnsi="Arial" w:cs="Arial"/>
                <w:b/>
                <w:sz w:val="16"/>
                <w:szCs w:val="16"/>
              </w:rPr>
            </w:pPr>
            <w:r w:rsidRPr="00306F85">
              <w:rPr>
                <w:rFonts w:ascii="Arial" w:hAnsi="Arial" w:cs="Arial"/>
                <w:b/>
                <w:sz w:val="16"/>
                <w:szCs w:val="16"/>
              </w:rPr>
              <w:t>Annual Mercury Outputs, kg/</w:t>
            </w:r>
            <w:proofErr w:type="spellStart"/>
            <w:r w:rsidRPr="00306F85">
              <w:rPr>
                <w:rFonts w:ascii="Arial" w:hAnsi="Arial" w:cs="Arial"/>
                <w:b/>
                <w:sz w:val="16"/>
                <w:szCs w:val="16"/>
              </w:rPr>
              <w:t>yr</w:t>
            </w:r>
            <w:proofErr w:type="spellEnd"/>
          </w:p>
        </w:tc>
      </w:tr>
      <w:tr w:rsidR="001B6E36" w:rsidRPr="00306F85" w14:paraId="53FFDD95" w14:textId="77777777" w:rsidTr="0043742F">
        <w:tc>
          <w:tcPr>
            <w:tcW w:w="3073" w:type="dxa"/>
            <w:vMerge/>
            <w:vAlign w:val="center"/>
          </w:tcPr>
          <w:p w14:paraId="173CC554" w14:textId="77777777" w:rsidR="001B6E36" w:rsidRPr="00306F85" w:rsidRDefault="001B6E36" w:rsidP="00C34A7E">
            <w:pPr>
              <w:spacing w:line="300" w:lineRule="atLeast"/>
              <w:jc w:val="center"/>
              <w:rPr>
                <w:rFonts w:ascii="Arial" w:hAnsi="Arial" w:cs="Arial"/>
                <w:b/>
                <w:sz w:val="16"/>
                <w:szCs w:val="16"/>
              </w:rPr>
            </w:pPr>
          </w:p>
        </w:tc>
        <w:tc>
          <w:tcPr>
            <w:tcW w:w="2166" w:type="dxa"/>
            <w:vMerge/>
            <w:vAlign w:val="center"/>
          </w:tcPr>
          <w:p w14:paraId="116AF6B8" w14:textId="77777777" w:rsidR="001B6E36" w:rsidRPr="00306F85" w:rsidRDefault="001B6E36" w:rsidP="00C34A7E">
            <w:pPr>
              <w:spacing w:line="300" w:lineRule="atLeast"/>
              <w:jc w:val="center"/>
              <w:rPr>
                <w:rFonts w:ascii="Arial" w:hAnsi="Arial" w:cs="Arial"/>
                <w:b/>
                <w:sz w:val="16"/>
                <w:szCs w:val="16"/>
              </w:rPr>
            </w:pPr>
          </w:p>
        </w:tc>
        <w:tc>
          <w:tcPr>
            <w:tcW w:w="1995" w:type="dxa"/>
            <w:vAlign w:val="center"/>
          </w:tcPr>
          <w:p w14:paraId="4F87A418" w14:textId="77777777" w:rsidR="001B6E36" w:rsidRPr="00306F85" w:rsidRDefault="001B6E36" w:rsidP="00C34A7E">
            <w:pPr>
              <w:spacing w:line="300" w:lineRule="atLeast"/>
              <w:jc w:val="center"/>
              <w:rPr>
                <w:rFonts w:ascii="Arial" w:hAnsi="Arial" w:cs="Arial"/>
                <w:b/>
                <w:sz w:val="16"/>
                <w:szCs w:val="16"/>
              </w:rPr>
            </w:pPr>
            <w:r w:rsidRPr="00306F85">
              <w:rPr>
                <w:rFonts w:ascii="Arial" w:hAnsi="Arial" w:cs="Arial"/>
                <w:b/>
                <w:sz w:val="16"/>
                <w:szCs w:val="16"/>
              </w:rPr>
              <w:t>Air</w:t>
            </w:r>
          </w:p>
        </w:tc>
        <w:tc>
          <w:tcPr>
            <w:tcW w:w="2088" w:type="dxa"/>
            <w:vAlign w:val="center"/>
          </w:tcPr>
          <w:p w14:paraId="21AF0FDA" w14:textId="77777777" w:rsidR="001B6E36" w:rsidRPr="00306F85" w:rsidRDefault="001B6E36" w:rsidP="00C34A7E">
            <w:pPr>
              <w:spacing w:line="300" w:lineRule="atLeast"/>
              <w:jc w:val="center"/>
              <w:rPr>
                <w:rFonts w:ascii="Arial" w:hAnsi="Arial" w:cs="Arial"/>
                <w:b/>
                <w:sz w:val="16"/>
                <w:szCs w:val="16"/>
              </w:rPr>
            </w:pPr>
            <w:r w:rsidRPr="00306F85">
              <w:rPr>
                <w:rFonts w:ascii="Arial" w:hAnsi="Arial" w:cs="Arial"/>
                <w:b/>
                <w:sz w:val="16"/>
                <w:szCs w:val="16"/>
              </w:rPr>
              <w:t>Waste</w:t>
            </w:r>
          </w:p>
        </w:tc>
      </w:tr>
      <w:tr w:rsidR="001B6E36" w:rsidRPr="00306F85" w14:paraId="2599CF3C" w14:textId="77777777" w:rsidTr="0043742F">
        <w:tc>
          <w:tcPr>
            <w:tcW w:w="3073" w:type="dxa"/>
          </w:tcPr>
          <w:p w14:paraId="19E49099" w14:textId="5CC1DCD6" w:rsidR="001B6E36" w:rsidRPr="00306F85" w:rsidRDefault="001B6E36" w:rsidP="00C34A7E">
            <w:pPr>
              <w:spacing w:line="300" w:lineRule="atLeast"/>
              <w:jc w:val="both"/>
              <w:rPr>
                <w:rFonts w:ascii="Arial" w:hAnsi="Arial" w:cs="Arial"/>
                <w:sz w:val="16"/>
                <w:szCs w:val="16"/>
              </w:rPr>
            </w:pPr>
            <w:r w:rsidRPr="00306F85">
              <w:rPr>
                <w:rFonts w:ascii="Arial" w:hAnsi="Arial" w:cs="Arial"/>
                <w:sz w:val="16"/>
                <w:szCs w:val="16"/>
              </w:rPr>
              <w:t>All lamps (see details above)</w:t>
            </w:r>
            <w:r w:rsidR="0043742F">
              <w:rPr>
                <w:rFonts w:ascii="Arial" w:hAnsi="Arial" w:cs="Arial"/>
                <w:sz w:val="16"/>
                <w:szCs w:val="16"/>
              </w:rPr>
              <w:t>, 2012</w:t>
            </w:r>
          </w:p>
        </w:tc>
        <w:tc>
          <w:tcPr>
            <w:tcW w:w="2166" w:type="dxa"/>
            <w:vAlign w:val="center"/>
          </w:tcPr>
          <w:p w14:paraId="708BED89" w14:textId="77777777" w:rsidR="001B6E36" w:rsidRPr="00306F85" w:rsidRDefault="0082333F" w:rsidP="0082333F">
            <w:pPr>
              <w:spacing w:line="300" w:lineRule="atLeast"/>
              <w:jc w:val="center"/>
              <w:rPr>
                <w:rFonts w:ascii="Arial" w:hAnsi="Arial" w:cs="Arial"/>
                <w:sz w:val="16"/>
                <w:szCs w:val="16"/>
              </w:rPr>
            </w:pPr>
            <w:r w:rsidRPr="00306F85">
              <w:rPr>
                <w:rFonts w:ascii="Arial" w:hAnsi="Arial" w:cs="Arial"/>
                <w:sz w:val="16"/>
                <w:szCs w:val="16"/>
              </w:rPr>
              <w:t>24</w:t>
            </w:r>
            <w:r w:rsidR="001B6E36" w:rsidRPr="00306F85">
              <w:rPr>
                <w:rFonts w:ascii="Arial" w:hAnsi="Arial" w:cs="Arial"/>
                <w:sz w:val="16"/>
                <w:szCs w:val="16"/>
              </w:rPr>
              <w:t xml:space="preserve"> – </w:t>
            </w:r>
            <w:r w:rsidRPr="00306F85">
              <w:rPr>
                <w:rFonts w:ascii="Arial" w:hAnsi="Arial" w:cs="Arial"/>
                <w:sz w:val="16"/>
                <w:szCs w:val="16"/>
              </w:rPr>
              <w:t>48.1</w:t>
            </w:r>
            <w:r w:rsidR="00923950" w:rsidRPr="00306F85">
              <w:rPr>
                <w:rFonts w:ascii="Arial" w:hAnsi="Arial" w:cs="Arial"/>
                <w:sz w:val="16"/>
                <w:szCs w:val="16"/>
              </w:rPr>
              <w:t xml:space="preserve"> (</w:t>
            </w:r>
            <w:r w:rsidRPr="00306F85">
              <w:rPr>
                <w:rFonts w:ascii="Arial" w:hAnsi="Arial" w:cs="Arial"/>
                <w:sz w:val="16"/>
                <w:szCs w:val="16"/>
              </w:rPr>
              <w:t>36</w:t>
            </w:r>
            <w:r w:rsidR="00923950" w:rsidRPr="00306F85">
              <w:rPr>
                <w:rFonts w:ascii="Arial" w:hAnsi="Arial" w:cs="Arial"/>
                <w:sz w:val="16"/>
                <w:szCs w:val="16"/>
              </w:rPr>
              <w:t>.</w:t>
            </w:r>
            <w:r w:rsidR="008409D2" w:rsidRPr="00306F85">
              <w:rPr>
                <w:rFonts w:ascii="Arial" w:hAnsi="Arial" w:cs="Arial"/>
                <w:sz w:val="16"/>
                <w:szCs w:val="16"/>
              </w:rPr>
              <w:t>0</w:t>
            </w:r>
            <w:r w:rsidR="001B6E36" w:rsidRPr="00306F85">
              <w:rPr>
                <w:rFonts w:ascii="Arial" w:hAnsi="Arial" w:cs="Arial"/>
                <w:sz w:val="16"/>
                <w:szCs w:val="16"/>
              </w:rPr>
              <w:t>)</w:t>
            </w:r>
          </w:p>
        </w:tc>
        <w:tc>
          <w:tcPr>
            <w:tcW w:w="1995" w:type="dxa"/>
            <w:vAlign w:val="center"/>
          </w:tcPr>
          <w:p w14:paraId="43248433" w14:textId="77777777" w:rsidR="001B6E36" w:rsidRPr="00306F85" w:rsidRDefault="00923950" w:rsidP="0082333F">
            <w:pPr>
              <w:spacing w:line="300" w:lineRule="atLeast"/>
              <w:jc w:val="center"/>
              <w:rPr>
                <w:rFonts w:ascii="Arial" w:hAnsi="Arial" w:cs="Arial"/>
                <w:sz w:val="16"/>
                <w:szCs w:val="16"/>
              </w:rPr>
            </w:pPr>
            <w:r w:rsidRPr="00306F85">
              <w:rPr>
                <w:rFonts w:ascii="Arial" w:hAnsi="Arial" w:cs="Arial"/>
                <w:sz w:val="16"/>
                <w:szCs w:val="16"/>
              </w:rPr>
              <w:t>1</w:t>
            </w:r>
            <w:r w:rsidR="0082333F" w:rsidRPr="00306F85">
              <w:rPr>
                <w:rFonts w:ascii="Arial" w:hAnsi="Arial" w:cs="Arial"/>
                <w:sz w:val="16"/>
                <w:szCs w:val="16"/>
              </w:rPr>
              <w:t>.2</w:t>
            </w:r>
            <w:r w:rsidR="001B6E36" w:rsidRPr="00306F85">
              <w:rPr>
                <w:rFonts w:ascii="Arial" w:hAnsi="Arial" w:cs="Arial"/>
                <w:sz w:val="16"/>
                <w:szCs w:val="16"/>
              </w:rPr>
              <w:t xml:space="preserve"> – </w:t>
            </w:r>
            <w:r w:rsidR="0082333F" w:rsidRPr="00306F85">
              <w:rPr>
                <w:rFonts w:ascii="Arial" w:hAnsi="Arial" w:cs="Arial"/>
                <w:sz w:val="16"/>
                <w:szCs w:val="16"/>
              </w:rPr>
              <w:t>2</w:t>
            </w:r>
            <w:r w:rsidR="001B6E36" w:rsidRPr="00306F85">
              <w:rPr>
                <w:rFonts w:ascii="Arial" w:hAnsi="Arial" w:cs="Arial"/>
                <w:sz w:val="16"/>
                <w:szCs w:val="16"/>
              </w:rPr>
              <w:t>.</w:t>
            </w:r>
            <w:r w:rsidR="0082333F" w:rsidRPr="00306F85">
              <w:rPr>
                <w:rFonts w:ascii="Arial" w:hAnsi="Arial" w:cs="Arial"/>
                <w:sz w:val="16"/>
                <w:szCs w:val="16"/>
              </w:rPr>
              <w:t>4</w:t>
            </w:r>
            <w:r w:rsidRPr="00306F85">
              <w:rPr>
                <w:rFonts w:ascii="Arial" w:hAnsi="Arial" w:cs="Arial"/>
                <w:sz w:val="16"/>
                <w:szCs w:val="16"/>
              </w:rPr>
              <w:t xml:space="preserve"> (</w:t>
            </w:r>
            <w:r w:rsidR="0082333F" w:rsidRPr="00306F85">
              <w:rPr>
                <w:rFonts w:ascii="Arial" w:hAnsi="Arial" w:cs="Arial"/>
                <w:sz w:val="16"/>
                <w:szCs w:val="16"/>
              </w:rPr>
              <w:t>1</w:t>
            </w:r>
            <w:r w:rsidRPr="00306F85">
              <w:rPr>
                <w:rFonts w:ascii="Arial" w:hAnsi="Arial" w:cs="Arial"/>
                <w:sz w:val="16"/>
                <w:szCs w:val="16"/>
              </w:rPr>
              <w:t>.</w:t>
            </w:r>
            <w:r w:rsidR="0082333F" w:rsidRPr="00306F85">
              <w:rPr>
                <w:rFonts w:ascii="Arial" w:hAnsi="Arial" w:cs="Arial"/>
                <w:sz w:val="16"/>
                <w:szCs w:val="16"/>
              </w:rPr>
              <w:t>8</w:t>
            </w:r>
            <w:r w:rsidRPr="00306F85">
              <w:rPr>
                <w:rFonts w:ascii="Arial" w:hAnsi="Arial" w:cs="Arial"/>
                <w:sz w:val="16"/>
                <w:szCs w:val="16"/>
              </w:rPr>
              <w:t>)</w:t>
            </w:r>
          </w:p>
        </w:tc>
        <w:tc>
          <w:tcPr>
            <w:tcW w:w="2088" w:type="dxa"/>
            <w:vAlign w:val="center"/>
          </w:tcPr>
          <w:p w14:paraId="6AF073DD" w14:textId="7913F8E4" w:rsidR="001B6E36" w:rsidRPr="00306F85" w:rsidRDefault="0082333F" w:rsidP="006E7B4B">
            <w:pPr>
              <w:spacing w:line="300" w:lineRule="atLeast"/>
              <w:jc w:val="center"/>
              <w:rPr>
                <w:rFonts w:ascii="Arial" w:hAnsi="Arial" w:cs="Arial"/>
                <w:sz w:val="16"/>
                <w:szCs w:val="16"/>
              </w:rPr>
            </w:pPr>
            <w:r w:rsidRPr="00306F85">
              <w:rPr>
                <w:rFonts w:ascii="Arial" w:hAnsi="Arial" w:cs="Arial"/>
                <w:sz w:val="16"/>
                <w:szCs w:val="16"/>
              </w:rPr>
              <w:t>2</w:t>
            </w:r>
            <w:r w:rsidR="00923950" w:rsidRPr="00306F85">
              <w:rPr>
                <w:rFonts w:ascii="Arial" w:hAnsi="Arial" w:cs="Arial"/>
                <w:sz w:val="16"/>
                <w:szCs w:val="16"/>
              </w:rPr>
              <w:t>2.</w:t>
            </w:r>
            <w:r w:rsidRPr="00306F85">
              <w:rPr>
                <w:rFonts w:ascii="Arial" w:hAnsi="Arial" w:cs="Arial"/>
                <w:sz w:val="16"/>
                <w:szCs w:val="16"/>
              </w:rPr>
              <w:t>8</w:t>
            </w:r>
            <w:r w:rsidR="001B6E36" w:rsidRPr="00306F85">
              <w:rPr>
                <w:rFonts w:ascii="Arial" w:hAnsi="Arial" w:cs="Arial"/>
                <w:sz w:val="16"/>
                <w:szCs w:val="16"/>
              </w:rPr>
              <w:t xml:space="preserve"> – </w:t>
            </w:r>
            <w:r w:rsidRPr="00306F85">
              <w:rPr>
                <w:rFonts w:ascii="Arial" w:hAnsi="Arial" w:cs="Arial"/>
                <w:sz w:val="16"/>
                <w:szCs w:val="16"/>
              </w:rPr>
              <w:t>45</w:t>
            </w:r>
            <w:r w:rsidR="00923950" w:rsidRPr="00306F85">
              <w:rPr>
                <w:rFonts w:ascii="Arial" w:hAnsi="Arial" w:cs="Arial"/>
                <w:sz w:val="16"/>
                <w:szCs w:val="16"/>
              </w:rPr>
              <w:t>.</w:t>
            </w:r>
            <w:r w:rsidR="008409D2" w:rsidRPr="00306F85">
              <w:rPr>
                <w:rFonts w:ascii="Arial" w:hAnsi="Arial" w:cs="Arial"/>
                <w:sz w:val="16"/>
                <w:szCs w:val="16"/>
              </w:rPr>
              <w:t>7 (34.2</w:t>
            </w:r>
            <w:r w:rsidR="00923950" w:rsidRPr="00306F85">
              <w:rPr>
                <w:rFonts w:ascii="Arial" w:hAnsi="Arial" w:cs="Arial"/>
                <w:sz w:val="16"/>
                <w:szCs w:val="16"/>
              </w:rPr>
              <w:t>)</w:t>
            </w:r>
          </w:p>
        </w:tc>
      </w:tr>
      <w:tr w:rsidR="0043742F" w:rsidRPr="00306F85" w14:paraId="651E76D6" w14:textId="77777777" w:rsidTr="0043742F">
        <w:tc>
          <w:tcPr>
            <w:tcW w:w="3073" w:type="dxa"/>
          </w:tcPr>
          <w:p w14:paraId="12AD9ECB" w14:textId="169953EB" w:rsidR="0043742F" w:rsidRPr="00306F85" w:rsidRDefault="0043742F" w:rsidP="00C34A7E">
            <w:pPr>
              <w:spacing w:line="300" w:lineRule="atLeast"/>
              <w:jc w:val="both"/>
              <w:rPr>
                <w:rFonts w:ascii="Arial" w:hAnsi="Arial" w:cs="Arial"/>
                <w:sz w:val="16"/>
                <w:szCs w:val="16"/>
              </w:rPr>
            </w:pPr>
            <w:r w:rsidRPr="00306F85">
              <w:rPr>
                <w:rFonts w:ascii="Arial" w:hAnsi="Arial" w:cs="Arial"/>
                <w:sz w:val="16"/>
                <w:szCs w:val="16"/>
              </w:rPr>
              <w:t>All lamps (see details above)</w:t>
            </w:r>
            <w:r>
              <w:rPr>
                <w:rFonts w:ascii="Arial" w:hAnsi="Arial" w:cs="Arial"/>
                <w:sz w:val="16"/>
                <w:szCs w:val="16"/>
              </w:rPr>
              <w:t>, 2016</w:t>
            </w:r>
          </w:p>
        </w:tc>
        <w:tc>
          <w:tcPr>
            <w:tcW w:w="2166" w:type="dxa"/>
            <w:vAlign w:val="center"/>
          </w:tcPr>
          <w:p w14:paraId="29B18898" w14:textId="694BA4B6" w:rsidR="0043742F" w:rsidRPr="00306F85" w:rsidRDefault="006F0ECC" w:rsidP="0082333F">
            <w:pPr>
              <w:spacing w:line="300" w:lineRule="atLeast"/>
              <w:jc w:val="center"/>
              <w:rPr>
                <w:rFonts w:ascii="Arial" w:hAnsi="Arial" w:cs="Arial"/>
                <w:sz w:val="16"/>
                <w:szCs w:val="16"/>
              </w:rPr>
            </w:pPr>
            <w:r>
              <w:rPr>
                <w:rFonts w:ascii="Arial" w:hAnsi="Arial" w:cs="Arial"/>
                <w:sz w:val="16"/>
                <w:szCs w:val="16"/>
              </w:rPr>
              <w:t>8.16 – 26.5 (17.3</w:t>
            </w:r>
            <w:r w:rsidR="00E13A5B">
              <w:rPr>
                <w:rFonts w:ascii="Arial" w:hAnsi="Arial" w:cs="Arial"/>
                <w:sz w:val="16"/>
                <w:szCs w:val="16"/>
              </w:rPr>
              <w:t>3</w:t>
            </w:r>
            <w:r>
              <w:rPr>
                <w:rFonts w:ascii="Arial" w:hAnsi="Arial" w:cs="Arial"/>
                <w:sz w:val="16"/>
                <w:szCs w:val="16"/>
              </w:rPr>
              <w:t>)</w:t>
            </w:r>
          </w:p>
        </w:tc>
        <w:tc>
          <w:tcPr>
            <w:tcW w:w="1995" w:type="dxa"/>
            <w:vAlign w:val="center"/>
          </w:tcPr>
          <w:p w14:paraId="1AD20790" w14:textId="1C368958" w:rsidR="0043742F" w:rsidRPr="00306F85" w:rsidRDefault="006E7B4B" w:rsidP="006E7B4B">
            <w:pPr>
              <w:spacing w:line="300" w:lineRule="atLeast"/>
              <w:jc w:val="center"/>
              <w:rPr>
                <w:rFonts w:ascii="Arial" w:hAnsi="Arial" w:cs="Arial"/>
                <w:sz w:val="16"/>
                <w:szCs w:val="16"/>
              </w:rPr>
            </w:pPr>
            <w:r>
              <w:rPr>
                <w:rFonts w:ascii="Arial" w:hAnsi="Arial" w:cs="Arial"/>
                <w:sz w:val="16"/>
                <w:szCs w:val="16"/>
              </w:rPr>
              <w:t>0.41 – 1.33 (0.88</w:t>
            </w:r>
            <w:r w:rsidR="0043742F">
              <w:rPr>
                <w:rFonts w:ascii="Arial" w:hAnsi="Arial" w:cs="Arial"/>
                <w:sz w:val="16"/>
                <w:szCs w:val="16"/>
              </w:rPr>
              <w:t>)</w:t>
            </w:r>
          </w:p>
        </w:tc>
        <w:tc>
          <w:tcPr>
            <w:tcW w:w="2088" w:type="dxa"/>
            <w:vAlign w:val="center"/>
          </w:tcPr>
          <w:p w14:paraId="0678D8B6" w14:textId="51C7CD18" w:rsidR="0043742F" w:rsidRPr="00306F85" w:rsidRDefault="006E7B4B" w:rsidP="006E7B4B">
            <w:pPr>
              <w:spacing w:line="300" w:lineRule="atLeast"/>
              <w:jc w:val="center"/>
              <w:rPr>
                <w:rFonts w:ascii="Arial" w:hAnsi="Arial" w:cs="Arial"/>
                <w:sz w:val="16"/>
                <w:szCs w:val="16"/>
              </w:rPr>
            </w:pPr>
            <w:r>
              <w:rPr>
                <w:rFonts w:ascii="Arial" w:hAnsi="Arial" w:cs="Arial"/>
                <w:sz w:val="16"/>
                <w:szCs w:val="16"/>
              </w:rPr>
              <w:t>7.75</w:t>
            </w:r>
            <w:r w:rsidR="0043742F">
              <w:rPr>
                <w:rFonts w:ascii="Arial" w:hAnsi="Arial" w:cs="Arial"/>
                <w:sz w:val="16"/>
                <w:szCs w:val="16"/>
              </w:rPr>
              <w:t xml:space="preserve"> – </w:t>
            </w:r>
            <w:r>
              <w:rPr>
                <w:rFonts w:ascii="Arial" w:hAnsi="Arial" w:cs="Arial"/>
                <w:sz w:val="16"/>
                <w:szCs w:val="16"/>
              </w:rPr>
              <w:t>25.18</w:t>
            </w:r>
            <w:r w:rsidR="0043742F">
              <w:rPr>
                <w:rFonts w:ascii="Arial" w:hAnsi="Arial" w:cs="Arial"/>
                <w:sz w:val="16"/>
                <w:szCs w:val="16"/>
              </w:rPr>
              <w:t xml:space="preserve"> (</w:t>
            </w:r>
            <w:r>
              <w:rPr>
                <w:rFonts w:ascii="Arial" w:hAnsi="Arial" w:cs="Arial"/>
                <w:sz w:val="16"/>
                <w:szCs w:val="16"/>
              </w:rPr>
              <w:t>16.47</w:t>
            </w:r>
            <w:r w:rsidR="0043742F">
              <w:rPr>
                <w:rFonts w:ascii="Arial" w:hAnsi="Arial" w:cs="Arial"/>
                <w:sz w:val="16"/>
                <w:szCs w:val="16"/>
              </w:rPr>
              <w:t>)</w:t>
            </w:r>
          </w:p>
        </w:tc>
      </w:tr>
    </w:tbl>
    <w:p w14:paraId="18B004A5" w14:textId="0E40479B" w:rsidR="00913C69" w:rsidRPr="00306F85" w:rsidRDefault="00913C69" w:rsidP="0094046F">
      <w:pPr>
        <w:tabs>
          <w:tab w:val="left" w:pos="2760"/>
        </w:tabs>
        <w:spacing w:line="300" w:lineRule="atLeast"/>
        <w:jc w:val="both"/>
        <w:rPr>
          <w:rFonts w:ascii="Arial" w:hAnsi="Arial" w:cs="Arial"/>
          <w:sz w:val="16"/>
          <w:szCs w:val="18"/>
        </w:rPr>
      </w:pPr>
    </w:p>
    <w:p w14:paraId="33AEEB3C" w14:textId="77777777" w:rsidR="00AD5485" w:rsidRPr="00306F85" w:rsidRDefault="00AD5485" w:rsidP="00AD5485">
      <w:pPr>
        <w:tabs>
          <w:tab w:val="left" w:pos="2760"/>
        </w:tabs>
        <w:spacing w:before="120" w:line="300" w:lineRule="atLeast"/>
        <w:jc w:val="both"/>
        <w:rPr>
          <w:rFonts w:ascii="Arial" w:hAnsi="Arial" w:cs="Arial"/>
          <w:b/>
          <w:szCs w:val="18"/>
        </w:rPr>
      </w:pPr>
      <w:r w:rsidRPr="00306F85">
        <w:rPr>
          <w:rFonts w:ascii="Arial" w:hAnsi="Arial" w:cs="Arial"/>
          <w:b/>
          <w:szCs w:val="18"/>
        </w:rPr>
        <w:t>Certainty assessment</w:t>
      </w:r>
    </w:p>
    <w:p w14:paraId="5883269A" w14:textId="77777777" w:rsidR="00AD5485" w:rsidRPr="00306F85" w:rsidRDefault="00AD5485" w:rsidP="00AD5485">
      <w:pPr>
        <w:tabs>
          <w:tab w:val="left" w:pos="1701"/>
        </w:tabs>
        <w:spacing w:line="300" w:lineRule="atLeast"/>
        <w:jc w:val="both"/>
        <w:rPr>
          <w:szCs w:val="18"/>
        </w:rPr>
      </w:pPr>
      <w:r w:rsidRPr="00306F85">
        <w:rPr>
          <w:szCs w:val="18"/>
        </w:rPr>
        <w:t xml:space="preserve">Activity data: </w:t>
      </w:r>
      <w:r w:rsidRPr="00306F85">
        <w:rPr>
          <w:szCs w:val="18"/>
        </w:rPr>
        <w:tab/>
        <w:t xml:space="preserve">HIGH (because it is based on national </w:t>
      </w:r>
      <w:r w:rsidR="008A45A0" w:rsidRPr="00306F85">
        <w:rPr>
          <w:szCs w:val="18"/>
        </w:rPr>
        <w:t>import data</w:t>
      </w:r>
      <w:r w:rsidRPr="00306F85">
        <w:rPr>
          <w:szCs w:val="18"/>
        </w:rPr>
        <w:t>)</w:t>
      </w:r>
    </w:p>
    <w:p w14:paraId="3A6CB890" w14:textId="77777777" w:rsidR="00AD5485" w:rsidRPr="00306F85" w:rsidRDefault="00AD5485" w:rsidP="00AD5485">
      <w:pPr>
        <w:tabs>
          <w:tab w:val="left" w:pos="1701"/>
        </w:tabs>
        <w:spacing w:line="300" w:lineRule="atLeast"/>
        <w:jc w:val="both"/>
        <w:rPr>
          <w:szCs w:val="18"/>
        </w:rPr>
      </w:pPr>
      <w:r w:rsidRPr="00306F85">
        <w:rPr>
          <w:szCs w:val="18"/>
        </w:rPr>
        <w:t xml:space="preserve">Input estimates: </w:t>
      </w:r>
      <w:r w:rsidRPr="00306F85">
        <w:rPr>
          <w:szCs w:val="18"/>
        </w:rPr>
        <w:tab/>
      </w:r>
      <w:r w:rsidR="008A45A0" w:rsidRPr="00306F85">
        <w:rPr>
          <w:szCs w:val="18"/>
        </w:rPr>
        <w:t>MEDIUM</w:t>
      </w:r>
      <w:r w:rsidRPr="00306F85">
        <w:rPr>
          <w:szCs w:val="18"/>
        </w:rPr>
        <w:t xml:space="preserve"> (because they are based on </w:t>
      </w:r>
      <w:r w:rsidR="008A45A0" w:rsidRPr="00306F85">
        <w:rPr>
          <w:szCs w:val="18"/>
        </w:rPr>
        <w:t>published data and industry estimates</w:t>
      </w:r>
      <w:r w:rsidRPr="00306F85">
        <w:rPr>
          <w:szCs w:val="18"/>
        </w:rPr>
        <w:t>)</w:t>
      </w:r>
    </w:p>
    <w:p w14:paraId="77F14540" w14:textId="77777777" w:rsidR="00AD5485" w:rsidRPr="00306F85" w:rsidRDefault="00AD5485" w:rsidP="00AD5485">
      <w:pPr>
        <w:tabs>
          <w:tab w:val="left" w:pos="1701"/>
        </w:tabs>
        <w:spacing w:line="300" w:lineRule="atLeast"/>
        <w:jc w:val="both"/>
        <w:rPr>
          <w:szCs w:val="18"/>
        </w:rPr>
      </w:pPr>
      <w:r w:rsidRPr="00306F85">
        <w:rPr>
          <w:szCs w:val="18"/>
        </w:rPr>
        <w:t xml:space="preserve">Output estimates: </w:t>
      </w:r>
      <w:r w:rsidRPr="00306F85">
        <w:rPr>
          <w:szCs w:val="18"/>
        </w:rPr>
        <w:tab/>
        <w:t>LOW (because they are based on the Toolkit default factors).</w:t>
      </w:r>
    </w:p>
    <w:p w14:paraId="7DFA9963" w14:textId="77777777" w:rsidR="005F4E22" w:rsidRPr="00306F85" w:rsidRDefault="005F4E22" w:rsidP="005F4E22">
      <w:pPr>
        <w:pStyle w:val="Heading2"/>
      </w:pPr>
      <w:bookmarkStart w:id="99" w:name="_Toc484949593"/>
      <w:r w:rsidRPr="00306F85">
        <w:t>Light sources (LCD screens)</w:t>
      </w:r>
      <w:bookmarkEnd w:id="99"/>
    </w:p>
    <w:p w14:paraId="7EC0737A" w14:textId="065F9A96" w:rsidR="0043742F" w:rsidRPr="0043742F" w:rsidRDefault="0043742F" w:rsidP="0043742F">
      <w:pPr>
        <w:spacing w:line="300" w:lineRule="atLeast"/>
        <w:jc w:val="both"/>
        <w:rPr>
          <w:szCs w:val="18"/>
        </w:rPr>
      </w:pPr>
      <w:r w:rsidRPr="0043742F">
        <w:rPr>
          <w:szCs w:val="18"/>
        </w:rPr>
        <w:t xml:space="preserve">LCD screens containing cold cathode fluorescent lamps (CCFLs) as the lighting source were considered a significant source of mercury for the 2012 Mercury Inventory. The intervening years have seen a period of rapid technological growth where light emitting diode (LED) lighting has completely replaced CCFL lighting in LCD television screens and computer monitors. In 2013 the LED lighting had penetrated 90% of LCD television sales </w:t>
      </w:r>
      <w:r>
        <w:rPr>
          <w:szCs w:val="18"/>
        </w:rPr>
        <w:t>with 100% of note</w:t>
      </w:r>
      <w:r w:rsidRPr="0043742F">
        <w:rPr>
          <w:szCs w:val="18"/>
        </w:rPr>
        <w:t>book, tablet and cell phone backlights powered by LED</w:t>
      </w:r>
      <w:r>
        <w:rPr>
          <w:szCs w:val="18"/>
        </w:rPr>
        <w:t>,</w:t>
      </w:r>
      <w:r w:rsidRPr="0043742F">
        <w:rPr>
          <w:szCs w:val="18"/>
        </w:rPr>
        <w:t xml:space="preserve"> and was predicted to reach 100% by </w:t>
      </w:r>
      <w:r w:rsidRPr="0043742F">
        <w:rPr>
          <w:szCs w:val="18"/>
        </w:rPr>
        <w:lastRenderedPageBreak/>
        <w:t>2015-2016.  Similarly the 86% of desktop TV monitors lit by LEDs were predicted to reach 100%</w:t>
      </w:r>
      <w:r>
        <w:rPr>
          <w:szCs w:val="18"/>
        </w:rPr>
        <w:t xml:space="preserve"> by 2015. </w:t>
      </w:r>
      <w:r w:rsidRPr="0043742F">
        <w:rPr>
          <w:szCs w:val="18"/>
        </w:rPr>
        <w:t>(</w:t>
      </w:r>
      <w:proofErr w:type="gramStart"/>
      <w:r w:rsidRPr="0043742F">
        <w:rPr>
          <w:szCs w:val="18"/>
        </w:rPr>
        <w:t>source</w:t>
      </w:r>
      <w:proofErr w:type="gramEnd"/>
      <w:r>
        <w:rPr>
          <w:szCs w:val="18"/>
        </w:rPr>
        <w:t>:</w:t>
      </w:r>
      <w:r w:rsidRPr="0043742F">
        <w:rPr>
          <w:szCs w:val="18"/>
        </w:rPr>
        <w:t xml:space="preserve"> </w:t>
      </w:r>
      <w:hyperlink r:id="rId15" w:history="1">
        <w:r w:rsidRPr="00296BCF">
          <w:rPr>
            <w:rStyle w:val="Hyperlink"/>
            <w:szCs w:val="18"/>
          </w:rPr>
          <w:t>www.news.ihsmarkit.com/press-release/design-supply-chain-media-/led-backlighting-reach-90-percent-penetration-lcd-tvs-2013</w:t>
        </w:r>
      </w:hyperlink>
      <w:r>
        <w:rPr>
          <w:szCs w:val="18"/>
        </w:rPr>
        <w:t xml:space="preserve"> </w:t>
      </w:r>
      <w:r w:rsidRPr="0043742F">
        <w:rPr>
          <w:szCs w:val="18"/>
        </w:rPr>
        <w:t>)</w:t>
      </w:r>
    </w:p>
    <w:p w14:paraId="0F357286" w14:textId="485FD74C" w:rsidR="0043742F" w:rsidRDefault="0043742F" w:rsidP="0043742F">
      <w:pPr>
        <w:spacing w:line="300" w:lineRule="atLeast"/>
        <w:jc w:val="both"/>
        <w:rPr>
          <w:szCs w:val="18"/>
        </w:rPr>
      </w:pPr>
      <w:r w:rsidRPr="0043742F">
        <w:rPr>
          <w:szCs w:val="18"/>
        </w:rPr>
        <w:t>Because LE</w:t>
      </w:r>
      <w:r>
        <w:rPr>
          <w:szCs w:val="18"/>
        </w:rPr>
        <w:t xml:space="preserve">Ds are mercury free, television screens and computer monitors need </w:t>
      </w:r>
      <w:r w:rsidRPr="0043742F">
        <w:rPr>
          <w:szCs w:val="18"/>
        </w:rPr>
        <w:t xml:space="preserve">no longer be considered as a </w:t>
      </w:r>
      <w:r>
        <w:rPr>
          <w:szCs w:val="18"/>
        </w:rPr>
        <w:t xml:space="preserve">continuing </w:t>
      </w:r>
      <w:r w:rsidRPr="0043742F">
        <w:rPr>
          <w:szCs w:val="18"/>
        </w:rPr>
        <w:t>source of mercury</w:t>
      </w:r>
      <w:r>
        <w:rPr>
          <w:szCs w:val="18"/>
        </w:rPr>
        <w:t xml:space="preserve"> inputs</w:t>
      </w:r>
      <w:r w:rsidRPr="0043742F">
        <w:rPr>
          <w:szCs w:val="18"/>
        </w:rPr>
        <w:t xml:space="preserve">. </w:t>
      </w:r>
    </w:p>
    <w:p w14:paraId="63152D35" w14:textId="77777777" w:rsidR="00700CDE" w:rsidRPr="0060459D" w:rsidRDefault="00700CDE" w:rsidP="00700CDE">
      <w:pPr>
        <w:pStyle w:val="Heading2"/>
      </w:pPr>
      <w:bookmarkStart w:id="100" w:name="_Toc484949594"/>
      <w:r w:rsidRPr="0060459D">
        <w:t>Batteries</w:t>
      </w:r>
      <w:bookmarkEnd w:id="100"/>
    </w:p>
    <w:p w14:paraId="75A66CBC" w14:textId="3912D4AA" w:rsidR="003454A9" w:rsidRPr="003454A9" w:rsidRDefault="003454A9" w:rsidP="003454A9">
      <w:pPr>
        <w:spacing w:line="300" w:lineRule="atLeast"/>
        <w:jc w:val="both"/>
        <w:rPr>
          <w:szCs w:val="18"/>
        </w:rPr>
      </w:pPr>
      <w:r w:rsidRPr="003454A9">
        <w:rPr>
          <w:szCs w:val="18"/>
        </w:rPr>
        <w:t>Mercury is added to batteries for technical reasons such as the prevention of gas production and corrosion, although in mercury oxide cells it is a major active ingredient account</w:t>
      </w:r>
      <w:r>
        <w:rPr>
          <w:szCs w:val="18"/>
        </w:rPr>
        <w:t xml:space="preserve">ing for 32% of battery weight. Its uses are </w:t>
      </w:r>
      <w:r w:rsidRPr="003454A9">
        <w:rPr>
          <w:szCs w:val="18"/>
        </w:rPr>
        <w:t>predominantly restricted to non-rechargeable (</w:t>
      </w:r>
      <w:r>
        <w:rPr>
          <w:szCs w:val="18"/>
        </w:rPr>
        <w:t>primary) batteries (UNEP, 2017).</w:t>
      </w:r>
    </w:p>
    <w:p w14:paraId="0CA66C79" w14:textId="6B512CFD" w:rsidR="003454A9" w:rsidRPr="003454A9" w:rsidRDefault="003454A9" w:rsidP="003454A9">
      <w:pPr>
        <w:spacing w:line="300" w:lineRule="atLeast"/>
        <w:jc w:val="both"/>
        <w:rPr>
          <w:szCs w:val="18"/>
        </w:rPr>
      </w:pPr>
      <w:r w:rsidRPr="003454A9">
        <w:rPr>
          <w:szCs w:val="18"/>
        </w:rPr>
        <w:t>The composition of New Zealand household batteries was reviewed in 2013 as part of an assessmen</w:t>
      </w:r>
      <w:r>
        <w:rPr>
          <w:szCs w:val="18"/>
        </w:rPr>
        <w:t xml:space="preserve">t for battery disposal options (Tonkin and Taylor, 2013). </w:t>
      </w:r>
      <w:r w:rsidRPr="003454A9">
        <w:rPr>
          <w:szCs w:val="18"/>
        </w:rPr>
        <w:t>Single use alkaline manganese and zinc carbon batteries, (e.g. AA, AAA and 9V types)</w:t>
      </w:r>
      <w:r>
        <w:rPr>
          <w:szCs w:val="18"/>
        </w:rPr>
        <w:t xml:space="preserve"> comprised 89% of battery use. </w:t>
      </w:r>
      <w:r w:rsidRPr="003454A9">
        <w:rPr>
          <w:szCs w:val="18"/>
        </w:rPr>
        <w:t xml:space="preserve">The remaining 11% comprised rechargeable batteries (2%) </w:t>
      </w:r>
      <w:r>
        <w:rPr>
          <w:szCs w:val="18"/>
        </w:rPr>
        <w:t>and button cell batteries (9%).</w:t>
      </w:r>
    </w:p>
    <w:p w14:paraId="675DE0D8" w14:textId="374CE4D8" w:rsidR="003454A9" w:rsidRPr="003454A9" w:rsidRDefault="003454A9" w:rsidP="003454A9">
      <w:pPr>
        <w:spacing w:line="300" w:lineRule="atLeast"/>
        <w:jc w:val="both"/>
        <w:rPr>
          <w:szCs w:val="18"/>
        </w:rPr>
      </w:pPr>
      <w:r w:rsidRPr="003454A9">
        <w:rPr>
          <w:szCs w:val="18"/>
        </w:rPr>
        <w:t>In 2</w:t>
      </w:r>
      <w:r>
        <w:rPr>
          <w:szCs w:val="18"/>
        </w:rPr>
        <w:t xml:space="preserve">006 the European Union enacted </w:t>
      </w:r>
      <w:r w:rsidR="00CE1F59">
        <w:rPr>
          <w:szCs w:val="18"/>
        </w:rPr>
        <w:t>Directive 2006/66/EC</w:t>
      </w:r>
      <w:r w:rsidRPr="003454A9">
        <w:rPr>
          <w:szCs w:val="18"/>
        </w:rPr>
        <w:t xml:space="preserve"> which prohibited the sale of batteries containing more than</w:t>
      </w:r>
      <w:r>
        <w:rPr>
          <w:szCs w:val="18"/>
        </w:rPr>
        <w:t xml:space="preserve"> 0.0005% by weight of mercury. </w:t>
      </w:r>
      <w:r w:rsidRPr="003454A9">
        <w:rPr>
          <w:szCs w:val="18"/>
        </w:rPr>
        <w:t>Button cells with a mercury content of no more than 2% by weight were exempted from this prohibition until October 2015 although button cells for hearing aids remain under review</w:t>
      </w:r>
      <w:r>
        <w:rPr>
          <w:szCs w:val="18"/>
        </w:rPr>
        <w:t xml:space="preserve">. </w:t>
      </w:r>
      <w:r w:rsidRPr="003454A9">
        <w:rPr>
          <w:szCs w:val="18"/>
        </w:rPr>
        <w:t>This legislation has helped remove mercury from the global market for alkaline manganese and zinc c</w:t>
      </w:r>
      <w:r>
        <w:rPr>
          <w:szCs w:val="18"/>
        </w:rPr>
        <w:t xml:space="preserve">arbon batteries. </w:t>
      </w:r>
      <w:r w:rsidR="00CE1F59">
        <w:rPr>
          <w:szCs w:val="18"/>
        </w:rPr>
        <w:t>Some b</w:t>
      </w:r>
      <w:r w:rsidRPr="003454A9">
        <w:rPr>
          <w:szCs w:val="18"/>
        </w:rPr>
        <w:t xml:space="preserve">utton cell batteries available for sale in New Zealand may still contain mercury, although </w:t>
      </w:r>
      <w:r>
        <w:rPr>
          <w:szCs w:val="18"/>
        </w:rPr>
        <w:t>many of them</w:t>
      </w:r>
      <w:r w:rsidRPr="003454A9">
        <w:rPr>
          <w:szCs w:val="18"/>
        </w:rPr>
        <w:t xml:space="preserve"> are now labelled as mercury free.  </w:t>
      </w:r>
    </w:p>
    <w:p w14:paraId="4C576D6B" w14:textId="5C1F6F42" w:rsidR="003454A9" w:rsidRPr="003454A9" w:rsidRDefault="003454A9" w:rsidP="003454A9">
      <w:pPr>
        <w:spacing w:line="300" w:lineRule="atLeast"/>
        <w:jc w:val="both"/>
        <w:rPr>
          <w:szCs w:val="18"/>
        </w:rPr>
      </w:pPr>
      <w:r w:rsidRPr="003454A9">
        <w:rPr>
          <w:szCs w:val="18"/>
        </w:rPr>
        <w:t>There are four different types of mercury containing button cell available in New Zea</w:t>
      </w:r>
      <w:r>
        <w:rPr>
          <w:szCs w:val="18"/>
        </w:rPr>
        <w:t xml:space="preserve">land: </w:t>
      </w:r>
      <w:r w:rsidRPr="003454A9">
        <w:rPr>
          <w:szCs w:val="18"/>
        </w:rPr>
        <w:t>mercuric oxide, zinc air, silver o</w:t>
      </w:r>
      <w:r>
        <w:rPr>
          <w:szCs w:val="18"/>
        </w:rPr>
        <w:t xml:space="preserve">xide and alkaline button cell. </w:t>
      </w:r>
      <w:r w:rsidRPr="003454A9">
        <w:rPr>
          <w:szCs w:val="18"/>
        </w:rPr>
        <w:t>They are used for their compact properties, high energy density and voltage stability in devices such as ca</w:t>
      </w:r>
      <w:r>
        <w:rPr>
          <w:szCs w:val="18"/>
        </w:rPr>
        <w:t>lculators</w:t>
      </w:r>
      <w:r w:rsidR="00395D9E">
        <w:rPr>
          <w:szCs w:val="18"/>
        </w:rPr>
        <w:t>,</w:t>
      </w:r>
      <w:r>
        <w:rPr>
          <w:szCs w:val="18"/>
        </w:rPr>
        <w:t xml:space="preserve"> watches and cameras. </w:t>
      </w:r>
      <w:r w:rsidRPr="003454A9">
        <w:rPr>
          <w:szCs w:val="18"/>
        </w:rPr>
        <w:t>Zinc air batteries are used predominantly in</w:t>
      </w:r>
      <w:r>
        <w:rPr>
          <w:szCs w:val="18"/>
        </w:rPr>
        <w:t xml:space="preserve"> hearing aids. </w:t>
      </w:r>
      <w:r w:rsidRPr="003454A9">
        <w:rPr>
          <w:szCs w:val="18"/>
        </w:rPr>
        <w:t xml:space="preserve">Energizer button cell batteries </w:t>
      </w:r>
      <w:r>
        <w:rPr>
          <w:szCs w:val="18"/>
        </w:rPr>
        <w:t>are believed to hold</w:t>
      </w:r>
      <w:r w:rsidRPr="003454A9">
        <w:rPr>
          <w:szCs w:val="18"/>
        </w:rPr>
        <w:t xml:space="preserve"> about 50-60% of the market and all </w:t>
      </w:r>
      <w:r>
        <w:rPr>
          <w:szCs w:val="18"/>
        </w:rPr>
        <w:t xml:space="preserve">of </w:t>
      </w:r>
      <w:proofErr w:type="gramStart"/>
      <w:r>
        <w:rPr>
          <w:szCs w:val="18"/>
        </w:rPr>
        <w:t>this brand</w:t>
      </w:r>
      <w:r w:rsidRPr="003454A9">
        <w:rPr>
          <w:szCs w:val="18"/>
        </w:rPr>
        <w:t xml:space="preserve"> now contain</w:t>
      </w:r>
      <w:proofErr w:type="gramEnd"/>
      <w:r w:rsidRPr="003454A9">
        <w:rPr>
          <w:szCs w:val="18"/>
        </w:rPr>
        <w:t xml:space="preserve"> no added mercury. (Roger Spice, Energizer NZ Ltd, </w:t>
      </w:r>
      <w:proofErr w:type="spellStart"/>
      <w:r w:rsidRPr="003454A9">
        <w:rPr>
          <w:szCs w:val="18"/>
        </w:rPr>
        <w:t>pers</w:t>
      </w:r>
      <w:proofErr w:type="spellEnd"/>
      <w:r w:rsidRPr="003454A9">
        <w:rPr>
          <w:szCs w:val="18"/>
        </w:rPr>
        <w:t xml:space="preserve"> comm.) </w:t>
      </w:r>
      <w:r w:rsidR="00CE1F59">
        <w:rPr>
          <w:szCs w:val="18"/>
        </w:rPr>
        <w:t xml:space="preserve">Some of the datasheets available from </w:t>
      </w:r>
      <w:r w:rsidR="00686908">
        <w:rPr>
          <w:szCs w:val="18"/>
        </w:rPr>
        <w:t>other importers indicate</w:t>
      </w:r>
      <w:r w:rsidR="00CE1F59">
        <w:rPr>
          <w:szCs w:val="18"/>
        </w:rPr>
        <w:t xml:space="preserve"> that some but not all other batteries </w:t>
      </w:r>
      <w:proofErr w:type="gramStart"/>
      <w:r w:rsidR="00CE1F59">
        <w:rPr>
          <w:szCs w:val="18"/>
        </w:rPr>
        <w:t>are</w:t>
      </w:r>
      <w:proofErr w:type="gramEnd"/>
      <w:r w:rsidR="00CE1F59">
        <w:rPr>
          <w:szCs w:val="18"/>
        </w:rPr>
        <w:t xml:space="preserve"> mercury free, so for the purposes of this inventory it has been assumed that the overall distribution for all brands is 75% mercury free.</w:t>
      </w:r>
    </w:p>
    <w:p w14:paraId="0B615D09" w14:textId="3CBE0EE9" w:rsidR="003454A9" w:rsidRPr="003454A9" w:rsidRDefault="003454A9" w:rsidP="003454A9">
      <w:pPr>
        <w:spacing w:line="300" w:lineRule="atLeast"/>
        <w:jc w:val="both"/>
        <w:rPr>
          <w:szCs w:val="18"/>
        </w:rPr>
      </w:pPr>
      <w:r w:rsidRPr="003454A9">
        <w:rPr>
          <w:szCs w:val="18"/>
        </w:rPr>
        <w:t xml:space="preserve">In order to estimate mercury inputs from batteries, import data was obtained for each battery type, using HS codes 8506.10.00.01 to 8506.80.00.19, and the quantities of mercury were calculated by multiplying the number of units by their respective average weights and by the mercury </w:t>
      </w:r>
      <w:r w:rsidR="006C26C6">
        <w:rPr>
          <w:szCs w:val="18"/>
        </w:rPr>
        <w:t>content of</w:t>
      </w:r>
      <w:r w:rsidRPr="003454A9">
        <w:rPr>
          <w:szCs w:val="18"/>
        </w:rPr>
        <w:t xml:space="preserve"> each ce</w:t>
      </w:r>
      <w:r w:rsidR="00CE1F59">
        <w:rPr>
          <w:szCs w:val="18"/>
        </w:rPr>
        <w:t>ll</w:t>
      </w:r>
      <w:r w:rsidR="006C26C6">
        <w:rPr>
          <w:szCs w:val="18"/>
        </w:rPr>
        <w:t>. The latter factors were based on the values</w:t>
      </w:r>
      <w:r w:rsidR="00CE1F59">
        <w:rPr>
          <w:szCs w:val="18"/>
        </w:rPr>
        <w:t xml:space="preserve"> </w:t>
      </w:r>
      <w:r w:rsidR="006C26C6">
        <w:rPr>
          <w:szCs w:val="18"/>
        </w:rPr>
        <w:t>given in</w:t>
      </w:r>
      <w:r w:rsidR="00CE1F59">
        <w:rPr>
          <w:szCs w:val="18"/>
        </w:rPr>
        <w:t xml:space="preserve"> the Toolkit</w:t>
      </w:r>
      <w:r w:rsidR="006C26C6">
        <w:rPr>
          <w:szCs w:val="18"/>
        </w:rPr>
        <w:t xml:space="preserve"> but for button cells these factors were reduced by 75% to account for the proportion of mercury-free units</w:t>
      </w:r>
      <w:r w:rsidRPr="003454A9">
        <w:rPr>
          <w:szCs w:val="18"/>
        </w:rPr>
        <w:t>.</w:t>
      </w:r>
    </w:p>
    <w:p w14:paraId="358120D7" w14:textId="20C9D434" w:rsidR="003C732A" w:rsidRDefault="003454A9" w:rsidP="003454A9">
      <w:pPr>
        <w:spacing w:line="300" w:lineRule="atLeast"/>
        <w:jc w:val="both"/>
        <w:rPr>
          <w:szCs w:val="18"/>
        </w:rPr>
      </w:pPr>
      <w:r w:rsidRPr="003454A9">
        <w:rPr>
          <w:szCs w:val="18"/>
        </w:rPr>
        <w:t xml:space="preserve">The estimated mercury inputs for the different battery types are shown in Table </w:t>
      </w:r>
      <w:r w:rsidR="00686908">
        <w:rPr>
          <w:szCs w:val="18"/>
        </w:rPr>
        <w:t>7-6</w:t>
      </w:r>
      <w:r w:rsidR="006C26C6">
        <w:rPr>
          <w:rStyle w:val="FootnoteReference"/>
          <w:szCs w:val="18"/>
        </w:rPr>
        <w:footnoteReference w:id="17"/>
      </w:r>
      <w:r w:rsidR="006C26C6">
        <w:rPr>
          <w:szCs w:val="18"/>
        </w:rPr>
        <w:t>.</w:t>
      </w:r>
      <w:r w:rsidRPr="003454A9">
        <w:rPr>
          <w:szCs w:val="18"/>
        </w:rPr>
        <w:t xml:space="preserve"> For the outputs it was assumed that all of the bat</w:t>
      </w:r>
      <w:r>
        <w:rPr>
          <w:szCs w:val="18"/>
        </w:rPr>
        <w:t xml:space="preserve">teries were disposed to waste. </w:t>
      </w:r>
      <w:r w:rsidRPr="003454A9">
        <w:rPr>
          <w:szCs w:val="18"/>
        </w:rPr>
        <w:t xml:space="preserve">Recently some local initiatives have been introduced to encourage consumer recycling such as </w:t>
      </w:r>
      <w:r>
        <w:rPr>
          <w:szCs w:val="18"/>
        </w:rPr>
        <w:t>a</w:t>
      </w:r>
      <w:r w:rsidRPr="003454A9">
        <w:rPr>
          <w:szCs w:val="18"/>
        </w:rPr>
        <w:t xml:space="preserve"> battery recycling depot at the </w:t>
      </w:r>
      <w:r>
        <w:rPr>
          <w:szCs w:val="18"/>
        </w:rPr>
        <w:t>Lincoln</w:t>
      </w:r>
      <w:r w:rsidRPr="003454A9">
        <w:rPr>
          <w:szCs w:val="18"/>
        </w:rPr>
        <w:t xml:space="preserve"> New World super</w:t>
      </w:r>
      <w:r>
        <w:rPr>
          <w:szCs w:val="18"/>
        </w:rPr>
        <w:t xml:space="preserve">market in Canterbury. </w:t>
      </w:r>
      <w:proofErr w:type="spellStart"/>
      <w:r w:rsidRPr="003454A9">
        <w:rPr>
          <w:szCs w:val="18"/>
        </w:rPr>
        <w:t>Ecowaste</w:t>
      </w:r>
      <w:proofErr w:type="spellEnd"/>
      <w:r w:rsidRPr="003454A9">
        <w:rPr>
          <w:szCs w:val="18"/>
        </w:rPr>
        <w:t xml:space="preserve"> also offer a consumer battery disposal service, but there is no evidence of large scale battery collectio</w:t>
      </w:r>
      <w:r>
        <w:rPr>
          <w:szCs w:val="18"/>
        </w:rPr>
        <w:t xml:space="preserve">n and/or export for recycling. </w:t>
      </w:r>
      <w:r w:rsidRPr="003454A9">
        <w:rPr>
          <w:szCs w:val="18"/>
        </w:rPr>
        <w:t>The input and output cal</w:t>
      </w:r>
      <w:r w:rsidR="00686908">
        <w:rPr>
          <w:szCs w:val="18"/>
        </w:rPr>
        <w:t>culations are shown in Table 7-7</w:t>
      </w:r>
      <w:r w:rsidRPr="003454A9">
        <w:rPr>
          <w:szCs w:val="18"/>
        </w:rPr>
        <w:t>. The figures shown in brackets are the means of the reported ranges.</w:t>
      </w:r>
    </w:p>
    <w:p w14:paraId="211022BF" w14:textId="4190AF84" w:rsidR="008F7FA4" w:rsidRPr="0060459D" w:rsidRDefault="00EF7C55" w:rsidP="00EF7C55">
      <w:pPr>
        <w:pStyle w:val="Caption"/>
        <w:spacing w:before="240"/>
        <w:rPr>
          <w:rFonts w:ascii="Arial" w:hAnsi="Arial" w:cs="Arial"/>
          <w:szCs w:val="18"/>
        </w:rPr>
      </w:pPr>
      <w:bookmarkStart w:id="101" w:name="_Ref358741347"/>
      <w:bookmarkStart w:id="102" w:name="_Toc484949661"/>
      <w:r w:rsidRPr="0060459D">
        <w:rPr>
          <w:rFonts w:ascii="Arial" w:hAnsi="Arial" w:cs="Arial"/>
        </w:rPr>
        <w:lastRenderedPageBreak/>
        <w:t xml:space="preserve">Table </w:t>
      </w:r>
      <w:r w:rsidR="00390C9F" w:rsidRPr="0060459D">
        <w:rPr>
          <w:rFonts w:ascii="Arial" w:hAnsi="Arial" w:cs="Arial"/>
        </w:rPr>
        <w:fldChar w:fldCharType="begin"/>
      </w:r>
      <w:r w:rsidR="00390C9F" w:rsidRPr="0060459D">
        <w:rPr>
          <w:rFonts w:ascii="Arial" w:hAnsi="Arial" w:cs="Arial"/>
        </w:rPr>
        <w:instrText xml:space="preserve"> STYLEREF 1 \s </w:instrText>
      </w:r>
      <w:r w:rsidR="00390C9F" w:rsidRPr="0060459D">
        <w:rPr>
          <w:rFonts w:ascii="Arial" w:hAnsi="Arial" w:cs="Arial"/>
        </w:rPr>
        <w:fldChar w:fldCharType="separate"/>
      </w:r>
      <w:r w:rsidR="00423FC9">
        <w:rPr>
          <w:rFonts w:ascii="Arial" w:hAnsi="Arial" w:cs="Arial"/>
          <w:noProof/>
        </w:rPr>
        <w:t>7</w:t>
      </w:r>
      <w:r w:rsidR="00390C9F" w:rsidRPr="0060459D">
        <w:rPr>
          <w:rFonts w:ascii="Arial" w:hAnsi="Arial" w:cs="Arial"/>
        </w:rPr>
        <w:fldChar w:fldCharType="end"/>
      </w:r>
      <w:r w:rsidR="00390C9F" w:rsidRPr="0060459D">
        <w:rPr>
          <w:rFonts w:ascii="Arial" w:hAnsi="Arial" w:cs="Arial"/>
        </w:rPr>
        <w:noBreakHyphen/>
      </w:r>
      <w:r w:rsidR="00390C9F" w:rsidRPr="0060459D">
        <w:rPr>
          <w:rFonts w:ascii="Arial" w:hAnsi="Arial" w:cs="Arial"/>
        </w:rPr>
        <w:fldChar w:fldCharType="begin"/>
      </w:r>
      <w:r w:rsidR="00390C9F" w:rsidRPr="0060459D">
        <w:rPr>
          <w:rFonts w:ascii="Arial" w:hAnsi="Arial" w:cs="Arial"/>
        </w:rPr>
        <w:instrText xml:space="preserve"> SEQ Table \* ARABIC \s 1 </w:instrText>
      </w:r>
      <w:r w:rsidR="00390C9F" w:rsidRPr="0060459D">
        <w:rPr>
          <w:rFonts w:ascii="Arial" w:hAnsi="Arial" w:cs="Arial"/>
        </w:rPr>
        <w:fldChar w:fldCharType="separate"/>
      </w:r>
      <w:r w:rsidR="00423FC9">
        <w:rPr>
          <w:rFonts w:ascii="Arial" w:hAnsi="Arial" w:cs="Arial"/>
          <w:noProof/>
        </w:rPr>
        <w:t>6</w:t>
      </w:r>
      <w:r w:rsidR="00390C9F" w:rsidRPr="0060459D">
        <w:rPr>
          <w:rFonts w:ascii="Arial" w:hAnsi="Arial" w:cs="Arial"/>
        </w:rPr>
        <w:fldChar w:fldCharType="end"/>
      </w:r>
      <w:bookmarkEnd w:id="101"/>
      <w:r w:rsidRPr="0060459D">
        <w:rPr>
          <w:rFonts w:ascii="Arial" w:hAnsi="Arial" w:cs="Arial"/>
        </w:rPr>
        <w:t>:  Estimated mercury inputs for batteries</w:t>
      </w:r>
      <w:r w:rsidR="00423FC9">
        <w:rPr>
          <w:rFonts w:ascii="Arial" w:hAnsi="Arial" w:cs="Arial"/>
        </w:rPr>
        <w:t>, 2016</w:t>
      </w:r>
      <w:bookmarkEnd w:id="102"/>
    </w:p>
    <w:tbl>
      <w:tblPr>
        <w:tblStyle w:val="TableGrid"/>
        <w:tblW w:w="0" w:type="auto"/>
        <w:tblLook w:val="04A0" w:firstRow="1" w:lastRow="0" w:firstColumn="1" w:lastColumn="0" w:noHBand="0" w:noVBand="1"/>
      </w:tblPr>
      <w:tblGrid>
        <w:gridCol w:w="2161"/>
        <w:gridCol w:w="969"/>
        <w:gridCol w:w="1197"/>
        <w:gridCol w:w="1254"/>
        <w:gridCol w:w="1043"/>
        <w:gridCol w:w="1224"/>
        <w:gridCol w:w="1213"/>
      </w:tblGrid>
      <w:tr w:rsidR="00A8443D" w:rsidRPr="0060459D" w14:paraId="6737324D" w14:textId="77777777" w:rsidTr="00653E3B">
        <w:tc>
          <w:tcPr>
            <w:tcW w:w="2161" w:type="dxa"/>
            <w:vAlign w:val="center"/>
          </w:tcPr>
          <w:p w14:paraId="5F652037" w14:textId="77777777" w:rsidR="00A8443D" w:rsidRPr="0060459D" w:rsidRDefault="00A8443D" w:rsidP="00653E3B">
            <w:pPr>
              <w:spacing w:line="300" w:lineRule="atLeast"/>
              <w:jc w:val="center"/>
              <w:rPr>
                <w:rFonts w:ascii="Arial" w:hAnsi="Arial" w:cs="Arial"/>
                <w:b/>
                <w:sz w:val="16"/>
                <w:szCs w:val="16"/>
              </w:rPr>
            </w:pPr>
            <w:r w:rsidRPr="0060459D">
              <w:rPr>
                <w:rFonts w:ascii="Arial" w:hAnsi="Arial" w:cs="Arial"/>
                <w:b/>
                <w:sz w:val="16"/>
                <w:szCs w:val="16"/>
              </w:rPr>
              <w:t>Type</w:t>
            </w:r>
          </w:p>
        </w:tc>
        <w:tc>
          <w:tcPr>
            <w:tcW w:w="969" w:type="dxa"/>
            <w:vAlign w:val="center"/>
          </w:tcPr>
          <w:p w14:paraId="4591D258" w14:textId="77777777" w:rsidR="00A8443D" w:rsidRPr="0060459D" w:rsidRDefault="00A8443D" w:rsidP="00653E3B">
            <w:pPr>
              <w:spacing w:line="300" w:lineRule="atLeast"/>
              <w:jc w:val="center"/>
              <w:rPr>
                <w:rFonts w:ascii="Arial" w:hAnsi="Arial" w:cs="Arial"/>
                <w:b/>
                <w:sz w:val="16"/>
                <w:szCs w:val="16"/>
              </w:rPr>
            </w:pPr>
            <w:r w:rsidRPr="0060459D">
              <w:rPr>
                <w:rFonts w:ascii="Arial" w:hAnsi="Arial" w:cs="Arial"/>
                <w:b/>
                <w:sz w:val="16"/>
                <w:szCs w:val="16"/>
              </w:rPr>
              <w:t>Size, cm</w:t>
            </w:r>
            <w:r w:rsidRPr="0060459D">
              <w:rPr>
                <w:rFonts w:ascii="Arial" w:hAnsi="Arial" w:cs="Arial"/>
                <w:b/>
                <w:sz w:val="16"/>
                <w:szCs w:val="16"/>
                <w:vertAlign w:val="superscript"/>
              </w:rPr>
              <w:t>3</w:t>
            </w:r>
          </w:p>
        </w:tc>
        <w:tc>
          <w:tcPr>
            <w:tcW w:w="1197" w:type="dxa"/>
            <w:vAlign w:val="center"/>
          </w:tcPr>
          <w:p w14:paraId="063F572F" w14:textId="77777777" w:rsidR="00A8443D" w:rsidRPr="0060459D" w:rsidRDefault="00A8443D" w:rsidP="00653E3B">
            <w:pPr>
              <w:spacing w:line="300" w:lineRule="atLeast"/>
              <w:jc w:val="center"/>
              <w:rPr>
                <w:rFonts w:ascii="Arial" w:hAnsi="Arial" w:cs="Arial"/>
                <w:b/>
                <w:sz w:val="16"/>
                <w:szCs w:val="16"/>
              </w:rPr>
            </w:pPr>
            <w:r w:rsidRPr="0060459D">
              <w:rPr>
                <w:rFonts w:ascii="Arial" w:hAnsi="Arial" w:cs="Arial"/>
                <w:b/>
                <w:sz w:val="16"/>
                <w:szCs w:val="16"/>
              </w:rPr>
              <w:t>Mercury content g/kg</w:t>
            </w:r>
          </w:p>
        </w:tc>
        <w:tc>
          <w:tcPr>
            <w:tcW w:w="1254" w:type="dxa"/>
            <w:vAlign w:val="center"/>
          </w:tcPr>
          <w:p w14:paraId="4700580D" w14:textId="77777777" w:rsidR="00A8443D" w:rsidRPr="0060459D" w:rsidRDefault="00A8443D" w:rsidP="00653E3B">
            <w:pPr>
              <w:spacing w:line="300" w:lineRule="atLeast"/>
              <w:jc w:val="center"/>
              <w:rPr>
                <w:rFonts w:ascii="Arial" w:hAnsi="Arial" w:cs="Arial"/>
                <w:b/>
                <w:sz w:val="16"/>
                <w:szCs w:val="16"/>
              </w:rPr>
            </w:pPr>
            <w:r w:rsidRPr="0060459D">
              <w:rPr>
                <w:rFonts w:ascii="Arial" w:hAnsi="Arial" w:cs="Arial"/>
                <w:b/>
                <w:sz w:val="16"/>
                <w:szCs w:val="16"/>
              </w:rPr>
              <w:t>Number of batteries</w:t>
            </w:r>
          </w:p>
        </w:tc>
        <w:tc>
          <w:tcPr>
            <w:tcW w:w="1043" w:type="dxa"/>
            <w:vAlign w:val="center"/>
          </w:tcPr>
          <w:p w14:paraId="733ECA7A" w14:textId="77777777" w:rsidR="00A8443D" w:rsidRPr="0060459D" w:rsidRDefault="00A8443D" w:rsidP="00653E3B">
            <w:pPr>
              <w:spacing w:line="300" w:lineRule="atLeast"/>
              <w:jc w:val="center"/>
              <w:rPr>
                <w:rFonts w:ascii="Arial" w:hAnsi="Arial" w:cs="Arial"/>
                <w:b/>
                <w:sz w:val="16"/>
                <w:szCs w:val="16"/>
              </w:rPr>
            </w:pPr>
            <w:r w:rsidRPr="0060459D">
              <w:rPr>
                <w:rFonts w:ascii="Arial" w:hAnsi="Arial" w:cs="Arial"/>
                <w:b/>
                <w:sz w:val="16"/>
                <w:szCs w:val="16"/>
              </w:rPr>
              <w:t>Weight per battery, g</w:t>
            </w:r>
          </w:p>
        </w:tc>
        <w:tc>
          <w:tcPr>
            <w:tcW w:w="1224" w:type="dxa"/>
            <w:vAlign w:val="center"/>
          </w:tcPr>
          <w:p w14:paraId="4AEAAFC4" w14:textId="77777777" w:rsidR="00A8443D" w:rsidRPr="0060459D" w:rsidRDefault="00A8443D" w:rsidP="00653E3B">
            <w:pPr>
              <w:spacing w:line="300" w:lineRule="atLeast"/>
              <w:jc w:val="center"/>
              <w:rPr>
                <w:rFonts w:ascii="Arial" w:hAnsi="Arial" w:cs="Arial"/>
                <w:b/>
                <w:sz w:val="16"/>
                <w:szCs w:val="16"/>
              </w:rPr>
            </w:pPr>
            <w:r w:rsidRPr="0060459D">
              <w:rPr>
                <w:rFonts w:ascii="Arial" w:hAnsi="Arial" w:cs="Arial"/>
                <w:b/>
                <w:sz w:val="16"/>
                <w:szCs w:val="16"/>
              </w:rPr>
              <w:t>Total weight of batteries, kg</w:t>
            </w:r>
          </w:p>
        </w:tc>
        <w:tc>
          <w:tcPr>
            <w:tcW w:w="1213" w:type="dxa"/>
            <w:vAlign w:val="center"/>
          </w:tcPr>
          <w:p w14:paraId="2865DF60" w14:textId="77777777" w:rsidR="00A8443D" w:rsidRPr="0060459D" w:rsidRDefault="00A8443D" w:rsidP="00653E3B">
            <w:pPr>
              <w:spacing w:line="300" w:lineRule="atLeast"/>
              <w:jc w:val="center"/>
              <w:rPr>
                <w:rFonts w:ascii="Arial" w:hAnsi="Arial" w:cs="Arial"/>
                <w:b/>
                <w:sz w:val="16"/>
                <w:szCs w:val="16"/>
              </w:rPr>
            </w:pPr>
            <w:r w:rsidRPr="0060459D">
              <w:rPr>
                <w:rFonts w:ascii="Arial" w:hAnsi="Arial" w:cs="Arial"/>
                <w:b/>
                <w:sz w:val="16"/>
                <w:szCs w:val="16"/>
              </w:rPr>
              <w:t>Mercury inputs, kg</w:t>
            </w:r>
          </w:p>
        </w:tc>
      </w:tr>
      <w:tr w:rsidR="00A8443D" w:rsidRPr="0060459D" w14:paraId="2A7CFA99" w14:textId="77777777" w:rsidTr="00653E3B">
        <w:tc>
          <w:tcPr>
            <w:tcW w:w="2161" w:type="dxa"/>
            <w:tcBorders>
              <w:bottom w:val="single" w:sz="4" w:space="0" w:color="auto"/>
            </w:tcBorders>
          </w:tcPr>
          <w:p w14:paraId="4B91984D" w14:textId="77777777" w:rsidR="00A8443D" w:rsidRPr="0060459D" w:rsidRDefault="00A8443D" w:rsidP="00653E3B">
            <w:pPr>
              <w:spacing w:line="300" w:lineRule="atLeast"/>
              <w:jc w:val="both"/>
              <w:rPr>
                <w:rFonts w:ascii="Arial" w:hAnsi="Arial" w:cs="Arial"/>
                <w:sz w:val="16"/>
                <w:szCs w:val="16"/>
              </w:rPr>
            </w:pPr>
            <w:r w:rsidRPr="0060459D">
              <w:rPr>
                <w:rFonts w:ascii="Arial" w:hAnsi="Arial" w:cs="Arial"/>
                <w:sz w:val="16"/>
                <w:szCs w:val="16"/>
              </w:rPr>
              <w:t>Mercuric oxide</w:t>
            </w:r>
            <w:r>
              <w:rPr>
                <w:rFonts w:ascii="Arial" w:hAnsi="Arial" w:cs="Arial"/>
                <w:sz w:val="16"/>
                <w:szCs w:val="16"/>
              </w:rPr>
              <w:t xml:space="preserve"> button, 2012</w:t>
            </w:r>
          </w:p>
        </w:tc>
        <w:tc>
          <w:tcPr>
            <w:tcW w:w="969" w:type="dxa"/>
            <w:tcBorders>
              <w:bottom w:val="single" w:sz="4" w:space="0" w:color="auto"/>
            </w:tcBorders>
            <w:vAlign w:val="center"/>
          </w:tcPr>
          <w:p w14:paraId="2B8CA421" w14:textId="77777777" w:rsidR="00A8443D" w:rsidRPr="0060459D" w:rsidRDefault="00A8443D" w:rsidP="00653E3B">
            <w:pPr>
              <w:spacing w:line="300" w:lineRule="atLeast"/>
              <w:jc w:val="center"/>
              <w:rPr>
                <w:rFonts w:ascii="Arial" w:hAnsi="Arial" w:cs="Arial"/>
                <w:sz w:val="16"/>
                <w:szCs w:val="16"/>
              </w:rPr>
            </w:pPr>
            <w:r w:rsidRPr="0060459D">
              <w:rPr>
                <w:rFonts w:ascii="Arial" w:hAnsi="Arial" w:cs="Arial"/>
                <w:sz w:val="16"/>
                <w:szCs w:val="16"/>
              </w:rPr>
              <w:t>&lt;300</w:t>
            </w:r>
          </w:p>
        </w:tc>
        <w:tc>
          <w:tcPr>
            <w:tcW w:w="1197" w:type="dxa"/>
            <w:tcBorders>
              <w:bottom w:val="single" w:sz="4" w:space="0" w:color="auto"/>
            </w:tcBorders>
            <w:vAlign w:val="center"/>
          </w:tcPr>
          <w:p w14:paraId="4D815DE1" w14:textId="77777777" w:rsidR="00A8443D" w:rsidRPr="0060459D" w:rsidRDefault="00A8443D" w:rsidP="00653E3B">
            <w:pPr>
              <w:spacing w:line="300" w:lineRule="atLeast"/>
              <w:jc w:val="center"/>
              <w:rPr>
                <w:rFonts w:ascii="Arial" w:hAnsi="Arial" w:cs="Arial"/>
                <w:sz w:val="16"/>
                <w:szCs w:val="16"/>
              </w:rPr>
            </w:pPr>
            <w:r w:rsidRPr="0060459D">
              <w:rPr>
                <w:rFonts w:ascii="Arial" w:hAnsi="Arial" w:cs="Arial"/>
                <w:sz w:val="16"/>
                <w:szCs w:val="16"/>
              </w:rPr>
              <w:t>320</w:t>
            </w:r>
          </w:p>
        </w:tc>
        <w:tc>
          <w:tcPr>
            <w:tcW w:w="1254" w:type="dxa"/>
            <w:tcBorders>
              <w:bottom w:val="single" w:sz="4" w:space="0" w:color="auto"/>
            </w:tcBorders>
            <w:vAlign w:val="center"/>
          </w:tcPr>
          <w:p w14:paraId="76FB5D0C" w14:textId="77777777" w:rsidR="00A8443D" w:rsidRPr="0060459D" w:rsidRDefault="00A8443D" w:rsidP="00653E3B">
            <w:pPr>
              <w:spacing w:line="300" w:lineRule="atLeast"/>
              <w:jc w:val="center"/>
              <w:rPr>
                <w:rFonts w:ascii="Arial" w:hAnsi="Arial" w:cs="Arial"/>
                <w:sz w:val="16"/>
                <w:szCs w:val="16"/>
              </w:rPr>
            </w:pPr>
            <w:r w:rsidRPr="0060459D">
              <w:rPr>
                <w:rFonts w:ascii="Arial" w:hAnsi="Arial" w:cs="Arial"/>
                <w:sz w:val="16"/>
                <w:szCs w:val="16"/>
              </w:rPr>
              <w:t>98,126</w:t>
            </w:r>
          </w:p>
        </w:tc>
        <w:tc>
          <w:tcPr>
            <w:tcW w:w="1043" w:type="dxa"/>
            <w:tcBorders>
              <w:bottom w:val="single" w:sz="4" w:space="0" w:color="auto"/>
            </w:tcBorders>
            <w:vAlign w:val="center"/>
          </w:tcPr>
          <w:p w14:paraId="242D8D2C" w14:textId="77777777" w:rsidR="00A8443D" w:rsidRPr="0060459D" w:rsidRDefault="00A8443D" w:rsidP="00653E3B">
            <w:pPr>
              <w:spacing w:line="300" w:lineRule="atLeast"/>
              <w:jc w:val="center"/>
              <w:rPr>
                <w:rFonts w:ascii="Arial" w:hAnsi="Arial" w:cs="Arial"/>
                <w:sz w:val="16"/>
                <w:szCs w:val="16"/>
              </w:rPr>
            </w:pPr>
            <w:r w:rsidRPr="0060459D">
              <w:rPr>
                <w:rFonts w:ascii="Arial" w:hAnsi="Arial" w:cs="Arial"/>
                <w:sz w:val="16"/>
                <w:szCs w:val="16"/>
              </w:rPr>
              <w:t>1</w:t>
            </w:r>
          </w:p>
        </w:tc>
        <w:tc>
          <w:tcPr>
            <w:tcW w:w="1224" w:type="dxa"/>
            <w:tcBorders>
              <w:bottom w:val="single" w:sz="4" w:space="0" w:color="auto"/>
            </w:tcBorders>
            <w:vAlign w:val="center"/>
          </w:tcPr>
          <w:p w14:paraId="028D958C" w14:textId="77777777" w:rsidR="00A8443D" w:rsidRPr="0060459D" w:rsidRDefault="00A8443D" w:rsidP="00653E3B">
            <w:pPr>
              <w:spacing w:line="300" w:lineRule="atLeast"/>
              <w:jc w:val="center"/>
              <w:rPr>
                <w:rFonts w:ascii="Arial" w:hAnsi="Arial" w:cs="Arial"/>
                <w:sz w:val="16"/>
                <w:szCs w:val="16"/>
              </w:rPr>
            </w:pPr>
            <w:r w:rsidRPr="0060459D">
              <w:rPr>
                <w:rFonts w:ascii="Arial" w:hAnsi="Arial" w:cs="Arial"/>
                <w:sz w:val="16"/>
                <w:szCs w:val="16"/>
              </w:rPr>
              <w:t>98</w:t>
            </w:r>
          </w:p>
        </w:tc>
        <w:tc>
          <w:tcPr>
            <w:tcW w:w="1213" w:type="dxa"/>
            <w:tcBorders>
              <w:bottom w:val="single" w:sz="4" w:space="0" w:color="auto"/>
            </w:tcBorders>
            <w:vAlign w:val="center"/>
          </w:tcPr>
          <w:p w14:paraId="0CAED70E" w14:textId="77777777" w:rsidR="00A8443D" w:rsidRPr="0060459D" w:rsidRDefault="00A8443D" w:rsidP="00653E3B">
            <w:pPr>
              <w:spacing w:line="300" w:lineRule="atLeast"/>
              <w:jc w:val="center"/>
              <w:rPr>
                <w:rFonts w:ascii="Arial" w:hAnsi="Arial" w:cs="Arial"/>
                <w:sz w:val="16"/>
                <w:szCs w:val="16"/>
              </w:rPr>
            </w:pPr>
            <w:r w:rsidRPr="0060459D">
              <w:rPr>
                <w:rFonts w:ascii="Arial" w:hAnsi="Arial" w:cs="Arial"/>
                <w:sz w:val="16"/>
                <w:szCs w:val="16"/>
              </w:rPr>
              <w:t>31.4</w:t>
            </w:r>
          </w:p>
        </w:tc>
      </w:tr>
      <w:tr w:rsidR="00A8443D" w:rsidRPr="0060459D" w14:paraId="7DB27CBE" w14:textId="77777777" w:rsidTr="00653E3B">
        <w:tc>
          <w:tcPr>
            <w:tcW w:w="2161" w:type="dxa"/>
            <w:tcBorders>
              <w:bottom w:val="double" w:sz="4" w:space="0" w:color="auto"/>
            </w:tcBorders>
          </w:tcPr>
          <w:p w14:paraId="17A68722" w14:textId="77777777" w:rsidR="00A8443D" w:rsidRPr="0060459D" w:rsidRDefault="00A8443D" w:rsidP="00653E3B">
            <w:pPr>
              <w:spacing w:line="300" w:lineRule="atLeast"/>
              <w:jc w:val="both"/>
              <w:rPr>
                <w:rFonts w:ascii="Arial" w:hAnsi="Arial" w:cs="Arial"/>
                <w:sz w:val="16"/>
                <w:szCs w:val="16"/>
              </w:rPr>
            </w:pPr>
            <w:r w:rsidRPr="0060459D">
              <w:rPr>
                <w:rFonts w:ascii="Arial" w:hAnsi="Arial" w:cs="Arial"/>
                <w:sz w:val="16"/>
                <w:szCs w:val="16"/>
              </w:rPr>
              <w:t>Mercuric oxide</w:t>
            </w:r>
            <w:r>
              <w:rPr>
                <w:rFonts w:ascii="Arial" w:hAnsi="Arial" w:cs="Arial"/>
                <w:sz w:val="16"/>
                <w:szCs w:val="16"/>
              </w:rPr>
              <w:t xml:space="preserve"> button, 2016</w:t>
            </w:r>
          </w:p>
        </w:tc>
        <w:tc>
          <w:tcPr>
            <w:tcW w:w="969" w:type="dxa"/>
            <w:tcBorders>
              <w:bottom w:val="double" w:sz="4" w:space="0" w:color="auto"/>
            </w:tcBorders>
            <w:vAlign w:val="center"/>
          </w:tcPr>
          <w:p w14:paraId="6A9AD97C" w14:textId="77777777" w:rsidR="00A8443D" w:rsidRPr="0060459D" w:rsidRDefault="00A8443D" w:rsidP="00653E3B">
            <w:pPr>
              <w:spacing w:line="300" w:lineRule="atLeast"/>
              <w:jc w:val="center"/>
              <w:rPr>
                <w:rFonts w:ascii="Arial" w:hAnsi="Arial" w:cs="Arial"/>
                <w:sz w:val="16"/>
                <w:szCs w:val="16"/>
              </w:rPr>
            </w:pPr>
            <w:r>
              <w:rPr>
                <w:rFonts w:ascii="Arial" w:hAnsi="Arial" w:cs="Arial"/>
                <w:sz w:val="16"/>
                <w:szCs w:val="16"/>
              </w:rPr>
              <w:t>&lt;300</w:t>
            </w:r>
          </w:p>
        </w:tc>
        <w:tc>
          <w:tcPr>
            <w:tcW w:w="1197" w:type="dxa"/>
            <w:tcBorders>
              <w:bottom w:val="double" w:sz="4" w:space="0" w:color="auto"/>
            </w:tcBorders>
            <w:vAlign w:val="center"/>
          </w:tcPr>
          <w:p w14:paraId="51966018" w14:textId="77777777" w:rsidR="00A8443D" w:rsidRPr="0060459D" w:rsidRDefault="00A8443D" w:rsidP="00653E3B">
            <w:pPr>
              <w:spacing w:line="300" w:lineRule="atLeast"/>
              <w:jc w:val="center"/>
              <w:rPr>
                <w:rFonts w:ascii="Arial" w:hAnsi="Arial" w:cs="Arial"/>
                <w:sz w:val="16"/>
                <w:szCs w:val="16"/>
              </w:rPr>
            </w:pPr>
            <w:r>
              <w:rPr>
                <w:rFonts w:ascii="Arial" w:hAnsi="Arial" w:cs="Arial"/>
                <w:sz w:val="16"/>
                <w:szCs w:val="16"/>
              </w:rPr>
              <w:t>320</w:t>
            </w:r>
          </w:p>
        </w:tc>
        <w:tc>
          <w:tcPr>
            <w:tcW w:w="1254" w:type="dxa"/>
            <w:tcBorders>
              <w:bottom w:val="double" w:sz="4" w:space="0" w:color="auto"/>
            </w:tcBorders>
            <w:vAlign w:val="center"/>
          </w:tcPr>
          <w:p w14:paraId="10F16C69" w14:textId="77777777" w:rsidR="00A8443D" w:rsidRPr="0060459D" w:rsidRDefault="00A8443D" w:rsidP="00653E3B">
            <w:pPr>
              <w:spacing w:line="300" w:lineRule="atLeast"/>
              <w:jc w:val="center"/>
              <w:rPr>
                <w:rFonts w:ascii="Arial" w:hAnsi="Arial" w:cs="Arial"/>
                <w:sz w:val="16"/>
                <w:szCs w:val="16"/>
              </w:rPr>
            </w:pPr>
            <w:r>
              <w:rPr>
                <w:rFonts w:ascii="Arial" w:hAnsi="Arial" w:cs="Arial"/>
                <w:sz w:val="16"/>
                <w:szCs w:val="16"/>
              </w:rPr>
              <w:t>2.543</w:t>
            </w:r>
          </w:p>
        </w:tc>
        <w:tc>
          <w:tcPr>
            <w:tcW w:w="1043" w:type="dxa"/>
            <w:tcBorders>
              <w:bottom w:val="double" w:sz="4" w:space="0" w:color="auto"/>
            </w:tcBorders>
            <w:vAlign w:val="center"/>
          </w:tcPr>
          <w:p w14:paraId="18D8BD02" w14:textId="77777777" w:rsidR="00A8443D" w:rsidRPr="0060459D" w:rsidRDefault="00A8443D" w:rsidP="00653E3B">
            <w:pPr>
              <w:spacing w:line="300" w:lineRule="atLeast"/>
              <w:jc w:val="center"/>
              <w:rPr>
                <w:rFonts w:ascii="Arial" w:hAnsi="Arial" w:cs="Arial"/>
                <w:sz w:val="16"/>
                <w:szCs w:val="16"/>
              </w:rPr>
            </w:pPr>
            <w:r>
              <w:rPr>
                <w:rFonts w:ascii="Arial" w:hAnsi="Arial" w:cs="Arial"/>
                <w:sz w:val="16"/>
                <w:szCs w:val="16"/>
              </w:rPr>
              <w:t>1</w:t>
            </w:r>
          </w:p>
        </w:tc>
        <w:tc>
          <w:tcPr>
            <w:tcW w:w="1224" w:type="dxa"/>
            <w:tcBorders>
              <w:bottom w:val="double" w:sz="4" w:space="0" w:color="auto"/>
            </w:tcBorders>
            <w:vAlign w:val="center"/>
          </w:tcPr>
          <w:p w14:paraId="4DD7A66E" w14:textId="77777777" w:rsidR="00A8443D" w:rsidRPr="0060459D" w:rsidRDefault="00A8443D" w:rsidP="00653E3B">
            <w:pPr>
              <w:spacing w:line="300" w:lineRule="atLeast"/>
              <w:jc w:val="center"/>
              <w:rPr>
                <w:rFonts w:ascii="Arial" w:hAnsi="Arial" w:cs="Arial"/>
                <w:sz w:val="16"/>
                <w:szCs w:val="16"/>
              </w:rPr>
            </w:pPr>
            <w:r>
              <w:rPr>
                <w:rFonts w:ascii="Arial" w:hAnsi="Arial" w:cs="Arial"/>
                <w:sz w:val="16"/>
                <w:szCs w:val="16"/>
              </w:rPr>
              <w:t>2.5</w:t>
            </w:r>
          </w:p>
        </w:tc>
        <w:tc>
          <w:tcPr>
            <w:tcW w:w="1213" w:type="dxa"/>
            <w:tcBorders>
              <w:bottom w:val="double" w:sz="4" w:space="0" w:color="auto"/>
            </w:tcBorders>
            <w:vAlign w:val="center"/>
          </w:tcPr>
          <w:p w14:paraId="6518A658" w14:textId="77777777" w:rsidR="00A8443D" w:rsidRPr="0060459D" w:rsidRDefault="00A8443D" w:rsidP="00653E3B">
            <w:pPr>
              <w:spacing w:line="300" w:lineRule="atLeast"/>
              <w:jc w:val="center"/>
              <w:rPr>
                <w:rFonts w:ascii="Arial" w:hAnsi="Arial" w:cs="Arial"/>
                <w:sz w:val="16"/>
                <w:szCs w:val="16"/>
              </w:rPr>
            </w:pPr>
            <w:r>
              <w:rPr>
                <w:rFonts w:ascii="Arial" w:hAnsi="Arial" w:cs="Arial"/>
                <w:sz w:val="16"/>
                <w:szCs w:val="16"/>
              </w:rPr>
              <w:t>0.81</w:t>
            </w:r>
          </w:p>
        </w:tc>
      </w:tr>
      <w:tr w:rsidR="00A8443D" w:rsidRPr="0060459D" w14:paraId="733CF03D" w14:textId="77777777" w:rsidTr="00653E3B">
        <w:tc>
          <w:tcPr>
            <w:tcW w:w="2161" w:type="dxa"/>
            <w:tcBorders>
              <w:top w:val="double" w:sz="4" w:space="0" w:color="auto"/>
              <w:bottom w:val="single" w:sz="4" w:space="0" w:color="auto"/>
            </w:tcBorders>
          </w:tcPr>
          <w:p w14:paraId="4368921D" w14:textId="77777777" w:rsidR="00A8443D" w:rsidRPr="0060459D" w:rsidRDefault="00A8443D" w:rsidP="00653E3B">
            <w:pPr>
              <w:spacing w:line="300" w:lineRule="atLeast"/>
              <w:jc w:val="both"/>
              <w:rPr>
                <w:rFonts w:ascii="Arial" w:hAnsi="Arial" w:cs="Arial"/>
                <w:sz w:val="16"/>
                <w:szCs w:val="16"/>
              </w:rPr>
            </w:pPr>
            <w:r w:rsidRPr="0060459D">
              <w:rPr>
                <w:rFonts w:ascii="Arial" w:hAnsi="Arial" w:cs="Arial"/>
                <w:sz w:val="16"/>
                <w:szCs w:val="16"/>
              </w:rPr>
              <w:t>Silver oxide</w:t>
            </w:r>
            <w:r>
              <w:rPr>
                <w:rFonts w:ascii="Arial" w:hAnsi="Arial" w:cs="Arial"/>
                <w:sz w:val="16"/>
                <w:szCs w:val="16"/>
              </w:rPr>
              <w:t xml:space="preserve"> button, 2012</w:t>
            </w:r>
          </w:p>
        </w:tc>
        <w:tc>
          <w:tcPr>
            <w:tcW w:w="969" w:type="dxa"/>
            <w:tcBorders>
              <w:top w:val="double" w:sz="4" w:space="0" w:color="auto"/>
              <w:bottom w:val="single" w:sz="4" w:space="0" w:color="auto"/>
            </w:tcBorders>
            <w:vAlign w:val="center"/>
          </w:tcPr>
          <w:p w14:paraId="1DBA3D93" w14:textId="77777777" w:rsidR="00A8443D" w:rsidRPr="0060459D" w:rsidRDefault="00A8443D" w:rsidP="00653E3B">
            <w:pPr>
              <w:spacing w:line="300" w:lineRule="atLeast"/>
              <w:jc w:val="center"/>
              <w:rPr>
                <w:rFonts w:ascii="Arial" w:hAnsi="Arial" w:cs="Arial"/>
                <w:sz w:val="16"/>
                <w:szCs w:val="16"/>
              </w:rPr>
            </w:pPr>
            <w:r w:rsidRPr="0060459D">
              <w:rPr>
                <w:rFonts w:ascii="Arial" w:hAnsi="Arial" w:cs="Arial"/>
                <w:sz w:val="16"/>
                <w:szCs w:val="16"/>
              </w:rPr>
              <w:t>all</w:t>
            </w:r>
          </w:p>
        </w:tc>
        <w:tc>
          <w:tcPr>
            <w:tcW w:w="1197" w:type="dxa"/>
            <w:tcBorders>
              <w:top w:val="double" w:sz="4" w:space="0" w:color="auto"/>
              <w:bottom w:val="single" w:sz="4" w:space="0" w:color="auto"/>
            </w:tcBorders>
            <w:vAlign w:val="center"/>
          </w:tcPr>
          <w:p w14:paraId="0CD8FE7B" w14:textId="77777777" w:rsidR="00A8443D" w:rsidRPr="0060459D" w:rsidRDefault="00A8443D" w:rsidP="00653E3B">
            <w:pPr>
              <w:spacing w:line="300" w:lineRule="atLeast"/>
              <w:jc w:val="center"/>
              <w:rPr>
                <w:rFonts w:ascii="Arial" w:hAnsi="Arial" w:cs="Arial"/>
                <w:sz w:val="16"/>
                <w:szCs w:val="16"/>
              </w:rPr>
            </w:pPr>
            <w:r w:rsidRPr="0060459D">
              <w:rPr>
                <w:rFonts w:ascii="Arial" w:hAnsi="Arial" w:cs="Arial"/>
                <w:sz w:val="16"/>
                <w:szCs w:val="16"/>
              </w:rPr>
              <w:t>3.4 – 10</w:t>
            </w:r>
          </w:p>
        </w:tc>
        <w:tc>
          <w:tcPr>
            <w:tcW w:w="1254" w:type="dxa"/>
            <w:tcBorders>
              <w:top w:val="double" w:sz="4" w:space="0" w:color="auto"/>
              <w:bottom w:val="single" w:sz="4" w:space="0" w:color="auto"/>
            </w:tcBorders>
            <w:vAlign w:val="center"/>
          </w:tcPr>
          <w:p w14:paraId="7BA7727F" w14:textId="77777777" w:rsidR="00A8443D" w:rsidRPr="0060459D" w:rsidRDefault="00A8443D" w:rsidP="00653E3B">
            <w:pPr>
              <w:spacing w:line="300" w:lineRule="atLeast"/>
              <w:jc w:val="center"/>
              <w:rPr>
                <w:rFonts w:ascii="Arial" w:hAnsi="Arial" w:cs="Arial"/>
                <w:sz w:val="16"/>
                <w:szCs w:val="16"/>
              </w:rPr>
            </w:pPr>
            <w:r w:rsidRPr="0060459D">
              <w:rPr>
                <w:rFonts w:ascii="Arial" w:hAnsi="Arial" w:cs="Arial"/>
                <w:sz w:val="16"/>
                <w:szCs w:val="16"/>
              </w:rPr>
              <w:t>653,266</w:t>
            </w:r>
          </w:p>
        </w:tc>
        <w:tc>
          <w:tcPr>
            <w:tcW w:w="1043" w:type="dxa"/>
            <w:tcBorders>
              <w:top w:val="double" w:sz="4" w:space="0" w:color="auto"/>
              <w:bottom w:val="single" w:sz="4" w:space="0" w:color="auto"/>
            </w:tcBorders>
            <w:vAlign w:val="center"/>
          </w:tcPr>
          <w:p w14:paraId="61E06CB8" w14:textId="77777777" w:rsidR="00A8443D" w:rsidRPr="0060459D" w:rsidRDefault="00A8443D" w:rsidP="00653E3B">
            <w:pPr>
              <w:spacing w:line="300" w:lineRule="atLeast"/>
              <w:jc w:val="center"/>
              <w:rPr>
                <w:rFonts w:ascii="Arial" w:hAnsi="Arial" w:cs="Arial"/>
                <w:sz w:val="16"/>
                <w:szCs w:val="16"/>
              </w:rPr>
            </w:pPr>
            <w:r w:rsidRPr="0060459D">
              <w:rPr>
                <w:rFonts w:ascii="Arial" w:hAnsi="Arial" w:cs="Arial"/>
                <w:sz w:val="16"/>
                <w:szCs w:val="16"/>
              </w:rPr>
              <w:t>1</w:t>
            </w:r>
          </w:p>
        </w:tc>
        <w:tc>
          <w:tcPr>
            <w:tcW w:w="1224" w:type="dxa"/>
            <w:tcBorders>
              <w:top w:val="double" w:sz="4" w:space="0" w:color="auto"/>
              <w:bottom w:val="single" w:sz="4" w:space="0" w:color="auto"/>
            </w:tcBorders>
            <w:vAlign w:val="center"/>
          </w:tcPr>
          <w:p w14:paraId="79B7AEF9" w14:textId="77777777" w:rsidR="00A8443D" w:rsidRPr="0060459D" w:rsidRDefault="00A8443D" w:rsidP="00653E3B">
            <w:pPr>
              <w:spacing w:line="300" w:lineRule="atLeast"/>
              <w:jc w:val="center"/>
              <w:rPr>
                <w:rFonts w:ascii="Arial" w:hAnsi="Arial" w:cs="Arial"/>
                <w:sz w:val="16"/>
                <w:szCs w:val="16"/>
              </w:rPr>
            </w:pPr>
            <w:r w:rsidRPr="0060459D">
              <w:rPr>
                <w:rFonts w:ascii="Arial" w:hAnsi="Arial" w:cs="Arial"/>
                <w:sz w:val="16"/>
                <w:szCs w:val="16"/>
              </w:rPr>
              <w:t>653</w:t>
            </w:r>
          </w:p>
        </w:tc>
        <w:tc>
          <w:tcPr>
            <w:tcW w:w="1213" w:type="dxa"/>
            <w:tcBorders>
              <w:top w:val="double" w:sz="4" w:space="0" w:color="auto"/>
              <w:bottom w:val="single" w:sz="4" w:space="0" w:color="auto"/>
            </w:tcBorders>
            <w:vAlign w:val="center"/>
          </w:tcPr>
          <w:p w14:paraId="16C08863" w14:textId="77777777" w:rsidR="00A8443D" w:rsidRPr="0060459D" w:rsidRDefault="00A8443D" w:rsidP="00653E3B">
            <w:pPr>
              <w:spacing w:line="300" w:lineRule="atLeast"/>
              <w:jc w:val="center"/>
              <w:rPr>
                <w:rFonts w:ascii="Arial" w:hAnsi="Arial" w:cs="Arial"/>
                <w:sz w:val="16"/>
                <w:szCs w:val="16"/>
              </w:rPr>
            </w:pPr>
            <w:r w:rsidRPr="0060459D">
              <w:rPr>
                <w:rFonts w:ascii="Arial" w:hAnsi="Arial" w:cs="Arial"/>
                <w:sz w:val="16"/>
                <w:szCs w:val="16"/>
              </w:rPr>
              <w:t>2.2 – 6.5</w:t>
            </w:r>
          </w:p>
        </w:tc>
      </w:tr>
      <w:tr w:rsidR="00A8443D" w:rsidRPr="0060459D" w14:paraId="62BA1808" w14:textId="77777777" w:rsidTr="00653E3B">
        <w:tc>
          <w:tcPr>
            <w:tcW w:w="2161" w:type="dxa"/>
            <w:tcBorders>
              <w:bottom w:val="double" w:sz="4" w:space="0" w:color="auto"/>
            </w:tcBorders>
          </w:tcPr>
          <w:p w14:paraId="03D94FCC" w14:textId="77777777" w:rsidR="00A8443D" w:rsidRPr="0060459D" w:rsidRDefault="00A8443D" w:rsidP="00653E3B">
            <w:pPr>
              <w:spacing w:line="300" w:lineRule="atLeast"/>
              <w:jc w:val="both"/>
              <w:rPr>
                <w:rFonts w:ascii="Arial" w:hAnsi="Arial" w:cs="Arial"/>
                <w:sz w:val="16"/>
                <w:szCs w:val="16"/>
              </w:rPr>
            </w:pPr>
            <w:r w:rsidRPr="0060459D">
              <w:rPr>
                <w:rFonts w:ascii="Arial" w:hAnsi="Arial" w:cs="Arial"/>
                <w:sz w:val="16"/>
                <w:szCs w:val="16"/>
              </w:rPr>
              <w:t>Silver oxide</w:t>
            </w:r>
            <w:r>
              <w:rPr>
                <w:rFonts w:ascii="Arial" w:hAnsi="Arial" w:cs="Arial"/>
                <w:sz w:val="16"/>
                <w:szCs w:val="16"/>
              </w:rPr>
              <w:t xml:space="preserve"> button, 2012</w:t>
            </w:r>
          </w:p>
        </w:tc>
        <w:tc>
          <w:tcPr>
            <w:tcW w:w="969" w:type="dxa"/>
            <w:tcBorders>
              <w:bottom w:val="double" w:sz="4" w:space="0" w:color="auto"/>
            </w:tcBorders>
            <w:vAlign w:val="center"/>
          </w:tcPr>
          <w:p w14:paraId="42D6ED7F" w14:textId="77777777" w:rsidR="00A8443D" w:rsidRPr="0060459D" w:rsidRDefault="00A8443D" w:rsidP="00653E3B">
            <w:pPr>
              <w:spacing w:line="300" w:lineRule="atLeast"/>
              <w:jc w:val="center"/>
              <w:rPr>
                <w:rFonts w:ascii="Arial" w:hAnsi="Arial" w:cs="Arial"/>
                <w:sz w:val="16"/>
                <w:szCs w:val="16"/>
              </w:rPr>
            </w:pPr>
            <w:r>
              <w:rPr>
                <w:rFonts w:ascii="Arial" w:hAnsi="Arial" w:cs="Arial"/>
                <w:sz w:val="16"/>
                <w:szCs w:val="16"/>
              </w:rPr>
              <w:t>all</w:t>
            </w:r>
          </w:p>
        </w:tc>
        <w:tc>
          <w:tcPr>
            <w:tcW w:w="1197" w:type="dxa"/>
            <w:tcBorders>
              <w:bottom w:val="double" w:sz="4" w:space="0" w:color="auto"/>
            </w:tcBorders>
            <w:vAlign w:val="center"/>
          </w:tcPr>
          <w:p w14:paraId="4A61F74E" w14:textId="39A8136C" w:rsidR="00A8443D" w:rsidRPr="0060459D" w:rsidRDefault="009C6631" w:rsidP="00653E3B">
            <w:pPr>
              <w:spacing w:line="300" w:lineRule="atLeast"/>
              <w:jc w:val="center"/>
              <w:rPr>
                <w:rFonts w:ascii="Arial" w:hAnsi="Arial" w:cs="Arial"/>
                <w:sz w:val="16"/>
                <w:szCs w:val="16"/>
              </w:rPr>
            </w:pPr>
            <w:r>
              <w:rPr>
                <w:rFonts w:ascii="Arial" w:hAnsi="Arial" w:cs="Arial"/>
                <w:sz w:val="16"/>
                <w:szCs w:val="16"/>
              </w:rPr>
              <w:t>1</w:t>
            </w:r>
          </w:p>
        </w:tc>
        <w:tc>
          <w:tcPr>
            <w:tcW w:w="1254" w:type="dxa"/>
            <w:tcBorders>
              <w:bottom w:val="double" w:sz="4" w:space="0" w:color="auto"/>
            </w:tcBorders>
            <w:vAlign w:val="center"/>
          </w:tcPr>
          <w:p w14:paraId="2B5940D5" w14:textId="0E64AD39" w:rsidR="00A8443D" w:rsidRPr="0060459D" w:rsidRDefault="009C6631" w:rsidP="00653E3B">
            <w:pPr>
              <w:spacing w:line="300" w:lineRule="atLeast"/>
              <w:jc w:val="center"/>
              <w:rPr>
                <w:rFonts w:ascii="Arial" w:hAnsi="Arial" w:cs="Arial"/>
                <w:sz w:val="16"/>
                <w:szCs w:val="16"/>
              </w:rPr>
            </w:pPr>
            <w:r>
              <w:rPr>
                <w:rFonts w:ascii="Arial" w:hAnsi="Arial" w:cs="Arial"/>
                <w:sz w:val="16"/>
                <w:szCs w:val="16"/>
              </w:rPr>
              <w:t>815,320</w:t>
            </w:r>
          </w:p>
        </w:tc>
        <w:tc>
          <w:tcPr>
            <w:tcW w:w="1043" w:type="dxa"/>
            <w:tcBorders>
              <w:bottom w:val="double" w:sz="4" w:space="0" w:color="auto"/>
            </w:tcBorders>
            <w:vAlign w:val="center"/>
          </w:tcPr>
          <w:p w14:paraId="1A18E886" w14:textId="77777777" w:rsidR="00A8443D" w:rsidRPr="0060459D" w:rsidRDefault="00A8443D" w:rsidP="00653E3B">
            <w:pPr>
              <w:spacing w:line="300" w:lineRule="atLeast"/>
              <w:jc w:val="center"/>
              <w:rPr>
                <w:rFonts w:ascii="Arial" w:hAnsi="Arial" w:cs="Arial"/>
                <w:sz w:val="16"/>
                <w:szCs w:val="16"/>
              </w:rPr>
            </w:pPr>
            <w:r>
              <w:rPr>
                <w:rFonts w:ascii="Arial" w:hAnsi="Arial" w:cs="Arial"/>
                <w:sz w:val="16"/>
                <w:szCs w:val="16"/>
              </w:rPr>
              <w:t>1</w:t>
            </w:r>
          </w:p>
        </w:tc>
        <w:tc>
          <w:tcPr>
            <w:tcW w:w="1224" w:type="dxa"/>
            <w:tcBorders>
              <w:bottom w:val="double" w:sz="4" w:space="0" w:color="auto"/>
            </w:tcBorders>
            <w:vAlign w:val="center"/>
          </w:tcPr>
          <w:p w14:paraId="489D188C" w14:textId="27FECAFE" w:rsidR="00A8443D" w:rsidRPr="0060459D" w:rsidRDefault="009C6631" w:rsidP="00653E3B">
            <w:pPr>
              <w:spacing w:line="300" w:lineRule="atLeast"/>
              <w:jc w:val="center"/>
              <w:rPr>
                <w:rFonts w:ascii="Arial" w:hAnsi="Arial" w:cs="Arial"/>
                <w:sz w:val="16"/>
                <w:szCs w:val="16"/>
              </w:rPr>
            </w:pPr>
            <w:r>
              <w:rPr>
                <w:rFonts w:ascii="Arial" w:hAnsi="Arial" w:cs="Arial"/>
                <w:sz w:val="16"/>
                <w:szCs w:val="16"/>
              </w:rPr>
              <w:t>815</w:t>
            </w:r>
          </w:p>
        </w:tc>
        <w:tc>
          <w:tcPr>
            <w:tcW w:w="1213" w:type="dxa"/>
            <w:tcBorders>
              <w:bottom w:val="double" w:sz="4" w:space="0" w:color="auto"/>
            </w:tcBorders>
            <w:vAlign w:val="center"/>
          </w:tcPr>
          <w:p w14:paraId="4DC391B8" w14:textId="1BE5F799" w:rsidR="00A8443D" w:rsidRPr="0060459D" w:rsidRDefault="009C6631" w:rsidP="00653E3B">
            <w:pPr>
              <w:spacing w:line="300" w:lineRule="atLeast"/>
              <w:jc w:val="center"/>
              <w:rPr>
                <w:rFonts w:ascii="Arial" w:hAnsi="Arial" w:cs="Arial"/>
                <w:sz w:val="16"/>
                <w:szCs w:val="16"/>
              </w:rPr>
            </w:pPr>
            <w:r>
              <w:rPr>
                <w:rFonts w:ascii="Arial" w:hAnsi="Arial" w:cs="Arial"/>
                <w:sz w:val="16"/>
                <w:szCs w:val="16"/>
              </w:rPr>
              <w:t>0.82</w:t>
            </w:r>
          </w:p>
        </w:tc>
      </w:tr>
      <w:tr w:rsidR="00A8443D" w:rsidRPr="0060459D" w14:paraId="119BD3EF" w14:textId="77777777" w:rsidTr="00653E3B">
        <w:tc>
          <w:tcPr>
            <w:tcW w:w="2161" w:type="dxa"/>
            <w:tcBorders>
              <w:top w:val="double" w:sz="4" w:space="0" w:color="auto"/>
              <w:bottom w:val="single" w:sz="4" w:space="0" w:color="auto"/>
            </w:tcBorders>
          </w:tcPr>
          <w:p w14:paraId="1838E318" w14:textId="77777777" w:rsidR="00A8443D" w:rsidRPr="0060459D" w:rsidRDefault="00A8443D" w:rsidP="00653E3B">
            <w:pPr>
              <w:spacing w:line="300" w:lineRule="atLeast"/>
              <w:jc w:val="both"/>
              <w:rPr>
                <w:rFonts w:ascii="Arial" w:hAnsi="Arial" w:cs="Arial"/>
                <w:sz w:val="16"/>
                <w:szCs w:val="16"/>
              </w:rPr>
            </w:pPr>
            <w:r w:rsidRPr="0060459D">
              <w:rPr>
                <w:rFonts w:ascii="Arial" w:hAnsi="Arial" w:cs="Arial"/>
                <w:sz w:val="16"/>
                <w:szCs w:val="16"/>
              </w:rPr>
              <w:t>Zinc air</w:t>
            </w:r>
            <w:r>
              <w:rPr>
                <w:rFonts w:ascii="Arial" w:hAnsi="Arial" w:cs="Arial"/>
                <w:sz w:val="16"/>
                <w:szCs w:val="16"/>
              </w:rPr>
              <w:t xml:space="preserve"> button, 2012</w:t>
            </w:r>
          </w:p>
        </w:tc>
        <w:tc>
          <w:tcPr>
            <w:tcW w:w="969" w:type="dxa"/>
            <w:tcBorders>
              <w:top w:val="double" w:sz="4" w:space="0" w:color="auto"/>
              <w:bottom w:val="single" w:sz="4" w:space="0" w:color="auto"/>
            </w:tcBorders>
            <w:vAlign w:val="center"/>
          </w:tcPr>
          <w:p w14:paraId="596CD0AE" w14:textId="77777777" w:rsidR="00A8443D" w:rsidRPr="0060459D" w:rsidRDefault="00A8443D" w:rsidP="00653E3B">
            <w:pPr>
              <w:spacing w:line="300" w:lineRule="atLeast"/>
              <w:jc w:val="center"/>
              <w:rPr>
                <w:rFonts w:ascii="Arial" w:hAnsi="Arial" w:cs="Arial"/>
                <w:sz w:val="16"/>
                <w:szCs w:val="16"/>
              </w:rPr>
            </w:pPr>
            <w:r w:rsidRPr="0060459D">
              <w:rPr>
                <w:rFonts w:ascii="Arial" w:hAnsi="Arial" w:cs="Arial"/>
                <w:sz w:val="16"/>
                <w:szCs w:val="16"/>
              </w:rPr>
              <w:t>all</w:t>
            </w:r>
          </w:p>
        </w:tc>
        <w:tc>
          <w:tcPr>
            <w:tcW w:w="1197" w:type="dxa"/>
            <w:tcBorders>
              <w:top w:val="double" w:sz="4" w:space="0" w:color="auto"/>
              <w:bottom w:val="single" w:sz="4" w:space="0" w:color="auto"/>
            </w:tcBorders>
            <w:vAlign w:val="center"/>
          </w:tcPr>
          <w:p w14:paraId="3E8E8F8F" w14:textId="77777777" w:rsidR="00A8443D" w:rsidRPr="0060459D" w:rsidRDefault="00A8443D" w:rsidP="00653E3B">
            <w:pPr>
              <w:spacing w:line="300" w:lineRule="atLeast"/>
              <w:jc w:val="center"/>
              <w:rPr>
                <w:rFonts w:ascii="Arial" w:hAnsi="Arial" w:cs="Arial"/>
                <w:sz w:val="16"/>
                <w:szCs w:val="16"/>
              </w:rPr>
            </w:pPr>
            <w:r w:rsidRPr="0060459D">
              <w:rPr>
                <w:rFonts w:ascii="Arial" w:hAnsi="Arial" w:cs="Arial"/>
                <w:sz w:val="16"/>
                <w:szCs w:val="16"/>
              </w:rPr>
              <w:t>0 - 30</w:t>
            </w:r>
          </w:p>
        </w:tc>
        <w:tc>
          <w:tcPr>
            <w:tcW w:w="1254" w:type="dxa"/>
            <w:tcBorders>
              <w:top w:val="double" w:sz="4" w:space="0" w:color="auto"/>
              <w:bottom w:val="single" w:sz="4" w:space="0" w:color="auto"/>
            </w:tcBorders>
            <w:vAlign w:val="center"/>
          </w:tcPr>
          <w:p w14:paraId="7E262D73" w14:textId="77777777" w:rsidR="00A8443D" w:rsidRPr="0060459D" w:rsidRDefault="00A8443D" w:rsidP="00653E3B">
            <w:pPr>
              <w:spacing w:line="300" w:lineRule="atLeast"/>
              <w:jc w:val="center"/>
              <w:rPr>
                <w:rFonts w:ascii="Arial" w:hAnsi="Arial" w:cs="Arial"/>
                <w:sz w:val="16"/>
                <w:szCs w:val="16"/>
              </w:rPr>
            </w:pPr>
            <w:r w:rsidRPr="0060459D">
              <w:rPr>
                <w:rFonts w:ascii="Arial" w:hAnsi="Arial" w:cs="Arial"/>
                <w:sz w:val="16"/>
                <w:szCs w:val="16"/>
              </w:rPr>
              <w:t>2,754,161</w:t>
            </w:r>
          </w:p>
        </w:tc>
        <w:tc>
          <w:tcPr>
            <w:tcW w:w="1043" w:type="dxa"/>
            <w:tcBorders>
              <w:top w:val="double" w:sz="4" w:space="0" w:color="auto"/>
              <w:bottom w:val="single" w:sz="4" w:space="0" w:color="auto"/>
            </w:tcBorders>
            <w:vAlign w:val="center"/>
          </w:tcPr>
          <w:p w14:paraId="19AA8014" w14:textId="77777777" w:rsidR="00A8443D" w:rsidRPr="0060459D" w:rsidRDefault="00A8443D" w:rsidP="00653E3B">
            <w:pPr>
              <w:spacing w:line="300" w:lineRule="atLeast"/>
              <w:jc w:val="center"/>
              <w:rPr>
                <w:rFonts w:ascii="Arial" w:hAnsi="Arial" w:cs="Arial"/>
                <w:sz w:val="16"/>
                <w:szCs w:val="16"/>
              </w:rPr>
            </w:pPr>
            <w:r w:rsidRPr="0060459D">
              <w:rPr>
                <w:rFonts w:ascii="Arial" w:hAnsi="Arial" w:cs="Arial"/>
                <w:sz w:val="16"/>
                <w:szCs w:val="16"/>
              </w:rPr>
              <w:t>1</w:t>
            </w:r>
          </w:p>
        </w:tc>
        <w:tc>
          <w:tcPr>
            <w:tcW w:w="1224" w:type="dxa"/>
            <w:tcBorders>
              <w:top w:val="double" w:sz="4" w:space="0" w:color="auto"/>
              <w:bottom w:val="single" w:sz="4" w:space="0" w:color="auto"/>
            </w:tcBorders>
            <w:vAlign w:val="center"/>
          </w:tcPr>
          <w:p w14:paraId="3D0036F0" w14:textId="77777777" w:rsidR="00A8443D" w:rsidRPr="0060459D" w:rsidRDefault="00A8443D" w:rsidP="00653E3B">
            <w:pPr>
              <w:spacing w:line="300" w:lineRule="atLeast"/>
              <w:jc w:val="center"/>
              <w:rPr>
                <w:rFonts w:ascii="Arial" w:hAnsi="Arial" w:cs="Arial"/>
                <w:sz w:val="16"/>
                <w:szCs w:val="16"/>
              </w:rPr>
            </w:pPr>
            <w:r w:rsidRPr="0060459D">
              <w:rPr>
                <w:rFonts w:ascii="Arial" w:hAnsi="Arial" w:cs="Arial"/>
                <w:sz w:val="16"/>
                <w:szCs w:val="16"/>
              </w:rPr>
              <w:t>2,754</w:t>
            </w:r>
          </w:p>
        </w:tc>
        <w:tc>
          <w:tcPr>
            <w:tcW w:w="1213" w:type="dxa"/>
            <w:tcBorders>
              <w:top w:val="double" w:sz="4" w:space="0" w:color="auto"/>
              <w:bottom w:val="single" w:sz="4" w:space="0" w:color="auto"/>
            </w:tcBorders>
            <w:vAlign w:val="center"/>
          </w:tcPr>
          <w:p w14:paraId="4C486D74" w14:textId="77777777" w:rsidR="00A8443D" w:rsidRPr="0060459D" w:rsidRDefault="00A8443D" w:rsidP="00653E3B">
            <w:pPr>
              <w:spacing w:line="300" w:lineRule="atLeast"/>
              <w:jc w:val="center"/>
              <w:rPr>
                <w:rFonts w:ascii="Arial" w:hAnsi="Arial" w:cs="Arial"/>
                <w:sz w:val="16"/>
                <w:szCs w:val="16"/>
              </w:rPr>
            </w:pPr>
            <w:r w:rsidRPr="0060459D">
              <w:rPr>
                <w:rFonts w:ascii="Arial" w:hAnsi="Arial" w:cs="Arial"/>
                <w:sz w:val="16"/>
                <w:szCs w:val="16"/>
              </w:rPr>
              <w:t>0 – 82.6</w:t>
            </w:r>
          </w:p>
        </w:tc>
      </w:tr>
      <w:tr w:rsidR="00A8443D" w:rsidRPr="0060459D" w14:paraId="01BC6FA2" w14:textId="77777777" w:rsidTr="00653E3B">
        <w:tc>
          <w:tcPr>
            <w:tcW w:w="2161" w:type="dxa"/>
            <w:tcBorders>
              <w:bottom w:val="double" w:sz="4" w:space="0" w:color="auto"/>
            </w:tcBorders>
          </w:tcPr>
          <w:p w14:paraId="221E34AB" w14:textId="2465EB30" w:rsidR="00A8443D" w:rsidRPr="0060459D" w:rsidRDefault="00A8443D" w:rsidP="00653E3B">
            <w:pPr>
              <w:spacing w:line="300" w:lineRule="atLeast"/>
              <w:jc w:val="both"/>
              <w:rPr>
                <w:rFonts w:ascii="Arial" w:hAnsi="Arial" w:cs="Arial"/>
                <w:sz w:val="16"/>
                <w:szCs w:val="16"/>
              </w:rPr>
            </w:pPr>
            <w:r w:rsidRPr="0060459D">
              <w:rPr>
                <w:rFonts w:ascii="Arial" w:hAnsi="Arial" w:cs="Arial"/>
                <w:sz w:val="16"/>
                <w:szCs w:val="16"/>
              </w:rPr>
              <w:t>Zinc air</w:t>
            </w:r>
            <w:r>
              <w:rPr>
                <w:rFonts w:ascii="Arial" w:hAnsi="Arial" w:cs="Arial"/>
                <w:sz w:val="16"/>
                <w:szCs w:val="16"/>
              </w:rPr>
              <w:t xml:space="preserve"> button, 201</w:t>
            </w:r>
            <w:r w:rsidR="009C6631">
              <w:rPr>
                <w:rFonts w:ascii="Arial" w:hAnsi="Arial" w:cs="Arial"/>
                <w:sz w:val="16"/>
                <w:szCs w:val="16"/>
              </w:rPr>
              <w:t>6</w:t>
            </w:r>
          </w:p>
        </w:tc>
        <w:tc>
          <w:tcPr>
            <w:tcW w:w="969" w:type="dxa"/>
            <w:tcBorders>
              <w:bottom w:val="double" w:sz="4" w:space="0" w:color="auto"/>
            </w:tcBorders>
            <w:vAlign w:val="center"/>
          </w:tcPr>
          <w:p w14:paraId="7BD74A7A" w14:textId="77777777" w:rsidR="00A8443D" w:rsidRPr="0060459D" w:rsidRDefault="00A8443D" w:rsidP="00653E3B">
            <w:pPr>
              <w:spacing w:line="300" w:lineRule="atLeast"/>
              <w:jc w:val="center"/>
              <w:rPr>
                <w:rFonts w:ascii="Arial" w:hAnsi="Arial" w:cs="Arial"/>
                <w:sz w:val="16"/>
                <w:szCs w:val="16"/>
              </w:rPr>
            </w:pPr>
            <w:r>
              <w:rPr>
                <w:rFonts w:ascii="Arial" w:hAnsi="Arial" w:cs="Arial"/>
                <w:sz w:val="16"/>
                <w:szCs w:val="16"/>
              </w:rPr>
              <w:t>all</w:t>
            </w:r>
          </w:p>
        </w:tc>
        <w:tc>
          <w:tcPr>
            <w:tcW w:w="1197" w:type="dxa"/>
            <w:tcBorders>
              <w:bottom w:val="double" w:sz="4" w:space="0" w:color="auto"/>
            </w:tcBorders>
            <w:vAlign w:val="center"/>
          </w:tcPr>
          <w:p w14:paraId="0D5119AB" w14:textId="0F587C11" w:rsidR="00A8443D" w:rsidRPr="0060459D" w:rsidRDefault="009C6631" w:rsidP="00653E3B">
            <w:pPr>
              <w:spacing w:line="300" w:lineRule="atLeast"/>
              <w:jc w:val="center"/>
              <w:rPr>
                <w:rFonts w:ascii="Arial" w:hAnsi="Arial" w:cs="Arial"/>
                <w:sz w:val="16"/>
                <w:szCs w:val="16"/>
              </w:rPr>
            </w:pPr>
            <w:r>
              <w:rPr>
                <w:rFonts w:ascii="Arial" w:hAnsi="Arial" w:cs="Arial"/>
                <w:sz w:val="16"/>
                <w:szCs w:val="16"/>
              </w:rPr>
              <w:t>3</w:t>
            </w:r>
          </w:p>
        </w:tc>
        <w:tc>
          <w:tcPr>
            <w:tcW w:w="1254" w:type="dxa"/>
            <w:tcBorders>
              <w:bottom w:val="double" w:sz="4" w:space="0" w:color="auto"/>
            </w:tcBorders>
            <w:vAlign w:val="center"/>
          </w:tcPr>
          <w:p w14:paraId="7B526599" w14:textId="1E4D6D47" w:rsidR="00A8443D" w:rsidRPr="0060459D" w:rsidRDefault="009C6631" w:rsidP="00653E3B">
            <w:pPr>
              <w:spacing w:line="300" w:lineRule="atLeast"/>
              <w:jc w:val="center"/>
              <w:rPr>
                <w:rFonts w:ascii="Arial" w:hAnsi="Arial" w:cs="Arial"/>
                <w:sz w:val="16"/>
                <w:szCs w:val="16"/>
              </w:rPr>
            </w:pPr>
            <w:r>
              <w:rPr>
                <w:rFonts w:ascii="Arial" w:hAnsi="Arial" w:cs="Arial"/>
                <w:sz w:val="16"/>
                <w:szCs w:val="16"/>
              </w:rPr>
              <w:t>3,748,150</w:t>
            </w:r>
          </w:p>
        </w:tc>
        <w:tc>
          <w:tcPr>
            <w:tcW w:w="1043" w:type="dxa"/>
            <w:tcBorders>
              <w:bottom w:val="double" w:sz="4" w:space="0" w:color="auto"/>
            </w:tcBorders>
            <w:vAlign w:val="center"/>
          </w:tcPr>
          <w:p w14:paraId="23108C6E" w14:textId="77777777" w:rsidR="00A8443D" w:rsidRPr="0060459D" w:rsidRDefault="00A8443D" w:rsidP="00653E3B">
            <w:pPr>
              <w:spacing w:line="300" w:lineRule="atLeast"/>
              <w:jc w:val="center"/>
              <w:rPr>
                <w:rFonts w:ascii="Arial" w:hAnsi="Arial" w:cs="Arial"/>
                <w:sz w:val="16"/>
                <w:szCs w:val="16"/>
              </w:rPr>
            </w:pPr>
            <w:r>
              <w:rPr>
                <w:rFonts w:ascii="Arial" w:hAnsi="Arial" w:cs="Arial"/>
                <w:sz w:val="16"/>
                <w:szCs w:val="16"/>
              </w:rPr>
              <w:t>1</w:t>
            </w:r>
          </w:p>
        </w:tc>
        <w:tc>
          <w:tcPr>
            <w:tcW w:w="1224" w:type="dxa"/>
            <w:tcBorders>
              <w:bottom w:val="double" w:sz="4" w:space="0" w:color="auto"/>
            </w:tcBorders>
            <w:vAlign w:val="center"/>
          </w:tcPr>
          <w:p w14:paraId="4CE81687" w14:textId="3CFA6A93" w:rsidR="00A8443D" w:rsidRPr="0060459D" w:rsidRDefault="009C6631" w:rsidP="00653E3B">
            <w:pPr>
              <w:spacing w:line="300" w:lineRule="atLeast"/>
              <w:jc w:val="center"/>
              <w:rPr>
                <w:rFonts w:ascii="Arial" w:hAnsi="Arial" w:cs="Arial"/>
                <w:sz w:val="16"/>
                <w:szCs w:val="16"/>
              </w:rPr>
            </w:pPr>
            <w:r>
              <w:rPr>
                <w:rFonts w:ascii="Arial" w:hAnsi="Arial" w:cs="Arial"/>
                <w:sz w:val="16"/>
                <w:szCs w:val="16"/>
              </w:rPr>
              <w:t>3,748</w:t>
            </w:r>
          </w:p>
        </w:tc>
        <w:tc>
          <w:tcPr>
            <w:tcW w:w="1213" w:type="dxa"/>
            <w:tcBorders>
              <w:bottom w:val="double" w:sz="4" w:space="0" w:color="auto"/>
            </w:tcBorders>
            <w:vAlign w:val="center"/>
          </w:tcPr>
          <w:p w14:paraId="7EB50637" w14:textId="18469276" w:rsidR="00A8443D" w:rsidRPr="0060459D" w:rsidRDefault="009C6631" w:rsidP="00653E3B">
            <w:pPr>
              <w:spacing w:line="300" w:lineRule="atLeast"/>
              <w:jc w:val="center"/>
              <w:rPr>
                <w:rFonts w:ascii="Arial" w:hAnsi="Arial" w:cs="Arial"/>
                <w:sz w:val="16"/>
                <w:szCs w:val="16"/>
              </w:rPr>
            </w:pPr>
            <w:r>
              <w:rPr>
                <w:rFonts w:ascii="Arial" w:hAnsi="Arial" w:cs="Arial"/>
                <w:sz w:val="16"/>
                <w:szCs w:val="16"/>
              </w:rPr>
              <w:t>11.2</w:t>
            </w:r>
          </w:p>
        </w:tc>
      </w:tr>
      <w:tr w:rsidR="00A8443D" w:rsidRPr="0060459D" w14:paraId="3154B693" w14:textId="77777777" w:rsidTr="00A8443D">
        <w:tc>
          <w:tcPr>
            <w:tcW w:w="2161" w:type="dxa"/>
            <w:tcBorders>
              <w:bottom w:val="double" w:sz="4" w:space="0" w:color="auto"/>
            </w:tcBorders>
          </w:tcPr>
          <w:p w14:paraId="5201D9F3" w14:textId="79DE898E" w:rsidR="00A8443D" w:rsidRPr="0060459D" w:rsidRDefault="00A8443D" w:rsidP="00653E3B">
            <w:pPr>
              <w:spacing w:line="300" w:lineRule="atLeast"/>
              <w:jc w:val="both"/>
              <w:rPr>
                <w:rFonts w:ascii="Arial" w:hAnsi="Arial" w:cs="Arial"/>
                <w:sz w:val="16"/>
                <w:szCs w:val="16"/>
              </w:rPr>
            </w:pPr>
            <w:r w:rsidRPr="0060459D">
              <w:rPr>
                <w:rFonts w:ascii="Arial" w:hAnsi="Arial" w:cs="Arial"/>
                <w:sz w:val="16"/>
                <w:szCs w:val="16"/>
              </w:rPr>
              <w:t>Alkaline</w:t>
            </w:r>
            <w:r>
              <w:rPr>
                <w:rFonts w:ascii="Arial" w:hAnsi="Arial" w:cs="Arial"/>
                <w:sz w:val="16"/>
                <w:szCs w:val="16"/>
              </w:rPr>
              <w:t xml:space="preserve"> button, 2016</w:t>
            </w:r>
            <w:r w:rsidR="00686908" w:rsidRPr="00686908">
              <w:rPr>
                <w:rFonts w:ascii="Arial" w:hAnsi="Arial" w:cs="Arial"/>
                <w:sz w:val="16"/>
                <w:szCs w:val="16"/>
                <w:vertAlign w:val="superscript"/>
              </w:rPr>
              <w:t>a</w:t>
            </w:r>
          </w:p>
        </w:tc>
        <w:tc>
          <w:tcPr>
            <w:tcW w:w="969" w:type="dxa"/>
            <w:tcBorders>
              <w:bottom w:val="double" w:sz="4" w:space="0" w:color="auto"/>
            </w:tcBorders>
            <w:vAlign w:val="center"/>
          </w:tcPr>
          <w:p w14:paraId="2C131E10" w14:textId="77777777" w:rsidR="00A8443D" w:rsidRPr="0060459D" w:rsidRDefault="00A8443D" w:rsidP="00653E3B">
            <w:pPr>
              <w:spacing w:line="300" w:lineRule="atLeast"/>
              <w:jc w:val="center"/>
              <w:rPr>
                <w:rFonts w:ascii="Arial" w:hAnsi="Arial" w:cs="Arial"/>
                <w:sz w:val="16"/>
                <w:szCs w:val="16"/>
              </w:rPr>
            </w:pPr>
            <w:r>
              <w:rPr>
                <w:rFonts w:ascii="Arial" w:hAnsi="Arial" w:cs="Arial"/>
                <w:sz w:val="16"/>
                <w:szCs w:val="16"/>
              </w:rPr>
              <w:t>all</w:t>
            </w:r>
          </w:p>
        </w:tc>
        <w:tc>
          <w:tcPr>
            <w:tcW w:w="1197" w:type="dxa"/>
            <w:tcBorders>
              <w:bottom w:val="double" w:sz="4" w:space="0" w:color="auto"/>
            </w:tcBorders>
            <w:vAlign w:val="center"/>
          </w:tcPr>
          <w:p w14:paraId="74751D08" w14:textId="77777777" w:rsidR="00A8443D" w:rsidRPr="0060459D" w:rsidRDefault="00A8443D" w:rsidP="00653E3B">
            <w:pPr>
              <w:spacing w:line="300" w:lineRule="atLeast"/>
              <w:jc w:val="center"/>
              <w:rPr>
                <w:rFonts w:ascii="Arial" w:hAnsi="Arial" w:cs="Arial"/>
                <w:sz w:val="16"/>
                <w:szCs w:val="16"/>
              </w:rPr>
            </w:pPr>
            <w:r>
              <w:rPr>
                <w:rFonts w:ascii="Arial" w:hAnsi="Arial" w:cs="Arial"/>
                <w:sz w:val="16"/>
                <w:szCs w:val="16"/>
              </w:rPr>
              <w:t>5</w:t>
            </w:r>
          </w:p>
        </w:tc>
        <w:tc>
          <w:tcPr>
            <w:tcW w:w="1254" w:type="dxa"/>
            <w:tcBorders>
              <w:bottom w:val="double" w:sz="4" w:space="0" w:color="auto"/>
            </w:tcBorders>
            <w:vAlign w:val="center"/>
          </w:tcPr>
          <w:p w14:paraId="4BE7B836" w14:textId="076D71D7" w:rsidR="00A8443D" w:rsidRPr="0060459D" w:rsidRDefault="009C6631" w:rsidP="00653E3B">
            <w:pPr>
              <w:spacing w:line="300" w:lineRule="atLeast"/>
              <w:jc w:val="center"/>
              <w:rPr>
                <w:rFonts w:ascii="Arial" w:hAnsi="Arial" w:cs="Arial"/>
                <w:sz w:val="16"/>
                <w:szCs w:val="16"/>
              </w:rPr>
            </w:pPr>
            <w:r>
              <w:rPr>
                <w:rFonts w:ascii="Arial" w:hAnsi="Arial" w:cs="Arial"/>
                <w:sz w:val="16"/>
                <w:szCs w:val="16"/>
              </w:rPr>
              <w:t>6,828,996</w:t>
            </w:r>
          </w:p>
        </w:tc>
        <w:tc>
          <w:tcPr>
            <w:tcW w:w="1043" w:type="dxa"/>
            <w:tcBorders>
              <w:bottom w:val="double" w:sz="4" w:space="0" w:color="auto"/>
            </w:tcBorders>
            <w:vAlign w:val="center"/>
          </w:tcPr>
          <w:p w14:paraId="1392D6A6" w14:textId="77777777" w:rsidR="00A8443D" w:rsidRPr="0060459D" w:rsidRDefault="00A8443D" w:rsidP="00653E3B">
            <w:pPr>
              <w:spacing w:line="300" w:lineRule="atLeast"/>
              <w:jc w:val="center"/>
              <w:rPr>
                <w:rFonts w:ascii="Arial" w:hAnsi="Arial" w:cs="Arial"/>
                <w:sz w:val="16"/>
                <w:szCs w:val="16"/>
              </w:rPr>
            </w:pPr>
            <w:r w:rsidRPr="0060459D">
              <w:rPr>
                <w:rFonts w:ascii="Arial" w:hAnsi="Arial" w:cs="Arial"/>
                <w:sz w:val="16"/>
                <w:szCs w:val="16"/>
              </w:rPr>
              <w:t>1</w:t>
            </w:r>
          </w:p>
        </w:tc>
        <w:tc>
          <w:tcPr>
            <w:tcW w:w="1224" w:type="dxa"/>
            <w:tcBorders>
              <w:bottom w:val="double" w:sz="4" w:space="0" w:color="auto"/>
            </w:tcBorders>
            <w:vAlign w:val="center"/>
          </w:tcPr>
          <w:p w14:paraId="0341486B" w14:textId="36CC6826" w:rsidR="00A8443D" w:rsidRPr="0060459D" w:rsidRDefault="009C6631" w:rsidP="00653E3B">
            <w:pPr>
              <w:spacing w:line="300" w:lineRule="atLeast"/>
              <w:jc w:val="center"/>
              <w:rPr>
                <w:rFonts w:ascii="Arial" w:hAnsi="Arial" w:cs="Arial"/>
                <w:sz w:val="16"/>
                <w:szCs w:val="16"/>
              </w:rPr>
            </w:pPr>
            <w:r>
              <w:rPr>
                <w:rFonts w:ascii="Arial" w:hAnsi="Arial" w:cs="Arial"/>
                <w:sz w:val="16"/>
                <w:szCs w:val="16"/>
              </w:rPr>
              <w:t>6,829</w:t>
            </w:r>
          </w:p>
        </w:tc>
        <w:tc>
          <w:tcPr>
            <w:tcW w:w="1213" w:type="dxa"/>
            <w:tcBorders>
              <w:bottom w:val="double" w:sz="4" w:space="0" w:color="auto"/>
            </w:tcBorders>
            <w:vAlign w:val="center"/>
          </w:tcPr>
          <w:p w14:paraId="7A83E77E" w14:textId="2FCFC2D0" w:rsidR="00A8443D" w:rsidRPr="0060459D" w:rsidRDefault="009C6631" w:rsidP="00653E3B">
            <w:pPr>
              <w:spacing w:line="300" w:lineRule="atLeast"/>
              <w:jc w:val="center"/>
              <w:rPr>
                <w:rFonts w:ascii="Arial" w:hAnsi="Arial" w:cs="Arial"/>
                <w:sz w:val="16"/>
                <w:szCs w:val="16"/>
              </w:rPr>
            </w:pPr>
            <w:r>
              <w:rPr>
                <w:rFonts w:ascii="Arial" w:hAnsi="Arial" w:cs="Arial"/>
                <w:sz w:val="16"/>
                <w:szCs w:val="16"/>
              </w:rPr>
              <w:t>8.54</w:t>
            </w:r>
          </w:p>
        </w:tc>
      </w:tr>
      <w:tr w:rsidR="00A8443D" w:rsidRPr="0060459D" w14:paraId="72763C28" w14:textId="77777777" w:rsidTr="00A8443D">
        <w:tc>
          <w:tcPr>
            <w:tcW w:w="2161" w:type="dxa"/>
            <w:tcBorders>
              <w:top w:val="double" w:sz="4" w:space="0" w:color="auto"/>
            </w:tcBorders>
          </w:tcPr>
          <w:p w14:paraId="4B2C39DC" w14:textId="355068CF" w:rsidR="00A8443D" w:rsidRPr="0060459D" w:rsidRDefault="00A8443D" w:rsidP="00653E3B">
            <w:pPr>
              <w:spacing w:line="300" w:lineRule="atLeast"/>
              <w:jc w:val="both"/>
              <w:rPr>
                <w:rFonts w:ascii="Arial" w:hAnsi="Arial" w:cs="Arial"/>
                <w:sz w:val="16"/>
                <w:szCs w:val="16"/>
              </w:rPr>
            </w:pPr>
            <w:r>
              <w:rPr>
                <w:rFonts w:ascii="Arial" w:hAnsi="Arial" w:cs="Arial"/>
                <w:sz w:val="16"/>
                <w:szCs w:val="16"/>
              </w:rPr>
              <w:t>Alkaline MnO</w:t>
            </w:r>
            <w:r w:rsidRPr="00A8443D">
              <w:rPr>
                <w:rFonts w:ascii="Arial" w:hAnsi="Arial" w:cs="Arial"/>
                <w:sz w:val="16"/>
                <w:szCs w:val="16"/>
                <w:vertAlign w:val="subscript"/>
              </w:rPr>
              <w:t>2</w:t>
            </w:r>
            <w:r>
              <w:rPr>
                <w:rFonts w:ascii="Arial" w:hAnsi="Arial" w:cs="Arial"/>
                <w:sz w:val="16"/>
                <w:szCs w:val="16"/>
              </w:rPr>
              <w:t>, 2012</w:t>
            </w:r>
          </w:p>
        </w:tc>
        <w:tc>
          <w:tcPr>
            <w:tcW w:w="969" w:type="dxa"/>
            <w:tcBorders>
              <w:top w:val="double" w:sz="4" w:space="0" w:color="auto"/>
            </w:tcBorders>
            <w:vAlign w:val="center"/>
          </w:tcPr>
          <w:p w14:paraId="7AB48602" w14:textId="255A743B" w:rsidR="00A8443D" w:rsidRDefault="00A8443D" w:rsidP="00653E3B">
            <w:pPr>
              <w:spacing w:line="300" w:lineRule="atLeast"/>
              <w:jc w:val="center"/>
              <w:rPr>
                <w:rFonts w:ascii="Arial" w:hAnsi="Arial" w:cs="Arial"/>
                <w:sz w:val="16"/>
                <w:szCs w:val="16"/>
              </w:rPr>
            </w:pPr>
            <w:r>
              <w:rPr>
                <w:rFonts w:ascii="Arial" w:hAnsi="Arial" w:cs="Arial"/>
                <w:sz w:val="16"/>
                <w:szCs w:val="16"/>
              </w:rPr>
              <w:t>&lt;300</w:t>
            </w:r>
          </w:p>
        </w:tc>
        <w:tc>
          <w:tcPr>
            <w:tcW w:w="1197" w:type="dxa"/>
            <w:tcBorders>
              <w:top w:val="double" w:sz="4" w:space="0" w:color="auto"/>
            </w:tcBorders>
            <w:vAlign w:val="center"/>
          </w:tcPr>
          <w:p w14:paraId="7A85F9CD" w14:textId="69501567" w:rsidR="00A8443D" w:rsidRDefault="00A8443D" w:rsidP="00653E3B">
            <w:pPr>
              <w:spacing w:line="300" w:lineRule="atLeast"/>
              <w:jc w:val="center"/>
              <w:rPr>
                <w:rFonts w:ascii="Arial" w:hAnsi="Arial" w:cs="Arial"/>
                <w:sz w:val="16"/>
                <w:szCs w:val="16"/>
              </w:rPr>
            </w:pPr>
            <w:r>
              <w:rPr>
                <w:rFonts w:ascii="Arial" w:hAnsi="Arial" w:cs="Arial"/>
                <w:sz w:val="16"/>
                <w:szCs w:val="16"/>
              </w:rPr>
              <w:t>0 – 0.00006</w:t>
            </w:r>
            <w:r w:rsidR="00686908" w:rsidRPr="00686908">
              <w:rPr>
                <w:rFonts w:ascii="Arial" w:hAnsi="Arial" w:cs="Arial"/>
                <w:sz w:val="16"/>
                <w:szCs w:val="16"/>
                <w:vertAlign w:val="superscript"/>
              </w:rPr>
              <w:t>b</w:t>
            </w:r>
          </w:p>
        </w:tc>
        <w:tc>
          <w:tcPr>
            <w:tcW w:w="1254" w:type="dxa"/>
            <w:tcBorders>
              <w:top w:val="double" w:sz="4" w:space="0" w:color="auto"/>
            </w:tcBorders>
            <w:vAlign w:val="center"/>
          </w:tcPr>
          <w:p w14:paraId="00CD3014" w14:textId="0FB3D30A" w:rsidR="00A8443D" w:rsidRDefault="00A8443D" w:rsidP="00653E3B">
            <w:pPr>
              <w:spacing w:line="300" w:lineRule="atLeast"/>
              <w:jc w:val="center"/>
              <w:rPr>
                <w:rFonts w:ascii="Arial" w:hAnsi="Arial" w:cs="Arial"/>
                <w:sz w:val="16"/>
                <w:szCs w:val="16"/>
              </w:rPr>
            </w:pPr>
            <w:r>
              <w:rPr>
                <w:rFonts w:ascii="Arial" w:hAnsi="Arial" w:cs="Arial"/>
                <w:sz w:val="16"/>
                <w:szCs w:val="16"/>
              </w:rPr>
              <w:t>36,705,233</w:t>
            </w:r>
          </w:p>
        </w:tc>
        <w:tc>
          <w:tcPr>
            <w:tcW w:w="1043" w:type="dxa"/>
            <w:tcBorders>
              <w:top w:val="double" w:sz="4" w:space="0" w:color="auto"/>
            </w:tcBorders>
            <w:vAlign w:val="center"/>
          </w:tcPr>
          <w:p w14:paraId="5ABA1374" w14:textId="00B3D252" w:rsidR="00A8443D" w:rsidRPr="0060459D" w:rsidRDefault="00A8443D" w:rsidP="00653E3B">
            <w:pPr>
              <w:spacing w:line="300" w:lineRule="atLeast"/>
              <w:jc w:val="center"/>
              <w:rPr>
                <w:rFonts w:ascii="Arial" w:hAnsi="Arial" w:cs="Arial"/>
                <w:sz w:val="16"/>
                <w:szCs w:val="16"/>
              </w:rPr>
            </w:pPr>
            <w:r>
              <w:rPr>
                <w:rFonts w:ascii="Arial" w:hAnsi="Arial" w:cs="Arial"/>
                <w:sz w:val="16"/>
                <w:szCs w:val="16"/>
              </w:rPr>
              <w:t>12</w:t>
            </w:r>
          </w:p>
        </w:tc>
        <w:tc>
          <w:tcPr>
            <w:tcW w:w="1224" w:type="dxa"/>
            <w:tcBorders>
              <w:top w:val="double" w:sz="4" w:space="0" w:color="auto"/>
            </w:tcBorders>
            <w:vAlign w:val="center"/>
          </w:tcPr>
          <w:p w14:paraId="2F893F15" w14:textId="1E8A20D9" w:rsidR="00A8443D" w:rsidRDefault="00A8443D" w:rsidP="00653E3B">
            <w:pPr>
              <w:spacing w:line="300" w:lineRule="atLeast"/>
              <w:jc w:val="center"/>
              <w:rPr>
                <w:rFonts w:ascii="Arial" w:hAnsi="Arial" w:cs="Arial"/>
                <w:sz w:val="16"/>
                <w:szCs w:val="16"/>
              </w:rPr>
            </w:pPr>
            <w:r>
              <w:rPr>
                <w:rFonts w:ascii="Arial" w:hAnsi="Arial" w:cs="Arial"/>
                <w:sz w:val="16"/>
                <w:szCs w:val="16"/>
              </w:rPr>
              <w:t>440,462</w:t>
            </w:r>
          </w:p>
        </w:tc>
        <w:tc>
          <w:tcPr>
            <w:tcW w:w="1213" w:type="dxa"/>
            <w:tcBorders>
              <w:top w:val="double" w:sz="4" w:space="0" w:color="auto"/>
            </w:tcBorders>
            <w:vAlign w:val="center"/>
          </w:tcPr>
          <w:p w14:paraId="3F45C3D3" w14:textId="3D2084CF" w:rsidR="00A8443D" w:rsidRDefault="00A8443D" w:rsidP="00653E3B">
            <w:pPr>
              <w:spacing w:line="300" w:lineRule="atLeast"/>
              <w:jc w:val="center"/>
              <w:rPr>
                <w:rFonts w:ascii="Arial" w:hAnsi="Arial" w:cs="Arial"/>
                <w:sz w:val="16"/>
                <w:szCs w:val="16"/>
              </w:rPr>
            </w:pPr>
            <w:r>
              <w:rPr>
                <w:rFonts w:ascii="Arial" w:hAnsi="Arial" w:cs="Arial"/>
                <w:sz w:val="16"/>
                <w:szCs w:val="16"/>
              </w:rPr>
              <w:t>0 – 0.026</w:t>
            </w:r>
          </w:p>
        </w:tc>
      </w:tr>
      <w:tr w:rsidR="00A8443D" w:rsidRPr="0060459D" w14:paraId="60EB2021" w14:textId="77777777" w:rsidTr="00A8443D">
        <w:tc>
          <w:tcPr>
            <w:tcW w:w="2161" w:type="dxa"/>
            <w:tcBorders>
              <w:bottom w:val="single" w:sz="4" w:space="0" w:color="auto"/>
            </w:tcBorders>
          </w:tcPr>
          <w:p w14:paraId="14B37AD4" w14:textId="596E0902" w:rsidR="00A8443D" w:rsidRPr="0060459D" w:rsidRDefault="00A8443D" w:rsidP="00653E3B">
            <w:pPr>
              <w:spacing w:line="300" w:lineRule="atLeast"/>
              <w:jc w:val="both"/>
              <w:rPr>
                <w:rFonts w:ascii="Arial" w:hAnsi="Arial" w:cs="Arial"/>
                <w:sz w:val="16"/>
                <w:szCs w:val="16"/>
              </w:rPr>
            </w:pPr>
            <w:r>
              <w:rPr>
                <w:rFonts w:ascii="Arial" w:hAnsi="Arial" w:cs="Arial"/>
                <w:sz w:val="16"/>
                <w:szCs w:val="16"/>
              </w:rPr>
              <w:t>Alkaline MnO</w:t>
            </w:r>
            <w:r w:rsidRPr="00A8443D">
              <w:rPr>
                <w:rFonts w:ascii="Arial" w:hAnsi="Arial" w:cs="Arial"/>
                <w:sz w:val="16"/>
                <w:szCs w:val="16"/>
                <w:vertAlign w:val="subscript"/>
              </w:rPr>
              <w:t>2</w:t>
            </w:r>
            <w:r>
              <w:rPr>
                <w:rFonts w:ascii="Arial" w:hAnsi="Arial" w:cs="Arial"/>
                <w:sz w:val="16"/>
                <w:szCs w:val="16"/>
              </w:rPr>
              <w:t>, 2016</w:t>
            </w:r>
          </w:p>
        </w:tc>
        <w:tc>
          <w:tcPr>
            <w:tcW w:w="969" w:type="dxa"/>
            <w:tcBorders>
              <w:bottom w:val="single" w:sz="4" w:space="0" w:color="auto"/>
            </w:tcBorders>
            <w:vAlign w:val="center"/>
          </w:tcPr>
          <w:p w14:paraId="447BE28B" w14:textId="28BEC0E0" w:rsidR="00A8443D" w:rsidRDefault="00A8443D" w:rsidP="00653E3B">
            <w:pPr>
              <w:spacing w:line="300" w:lineRule="atLeast"/>
              <w:jc w:val="center"/>
              <w:rPr>
                <w:rFonts w:ascii="Arial" w:hAnsi="Arial" w:cs="Arial"/>
                <w:sz w:val="16"/>
                <w:szCs w:val="16"/>
              </w:rPr>
            </w:pPr>
            <w:r>
              <w:rPr>
                <w:rFonts w:ascii="Arial" w:hAnsi="Arial" w:cs="Arial"/>
                <w:sz w:val="16"/>
                <w:szCs w:val="16"/>
              </w:rPr>
              <w:t>&lt;300</w:t>
            </w:r>
          </w:p>
        </w:tc>
        <w:tc>
          <w:tcPr>
            <w:tcW w:w="1197" w:type="dxa"/>
            <w:tcBorders>
              <w:bottom w:val="single" w:sz="4" w:space="0" w:color="auto"/>
            </w:tcBorders>
            <w:vAlign w:val="center"/>
          </w:tcPr>
          <w:p w14:paraId="5FAECBEE" w14:textId="26EECC1D" w:rsidR="00A8443D" w:rsidRDefault="009C6631" w:rsidP="00653E3B">
            <w:pPr>
              <w:spacing w:line="300" w:lineRule="atLeast"/>
              <w:jc w:val="center"/>
              <w:rPr>
                <w:rFonts w:ascii="Arial" w:hAnsi="Arial" w:cs="Arial"/>
                <w:sz w:val="16"/>
                <w:szCs w:val="16"/>
              </w:rPr>
            </w:pPr>
            <w:r>
              <w:rPr>
                <w:rFonts w:ascii="Arial" w:hAnsi="Arial" w:cs="Arial"/>
                <w:sz w:val="16"/>
                <w:szCs w:val="16"/>
              </w:rPr>
              <w:t>0.25</w:t>
            </w:r>
          </w:p>
        </w:tc>
        <w:tc>
          <w:tcPr>
            <w:tcW w:w="1254" w:type="dxa"/>
            <w:tcBorders>
              <w:bottom w:val="single" w:sz="4" w:space="0" w:color="auto"/>
            </w:tcBorders>
            <w:vAlign w:val="center"/>
          </w:tcPr>
          <w:p w14:paraId="4FD256B5" w14:textId="32193067" w:rsidR="00A8443D" w:rsidRDefault="009C6631" w:rsidP="00653E3B">
            <w:pPr>
              <w:spacing w:line="300" w:lineRule="atLeast"/>
              <w:jc w:val="center"/>
              <w:rPr>
                <w:rFonts w:ascii="Arial" w:hAnsi="Arial" w:cs="Arial"/>
                <w:sz w:val="16"/>
                <w:szCs w:val="16"/>
              </w:rPr>
            </w:pPr>
            <w:r>
              <w:rPr>
                <w:rFonts w:ascii="Arial" w:hAnsi="Arial" w:cs="Arial"/>
                <w:sz w:val="16"/>
                <w:szCs w:val="16"/>
              </w:rPr>
              <w:t>31,167,321</w:t>
            </w:r>
          </w:p>
        </w:tc>
        <w:tc>
          <w:tcPr>
            <w:tcW w:w="1043" w:type="dxa"/>
            <w:tcBorders>
              <w:bottom w:val="single" w:sz="4" w:space="0" w:color="auto"/>
            </w:tcBorders>
            <w:vAlign w:val="center"/>
          </w:tcPr>
          <w:p w14:paraId="53553126" w14:textId="0D98434C" w:rsidR="00A8443D" w:rsidRPr="0060459D" w:rsidRDefault="00A8443D" w:rsidP="00653E3B">
            <w:pPr>
              <w:spacing w:line="300" w:lineRule="atLeast"/>
              <w:jc w:val="center"/>
              <w:rPr>
                <w:rFonts w:ascii="Arial" w:hAnsi="Arial" w:cs="Arial"/>
                <w:sz w:val="16"/>
                <w:szCs w:val="16"/>
              </w:rPr>
            </w:pPr>
            <w:r>
              <w:rPr>
                <w:rFonts w:ascii="Arial" w:hAnsi="Arial" w:cs="Arial"/>
                <w:sz w:val="16"/>
                <w:szCs w:val="16"/>
              </w:rPr>
              <w:t>12</w:t>
            </w:r>
          </w:p>
        </w:tc>
        <w:tc>
          <w:tcPr>
            <w:tcW w:w="1224" w:type="dxa"/>
            <w:tcBorders>
              <w:bottom w:val="single" w:sz="4" w:space="0" w:color="auto"/>
            </w:tcBorders>
            <w:vAlign w:val="center"/>
          </w:tcPr>
          <w:p w14:paraId="064B5F04" w14:textId="0B62BE48" w:rsidR="00A8443D" w:rsidRDefault="009C6631" w:rsidP="00653E3B">
            <w:pPr>
              <w:spacing w:line="300" w:lineRule="atLeast"/>
              <w:jc w:val="center"/>
              <w:rPr>
                <w:rFonts w:ascii="Arial" w:hAnsi="Arial" w:cs="Arial"/>
                <w:sz w:val="16"/>
                <w:szCs w:val="16"/>
              </w:rPr>
            </w:pPr>
            <w:r>
              <w:rPr>
                <w:rFonts w:ascii="Arial" w:hAnsi="Arial" w:cs="Arial"/>
                <w:sz w:val="16"/>
                <w:szCs w:val="16"/>
              </w:rPr>
              <w:t>374,004</w:t>
            </w:r>
          </w:p>
        </w:tc>
        <w:tc>
          <w:tcPr>
            <w:tcW w:w="1213" w:type="dxa"/>
            <w:tcBorders>
              <w:bottom w:val="single" w:sz="4" w:space="0" w:color="auto"/>
            </w:tcBorders>
            <w:vAlign w:val="center"/>
          </w:tcPr>
          <w:p w14:paraId="1488D8A0" w14:textId="07C9725F" w:rsidR="00A8443D" w:rsidRDefault="009C6631" w:rsidP="00653E3B">
            <w:pPr>
              <w:spacing w:line="300" w:lineRule="atLeast"/>
              <w:jc w:val="center"/>
              <w:rPr>
                <w:rFonts w:ascii="Arial" w:hAnsi="Arial" w:cs="Arial"/>
                <w:sz w:val="16"/>
                <w:szCs w:val="16"/>
              </w:rPr>
            </w:pPr>
            <w:r>
              <w:rPr>
                <w:rFonts w:ascii="Arial" w:hAnsi="Arial" w:cs="Arial"/>
                <w:sz w:val="16"/>
                <w:szCs w:val="16"/>
              </w:rPr>
              <w:t>23.4</w:t>
            </w:r>
          </w:p>
        </w:tc>
      </w:tr>
    </w:tbl>
    <w:p w14:paraId="51E86B6A" w14:textId="490E26A5" w:rsidR="00367AF8" w:rsidRDefault="00686908" w:rsidP="00686908">
      <w:pPr>
        <w:tabs>
          <w:tab w:val="left" w:pos="2760"/>
        </w:tabs>
        <w:spacing w:after="0" w:line="300" w:lineRule="atLeast"/>
        <w:jc w:val="both"/>
        <w:rPr>
          <w:rFonts w:ascii="Arial" w:hAnsi="Arial" w:cs="Arial"/>
          <w:sz w:val="16"/>
          <w:szCs w:val="18"/>
        </w:rPr>
      </w:pPr>
      <w:bookmarkStart w:id="103" w:name="_Ref358740231"/>
      <w:r>
        <w:rPr>
          <w:rFonts w:ascii="Arial" w:hAnsi="Arial" w:cs="Arial"/>
          <w:sz w:val="16"/>
          <w:szCs w:val="18"/>
        </w:rPr>
        <w:t>Footnotes:</w:t>
      </w:r>
    </w:p>
    <w:p w14:paraId="3EED6574" w14:textId="1C7EBE13" w:rsidR="00686908" w:rsidRDefault="00686908" w:rsidP="00686908">
      <w:pPr>
        <w:tabs>
          <w:tab w:val="left" w:pos="456"/>
        </w:tabs>
        <w:spacing w:after="0" w:line="300" w:lineRule="atLeast"/>
        <w:jc w:val="both"/>
        <w:rPr>
          <w:rFonts w:ascii="Arial" w:hAnsi="Arial" w:cs="Arial"/>
          <w:sz w:val="16"/>
          <w:szCs w:val="18"/>
        </w:rPr>
      </w:pPr>
      <w:r>
        <w:rPr>
          <w:rFonts w:ascii="Arial" w:hAnsi="Arial" w:cs="Arial"/>
          <w:sz w:val="16"/>
          <w:szCs w:val="18"/>
        </w:rPr>
        <w:tab/>
      </w:r>
      <w:proofErr w:type="spellStart"/>
      <w:proofErr w:type="gramStart"/>
      <w:r>
        <w:rPr>
          <w:rFonts w:ascii="Arial" w:hAnsi="Arial" w:cs="Arial"/>
          <w:sz w:val="16"/>
          <w:szCs w:val="18"/>
        </w:rPr>
        <w:t>a</w:t>
      </w:r>
      <w:proofErr w:type="spellEnd"/>
      <w:proofErr w:type="gramEnd"/>
      <w:r>
        <w:rPr>
          <w:rFonts w:ascii="Arial" w:hAnsi="Arial" w:cs="Arial"/>
          <w:sz w:val="16"/>
          <w:szCs w:val="18"/>
        </w:rPr>
        <w:tab/>
        <w:t>the import data provided in 2012 did not provide separate data for alkaline button batteries</w:t>
      </w:r>
    </w:p>
    <w:p w14:paraId="454E94ED" w14:textId="169D6494" w:rsidR="00686908" w:rsidRPr="00306F85" w:rsidRDefault="00686908" w:rsidP="00686908">
      <w:pPr>
        <w:tabs>
          <w:tab w:val="left" w:pos="456"/>
        </w:tabs>
        <w:spacing w:after="0" w:line="300" w:lineRule="atLeast"/>
        <w:jc w:val="both"/>
        <w:rPr>
          <w:rFonts w:ascii="Arial" w:hAnsi="Arial" w:cs="Arial"/>
          <w:sz w:val="16"/>
          <w:szCs w:val="18"/>
        </w:rPr>
      </w:pPr>
      <w:r>
        <w:rPr>
          <w:rFonts w:ascii="Arial" w:hAnsi="Arial" w:cs="Arial"/>
          <w:sz w:val="16"/>
          <w:szCs w:val="18"/>
        </w:rPr>
        <w:tab/>
      </w:r>
      <w:proofErr w:type="gramStart"/>
      <w:r>
        <w:rPr>
          <w:rFonts w:ascii="Arial" w:hAnsi="Arial" w:cs="Arial"/>
          <w:sz w:val="16"/>
          <w:szCs w:val="18"/>
        </w:rPr>
        <w:t>b</w:t>
      </w:r>
      <w:proofErr w:type="gramEnd"/>
      <w:r>
        <w:rPr>
          <w:rFonts w:ascii="Arial" w:hAnsi="Arial" w:cs="Arial"/>
          <w:sz w:val="16"/>
          <w:szCs w:val="18"/>
        </w:rPr>
        <w:tab/>
        <w:t>the mercury content factor used in 2012 was not correct.</w:t>
      </w:r>
    </w:p>
    <w:p w14:paraId="680D5D4F" w14:textId="77777777" w:rsidR="00DA79A8" w:rsidRPr="0060459D" w:rsidRDefault="00DA79A8" w:rsidP="00AB1819">
      <w:pPr>
        <w:pStyle w:val="Caption"/>
        <w:spacing w:before="240"/>
        <w:rPr>
          <w:rFonts w:eastAsia="Calibri"/>
          <w:szCs w:val="22"/>
        </w:rPr>
      </w:pPr>
      <w:bookmarkStart w:id="104" w:name="_Toc484949662"/>
      <w:r w:rsidRPr="0060459D">
        <w:rPr>
          <w:rFonts w:ascii="Arial" w:hAnsi="Arial" w:cs="Arial"/>
        </w:rPr>
        <w:t xml:space="preserve">Table </w:t>
      </w:r>
      <w:r w:rsidR="00390C9F" w:rsidRPr="0060459D">
        <w:rPr>
          <w:rFonts w:ascii="Arial" w:hAnsi="Arial" w:cs="Arial"/>
        </w:rPr>
        <w:fldChar w:fldCharType="begin"/>
      </w:r>
      <w:r w:rsidR="00390C9F" w:rsidRPr="0060459D">
        <w:rPr>
          <w:rFonts w:ascii="Arial" w:hAnsi="Arial" w:cs="Arial"/>
        </w:rPr>
        <w:instrText xml:space="preserve"> STYLEREF 1 \s </w:instrText>
      </w:r>
      <w:r w:rsidR="00390C9F" w:rsidRPr="0060459D">
        <w:rPr>
          <w:rFonts w:ascii="Arial" w:hAnsi="Arial" w:cs="Arial"/>
        </w:rPr>
        <w:fldChar w:fldCharType="separate"/>
      </w:r>
      <w:r w:rsidR="00423FC9">
        <w:rPr>
          <w:rFonts w:ascii="Arial" w:hAnsi="Arial" w:cs="Arial"/>
          <w:noProof/>
        </w:rPr>
        <w:t>7</w:t>
      </w:r>
      <w:r w:rsidR="00390C9F" w:rsidRPr="0060459D">
        <w:rPr>
          <w:rFonts w:ascii="Arial" w:hAnsi="Arial" w:cs="Arial"/>
        </w:rPr>
        <w:fldChar w:fldCharType="end"/>
      </w:r>
      <w:r w:rsidR="00390C9F" w:rsidRPr="0060459D">
        <w:rPr>
          <w:rFonts w:ascii="Arial" w:hAnsi="Arial" w:cs="Arial"/>
        </w:rPr>
        <w:noBreakHyphen/>
      </w:r>
      <w:r w:rsidR="00390C9F" w:rsidRPr="0060459D">
        <w:rPr>
          <w:rFonts w:ascii="Arial" w:hAnsi="Arial" w:cs="Arial"/>
        </w:rPr>
        <w:fldChar w:fldCharType="begin"/>
      </w:r>
      <w:r w:rsidR="00390C9F" w:rsidRPr="0060459D">
        <w:rPr>
          <w:rFonts w:ascii="Arial" w:hAnsi="Arial" w:cs="Arial"/>
        </w:rPr>
        <w:instrText xml:space="preserve"> SEQ Table \* ARABIC \s 1 </w:instrText>
      </w:r>
      <w:r w:rsidR="00390C9F" w:rsidRPr="0060459D">
        <w:rPr>
          <w:rFonts w:ascii="Arial" w:hAnsi="Arial" w:cs="Arial"/>
        </w:rPr>
        <w:fldChar w:fldCharType="separate"/>
      </w:r>
      <w:r w:rsidR="00423FC9">
        <w:rPr>
          <w:rFonts w:ascii="Arial" w:hAnsi="Arial" w:cs="Arial"/>
          <w:noProof/>
        </w:rPr>
        <w:t>7</w:t>
      </w:r>
      <w:r w:rsidR="00390C9F" w:rsidRPr="0060459D">
        <w:rPr>
          <w:rFonts w:ascii="Arial" w:hAnsi="Arial" w:cs="Arial"/>
        </w:rPr>
        <w:fldChar w:fldCharType="end"/>
      </w:r>
      <w:bookmarkEnd w:id="103"/>
      <w:r w:rsidRPr="0060459D">
        <w:rPr>
          <w:rFonts w:ascii="Arial" w:hAnsi="Arial" w:cs="Arial"/>
        </w:rPr>
        <w:t>:</w:t>
      </w:r>
      <w:r w:rsidRPr="0060459D">
        <w:t xml:space="preserve">  </w:t>
      </w:r>
      <w:r w:rsidRPr="0060459D">
        <w:rPr>
          <w:rFonts w:ascii="Arial" w:hAnsi="Arial" w:cs="Arial"/>
        </w:rPr>
        <w:t>Input and output estimates for batteries</w:t>
      </w:r>
      <w:bookmarkEnd w:id="104"/>
    </w:p>
    <w:tbl>
      <w:tblPr>
        <w:tblStyle w:val="TableGrid"/>
        <w:tblW w:w="0" w:type="auto"/>
        <w:tblLook w:val="04A0" w:firstRow="1" w:lastRow="0" w:firstColumn="1" w:lastColumn="0" w:noHBand="0" w:noVBand="1"/>
      </w:tblPr>
      <w:tblGrid>
        <w:gridCol w:w="2518"/>
        <w:gridCol w:w="1692"/>
        <w:gridCol w:w="1692"/>
        <w:gridCol w:w="1692"/>
        <w:gridCol w:w="1693"/>
      </w:tblGrid>
      <w:tr w:rsidR="00DA79A8" w:rsidRPr="0060459D" w14:paraId="23900291" w14:textId="77777777" w:rsidTr="00DA79A8">
        <w:tc>
          <w:tcPr>
            <w:tcW w:w="2518" w:type="dxa"/>
            <w:vMerge w:val="restart"/>
            <w:vAlign w:val="center"/>
          </w:tcPr>
          <w:p w14:paraId="63C1903D" w14:textId="77777777" w:rsidR="00DA79A8" w:rsidRPr="0060459D" w:rsidRDefault="00DA79A8" w:rsidP="00DA79A8">
            <w:pPr>
              <w:spacing w:line="300" w:lineRule="atLeast"/>
              <w:jc w:val="center"/>
              <w:rPr>
                <w:rFonts w:ascii="Arial" w:hAnsi="Arial" w:cs="Arial"/>
                <w:b/>
                <w:sz w:val="16"/>
                <w:szCs w:val="16"/>
              </w:rPr>
            </w:pPr>
            <w:r w:rsidRPr="0060459D">
              <w:rPr>
                <w:rFonts w:ascii="Arial" w:hAnsi="Arial" w:cs="Arial"/>
                <w:b/>
                <w:sz w:val="16"/>
                <w:szCs w:val="16"/>
              </w:rPr>
              <w:t>Source</w:t>
            </w:r>
          </w:p>
        </w:tc>
        <w:tc>
          <w:tcPr>
            <w:tcW w:w="1692" w:type="dxa"/>
            <w:vMerge w:val="restart"/>
            <w:vAlign w:val="center"/>
          </w:tcPr>
          <w:p w14:paraId="13C76D9F" w14:textId="77777777" w:rsidR="00DA79A8" w:rsidRPr="0060459D" w:rsidRDefault="00DA79A8" w:rsidP="00475B33">
            <w:pPr>
              <w:spacing w:line="300" w:lineRule="atLeast"/>
              <w:jc w:val="center"/>
              <w:rPr>
                <w:rFonts w:ascii="Arial" w:hAnsi="Arial" w:cs="Arial"/>
                <w:b/>
                <w:sz w:val="16"/>
                <w:szCs w:val="16"/>
              </w:rPr>
            </w:pPr>
            <w:r w:rsidRPr="0060459D">
              <w:rPr>
                <w:rFonts w:ascii="Arial" w:hAnsi="Arial" w:cs="Arial"/>
                <w:b/>
                <w:sz w:val="16"/>
                <w:szCs w:val="16"/>
              </w:rPr>
              <w:t xml:space="preserve">Activity Rate, </w:t>
            </w:r>
            <w:r w:rsidR="00475B33" w:rsidRPr="0060459D">
              <w:rPr>
                <w:rFonts w:ascii="Arial" w:hAnsi="Arial" w:cs="Arial"/>
                <w:b/>
                <w:sz w:val="16"/>
                <w:szCs w:val="16"/>
              </w:rPr>
              <w:t>units</w:t>
            </w:r>
            <w:r w:rsidRPr="0060459D">
              <w:rPr>
                <w:rFonts w:ascii="Arial" w:hAnsi="Arial" w:cs="Arial"/>
                <w:b/>
                <w:sz w:val="16"/>
                <w:szCs w:val="16"/>
              </w:rPr>
              <w:t>/</w:t>
            </w:r>
            <w:proofErr w:type="spellStart"/>
            <w:r w:rsidRPr="0060459D">
              <w:rPr>
                <w:rFonts w:ascii="Arial" w:hAnsi="Arial" w:cs="Arial"/>
                <w:b/>
                <w:sz w:val="16"/>
                <w:szCs w:val="16"/>
              </w:rPr>
              <w:t>yr</w:t>
            </w:r>
            <w:proofErr w:type="spellEnd"/>
          </w:p>
        </w:tc>
        <w:tc>
          <w:tcPr>
            <w:tcW w:w="1692" w:type="dxa"/>
            <w:vMerge w:val="restart"/>
            <w:vAlign w:val="center"/>
          </w:tcPr>
          <w:p w14:paraId="64C53118" w14:textId="77777777" w:rsidR="00DA79A8" w:rsidRPr="0060459D" w:rsidRDefault="00475B33" w:rsidP="00DA79A8">
            <w:pPr>
              <w:spacing w:line="300" w:lineRule="atLeast"/>
              <w:jc w:val="center"/>
              <w:rPr>
                <w:rFonts w:ascii="Arial" w:hAnsi="Arial" w:cs="Arial"/>
                <w:b/>
                <w:sz w:val="16"/>
                <w:szCs w:val="16"/>
              </w:rPr>
            </w:pPr>
            <w:r w:rsidRPr="0060459D">
              <w:rPr>
                <w:rFonts w:ascii="Arial" w:hAnsi="Arial" w:cs="Arial"/>
                <w:b/>
                <w:sz w:val="16"/>
                <w:szCs w:val="16"/>
              </w:rPr>
              <w:t xml:space="preserve">Mercury content, </w:t>
            </w:r>
            <w:r w:rsidR="00DA79A8" w:rsidRPr="0060459D">
              <w:rPr>
                <w:rFonts w:ascii="Arial" w:hAnsi="Arial" w:cs="Arial"/>
                <w:b/>
                <w:sz w:val="16"/>
                <w:szCs w:val="16"/>
              </w:rPr>
              <w:t>g/kg</w:t>
            </w:r>
          </w:p>
        </w:tc>
        <w:tc>
          <w:tcPr>
            <w:tcW w:w="1692" w:type="dxa"/>
            <w:vMerge w:val="restart"/>
            <w:vAlign w:val="center"/>
          </w:tcPr>
          <w:p w14:paraId="7BF958BB" w14:textId="77777777" w:rsidR="00DA79A8" w:rsidRPr="0060459D" w:rsidRDefault="00DA79A8" w:rsidP="00DA79A8">
            <w:pPr>
              <w:spacing w:line="300" w:lineRule="atLeast"/>
              <w:jc w:val="center"/>
              <w:rPr>
                <w:rFonts w:ascii="Arial" w:hAnsi="Arial" w:cs="Arial"/>
                <w:b/>
                <w:sz w:val="16"/>
                <w:szCs w:val="16"/>
              </w:rPr>
            </w:pPr>
            <w:r w:rsidRPr="0060459D">
              <w:rPr>
                <w:rFonts w:ascii="Arial" w:hAnsi="Arial" w:cs="Arial"/>
                <w:b/>
                <w:sz w:val="16"/>
                <w:szCs w:val="16"/>
              </w:rPr>
              <w:t>Annual Mercury Inputs, kg/</w:t>
            </w:r>
            <w:proofErr w:type="spellStart"/>
            <w:r w:rsidRPr="0060459D">
              <w:rPr>
                <w:rFonts w:ascii="Arial" w:hAnsi="Arial" w:cs="Arial"/>
                <w:b/>
                <w:sz w:val="16"/>
                <w:szCs w:val="16"/>
              </w:rPr>
              <w:t>yr</w:t>
            </w:r>
            <w:proofErr w:type="spellEnd"/>
          </w:p>
        </w:tc>
        <w:tc>
          <w:tcPr>
            <w:tcW w:w="1693" w:type="dxa"/>
            <w:vAlign w:val="center"/>
          </w:tcPr>
          <w:p w14:paraId="27CDF72B" w14:textId="77777777" w:rsidR="00DA79A8" w:rsidRPr="0060459D" w:rsidRDefault="00DA79A8" w:rsidP="00DA79A8">
            <w:pPr>
              <w:spacing w:line="300" w:lineRule="atLeast"/>
              <w:jc w:val="center"/>
              <w:rPr>
                <w:rFonts w:ascii="Arial" w:hAnsi="Arial" w:cs="Arial"/>
                <w:b/>
                <w:sz w:val="16"/>
                <w:szCs w:val="16"/>
              </w:rPr>
            </w:pPr>
            <w:r w:rsidRPr="0060459D">
              <w:rPr>
                <w:rFonts w:ascii="Arial" w:hAnsi="Arial" w:cs="Arial"/>
                <w:b/>
                <w:sz w:val="16"/>
                <w:szCs w:val="16"/>
              </w:rPr>
              <w:t>Annual Mercury Outputs, kg/</w:t>
            </w:r>
            <w:proofErr w:type="spellStart"/>
            <w:r w:rsidRPr="0060459D">
              <w:rPr>
                <w:rFonts w:ascii="Arial" w:hAnsi="Arial" w:cs="Arial"/>
                <w:b/>
                <w:sz w:val="16"/>
                <w:szCs w:val="16"/>
              </w:rPr>
              <w:t>yr</w:t>
            </w:r>
            <w:proofErr w:type="spellEnd"/>
          </w:p>
        </w:tc>
      </w:tr>
      <w:tr w:rsidR="00DA79A8" w:rsidRPr="0060459D" w14:paraId="0D3A81BE" w14:textId="77777777" w:rsidTr="00DA79A8">
        <w:tc>
          <w:tcPr>
            <w:tcW w:w="2518" w:type="dxa"/>
            <w:vMerge/>
            <w:vAlign w:val="center"/>
          </w:tcPr>
          <w:p w14:paraId="66BF3543" w14:textId="77777777" w:rsidR="00DA79A8" w:rsidRPr="0060459D" w:rsidRDefault="00DA79A8" w:rsidP="00DA79A8">
            <w:pPr>
              <w:spacing w:line="300" w:lineRule="atLeast"/>
              <w:jc w:val="center"/>
              <w:rPr>
                <w:rFonts w:ascii="Arial" w:hAnsi="Arial" w:cs="Arial"/>
                <w:b/>
                <w:sz w:val="16"/>
                <w:szCs w:val="16"/>
              </w:rPr>
            </w:pPr>
          </w:p>
        </w:tc>
        <w:tc>
          <w:tcPr>
            <w:tcW w:w="1692" w:type="dxa"/>
            <w:vMerge/>
            <w:vAlign w:val="center"/>
          </w:tcPr>
          <w:p w14:paraId="506B3B35" w14:textId="77777777" w:rsidR="00DA79A8" w:rsidRPr="0060459D" w:rsidRDefault="00DA79A8" w:rsidP="00DA79A8">
            <w:pPr>
              <w:spacing w:line="300" w:lineRule="atLeast"/>
              <w:jc w:val="center"/>
              <w:rPr>
                <w:rFonts w:ascii="Arial" w:hAnsi="Arial" w:cs="Arial"/>
                <w:b/>
                <w:sz w:val="16"/>
                <w:szCs w:val="16"/>
              </w:rPr>
            </w:pPr>
          </w:p>
        </w:tc>
        <w:tc>
          <w:tcPr>
            <w:tcW w:w="1692" w:type="dxa"/>
            <w:vMerge/>
            <w:vAlign w:val="center"/>
          </w:tcPr>
          <w:p w14:paraId="3CCB415D" w14:textId="77777777" w:rsidR="00DA79A8" w:rsidRPr="0060459D" w:rsidRDefault="00DA79A8" w:rsidP="00DA79A8">
            <w:pPr>
              <w:spacing w:line="300" w:lineRule="atLeast"/>
              <w:jc w:val="center"/>
              <w:rPr>
                <w:rFonts w:ascii="Arial" w:hAnsi="Arial" w:cs="Arial"/>
                <w:b/>
                <w:sz w:val="16"/>
                <w:szCs w:val="16"/>
              </w:rPr>
            </w:pPr>
          </w:p>
        </w:tc>
        <w:tc>
          <w:tcPr>
            <w:tcW w:w="1692" w:type="dxa"/>
            <w:vMerge/>
            <w:vAlign w:val="center"/>
          </w:tcPr>
          <w:p w14:paraId="5C974FD8" w14:textId="77777777" w:rsidR="00DA79A8" w:rsidRPr="0060459D" w:rsidRDefault="00DA79A8" w:rsidP="00DA79A8">
            <w:pPr>
              <w:spacing w:line="300" w:lineRule="atLeast"/>
              <w:jc w:val="center"/>
              <w:rPr>
                <w:rFonts w:ascii="Arial" w:hAnsi="Arial" w:cs="Arial"/>
                <w:b/>
                <w:sz w:val="16"/>
                <w:szCs w:val="16"/>
              </w:rPr>
            </w:pPr>
          </w:p>
        </w:tc>
        <w:tc>
          <w:tcPr>
            <w:tcW w:w="1693" w:type="dxa"/>
            <w:vAlign w:val="center"/>
          </w:tcPr>
          <w:p w14:paraId="33DF011D" w14:textId="77777777" w:rsidR="00DA79A8" w:rsidRPr="0060459D" w:rsidRDefault="00475B33" w:rsidP="00DA79A8">
            <w:pPr>
              <w:spacing w:line="300" w:lineRule="atLeast"/>
              <w:jc w:val="center"/>
              <w:rPr>
                <w:rFonts w:ascii="Arial" w:hAnsi="Arial" w:cs="Arial"/>
                <w:b/>
                <w:sz w:val="16"/>
                <w:szCs w:val="16"/>
              </w:rPr>
            </w:pPr>
            <w:r w:rsidRPr="0060459D">
              <w:rPr>
                <w:rFonts w:ascii="Arial" w:hAnsi="Arial" w:cs="Arial"/>
                <w:b/>
                <w:sz w:val="16"/>
                <w:szCs w:val="16"/>
              </w:rPr>
              <w:t>Waste</w:t>
            </w:r>
          </w:p>
        </w:tc>
      </w:tr>
      <w:tr w:rsidR="00DA79A8" w:rsidRPr="0060459D" w14:paraId="07286C83" w14:textId="77777777" w:rsidTr="00DA79A8">
        <w:tc>
          <w:tcPr>
            <w:tcW w:w="2518" w:type="dxa"/>
          </w:tcPr>
          <w:p w14:paraId="188FFF16" w14:textId="3826C2EF" w:rsidR="00DA79A8" w:rsidRPr="0060459D" w:rsidRDefault="00475B33" w:rsidP="00DA79A8">
            <w:pPr>
              <w:spacing w:line="300" w:lineRule="atLeast"/>
              <w:jc w:val="both"/>
              <w:rPr>
                <w:rFonts w:ascii="Arial" w:hAnsi="Arial" w:cs="Arial"/>
                <w:sz w:val="16"/>
                <w:szCs w:val="16"/>
              </w:rPr>
            </w:pPr>
            <w:r w:rsidRPr="0060459D">
              <w:rPr>
                <w:rFonts w:ascii="Arial" w:hAnsi="Arial" w:cs="Arial"/>
                <w:sz w:val="16"/>
                <w:szCs w:val="16"/>
              </w:rPr>
              <w:t>Batteries</w:t>
            </w:r>
            <w:r w:rsidR="00D118C1">
              <w:rPr>
                <w:rFonts w:ascii="Arial" w:hAnsi="Arial" w:cs="Arial"/>
                <w:sz w:val="16"/>
                <w:szCs w:val="16"/>
              </w:rPr>
              <w:t>, 2012</w:t>
            </w:r>
          </w:p>
        </w:tc>
        <w:tc>
          <w:tcPr>
            <w:tcW w:w="1692" w:type="dxa"/>
            <w:vAlign w:val="center"/>
          </w:tcPr>
          <w:p w14:paraId="6739B725" w14:textId="163C6B58" w:rsidR="00DA79A8" w:rsidRPr="0060459D" w:rsidRDefault="009C6631" w:rsidP="00DA79A8">
            <w:pPr>
              <w:spacing w:line="300" w:lineRule="atLeast"/>
              <w:jc w:val="center"/>
              <w:rPr>
                <w:rFonts w:ascii="Arial" w:hAnsi="Arial" w:cs="Arial"/>
                <w:sz w:val="16"/>
                <w:szCs w:val="16"/>
              </w:rPr>
            </w:pPr>
            <w:r>
              <w:rPr>
                <w:rFonts w:ascii="Arial" w:hAnsi="Arial" w:cs="Arial"/>
                <w:sz w:val="16"/>
                <w:szCs w:val="16"/>
              </w:rPr>
              <w:t>40,240,776</w:t>
            </w:r>
          </w:p>
        </w:tc>
        <w:tc>
          <w:tcPr>
            <w:tcW w:w="1692" w:type="dxa"/>
            <w:vAlign w:val="center"/>
          </w:tcPr>
          <w:p w14:paraId="2C340393" w14:textId="77777777" w:rsidR="00DA79A8" w:rsidRPr="0060459D" w:rsidRDefault="00DA79A8" w:rsidP="00475B33">
            <w:pPr>
              <w:spacing w:line="300" w:lineRule="atLeast"/>
              <w:jc w:val="center"/>
              <w:rPr>
                <w:rFonts w:ascii="Arial" w:hAnsi="Arial" w:cs="Arial"/>
                <w:sz w:val="16"/>
                <w:szCs w:val="16"/>
              </w:rPr>
            </w:pPr>
            <w:r w:rsidRPr="0060459D">
              <w:rPr>
                <w:rFonts w:ascii="Arial" w:hAnsi="Arial" w:cs="Arial"/>
                <w:sz w:val="16"/>
                <w:szCs w:val="16"/>
              </w:rPr>
              <w:t>0</w:t>
            </w:r>
            <w:r w:rsidR="00475B33" w:rsidRPr="0060459D">
              <w:rPr>
                <w:rFonts w:ascii="Arial" w:hAnsi="Arial" w:cs="Arial"/>
                <w:sz w:val="16"/>
                <w:szCs w:val="16"/>
              </w:rPr>
              <w:t xml:space="preserve"> - 32</w:t>
            </w:r>
            <w:r w:rsidRPr="0060459D">
              <w:rPr>
                <w:rFonts w:ascii="Arial" w:hAnsi="Arial" w:cs="Arial"/>
                <w:sz w:val="16"/>
                <w:szCs w:val="16"/>
              </w:rPr>
              <w:t>0</w:t>
            </w:r>
          </w:p>
        </w:tc>
        <w:tc>
          <w:tcPr>
            <w:tcW w:w="1692" w:type="dxa"/>
            <w:vAlign w:val="center"/>
          </w:tcPr>
          <w:p w14:paraId="6279DEEA" w14:textId="77777777" w:rsidR="00DA79A8" w:rsidRPr="00423FC9" w:rsidRDefault="00A947B2" w:rsidP="00114836">
            <w:pPr>
              <w:spacing w:line="300" w:lineRule="atLeast"/>
              <w:jc w:val="center"/>
              <w:rPr>
                <w:rFonts w:ascii="Arial" w:hAnsi="Arial" w:cs="Arial"/>
                <w:sz w:val="16"/>
                <w:szCs w:val="16"/>
              </w:rPr>
            </w:pPr>
            <w:r w:rsidRPr="00423FC9">
              <w:rPr>
                <w:rFonts w:ascii="Arial" w:hAnsi="Arial" w:cs="Arial"/>
                <w:sz w:val="16"/>
                <w:szCs w:val="16"/>
              </w:rPr>
              <w:t>33.6 – 120.6</w:t>
            </w:r>
            <w:r w:rsidR="00114836" w:rsidRPr="00423FC9">
              <w:rPr>
                <w:rFonts w:ascii="Arial" w:hAnsi="Arial" w:cs="Arial"/>
                <w:sz w:val="16"/>
                <w:szCs w:val="16"/>
              </w:rPr>
              <w:t xml:space="preserve"> (77.1)</w:t>
            </w:r>
          </w:p>
        </w:tc>
        <w:tc>
          <w:tcPr>
            <w:tcW w:w="1693" w:type="dxa"/>
            <w:vAlign w:val="center"/>
          </w:tcPr>
          <w:p w14:paraId="78699FE8" w14:textId="77777777" w:rsidR="00DA79A8" w:rsidRPr="00423FC9" w:rsidRDefault="00A947B2" w:rsidP="00114836">
            <w:pPr>
              <w:spacing w:line="300" w:lineRule="atLeast"/>
              <w:jc w:val="center"/>
              <w:rPr>
                <w:rFonts w:ascii="Arial" w:hAnsi="Arial" w:cs="Arial"/>
                <w:sz w:val="16"/>
                <w:szCs w:val="16"/>
              </w:rPr>
            </w:pPr>
            <w:r w:rsidRPr="00423FC9">
              <w:rPr>
                <w:rFonts w:ascii="Arial" w:hAnsi="Arial" w:cs="Arial"/>
                <w:sz w:val="16"/>
                <w:szCs w:val="16"/>
              </w:rPr>
              <w:t>33.6 – 120.6</w:t>
            </w:r>
            <w:r w:rsidR="00114836" w:rsidRPr="00423FC9">
              <w:rPr>
                <w:rFonts w:ascii="Arial" w:hAnsi="Arial" w:cs="Arial"/>
                <w:sz w:val="16"/>
                <w:szCs w:val="16"/>
              </w:rPr>
              <w:t xml:space="preserve"> (77.1)</w:t>
            </w:r>
          </w:p>
        </w:tc>
      </w:tr>
      <w:tr w:rsidR="00D118C1" w:rsidRPr="0060459D" w14:paraId="708EFA57" w14:textId="77777777" w:rsidTr="00DA79A8">
        <w:tc>
          <w:tcPr>
            <w:tcW w:w="2518" w:type="dxa"/>
          </w:tcPr>
          <w:p w14:paraId="689C0D14" w14:textId="23C18193" w:rsidR="00D118C1" w:rsidRPr="0060459D" w:rsidRDefault="00D118C1" w:rsidP="00DA79A8">
            <w:pPr>
              <w:spacing w:line="300" w:lineRule="atLeast"/>
              <w:jc w:val="both"/>
              <w:rPr>
                <w:rFonts w:ascii="Arial" w:hAnsi="Arial" w:cs="Arial"/>
                <w:sz w:val="16"/>
                <w:szCs w:val="16"/>
              </w:rPr>
            </w:pPr>
            <w:r>
              <w:rPr>
                <w:rFonts w:ascii="Arial" w:hAnsi="Arial" w:cs="Arial"/>
                <w:sz w:val="16"/>
                <w:szCs w:val="16"/>
              </w:rPr>
              <w:t>Batteries, 2016</w:t>
            </w:r>
          </w:p>
        </w:tc>
        <w:tc>
          <w:tcPr>
            <w:tcW w:w="1692" w:type="dxa"/>
            <w:vAlign w:val="center"/>
          </w:tcPr>
          <w:p w14:paraId="45AE9BC5" w14:textId="42150F4D" w:rsidR="00D118C1" w:rsidRPr="0060459D" w:rsidRDefault="009B194D" w:rsidP="00DA79A8">
            <w:pPr>
              <w:spacing w:line="300" w:lineRule="atLeast"/>
              <w:jc w:val="center"/>
              <w:rPr>
                <w:rFonts w:ascii="Arial" w:hAnsi="Arial" w:cs="Arial"/>
                <w:sz w:val="16"/>
                <w:szCs w:val="16"/>
              </w:rPr>
            </w:pPr>
            <w:r>
              <w:rPr>
                <w:rFonts w:ascii="Arial" w:hAnsi="Arial" w:cs="Arial"/>
                <w:sz w:val="16"/>
                <w:szCs w:val="16"/>
              </w:rPr>
              <w:t>42,936,897</w:t>
            </w:r>
          </w:p>
        </w:tc>
        <w:tc>
          <w:tcPr>
            <w:tcW w:w="1692" w:type="dxa"/>
            <w:vAlign w:val="center"/>
          </w:tcPr>
          <w:p w14:paraId="569AB6CC" w14:textId="5194A537" w:rsidR="00D118C1" w:rsidRPr="0060459D" w:rsidRDefault="00D118C1" w:rsidP="00475B33">
            <w:pPr>
              <w:spacing w:line="300" w:lineRule="atLeast"/>
              <w:jc w:val="center"/>
              <w:rPr>
                <w:rFonts w:ascii="Arial" w:hAnsi="Arial" w:cs="Arial"/>
                <w:sz w:val="16"/>
                <w:szCs w:val="16"/>
              </w:rPr>
            </w:pPr>
            <w:r>
              <w:rPr>
                <w:rFonts w:ascii="Arial" w:hAnsi="Arial" w:cs="Arial"/>
                <w:sz w:val="16"/>
                <w:szCs w:val="16"/>
              </w:rPr>
              <w:t>0 - 320</w:t>
            </w:r>
          </w:p>
        </w:tc>
        <w:tc>
          <w:tcPr>
            <w:tcW w:w="1692" w:type="dxa"/>
            <w:vAlign w:val="center"/>
          </w:tcPr>
          <w:p w14:paraId="08638EF9" w14:textId="68DFC377" w:rsidR="00D118C1" w:rsidRPr="0060459D" w:rsidRDefault="009B194D" w:rsidP="00114836">
            <w:pPr>
              <w:spacing w:line="300" w:lineRule="atLeast"/>
              <w:jc w:val="center"/>
              <w:rPr>
                <w:rFonts w:ascii="Arial" w:hAnsi="Arial" w:cs="Arial"/>
                <w:sz w:val="16"/>
                <w:szCs w:val="16"/>
              </w:rPr>
            </w:pPr>
            <w:r>
              <w:rPr>
                <w:rFonts w:ascii="Arial" w:hAnsi="Arial" w:cs="Arial"/>
                <w:sz w:val="16"/>
                <w:szCs w:val="16"/>
              </w:rPr>
              <w:t>44.77</w:t>
            </w:r>
          </w:p>
        </w:tc>
        <w:tc>
          <w:tcPr>
            <w:tcW w:w="1693" w:type="dxa"/>
            <w:vAlign w:val="center"/>
          </w:tcPr>
          <w:p w14:paraId="6E709848" w14:textId="706684D6" w:rsidR="00D118C1" w:rsidRPr="0060459D" w:rsidRDefault="009B194D" w:rsidP="00114836">
            <w:pPr>
              <w:spacing w:line="300" w:lineRule="atLeast"/>
              <w:jc w:val="center"/>
              <w:rPr>
                <w:rFonts w:ascii="Arial" w:hAnsi="Arial" w:cs="Arial"/>
                <w:sz w:val="16"/>
                <w:szCs w:val="16"/>
              </w:rPr>
            </w:pPr>
            <w:r>
              <w:rPr>
                <w:rFonts w:ascii="Arial" w:hAnsi="Arial" w:cs="Arial"/>
                <w:sz w:val="16"/>
                <w:szCs w:val="16"/>
              </w:rPr>
              <w:t>44.77</w:t>
            </w:r>
          </w:p>
        </w:tc>
      </w:tr>
    </w:tbl>
    <w:p w14:paraId="34D7A05A" w14:textId="77777777" w:rsidR="00DA79A8" w:rsidRPr="0060459D" w:rsidRDefault="00DA79A8" w:rsidP="00DA79A8">
      <w:pPr>
        <w:spacing w:before="120" w:line="300" w:lineRule="atLeast"/>
        <w:jc w:val="both"/>
        <w:rPr>
          <w:rFonts w:ascii="Arial" w:hAnsi="Arial" w:cs="Arial"/>
          <w:b/>
          <w:szCs w:val="18"/>
        </w:rPr>
      </w:pPr>
      <w:r w:rsidRPr="0060459D">
        <w:rPr>
          <w:rFonts w:ascii="Arial" w:hAnsi="Arial" w:cs="Arial"/>
          <w:b/>
          <w:szCs w:val="18"/>
        </w:rPr>
        <w:t>Certainty assessment</w:t>
      </w:r>
    </w:p>
    <w:p w14:paraId="4F2F7077" w14:textId="77777777" w:rsidR="00DA79A8" w:rsidRPr="0060459D" w:rsidRDefault="00DA79A8" w:rsidP="00DA79A8">
      <w:pPr>
        <w:tabs>
          <w:tab w:val="left" w:pos="1985"/>
        </w:tabs>
        <w:spacing w:line="300" w:lineRule="atLeast"/>
        <w:jc w:val="both"/>
        <w:rPr>
          <w:szCs w:val="18"/>
        </w:rPr>
      </w:pPr>
      <w:r w:rsidRPr="0060459D">
        <w:rPr>
          <w:szCs w:val="18"/>
        </w:rPr>
        <w:t xml:space="preserve">Activity data: </w:t>
      </w:r>
      <w:r w:rsidRPr="0060459D">
        <w:rPr>
          <w:szCs w:val="18"/>
        </w:rPr>
        <w:tab/>
        <w:t xml:space="preserve">HIGH (because it was obtained from national </w:t>
      </w:r>
      <w:r w:rsidR="00475B33" w:rsidRPr="0060459D">
        <w:rPr>
          <w:szCs w:val="18"/>
        </w:rPr>
        <w:t>import statistics</w:t>
      </w:r>
      <w:r w:rsidRPr="0060459D">
        <w:rPr>
          <w:szCs w:val="18"/>
        </w:rPr>
        <w:t>)</w:t>
      </w:r>
    </w:p>
    <w:p w14:paraId="69FA61EA" w14:textId="77777777" w:rsidR="00DA79A8" w:rsidRPr="0060459D" w:rsidRDefault="00DA79A8" w:rsidP="00DA79A8">
      <w:pPr>
        <w:tabs>
          <w:tab w:val="left" w:pos="1985"/>
        </w:tabs>
        <w:spacing w:line="300" w:lineRule="atLeast"/>
        <w:jc w:val="both"/>
        <w:rPr>
          <w:szCs w:val="18"/>
        </w:rPr>
      </w:pPr>
      <w:r w:rsidRPr="0060459D">
        <w:rPr>
          <w:szCs w:val="18"/>
        </w:rPr>
        <w:t xml:space="preserve">Input estimates: </w:t>
      </w:r>
      <w:r w:rsidRPr="0060459D">
        <w:rPr>
          <w:szCs w:val="18"/>
        </w:rPr>
        <w:tab/>
      </w:r>
      <w:r w:rsidR="00475B33" w:rsidRPr="0060459D">
        <w:rPr>
          <w:szCs w:val="18"/>
        </w:rPr>
        <w:t>MEDIUM</w:t>
      </w:r>
      <w:r w:rsidRPr="0060459D">
        <w:rPr>
          <w:szCs w:val="18"/>
        </w:rPr>
        <w:t xml:space="preserve"> (because they are based on </w:t>
      </w:r>
      <w:r w:rsidR="00475B33" w:rsidRPr="0060459D">
        <w:rPr>
          <w:szCs w:val="18"/>
        </w:rPr>
        <w:t xml:space="preserve">product data and </w:t>
      </w:r>
      <w:r w:rsidRPr="0060459D">
        <w:rPr>
          <w:szCs w:val="18"/>
        </w:rPr>
        <w:t>the default Toolkit factors)</w:t>
      </w:r>
    </w:p>
    <w:p w14:paraId="458B424C" w14:textId="77777777" w:rsidR="00DA79A8" w:rsidRPr="0028681C" w:rsidRDefault="00DA79A8" w:rsidP="00DA79A8">
      <w:pPr>
        <w:tabs>
          <w:tab w:val="left" w:pos="1985"/>
        </w:tabs>
        <w:spacing w:line="300" w:lineRule="atLeast"/>
        <w:jc w:val="both"/>
        <w:rPr>
          <w:szCs w:val="18"/>
        </w:rPr>
      </w:pPr>
      <w:r w:rsidRPr="0060459D">
        <w:rPr>
          <w:szCs w:val="18"/>
        </w:rPr>
        <w:t xml:space="preserve">Output estimates: </w:t>
      </w:r>
      <w:r w:rsidRPr="0060459D">
        <w:rPr>
          <w:szCs w:val="18"/>
        </w:rPr>
        <w:tab/>
      </w:r>
      <w:r w:rsidR="00475B33" w:rsidRPr="0060459D">
        <w:rPr>
          <w:szCs w:val="18"/>
        </w:rPr>
        <w:t>HIGH</w:t>
      </w:r>
      <w:r w:rsidRPr="0060459D">
        <w:rPr>
          <w:szCs w:val="18"/>
        </w:rPr>
        <w:t xml:space="preserve"> (because </w:t>
      </w:r>
      <w:r w:rsidR="00475B33" w:rsidRPr="0060459D">
        <w:rPr>
          <w:szCs w:val="18"/>
        </w:rPr>
        <w:t>essentially all batteries are disposed to landfill</w:t>
      </w:r>
      <w:r w:rsidRPr="0060459D">
        <w:rPr>
          <w:szCs w:val="18"/>
        </w:rPr>
        <w:t>).</w:t>
      </w:r>
    </w:p>
    <w:p w14:paraId="0A7B33DB" w14:textId="77777777" w:rsidR="00700CDE" w:rsidRPr="00686908" w:rsidRDefault="00700CDE" w:rsidP="00700CDE">
      <w:pPr>
        <w:pStyle w:val="Heading2"/>
      </w:pPr>
      <w:bookmarkStart w:id="105" w:name="_Toc484949595"/>
      <w:r w:rsidRPr="00686908">
        <w:t>Polyurethanes with mercury catalyst</w:t>
      </w:r>
      <w:bookmarkEnd w:id="105"/>
    </w:p>
    <w:p w14:paraId="33810EA8" w14:textId="0DD41E63" w:rsidR="00530760" w:rsidRPr="00686908" w:rsidRDefault="00530760" w:rsidP="00530760">
      <w:pPr>
        <w:spacing w:line="300" w:lineRule="atLeast"/>
        <w:jc w:val="both"/>
        <w:rPr>
          <w:szCs w:val="18"/>
        </w:rPr>
      </w:pPr>
      <w:r w:rsidRPr="00686908">
        <w:rPr>
          <w:szCs w:val="18"/>
        </w:rPr>
        <w:t>Until recently, organic mercury compounds were an important catalyst in the production of polyurethane elastomers (flexible plastics) that could be used for the moulding of complex shapes, synthetic (rubberised) flooring and a range of specialist surface coating</w:t>
      </w:r>
      <w:r w:rsidR="007D1ADA" w:rsidRPr="00686908">
        <w:rPr>
          <w:szCs w:val="18"/>
        </w:rPr>
        <w:t xml:space="preserve"> or </w:t>
      </w:r>
      <w:r w:rsidRPr="00686908">
        <w:rPr>
          <w:szCs w:val="18"/>
        </w:rPr>
        <w:t>insulation materials (</w:t>
      </w:r>
      <w:r w:rsidR="00C738EC" w:rsidRPr="00686908">
        <w:rPr>
          <w:szCs w:val="18"/>
        </w:rPr>
        <w:t>UNEP, 2017</w:t>
      </w:r>
      <w:r w:rsidRPr="00686908">
        <w:rPr>
          <w:szCs w:val="18"/>
        </w:rPr>
        <w:t xml:space="preserve">). </w:t>
      </w:r>
      <w:r w:rsidR="00686908">
        <w:rPr>
          <w:szCs w:val="18"/>
        </w:rPr>
        <w:t>For the 2012 Inventory Report a</w:t>
      </w:r>
      <w:r w:rsidRPr="00686908">
        <w:rPr>
          <w:szCs w:val="18"/>
        </w:rPr>
        <w:t xml:space="preserve"> limited number of these products were identified through an internet search of New Zealand resin importers and distributors. However, only one of the companies reported any sales. Four others reported that their products no longer contained mercury</w:t>
      </w:r>
      <w:r w:rsidR="00677A93" w:rsidRPr="00686908">
        <w:rPr>
          <w:szCs w:val="18"/>
        </w:rPr>
        <w:t>, with one noting in particular, that mercury was no longer allowed under EU regulations.</w:t>
      </w:r>
    </w:p>
    <w:p w14:paraId="791C2269" w14:textId="56166A99" w:rsidR="00700CDE" w:rsidRDefault="00677A93" w:rsidP="00530760">
      <w:pPr>
        <w:spacing w:line="300" w:lineRule="atLeast"/>
        <w:jc w:val="both"/>
        <w:rPr>
          <w:szCs w:val="18"/>
        </w:rPr>
      </w:pPr>
      <w:r w:rsidRPr="00686908">
        <w:rPr>
          <w:szCs w:val="18"/>
        </w:rPr>
        <w:lastRenderedPageBreak/>
        <w:t xml:space="preserve">The one importer still selling polyurethanes with these catalysts </w:t>
      </w:r>
      <w:r w:rsidR="00530760" w:rsidRPr="00686908">
        <w:rPr>
          <w:szCs w:val="18"/>
        </w:rPr>
        <w:t xml:space="preserve">indicated that </w:t>
      </w:r>
      <w:r w:rsidRPr="00686908">
        <w:rPr>
          <w:szCs w:val="18"/>
        </w:rPr>
        <w:t xml:space="preserve">they had made 3 sales </w:t>
      </w:r>
      <w:r w:rsidR="00C37BF9" w:rsidRPr="00686908">
        <w:rPr>
          <w:szCs w:val="18"/>
        </w:rPr>
        <w:t xml:space="preserve">to New Zealand manufacturing companies in </w:t>
      </w:r>
      <w:r w:rsidR="00686908">
        <w:rPr>
          <w:szCs w:val="18"/>
        </w:rPr>
        <w:t>2012</w:t>
      </w:r>
      <w:r w:rsidR="00C37BF9" w:rsidRPr="00686908">
        <w:rPr>
          <w:szCs w:val="18"/>
        </w:rPr>
        <w:t xml:space="preserve">, </w:t>
      </w:r>
      <w:r w:rsidRPr="00686908">
        <w:rPr>
          <w:szCs w:val="18"/>
        </w:rPr>
        <w:t>with a total quantity of about 200 grams of mercury-containing catalyst.</w:t>
      </w:r>
      <w:r w:rsidR="00686908">
        <w:rPr>
          <w:szCs w:val="18"/>
        </w:rPr>
        <w:t xml:space="preserve"> An update on that data has been requested from the importer but not yet provided, so the 2012 figure has been carried over for 2016.</w:t>
      </w:r>
    </w:p>
    <w:p w14:paraId="47611F1D" w14:textId="77777777" w:rsidR="00700CDE" w:rsidRDefault="00700CDE" w:rsidP="00700CDE">
      <w:pPr>
        <w:pStyle w:val="Heading2"/>
      </w:pPr>
      <w:bookmarkStart w:id="106" w:name="_Toc484949596"/>
      <w:r>
        <w:t>Biocides and pesticides</w:t>
      </w:r>
      <w:bookmarkEnd w:id="106"/>
    </w:p>
    <w:p w14:paraId="73F376DF" w14:textId="77777777" w:rsidR="00700CDE" w:rsidRDefault="00A571B0" w:rsidP="003833D6">
      <w:pPr>
        <w:spacing w:line="300" w:lineRule="atLeast"/>
        <w:jc w:val="both"/>
        <w:rPr>
          <w:szCs w:val="18"/>
        </w:rPr>
      </w:pPr>
      <w:r>
        <w:rPr>
          <w:szCs w:val="18"/>
        </w:rPr>
        <w:t>Most substances intended for use as agricultural or veterinary medicines in New Zealand are required to be registered under the Agricultural Chemicals</w:t>
      </w:r>
      <w:r w:rsidR="000F3AB4">
        <w:rPr>
          <w:szCs w:val="18"/>
        </w:rPr>
        <w:t xml:space="preserve"> and Veterinary Medicines Act. </w:t>
      </w:r>
      <w:r>
        <w:rPr>
          <w:szCs w:val="18"/>
        </w:rPr>
        <w:t>A database of current registrations is maintained by the Ministry for Primary Industries, and a search of</w:t>
      </w:r>
      <w:r w:rsidR="003A6F8C">
        <w:rPr>
          <w:szCs w:val="18"/>
        </w:rPr>
        <w:t xml:space="preserve"> this database in early May 2017</w:t>
      </w:r>
      <w:r>
        <w:rPr>
          <w:szCs w:val="18"/>
        </w:rPr>
        <w:t xml:space="preserve"> showed no mercury-containing chemicals.</w:t>
      </w:r>
    </w:p>
    <w:p w14:paraId="5E2432F5" w14:textId="77777777" w:rsidR="00700CDE" w:rsidRDefault="00E170BB" w:rsidP="003833D6">
      <w:pPr>
        <w:spacing w:line="300" w:lineRule="atLeast"/>
        <w:jc w:val="both"/>
        <w:rPr>
          <w:szCs w:val="18"/>
        </w:rPr>
      </w:pPr>
      <w:r w:rsidRPr="00E170BB">
        <w:rPr>
          <w:szCs w:val="18"/>
        </w:rPr>
        <w:t>On the basis of the above, it can be concluded that there is no current use of mercury-based biocides as agricultural or veterinary medicines in New Zealand.  However, it should be noted that some minor uses have been identified in animal vaccines and eye drops, where the mercury compounds act as a preservative. These uses are covered under section 7.9.</w:t>
      </w:r>
    </w:p>
    <w:p w14:paraId="2DC3DB37" w14:textId="77777777" w:rsidR="00700CDE" w:rsidRDefault="00E472E6" w:rsidP="00E472E6">
      <w:pPr>
        <w:pStyle w:val="Heading2"/>
      </w:pPr>
      <w:bookmarkStart w:id="107" w:name="_Toc484949597"/>
      <w:r>
        <w:t>Paints</w:t>
      </w:r>
      <w:bookmarkEnd w:id="107"/>
    </w:p>
    <w:p w14:paraId="4DBD8A45" w14:textId="7D504DE6" w:rsidR="00221B28" w:rsidRPr="00221B28" w:rsidRDefault="000F3AB4" w:rsidP="0000574C">
      <w:pPr>
        <w:spacing w:line="300" w:lineRule="atLeast"/>
        <w:jc w:val="both"/>
        <w:rPr>
          <w:szCs w:val="18"/>
        </w:rPr>
      </w:pPr>
      <w:r>
        <w:rPr>
          <w:szCs w:val="18"/>
        </w:rPr>
        <w:t xml:space="preserve">The </w:t>
      </w:r>
      <w:r w:rsidR="003A6F8C">
        <w:rPr>
          <w:szCs w:val="18"/>
        </w:rPr>
        <w:t>report for the 2012</w:t>
      </w:r>
      <w:r>
        <w:rPr>
          <w:szCs w:val="18"/>
        </w:rPr>
        <w:t xml:space="preserve"> Inventory </w:t>
      </w:r>
      <w:r w:rsidR="003A6F8C">
        <w:rPr>
          <w:szCs w:val="18"/>
        </w:rPr>
        <w:t xml:space="preserve">indicated </w:t>
      </w:r>
      <w:r>
        <w:rPr>
          <w:szCs w:val="18"/>
        </w:rPr>
        <w:t>that mercury pigments were believed to be no longer used in New Zealand</w:t>
      </w:r>
      <w:r w:rsidR="003A6F8C">
        <w:rPr>
          <w:szCs w:val="18"/>
        </w:rPr>
        <w:t>, and there is no reason to expect that this situation has changed.</w:t>
      </w:r>
      <w:r w:rsidR="00F0717E">
        <w:rPr>
          <w:szCs w:val="18"/>
        </w:rPr>
        <w:t xml:space="preserve"> Some additional support for this position can be taken from the fact that no mercury – based </w:t>
      </w:r>
      <w:r w:rsidR="00DF5261">
        <w:rPr>
          <w:szCs w:val="18"/>
        </w:rPr>
        <w:t>products</w:t>
      </w:r>
      <w:r w:rsidR="00F0717E">
        <w:rPr>
          <w:szCs w:val="18"/>
        </w:rPr>
        <w:t xml:space="preserve"> could be identified in a search of the national databases of substances approved under the </w:t>
      </w:r>
      <w:r w:rsidR="00F0717E" w:rsidRPr="00F0717E">
        <w:rPr>
          <w:i/>
          <w:szCs w:val="18"/>
        </w:rPr>
        <w:t>Hazardous Substances and New Organisms Act 1996</w:t>
      </w:r>
      <w:r w:rsidR="00F0717E">
        <w:rPr>
          <w:szCs w:val="18"/>
        </w:rPr>
        <w:t xml:space="preserve">. </w:t>
      </w:r>
      <w:proofErr w:type="gramStart"/>
      <w:r w:rsidR="00F0717E">
        <w:rPr>
          <w:szCs w:val="18"/>
        </w:rPr>
        <w:t>(EPA, 2017).</w:t>
      </w:r>
      <w:proofErr w:type="gramEnd"/>
    </w:p>
    <w:p w14:paraId="7B6E693B" w14:textId="77777777" w:rsidR="00700CDE" w:rsidRPr="00AB3F90" w:rsidRDefault="00E472E6" w:rsidP="00E472E6">
      <w:pPr>
        <w:pStyle w:val="Heading2"/>
      </w:pPr>
      <w:bookmarkStart w:id="108" w:name="_Toc484949598"/>
      <w:r w:rsidRPr="00AB3F90">
        <w:t>Pharmaceuticals for human and veterinary use</w:t>
      </w:r>
      <w:bookmarkEnd w:id="108"/>
    </w:p>
    <w:p w14:paraId="55C7F96A" w14:textId="0CC96DB0" w:rsidR="00E472E6" w:rsidRPr="00AB3F90" w:rsidRDefault="006F3584" w:rsidP="00D71381">
      <w:pPr>
        <w:spacing w:line="300" w:lineRule="atLeast"/>
        <w:jc w:val="both"/>
        <w:rPr>
          <w:szCs w:val="18"/>
        </w:rPr>
      </w:pPr>
      <w:r w:rsidRPr="00AB3F90">
        <w:rPr>
          <w:szCs w:val="18"/>
        </w:rPr>
        <w:t xml:space="preserve">Mercury compounds have been used in the past in various pharmaceuticals such as vaccines, eye drops, </w:t>
      </w:r>
      <w:r w:rsidR="00CA2DE5" w:rsidRPr="00AB3F90">
        <w:rPr>
          <w:szCs w:val="18"/>
        </w:rPr>
        <w:t xml:space="preserve">topical antiseptics, </w:t>
      </w:r>
      <w:r w:rsidRPr="00AB3F90">
        <w:rPr>
          <w:szCs w:val="18"/>
        </w:rPr>
        <w:t xml:space="preserve">and other products, functioning mainly as a preservative. In addition, it is still used today in animal vaccines, with the most common additive being </w:t>
      </w:r>
      <w:proofErr w:type="spellStart"/>
      <w:r w:rsidRPr="00AB3F90">
        <w:rPr>
          <w:szCs w:val="18"/>
        </w:rPr>
        <w:t>Thiomersal</w:t>
      </w:r>
      <w:proofErr w:type="spellEnd"/>
      <w:r w:rsidR="00D71381" w:rsidRPr="00AB3F90">
        <w:rPr>
          <w:rStyle w:val="FootnoteReference"/>
          <w:szCs w:val="18"/>
        </w:rPr>
        <w:footnoteReference w:id="18"/>
      </w:r>
      <w:r w:rsidRPr="00AB3F90">
        <w:rPr>
          <w:szCs w:val="18"/>
        </w:rPr>
        <w:t xml:space="preserve">. </w:t>
      </w:r>
      <w:r w:rsidR="00577456" w:rsidRPr="00AB3F90">
        <w:rPr>
          <w:szCs w:val="18"/>
        </w:rPr>
        <w:t xml:space="preserve">This chemical is listed in </w:t>
      </w:r>
      <w:r w:rsidR="00B16113" w:rsidRPr="00AB3F90">
        <w:rPr>
          <w:szCs w:val="18"/>
        </w:rPr>
        <w:t xml:space="preserve">the </w:t>
      </w:r>
      <w:r w:rsidR="00577456" w:rsidRPr="00AB3F90">
        <w:rPr>
          <w:szCs w:val="18"/>
        </w:rPr>
        <w:t xml:space="preserve">specific exclusions given in Annex 1 of the </w:t>
      </w:r>
      <w:proofErr w:type="spellStart"/>
      <w:r w:rsidR="00577456" w:rsidRPr="00AB3F90">
        <w:rPr>
          <w:szCs w:val="18"/>
        </w:rPr>
        <w:t>Minamata</w:t>
      </w:r>
      <w:proofErr w:type="spellEnd"/>
      <w:r w:rsidR="00577456" w:rsidRPr="00AB3F90">
        <w:rPr>
          <w:szCs w:val="18"/>
        </w:rPr>
        <w:t xml:space="preserve"> Convention.</w:t>
      </w:r>
    </w:p>
    <w:p w14:paraId="73B83072" w14:textId="4306A8AE" w:rsidR="007146F0" w:rsidRPr="00AB3F90" w:rsidRDefault="00AB3F90" w:rsidP="007146F0">
      <w:pPr>
        <w:spacing w:line="300" w:lineRule="atLeast"/>
        <w:jc w:val="both"/>
        <w:rPr>
          <w:szCs w:val="18"/>
        </w:rPr>
      </w:pPr>
      <w:proofErr w:type="gramStart"/>
      <w:r w:rsidRPr="009E66DB">
        <w:rPr>
          <w:szCs w:val="18"/>
        </w:rPr>
        <w:t xml:space="preserve">A Ministry of Health immunization handbook (Ministry of Health, 2016) states that none of the </w:t>
      </w:r>
      <w:r w:rsidRPr="008D5082">
        <w:rPr>
          <w:szCs w:val="18"/>
        </w:rPr>
        <w:t>vaccines</w:t>
      </w:r>
      <w:r w:rsidRPr="009E66DB">
        <w:rPr>
          <w:szCs w:val="18"/>
        </w:rPr>
        <w:t xml:space="preserve"> on the New Zealand National Immunisation schedule contain </w:t>
      </w:r>
      <w:proofErr w:type="spellStart"/>
      <w:r w:rsidRPr="009E66DB">
        <w:rPr>
          <w:szCs w:val="18"/>
        </w:rPr>
        <w:t>thiomersal</w:t>
      </w:r>
      <w:proofErr w:type="spellEnd"/>
      <w:r w:rsidRPr="009E66DB">
        <w:rPr>
          <w:szCs w:val="18"/>
        </w:rPr>
        <w:t xml:space="preserve"> including the current influenza vaccines.</w:t>
      </w:r>
      <w:proofErr w:type="gramEnd"/>
      <w:r>
        <w:rPr>
          <w:szCs w:val="18"/>
        </w:rPr>
        <w:t xml:space="preserve"> </w:t>
      </w:r>
      <w:r w:rsidR="00F8459A" w:rsidRPr="00AB3F90">
        <w:rPr>
          <w:szCs w:val="18"/>
        </w:rPr>
        <w:t>A s</w:t>
      </w:r>
      <w:r w:rsidR="007146F0" w:rsidRPr="00AB3F90">
        <w:rPr>
          <w:szCs w:val="18"/>
        </w:rPr>
        <w:t>earch</w:t>
      </w:r>
      <w:r w:rsidR="00F8459A" w:rsidRPr="00AB3F90">
        <w:rPr>
          <w:szCs w:val="18"/>
        </w:rPr>
        <w:t xml:space="preserve"> of the </w:t>
      </w:r>
      <w:proofErr w:type="spellStart"/>
      <w:r w:rsidR="007146F0" w:rsidRPr="00AB3F90">
        <w:rPr>
          <w:szCs w:val="18"/>
        </w:rPr>
        <w:t>Medsafe</w:t>
      </w:r>
      <w:proofErr w:type="spellEnd"/>
      <w:r w:rsidR="007146F0" w:rsidRPr="00AB3F90">
        <w:rPr>
          <w:szCs w:val="18"/>
        </w:rPr>
        <w:t xml:space="preserve"> database (</w:t>
      </w:r>
      <w:hyperlink r:id="rId16" w:history="1">
        <w:r w:rsidR="00101DB2" w:rsidRPr="00AB3F90">
          <w:rPr>
            <w:rStyle w:val="Hyperlink"/>
            <w:szCs w:val="18"/>
          </w:rPr>
          <w:t>www.medsafe.govt.nz/regulatory/DbSearch.asp</w:t>
        </w:r>
      </w:hyperlink>
      <w:r w:rsidR="007146F0" w:rsidRPr="00AB3F90">
        <w:rPr>
          <w:szCs w:val="18"/>
        </w:rPr>
        <w:t>)</w:t>
      </w:r>
      <w:r w:rsidR="00101DB2" w:rsidRPr="00AB3F90">
        <w:rPr>
          <w:szCs w:val="18"/>
        </w:rPr>
        <w:t xml:space="preserve"> showed that there were currently </w:t>
      </w:r>
      <w:r>
        <w:rPr>
          <w:szCs w:val="18"/>
        </w:rPr>
        <w:t>only 4</w:t>
      </w:r>
      <w:r w:rsidR="00101DB2" w:rsidRPr="00AB3F90">
        <w:rPr>
          <w:szCs w:val="18"/>
        </w:rPr>
        <w:t xml:space="preserve"> mercury-</w:t>
      </w:r>
      <w:r w:rsidR="007146F0" w:rsidRPr="00AB3F90">
        <w:rPr>
          <w:szCs w:val="18"/>
        </w:rPr>
        <w:t>containing human pharmaceutical products</w:t>
      </w:r>
      <w:r w:rsidR="00101DB2" w:rsidRPr="00AB3F90">
        <w:rPr>
          <w:szCs w:val="18"/>
        </w:rPr>
        <w:t xml:space="preserve"> registered for use in New Zealand</w:t>
      </w:r>
      <w:r>
        <w:rPr>
          <w:szCs w:val="18"/>
        </w:rPr>
        <w:t xml:space="preserve"> (as opposed to the 26 noted in the 2012 Inventory Report</w:t>
      </w:r>
      <w:r w:rsidR="00E51E55">
        <w:rPr>
          <w:szCs w:val="18"/>
        </w:rPr>
        <w:t>).</w:t>
      </w:r>
      <w:r w:rsidR="007146F0" w:rsidRPr="00AB3F90">
        <w:rPr>
          <w:szCs w:val="18"/>
        </w:rPr>
        <w:t xml:space="preserve"> </w:t>
      </w:r>
      <w:r w:rsidR="00E51E55">
        <w:rPr>
          <w:szCs w:val="18"/>
        </w:rPr>
        <w:t xml:space="preserve">Two </w:t>
      </w:r>
      <w:r w:rsidR="00101DB2" w:rsidRPr="00AB3F90">
        <w:rPr>
          <w:szCs w:val="18"/>
        </w:rPr>
        <w:t xml:space="preserve">of these </w:t>
      </w:r>
      <w:r w:rsidR="007146F0" w:rsidRPr="00AB3F90">
        <w:rPr>
          <w:szCs w:val="18"/>
        </w:rPr>
        <w:t xml:space="preserve">contain </w:t>
      </w:r>
      <w:proofErr w:type="spellStart"/>
      <w:r w:rsidR="00101DB2" w:rsidRPr="00AB3F90">
        <w:rPr>
          <w:szCs w:val="18"/>
        </w:rPr>
        <w:t>p</w:t>
      </w:r>
      <w:r w:rsidR="007146F0" w:rsidRPr="00AB3F90">
        <w:rPr>
          <w:szCs w:val="18"/>
        </w:rPr>
        <w:t>henylmercuric</w:t>
      </w:r>
      <w:proofErr w:type="spellEnd"/>
      <w:r w:rsidR="007146F0" w:rsidRPr="00AB3F90">
        <w:rPr>
          <w:szCs w:val="18"/>
        </w:rPr>
        <w:t xml:space="preserve"> nitrate, </w:t>
      </w:r>
      <w:r w:rsidR="00101DB2" w:rsidRPr="00AB3F90">
        <w:rPr>
          <w:szCs w:val="18"/>
        </w:rPr>
        <w:t xml:space="preserve">and </w:t>
      </w:r>
      <w:r w:rsidR="00E51E55">
        <w:rPr>
          <w:szCs w:val="18"/>
        </w:rPr>
        <w:t>two</w:t>
      </w:r>
      <w:r w:rsidR="007146F0" w:rsidRPr="00AB3F90">
        <w:rPr>
          <w:szCs w:val="18"/>
        </w:rPr>
        <w:t xml:space="preserve"> </w:t>
      </w:r>
      <w:r w:rsidR="00101DB2" w:rsidRPr="00AB3F90">
        <w:rPr>
          <w:szCs w:val="18"/>
        </w:rPr>
        <w:t xml:space="preserve">contain </w:t>
      </w:r>
      <w:proofErr w:type="spellStart"/>
      <w:r w:rsidR="007146F0" w:rsidRPr="00AB3F90">
        <w:rPr>
          <w:szCs w:val="18"/>
        </w:rPr>
        <w:t>phenylmercuric</w:t>
      </w:r>
      <w:proofErr w:type="spellEnd"/>
      <w:r w:rsidR="007146F0" w:rsidRPr="00AB3F90">
        <w:rPr>
          <w:szCs w:val="18"/>
        </w:rPr>
        <w:t xml:space="preserve"> acetate. </w:t>
      </w:r>
      <w:r w:rsidR="00E51E55" w:rsidRPr="009E66DB">
        <w:rPr>
          <w:szCs w:val="18"/>
        </w:rPr>
        <w:t xml:space="preserve">Two of the three companies responsible for distribution provided sales information that allowed calculation </w:t>
      </w:r>
      <w:proofErr w:type="gramStart"/>
      <w:r w:rsidR="00E51E55" w:rsidRPr="009E66DB">
        <w:rPr>
          <w:szCs w:val="18"/>
        </w:rPr>
        <w:t xml:space="preserve">of a total </w:t>
      </w:r>
      <w:r w:rsidR="00E51E55">
        <w:rPr>
          <w:szCs w:val="18"/>
        </w:rPr>
        <w:t>inputs</w:t>
      </w:r>
      <w:proofErr w:type="gramEnd"/>
      <w:r w:rsidR="00E51E55" w:rsidRPr="009E66DB">
        <w:rPr>
          <w:szCs w:val="18"/>
        </w:rPr>
        <w:t xml:space="preserve"> of </w:t>
      </w:r>
      <w:r w:rsidR="00E51E55">
        <w:rPr>
          <w:szCs w:val="18"/>
        </w:rPr>
        <w:t xml:space="preserve">0.026 kg of mercury for </w:t>
      </w:r>
      <w:r w:rsidR="00E51E55" w:rsidRPr="009E66DB">
        <w:rPr>
          <w:szCs w:val="18"/>
        </w:rPr>
        <w:t xml:space="preserve">these products </w:t>
      </w:r>
      <w:r w:rsidR="00E51E55" w:rsidRPr="00875275">
        <w:rPr>
          <w:szCs w:val="18"/>
        </w:rPr>
        <w:t>in 2016.</w:t>
      </w:r>
    </w:p>
    <w:p w14:paraId="3020B7B9" w14:textId="5E5A5815" w:rsidR="00CA2DE5" w:rsidRDefault="00DF5261" w:rsidP="007146F0">
      <w:pPr>
        <w:spacing w:line="300" w:lineRule="atLeast"/>
        <w:jc w:val="both"/>
        <w:rPr>
          <w:szCs w:val="18"/>
        </w:rPr>
      </w:pPr>
      <w:r>
        <w:rPr>
          <w:szCs w:val="18"/>
        </w:rPr>
        <w:t>A search of the</w:t>
      </w:r>
      <w:r w:rsidR="00D07F5F" w:rsidRPr="00DF5261">
        <w:rPr>
          <w:szCs w:val="18"/>
        </w:rPr>
        <w:t xml:space="preserve"> </w:t>
      </w:r>
      <w:r>
        <w:rPr>
          <w:szCs w:val="18"/>
        </w:rPr>
        <w:t xml:space="preserve">national </w:t>
      </w:r>
      <w:r w:rsidR="00D07F5F" w:rsidRPr="00DF5261">
        <w:rPr>
          <w:szCs w:val="18"/>
        </w:rPr>
        <w:t>register of approve</w:t>
      </w:r>
      <w:r w:rsidR="00A96DF6" w:rsidRPr="00DF5261">
        <w:rPr>
          <w:szCs w:val="18"/>
        </w:rPr>
        <w:t>d</w:t>
      </w:r>
      <w:r w:rsidR="00D07F5F" w:rsidRPr="00DF5261">
        <w:rPr>
          <w:szCs w:val="18"/>
        </w:rPr>
        <w:t xml:space="preserve"> veterinary products </w:t>
      </w:r>
      <w:r>
        <w:rPr>
          <w:szCs w:val="18"/>
        </w:rPr>
        <w:t xml:space="preserve">in 2013 found </w:t>
      </w:r>
      <w:r w:rsidR="00725663" w:rsidRPr="00DF5261">
        <w:rPr>
          <w:szCs w:val="18"/>
        </w:rPr>
        <w:t>92 different</w:t>
      </w:r>
      <w:r>
        <w:rPr>
          <w:szCs w:val="18"/>
        </w:rPr>
        <w:t xml:space="preserve"> products that contain small amounts of mercury preservatives, although this does not on its own indicate that these products are actually being used in New Zealand. Information obtained from local </w:t>
      </w:r>
      <w:r w:rsidR="00CA2DE5" w:rsidRPr="00DF5261">
        <w:rPr>
          <w:szCs w:val="18"/>
        </w:rPr>
        <w:t xml:space="preserve">manufacturers of veterinary vaccines </w:t>
      </w:r>
      <w:r>
        <w:rPr>
          <w:szCs w:val="18"/>
        </w:rPr>
        <w:t>for the 2012 Inventory Report</w:t>
      </w:r>
      <w:r w:rsidR="00CA2DE5" w:rsidRPr="00DF5261">
        <w:rPr>
          <w:szCs w:val="18"/>
        </w:rPr>
        <w:t xml:space="preserve">, </w:t>
      </w:r>
      <w:r>
        <w:rPr>
          <w:szCs w:val="18"/>
        </w:rPr>
        <w:t>indicated</w:t>
      </w:r>
      <w:r w:rsidR="00CA2DE5" w:rsidRPr="00DF5261">
        <w:rPr>
          <w:szCs w:val="18"/>
        </w:rPr>
        <w:t xml:space="preserve"> total import</w:t>
      </w:r>
      <w:r w:rsidR="00D3716C" w:rsidRPr="00DF5261">
        <w:rPr>
          <w:szCs w:val="18"/>
        </w:rPr>
        <w:t xml:space="preserve">s of </w:t>
      </w:r>
      <w:proofErr w:type="spellStart"/>
      <w:r w:rsidRPr="00DF5261">
        <w:rPr>
          <w:szCs w:val="18"/>
        </w:rPr>
        <w:t>Thiomersal</w:t>
      </w:r>
      <w:proofErr w:type="spellEnd"/>
      <w:r w:rsidRPr="00DF5261">
        <w:rPr>
          <w:szCs w:val="18"/>
        </w:rPr>
        <w:t xml:space="preserve"> preservative </w:t>
      </w:r>
      <w:r>
        <w:rPr>
          <w:szCs w:val="18"/>
        </w:rPr>
        <w:t>of</w:t>
      </w:r>
      <w:r w:rsidR="00D3716C" w:rsidRPr="00DF5261">
        <w:rPr>
          <w:szCs w:val="18"/>
        </w:rPr>
        <w:t xml:space="preserve"> about 3</w:t>
      </w:r>
      <w:r w:rsidR="00CA2DE5" w:rsidRPr="00DF5261">
        <w:rPr>
          <w:szCs w:val="18"/>
        </w:rPr>
        <w:t>0 kg per year</w:t>
      </w:r>
      <w:r>
        <w:rPr>
          <w:szCs w:val="18"/>
        </w:rPr>
        <w:t>. A</w:t>
      </w:r>
      <w:r w:rsidR="00ED67CA">
        <w:rPr>
          <w:szCs w:val="18"/>
        </w:rPr>
        <w:t>n additional i</w:t>
      </w:r>
      <w:r>
        <w:rPr>
          <w:szCs w:val="18"/>
        </w:rPr>
        <w:t xml:space="preserve">nput of </w:t>
      </w:r>
      <w:r w:rsidR="00ED67CA">
        <w:rPr>
          <w:szCs w:val="18"/>
        </w:rPr>
        <w:t xml:space="preserve">10 kg per year was assumed from information obtained from two </w:t>
      </w:r>
      <w:r w:rsidR="00CA2DE5" w:rsidRPr="00DF5261">
        <w:rPr>
          <w:szCs w:val="18"/>
        </w:rPr>
        <w:t>vaccine importers and distributors</w:t>
      </w:r>
      <w:r w:rsidR="00ED67CA">
        <w:rPr>
          <w:szCs w:val="18"/>
        </w:rPr>
        <w:t>.</w:t>
      </w:r>
    </w:p>
    <w:p w14:paraId="4AF215E3" w14:textId="2E580A93" w:rsidR="00ED67CA" w:rsidRPr="00AB3F90" w:rsidRDefault="00316995" w:rsidP="007146F0">
      <w:pPr>
        <w:spacing w:line="300" w:lineRule="atLeast"/>
        <w:jc w:val="both"/>
        <w:rPr>
          <w:szCs w:val="18"/>
        </w:rPr>
      </w:pPr>
      <w:r>
        <w:rPr>
          <w:szCs w:val="18"/>
        </w:rPr>
        <w:lastRenderedPageBreak/>
        <w:t>Information received to date from current vaccine suppliers indicates similar quantities for 2016.  T</w:t>
      </w:r>
      <w:r w:rsidR="00ED67CA">
        <w:rPr>
          <w:szCs w:val="18"/>
        </w:rPr>
        <w:t xml:space="preserve">otal </w:t>
      </w:r>
      <w:r>
        <w:rPr>
          <w:szCs w:val="18"/>
        </w:rPr>
        <w:t xml:space="preserve">mercury inputs and outputs have been assumed to be the same as those </w:t>
      </w:r>
      <w:r w:rsidR="00ED67CA">
        <w:rPr>
          <w:szCs w:val="18"/>
        </w:rPr>
        <w:t>for 2012.</w:t>
      </w:r>
    </w:p>
    <w:p w14:paraId="76B0E7D1" w14:textId="77777777" w:rsidR="00E472E6" w:rsidRDefault="00E472E6" w:rsidP="00E472E6">
      <w:pPr>
        <w:pStyle w:val="Heading2"/>
      </w:pPr>
      <w:bookmarkStart w:id="109" w:name="_Toc484949599"/>
      <w:r>
        <w:t>Cosmetics and related products</w:t>
      </w:r>
      <w:bookmarkEnd w:id="109"/>
    </w:p>
    <w:p w14:paraId="7BBA2719" w14:textId="77777777" w:rsidR="00E472E6" w:rsidRDefault="008B4725" w:rsidP="002637C5">
      <w:pPr>
        <w:spacing w:line="300" w:lineRule="atLeast"/>
        <w:jc w:val="both"/>
        <w:rPr>
          <w:szCs w:val="18"/>
        </w:rPr>
      </w:pPr>
      <w:r>
        <w:rPr>
          <w:szCs w:val="18"/>
        </w:rPr>
        <w:t xml:space="preserve">The use of chemical substances in cosmetics is governed by the </w:t>
      </w:r>
      <w:r w:rsidRPr="00F0717E">
        <w:rPr>
          <w:i/>
          <w:szCs w:val="18"/>
        </w:rPr>
        <w:t>Cosmetic Products Group Standard (2006</w:t>
      </w:r>
      <w:r w:rsidR="002323B8" w:rsidRPr="00F0717E">
        <w:rPr>
          <w:i/>
          <w:szCs w:val="18"/>
        </w:rPr>
        <w:t>,</w:t>
      </w:r>
      <w:r w:rsidRPr="00F0717E">
        <w:rPr>
          <w:i/>
          <w:szCs w:val="18"/>
        </w:rPr>
        <w:t xml:space="preserve"> </w:t>
      </w:r>
      <w:r w:rsidR="002323B8" w:rsidRPr="00F0717E">
        <w:rPr>
          <w:i/>
          <w:szCs w:val="18"/>
        </w:rPr>
        <w:t>with</w:t>
      </w:r>
      <w:r w:rsidRPr="00F0717E">
        <w:rPr>
          <w:i/>
          <w:szCs w:val="18"/>
        </w:rPr>
        <w:t xml:space="preserve"> amendments</w:t>
      </w:r>
      <w:r w:rsidR="002323B8" w:rsidRPr="00F0717E">
        <w:rPr>
          <w:i/>
          <w:szCs w:val="18"/>
        </w:rPr>
        <w:t xml:space="preserve"> to July 2012</w:t>
      </w:r>
      <w:r w:rsidRPr="00F0717E">
        <w:rPr>
          <w:i/>
          <w:szCs w:val="18"/>
        </w:rPr>
        <w:t>)</w:t>
      </w:r>
      <w:r>
        <w:rPr>
          <w:szCs w:val="18"/>
        </w:rPr>
        <w:t xml:space="preserve"> issued under the </w:t>
      </w:r>
      <w:r w:rsidRPr="00F0717E">
        <w:rPr>
          <w:i/>
          <w:szCs w:val="18"/>
        </w:rPr>
        <w:t>Hazardous Substances and New Organisms Act</w:t>
      </w:r>
      <w:r w:rsidR="002323B8" w:rsidRPr="00F0717E">
        <w:rPr>
          <w:i/>
          <w:szCs w:val="18"/>
        </w:rPr>
        <w:t xml:space="preserve"> 1996</w:t>
      </w:r>
      <w:r>
        <w:rPr>
          <w:szCs w:val="18"/>
        </w:rPr>
        <w:t xml:space="preserve">. Generally, the Group Standard prohibits the use of mercury compounds, but </w:t>
      </w:r>
      <w:proofErr w:type="spellStart"/>
      <w:r w:rsidR="00C1434B">
        <w:rPr>
          <w:szCs w:val="18"/>
        </w:rPr>
        <w:t>Thiomersal</w:t>
      </w:r>
      <w:proofErr w:type="spellEnd"/>
      <w:r w:rsidR="00C1434B">
        <w:rPr>
          <w:szCs w:val="18"/>
        </w:rPr>
        <w:t xml:space="preserve"> and </w:t>
      </w:r>
      <w:proofErr w:type="spellStart"/>
      <w:r w:rsidR="00C1434B">
        <w:rPr>
          <w:szCs w:val="18"/>
        </w:rPr>
        <w:t>phenylmercuric</w:t>
      </w:r>
      <w:proofErr w:type="spellEnd"/>
      <w:r w:rsidR="00C1434B">
        <w:rPr>
          <w:szCs w:val="18"/>
        </w:rPr>
        <w:t xml:space="preserve"> salts are permitted for use as preservatives, at concentrations of no more than 0.007% (as Hg).</w:t>
      </w:r>
      <w:r w:rsidR="002637C5">
        <w:rPr>
          <w:szCs w:val="18"/>
        </w:rPr>
        <w:t xml:space="preserve"> </w:t>
      </w:r>
      <w:r w:rsidR="00F0717E">
        <w:rPr>
          <w:szCs w:val="18"/>
        </w:rPr>
        <w:t>Checks with 5 cosmetics manufacturers found n</w:t>
      </w:r>
      <w:r w:rsidR="002637C5">
        <w:rPr>
          <w:szCs w:val="18"/>
        </w:rPr>
        <w:t xml:space="preserve">o </w:t>
      </w:r>
      <w:r w:rsidR="00F0717E">
        <w:rPr>
          <w:szCs w:val="18"/>
        </w:rPr>
        <w:t xml:space="preserve">evidence of mercury use in 2012, and there is no reason to expect that this situation </w:t>
      </w:r>
      <w:r w:rsidR="00E0576D">
        <w:rPr>
          <w:szCs w:val="18"/>
        </w:rPr>
        <w:t>will be any different for 2016</w:t>
      </w:r>
      <w:r w:rsidR="00C1434B">
        <w:rPr>
          <w:szCs w:val="18"/>
        </w:rPr>
        <w:t>.</w:t>
      </w:r>
    </w:p>
    <w:p w14:paraId="2F7AD2C2" w14:textId="77777777" w:rsidR="00DB5237" w:rsidRPr="00D766AB" w:rsidRDefault="00DB5237" w:rsidP="00DB5237">
      <w:pPr>
        <w:pStyle w:val="Heading2"/>
        <w:rPr>
          <w:rFonts w:eastAsia="Calibri"/>
        </w:rPr>
      </w:pPr>
      <w:bookmarkStart w:id="110" w:name="_Toc484949600"/>
      <w:r w:rsidRPr="00D766AB">
        <w:rPr>
          <w:rFonts w:eastAsia="Calibri"/>
        </w:rPr>
        <w:t>Summary for this category</w:t>
      </w:r>
      <w:bookmarkEnd w:id="110"/>
      <w:r w:rsidRPr="00D766AB">
        <w:rPr>
          <w:rFonts w:eastAsia="Calibri"/>
        </w:rPr>
        <w:t xml:space="preserve"> </w:t>
      </w:r>
    </w:p>
    <w:p w14:paraId="15F42CE1" w14:textId="3483CA99" w:rsidR="00DB5237" w:rsidRDefault="00DB5237" w:rsidP="00917E95">
      <w:pPr>
        <w:spacing w:line="300" w:lineRule="atLeast"/>
        <w:rPr>
          <w:rFonts w:eastAsia="Calibri"/>
          <w:szCs w:val="22"/>
        </w:rPr>
      </w:pPr>
      <w:r>
        <w:rPr>
          <w:rFonts w:eastAsia="Calibri"/>
          <w:szCs w:val="22"/>
        </w:rPr>
        <w:t xml:space="preserve">The estimated inputs and outputs for the </w:t>
      </w:r>
      <w:r w:rsidR="00EE59AC">
        <w:rPr>
          <w:rFonts w:eastAsia="Calibri"/>
          <w:szCs w:val="22"/>
        </w:rPr>
        <w:t>consumer products</w:t>
      </w:r>
      <w:r>
        <w:rPr>
          <w:rFonts w:eastAsia="Calibri"/>
          <w:szCs w:val="22"/>
        </w:rPr>
        <w:t xml:space="preserve"> category are summarised in</w:t>
      </w:r>
      <w:r w:rsidR="00016AD4">
        <w:rPr>
          <w:rFonts w:eastAsia="Calibri"/>
          <w:szCs w:val="22"/>
        </w:rPr>
        <w:t xml:space="preserve"> Table 7-8</w:t>
      </w:r>
      <w:r>
        <w:rPr>
          <w:rFonts w:eastAsia="Calibri"/>
          <w:szCs w:val="22"/>
        </w:rPr>
        <w:t xml:space="preserve">, which shows that </w:t>
      </w:r>
      <w:r w:rsidR="001235FF">
        <w:rPr>
          <w:rFonts w:eastAsia="Calibri"/>
          <w:szCs w:val="22"/>
        </w:rPr>
        <w:t>the most significant input</w:t>
      </w:r>
      <w:r w:rsidR="00056890">
        <w:rPr>
          <w:rFonts w:eastAsia="Calibri"/>
          <w:szCs w:val="22"/>
        </w:rPr>
        <w:t>s</w:t>
      </w:r>
      <w:r w:rsidR="001235FF">
        <w:rPr>
          <w:rFonts w:eastAsia="Calibri"/>
          <w:szCs w:val="22"/>
        </w:rPr>
        <w:t xml:space="preserve"> </w:t>
      </w:r>
      <w:r w:rsidR="00056890">
        <w:rPr>
          <w:rFonts w:eastAsia="Calibri"/>
          <w:szCs w:val="22"/>
        </w:rPr>
        <w:t>are</w:t>
      </w:r>
      <w:r w:rsidR="001235FF">
        <w:rPr>
          <w:rFonts w:eastAsia="Calibri"/>
          <w:szCs w:val="22"/>
        </w:rPr>
        <w:t xml:space="preserve"> from </w:t>
      </w:r>
      <w:r w:rsidR="005529DE">
        <w:rPr>
          <w:rFonts w:eastAsia="Calibri"/>
          <w:szCs w:val="22"/>
        </w:rPr>
        <w:t xml:space="preserve">pharmaceuticals (vaccines) and </w:t>
      </w:r>
      <w:r w:rsidR="001235FF">
        <w:rPr>
          <w:rFonts w:eastAsia="Calibri"/>
          <w:szCs w:val="22"/>
        </w:rPr>
        <w:t>mercury switches and relays</w:t>
      </w:r>
      <w:r w:rsidR="002637C5">
        <w:rPr>
          <w:rFonts w:eastAsia="Calibri"/>
          <w:szCs w:val="22"/>
        </w:rPr>
        <w:t>,</w:t>
      </w:r>
      <w:r w:rsidR="002637C5" w:rsidRPr="002637C5">
        <w:rPr>
          <w:rFonts w:eastAsia="Calibri"/>
          <w:szCs w:val="22"/>
        </w:rPr>
        <w:t xml:space="preserve"> </w:t>
      </w:r>
      <w:r w:rsidR="002637C5">
        <w:rPr>
          <w:rFonts w:eastAsia="Calibri"/>
          <w:szCs w:val="22"/>
        </w:rPr>
        <w:t>lamps and batteries</w:t>
      </w:r>
      <w:r w:rsidR="001235FF">
        <w:rPr>
          <w:rFonts w:eastAsia="Calibri"/>
          <w:szCs w:val="22"/>
        </w:rPr>
        <w:t xml:space="preserve">. </w:t>
      </w:r>
      <w:r w:rsidR="005529DE">
        <w:rPr>
          <w:rFonts w:eastAsia="Calibri"/>
          <w:szCs w:val="22"/>
        </w:rPr>
        <w:t>The quantities shown for vaccines are based on the import data provided by one manufacturer, and this is believed to be the only such operation in New Zealand.</w:t>
      </w:r>
      <w:r w:rsidR="00435C60">
        <w:rPr>
          <w:rFonts w:eastAsia="Calibri"/>
          <w:szCs w:val="22"/>
        </w:rPr>
        <w:t xml:space="preserve"> </w:t>
      </w:r>
    </w:p>
    <w:p w14:paraId="536A6364" w14:textId="77777777" w:rsidR="00DB5237" w:rsidRPr="007901FE" w:rsidRDefault="00DB5237" w:rsidP="00685703">
      <w:pPr>
        <w:pStyle w:val="Caption"/>
        <w:spacing w:before="240"/>
        <w:ind w:left="1440" w:hanging="1440"/>
        <w:rPr>
          <w:rFonts w:ascii="Arial" w:hAnsi="Arial" w:cs="Arial"/>
          <w:szCs w:val="18"/>
        </w:rPr>
      </w:pPr>
      <w:bookmarkStart w:id="111" w:name="_Ref358548583"/>
      <w:bookmarkStart w:id="112" w:name="_Ref358779143"/>
      <w:bookmarkStart w:id="113" w:name="_Toc484949663"/>
      <w:r w:rsidRPr="00DB5237">
        <w:rPr>
          <w:rFonts w:ascii="Arial" w:hAnsi="Arial" w:cs="Arial"/>
        </w:rPr>
        <w:t xml:space="preserve">Table </w:t>
      </w:r>
      <w:r w:rsidR="00390C9F">
        <w:rPr>
          <w:rFonts w:ascii="Arial" w:hAnsi="Arial" w:cs="Arial"/>
        </w:rPr>
        <w:fldChar w:fldCharType="begin"/>
      </w:r>
      <w:r w:rsidR="00390C9F">
        <w:rPr>
          <w:rFonts w:ascii="Arial" w:hAnsi="Arial" w:cs="Arial"/>
        </w:rPr>
        <w:instrText xml:space="preserve"> STYLEREF 1 \s </w:instrText>
      </w:r>
      <w:r w:rsidR="00390C9F">
        <w:rPr>
          <w:rFonts w:ascii="Arial" w:hAnsi="Arial" w:cs="Arial"/>
        </w:rPr>
        <w:fldChar w:fldCharType="separate"/>
      </w:r>
      <w:r w:rsidR="00423FC9">
        <w:rPr>
          <w:rFonts w:ascii="Arial" w:hAnsi="Arial" w:cs="Arial"/>
          <w:noProof/>
        </w:rPr>
        <w:t>7</w:t>
      </w:r>
      <w:r w:rsidR="00390C9F">
        <w:rPr>
          <w:rFonts w:ascii="Arial" w:hAnsi="Arial" w:cs="Arial"/>
        </w:rPr>
        <w:fldChar w:fldCharType="end"/>
      </w:r>
      <w:r w:rsidR="00390C9F">
        <w:rPr>
          <w:rFonts w:ascii="Arial" w:hAnsi="Arial" w:cs="Arial"/>
        </w:rPr>
        <w:noBreakHyphen/>
      </w:r>
      <w:r w:rsidR="00390C9F">
        <w:rPr>
          <w:rFonts w:ascii="Arial" w:hAnsi="Arial" w:cs="Arial"/>
        </w:rPr>
        <w:fldChar w:fldCharType="begin"/>
      </w:r>
      <w:r w:rsidR="00390C9F">
        <w:rPr>
          <w:rFonts w:ascii="Arial" w:hAnsi="Arial" w:cs="Arial"/>
        </w:rPr>
        <w:instrText xml:space="preserve"> SEQ Table \* ARABIC \s 1 </w:instrText>
      </w:r>
      <w:r w:rsidR="00390C9F">
        <w:rPr>
          <w:rFonts w:ascii="Arial" w:hAnsi="Arial" w:cs="Arial"/>
        </w:rPr>
        <w:fldChar w:fldCharType="separate"/>
      </w:r>
      <w:r w:rsidR="00423FC9">
        <w:rPr>
          <w:rFonts w:ascii="Arial" w:hAnsi="Arial" w:cs="Arial"/>
          <w:noProof/>
        </w:rPr>
        <w:t>8</w:t>
      </w:r>
      <w:r w:rsidR="00390C9F">
        <w:rPr>
          <w:rFonts w:ascii="Arial" w:hAnsi="Arial" w:cs="Arial"/>
        </w:rPr>
        <w:fldChar w:fldCharType="end"/>
      </w:r>
      <w:bookmarkEnd w:id="111"/>
      <w:bookmarkEnd w:id="112"/>
      <w:r w:rsidRPr="00DB5237">
        <w:rPr>
          <w:rFonts w:ascii="Arial" w:hAnsi="Arial" w:cs="Arial"/>
        </w:rPr>
        <w:t>:</w:t>
      </w:r>
      <w:r w:rsidRPr="007901FE">
        <w:rPr>
          <w:rFonts w:ascii="Arial" w:hAnsi="Arial" w:cs="Arial"/>
        </w:rPr>
        <w:t xml:space="preserve"> Summary of inputs and o</w:t>
      </w:r>
      <w:r>
        <w:rPr>
          <w:rFonts w:ascii="Arial" w:hAnsi="Arial" w:cs="Arial"/>
        </w:rPr>
        <w:t xml:space="preserve">utputs for </w:t>
      </w:r>
      <w:r w:rsidR="00685703">
        <w:rPr>
          <w:rFonts w:ascii="Arial" w:hAnsi="Arial" w:cs="Arial"/>
        </w:rPr>
        <w:t xml:space="preserve">consumer </w:t>
      </w:r>
      <w:r w:rsidRPr="00D766AB">
        <w:rPr>
          <w:rFonts w:ascii="Arial" w:hAnsi="Arial" w:cs="Arial"/>
        </w:rPr>
        <w:t>product</w:t>
      </w:r>
      <w:r w:rsidR="00685703">
        <w:rPr>
          <w:rFonts w:ascii="Arial" w:hAnsi="Arial" w:cs="Arial"/>
        </w:rPr>
        <w:t>s with intentional use of mercury</w:t>
      </w:r>
      <w:r w:rsidR="00147313">
        <w:rPr>
          <w:rFonts w:ascii="Arial" w:hAnsi="Arial" w:cs="Arial"/>
        </w:rPr>
        <w:t xml:space="preserve"> for 2016</w:t>
      </w:r>
      <w:bookmarkEnd w:id="113"/>
    </w:p>
    <w:tbl>
      <w:tblPr>
        <w:tblStyle w:val="TableGrid"/>
        <w:tblW w:w="9006" w:type="dxa"/>
        <w:tblInd w:w="108" w:type="dxa"/>
        <w:tblLook w:val="04A0" w:firstRow="1" w:lastRow="0" w:firstColumn="1" w:lastColumn="0" w:noHBand="0" w:noVBand="1"/>
      </w:tblPr>
      <w:tblGrid>
        <w:gridCol w:w="1577"/>
        <w:gridCol w:w="1458"/>
        <w:gridCol w:w="1194"/>
        <w:gridCol w:w="1194"/>
        <w:gridCol w:w="1194"/>
        <w:gridCol w:w="1079"/>
        <w:gridCol w:w="1310"/>
      </w:tblGrid>
      <w:tr w:rsidR="00147313" w:rsidRPr="007901FE" w14:paraId="620ECBDB" w14:textId="77777777" w:rsidTr="00427FB4">
        <w:tc>
          <w:tcPr>
            <w:tcW w:w="1577" w:type="dxa"/>
            <w:vMerge w:val="restart"/>
            <w:vAlign w:val="center"/>
          </w:tcPr>
          <w:p w14:paraId="3373E140" w14:textId="77777777" w:rsidR="00147313" w:rsidRPr="004E3E02" w:rsidRDefault="00147313" w:rsidP="003A7261">
            <w:pPr>
              <w:spacing w:line="300" w:lineRule="atLeast"/>
              <w:rPr>
                <w:rFonts w:ascii="Arial" w:hAnsi="Arial" w:cs="Arial"/>
                <w:b/>
                <w:sz w:val="16"/>
                <w:szCs w:val="16"/>
              </w:rPr>
            </w:pPr>
            <w:r w:rsidRPr="004E3E02">
              <w:rPr>
                <w:rFonts w:ascii="Arial" w:hAnsi="Arial" w:cs="Arial"/>
                <w:b/>
                <w:sz w:val="16"/>
                <w:szCs w:val="16"/>
              </w:rPr>
              <w:t>Category</w:t>
            </w:r>
          </w:p>
        </w:tc>
        <w:tc>
          <w:tcPr>
            <w:tcW w:w="1458" w:type="dxa"/>
            <w:vMerge w:val="restart"/>
            <w:vAlign w:val="center"/>
          </w:tcPr>
          <w:p w14:paraId="7F9519A1" w14:textId="77777777" w:rsidR="00147313" w:rsidRPr="004E3E02" w:rsidRDefault="00147313" w:rsidP="003A7261">
            <w:pPr>
              <w:spacing w:line="300" w:lineRule="atLeast"/>
              <w:jc w:val="center"/>
              <w:rPr>
                <w:rFonts w:ascii="Arial" w:hAnsi="Arial" w:cs="Arial"/>
                <w:b/>
                <w:sz w:val="16"/>
                <w:szCs w:val="16"/>
              </w:rPr>
            </w:pPr>
            <w:r w:rsidRPr="004E3E02">
              <w:rPr>
                <w:rFonts w:ascii="Arial" w:hAnsi="Arial" w:cs="Arial"/>
                <w:b/>
                <w:sz w:val="16"/>
                <w:szCs w:val="16"/>
              </w:rPr>
              <w:t>Mercury Inputs, kg/year</w:t>
            </w:r>
          </w:p>
        </w:tc>
        <w:tc>
          <w:tcPr>
            <w:tcW w:w="5971" w:type="dxa"/>
            <w:gridSpan w:val="5"/>
            <w:vAlign w:val="center"/>
          </w:tcPr>
          <w:p w14:paraId="16053D56" w14:textId="77777777" w:rsidR="00147313" w:rsidRPr="004E3E02" w:rsidRDefault="00147313" w:rsidP="003A7261">
            <w:pPr>
              <w:spacing w:line="300" w:lineRule="atLeast"/>
              <w:jc w:val="center"/>
              <w:rPr>
                <w:rFonts w:ascii="Arial" w:hAnsi="Arial" w:cs="Arial"/>
                <w:b/>
                <w:sz w:val="16"/>
                <w:szCs w:val="16"/>
              </w:rPr>
            </w:pPr>
            <w:r w:rsidRPr="004E3E02">
              <w:rPr>
                <w:rFonts w:ascii="Arial" w:hAnsi="Arial" w:cs="Arial"/>
                <w:b/>
                <w:sz w:val="16"/>
                <w:szCs w:val="16"/>
              </w:rPr>
              <w:t>Mercury Outputs, kg/</w:t>
            </w:r>
            <w:proofErr w:type="spellStart"/>
            <w:r w:rsidRPr="004E3E02">
              <w:rPr>
                <w:rFonts w:ascii="Arial" w:hAnsi="Arial" w:cs="Arial"/>
                <w:b/>
                <w:sz w:val="16"/>
                <w:szCs w:val="16"/>
              </w:rPr>
              <w:t>yr</w:t>
            </w:r>
            <w:proofErr w:type="spellEnd"/>
          </w:p>
        </w:tc>
      </w:tr>
      <w:tr w:rsidR="00147313" w:rsidRPr="007901FE" w14:paraId="15518E92" w14:textId="77777777" w:rsidTr="00427FB4">
        <w:tc>
          <w:tcPr>
            <w:tcW w:w="1577" w:type="dxa"/>
            <w:vMerge/>
            <w:vAlign w:val="center"/>
          </w:tcPr>
          <w:p w14:paraId="6CAF7290" w14:textId="77777777" w:rsidR="00147313" w:rsidRPr="004E3E02" w:rsidRDefault="00147313" w:rsidP="003A7261">
            <w:pPr>
              <w:spacing w:line="300" w:lineRule="atLeast"/>
              <w:rPr>
                <w:rFonts w:ascii="Arial" w:hAnsi="Arial" w:cs="Arial"/>
                <w:b/>
                <w:sz w:val="16"/>
                <w:szCs w:val="16"/>
              </w:rPr>
            </w:pPr>
          </w:p>
        </w:tc>
        <w:tc>
          <w:tcPr>
            <w:tcW w:w="1458" w:type="dxa"/>
            <w:vMerge/>
          </w:tcPr>
          <w:p w14:paraId="21CAEEA2" w14:textId="77777777" w:rsidR="00147313" w:rsidRPr="004E3E02" w:rsidRDefault="00147313" w:rsidP="003A7261">
            <w:pPr>
              <w:spacing w:line="300" w:lineRule="atLeast"/>
              <w:jc w:val="both"/>
              <w:rPr>
                <w:rFonts w:ascii="Arial" w:hAnsi="Arial" w:cs="Arial"/>
                <w:b/>
                <w:sz w:val="16"/>
                <w:szCs w:val="16"/>
              </w:rPr>
            </w:pPr>
          </w:p>
        </w:tc>
        <w:tc>
          <w:tcPr>
            <w:tcW w:w="1194" w:type="dxa"/>
            <w:vAlign w:val="center"/>
          </w:tcPr>
          <w:p w14:paraId="01317B1F" w14:textId="77777777" w:rsidR="00147313" w:rsidRPr="004E3E02" w:rsidRDefault="00147313" w:rsidP="003A7261">
            <w:pPr>
              <w:spacing w:line="300" w:lineRule="atLeast"/>
              <w:jc w:val="center"/>
              <w:rPr>
                <w:rFonts w:ascii="Arial" w:hAnsi="Arial" w:cs="Arial"/>
                <w:b/>
                <w:sz w:val="16"/>
                <w:szCs w:val="16"/>
              </w:rPr>
            </w:pPr>
            <w:r w:rsidRPr="004E3E02">
              <w:rPr>
                <w:rFonts w:ascii="Arial" w:hAnsi="Arial" w:cs="Arial"/>
                <w:b/>
                <w:sz w:val="16"/>
                <w:szCs w:val="16"/>
              </w:rPr>
              <w:t>Air</w:t>
            </w:r>
          </w:p>
        </w:tc>
        <w:tc>
          <w:tcPr>
            <w:tcW w:w="1194" w:type="dxa"/>
            <w:vAlign w:val="center"/>
          </w:tcPr>
          <w:p w14:paraId="624D0590" w14:textId="77777777" w:rsidR="00147313" w:rsidRPr="004E3E02" w:rsidRDefault="00147313" w:rsidP="003A7261">
            <w:pPr>
              <w:spacing w:line="300" w:lineRule="atLeast"/>
              <w:jc w:val="center"/>
              <w:rPr>
                <w:rFonts w:ascii="Arial" w:hAnsi="Arial" w:cs="Arial"/>
                <w:b/>
                <w:sz w:val="16"/>
                <w:szCs w:val="16"/>
              </w:rPr>
            </w:pPr>
            <w:r w:rsidRPr="004E3E02">
              <w:rPr>
                <w:rFonts w:ascii="Arial" w:hAnsi="Arial" w:cs="Arial"/>
                <w:b/>
                <w:sz w:val="16"/>
                <w:szCs w:val="16"/>
              </w:rPr>
              <w:t>Water</w:t>
            </w:r>
          </w:p>
        </w:tc>
        <w:tc>
          <w:tcPr>
            <w:tcW w:w="1194" w:type="dxa"/>
            <w:vAlign w:val="center"/>
          </w:tcPr>
          <w:p w14:paraId="3FDB5315" w14:textId="77777777" w:rsidR="00147313" w:rsidRPr="004E3E02" w:rsidRDefault="00147313" w:rsidP="003A7261">
            <w:pPr>
              <w:spacing w:line="300" w:lineRule="atLeast"/>
              <w:jc w:val="center"/>
              <w:rPr>
                <w:rFonts w:ascii="Arial" w:hAnsi="Arial" w:cs="Arial"/>
                <w:b/>
                <w:sz w:val="16"/>
                <w:szCs w:val="16"/>
              </w:rPr>
            </w:pPr>
            <w:r w:rsidRPr="004E3E02">
              <w:rPr>
                <w:rFonts w:ascii="Arial" w:hAnsi="Arial" w:cs="Arial"/>
                <w:b/>
                <w:sz w:val="16"/>
                <w:szCs w:val="16"/>
              </w:rPr>
              <w:t>Land</w:t>
            </w:r>
          </w:p>
        </w:tc>
        <w:tc>
          <w:tcPr>
            <w:tcW w:w="1079" w:type="dxa"/>
            <w:vAlign w:val="center"/>
          </w:tcPr>
          <w:p w14:paraId="5C0F35E7" w14:textId="77777777" w:rsidR="00147313" w:rsidRPr="004E3E02" w:rsidRDefault="00147313" w:rsidP="003A7261">
            <w:pPr>
              <w:spacing w:line="300" w:lineRule="atLeast"/>
              <w:jc w:val="center"/>
              <w:rPr>
                <w:rFonts w:ascii="Arial" w:hAnsi="Arial" w:cs="Arial"/>
                <w:b/>
                <w:sz w:val="16"/>
                <w:szCs w:val="16"/>
              </w:rPr>
            </w:pPr>
            <w:r w:rsidRPr="004E3E02">
              <w:rPr>
                <w:rFonts w:ascii="Arial" w:hAnsi="Arial" w:cs="Arial"/>
                <w:b/>
                <w:sz w:val="16"/>
                <w:szCs w:val="16"/>
              </w:rPr>
              <w:t>Product</w:t>
            </w:r>
          </w:p>
        </w:tc>
        <w:tc>
          <w:tcPr>
            <w:tcW w:w="1310" w:type="dxa"/>
            <w:vAlign w:val="center"/>
          </w:tcPr>
          <w:p w14:paraId="4E93C0A0" w14:textId="77777777" w:rsidR="00147313" w:rsidRPr="004E3E02" w:rsidRDefault="00147313" w:rsidP="003A7261">
            <w:pPr>
              <w:spacing w:line="300" w:lineRule="atLeast"/>
              <w:jc w:val="center"/>
              <w:rPr>
                <w:rFonts w:ascii="Arial" w:hAnsi="Arial" w:cs="Arial"/>
                <w:b/>
                <w:sz w:val="16"/>
                <w:szCs w:val="16"/>
              </w:rPr>
            </w:pPr>
            <w:r w:rsidRPr="004E3E02">
              <w:rPr>
                <w:rFonts w:ascii="Arial" w:hAnsi="Arial" w:cs="Arial"/>
                <w:b/>
                <w:sz w:val="16"/>
                <w:szCs w:val="16"/>
              </w:rPr>
              <w:t>Waste</w:t>
            </w:r>
          </w:p>
        </w:tc>
      </w:tr>
      <w:tr w:rsidR="009F0657" w:rsidRPr="007901FE" w14:paraId="2D96836B" w14:textId="77777777" w:rsidTr="00427FB4">
        <w:tc>
          <w:tcPr>
            <w:tcW w:w="1577" w:type="dxa"/>
            <w:vAlign w:val="center"/>
          </w:tcPr>
          <w:p w14:paraId="74D745B6" w14:textId="77777777" w:rsidR="009F0657" w:rsidRPr="004901F2" w:rsidRDefault="009F0657" w:rsidP="009F0657">
            <w:pPr>
              <w:spacing w:line="300" w:lineRule="atLeast"/>
              <w:rPr>
                <w:rFonts w:ascii="Arial" w:hAnsi="Arial" w:cs="Arial"/>
                <w:sz w:val="16"/>
                <w:szCs w:val="16"/>
              </w:rPr>
            </w:pPr>
            <w:r>
              <w:rPr>
                <w:rFonts w:ascii="Arial" w:hAnsi="Arial" w:cs="Arial"/>
                <w:sz w:val="16"/>
                <w:szCs w:val="16"/>
              </w:rPr>
              <w:t>Thermometers with mercury</w:t>
            </w:r>
          </w:p>
        </w:tc>
        <w:tc>
          <w:tcPr>
            <w:tcW w:w="1458" w:type="dxa"/>
            <w:vAlign w:val="center"/>
          </w:tcPr>
          <w:p w14:paraId="019A4CAF" w14:textId="07D6A6F4" w:rsidR="009F0657" w:rsidRDefault="00D05C51" w:rsidP="009F0657">
            <w:pPr>
              <w:spacing w:line="300" w:lineRule="atLeast"/>
              <w:jc w:val="center"/>
              <w:rPr>
                <w:rFonts w:ascii="Arial" w:hAnsi="Arial" w:cs="Arial"/>
                <w:sz w:val="16"/>
                <w:szCs w:val="16"/>
              </w:rPr>
            </w:pPr>
            <w:r>
              <w:rPr>
                <w:rFonts w:ascii="Arial" w:hAnsi="Arial" w:cs="Arial"/>
                <w:sz w:val="16"/>
                <w:szCs w:val="16"/>
              </w:rPr>
              <w:t>1.91 – 19.05 (10.48</w:t>
            </w:r>
            <w:r w:rsidR="009F0657">
              <w:rPr>
                <w:rFonts w:ascii="Arial" w:hAnsi="Arial" w:cs="Arial"/>
                <w:sz w:val="16"/>
                <w:szCs w:val="16"/>
              </w:rPr>
              <w:t>)</w:t>
            </w:r>
          </w:p>
        </w:tc>
        <w:tc>
          <w:tcPr>
            <w:tcW w:w="1194" w:type="dxa"/>
            <w:vAlign w:val="center"/>
          </w:tcPr>
          <w:p w14:paraId="177C88E7" w14:textId="44313113" w:rsidR="009F0657" w:rsidRDefault="00D05C51" w:rsidP="009F0657">
            <w:pPr>
              <w:spacing w:line="300" w:lineRule="atLeast"/>
              <w:jc w:val="center"/>
              <w:rPr>
                <w:rFonts w:ascii="Arial" w:hAnsi="Arial" w:cs="Arial"/>
                <w:sz w:val="16"/>
                <w:szCs w:val="16"/>
              </w:rPr>
            </w:pPr>
            <w:r>
              <w:rPr>
                <w:rFonts w:ascii="Arial" w:hAnsi="Arial" w:cs="Arial"/>
                <w:sz w:val="16"/>
                <w:szCs w:val="16"/>
              </w:rPr>
              <w:t>0.19 – 1.91   (1.05</w:t>
            </w:r>
            <w:r w:rsidR="009F0657">
              <w:rPr>
                <w:rFonts w:ascii="Arial" w:hAnsi="Arial" w:cs="Arial"/>
                <w:sz w:val="16"/>
                <w:szCs w:val="16"/>
              </w:rPr>
              <w:t>)</w:t>
            </w:r>
          </w:p>
        </w:tc>
        <w:tc>
          <w:tcPr>
            <w:tcW w:w="1194" w:type="dxa"/>
          </w:tcPr>
          <w:p w14:paraId="1F9CC9A8" w14:textId="2E347374" w:rsidR="009F0657" w:rsidRDefault="009F0657" w:rsidP="009F0657">
            <w:pPr>
              <w:spacing w:line="300" w:lineRule="atLeast"/>
              <w:jc w:val="center"/>
              <w:rPr>
                <w:rFonts w:ascii="Arial" w:hAnsi="Arial" w:cs="Arial"/>
                <w:sz w:val="16"/>
                <w:szCs w:val="16"/>
              </w:rPr>
            </w:pPr>
            <w:r>
              <w:rPr>
                <w:rFonts w:ascii="Arial" w:hAnsi="Arial" w:cs="Arial"/>
                <w:sz w:val="16"/>
                <w:szCs w:val="16"/>
              </w:rPr>
              <w:t>0.57 – 5.72  (3.1</w:t>
            </w:r>
            <w:r w:rsidR="00D05C51">
              <w:rPr>
                <w:rFonts w:ascii="Arial" w:hAnsi="Arial" w:cs="Arial"/>
                <w:sz w:val="16"/>
                <w:szCs w:val="16"/>
              </w:rPr>
              <w:t>4</w:t>
            </w:r>
            <w:r>
              <w:rPr>
                <w:rFonts w:ascii="Arial" w:hAnsi="Arial" w:cs="Arial"/>
                <w:sz w:val="16"/>
                <w:szCs w:val="16"/>
              </w:rPr>
              <w:t>)</w:t>
            </w:r>
          </w:p>
        </w:tc>
        <w:tc>
          <w:tcPr>
            <w:tcW w:w="1194" w:type="dxa"/>
            <w:vAlign w:val="center"/>
          </w:tcPr>
          <w:p w14:paraId="5CF0F8CD" w14:textId="1E3618CE" w:rsidR="009F0657" w:rsidRPr="0092466E" w:rsidRDefault="009F0657" w:rsidP="009F0657">
            <w:pPr>
              <w:spacing w:line="300" w:lineRule="atLeast"/>
              <w:jc w:val="center"/>
              <w:rPr>
                <w:rFonts w:ascii="Arial" w:hAnsi="Arial" w:cs="Arial"/>
                <w:sz w:val="16"/>
                <w:szCs w:val="16"/>
              </w:rPr>
            </w:pPr>
            <w:r>
              <w:rPr>
                <w:rFonts w:ascii="Arial" w:hAnsi="Arial" w:cs="Arial"/>
                <w:sz w:val="16"/>
                <w:szCs w:val="16"/>
              </w:rPr>
              <w:t>-</w:t>
            </w:r>
          </w:p>
        </w:tc>
        <w:tc>
          <w:tcPr>
            <w:tcW w:w="1079" w:type="dxa"/>
            <w:vAlign w:val="center"/>
          </w:tcPr>
          <w:p w14:paraId="2385AC99" w14:textId="77777777" w:rsidR="009F0657" w:rsidRPr="0092466E" w:rsidRDefault="009F0657" w:rsidP="009F0657">
            <w:pPr>
              <w:spacing w:line="300" w:lineRule="atLeast"/>
              <w:jc w:val="center"/>
              <w:rPr>
                <w:rFonts w:ascii="Arial" w:hAnsi="Arial" w:cs="Arial"/>
                <w:sz w:val="16"/>
                <w:szCs w:val="16"/>
              </w:rPr>
            </w:pPr>
            <w:r>
              <w:rPr>
                <w:rFonts w:ascii="Arial" w:hAnsi="Arial" w:cs="Arial"/>
                <w:sz w:val="16"/>
                <w:szCs w:val="16"/>
              </w:rPr>
              <w:t>-</w:t>
            </w:r>
          </w:p>
        </w:tc>
        <w:tc>
          <w:tcPr>
            <w:tcW w:w="1310" w:type="dxa"/>
            <w:vAlign w:val="center"/>
          </w:tcPr>
          <w:p w14:paraId="5A3B3CC0" w14:textId="0A74867C" w:rsidR="009F0657" w:rsidRPr="003D6D52" w:rsidRDefault="00D05C51" w:rsidP="009F0657">
            <w:pPr>
              <w:spacing w:line="300" w:lineRule="atLeast"/>
              <w:jc w:val="center"/>
              <w:rPr>
                <w:rFonts w:ascii="Arial" w:hAnsi="Arial" w:cs="Arial"/>
                <w:sz w:val="16"/>
                <w:szCs w:val="16"/>
              </w:rPr>
            </w:pPr>
            <w:r>
              <w:rPr>
                <w:rFonts w:ascii="Arial" w:hAnsi="Arial" w:cs="Arial"/>
                <w:sz w:val="16"/>
                <w:szCs w:val="16"/>
              </w:rPr>
              <w:t>1.14 – 11.4  (6.29</w:t>
            </w:r>
            <w:r w:rsidR="009F0657">
              <w:rPr>
                <w:rFonts w:ascii="Arial" w:hAnsi="Arial" w:cs="Arial"/>
                <w:sz w:val="16"/>
                <w:szCs w:val="16"/>
              </w:rPr>
              <w:t>)</w:t>
            </w:r>
          </w:p>
        </w:tc>
      </w:tr>
      <w:tr w:rsidR="00147313" w:rsidRPr="007901FE" w14:paraId="597BDA24" w14:textId="77777777" w:rsidTr="00427FB4">
        <w:tc>
          <w:tcPr>
            <w:tcW w:w="1577" w:type="dxa"/>
            <w:vAlign w:val="center"/>
          </w:tcPr>
          <w:p w14:paraId="023C6868" w14:textId="377F3643" w:rsidR="00147313" w:rsidRPr="004901F2" w:rsidRDefault="002A2A59" w:rsidP="004E5D6C">
            <w:pPr>
              <w:spacing w:before="40" w:after="40" w:line="300" w:lineRule="atLeast"/>
              <w:rPr>
                <w:rFonts w:ascii="Arial" w:hAnsi="Arial" w:cs="Arial"/>
                <w:sz w:val="16"/>
                <w:szCs w:val="16"/>
              </w:rPr>
            </w:pPr>
            <w:r>
              <w:rPr>
                <w:rFonts w:ascii="Arial" w:hAnsi="Arial" w:cs="Arial"/>
                <w:sz w:val="16"/>
                <w:szCs w:val="16"/>
              </w:rPr>
              <w:t>S</w:t>
            </w:r>
            <w:r w:rsidR="00147313">
              <w:rPr>
                <w:rFonts w:ascii="Arial" w:hAnsi="Arial" w:cs="Arial"/>
                <w:sz w:val="16"/>
                <w:szCs w:val="16"/>
              </w:rPr>
              <w:t xml:space="preserve">witches, contacts and relays </w:t>
            </w:r>
          </w:p>
        </w:tc>
        <w:tc>
          <w:tcPr>
            <w:tcW w:w="1458" w:type="dxa"/>
            <w:vAlign w:val="center"/>
          </w:tcPr>
          <w:p w14:paraId="627E0AA9" w14:textId="335804C3" w:rsidR="00147313" w:rsidRPr="00851857" w:rsidRDefault="005D18AD" w:rsidP="00746C34">
            <w:pPr>
              <w:spacing w:line="300" w:lineRule="atLeast"/>
              <w:jc w:val="center"/>
              <w:rPr>
                <w:rFonts w:ascii="Arial" w:hAnsi="Arial" w:cs="Arial"/>
                <w:sz w:val="16"/>
                <w:szCs w:val="16"/>
              </w:rPr>
            </w:pPr>
            <w:r>
              <w:rPr>
                <w:rFonts w:ascii="Arial" w:hAnsi="Arial" w:cs="Arial"/>
                <w:sz w:val="16"/>
                <w:szCs w:val="16"/>
              </w:rPr>
              <w:t xml:space="preserve">9.4 - 94 </w:t>
            </w:r>
            <w:r>
              <w:rPr>
                <w:rFonts w:ascii="Arial" w:hAnsi="Arial" w:cs="Arial"/>
                <w:sz w:val="16"/>
                <w:szCs w:val="16"/>
              </w:rPr>
              <w:br/>
              <w:t>(51.7</w:t>
            </w:r>
            <w:r w:rsidR="00D05C51">
              <w:rPr>
                <w:rFonts w:ascii="Arial" w:hAnsi="Arial" w:cs="Arial"/>
                <w:sz w:val="16"/>
                <w:szCs w:val="16"/>
              </w:rPr>
              <w:t>0</w:t>
            </w:r>
            <w:r w:rsidR="00147313">
              <w:rPr>
                <w:rFonts w:ascii="Arial" w:hAnsi="Arial" w:cs="Arial"/>
                <w:sz w:val="16"/>
                <w:szCs w:val="16"/>
              </w:rPr>
              <w:t>)</w:t>
            </w:r>
          </w:p>
        </w:tc>
        <w:tc>
          <w:tcPr>
            <w:tcW w:w="1194" w:type="dxa"/>
            <w:vAlign w:val="center"/>
          </w:tcPr>
          <w:p w14:paraId="186BEE09" w14:textId="77777777" w:rsidR="00147313" w:rsidRPr="00851857" w:rsidRDefault="00147313" w:rsidP="00746C34">
            <w:pPr>
              <w:spacing w:line="300" w:lineRule="atLeast"/>
              <w:jc w:val="center"/>
              <w:rPr>
                <w:rFonts w:ascii="Arial" w:hAnsi="Arial" w:cs="Arial"/>
                <w:sz w:val="16"/>
                <w:szCs w:val="16"/>
              </w:rPr>
            </w:pPr>
            <w:r w:rsidRPr="00851857">
              <w:rPr>
                <w:rFonts w:ascii="Arial" w:hAnsi="Arial" w:cs="Arial"/>
                <w:sz w:val="16"/>
                <w:szCs w:val="16"/>
              </w:rPr>
              <w:t>0.9</w:t>
            </w:r>
            <w:r w:rsidR="005D18AD">
              <w:rPr>
                <w:rFonts w:ascii="Arial" w:hAnsi="Arial" w:cs="Arial"/>
                <w:sz w:val="16"/>
                <w:szCs w:val="16"/>
              </w:rPr>
              <w:t>4 – 9.4 (5.17</w:t>
            </w:r>
            <w:r>
              <w:rPr>
                <w:rFonts w:ascii="Arial" w:hAnsi="Arial" w:cs="Arial"/>
                <w:sz w:val="16"/>
                <w:szCs w:val="16"/>
              </w:rPr>
              <w:t>)</w:t>
            </w:r>
          </w:p>
        </w:tc>
        <w:tc>
          <w:tcPr>
            <w:tcW w:w="1194" w:type="dxa"/>
            <w:vAlign w:val="center"/>
          </w:tcPr>
          <w:p w14:paraId="7F978451" w14:textId="77777777" w:rsidR="00147313" w:rsidRPr="00851857" w:rsidRDefault="00147313" w:rsidP="00746C34">
            <w:pPr>
              <w:spacing w:line="300" w:lineRule="atLeast"/>
              <w:jc w:val="center"/>
              <w:rPr>
                <w:rFonts w:ascii="Arial" w:hAnsi="Arial" w:cs="Arial"/>
                <w:sz w:val="16"/>
                <w:szCs w:val="16"/>
              </w:rPr>
            </w:pPr>
            <w:r>
              <w:rPr>
                <w:rFonts w:ascii="Arial" w:hAnsi="Arial" w:cs="Arial"/>
                <w:sz w:val="16"/>
                <w:szCs w:val="16"/>
              </w:rPr>
              <w:t>-</w:t>
            </w:r>
          </w:p>
        </w:tc>
        <w:tc>
          <w:tcPr>
            <w:tcW w:w="1194" w:type="dxa"/>
            <w:vAlign w:val="center"/>
          </w:tcPr>
          <w:p w14:paraId="72BC0857" w14:textId="77777777" w:rsidR="00147313" w:rsidRPr="00851857" w:rsidRDefault="00147313" w:rsidP="00746C34">
            <w:pPr>
              <w:spacing w:line="300" w:lineRule="atLeast"/>
              <w:jc w:val="center"/>
              <w:rPr>
                <w:rFonts w:ascii="Arial" w:hAnsi="Arial" w:cs="Arial"/>
                <w:sz w:val="16"/>
                <w:szCs w:val="16"/>
              </w:rPr>
            </w:pPr>
            <w:r w:rsidRPr="00EC6635">
              <w:rPr>
                <w:rFonts w:ascii="Arial" w:hAnsi="Arial" w:cs="Arial"/>
                <w:sz w:val="16"/>
                <w:szCs w:val="16"/>
              </w:rPr>
              <w:t>0.9</w:t>
            </w:r>
            <w:r w:rsidR="005D18AD">
              <w:rPr>
                <w:rFonts w:ascii="Arial" w:hAnsi="Arial" w:cs="Arial"/>
                <w:sz w:val="16"/>
                <w:szCs w:val="16"/>
              </w:rPr>
              <w:t>4 – 9.4 (5.17</w:t>
            </w:r>
            <w:r w:rsidRPr="00EC6635">
              <w:rPr>
                <w:rFonts w:ascii="Arial" w:hAnsi="Arial" w:cs="Arial"/>
                <w:sz w:val="16"/>
                <w:szCs w:val="16"/>
              </w:rPr>
              <w:t>)</w:t>
            </w:r>
          </w:p>
        </w:tc>
        <w:tc>
          <w:tcPr>
            <w:tcW w:w="1079" w:type="dxa"/>
            <w:vAlign w:val="center"/>
          </w:tcPr>
          <w:p w14:paraId="3298E79E" w14:textId="77777777" w:rsidR="00147313" w:rsidRPr="00851857" w:rsidRDefault="00147313" w:rsidP="00746C34">
            <w:pPr>
              <w:spacing w:line="300" w:lineRule="atLeast"/>
              <w:jc w:val="center"/>
              <w:rPr>
                <w:rFonts w:ascii="Arial" w:hAnsi="Arial" w:cs="Arial"/>
                <w:sz w:val="16"/>
                <w:szCs w:val="16"/>
              </w:rPr>
            </w:pPr>
            <w:r>
              <w:rPr>
                <w:rFonts w:ascii="Arial" w:hAnsi="Arial" w:cs="Arial"/>
                <w:sz w:val="16"/>
                <w:szCs w:val="16"/>
              </w:rPr>
              <w:t>-</w:t>
            </w:r>
          </w:p>
        </w:tc>
        <w:tc>
          <w:tcPr>
            <w:tcW w:w="1310" w:type="dxa"/>
            <w:vAlign w:val="center"/>
          </w:tcPr>
          <w:p w14:paraId="2EFA7589" w14:textId="6A376467" w:rsidR="00147313" w:rsidRPr="00851857" w:rsidRDefault="005D18AD" w:rsidP="005D18AD">
            <w:pPr>
              <w:spacing w:line="300" w:lineRule="atLeast"/>
              <w:jc w:val="center"/>
              <w:rPr>
                <w:rFonts w:ascii="Arial" w:hAnsi="Arial" w:cs="Arial"/>
                <w:sz w:val="16"/>
                <w:szCs w:val="16"/>
              </w:rPr>
            </w:pPr>
            <w:r>
              <w:rPr>
                <w:rFonts w:ascii="Arial" w:hAnsi="Arial" w:cs="Arial"/>
                <w:sz w:val="16"/>
                <w:szCs w:val="16"/>
              </w:rPr>
              <w:t>7.5</w:t>
            </w:r>
            <w:r w:rsidR="00147313" w:rsidRPr="00851857">
              <w:rPr>
                <w:rFonts w:ascii="Arial" w:hAnsi="Arial" w:cs="Arial"/>
                <w:sz w:val="16"/>
                <w:szCs w:val="16"/>
              </w:rPr>
              <w:t xml:space="preserve"> – 7</w:t>
            </w:r>
            <w:r>
              <w:rPr>
                <w:rFonts w:ascii="Arial" w:hAnsi="Arial" w:cs="Arial"/>
                <w:sz w:val="16"/>
                <w:szCs w:val="16"/>
              </w:rPr>
              <w:t>5</w:t>
            </w:r>
            <w:r w:rsidR="00147313" w:rsidRPr="00851857">
              <w:rPr>
                <w:rFonts w:ascii="Arial" w:hAnsi="Arial" w:cs="Arial"/>
                <w:sz w:val="16"/>
                <w:szCs w:val="16"/>
              </w:rPr>
              <w:t>.</w:t>
            </w:r>
            <w:r w:rsidR="0011522A">
              <w:rPr>
                <w:rFonts w:ascii="Arial" w:hAnsi="Arial" w:cs="Arial"/>
                <w:sz w:val="16"/>
                <w:szCs w:val="16"/>
              </w:rPr>
              <w:t>2 (41.36</w:t>
            </w:r>
            <w:r w:rsidR="00147313">
              <w:rPr>
                <w:rFonts w:ascii="Arial" w:hAnsi="Arial" w:cs="Arial"/>
                <w:sz w:val="16"/>
                <w:szCs w:val="16"/>
              </w:rPr>
              <w:t>)</w:t>
            </w:r>
          </w:p>
        </w:tc>
      </w:tr>
      <w:tr w:rsidR="006E7B4B" w:rsidRPr="002A2A59" w14:paraId="16189A06" w14:textId="77777777" w:rsidTr="00427FB4">
        <w:tc>
          <w:tcPr>
            <w:tcW w:w="1577" w:type="dxa"/>
            <w:vAlign w:val="center"/>
          </w:tcPr>
          <w:p w14:paraId="7F6C7AF4" w14:textId="4AB2931E" w:rsidR="006E7B4B" w:rsidRPr="002A2A59" w:rsidRDefault="006E7B4B" w:rsidP="006E7B4B">
            <w:pPr>
              <w:spacing w:line="300" w:lineRule="atLeast"/>
              <w:rPr>
                <w:rFonts w:ascii="Arial" w:hAnsi="Arial" w:cs="Arial"/>
                <w:sz w:val="16"/>
                <w:szCs w:val="16"/>
              </w:rPr>
            </w:pPr>
            <w:r w:rsidRPr="002A2A59">
              <w:rPr>
                <w:rFonts w:ascii="Arial" w:hAnsi="Arial" w:cs="Arial"/>
                <w:sz w:val="16"/>
                <w:szCs w:val="16"/>
              </w:rPr>
              <w:t>Lamps</w:t>
            </w:r>
          </w:p>
        </w:tc>
        <w:tc>
          <w:tcPr>
            <w:tcW w:w="1458" w:type="dxa"/>
            <w:vAlign w:val="center"/>
          </w:tcPr>
          <w:p w14:paraId="7FB5E7B6" w14:textId="52BB6BC7" w:rsidR="006E7B4B" w:rsidRPr="002A2A59" w:rsidRDefault="006E7B4B" w:rsidP="006E7B4B">
            <w:pPr>
              <w:spacing w:line="300" w:lineRule="atLeast"/>
              <w:jc w:val="center"/>
              <w:rPr>
                <w:rFonts w:ascii="Arial" w:hAnsi="Arial" w:cs="Arial"/>
                <w:sz w:val="16"/>
                <w:szCs w:val="16"/>
              </w:rPr>
            </w:pPr>
            <w:r>
              <w:rPr>
                <w:rFonts w:ascii="Arial" w:hAnsi="Arial" w:cs="Arial"/>
                <w:sz w:val="16"/>
                <w:szCs w:val="16"/>
              </w:rPr>
              <w:t>8.16 – 26.5 (17.3</w:t>
            </w:r>
            <w:r w:rsidR="00D05C51">
              <w:rPr>
                <w:rFonts w:ascii="Arial" w:hAnsi="Arial" w:cs="Arial"/>
                <w:sz w:val="16"/>
                <w:szCs w:val="16"/>
              </w:rPr>
              <w:t>3</w:t>
            </w:r>
            <w:r>
              <w:rPr>
                <w:rFonts w:ascii="Arial" w:hAnsi="Arial" w:cs="Arial"/>
                <w:sz w:val="16"/>
                <w:szCs w:val="16"/>
              </w:rPr>
              <w:t>)</w:t>
            </w:r>
          </w:p>
        </w:tc>
        <w:tc>
          <w:tcPr>
            <w:tcW w:w="1194" w:type="dxa"/>
            <w:vAlign w:val="center"/>
          </w:tcPr>
          <w:p w14:paraId="008721BD" w14:textId="0E6B6116" w:rsidR="006E7B4B" w:rsidRPr="002A2A59" w:rsidRDefault="006E7B4B" w:rsidP="006E7B4B">
            <w:pPr>
              <w:spacing w:line="300" w:lineRule="atLeast"/>
              <w:jc w:val="center"/>
              <w:rPr>
                <w:rFonts w:ascii="Arial" w:hAnsi="Arial" w:cs="Arial"/>
                <w:sz w:val="16"/>
                <w:szCs w:val="16"/>
              </w:rPr>
            </w:pPr>
            <w:r>
              <w:rPr>
                <w:rFonts w:ascii="Arial" w:hAnsi="Arial" w:cs="Arial"/>
                <w:sz w:val="16"/>
                <w:szCs w:val="16"/>
              </w:rPr>
              <w:t>0.41 – 1.33 (0.87)</w:t>
            </w:r>
          </w:p>
        </w:tc>
        <w:tc>
          <w:tcPr>
            <w:tcW w:w="1194" w:type="dxa"/>
            <w:vAlign w:val="center"/>
          </w:tcPr>
          <w:p w14:paraId="5B26036F" w14:textId="05F4B58B" w:rsidR="006E7B4B" w:rsidRPr="002A2A59" w:rsidRDefault="006E7B4B" w:rsidP="006E7B4B">
            <w:pPr>
              <w:spacing w:line="300" w:lineRule="atLeast"/>
              <w:jc w:val="center"/>
              <w:rPr>
                <w:rFonts w:ascii="Arial" w:hAnsi="Arial" w:cs="Arial"/>
                <w:sz w:val="16"/>
                <w:szCs w:val="16"/>
              </w:rPr>
            </w:pPr>
            <w:r>
              <w:rPr>
                <w:rFonts w:ascii="Arial" w:hAnsi="Arial" w:cs="Arial"/>
                <w:sz w:val="16"/>
                <w:szCs w:val="16"/>
              </w:rPr>
              <w:t>-</w:t>
            </w:r>
          </w:p>
        </w:tc>
        <w:tc>
          <w:tcPr>
            <w:tcW w:w="1194" w:type="dxa"/>
            <w:vAlign w:val="center"/>
          </w:tcPr>
          <w:p w14:paraId="5C5EA6DF" w14:textId="77777777" w:rsidR="006E7B4B" w:rsidRPr="002A2A59" w:rsidRDefault="006E7B4B" w:rsidP="006E7B4B">
            <w:pPr>
              <w:spacing w:line="300" w:lineRule="atLeast"/>
              <w:jc w:val="center"/>
              <w:rPr>
                <w:rFonts w:ascii="Arial" w:hAnsi="Arial" w:cs="Arial"/>
                <w:sz w:val="16"/>
                <w:szCs w:val="16"/>
              </w:rPr>
            </w:pPr>
            <w:r w:rsidRPr="002A2A59">
              <w:rPr>
                <w:rFonts w:ascii="Arial" w:hAnsi="Arial" w:cs="Arial"/>
                <w:sz w:val="16"/>
                <w:szCs w:val="16"/>
              </w:rPr>
              <w:t>-</w:t>
            </w:r>
          </w:p>
        </w:tc>
        <w:tc>
          <w:tcPr>
            <w:tcW w:w="1079" w:type="dxa"/>
            <w:vAlign w:val="center"/>
          </w:tcPr>
          <w:p w14:paraId="36348D62" w14:textId="77777777" w:rsidR="006E7B4B" w:rsidRPr="002A2A59" w:rsidRDefault="006E7B4B" w:rsidP="006E7B4B">
            <w:pPr>
              <w:spacing w:line="300" w:lineRule="atLeast"/>
              <w:jc w:val="center"/>
              <w:rPr>
                <w:rFonts w:ascii="Arial" w:hAnsi="Arial" w:cs="Arial"/>
                <w:sz w:val="16"/>
                <w:szCs w:val="16"/>
              </w:rPr>
            </w:pPr>
            <w:r w:rsidRPr="002A2A59">
              <w:rPr>
                <w:rFonts w:ascii="Arial" w:hAnsi="Arial" w:cs="Arial"/>
                <w:sz w:val="16"/>
                <w:szCs w:val="16"/>
              </w:rPr>
              <w:t>-</w:t>
            </w:r>
          </w:p>
        </w:tc>
        <w:tc>
          <w:tcPr>
            <w:tcW w:w="1310" w:type="dxa"/>
            <w:vAlign w:val="center"/>
          </w:tcPr>
          <w:p w14:paraId="1920B050" w14:textId="7896BBD1" w:rsidR="006E7B4B" w:rsidRPr="002A2A59" w:rsidRDefault="006E7B4B" w:rsidP="006E7B4B">
            <w:pPr>
              <w:spacing w:line="300" w:lineRule="atLeast"/>
              <w:jc w:val="center"/>
              <w:rPr>
                <w:rFonts w:ascii="Arial" w:hAnsi="Arial" w:cs="Arial"/>
                <w:sz w:val="16"/>
                <w:szCs w:val="16"/>
              </w:rPr>
            </w:pPr>
            <w:r>
              <w:rPr>
                <w:rFonts w:ascii="Arial" w:hAnsi="Arial" w:cs="Arial"/>
                <w:sz w:val="16"/>
                <w:szCs w:val="16"/>
              </w:rPr>
              <w:t>7.75 – 25.18 (16.47)</w:t>
            </w:r>
          </w:p>
        </w:tc>
      </w:tr>
      <w:tr w:rsidR="00147313" w:rsidRPr="005D18AD" w14:paraId="01E35187" w14:textId="77777777" w:rsidTr="00427FB4">
        <w:tc>
          <w:tcPr>
            <w:tcW w:w="1577" w:type="dxa"/>
            <w:vAlign w:val="center"/>
          </w:tcPr>
          <w:p w14:paraId="4BBEFE7B" w14:textId="4443802F" w:rsidR="00147313" w:rsidRPr="002A2A59" w:rsidRDefault="00147313" w:rsidP="002A2A59">
            <w:pPr>
              <w:spacing w:line="300" w:lineRule="atLeast"/>
              <w:rPr>
                <w:rFonts w:ascii="Arial" w:hAnsi="Arial" w:cs="Arial"/>
                <w:sz w:val="16"/>
                <w:szCs w:val="16"/>
              </w:rPr>
            </w:pPr>
            <w:r w:rsidRPr="002A2A59">
              <w:rPr>
                <w:rFonts w:ascii="Arial" w:hAnsi="Arial" w:cs="Arial"/>
                <w:sz w:val="16"/>
                <w:szCs w:val="16"/>
              </w:rPr>
              <w:t xml:space="preserve">Batteries </w:t>
            </w:r>
          </w:p>
        </w:tc>
        <w:tc>
          <w:tcPr>
            <w:tcW w:w="1458" w:type="dxa"/>
            <w:vAlign w:val="center"/>
          </w:tcPr>
          <w:p w14:paraId="7935824E" w14:textId="34C34E6E" w:rsidR="00147313" w:rsidRPr="002A2A59" w:rsidRDefault="00427FB4" w:rsidP="003A7261">
            <w:pPr>
              <w:spacing w:line="300" w:lineRule="atLeast"/>
              <w:jc w:val="center"/>
              <w:rPr>
                <w:rFonts w:ascii="Arial" w:hAnsi="Arial" w:cs="Arial"/>
                <w:sz w:val="16"/>
                <w:szCs w:val="16"/>
              </w:rPr>
            </w:pPr>
            <w:r>
              <w:rPr>
                <w:rFonts w:ascii="Arial" w:hAnsi="Arial" w:cs="Arial"/>
                <w:sz w:val="16"/>
                <w:szCs w:val="16"/>
              </w:rPr>
              <w:t>44.77</w:t>
            </w:r>
          </w:p>
        </w:tc>
        <w:tc>
          <w:tcPr>
            <w:tcW w:w="1194" w:type="dxa"/>
            <w:vAlign w:val="center"/>
          </w:tcPr>
          <w:p w14:paraId="14D4F16F" w14:textId="77777777" w:rsidR="00147313" w:rsidRPr="002A2A59" w:rsidRDefault="00147313" w:rsidP="003A7261">
            <w:pPr>
              <w:spacing w:line="300" w:lineRule="atLeast"/>
              <w:jc w:val="center"/>
              <w:rPr>
                <w:rFonts w:ascii="Arial" w:hAnsi="Arial" w:cs="Arial"/>
                <w:sz w:val="16"/>
                <w:szCs w:val="16"/>
              </w:rPr>
            </w:pPr>
            <w:r w:rsidRPr="002A2A59">
              <w:rPr>
                <w:rFonts w:ascii="Arial" w:hAnsi="Arial" w:cs="Arial"/>
                <w:sz w:val="16"/>
                <w:szCs w:val="16"/>
              </w:rPr>
              <w:t>-</w:t>
            </w:r>
          </w:p>
        </w:tc>
        <w:tc>
          <w:tcPr>
            <w:tcW w:w="1194" w:type="dxa"/>
            <w:vAlign w:val="center"/>
          </w:tcPr>
          <w:p w14:paraId="483EF5FB" w14:textId="77777777" w:rsidR="00147313" w:rsidRPr="002A2A59" w:rsidRDefault="00147313" w:rsidP="003A7261">
            <w:pPr>
              <w:spacing w:line="300" w:lineRule="atLeast"/>
              <w:jc w:val="center"/>
              <w:rPr>
                <w:rFonts w:ascii="Arial" w:hAnsi="Arial" w:cs="Arial"/>
                <w:sz w:val="16"/>
                <w:szCs w:val="16"/>
              </w:rPr>
            </w:pPr>
            <w:r w:rsidRPr="002A2A59">
              <w:rPr>
                <w:rFonts w:ascii="Arial" w:hAnsi="Arial" w:cs="Arial"/>
                <w:sz w:val="16"/>
                <w:szCs w:val="16"/>
              </w:rPr>
              <w:t>-</w:t>
            </w:r>
          </w:p>
        </w:tc>
        <w:tc>
          <w:tcPr>
            <w:tcW w:w="1194" w:type="dxa"/>
            <w:vAlign w:val="center"/>
          </w:tcPr>
          <w:p w14:paraId="326F830A" w14:textId="77777777" w:rsidR="00147313" w:rsidRPr="002A2A59" w:rsidRDefault="00147313" w:rsidP="003A7261">
            <w:pPr>
              <w:spacing w:line="300" w:lineRule="atLeast"/>
              <w:jc w:val="center"/>
              <w:rPr>
                <w:rFonts w:ascii="Arial" w:hAnsi="Arial" w:cs="Arial"/>
                <w:sz w:val="16"/>
                <w:szCs w:val="16"/>
              </w:rPr>
            </w:pPr>
            <w:r w:rsidRPr="002A2A59">
              <w:rPr>
                <w:rFonts w:ascii="Arial" w:hAnsi="Arial" w:cs="Arial"/>
                <w:sz w:val="16"/>
                <w:szCs w:val="16"/>
              </w:rPr>
              <w:t>-</w:t>
            </w:r>
          </w:p>
        </w:tc>
        <w:tc>
          <w:tcPr>
            <w:tcW w:w="1079" w:type="dxa"/>
            <w:vAlign w:val="center"/>
          </w:tcPr>
          <w:p w14:paraId="7B02DCD6" w14:textId="77777777" w:rsidR="00147313" w:rsidRPr="002A2A59" w:rsidRDefault="00147313" w:rsidP="003A7261">
            <w:pPr>
              <w:spacing w:line="300" w:lineRule="atLeast"/>
              <w:jc w:val="center"/>
              <w:rPr>
                <w:rFonts w:ascii="Arial" w:hAnsi="Arial" w:cs="Arial"/>
                <w:sz w:val="16"/>
                <w:szCs w:val="16"/>
              </w:rPr>
            </w:pPr>
            <w:r w:rsidRPr="002A2A59">
              <w:rPr>
                <w:rFonts w:ascii="Arial" w:hAnsi="Arial" w:cs="Arial"/>
                <w:sz w:val="16"/>
                <w:szCs w:val="16"/>
              </w:rPr>
              <w:t>-</w:t>
            </w:r>
          </w:p>
        </w:tc>
        <w:tc>
          <w:tcPr>
            <w:tcW w:w="1310" w:type="dxa"/>
            <w:vAlign w:val="center"/>
          </w:tcPr>
          <w:p w14:paraId="37DF0583" w14:textId="476A26E6" w:rsidR="00147313" w:rsidRPr="002A2A59" w:rsidRDefault="00427FB4" w:rsidP="003A7261">
            <w:pPr>
              <w:spacing w:line="300" w:lineRule="atLeast"/>
              <w:jc w:val="center"/>
              <w:rPr>
                <w:rFonts w:ascii="Arial" w:hAnsi="Arial" w:cs="Arial"/>
                <w:sz w:val="16"/>
                <w:szCs w:val="16"/>
              </w:rPr>
            </w:pPr>
            <w:r>
              <w:rPr>
                <w:rFonts w:ascii="Arial" w:hAnsi="Arial" w:cs="Arial"/>
                <w:sz w:val="16"/>
                <w:szCs w:val="16"/>
              </w:rPr>
              <w:t>44.77</w:t>
            </w:r>
          </w:p>
        </w:tc>
      </w:tr>
      <w:tr w:rsidR="00147313" w:rsidRPr="007901FE" w14:paraId="010820E4" w14:textId="77777777" w:rsidTr="00427FB4">
        <w:tc>
          <w:tcPr>
            <w:tcW w:w="1577" w:type="dxa"/>
            <w:vAlign w:val="center"/>
          </w:tcPr>
          <w:p w14:paraId="08BB60D8" w14:textId="77777777" w:rsidR="00147313" w:rsidRPr="00196341" w:rsidRDefault="00147313" w:rsidP="003A7261">
            <w:pPr>
              <w:spacing w:line="300" w:lineRule="atLeast"/>
              <w:rPr>
                <w:rFonts w:ascii="Arial" w:hAnsi="Arial" w:cs="Arial"/>
                <w:sz w:val="16"/>
                <w:szCs w:val="16"/>
              </w:rPr>
            </w:pPr>
            <w:r w:rsidRPr="00196341">
              <w:rPr>
                <w:rFonts w:ascii="Arial" w:hAnsi="Arial" w:cs="Arial"/>
                <w:sz w:val="16"/>
                <w:szCs w:val="16"/>
              </w:rPr>
              <w:t>Polyurethane with mercury catalyst</w:t>
            </w:r>
          </w:p>
        </w:tc>
        <w:tc>
          <w:tcPr>
            <w:tcW w:w="1458" w:type="dxa"/>
            <w:vAlign w:val="center"/>
          </w:tcPr>
          <w:p w14:paraId="177EE5D0" w14:textId="77777777" w:rsidR="00147313" w:rsidRPr="00196341" w:rsidRDefault="00147313" w:rsidP="009714BD">
            <w:pPr>
              <w:spacing w:line="300" w:lineRule="atLeast"/>
              <w:jc w:val="center"/>
              <w:rPr>
                <w:rFonts w:ascii="Arial" w:hAnsi="Arial" w:cs="Arial"/>
                <w:sz w:val="16"/>
                <w:szCs w:val="16"/>
              </w:rPr>
            </w:pPr>
            <w:r w:rsidRPr="00196341">
              <w:rPr>
                <w:rFonts w:ascii="Arial" w:hAnsi="Arial" w:cs="Arial"/>
                <w:sz w:val="16"/>
                <w:szCs w:val="16"/>
              </w:rPr>
              <w:t>0.2</w:t>
            </w:r>
          </w:p>
        </w:tc>
        <w:tc>
          <w:tcPr>
            <w:tcW w:w="1194" w:type="dxa"/>
            <w:vAlign w:val="center"/>
          </w:tcPr>
          <w:p w14:paraId="7A430E87" w14:textId="77777777" w:rsidR="00147313" w:rsidRPr="00196341" w:rsidRDefault="00147313" w:rsidP="003A7261">
            <w:pPr>
              <w:spacing w:line="300" w:lineRule="atLeast"/>
              <w:jc w:val="center"/>
              <w:rPr>
                <w:rFonts w:ascii="Arial" w:hAnsi="Arial" w:cs="Arial"/>
                <w:sz w:val="16"/>
                <w:szCs w:val="16"/>
              </w:rPr>
            </w:pPr>
            <w:r w:rsidRPr="00196341">
              <w:rPr>
                <w:rFonts w:ascii="Arial" w:hAnsi="Arial" w:cs="Arial"/>
                <w:sz w:val="16"/>
                <w:szCs w:val="16"/>
              </w:rPr>
              <w:t>-</w:t>
            </w:r>
          </w:p>
        </w:tc>
        <w:tc>
          <w:tcPr>
            <w:tcW w:w="1194" w:type="dxa"/>
            <w:vAlign w:val="center"/>
          </w:tcPr>
          <w:p w14:paraId="799147EA" w14:textId="77777777" w:rsidR="00147313" w:rsidRPr="00196341" w:rsidRDefault="00147313" w:rsidP="003A7261">
            <w:pPr>
              <w:spacing w:line="300" w:lineRule="atLeast"/>
              <w:jc w:val="center"/>
              <w:rPr>
                <w:rFonts w:ascii="Arial" w:hAnsi="Arial" w:cs="Arial"/>
                <w:sz w:val="16"/>
                <w:szCs w:val="16"/>
              </w:rPr>
            </w:pPr>
            <w:r w:rsidRPr="00196341">
              <w:rPr>
                <w:rFonts w:ascii="Arial" w:hAnsi="Arial" w:cs="Arial"/>
                <w:sz w:val="16"/>
                <w:szCs w:val="16"/>
              </w:rPr>
              <w:t>-</w:t>
            </w:r>
          </w:p>
        </w:tc>
        <w:tc>
          <w:tcPr>
            <w:tcW w:w="1194" w:type="dxa"/>
            <w:vAlign w:val="center"/>
          </w:tcPr>
          <w:p w14:paraId="5580CFC5" w14:textId="77777777" w:rsidR="00147313" w:rsidRPr="00196341" w:rsidRDefault="00147313" w:rsidP="003A7261">
            <w:pPr>
              <w:spacing w:line="300" w:lineRule="atLeast"/>
              <w:jc w:val="center"/>
              <w:rPr>
                <w:rFonts w:ascii="Arial" w:hAnsi="Arial" w:cs="Arial"/>
                <w:sz w:val="16"/>
                <w:szCs w:val="16"/>
              </w:rPr>
            </w:pPr>
            <w:r w:rsidRPr="00196341">
              <w:rPr>
                <w:rFonts w:ascii="Arial" w:hAnsi="Arial" w:cs="Arial"/>
                <w:sz w:val="16"/>
                <w:szCs w:val="16"/>
              </w:rPr>
              <w:t>-</w:t>
            </w:r>
          </w:p>
        </w:tc>
        <w:tc>
          <w:tcPr>
            <w:tcW w:w="1079" w:type="dxa"/>
            <w:vAlign w:val="center"/>
          </w:tcPr>
          <w:p w14:paraId="49AFAAD5" w14:textId="77777777" w:rsidR="00147313" w:rsidRPr="00196341" w:rsidRDefault="00147313" w:rsidP="009714BD">
            <w:pPr>
              <w:spacing w:line="300" w:lineRule="atLeast"/>
              <w:jc w:val="center"/>
              <w:rPr>
                <w:rFonts w:ascii="Arial" w:hAnsi="Arial" w:cs="Arial"/>
                <w:sz w:val="16"/>
                <w:szCs w:val="16"/>
              </w:rPr>
            </w:pPr>
            <w:r w:rsidRPr="00196341">
              <w:rPr>
                <w:rFonts w:ascii="Arial" w:hAnsi="Arial" w:cs="Arial"/>
                <w:sz w:val="16"/>
                <w:szCs w:val="16"/>
              </w:rPr>
              <w:t>0.2</w:t>
            </w:r>
          </w:p>
        </w:tc>
        <w:tc>
          <w:tcPr>
            <w:tcW w:w="1310" w:type="dxa"/>
            <w:vAlign w:val="center"/>
          </w:tcPr>
          <w:p w14:paraId="7339874A" w14:textId="77777777" w:rsidR="00147313" w:rsidRDefault="00147313" w:rsidP="003A7261">
            <w:pPr>
              <w:spacing w:line="300" w:lineRule="atLeast"/>
              <w:jc w:val="center"/>
              <w:rPr>
                <w:rFonts w:ascii="Arial" w:hAnsi="Arial" w:cs="Arial"/>
                <w:sz w:val="16"/>
                <w:szCs w:val="16"/>
              </w:rPr>
            </w:pPr>
            <w:r w:rsidRPr="00196341">
              <w:rPr>
                <w:rFonts w:ascii="Arial" w:hAnsi="Arial" w:cs="Arial"/>
                <w:sz w:val="16"/>
                <w:szCs w:val="16"/>
              </w:rPr>
              <w:t>-</w:t>
            </w:r>
          </w:p>
        </w:tc>
      </w:tr>
      <w:tr w:rsidR="00147313" w:rsidRPr="007901FE" w14:paraId="5A466793" w14:textId="77777777" w:rsidTr="00427FB4">
        <w:tc>
          <w:tcPr>
            <w:tcW w:w="1577" w:type="dxa"/>
            <w:vAlign w:val="center"/>
          </w:tcPr>
          <w:p w14:paraId="2FE279CF" w14:textId="1F5858FA" w:rsidR="00147313" w:rsidRPr="004901F2" w:rsidRDefault="00147313" w:rsidP="002A2A59">
            <w:pPr>
              <w:spacing w:before="40" w:after="40" w:line="300" w:lineRule="atLeast"/>
              <w:rPr>
                <w:rFonts w:ascii="Arial" w:hAnsi="Arial" w:cs="Arial"/>
                <w:sz w:val="16"/>
                <w:szCs w:val="16"/>
              </w:rPr>
            </w:pPr>
            <w:r>
              <w:rPr>
                <w:rFonts w:ascii="Arial" w:hAnsi="Arial" w:cs="Arial"/>
                <w:sz w:val="16"/>
                <w:szCs w:val="16"/>
              </w:rPr>
              <w:t>Biocides</w:t>
            </w:r>
            <w:r w:rsidR="002A2A59">
              <w:rPr>
                <w:rFonts w:ascii="Arial" w:hAnsi="Arial" w:cs="Arial"/>
                <w:sz w:val="16"/>
                <w:szCs w:val="16"/>
              </w:rPr>
              <w:t>/</w:t>
            </w:r>
            <w:r>
              <w:rPr>
                <w:rFonts w:ascii="Arial" w:hAnsi="Arial" w:cs="Arial"/>
                <w:sz w:val="16"/>
                <w:szCs w:val="16"/>
              </w:rPr>
              <w:t>pesticides</w:t>
            </w:r>
          </w:p>
        </w:tc>
        <w:tc>
          <w:tcPr>
            <w:tcW w:w="1458" w:type="dxa"/>
            <w:vAlign w:val="center"/>
          </w:tcPr>
          <w:p w14:paraId="1E67CFC5" w14:textId="77777777" w:rsidR="00147313" w:rsidRDefault="00147313" w:rsidP="003A7261">
            <w:pPr>
              <w:spacing w:line="300" w:lineRule="atLeast"/>
              <w:jc w:val="center"/>
              <w:rPr>
                <w:rFonts w:ascii="Arial" w:hAnsi="Arial" w:cs="Arial"/>
                <w:sz w:val="16"/>
                <w:szCs w:val="16"/>
              </w:rPr>
            </w:pPr>
            <w:r>
              <w:rPr>
                <w:rFonts w:ascii="Arial" w:hAnsi="Arial" w:cs="Arial"/>
                <w:sz w:val="16"/>
                <w:szCs w:val="16"/>
              </w:rPr>
              <w:t>-</w:t>
            </w:r>
          </w:p>
        </w:tc>
        <w:tc>
          <w:tcPr>
            <w:tcW w:w="1194" w:type="dxa"/>
            <w:vAlign w:val="center"/>
          </w:tcPr>
          <w:p w14:paraId="0F9A882E" w14:textId="77777777" w:rsidR="00147313" w:rsidRDefault="00147313" w:rsidP="003A7261">
            <w:pPr>
              <w:spacing w:line="300" w:lineRule="atLeast"/>
              <w:jc w:val="center"/>
              <w:rPr>
                <w:rFonts w:ascii="Arial" w:hAnsi="Arial" w:cs="Arial"/>
                <w:sz w:val="16"/>
                <w:szCs w:val="16"/>
              </w:rPr>
            </w:pPr>
            <w:r>
              <w:rPr>
                <w:rFonts w:ascii="Arial" w:hAnsi="Arial" w:cs="Arial"/>
                <w:sz w:val="16"/>
                <w:szCs w:val="16"/>
              </w:rPr>
              <w:t>-</w:t>
            </w:r>
          </w:p>
        </w:tc>
        <w:tc>
          <w:tcPr>
            <w:tcW w:w="1194" w:type="dxa"/>
            <w:vAlign w:val="center"/>
          </w:tcPr>
          <w:p w14:paraId="3667131B" w14:textId="77777777" w:rsidR="00147313" w:rsidRDefault="00147313" w:rsidP="003A7261">
            <w:pPr>
              <w:spacing w:line="300" w:lineRule="atLeast"/>
              <w:jc w:val="center"/>
              <w:rPr>
                <w:rFonts w:ascii="Arial" w:hAnsi="Arial" w:cs="Arial"/>
                <w:sz w:val="16"/>
                <w:szCs w:val="16"/>
              </w:rPr>
            </w:pPr>
            <w:r>
              <w:rPr>
                <w:rFonts w:ascii="Arial" w:hAnsi="Arial" w:cs="Arial"/>
                <w:sz w:val="16"/>
                <w:szCs w:val="16"/>
              </w:rPr>
              <w:t>-</w:t>
            </w:r>
          </w:p>
        </w:tc>
        <w:tc>
          <w:tcPr>
            <w:tcW w:w="1194" w:type="dxa"/>
            <w:vAlign w:val="center"/>
          </w:tcPr>
          <w:p w14:paraId="2B54D275" w14:textId="77777777" w:rsidR="00147313" w:rsidRDefault="00147313" w:rsidP="003A7261">
            <w:pPr>
              <w:spacing w:line="300" w:lineRule="atLeast"/>
              <w:jc w:val="center"/>
              <w:rPr>
                <w:rFonts w:ascii="Arial" w:hAnsi="Arial" w:cs="Arial"/>
                <w:sz w:val="16"/>
                <w:szCs w:val="16"/>
              </w:rPr>
            </w:pPr>
            <w:r>
              <w:rPr>
                <w:rFonts w:ascii="Arial" w:hAnsi="Arial" w:cs="Arial"/>
                <w:sz w:val="16"/>
                <w:szCs w:val="16"/>
              </w:rPr>
              <w:t>-</w:t>
            </w:r>
          </w:p>
        </w:tc>
        <w:tc>
          <w:tcPr>
            <w:tcW w:w="1079" w:type="dxa"/>
            <w:vAlign w:val="center"/>
          </w:tcPr>
          <w:p w14:paraId="701A93FD" w14:textId="77777777" w:rsidR="00147313" w:rsidRDefault="00147313" w:rsidP="003A7261">
            <w:pPr>
              <w:spacing w:line="300" w:lineRule="atLeast"/>
              <w:jc w:val="center"/>
              <w:rPr>
                <w:rFonts w:ascii="Arial" w:hAnsi="Arial" w:cs="Arial"/>
                <w:sz w:val="16"/>
                <w:szCs w:val="16"/>
              </w:rPr>
            </w:pPr>
            <w:r>
              <w:rPr>
                <w:rFonts w:ascii="Arial" w:hAnsi="Arial" w:cs="Arial"/>
                <w:sz w:val="16"/>
                <w:szCs w:val="16"/>
              </w:rPr>
              <w:t>-</w:t>
            </w:r>
          </w:p>
        </w:tc>
        <w:tc>
          <w:tcPr>
            <w:tcW w:w="1310" w:type="dxa"/>
            <w:vAlign w:val="center"/>
          </w:tcPr>
          <w:p w14:paraId="46AC47AC" w14:textId="77777777" w:rsidR="00147313" w:rsidRDefault="00147313" w:rsidP="003A7261">
            <w:pPr>
              <w:spacing w:line="300" w:lineRule="atLeast"/>
              <w:jc w:val="center"/>
              <w:rPr>
                <w:rFonts w:ascii="Arial" w:hAnsi="Arial" w:cs="Arial"/>
                <w:sz w:val="16"/>
                <w:szCs w:val="16"/>
              </w:rPr>
            </w:pPr>
            <w:r>
              <w:rPr>
                <w:rFonts w:ascii="Arial" w:hAnsi="Arial" w:cs="Arial"/>
                <w:sz w:val="16"/>
                <w:szCs w:val="16"/>
              </w:rPr>
              <w:t>-</w:t>
            </w:r>
          </w:p>
        </w:tc>
      </w:tr>
      <w:tr w:rsidR="00147313" w:rsidRPr="007901FE" w14:paraId="399869BC" w14:textId="77777777" w:rsidTr="00427FB4">
        <w:tc>
          <w:tcPr>
            <w:tcW w:w="1577" w:type="dxa"/>
            <w:vAlign w:val="center"/>
          </w:tcPr>
          <w:p w14:paraId="5A00674A" w14:textId="77777777" w:rsidR="00147313" w:rsidRPr="004901F2" w:rsidRDefault="00147313" w:rsidP="003A7261">
            <w:pPr>
              <w:spacing w:before="40" w:after="40" w:line="300" w:lineRule="atLeast"/>
              <w:rPr>
                <w:rFonts w:ascii="Arial" w:hAnsi="Arial" w:cs="Arial"/>
                <w:sz w:val="16"/>
                <w:szCs w:val="16"/>
              </w:rPr>
            </w:pPr>
            <w:r>
              <w:rPr>
                <w:rFonts w:ascii="Arial" w:hAnsi="Arial" w:cs="Arial"/>
                <w:sz w:val="16"/>
                <w:szCs w:val="16"/>
              </w:rPr>
              <w:t>Paints</w:t>
            </w:r>
          </w:p>
        </w:tc>
        <w:tc>
          <w:tcPr>
            <w:tcW w:w="1458" w:type="dxa"/>
            <w:vAlign w:val="center"/>
          </w:tcPr>
          <w:p w14:paraId="5C876982" w14:textId="77777777" w:rsidR="00147313" w:rsidRDefault="00147313" w:rsidP="003A7261">
            <w:pPr>
              <w:spacing w:line="300" w:lineRule="atLeast"/>
              <w:jc w:val="center"/>
              <w:rPr>
                <w:rFonts w:ascii="Arial" w:hAnsi="Arial" w:cs="Arial"/>
                <w:sz w:val="16"/>
                <w:szCs w:val="16"/>
              </w:rPr>
            </w:pPr>
            <w:r>
              <w:rPr>
                <w:rFonts w:ascii="Arial" w:hAnsi="Arial" w:cs="Arial"/>
                <w:sz w:val="16"/>
                <w:szCs w:val="16"/>
              </w:rPr>
              <w:t>-</w:t>
            </w:r>
          </w:p>
        </w:tc>
        <w:tc>
          <w:tcPr>
            <w:tcW w:w="1194" w:type="dxa"/>
            <w:vAlign w:val="center"/>
          </w:tcPr>
          <w:p w14:paraId="51E78215" w14:textId="77777777" w:rsidR="00147313" w:rsidRDefault="00147313" w:rsidP="003A7261">
            <w:pPr>
              <w:spacing w:line="300" w:lineRule="atLeast"/>
              <w:jc w:val="center"/>
              <w:rPr>
                <w:rFonts w:ascii="Arial" w:hAnsi="Arial" w:cs="Arial"/>
                <w:sz w:val="16"/>
                <w:szCs w:val="16"/>
              </w:rPr>
            </w:pPr>
            <w:r>
              <w:rPr>
                <w:rFonts w:ascii="Arial" w:hAnsi="Arial" w:cs="Arial"/>
                <w:sz w:val="16"/>
                <w:szCs w:val="16"/>
              </w:rPr>
              <w:t>-</w:t>
            </w:r>
          </w:p>
        </w:tc>
        <w:tc>
          <w:tcPr>
            <w:tcW w:w="1194" w:type="dxa"/>
            <w:vAlign w:val="center"/>
          </w:tcPr>
          <w:p w14:paraId="39764203" w14:textId="77777777" w:rsidR="00147313" w:rsidRDefault="00147313" w:rsidP="003A7261">
            <w:pPr>
              <w:spacing w:line="300" w:lineRule="atLeast"/>
              <w:jc w:val="center"/>
              <w:rPr>
                <w:rFonts w:ascii="Arial" w:hAnsi="Arial" w:cs="Arial"/>
                <w:sz w:val="16"/>
                <w:szCs w:val="16"/>
              </w:rPr>
            </w:pPr>
            <w:r>
              <w:rPr>
                <w:rFonts w:ascii="Arial" w:hAnsi="Arial" w:cs="Arial"/>
                <w:sz w:val="16"/>
                <w:szCs w:val="16"/>
              </w:rPr>
              <w:t>-</w:t>
            </w:r>
          </w:p>
        </w:tc>
        <w:tc>
          <w:tcPr>
            <w:tcW w:w="1194" w:type="dxa"/>
            <w:vAlign w:val="center"/>
          </w:tcPr>
          <w:p w14:paraId="08CF3387" w14:textId="77777777" w:rsidR="00147313" w:rsidRDefault="00147313" w:rsidP="003A7261">
            <w:pPr>
              <w:spacing w:line="300" w:lineRule="atLeast"/>
              <w:jc w:val="center"/>
              <w:rPr>
                <w:rFonts w:ascii="Arial" w:hAnsi="Arial" w:cs="Arial"/>
                <w:sz w:val="16"/>
                <w:szCs w:val="16"/>
              </w:rPr>
            </w:pPr>
            <w:r>
              <w:rPr>
                <w:rFonts w:ascii="Arial" w:hAnsi="Arial" w:cs="Arial"/>
                <w:sz w:val="16"/>
                <w:szCs w:val="16"/>
              </w:rPr>
              <w:t>-</w:t>
            </w:r>
          </w:p>
        </w:tc>
        <w:tc>
          <w:tcPr>
            <w:tcW w:w="1079" w:type="dxa"/>
            <w:vAlign w:val="center"/>
          </w:tcPr>
          <w:p w14:paraId="0FF86BA2" w14:textId="77777777" w:rsidR="00147313" w:rsidRDefault="00147313" w:rsidP="003A7261">
            <w:pPr>
              <w:spacing w:line="300" w:lineRule="atLeast"/>
              <w:jc w:val="center"/>
              <w:rPr>
                <w:rFonts w:ascii="Arial" w:hAnsi="Arial" w:cs="Arial"/>
                <w:sz w:val="16"/>
                <w:szCs w:val="16"/>
              </w:rPr>
            </w:pPr>
            <w:r>
              <w:rPr>
                <w:rFonts w:ascii="Arial" w:hAnsi="Arial" w:cs="Arial"/>
                <w:sz w:val="16"/>
                <w:szCs w:val="16"/>
              </w:rPr>
              <w:t>-</w:t>
            </w:r>
          </w:p>
        </w:tc>
        <w:tc>
          <w:tcPr>
            <w:tcW w:w="1310" w:type="dxa"/>
            <w:vAlign w:val="center"/>
          </w:tcPr>
          <w:p w14:paraId="4845D20F" w14:textId="77777777" w:rsidR="00147313" w:rsidRDefault="00147313" w:rsidP="003A7261">
            <w:pPr>
              <w:spacing w:line="300" w:lineRule="atLeast"/>
              <w:jc w:val="center"/>
              <w:rPr>
                <w:rFonts w:ascii="Arial" w:hAnsi="Arial" w:cs="Arial"/>
                <w:sz w:val="16"/>
                <w:szCs w:val="16"/>
              </w:rPr>
            </w:pPr>
            <w:r>
              <w:rPr>
                <w:rFonts w:ascii="Arial" w:hAnsi="Arial" w:cs="Arial"/>
                <w:sz w:val="16"/>
                <w:szCs w:val="16"/>
              </w:rPr>
              <w:t>-</w:t>
            </w:r>
          </w:p>
        </w:tc>
      </w:tr>
      <w:tr w:rsidR="00147313" w:rsidRPr="007901FE" w14:paraId="67E328C8" w14:textId="77777777" w:rsidTr="00427FB4">
        <w:tc>
          <w:tcPr>
            <w:tcW w:w="1577" w:type="dxa"/>
            <w:vAlign w:val="center"/>
          </w:tcPr>
          <w:p w14:paraId="271D146F" w14:textId="1B5A3A93" w:rsidR="00147313" w:rsidRPr="00196341" w:rsidRDefault="00147313" w:rsidP="002A2A59">
            <w:pPr>
              <w:spacing w:before="40" w:after="40" w:line="300" w:lineRule="atLeast"/>
              <w:rPr>
                <w:rFonts w:ascii="Arial" w:hAnsi="Arial" w:cs="Arial"/>
                <w:sz w:val="16"/>
                <w:szCs w:val="16"/>
              </w:rPr>
            </w:pPr>
            <w:r w:rsidRPr="00196341">
              <w:rPr>
                <w:rFonts w:ascii="Arial" w:hAnsi="Arial" w:cs="Arial"/>
                <w:sz w:val="16"/>
                <w:szCs w:val="16"/>
              </w:rPr>
              <w:t xml:space="preserve">Pharmaceuticals </w:t>
            </w:r>
          </w:p>
        </w:tc>
        <w:tc>
          <w:tcPr>
            <w:tcW w:w="1458" w:type="dxa"/>
            <w:vAlign w:val="center"/>
          </w:tcPr>
          <w:p w14:paraId="21A5B693" w14:textId="4ACD447A" w:rsidR="00147313" w:rsidRPr="00196341" w:rsidRDefault="00147313" w:rsidP="003A7261">
            <w:pPr>
              <w:spacing w:line="300" w:lineRule="atLeast"/>
              <w:jc w:val="center"/>
              <w:rPr>
                <w:rFonts w:ascii="Arial" w:hAnsi="Arial" w:cs="Arial"/>
                <w:sz w:val="16"/>
                <w:szCs w:val="16"/>
              </w:rPr>
            </w:pPr>
            <w:r w:rsidRPr="00196341">
              <w:rPr>
                <w:rFonts w:ascii="Arial" w:hAnsi="Arial" w:cs="Arial"/>
                <w:sz w:val="16"/>
                <w:szCs w:val="16"/>
              </w:rPr>
              <w:t>40</w:t>
            </w:r>
          </w:p>
        </w:tc>
        <w:tc>
          <w:tcPr>
            <w:tcW w:w="1194" w:type="dxa"/>
            <w:vAlign w:val="center"/>
          </w:tcPr>
          <w:p w14:paraId="6D59ED7B" w14:textId="77777777" w:rsidR="00147313" w:rsidRPr="00196341" w:rsidRDefault="00147313" w:rsidP="003A7261">
            <w:pPr>
              <w:spacing w:line="300" w:lineRule="atLeast"/>
              <w:jc w:val="center"/>
              <w:rPr>
                <w:rFonts w:ascii="Arial" w:hAnsi="Arial" w:cs="Arial"/>
                <w:sz w:val="16"/>
                <w:szCs w:val="16"/>
              </w:rPr>
            </w:pPr>
            <w:r w:rsidRPr="00196341">
              <w:rPr>
                <w:rFonts w:ascii="Arial" w:hAnsi="Arial" w:cs="Arial"/>
                <w:sz w:val="16"/>
                <w:szCs w:val="16"/>
              </w:rPr>
              <w:t>-</w:t>
            </w:r>
          </w:p>
        </w:tc>
        <w:tc>
          <w:tcPr>
            <w:tcW w:w="1194" w:type="dxa"/>
            <w:vAlign w:val="center"/>
          </w:tcPr>
          <w:p w14:paraId="2DF87DD9" w14:textId="77777777" w:rsidR="00147313" w:rsidRPr="00196341" w:rsidRDefault="00147313" w:rsidP="003A7261">
            <w:pPr>
              <w:spacing w:line="300" w:lineRule="atLeast"/>
              <w:jc w:val="center"/>
              <w:rPr>
                <w:rFonts w:ascii="Arial" w:hAnsi="Arial" w:cs="Arial"/>
                <w:sz w:val="16"/>
                <w:szCs w:val="16"/>
              </w:rPr>
            </w:pPr>
            <w:r w:rsidRPr="00196341">
              <w:rPr>
                <w:rFonts w:ascii="Arial" w:hAnsi="Arial" w:cs="Arial"/>
                <w:sz w:val="16"/>
                <w:szCs w:val="16"/>
              </w:rPr>
              <w:t>-</w:t>
            </w:r>
          </w:p>
        </w:tc>
        <w:tc>
          <w:tcPr>
            <w:tcW w:w="1194" w:type="dxa"/>
            <w:vAlign w:val="center"/>
          </w:tcPr>
          <w:p w14:paraId="3100B28B" w14:textId="77777777" w:rsidR="00147313" w:rsidRPr="00196341" w:rsidRDefault="00147313" w:rsidP="003A7261">
            <w:pPr>
              <w:spacing w:line="300" w:lineRule="atLeast"/>
              <w:jc w:val="center"/>
              <w:rPr>
                <w:rFonts w:ascii="Arial" w:hAnsi="Arial" w:cs="Arial"/>
                <w:sz w:val="16"/>
                <w:szCs w:val="16"/>
              </w:rPr>
            </w:pPr>
            <w:r w:rsidRPr="00196341">
              <w:rPr>
                <w:rFonts w:ascii="Arial" w:hAnsi="Arial" w:cs="Arial"/>
                <w:sz w:val="16"/>
                <w:szCs w:val="16"/>
              </w:rPr>
              <w:t>-</w:t>
            </w:r>
          </w:p>
        </w:tc>
        <w:tc>
          <w:tcPr>
            <w:tcW w:w="1079" w:type="dxa"/>
            <w:vAlign w:val="center"/>
          </w:tcPr>
          <w:p w14:paraId="02CE47A1" w14:textId="3FC8EAEA" w:rsidR="00147313" w:rsidRPr="00196341" w:rsidRDefault="00147313" w:rsidP="003A7261">
            <w:pPr>
              <w:spacing w:line="300" w:lineRule="atLeast"/>
              <w:jc w:val="center"/>
              <w:rPr>
                <w:rFonts w:ascii="Arial" w:hAnsi="Arial" w:cs="Arial"/>
                <w:sz w:val="16"/>
                <w:szCs w:val="16"/>
              </w:rPr>
            </w:pPr>
            <w:r w:rsidRPr="00196341">
              <w:rPr>
                <w:rFonts w:ascii="Arial" w:hAnsi="Arial" w:cs="Arial"/>
                <w:sz w:val="16"/>
                <w:szCs w:val="16"/>
              </w:rPr>
              <w:t>40</w:t>
            </w:r>
          </w:p>
        </w:tc>
        <w:tc>
          <w:tcPr>
            <w:tcW w:w="1310" w:type="dxa"/>
            <w:vAlign w:val="center"/>
          </w:tcPr>
          <w:p w14:paraId="3E9EA9C1" w14:textId="77777777" w:rsidR="00147313" w:rsidRDefault="00147313" w:rsidP="003A7261">
            <w:pPr>
              <w:spacing w:line="300" w:lineRule="atLeast"/>
              <w:jc w:val="center"/>
              <w:rPr>
                <w:rFonts w:ascii="Arial" w:hAnsi="Arial" w:cs="Arial"/>
                <w:sz w:val="16"/>
                <w:szCs w:val="16"/>
              </w:rPr>
            </w:pPr>
            <w:r w:rsidRPr="00196341">
              <w:rPr>
                <w:rFonts w:ascii="Arial" w:hAnsi="Arial" w:cs="Arial"/>
                <w:sz w:val="16"/>
                <w:szCs w:val="16"/>
              </w:rPr>
              <w:t>-</w:t>
            </w:r>
          </w:p>
        </w:tc>
      </w:tr>
      <w:tr w:rsidR="00147313" w:rsidRPr="007901FE" w14:paraId="3982ADDF" w14:textId="77777777" w:rsidTr="00427FB4">
        <w:tc>
          <w:tcPr>
            <w:tcW w:w="1577" w:type="dxa"/>
            <w:vAlign w:val="center"/>
          </w:tcPr>
          <w:p w14:paraId="10A05F12" w14:textId="6F85E561" w:rsidR="00147313" w:rsidRPr="004901F2" w:rsidRDefault="00147313" w:rsidP="002A2A59">
            <w:pPr>
              <w:spacing w:before="40" w:after="40" w:line="300" w:lineRule="atLeast"/>
              <w:rPr>
                <w:rFonts w:ascii="Arial" w:hAnsi="Arial" w:cs="Arial"/>
                <w:sz w:val="16"/>
                <w:szCs w:val="16"/>
              </w:rPr>
            </w:pPr>
            <w:r>
              <w:rPr>
                <w:rFonts w:ascii="Arial" w:hAnsi="Arial" w:cs="Arial"/>
                <w:sz w:val="16"/>
                <w:szCs w:val="16"/>
              </w:rPr>
              <w:t xml:space="preserve">Cosmetics </w:t>
            </w:r>
          </w:p>
        </w:tc>
        <w:tc>
          <w:tcPr>
            <w:tcW w:w="1458" w:type="dxa"/>
            <w:vAlign w:val="center"/>
          </w:tcPr>
          <w:p w14:paraId="736BE3EB" w14:textId="77777777" w:rsidR="00147313" w:rsidRDefault="00147313" w:rsidP="003A7261">
            <w:pPr>
              <w:spacing w:line="300" w:lineRule="atLeast"/>
              <w:jc w:val="center"/>
              <w:rPr>
                <w:rFonts w:ascii="Arial" w:hAnsi="Arial" w:cs="Arial"/>
                <w:sz w:val="16"/>
                <w:szCs w:val="16"/>
              </w:rPr>
            </w:pPr>
            <w:r>
              <w:rPr>
                <w:rFonts w:ascii="Arial" w:hAnsi="Arial" w:cs="Arial"/>
                <w:sz w:val="16"/>
                <w:szCs w:val="16"/>
              </w:rPr>
              <w:t>-</w:t>
            </w:r>
          </w:p>
        </w:tc>
        <w:tc>
          <w:tcPr>
            <w:tcW w:w="1194" w:type="dxa"/>
            <w:vAlign w:val="center"/>
          </w:tcPr>
          <w:p w14:paraId="0D1398EC" w14:textId="77777777" w:rsidR="00147313" w:rsidRDefault="00147313" w:rsidP="003A7261">
            <w:pPr>
              <w:spacing w:line="300" w:lineRule="atLeast"/>
              <w:jc w:val="center"/>
              <w:rPr>
                <w:rFonts w:ascii="Arial" w:hAnsi="Arial" w:cs="Arial"/>
                <w:sz w:val="16"/>
                <w:szCs w:val="16"/>
              </w:rPr>
            </w:pPr>
            <w:r>
              <w:rPr>
                <w:rFonts w:ascii="Arial" w:hAnsi="Arial" w:cs="Arial"/>
                <w:sz w:val="16"/>
                <w:szCs w:val="16"/>
              </w:rPr>
              <w:t>-</w:t>
            </w:r>
          </w:p>
        </w:tc>
        <w:tc>
          <w:tcPr>
            <w:tcW w:w="1194" w:type="dxa"/>
            <w:vAlign w:val="center"/>
          </w:tcPr>
          <w:p w14:paraId="43DE5499" w14:textId="77777777" w:rsidR="00147313" w:rsidRDefault="00147313" w:rsidP="003A7261">
            <w:pPr>
              <w:spacing w:line="300" w:lineRule="atLeast"/>
              <w:jc w:val="center"/>
              <w:rPr>
                <w:rFonts w:ascii="Arial" w:hAnsi="Arial" w:cs="Arial"/>
                <w:sz w:val="16"/>
                <w:szCs w:val="16"/>
              </w:rPr>
            </w:pPr>
            <w:r>
              <w:rPr>
                <w:rFonts w:ascii="Arial" w:hAnsi="Arial" w:cs="Arial"/>
                <w:sz w:val="16"/>
                <w:szCs w:val="16"/>
              </w:rPr>
              <w:t>-</w:t>
            </w:r>
          </w:p>
        </w:tc>
        <w:tc>
          <w:tcPr>
            <w:tcW w:w="1194" w:type="dxa"/>
            <w:vAlign w:val="center"/>
          </w:tcPr>
          <w:p w14:paraId="43605AA2" w14:textId="77777777" w:rsidR="00147313" w:rsidRDefault="00147313" w:rsidP="003A7261">
            <w:pPr>
              <w:spacing w:line="300" w:lineRule="atLeast"/>
              <w:jc w:val="center"/>
              <w:rPr>
                <w:rFonts w:ascii="Arial" w:hAnsi="Arial" w:cs="Arial"/>
                <w:sz w:val="16"/>
                <w:szCs w:val="16"/>
              </w:rPr>
            </w:pPr>
            <w:r>
              <w:rPr>
                <w:rFonts w:ascii="Arial" w:hAnsi="Arial" w:cs="Arial"/>
                <w:sz w:val="16"/>
                <w:szCs w:val="16"/>
              </w:rPr>
              <w:t>-</w:t>
            </w:r>
          </w:p>
        </w:tc>
        <w:tc>
          <w:tcPr>
            <w:tcW w:w="1079" w:type="dxa"/>
            <w:vAlign w:val="center"/>
          </w:tcPr>
          <w:p w14:paraId="6281C5A7" w14:textId="77777777" w:rsidR="00147313" w:rsidRDefault="00147313" w:rsidP="003A7261">
            <w:pPr>
              <w:spacing w:line="300" w:lineRule="atLeast"/>
              <w:jc w:val="center"/>
              <w:rPr>
                <w:rFonts w:ascii="Arial" w:hAnsi="Arial" w:cs="Arial"/>
                <w:sz w:val="16"/>
                <w:szCs w:val="16"/>
              </w:rPr>
            </w:pPr>
            <w:r>
              <w:rPr>
                <w:rFonts w:ascii="Arial" w:hAnsi="Arial" w:cs="Arial"/>
                <w:sz w:val="16"/>
                <w:szCs w:val="16"/>
              </w:rPr>
              <w:t>-</w:t>
            </w:r>
          </w:p>
        </w:tc>
        <w:tc>
          <w:tcPr>
            <w:tcW w:w="1310" w:type="dxa"/>
            <w:vAlign w:val="center"/>
          </w:tcPr>
          <w:p w14:paraId="2788787A" w14:textId="77777777" w:rsidR="00147313" w:rsidRDefault="00147313" w:rsidP="003A7261">
            <w:pPr>
              <w:spacing w:line="300" w:lineRule="atLeast"/>
              <w:jc w:val="center"/>
              <w:rPr>
                <w:rFonts w:ascii="Arial" w:hAnsi="Arial" w:cs="Arial"/>
                <w:sz w:val="16"/>
                <w:szCs w:val="16"/>
              </w:rPr>
            </w:pPr>
            <w:r>
              <w:rPr>
                <w:rFonts w:ascii="Arial" w:hAnsi="Arial" w:cs="Arial"/>
                <w:sz w:val="16"/>
                <w:szCs w:val="16"/>
              </w:rPr>
              <w:t>-</w:t>
            </w:r>
          </w:p>
        </w:tc>
      </w:tr>
      <w:tr w:rsidR="00147313" w:rsidRPr="007901FE" w14:paraId="7A12395D" w14:textId="77777777" w:rsidTr="00427FB4">
        <w:tc>
          <w:tcPr>
            <w:tcW w:w="1577" w:type="dxa"/>
            <w:vAlign w:val="center"/>
          </w:tcPr>
          <w:p w14:paraId="65551DC6" w14:textId="77777777" w:rsidR="00147313" w:rsidRPr="00427FB4" w:rsidRDefault="00147313" w:rsidP="00C87339">
            <w:pPr>
              <w:spacing w:line="300" w:lineRule="atLeast"/>
              <w:rPr>
                <w:rFonts w:ascii="Arial" w:hAnsi="Arial" w:cs="Arial"/>
                <w:b/>
                <w:sz w:val="16"/>
                <w:szCs w:val="16"/>
              </w:rPr>
            </w:pPr>
            <w:r w:rsidRPr="00427FB4">
              <w:rPr>
                <w:rFonts w:ascii="Arial" w:hAnsi="Arial" w:cs="Arial"/>
                <w:b/>
                <w:sz w:val="16"/>
                <w:szCs w:val="16"/>
              </w:rPr>
              <w:t>Totals</w:t>
            </w:r>
          </w:p>
        </w:tc>
        <w:tc>
          <w:tcPr>
            <w:tcW w:w="1458" w:type="dxa"/>
            <w:vAlign w:val="center"/>
          </w:tcPr>
          <w:p w14:paraId="0D642600" w14:textId="7B341D16" w:rsidR="00147313" w:rsidRPr="00427FB4" w:rsidRDefault="009C00C2" w:rsidP="00FD1E8B">
            <w:pPr>
              <w:spacing w:line="300" w:lineRule="atLeast"/>
              <w:jc w:val="center"/>
              <w:rPr>
                <w:rFonts w:ascii="Arial" w:hAnsi="Arial" w:cs="Arial"/>
                <w:b/>
                <w:sz w:val="16"/>
                <w:szCs w:val="16"/>
              </w:rPr>
            </w:pPr>
            <w:r>
              <w:rPr>
                <w:rFonts w:ascii="Arial" w:hAnsi="Arial" w:cs="Arial"/>
                <w:b/>
                <w:sz w:val="16"/>
                <w:szCs w:val="16"/>
              </w:rPr>
              <w:t>104.4 – 224.5</w:t>
            </w:r>
            <w:r w:rsidR="006E7B4B">
              <w:rPr>
                <w:rFonts w:ascii="Arial" w:hAnsi="Arial" w:cs="Arial"/>
                <w:b/>
                <w:sz w:val="16"/>
                <w:szCs w:val="16"/>
              </w:rPr>
              <w:t xml:space="preserve"> (164.5)</w:t>
            </w:r>
          </w:p>
        </w:tc>
        <w:tc>
          <w:tcPr>
            <w:tcW w:w="1194" w:type="dxa"/>
            <w:vAlign w:val="center"/>
          </w:tcPr>
          <w:p w14:paraId="56128525" w14:textId="7BF8DC07" w:rsidR="00147313" w:rsidRPr="00427FB4" w:rsidRDefault="009C00C2" w:rsidP="001541EF">
            <w:pPr>
              <w:spacing w:line="300" w:lineRule="atLeast"/>
              <w:jc w:val="center"/>
              <w:rPr>
                <w:rFonts w:ascii="Arial" w:hAnsi="Arial" w:cs="Arial"/>
                <w:b/>
                <w:sz w:val="16"/>
                <w:szCs w:val="16"/>
              </w:rPr>
            </w:pPr>
            <w:r>
              <w:rPr>
                <w:rFonts w:ascii="Arial" w:hAnsi="Arial" w:cs="Arial"/>
                <w:b/>
                <w:sz w:val="16"/>
                <w:szCs w:val="16"/>
              </w:rPr>
              <w:t>1.5 – 12.6</w:t>
            </w:r>
            <w:r w:rsidR="006E7B4B">
              <w:rPr>
                <w:rFonts w:ascii="Arial" w:hAnsi="Arial" w:cs="Arial"/>
                <w:b/>
                <w:sz w:val="16"/>
                <w:szCs w:val="16"/>
              </w:rPr>
              <w:t xml:space="preserve"> (7.1)</w:t>
            </w:r>
          </w:p>
        </w:tc>
        <w:tc>
          <w:tcPr>
            <w:tcW w:w="1194" w:type="dxa"/>
            <w:vAlign w:val="center"/>
          </w:tcPr>
          <w:p w14:paraId="1F8AD0A8" w14:textId="57AA1AAA" w:rsidR="00147313" w:rsidRPr="00427FB4" w:rsidRDefault="009C00C2" w:rsidP="00EC6635">
            <w:pPr>
              <w:spacing w:line="300" w:lineRule="atLeast"/>
              <w:jc w:val="center"/>
              <w:rPr>
                <w:rFonts w:ascii="Arial" w:hAnsi="Arial" w:cs="Arial"/>
                <w:b/>
                <w:sz w:val="16"/>
                <w:szCs w:val="16"/>
              </w:rPr>
            </w:pPr>
            <w:r>
              <w:rPr>
                <w:rFonts w:ascii="Arial" w:hAnsi="Arial" w:cs="Arial"/>
                <w:b/>
                <w:sz w:val="16"/>
                <w:szCs w:val="16"/>
              </w:rPr>
              <w:t>0.6</w:t>
            </w:r>
            <w:r w:rsidR="00427FB4">
              <w:rPr>
                <w:rFonts w:ascii="Arial" w:hAnsi="Arial" w:cs="Arial"/>
                <w:b/>
                <w:sz w:val="16"/>
                <w:szCs w:val="16"/>
              </w:rPr>
              <w:t xml:space="preserve"> – 5</w:t>
            </w:r>
            <w:r>
              <w:rPr>
                <w:rFonts w:ascii="Arial" w:hAnsi="Arial" w:cs="Arial"/>
                <w:b/>
                <w:sz w:val="16"/>
                <w:szCs w:val="16"/>
              </w:rPr>
              <w:t>.7</w:t>
            </w:r>
            <w:r w:rsidR="00427FB4">
              <w:rPr>
                <w:rFonts w:ascii="Arial" w:hAnsi="Arial" w:cs="Arial"/>
                <w:b/>
                <w:sz w:val="16"/>
                <w:szCs w:val="16"/>
              </w:rPr>
              <w:t xml:space="preserve"> (3.1)</w:t>
            </w:r>
          </w:p>
        </w:tc>
        <w:tc>
          <w:tcPr>
            <w:tcW w:w="1194" w:type="dxa"/>
            <w:vAlign w:val="center"/>
          </w:tcPr>
          <w:p w14:paraId="2B738C4F" w14:textId="33CDE238" w:rsidR="00147313" w:rsidRPr="00427FB4" w:rsidRDefault="00147313" w:rsidP="009C00C2">
            <w:pPr>
              <w:spacing w:line="300" w:lineRule="atLeast"/>
              <w:jc w:val="center"/>
              <w:rPr>
                <w:rFonts w:ascii="Arial" w:hAnsi="Arial" w:cs="Arial"/>
                <w:b/>
                <w:sz w:val="16"/>
                <w:szCs w:val="16"/>
              </w:rPr>
            </w:pPr>
            <w:r w:rsidRPr="00427FB4">
              <w:rPr>
                <w:rFonts w:ascii="Arial" w:hAnsi="Arial" w:cs="Arial"/>
                <w:b/>
                <w:sz w:val="16"/>
                <w:szCs w:val="16"/>
              </w:rPr>
              <w:t xml:space="preserve">0.9 – </w:t>
            </w:r>
            <w:r w:rsidR="00427FB4">
              <w:rPr>
                <w:rFonts w:ascii="Arial" w:hAnsi="Arial" w:cs="Arial"/>
                <w:b/>
                <w:sz w:val="16"/>
                <w:szCs w:val="16"/>
              </w:rPr>
              <w:t>9.4</w:t>
            </w:r>
            <w:r w:rsidRPr="00427FB4">
              <w:rPr>
                <w:rFonts w:ascii="Arial" w:hAnsi="Arial" w:cs="Arial"/>
                <w:b/>
                <w:sz w:val="16"/>
                <w:szCs w:val="16"/>
              </w:rPr>
              <w:t xml:space="preserve"> (</w:t>
            </w:r>
            <w:r w:rsidR="00427FB4">
              <w:rPr>
                <w:rFonts w:ascii="Arial" w:hAnsi="Arial" w:cs="Arial"/>
                <w:b/>
                <w:sz w:val="16"/>
                <w:szCs w:val="16"/>
              </w:rPr>
              <w:t>5.2)</w:t>
            </w:r>
          </w:p>
        </w:tc>
        <w:tc>
          <w:tcPr>
            <w:tcW w:w="1079" w:type="dxa"/>
            <w:vAlign w:val="center"/>
          </w:tcPr>
          <w:p w14:paraId="0ADA6CEC" w14:textId="0B29D776" w:rsidR="00147313" w:rsidRPr="00427FB4" w:rsidRDefault="00147313" w:rsidP="003A7261">
            <w:pPr>
              <w:spacing w:line="300" w:lineRule="atLeast"/>
              <w:jc w:val="center"/>
              <w:rPr>
                <w:rFonts w:ascii="Arial" w:hAnsi="Arial" w:cs="Arial"/>
                <w:b/>
                <w:sz w:val="16"/>
                <w:szCs w:val="16"/>
              </w:rPr>
            </w:pPr>
            <w:r w:rsidRPr="00427FB4">
              <w:rPr>
                <w:rFonts w:ascii="Arial" w:hAnsi="Arial" w:cs="Arial"/>
                <w:b/>
                <w:sz w:val="16"/>
                <w:szCs w:val="16"/>
              </w:rPr>
              <w:t>4</w:t>
            </w:r>
            <w:r w:rsidR="00427FB4">
              <w:rPr>
                <w:rFonts w:ascii="Arial" w:hAnsi="Arial" w:cs="Arial"/>
                <w:b/>
                <w:sz w:val="16"/>
                <w:szCs w:val="16"/>
              </w:rPr>
              <w:t>0.2</w:t>
            </w:r>
          </w:p>
        </w:tc>
        <w:tc>
          <w:tcPr>
            <w:tcW w:w="1310" w:type="dxa"/>
            <w:vAlign w:val="center"/>
          </w:tcPr>
          <w:p w14:paraId="78915261" w14:textId="647FA93C" w:rsidR="00147313" w:rsidRPr="004E3E02" w:rsidRDefault="009C00C2" w:rsidP="0019596E">
            <w:pPr>
              <w:spacing w:line="300" w:lineRule="atLeast"/>
              <w:jc w:val="center"/>
              <w:rPr>
                <w:rFonts w:ascii="Arial" w:hAnsi="Arial" w:cs="Arial"/>
                <w:b/>
                <w:sz w:val="16"/>
                <w:szCs w:val="16"/>
              </w:rPr>
            </w:pPr>
            <w:r>
              <w:rPr>
                <w:rFonts w:ascii="Arial" w:hAnsi="Arial" w:cs="Arial"/>
                <w:b/>
                <w:sz w:val="16"/>
                <w:szCs w:val="16"/>
              </w:rPr>
              <w:t>61.2</w:t>
            </w:r>
            <w:r w:rsidR="006E7B4B">
              <w:rPr>
                <w:rFonts w:ascii="Arial" w:hAnsi="Arial" w:cs="Arial"/>
                <w:b/>
                <w:sz w:val="16"/>
                <w:szCs w:val="16"/>
              </w:rPr>
              <w:t xml:space="preserve"> – 156.6 (108.9)</w:t>
            </w:r>
          </w:p>
        </w:tc>
      </w:tr>
    </w:tbl>
    <w:p w14:paraId="282F94CE" w14:textId="046FE3D7" w:rsidR="00D16E72" w:rsidRDefault="00D16E72" w:rsidP="003833D6">
      <w:pPr>
        <w:spacing w:line="300" w:lineRule="atLeast"/>
        <w:jc w:val="both"/>
        <w:rPr>
          <w:szCs w:val="18"/>
        </w:rPr>
      </w:pPr>
    </w:p>
    <w:p w14:paraId="446C6B97" w14:textId="77777777" w:rsidR="00D16E72" w:rsidRDefault="00D16E72">
      <w:pPr>
        <w:spacing w:after="0"/>
        <w:rPr>
          <w:szCs w:val="18"/>
        </w:rPr>
      </w:pPr>
      <w:r>
        <w:rPr>
          <w:szCs w:val="18"/>
        </w:rPr>
        <w:br w:type="page"/>
      </w:r>
    </w:p>
    <w:p w14:paraId="0E686802" w14:textId="77777777" w:rsidR="00D16E72" w:rsidRDefault="003F6605" w:rsidP="00D16E72">
      <w:pPr>
        <w:pStyle w:val="Heading1"/>
      </w:pPr>
      <w:bookmarkStart w:id="114" w:name="_Toc484949601"/>
      <w:r>
        <w:lastRenderedPageBreak/>
        <w:t>Other intentional product/process uses</w:t>
      </w:r>
      <w:bookmarkEnd w:id="114"/>
    </w:p>
    <w:p w14:paraId="566ADAA2" w14:textId="77777777" w:rsidR="00460A55" w:rsidRDefault="00460A55" w:rsidP="003833D6">
      <w:pPr>
        <w:spacing w:line="300" w:lineRule="atLeast"/>
        <w:jc w:val="both"/>
        <w:rPr>
          <w:szCs w:val="18"/>
        </w:rPr>
      </w:pPr>
    </w:p>
    <w:p w14:paraId="5C5264BF" w14:textId="5C584947" w:rsidR="00D16E72" w:rsidRDefault="000E14C5" w:rsidP="003833D6">
      <w:pPr>
        <w:spacing w:line="300" w:lineRule="atLeast"/>
        <w:jc w:val="both"/>
        <w:rPr>
          <w:szCs w:val="18"/>
        </w:rPr>
      </w:pPr>
      <w:r w:rsidRPr="000E14C5">
        <w:rPr>
          <w:szCs w:val="18"/>
        </w:rPr>
        <w:t xml:space="preserve">This category covers mercury uses in a range of </w:t>
      </w:r>
      <w:r>
        <w:rPr>
          <w:szCs w:val="18"/>
        </w:rPr>
        <w:t xml:space="preserve">other intentional </w:t>
      </w:r>
      <w:r w:rsidR="00EE59AC" w:rsidRPr="000E14C5">
        <w:rPr>
          <w:szCs w:val="18"/>
        </w:rPr>
        <w:t xml:space="preserve">products </w:t>
      </w:r>
      <w:r>
        <w:rPr>
          <w:szCs w:val="18"/>
        </w:rPr>
        <w:t>and</w:t>
      </w:r>
      <w:r w:rsidRPr="000E14C5">
        <w:rPr>
          <w:szCs w:val="18"/>
        </w:rPr>
        <w:t xml:space="preserve"> </w:t>
      </w:r>
      <w:r w:rsidR="00EE59AC">
        <w:rPr>
          <w:szCs w:val="18"/>
        </w:rPr>
        <w:t xml:space="preserve">uses </w:t>
      </w:r>
      <w:r w:rsidRPr="000E14C5">
        <w:rPr>
          <w:szCs w:val="18"/>
        </w:rPr>
        <w:t>(</w:t>
      </w:r>
      <w:r w:rsidR="00C738EC">
        <w:rPr>
          <w:szCs w:val="18"/>
        </w:rPr>
        <w:t>UNEP, 2017</w:t>
      </w:r>
      <w:r w:rsidRPr="000E14C5">
        <w:rPr>
          <w:szCs w:val="18"/>
        </w:rPr>
        <w:t>). The various sub-categories and the primary release pathways are summarised in</w:t>
      </w:r>
      <w:r>
        <w:rPr>
          <w:szCs w:val="18"/>
        </w:rPr>
        <w:t xml:space="preserve"> </w:t>
      </w:r>
      <w:r w:rsidRPr="0094605E">
        <w:rPr>
          <w:szCs w:val="18"/>
        </w:rPr>
        <w:fldChar w:fldCharType="begin"/>
      </w:r>
      <w:r w:rsidRPr="0094605E">
        <w:rPr>
          <w:szCs w:val="18"/>
        </w:rPr>
        <w:instrText xml:space="preserve"> REF _Ref358549022 \h </w:instrText>
      </w:r>
      <w:r w:rsidR="0094605E">
        <w:rPr>
          <w:szCs w:val="18"/>
        </w:rPr>
        <w:instrText xml:space="preserve"> \* MERGEFORMAT </w:instrText>
      </w:r>
      <w:r w:rsidRPr="0094605E">
        <w:rPr>
          <w:szCs w:val="18"/>
        </w:rPr>
      </w:r>
      <w:r w:rsidRPr="0094605E">
        <w:rPr>
          <w:szCs w:val="18"/>
        </w:rPr>
        <w:fldChar w:fldCharType="separate"/>
      </w:r>
      <w:r w:rsidR="00423FC9" w:rsidRPr="00423FC9">
        <w:t xml:space="preserve">Table </w:t>
      </w:r>
      <w:r w:rsidR="00423FC9" w:rsidRPr="00423FC9">
        <w:rPr>
          <w:noProof/>
        </w:rPr>
        <w:t>8</w:t>
      </w:r>
      <w:r w:rsidR="00423FC9" w:rsidRPr="00423FC9">
        <w:rPr>
          <w:noProof/>
        </w:rPr>
        <w:noBreakHyphen/>
        <w:t>1</w:t>
      </w:r>
      <w:r w:rsidRPr="0094605E">
        <w:rPr>
          <w:szCs w:val="18"/>
        </w:rPr>
        <w:fldChar w:fldCharType="end"/>
      </w:r>
      <w:r w:rsidR="00DB09D1" w:rsidRPr="00DB09D1">
        <w:rPr>
          <w:szCs w:val="18"/>
        </w:rPr>
        <w:t>, which has been copied directly from the UNEP Toolkit</w:t>
      </w:r>
      <w:r w:rsidRPr="000E14C5">
        <w:rPr>
          <w:szCs w:val="18"/>
        </w:rPr>
        <w:t>.</w:t>
      </w:r>
    </w:p>
    <w:p w14:paraId="5FEFE2CE" w14:textId="77777777" w:rsidR="00D16E72" w:rsidRDefault="003F6605" w:rsidP="000E14C5">
      <w:pPr>
        <w:pStyle w:val="Caption"/>
        <w:spacing w:before="240"/>
        <w:rPr>
          <w:szCs w:val="18"/>
        </w:rPr>
      </w:pPr>
      <w:bookmarkStart w:id="115" w:name="_Ref358549022"/>
      <w:bookmarkStart w:id="116" w:name="_Toc484949664"/>
      <w:r w:rsidRPr="000E14C5">
        <w:rPr>
          <w:rFonts w:ascii="Arial" w:hAnsi="Arial" w:cs="Arial"/>
        </w:rPr>
        <w:t xml:space="preserve">Table </w:t>
      </w:r>
      <w:r w:rsidR="00390C9F">
        <w:rPr>
          <w:rFonts w:ascii="Arial" w:hAnsi="Arial" w:cs="Arial"/>
        </w:rPr>
        <w:fldChar w:fldCharType="begin"/>
      </w:r>
      <w:r w:rsidR="00390C9F">
        <w:rPr>
          <w:rFonts w:ascii="Arial" w:hAnsi="Arial" w:cs="Arial"/>
        </w:rPr>
        <w:instrText xml:space="preserve"> STYLEREF 1 \s </w:instrText>
      </w:r>
      <w:r w:rsidR="00390C9F">
        <w:rPr>
          <w:rFonts w:ascii="Arial" w:hAnsi="Arial" w:cs="Arial"/>
        </w:rPr>
        <w:fldChar w:fldCharType="separate"/>
      </w:r>
      <w:r w:rsidR="00423FC9">
        <w:rPr>
          <w:rFonts w:ascii="Arial" w:hAnsi="Arial" w:cs="Arial"/>
          <w:noProof/>
        </w:rPr>
        <w:t>8</w:t>
      </w:r>
      <w:r w:rsidR="00390C9F">
        <w:rPr>
          <w:rFonts w:ascii="Arial" w:hAnsi="Arial" w:cs="Arial"/>
        </w:rPr>
        <w:fldChar w:fldCharType="end"/>
      </w:r>
      <w:r w:rsidR="00390C9F">
        <w:rPr>
          <w:rFonts w:ascii="Arial" w:hAnsi="Arial" w:cs="Arial"/>
        </w:rPr>
        <w:noBreakHyphen/>
      </w:r>
      <w:r w:rsidR="00390C9F">
        <w:rPr>
          <w:rFonts w:ascii="Arial" w:hAnsi="Arial" w:cs="Arial"/>
        </w:rPr>
        <w:fldChar w:fldCharType="begin"/>
      </w:r>
      <w:r w:rsidR="00390C9F">
        <w:rPr>
          <w:rFonts w:ascii="Arial" w:hAnsi="Arial" w:cs="Arial"/>
        </w:rPr>
        <w:instrText xml:space="preserve"> SEQ Table \* ARABIC \s 1 </w:instrText>
      </w:r>
      <w:r w:rsidR="00390C9F">
        <w:rPr>
          <w:rFonts w:ascii="Arial" w:hAnsi="Arial" w:cs="Arial"/>
        </w:rPr>
        <w:fldChar w:fldCharType="separate"/>
      </w:r>
      <w:r w:rsidR="00423FC9">
        <w:rPr>
          <w:rFonts w:ascii="Arial" w:hAnsi="Arial" w:cs="Arial"/>
          <w:noProof/>
        </w:rPr>
        <w:t>1</w:t>
      </w:r>
      <w:r w:rsidR="00390C9F">
        <w:rPr>
          <w:rFonts w:ascii="Arial" w:hAnsi="Arial" w:cs="Arial"/>
        </w:rPr>
        <w:fldChar w:fldCharType="end"/>
      </w:r>
      <w:bookmarkEnd w:id="115"/>
      <w:r w:rsidR="00B81235" w:rsidRPr="000E14C5">
        <w:rPr>
          <w:rFonts w:ascii="Arial" w:hAnsi="Arial" w:cs="Arial"/>
        </w:rPr>
        <w:t>:</w:t>
      </w:r>
      <w:r w:rsidR="00B81235">
        <w:t xml:space="preserve">  </w:t>
      </w:r>
      <w:r w:rsidR="00D16E72" w:rsidRPr="003D7CC9">
        <w:rPr>
          <w:rFonts w:ascii="Arial" w:hAnsi="Arial" w:cs="Arial"/>
        </w:rPr>
        <w:t>T</w:t>
      </w:r>
      <w:r w:rsidR="00D16E72">
        <w:rPr>
          <w:rFonts w:ascii="Arial" w:hAnsi="Arial" w:cs="Arial"/>
        </w:rPr>
        <w:t xml:space="preserve">oolkit framework for category </w:t>
      </w:r>
      <w:r>
        <w:rPr>
          <w:rFonts w:ascii="Arial" w:hAnsi="Arial" w:cs="Arial"/>
        </w:rPr>
        <w:t>6</w:t>
      </w:r>
      <w:r w:rsidR="00D16E72">
        <w:rPr>
          <w:rFonts w:ascii="Arial" w:hAnsi="Arial" w:cs="Arial"/>
        </w:rPr>
        <w:t xml:space="preserve"> – </w:t>
      </w:r>
      <w:r>
        <w:rPr>
          <w:rFonts w:ascii="Arial" w:hAnsi="Arial" w:cs="Arial"/>
        </w:rPr>
        <w:t>other intentional product/process uses</w:t>
      </w:r>
      <w:bookmarkEnd w:id="1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850"/>
        <w:gridCol w:w="851"/>
        <w:gridCol w:w="851"/>
        <w:gridCol w:w="992"/>
        <w:gridCol w:w="992"/>
        <w:gridCol w:w="1099"/>
      </w:tblGrid>
      <w:tr w:rsidR="00D16E72" w:rsidRPr="004901F2" w14:paraId="59364932" w14:textId="77777777" w:rsidTr="00284F82">
        <w:tc>
          <w:tcPr>
            <w:tcW w:w="851" w:type="dxa"/>
            <w:shd w:val="clear" w:color="auto" w:fill="auto"/>
            <w:vAlign w:val="center"/>
          </w:tcPr>
          <w:p w14:paraId="10DCD680"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Toolkit Chapter</w:t>
            </w:r>
          </w:p>
        </w:tc>
        <w:tc>
          <w:tcPr>
            <w:tcW w:w="2693" w:type="dxa"/>
            <w:shd w:val="clear" w:color="auto" w:fill="auto"/>
            <w:vAlign w:val="center"/>
          </w:tcPr>
          <w:p w14:paraId="031DA1EE"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Sub-category</w:t>
            </w:r>
          </w:p>
        </w:tc>
        <w:tc>
          <w:tcPr>
            <w:tcW w:w="850" w:type="dxa"/>
            <w:shd w:val="clear" w:color="auto" w:fill="auto"/>
            <w:vAlign w:val="center"/>
          </w:tcPr>
          <w:p w14:paraId="22D9C822"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Air</w:t>
            </w:r>
          </w:p>
        </w:tc>
        <w:tc>
          <w:tcPr>
            <w:tcW w:w="851" w:type="dxa"/>
            <w:shd w:val="clear" w:color="auto" w:fill="auto"/>
            <w:vAlign w:val="center"/>
          </w:tcPr>
          <w:p w14:paraId="17DF7B53"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Water</w:t>
            </w:r>
          </w:p>
        </w:tc>
        <w:tc>
          <w:tcPr>
            <w:tcW w:w="851" w:type="dxa"/>
            <w:shd w:val="clear" w:color="auto" w:fill="auto"/>
            <w:vAlign w:val="center"/>
          </w:tcPr>
          <w:p w14:paraId="738AE7C1"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Land</w:t>
            </w:r>
          </w:p>
        </w:tc>
        <w:tc>
          <w:tcPr>
            <w:tcW w:w="992" w:type="dxa"/>
            <w:shd w:val="clear" w:color="auto" w:fill="auto"/>
            <w:vAlign w:val="center"/>
          </w:tcPr>
          <w:p w14:paraId="32E9D7B1"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Product</w:t>
            </w:r>
          </w:p>
        </w:tc>
        <w:tc>
          <w:tcPr>
            <w:tcW w:w="992" w:type="dxa"/>
            <w:shd w:val="clear" w:color="auto" w:fill="auto"/>
            <w:vAlign w:val="center"/>
          </w:tcPr>
          <w:p w14:paraId="50046F73"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Waste/ residue</w:t>
            </w:r>
          </w:p>
        </w:tc>
        <w:tc>
          <w:tcPr>
            <w:tcW w:w="1099" w:type="dxa"/>
            <w:shd w:val="clear" w:color="auto" w:fill="auto"/>
            <w:vAlign w:val="center"/>
          </w:tcPr>
          <w:p w14:paraId="553479ED"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Main approach</w:t>
            </w:r>
          </w:p>
        </w:tc>
      </w:tr>
      <w:tr w:rsidR="00D16E72" w:rsidRPr="004901F2" w14:paraId="0436556F" w14:textId="77777777" w:rsidTr="00284F82">
        <w:tc>
          <w:tcPr>
            <w:tcW w:w="851" w:type="dxa"/>
            <w:shd w:val="clear" w:color="auto" w:fill="auto"/>
            <w:vAlign w:val="center"/>
          </w:tcPr>
          <w:p w14:paraId="12A2E3AD" w14:textId="77777777" w:rsidR="00D16E72" w:rsidRPr="004901F2" w:rsidRDefault="00D16E72" w:rsidP="003F6605">
            <w:pPr>
              <w:spacing w:before="40" w:after="40" w:line="300" w:lineRule="atLeast"/>
              <w:rPr>
                <w:rFonts w:ascii="Arial" w:hAnsi="Arial" w:cs="Arial"/>
                <w:sz w:val="16"/>
                <w:szCs w:val="16"/>
              </w:rPr>
            </w:pPr>
            <w:r>
              <w:rPr>
                <w:rFonts w:ascii="Arial" w:hAnsi="Arial" w:cs="Arial"/>
                <w:sz w:val="16"/>
                <w:szCs w:val="16"/>
              </w:rPr>
              <w:t>5.</w:t>
            </w:r>
            <w:r w:rsidR="003F6605">
              <w:rPr>
                <w:rFonts w:ascii="Arial" w:hAnsi="Arial" w:cs="Arial"/>
                <w:sz w:val="16"/>
                <w:szCs w:val="16"/>
              </w:rPr>
              <w:t>6</w:t>
            </w:r>
            <w:r w:rsidRPr="004901F2">
              <w:rPr>
                <w:rFonts w:ascii="Arial" w:hAnsi="Arial" w:cs="Arial"/>
                <w:sz w:val="16"/>
                <w:szCs w:val="16"/>
              </w:rPr>
              <w:t>.1</w:t>
            </w:r>
          </w:p>
        </w:tc>
        <w:tc>
          <w:tcPr>
            <w:tcW w:w="2693" w:type="dxa"/>
            <w:shd w:val="clear" w:color="auto" w:fill="auto"/>
            <w:vAlign w:val="center"/>
          </w:tcPr>
          <w:p w14:paraId="0E051587" w14:textId="77777777" w:rsidR="00D16E72" w:rsidRPr="004901F2" w:rsidRDefault="003F6605" w:rsidP="003F6605">
            <w:pPr>
              <w:spacing w:line="300" w:lineRule="atLeast"/>
              <w:rPr>
                <w:rFonts w:ascii="Arial" w:hAnsi="Arial" w:cs="Arial"/>
                <w:sz w:val="16"/>
                <w:szCs w:val="16"/>
              </w:rPr>
            </w:pPr>
            <w:r>
              <w:rPr>
                <w:rFonts w:ascii="Arial" w:hAnsi="Arial" w:cs="Arial"/>
                <w:sz w:val="16"/>
                <w:szCs w:val="16"/>
              </w:rPr>
              <w:t>Dental m</w:t>
            </w:r>
            <w:r w:rsidR="00D16E72">
              <w:rPr>
                <w:rFonts w:ascii="Arial" w:hAnsi="Arial" w:cs="Arial"/>
                <w:sz w:val="16"/>
                <w:szCs w:val="16"/>
              </w:rPr>
              <w:t>ercury</w:t>
            </w:r>
            <w:r>
              <w:rPr>
                <w:rFonts w:ascii="Arial" w:hAnsi="Arial" w:cs="Arial"/>
                <w:sz w:val="16"/>
                <w:szCs w:val="16"/>
              </w:rPr>
              <w:t xml:space="preserve"> amalgam fillings</w:t>
            </w:r>
          </w:p>
        </w:tc>
        <w:tc>
          <w:tcPr>
            <w:tcW w:w="850" w:type="dxa"/>
            <w:shd w:val="clear" w:color="auto" w:fill="auto"/>
            <w:vAlign w:val="center"/>
          </w:tcPr>
          <w:p w14:paraId="74179FED" w14:textId="77777777" w:rsidR="00D16E72" w:rsidRPr="003F6605" w:rsidRDefault="003F6605" w:rsidP="00284F82">
            <w:pPr>
              <w:spacing w:before="40" w:after="40" w:line="300" w:lineRule="atLeast"/>
              <w:jc w:val="center"/>
              <w:rPr>
                <w:rFonts w:ascii="Arial" w:hAnsi="Arial" w:cs="Arial"/>
                <w:sz w:val="16"/>
                <w:szCs w:val="16"/>
              </w:rPr>
            </w:pPr>
            <w:r>
              <w:rPr>
                <w:rFonts w:ascii="Arial" w:hAnsi="Arial" w:cs="Arial"/>
                <w:sz w:val="16"/>
                <w:szCs w:val="16"/>
              </w:rPr>
              <w:t>x</w:t>
            </w:r>
          </w:p>
        </w:tc>
        <w:tc>
          <w:tcPr>
            <w:tcW w:w="851" w:type="dxa"/>
            <w:shd w:val="clear" w:color="auto" w:fill="auto"/>
            <w:vAlign w:val="center"/>
          </w:tcPr>
          <w:p w14:paraId="495F36AA" w14:textId="77777777" w:rsidR="00D16E72" w:rsidRPr="004901F2" w:rsidRDefault="00D16E72" w:rsidP="00284F82">
            <w:pPr>
              <w:spacing w:before="40" w:after="40" w:line="300" w:lineRule="atLeast"/>
              <w:jc w:val="center"/>
              <w:rPr>
                <w:rFonts w:ascii="Arial" w:hAnsi="Arial" w:cs="Arial"/>
                <w:sz w:val="16"/>
                <w:szCs w:val="16"/>
              </w:rPr>
            </w:pPr>
            <w:r w:rsidRPr="00177AB0">
              <w:rPr>
                <w:rFonts w:ascii="Arial" w:hAnsi="Arial" w:cs="Arial"/>
                <w:b/>
                <w:sz w:val="16"/>
                <w:szCs w:val="16"/>
              </w:rPr>
              <w:t>X</w:t>
            </w:r>
          </w:p>
        </w:tc>
        <w:tc>
          <w:tcPr>
            <w:tcW w:w="851" w:type="dxa"/>
            <w:shd w:val="clear" w:color="auto" w:fill="auto"/>
            <w:vAlign w:val="center"/>
          </w:tcPr>
          <w:p w14:paraId="64C1036E" w14:textId="77777777" w:rsidR="00D16E72" w:rsidRPr="004901F2" w:rsidRDefault="00D16E72" w:rsidP="00284F82">
            <w:pPr>
              <w:spacing w:before="40" w:after="40" w:line="300" w:lineRule="atLeast"/>
              <w:jc w:val="center"/>
              <w:rPr>
                <w:rFonts w:ascii="Arial" w:hAnsi="Arial" w:cs="Arial"/>
                <w:sz w:val="16"/>
                <w:szCs w:val="16"/>
              </w:rPr>
            </w:pPr>
          </w:p>
        </w:tc>
        <w:tc>
          <w:tcPr>
            <w:tcW w:w="992" w:type="dxa"/>
            <w:shd w:val="clear" w:color="auto" w:fill="auto"/>
            <w:vAlign w:val="center"/>
          </w:tcPr>
          <w:p w14:paraId="5BAD6D79"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274DA4FB"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1099" w:type="dxa"/>
            <w:shd w:val="clear" w:color="auto" w:fill="auto"/>
            <w:vAlign w:val="center"/>
          </w:tcPr>
          <w:p w14:paraId="68BF0BD8" w14:textId="77777777" w:rsidR="00D16E72" w:rsidRPr="004901F2" w:rsidRDefault="003F6605" w:rsidP="00284F82">
            <w:pPr>
              <w:spacing w:before="40" w:after="40" w:line="300" w:lineRule="atLeast"/>
              <w:jc w:val="center"/>
              <w:rPr>
                <w:rFonts w:ascii="Arial" w:hAnsi="Arial" w:cs="Arial"/>
                <w:sz w:val="16"/>
                <w:szCs w:val="16"/>
              </w:rPr>
            </w:pPr>
            <w:r w:rsidRPr="003F6605">
              <w:rPr>
                <w:rFonts w:ascii="Arial" w:hAnsi="Arial" w:cs="Arial"/>
                <w:sz w:val="16"/>
                <w:szCs w:val="16"/>
              </w:rPr>
              <w:t>OW</w:t>
            </w:r>
          </w:p>
        </w:tc>
      </w:tr>
      <w:tr w:rsidR="00D16E72" w:rsidRPr="004901F2" w14:paraId="1D80BF42" w14:textId="77777777" w:rsidTr="00284F82">
        <w:tc>
          <w:tcPr>
            <w:tcW w:w="851" w:type="dxa"/>
            <w:shd w:val="clear" w:color="auto" w:fill="auto"/>
            <w:vAlign w:val="center"/>
          </w:tcPr>
          <w:p w14:paraId="33782F62" w14:textId="77777777" w:rsidR="00D16E72" w:rsidRPr="004901F2" w:rsidRDefault="003F6605" w:rsidP="00284F82">
            <w:pPr>
              <w:spacing w:before="40" w:after="40" w:line="300" w:lineRule="atLeast"/>
              <w:rPr>
                <w:rFonts w:ascii="Arial" w:hAnsi="Arial" w:cs="Arial"/>
                <w:sz w:val="16"/>
                <w:szCs w:val="16"/>
              </w:rPr>
            </w:pPr>
            <w:r>
              <w:rPr>
                <w:rFonts w:ascii="Arial" w:hAnsi="Arial" w:cs="Arial"/>
                <w:sz w:val="16"/>
                <w:szCs w:val="16"/>
              </w:rPr>
              <w:t>5.6</w:t>
            </w:r>
            <w:r w:rsidR="00D16E72" w:rsidRPr="004901F2">
              <w:rPr>
                <w:rFonts w:ascii="Arial" w:hAnsi="Arial" w:cs="Arial"/>
                <w:sz w:val="16"/>
                <w:szCs w:val="16"/>
              </w:rPr>
              <w:t>.2</w:t>
            </w:r>
          </w:p>
        </w:tc>
        <w:tc>
          <w:tcPr>
            <w:tcW w:w="2693" w:type="dxa"/>
            <w:shd w:val="clear" w:color="auto" w:fill="auto"/>
            <w:vAlign w:val="center"/>
          </w:tcPr>
          <w:p w14:paraId="24BE94F3" w14:textId="77777777" w:rsidR="00D16E72" w:rsidRPr="004901F2" w:rsidRDefault="003F6605" w:rsidP="00284F82">
            <w:pPr>
              <w:spacing w:before="40" w:after="40" w:line="300" w:lineRule="atLeast"/>
              <w:rPr>
                <w:rFonts w:ascii="Arial" w:hAnsi="Arial" w:cs="Arial"/>
                <w:sz w:val="16"/>
                <w:szCs w:val="16"/>
              </w:rPr>
            </w:pPr>
            <w:r>
              <w:rPr>
                <w:rFonts w:ascii="Arial" w:hAnsi="Arial" w:cs="Arial"/>
                <w:sz w:val="16"/>
                <w:szCs w:val="16"/>
              </w:rPr>
              <w:t>Manometers and gauges</w:t>
            </w:r>
          </w:p>
        </w:tc>
        <w:tc>
          <w:tcPr>
            <w:tcW w:w="850" w:type="dxa"/>
            <w:shd w:val="clear" w:color="auto" w:fill="auto"/>
            <w:vAlign w:val="center"/>
          </w:tcPr>
          <w:p w14:paraId="3E64F9A8" w14:textId="77777777" w:rsidR="00D16E72" w:rsidRPr="003F6605" w:rsidRDefault="003F6605" w:rsidP="00284F82">
            <w:pPr>
              <w:spacing w:before="40" w:after="40" w:line="300" w:lineRule="atLeast"/>
              <w:jc w:val="center"/>
              <w:rPr>
                <w:rFonts w:ascii="Arial" w:hAnsi="Arial" w:cs="Arial"/>
                <w:sz w:val="16"/>
                <w:szCs w:val="16"/>
              </w:rPr>
            </w:pPr>
            <w:r>
              <w:rPr>
                <w:rFonts w:ascii="Arial" w:hAnsi="Arial" w:cs="Arial"/>
                <w:sz w:val="16"/>
                <w:szCs w:val="16"/>
              </w:rPr>
              <w:t>x</w:t>
            </w:r>
          </w:p>
        </w:tc>
        <w:tc>
          <w:tcPr>
            <w:tcW w:w="851" w:type="dxa"/>
            <w:shd w:val="clear" w:color="auto" w:fill="auto"/>
            <w:vAlign w:val="center"/>
          </w:tcPr>
          <w:p w14:paraId="42CA7188" w14:textId="77777777" w:rsidR="00D16E72" w:rsidRPr="004901F2" w:rsidRDefault="00D16E72" w:rsidP="00284F82">
            <w:pPr>
              <w:spacing w:before="40" w:after="40" w:line="300" w:lineRule="atLeast"/>
              <w:jc w:val="center"/>
              <w:rPr>
                <w:rFonts w:ascii="Arial" w:hAnsi="Arial" w:cs="Arial"/>
                <w:sz w:val="16"/>
                <w:szCs w:val="16"/>
              </w:rPr>
            </w:pPr>
            <w:r w:rsidRPr="00177AB0">
              <w:rPr>
                <w:rFonts w:ascii="Arial" w:hAnsi="Arial" w:cs="Arial"/>
                <w:b/>
                <w:sz w:val="16"/>
                <w:szCs w:val="16"/>
              </w:rPr>
              <w:t>X</w:t>
            </w:r>
          </w:p>
        </w:tc>
        <w:tc>
          <w:tcPr>
            <w:tcW w:w="851" w:type="dxa"/>
            <w:shd w:val="clear" w:color="auto" w:fill="auto"/>
            <w:vAlign w:val="center"/>
          </w:tcPr>
          <w:p w14:paraId="6B723D87" w14:textId="77777777" w:rsidR="00D16E72" w:rsidRPr="003F6605" w:rsidRDefault="003F6605" w:rsidP="00284F82">
            <w:pPr>
              <w:spacing w:before="40" w:after="40" w:line="300" w:lineRule="atLeast"/>
              <w:jc w:val="center"/>
              <w:rPr>
                <w:rFonts w:ascii="Arial" w:hAnsi="Arial" w:cs="Arial"/>
                <w:sz w:val="16"/>
                <w:szCs w:val="16"/>
              </w:rPr>
            </w:pPr>
            <w:r>
              <w:rPr>
                <w:rFonts w:ascii="Arial" w:hAnsi="Arial" w:cs="Arial"/>
                <w:sz w:val="16"/>
                <w:szCs w:val="16"/>
              </w:rPr>
              <w:t>x</w:t>
            </w:r>
          </w:p>
        </w:tc>
        <w:tc>
          <w:tcPr>
            <w:tcW w:w="992" w:type="dxa"/>
            <w:shd w:val="clear" w:color="auto" w:fill="auto"/>
            <w:vAlign w:val="center"/>
          </w:tcPr>
          <w:p w14:paraId="18AF5D0E" w14:textId="77777777" w:rsidR="00D16E72" w:rsidRPr="004901F2" w:rsidRDefault="003F6605" w:rsidP="00284F82">
            <w:pPr>
              <w:spacing w:before="40" w:after="40" w:line="300" w:lineRule="atLeast"/>
              <w:jc w:val="center"/>
              <w:rPr>
                <w:rFonts w:ascii="Arial" w:hAnsi="Arial" w:cs="Arial"/>
                <w:sz w:val="16"/>
                <w:szCs w:val="16"/>
              </w:rPr>
            </w:pPr>
            <w:r w:rsidRPr="003F6605">
              <w:rPr>
                <w:rFonts w:ascii="Arial" w:hAnsi="Arial" w:cs="Arial"/>
                <w:b/>
                <w:sz w:val="16"/>
                <w:szCs w:val="16"/>
              </w:rPr>
              <w:t>X</w:t>
            </w:r>
          </w:p>
        </w:tc>
        <w:tc>
          <w:tcPr>
            <w:tcW w:w="992" w:type="dxa"/>
            <w:shd w:val="clear" w:color="auto" w:fill="auto"/>
            <w:vAlign w:val="center"/>
          </w:tcPr>
          <w:p w14:paraId="1A91A30D" w14:textId="77777777" w:rsidR="00D16E72" w:rsidRPr="004901F2" w:rsidRDefault="003F6605" w:rsidP="00284F82">
            <w:pPr>
              <w:spacing w:before="40" w:after="40" w:line="300" w:lineRule="atLeast"/>
              <w:jc w:val="center"/>
              <w:rPr>
                <w:rFonts w:ascii="Arial" w:hAnsi="Arial" w:cs="Arial"/>
                <w:sz w:val="16"/>
                <w:szCs w:val="16"/>
              </w:rPr>
            </w:pPr>
            <w:r w:rsidRPr="003F6605">
              <w:rPr>
                <w:rFonts w:ascii="Arial" w:hAnsi="Arial" w:cs="Arial"/>
                <w:b/>
                <w:sz w:val="16"/>
                <w:szCs w:val="16"/>
              </w:rPr>
              <w:t>X</w:t>
            </w:r>
          </w:p>
        </w:tc>
        <w:tc>
          <w:tcPr>
            <w:tcW w:w="1099" w:type="dxa"/>
            <w:shd w:val="clear" w:color="auto" w:fill="auto"/>
            <w:vAlign w:val="center"/>
          </w:tcPr>
          <w:p w14:paraId="6028EFB4"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sz w:val="16"/>
                <w:szCs w:val="16"/>
              </w:rPr>
              <w:t>OW</w:t>
            </w:r>
          </w:p>
        </w:tc>
      </w:tr>
      <w:tr w:rsidR="00D16E72" w:rsidRPr="004901F2" w14:paraId="40F93576" w14:textId="77777777" w:rsidTr="00284F82">
        <w:tc>
          <w:tcPr>
            <w:tcW w:w="851" w:type="dxa"/>
            <w:shd w:val="clear" w:color="auto" w:fill="auto"/>
            <w:vAlign w:val="center"/>
          </w:tcPr>
          <w:p w14:paraId="6F360BE8" w14:textId="77777777" w:rsidR="00D16E72" w:rsidRPr="004901F2" w:rsidRDefault="003F6605" w:rsidP="00284F82">
            <w:pPr>
              <w:spacing w:before="40" w:after="40" w:line="300" w:lineRule="atLeast"/>
              <w:rPr>
                <w:rFonts w:ascii="Arial" w:hAnsi="Arial" w:cs="Arial"/>
                <w:sz w:val="16"/>
                <w:szCs w:val="16"/>
              </w:rPr>
            </w:pPr>
            <w:r>
              <w:rPr>
                <w:rFonts w:ascii="Arial" w:hAnsi="Arial" w:cs="Arial"/>
                <w:sz w:val="16"/>
                <w:szCs w:val="16"/>
              </w:rPr>
              <w:t>5.6</w:t>
            </w:r>
            <w:r w:rsidR="00D16E72" w:rsidRPr="004901F2">
              <w:rPr>
                <w:rFonts w:ascii="Arial" w:hAnsi="Arial" w:cs="Arial"/>
                <w:sz w:val="16"/>
                <w:szCs w:val="16"/>
              </w:rPr>
              <w:t>.3</w:t>
            </w:r>
          </w:p>
        </w:tc>
        <w:tc>
          <w:tcPr>
            <w:tcW w:w="2693" w:type="dxa"/>
            <w:shd w:val="clear" w:color="auto" w:fill="auto"/>
            <w:vAlign w:val="center"/>
          </w:tcPr>
          <w:p w14:paraId="0773C7AF" w14:textId="77777777" w:rsidR="00D16E72" w:rsidRPr="004901F2" w:rsidRDefault="003F6605" w:rsidP="00284F82">
            <w:pPr>
              <w:spacing w:line="300" w:lineRule="atLeast"/>
              <w:rPr>
                <w:rFonts w:ascii="Arial" w:hAnsi="Arial" w:cs="Arial"/>
                <w:sz w:val="16"/>
                <w:szCs w:val="16"/>
              </w:rPr>
            </w:pPr>
            <w:r>
              <w:rPr>
                <w:rFonts w:ascii="Arial" w:hAnsi="Arial" w:cs="Arial"/>
                <w:sz w:val="16"/>
                <w:szCs w:val="16"/>
              </w:rPr>
              <w:t>Laboratory chemicals and equipment</w:t>
            </w:r>
          </w:p>
        </w:tc>
        <w:tc>
          <w:tcPr>
            <w:tcW w:w="850" w:type="dxa"/>
            <w:shd w:val="clear" w:color="auto" w:fill="auto"/>
            <w:vAlign w:val="center"/>
          </w:tcPr>
          <w:p w14:paraId="7FC0368C" w14:textId="77777777" w:rsidR="00D16E72" w:rsidRPr="003F6605" w:rsidRDefault="003F6605" w:rsidP="00284F82">
            <w:pPr>
              <w:spacing w:before="40" w:after="40" w:line="300" w:lineRule="atLeast"/>
              <w:jc w:val="center"/>
              <w:rPr>
                <w:rFonts w:ascii="Arial" w:hAnsi="Arial" w:cs="Arial"/>
                <w:sz w:val="16"/>
                <w:szCs w:val="16"/>
              </w:rPr>
            </w:pPr>
            <w:r>
              <w:rPr>
                <w:rFonts w:ascii="Arial" w:hAnsi="Arial" w:cs="Arial"/>
                <w:sz w:val="16"/>
                <w:szCs w:val="16"/>
              </w:rPr>
              <w:t>x</w:t>
            </w:r>
          </w:p>
        </w:tc>
        <w:tc>
          <w:tcPr>
            <w:tcW w:w="851" w:type="dxa"/>
            <w:shd w:val="clear" w:color="auto" w:fill="auto"/>
            <w:vAlign w:val="center"/>
          </w:tcPr>
          <w:p w14:paraId="0BF99EFC"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0254E26C" w14:textId="77777777" w:rsidR="00D16E72" w:rsidRPr="004901F2" w:rsidRDefault="00D16E72" w:rsidP="00284F82">
            <w:pPr>
              <w:spacing w:before="40" w:after="40" w:line="300" w:lineRule="atLeast"/>
              <w:jc w:val="center"/>
              <w:rPr>
                <w:rFonts w:ascii="Arial" w:hAnsi="Arial" w:cs="Arial"/>
                <w:sz w:val="16"/>
                <w:szCs w:val="16"/>
              </w:rPr>
            </w:pPr>
          </w:p>
        </w:tc>
        <w:tc>
          <w:tcPr>
            <w:tcW w:w="992" w:type="dxa"/>
            <w:shd w:val="clear" w:color="auto" w:fill="auto"/>
            <w:vAlign w:val="center"/>
          </w:tcPr>
          <w:p w14:paraId="0D7EF78B"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5AEB4CB7" w14:textId="77777777" w:rsidR="00D16E72" w:rsidRPr="004901F2" w:rsidRDefault="00D16E72" w:rsidP="00284F82">
            <w:pPr>
              <w:spacing w:before="40" w:after="40" w:line="300" w:lineRule="atLeast"/>
              <w:jc w:val="center"/>
              <w:rPr>
                <w:rFonts w:ascii="Arial" w:hAnsi="Arial" w:cs="Arial"/>
                <w:sz w:val="16"/>
                <w:szCs w:val="16"/>
              </w:rPr>
            </w:pPr>
            <w:r w:rsidRPr="00177AB0">
              <w:rPr>
                <w:rFonts w:ascii="Arial" w:hAnsi="Arial" w:cs="Arial"/>
                <w:b/>
                <w:sz w:val="16"/>
                <w:szCs w:val="16"/>
              </w:rPr>
              <w:t>X</w:t>
            </w:r>
          </w:p>
        </w:tc>
        <w:tc>
          <w:tcPr>
            <w:tcW w:w="1099" w:type="dxa"/>
            <w:shd w:val="clear" w:color="auto" w:fill="auto"/>
            <w:vAlign w:val="center"/>
          </w:tcPr>
          <w:p w14:paraId="0FEAE253" w14:textId="77777777" w:rsidR="00D16E72" w:rsidRPr="004901F2" w:rsidRDefault="003F6605" w:rsidP="00284F82">
            <w:pPr>
              <w:spacing w:before="40" w:after="40" w:line="300" w:lineRule="atLeast"/>
              <w:jc w:val="center"/>
              <w:rPr>
                <w:rFonts w:ascii="Arial" w:hAnsi="Arial" w:cs="Arial"/>
                <w:sz w:val="16"/>
                <w:szCs w:val="16"/>
              </w:rPr>
            </w:pPr>
            <w:r w:rsidRPr="004901F2">
              <w:rPr>
                <w:rFonts w:ascii="Arial" w:hAnsi="Arial" w:cs="Arial"/>
                <w:sz w:val="16"/>
                <w:szCs w:val="16"/>
              </w:rPr>
              <w:t>OW</w:t>
            </w:r>
          </w:p>
        </w:tc>
      </w:tr>
      <w:tr w:rsidR="00D16E72" w:rsidRPr="004901F2" w14:paraId="5780D457" w14:textId="77777777" w:rsidTr="00284F82">
        <w:tc>
          <w:tcPr>
            <w:tcW w:w="851" w:type="dxa"/>
            <w:shd w:val="clear" w:color="auto" w:fill="auto"/>
            <w:vAlign w:val="center"/>
          </w:tcPr>
          <w:p w14:paraId="3384C942" w14:textId="77777777" w:rsidR="00D16E72" w:rsidRPr="004901F2" w:rsidRDefault="003F6605" w:rsidP="00284F82">
            <w:pPr>
              <w:spacing w:before="40" w:after="40" w:line="300" w:lineRule="atLeast"/>
              <w:rPr>
                <w:rFonts w:ascii="Arial" w:hAnsi="Arial" w:cs="Arial"/>
                <w:sz w:val="16"/>
                <w:szCs w:val="16"/>
              </w:rPr>
            </w:pPr>
            <w:r>
              <w:rPr>
                <w:rFonts w:ascii="Arial" w:hAnsi="Arial" w:cs="Arial"/>
                <w:sz w:val="16"/>
                <w:szCs w:val="16"/>
              </w:rPr>
              <w:t>5.6</w:t>
            </w:r>
            <w:r w:rsidR="00D16E72" w:rsidRPr="004901F2">
              <w:rPr>
                <w:rFonts w:ascii="Arial" w:hAnsi="Arial" w:cs="Arial"/>
                <w:sz w:val="16"/>
                <w:szCs w:val="16"/>
              </w:rPr>
              <w:t>.4</w:t>
            </w:r>
          </w:p>
        </w:tc>
        <w:tc>
          <w:tcPr>
            <w:tcW w:w="2693" w:type="dxa"/>
            <w:shd w:val="clear" w:color="auto" w:fill="auto"/>
            <w:vAlign w:val="center"/>
          </w:tcPr>
          <w:p w14:paraId="0829B735" w14:textId="77777777" w:rsidR="00D16E72" w:rsidRPr="004901F2" w:rsidRDefault="003F6605" w:rsidP="003F6605">
            <w:pPr>
              <w:spacing w:line="300" w:lineRule="atLeast"/>
              <w:rPr>
                <w:rFonts w:ascii="Arial" w:hAnsi="Arial" w:cs="Arial"/>
                <w:sz w:val="16"/>
                <w:szCs w:val="16"/>
              </w:rPr>
            </w:pPr>
            <w:r>
              <w:rPr>
                <w:rFonts w:ascii="Arial" w:hAnsi="Arial" w:cs="Arial"/>
                <w:sz w:val="16"/>
                <w:szCs w:val="16"/>
              </w:rPr>
              <w:t xml:space="preserve">Mercury use in religious rituals and folklore </w:t>
            </w:r>
          </w:p>
        </w:tc>
        <w:tc>
          <w:tcPr>
            <w:tcW w:w="850" w:type="dxa"/>
            <w:shd w:val="clear" w:color="auto" w:fill="auto"/>
            <w:vAlign w:val="center"/>
          </w:tcPr>
          <w:p w14:paraId="436611A5"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3DBFB2EB"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7E3FC240"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992" w:type="dxa"/>
            <w:shd w:val="clear" w:color="auto" w:fill="auto"/>
            <w:vAlign w:val="center"/>
          </w:tcPr>
          <w:p w14:paraId="6F0C0C21"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3C3A49FF"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1099" w:type="dxa"/>
            <w:shd w:val="clear" w:color="auto" w:fill="auto"/>
            <w:vAlign w:val="center"/>
          </w:tcPr>
          <w:p w14:paraId="233586CB" w14:textId="77777777" w:rsidR="00D16E72" w:rsidRPr="004901F2" w:rsidRDefault="003F6605" w:rsidP="00284F82">
            <w:pPr>
              <w:spacing w:before="40" w:after="40" w:line="300" w:lineRule="atLeast"/>
              <w:jc w:val="center"/>
              <w:rPr>
                <w:rFonts w:ascii="Arial" w:hAnsi="Arial" w:cs="Arial"/>
                <w:sz w:val="16"/>
                <w:szCs w:val="16"/>
              </w:rPr>
            </w:pPr>
            <w:r w:rsidRPr="004901F2">
              <w:rPr>
                <w:rFonts w:ascii="Arial" w:hAnsi="Arial" w:cs="Arial"/>
                <w:sz w:val="16"/>
                <w:szCs w:val="16"/>
              </w:rPr>
              <w:t>OW</w:t>
            </w:r>
          </w:p>
        </w:tc>
      </w:tr>
      <w:tr w:rsidR="00D16E72" w:rsidRPr="004901F2" w14:paraId="20EC92E0" w14:textId="77777777" w:rsidTr="00284F82">
        <w:tc>
          <w:tcPr>
            <w:tcW w:w="851" w:type="dxa"/>
            <w:shd w:val="clear" w:color="auto" w:fill="auto"/>
            <w:vAlign w:val="center"/>
          </w:tcPr>
          <w:p w14:paraId="045EE919" w14:textId="77777777" w:rsidR="00D16E72" w:rsidRPr="004901F2" w:rsidRDefault="003F6605" w:rsidP="00284F82">
            <w:pPr>
              <w:spacing w:before="40" w:after="40" w:line="300" w:lineRule="atLeast"/>
              <w:rPr>
                <w:rFonts w:ascii="Arial" w:hAnsi="Arial" w:cs="Arial"/>
                <w:sz w:val="16"/>
                <w:szCs w:val="16"/>
              </w:rPr>
            </w:pPr>
            <w:r>
              <w:rPr>
                <w:rFonts w:ascii="Arial" w:hAnsi="Arial" w:cs="Arial"/>
                <w:sz w:val="16"/>
                <w:szCs w:val="16"/>
              </w:rPr>
              <w:t>5.6</w:t>
            </w:r>
            <w:r w:rsidR="00D16E72" w:rsidRPr="004901F2">
              <w:rPr>
                <w:rFonts w:ascii="Arial" w:hAnsi="Arial" w:cs="Arial"/>
                <w:sz w:val="16"/>
                <w:szCs w:val="16"/>
              </w:rPr>
              <w:t>.5</w:t>
            </w:r>
          </w:p>
        </w:tc>
        <w:tc>
          <w:tcPr>
            <w:tcW w:w="2693" w:type="dxa"/>
            <w:shd w:val="clear" w:color="auto" w:fill="auto"/>
            <w:vAlign w:val="center"/>
          </w:tcPr>
          <w:p w14:paraId="48210F3E" w14:textId="77777777" w:rsidR="00D16E72" w:rsidRPr="004901F2" w:rsidRDefault="003F6605" w:rsidP="00284F82">
            <w:pPr>
              <w:spacing w:line="300" w:lineRule="atLeast"/>
              <w:rPr>
                <w:rFonts w:ascii="Arial" w:hAnsi="Arial" w:cs="Arial"/>
                <w:sz w:val="16"/>
                <w:szCs w:val="16"/>
              </w:rPr>
            </w:pPr>
            <w:r>
              <w:rPr>
                <w:rFonts w:ascii="Arial" w:hAnsi="Arial" w:cs="Arial"/>
                <w:sz w:val="16"/>
                <w:szCs w:val="16"/>
              </w:rPr>
              <w:t>Miscellaneous product uses, mercury metal and other sources</w:t>
            </w:r>
          </w:p>
        </w:tc>
        <w:tc>
          <w:tcPr>
            <w:tcW w:w="850" w:type="dxa"/>
            <w:shd w:val="clear" w:color="auto" w:fill="auto"/>
            <w:vAlign w:val="center"/>
          </w:tcPr>
          <w:p w14:paraId="375288FA"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745DB549" w14:textId="77777777" w:rsidR="00D16E72" w:rsidRPr="004901F2" w:rsidRDefault="00D16E72" w:rsidP="00284F82">
            <w:pPr>
              <w:spacing w:before="40" w:after="40" w:line="300" w:lineRule="atLeast"/>
              <w:jc w:val="center"/>
              <w:rPr>
                <w:rFonts w:ascii="Arial" w:hAnsi="Arial" w:cs="Arial"/>
                <w:sz w:val="16"/>
                <w:szCs w:val="16"/>
              </w:rPr>
            </w:pPr>
            <w:r w:rsidRPr="00177AB0">
              <w:rPr>
                <w:rFonts w:ascii="Arial" w:hAnsi="Arial" w:cs="Arial"/>
                <w:b/>
                <w:sz w:val="16"/>
                <w:szCs w:val="16"/>
              </w:rPr>
              <w:t>X</w:t>
            </w:r>
          </w:p>
        </w:tc>
        <w:tc>
          <w:tcPr>
            <w:tcW w:w="851" w:type="dxa"/>
            <w:shd w:val="clear" w:color="auto" w:fill="auto"/>
            <w:vAlign w:val="center"/>
          </w:tcPr>
          <w:p w14:paraId="4A00A2E3"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1575B190"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5F29A5A5"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1099" w:type="dxa"/>
            <w:shd w:val="clear" w:color="auto" w:fill="auto"/>
            <w:vAlign w:val="center"/>
          </w:tcPr>
          <w:p w14:paraId="5BC49DF4" w14:textId="77777777" w:rsidR="00D16E72" w:rsidRPr="004901F2" w:rsidRDefault="003F6605" w:rsidP="00284F82">
            <w:pPr>
              <w:spacing w:before="40" w:after="40" w:line="300" w:lineRule="atLeast"/>
              <w:jc w:val="center"/>
              <w:rPr>
                <w:rFonts w:ascii="Arial" w:hAnsi="Arial" w:cs="Arial"/>
                <w:sz w:val="16"/>
                <w:szCs w:val="16"/>
              </w:rPr>
            </w:pPr>
            <w:r w:rsidRPr="004901F2">
              <w:rPr>
                <w:rFonts w:ascii="Arial" w:hAnsi="Arial" w:cs="Arial"/>
                <w:sz w:val="16"/>
                <w:szCs w:val="16"/>
              </w:rPr>
              <w:t>OW</w:t>
            </w:r>
          </w:p>
        </w:tc>
      </w:tr>
    </w:tbl>
    <w:p w14:paraId="2ECB712B" w14:textId="77777777" w:rsidR="00D16E72" w:rsidRPr="00582EF2" w:rsidRDefault="00D16E72" w:rsidP="00D16E72">
      <w:pPr>
        <w:spacing w:before="60" w:after="60" w:line="260" w:lineRule="exact"/>
        <w:jc w:val="both"/>
        <w:rPr>
          <w:rFonts w:ascii="Arial" w:hAnsi="Arial" w:cs="Arial"/>
          <w:sz w:val="16"/>
          <w:szCs w:val="18"/>
        </w:rPr>
      </w:pPr>
      <w:r w:rsidRPr="00582EF2">
        <w:rPr>
          <w:rFonts w:ascii="Arial" w:hAnsi="Arial" w:cs="Arial"/>
          <w:sz w:val="16"/>
          <w:szCs w:val="18"/>
        </w:rPr>
        <w:t xml:space="preserve">Notes: </w:t>
      </w:r>
      <w:r w:rsidRPr="00582EF2">
        <w:rPr>
          <w:rFonts w:ascii="Arial" w:hAnsi="Arial" w:cs="Arial"/>
          <w:sz w:val="16"/>
          <w:szCs w:val="18"/>
        </w:rPr>
        <w:tab/>
        <w:t>OW = National/overview approach;</w:t>
      </w:r>
    </w:p>
    <w:p w14:paraId="4DC157A3" w14:textId="77777777" w:rsidR="00D16E72" w:rsidRPr="00582EF2" w:rsidRDefault="00D16E72" w:rsidP="00D16E72">
      <w:pPr>
        <w:spacing w:after="60" w:line="260" w:lineRule="exact"/>
        <w:ind w:firstLine="720"/>
        <w:jc w:val="both"/>
        <w:rPr>
          <w:rFonts w:ascii="Arial" w:hAnsi="Arial" w:cs="Arial"/>
          <w:sz w:val="16"/>
          <w:szCs w:val="18"/>
        </w:rPr>
      </w:pPr>
      <w:r w:rsidRPr="00582EF2">
        <w:rPr>
          <w:rFonts w:ascii="Arial" w:hAnsi="Arial" w:cs="Arial"/>
          <w:b/>
          <w:sz w:val="16"/>
          <w:szCs w:val="18"/>
        </w:rPr>
        <w:t>X</w:t>
      </w:r>
      <w:r w:rsidRPr="00582EF2">
        <w:rPr>
          <w:rFonts w:ascii="Arial" w:hAnsi="Arial" w:cs="Arial"/>
          <w:sz w:val="16"/>
          <w:szCs w:val="18"/>
        </w:rPr>
        <w:t xml:space="preserve"> - Release pathway expected to be predominant for the sub-category;</w:t>
      </w:r>
    </w:p>
    <w:p w14:paraId="0D4BD9F7" w14:textId="77777777" w:rsidR="00D16E72" w:rsidRPr="00582EF2" w:rsidRDefault="00D16E72" w:rsidP="00D16E72">
      <w:pPr>
        <w:spacing w:after="60" w:line="260" w:lineRule="exact"/>
        <w:ind w:firstLine="720"/>
        <w:jc w:val="both"/>
        <w:rPr>
          <w:rFonts w:ascii="Arial" w:hAnsi="Arial" w:cs="Arial"/>
          <w:sz w:val="16"/>
          <w:szCs w:val="18"/>
        </w:rPr>
      </w:pPr>
      <w:r w:rsidRPr="00582EF2">
        <w:rPr>
          <w:rFonts w:ascii="Arial" w:hAnsi="Arial" w:cs="Arial"/>
          <w:sz w:val="16"/>
          <w:szCs w:val="18"/>
        </w:rPr>
        <w:t>x - Additional release pathways to be considered, depending on specific source and national situation.</w:t>
      </w:r>
    </w:p>
    <w:p w14:paraId="31F592BA" w14:textId="77777777" w:rsidR="00D16E72" w:rsidRPr="000523D4" w:rsidRDefault="00DC5D8A" w:rsidP="00DC5D8A">
      <w:pPr>
        <w:pStyle w:val="Heading2"/>
      </w:pPr>
      <w:bookmarkStart w:id="117" w:name="_Toc484949602"/>
      <w:r w:rsidRPr="000523D4">
        <w:t>Dental mercury amalgam fillings</w:t>
      </w:r>
      <w:bookmarkEnd w:id="117"/>
    </w:p>
    <w:p w14:paraId="350AB3AD" w14:textId="229B2676" w:rsidR="00746C34" w:rsidRPr="000523D4" w:rsidRDefault="009A0339" w:rsidP="003833D6">
      <w:pPr>
        <w:spacing w:line="300" w:lineRule="atLeast"/>
        <w:jc w:val="both"/>
        <w:rPr>
          <w:szCs w:val="18"/>
        </w:rPr>
      </w:pPr>
      <w:r w:rsidRPr="000523D4">
        <w:rPr>
          <w:szCs w:val="18"/>
        </w:rPr>
        <w:t>Mercury is used in a range of dental amalgams, with the mercury content typically around 4</w:t>
      </w:r>
      <w:r w:rsidR="00144B93" w:rsidRPr="000523D4">
        <w:rPr>
          <w:szCs w:val="18"/>
        </w:rPr>
        <w:t>5</w:t>
      </w:r>
      <w:r w:rsidRPr="000523D4">
        <w:rPr>
          <w:szCs w:val="18"/>
        </w:rPr>
        <w:t xml:space="preserve"> to 50%. These amalgams are still used in New Zealand, although non-mercury alternative</w:t>
      </w:r>
      <w:r w:rsidR="006A5610" w:rsidRPr="000523D4">
        <w:rPr>
          <w:szCs w:val="18"/>
        </w:rPr>
        <w:t>s are readily available (</w:t>
      </w:r>
      <w:proofErr w:type="spellStart"/>
      <w:r w:rsidR="006A5610" w:rsidRPr="000523D4">
        <w:rPr>
          <w:szCs w:val="18"/>
        </w:rPr>
        <w:t>MoH</w:t>
      </w:r>
      <w:proofErr w:type="spellEnd"/>
      <w:r w:rsidR="006A5610" w:rsidRPr="000523D4">
        <w:rPr>
          <w:szCs w:val="18"/>
        </w:rPr>
        <w:t>, 2</w:t>
      </w:r>
      <w:r w:rsidR="00375AC0" w:rsidRPr="000523D4">
        <w:rPr>
          <w:szCs w:val="18"/>
        </w:rPr>
        <w:t>0</w:t>
      </w:r>
      <w:r w:rsidR="006A5610" w:rsidRPr="000523D4">
        <w:rPr>
          <w:szCs w:val="18"/>
        </w:rPr>
        <w:t>10</w:t>
      </w:r>
      <w:r w:rsidR="00746C34" w:rsidRPr="000523D4">
        <w:rPr>
          <w:szCs w:val="18"/>
        </w:rPr>
        <w:t xml:space="preserve">, and H </w:t>
      </w:r>
      <w:proofErr w:type="spellStart"/>
      <w:r w:rsidR="00746C34" w:rsidRPr="000523D4">
        <w:rPr>
          <w:szCs w:val="18"/>
        </w:rPr>
        <w:t>Trengrove</w:t>
      </w:r>
      <w:proofErr w:type="spellEnd"/>
      <w:r w:rsidR="00746C34" w:rsidRPr="000523D4">
        <w:rPr>
          <w:szCs w:val="18"/>
        </w:rPr>
        <w:t xml:space="preserve">, NZ </w:t>
      </w:r>
      <w:r w:rsidR="006A5610" w:rsidRPr="000523D4">
        <w:rPr>
          <w:szCs w:val="18"/>
        </w:rPr>
        <w:t xml:space="preserve">Dental </w:t>
      </w:r>
      <w:r w:rsidR="00746C34" w:rsidRPr="000523D4">
        <w:rPr>
          <w:szCs w:val="18"/>
        </w:rPr>
        <w:t xml:space="preserve">Association, </w:t>
      </w:r>
      <w:proofErr w:type="spellStart"/>
      <w:r w:rsidR="00746C34" w:rsidRPr="000523D4">
        <w:rPr>
          <w:szCs w:val="18"/>
        </w:rPr>
        <w:t>pers</w:t>
      </w:r>
      <w:proofErr w:type="spellEnd"/>
      <w:r w:rsidR="00746C34" w:rsidRPr="000523D4">
        <w:rPr>
          <w:szCs w:val="18"/>
        </w:rPr>
        <w:t xml:space="preserve"> </w:t>
      </w:r>
      <w:proofErr w:type="spellStart"/>
      <w:r w:rsidR="00746C34" w:rsidRPr="000523D4">
        <w:rPr>
          <w:szCs w:val="18"/>
        </w:rPr>
        <w:t>comm</w:t>
      </w:r>
      <w:proofErr w:type="spellEnd"/>
      <w:r w:rsidR="00746C34" w:rsidRPr="000523D4">
        <w:rPr>
          <w:szCs w:val="18"/>
        </w:rPr>
        <w:t>, 2013</w:t>
      </w:r>
      <w:r w:rsidRPr="000523D4">
        <w:rPr>
          <w:szCs w:val="18"/>
        </w:rPr>
        <w:t xml:space="preserve">). </w:t>
      </w:r>
    </w:p>
    <w:p w14:paraId="769BBFF9" w14:textId="641AFF2B" w:rsidR="00D16E72" w:rsidRPr="000523D4" w:rsidRDefault="004D0105" w:rsidP="003833D6">
      <w:pPr>
        <w:spacing w:line="300" w:lineRule="atLeast"/>
        <w:jc w:val="both"/>
        <w:rPr>
          <w:szCs w:val="18"/>
        </w:rPr>
      </w:pPr>
      <w:r w:rsidRPr="000523D4">
        <w:rPr>
          <w:szCs w:val="18"/>
        </w:rPr>
        <w:t>Import data</w:t>
      </w:r>
      <w:r w:rsidR="009A0339" w:rsidRPr="000523D4">
        <w:rPr>
          <w:szCs w:val="18"/>
        </w:rPr>
        <w:t xml:space="preserve"> </w:t>
      </w:r>
      <w:r w:rsidR="00746C34" w:rsidRPr="000523D4">
        <w:rPr>
          <w:szCs w:val="18"/>
        </w:rPr>
        <w:t>were</w:t>
      </w:r>
      <w:r w:rsidR="009A0339" w:rsidRPr="000523D4">
        <w:rPr>
          <w:szCs w:val="18"/>
        </w:rPr>
        <w:t xml:space="preserve"> obtained from </w:t>
      </w:r>
      <w:r w:rsidR="00746C34" w:rsidRPr="000523D4">
        <w:rPr>
          <w:szCs w:val="18"/>
        </w:rPr>
        <w:t xml:space="preserve">Statistics </w:t>
      </w:r>
      <w:r w:rsidR="009A0339" w:rsidRPr="000523D4">
        <w:rPr>
          <w:szCs w:val="18"/>
        </w:rPr>
        <w:t xml:space="preserve">New Zealand </w:t>
      </w:r>
      <w:r w:rsidR="00746C34" w:rsidRPr="000523D4">
        <w:rPr>
          <w:szCs w:val="18"/>
        </w:rPr>
        <w:t>for the HS code</w:t>
      </w:r>
      <w:r w:rsidRPr="000523D4">
        <w:rPr>
          <w:szCs w:val="18"/>
        </w:rPr>
        <w:t xml:space="preserve"> 3006.40.01.00</w:t>
      </w:r>
      <w:r w:rsidR="00746C34" w:rsidRPr="000523D4">
        <w:rPr>
          <w:szCs w:val="18"/>
        </w:rPr>
        <w:t xml:space="preserve">, </w:t>
      </w:r>
      <w:r w:rsidRPr="000523D4">
        <w:rPr>
          <w:szCs w:val="18"/>
        </w:rPr>
        <w:t>dental cements and other dental fillings</w:t>
      </w:r>
      <w:r w:rsidR="00746C34" w:rsidRPr="000523D4">
        <w:rPr>
          <w:szCs w:val="18"/>
        </w:rPr>
        <w:t>. The total imports</w:t>
      </w:r>
      <w:r w:rsidR="000523D4">
        <w:rPr>
          <w:szCs w:val="18"/>
        </w:rPr>
        <w:t xml:space="preserve"> under this code over the last 4</w:t>
      </w:r>
      <w:r w:rsidR="00746C34" w:rsidRPr="000523D4">
        <w:rPr>
          <w:szCs w:val="18"/>
        </w:rPr>
        <w:t xml:space="preserve"> years have averaged</w:t>
      </w:r>
      <w:r w:rsidRPr="000523D4">
        <w:rPr>
          <w:szCs w:val="18"/>
        </w:rPr>
        <w:t xml:space="preserve"> </w:t>
      </w:r>
      <w:r w:rsidR="000523D4">
        <w:rPr>
          <w:szCs w:val="18"/>
        </w:rPr>
        <w:t>9,278 kg/year, which is about 30% down on the 13,5</w:t>
      </w:r>
      <w:r w:rsidR="00AF7B30">
        <w:rPr>
          <w:szCs w:val="18"/>
        </w:rPr>
        <w:t>0</w:t>
      </w:r>
      <w:r w:rsidR="000523D4">
        <w:rPr>
          <w:szCs w:val="18"/>
        </w:rPr>
        <w:t>0 kg/year reported for 2012.</w:t>
      </w:r>
      <w:r w:rsidR="00746C34" w:rsidRPr="000523D4">
        <w:rPr>
          <w:szCs w:val="18"/>
        </w:rPr>
        <w:t xml:space="preserve"> </w:t>
      </w:r>
      <w:r w:rsidR="000523D4">
        <w:rPr>
          <w:szCs w:val="18"/>
        </w:rPr>
        <w:t>However, these figure</w:t>
      </w:r>
      <w:r w:rsidR="00AD43FD">
        <w:rPr>
          <w:szCs w:val="18"/>
        </w:rPr>
        <w:t>s</w:t>
      </w:r>
      <w:r w:rsidR="000523D4">
        <w:rPr>
          <w:szCs w:val="18"/>
        </w:rPr>
        <w:t xml:space="preserve"> are</w:t>
      </w:r>
      <w:r w:rsidR="00746C34" w:rsidRPr="000523D4">
        <w:rPr>
          <w:szCs w:val="18"/>
        </w:rPr>
        <w:t xml:space="preserve"> for gross weight (</w:t>
      </w:r>
      <w:proofErr w:type="spellStart"/>
      <w:r w:rsidR="00746C34" w:rsidRPr="000523D4">
        <w:rPr>
          <w:szCs w:val="18"/>
        </w:rPr>
        <w:t>ie</w:t>
      </w:r>
      <w:proofErr w:type="spellEnd"/>
      <w:r w:rsidR="00746C34" w:rsidRPr="000523D4">
        <w:rPr>
          <w:szCs w:val="18"/>
        </w:rPr>
        <w:t>. including packaging)</w:t>
      </w:r>
      <w:r w:rsidR="000523D4">
        <w:rPr>
          <w:szCs w:val="18"/>
        </w:rPr>
        <w:t xml:space="preserve"> rather than the weight of amalgam</w:t>
      </w:r>
      <w:r w:rsidR="00746C34" w:rsidRPr="000523D4">
        <w:rPr>
          <w:szCs w:val="18"/>
        </w:rPr>
        <w:t>.</w:t>
      </w:r>
    </w:p>
    <w:p w14:paraId="5020A246" w14:textId="122133E5" w:rsidR="00D16E72" w:rsidRPr="000523D4" w:rsidRDefault="00AF7B30" w:rsidP="003833D6">
      <w:pPr>
        <w:spacing w:line="300" w:lineRule="atLeast"/>
        <w:jc w:val="both"/>
        <w:rPr>
          <w:szCs w:val="18"/>
        </w:rPr>
      </w:pPr>
      <w:r>
        <w:rPr>
          <w:szCs w:val="18"/>
        </w:rPr>
        <w:t>For the 2012 inventory, t</w:t>
      </w:r>
      <w:r w:rsidR="004D0105" w:rsidRPr="000523D4">
        <w:rPr>
          <w:szCs w:val="18"/>
        </w:rPr>
        <w:t xml:space="preserve">hree major suppliers </w:t>
      </w:r>
      <w:r w:rsidR="00746C34" w:rsidRPr="000523D4">
        <w:rPr>
          <w:szCs w:val="18"/>
        </w:rPr>
        <w:t xml:space="preserve">of dental amalgam were contacted </w:t>
      </w:r>
      <w:r w:rsidR="00375AC0" w:rsidRPr="000523D4">
        <w:rPr>
          <w:szCs w:val="18"/>
        </w:rPr>
        <w:t xml:space="preserve">and the information </w:t>
      </w:r>
      <w:r>
        <w:rPr>
          <w:szCs w:val="18"/>
        </w:rPr>
        <w:t>provided by 2 of these indicated</w:t>
      </w:r>
      <w:r w:rsidR="00375AC0" w:rsidRPr="000523D4">
        <w:rPr>
          <w:szCs w:val="18"/>
        </w:rPr>
        <w:t xml:space="preserve"> total imports </w:t>
      </w:r>
      <w:r w:rsidR="003135A6" w:rsidRPr="000523D4">
        <w:rPr>
          <w:szCs w:val="18"/>
        </w:rPr>
        <w:t xml:space="preserve">for New Zealand </w:t>
      </w:r>
      <w:r w:rsidR="00375AC0" w:rsidRPr="000523D4">
        <w:rPr>
          <w:szCs w:val="18"/>
        </w:rPr>
        <w:t xml:space="preserve">of about </w:t>
      </w:r>
      <w:r w:rsidR="00B30DCA" w:rsidRPr="000523D4">
        <w:rPr>
          <w:szCs w:val="18"/>
        </w:rPr>
        <w:t>320</w:t>
      </w:r>
      <w:r w:rsidR="00375AC0" w:rsidRPr="000523D4">
        <w:rPr>
          <w:szCs w:val="18"/>
        </w:rPr>
        <w:t xml:space="preserve"> kg/year of dental amalgam</w:t>
      </w:r>
      <w:r w:rsidR="00B30DCA" w:rsidRPr="000523D4">
        <w:rPr>
          <w:szCs w:val="18"/>
        </w:rPr>
        <w:t>, which equate to a total annual mercury input of about 150 kg/year</w:t>
      </w:r>
      <w:r w:rsidR="004D0105" w:rsidRPr="000523D4">
        <w:rPr>
          <w:szCs w:val="18"/>
        </w:rPr>
        <w:t xml:space="preserve">. </w:t>
      </w:r>
      <w:r>
        <w:rPr>
          <w:szCs w:val="18"/>
        </w:rPr>
        <w:t>For 2016 four suppliers of dental amalgam were contacted.  Two of these said they no longer sold mercury amalgam products and the other two reported 2016 sales equivalent to a mercury input of 37.3 kg.</w:t>
      </w:r>
    </w:p>
    <w:p w14:paraId="0EFE4A26" w14:textId="77777777" w:rsidR="009D3B23" w:rsidRPr="000523D4" w:rsidRDefault="009D3B23" w:rsidP="009D3B23">
      <w:pPr>
        <w:spacing w:line="300" w:lineRule="atLeast"/>
        <w:jc w:val="both"/>
        <w:rPr>
          <w:rFonts w:ascii="Arial" w:hAnsi="Arial" w:cs="Arial"/>
          <w:b/>
          <w:szCs w:val="18"/>
        </w:rPr>
      </w:pPr>
      <w:r w:rsidRPr="000523D4">
        <w:rPr>
          <w:rFonts w:ascii="Arial" w:hAnsi="Arial" w:cs="Arial"/>
          <w:b/>
          <w:szCs w:val="18"/>
        </w:rPr>
        <w:t>Input and output estimates</w:t>
      </w:r>
    </w:p>
    <w:p w14:paraId="4C6F4ACD" w14:textId="4DC915E7" w:rsidR="00C67CA8" w:rsidRPr="000523D4" w:rsidRDefault="009D3B23" w:rsidP="009D3B23">
      <w:pPr>
        <w:spacing w:line="300" w:lineRule="atLeast"/>
        <w:jc w:val="both"/>
        <w:rPr>
          <w:szCs w:val="18"/>
        </w:rPr>
      </w:pPr>
      <w:r w:rsidRPr="000523D4">
        <w:rPr>
          <w:szCs w:val="18"/>
        </w:rPr>
        <w:t xml:space="preserve">The Toolkit recommends default factors of 0.05 – 0.2 grams/year per capita for estimating current mercury inputs via dental amalgams, </w:t>
      </w:r>
      <w:r w:rsidR="00C67CA8" w:rsidRPr="000523D4">
        <w:rPr>
          <w:szCs w:val="18"/>
        </w:rPr>
        <w:t>which would give input</w:t>
      </w:r>
      <w:r w:rsidR="00AF7B30">
        <w:rPr>
          <w:szCs w:val="18"/>
        </w:rPr>
        <w:t xml:space="preserve"> rates for New Zealand (pop. 4.7 million) of between 237 and 948</w:t>
      </w:r>
      <w:r w:rsidR="00C67CA8" w:rsidRPr="000523D4">
        <w:rPr>
          <w:szCs w:val="18"/>
        </w:rPr>
        <w:t xml:space="preserve"> kg/year. However, the information obtained from amalgam suppliers indicate that a more appropriate figure would be </w:t>
      </w:r>
      <w:r w:rsidR="00AF7B30">
        <w:rPr>
          <w:szCs w:val="18"/>
        </w:rPr>
        <w:t>37.3</w:t>
      </w:r>
      <w:r w:rsidR="00C67CA8" w:rsidRPr="000523D4">
        <w:rPr>
          <w:szCs w:val="18"/>
        </w:rPr>
        <w:t xml:space="preserve"> kg/year, and this has been used for the estimates.</w:t>
      </w:r>
    </w:p>
    <w:p w14:paraId="649580BF" w14:textId="35F9D9BB" w:rsidR="009D3B23" w:rsidRPr="000523D4" w:rsidRDefault="00FE6C76" w:rsidP="009D3B23">
      <w:pPr>
        <w:spacing w:line="300" w:lineRule="atLeast"/>
        <w:jc w:val="both"/>
        <w:rPr>
          <w:szCs w:val="18"/>
        </w:rPr>
      </w:pPr>
      <w:r w:rsidRPr="000523D4">
        <w:rPr>
          <w:szCs w:val="18"/>
        </w:rPr>
        <w:t>The</w:t>
      </w:r>
      <w:r w:rsidR="009D3B23" w:rsidRPr="000523D4">
        <w:rPr>
          <w:szCs w:val="18"/>
        </w:rPr>
        <w:t xml:space="preserve"> output factors </w:t>
      </w:r>
      <w:r w:rsidR="00C67CA8" w:rsidRPr="000523D4">
        <w:rPr>
          <w:szCs w:val="18"/>
        </w:rPr>
        <w:t>given in the Toolkit are</w:t>
      </w:r>
      <w:r w:rsidR="009D3B23" w:rsidRPr="000523D4">
        <w:rPr>
          <w:szCs w:val="18"/>
        </w:rPr>
        <w:t xml:space="preserve"> 0.02 (2%) to air, 0.14 (14%) to water, 0.6 (60%) in products (</w:t>
      </w:r>
      <w:proofErr w:type="spellStart"/>
      <w:r w:rsidR="009D3B23" w:rsidRPr="000523D4">
        <w:rPr>
          <w:szCs w:val="18"/>
        </w:rPr>
        <w:t>ie</w:t>
      </w:r>
      <w:proofErr w:type="spellEnd"/>
      <w:r w:rsidR="009D3B23" w:rsidRPr="000523D4">
        <w:rPr>
          <w:szCs w:val="18"/>
        </w:rPr>
        <w:t xml:space="preserve"> teeth), and 0.24 (24 %) to waste.</w:t>
      </w:r>
      <w:r w:rsidR="00091716" w:rsidRPr="000523D4">
        <w:rPr>
          <w:szCs w:val="18"/>
        </w:rPr>
        <w:t xml:space="preserve"> The outputs to water and wastes may be modified if the dental surgeries are fitted with </w:t>
      </w:r>
      <w:r w:rsidR="0067724A" w:rsidRPr="000523D4">
        <w:rPr>
          <w:szCs w:val="18"/>
        </w:rPr>
        <w:lastRenderedPageBreak/>
        <w:t xml:space="preserve">high </w:t>
      </w:r>
      <w:r w:rsidR="00F04A74" w:rsidRPr="000523D4">
        <w:rPr>
          <w:szCs w:val="18"/>
        </w:rPr>
        <w:t>efficiency</w:t>
      </w:r>
      <w:r w:rsidR="0067724A" w:rsidRPr="000523D4">
        <w:rPr>
          <w:szCs w:val="18"/>
        </w:rPr>
        <w:t xml:space="preserve"> </w:t>
      </w:r>
      <w:r w:rsidR="00091716" w:rsidRPr="000523D4">
        <w:rPr>
          <w:szCs w:val="18"/>
        </w:rPr>
        <w:t xml:space="preserve">amalgam filters, which can remove up to 95% of the mercury from the water outputs. </w:t>
      </w:r>
      <w:r w:rsidR="0067724A" w:rsidRPr="000523D4">
        <w:rPr>
          <w:szCs w:val="18"/>
        </w:rPr>
        <w:t xml:space="preserve">However, it </w:t>
      </w:r>
      <w:r w:rsidR="00AF7B30">
        <w:rPr>
          <w:szCs w:val="18"/>
        </w:rPr>
        <w:t xml:space="preserve">was noted in the 2012 Inventory Report </w:t>
      </w:r>
      <w:r w:rsidR="0067724A" w:rsidRPr="000523D4">
        <w:rPr>
          <w:szCs w:val="18"/>
        </w:rPr>
        <w:t xml:space="preserve">that these are not widely </w:t>
      </w:r>
      <w:r w:rsidR="00091716" w:rsidRPr="000523D4">
        <w:rPr>
          <w:szCs w:val="18"/>
        </w:rPr>
        <w:t xml:space="preserve">used </w:t>
      </w:r>
      <w:r w:rsidR="003E68D6" w:rsidRPr="000523D4">
        <w:rPr>
          <w:szCs w:val="18"/>
        </w:rPr>
        <w:t>in New Zealand,</w:t>
      </w:r>
      <w:r w:rsidR="0067724A" w:rsidRPr="000523D4">
        <w:rPr>
          <w:szCs w:val="18"/>
        </w:rPr>
        <w:t xml:space="preserve"> with </w:t>
      </w:r>
      <w:r w:rsidR="00091716" w:rsidRPr="000523D4">
        <w:rPr>
          <w:szCs w:val="18"/>
        </w:rPr>
        <w:t xml:space="preserve">about 50% of dentists </w:t>
      </w:r>
      <w:r w:rsidR="0067724A" w:rsidRPr="000523D4">
        <w:rPr>
          <w:szCs w:val="18"/>
        </w:rPr>
        <w:t>us</w:t>
      </w:r>
      <w:r w:rsidR="003E68D6" w:rsidRPr="000523D4">
        <w:rPr>
          <w:szCs w:val="18"/>
        </w:rPr>
        <w:t>ing</w:t>
      </w:r>
      <w:r w:rsidR="0067724A" w:rsidRPr="000523D4">
        <w:rPr>
          <w:szCs w:val="18"/>
        </w:rPr>
        <w:t xml:space="preserve"> basic filter systems</w:t>
      </w:r>
      <w:r w:rsidR="00091716" w:rsidRPr="000523D4">
        <w:rPr>
          <w:szCs w:val="18"/>
        </w:rPr>
        <w:t xml:space="preserve"> </w:t>
      </w:r>
      <w:r w:rsidR="003E68D6" w:rsidRPr="000523D4">
        <w:rPr>
          <w:szCs w:val="18"/>
        </w:rPr>
        <w:t>and the remainder having</w:t>
      </w:r>
      <w:r w:rsidR="0067724A" w:rsidRPr="000523D4">
        <w:rPr>
          <w:szCs w:val="18"/>
        </w:rPr>
        <w:t xml:space="preserve"> no filtration at all.</w:t>
      </w:r>
      <w:r w:rsidR="00091716" w:rsidRPr="000523D4">
        <w:rPr>
          <w:szCs w:val="18"/>
        </w:rPr>
        <w:t xml:space="preserve"> </w:t>
      </w:r>
      <w:r w:rsidR="0067724A" w:rsidRPr="000523D4">
        <w:rPr>
          <w:szCs w:val="18"/>
        </w:rPr>
        <w:t>T</w:t>
      </w:r>
      <w:r w:rsidR="00091716" w:rsidRPr="000523D4">
        <w:rPr>
          <w:szCs w:val="18"/>
        </w:rPr>
        <w:t xml:space="preserve">he </w:t>
      </w:r>
      <w:r w:rsidR="0067724A" w:rsidRPr="000523D4">
        <w:rPr>
          <w:szCs w:val="18"/>
        </w:rPr>
        <w:t xml:space="preserve">limited quantities of wastes </w:t>
      </w:r>
      <w:r w:rsidR="00091716" w:rsidRPr="000523D4">
        <w:rPr>
          <w:szCs w:val="18"/>
        </w:rPr>
        <w:t xml:space="preserve">collected </w:t>
      </w:r>
      <w:r w:rsidR="0067724A" w:rsidRPr="000523D4">
        <w:rPr>
          <w:szCs w:val="18"/>
        </w:rPr>
        <w:t xml:space="preserve">by the filters </w:t>
      </w:r>
      <w:r w:rsidR="00091716" w:rsidRPr="000523D4">
        <w:rPr>
          <w:szCs w:val="18"/>
        </w:rPr>
        <w:t xml:space="preserve">are </w:t>
      </w:r>
      <w:r w:rsidR="00F3101D" w:rsidRPr="000523D4">
        <w:rPr>
          <w:szCs w:val="18"/>
        </w:rPr>
        <w:t xml:space="preserve">either </w:t>
      </w:r>
      <w:r w:rsidR="00091716" w:rsidRPr="000523D4">
        <w:rPr>
          <w:szCs w:val="18"/>
        </w:rPr>
        <w:t>disposed to landfill</w:t>
      </w:r>
      <w:r w:rsidR="0067724A" w:rsidRPr="000523D4">
        <w:rPr>
          <w:szCs w:val="18"/>
        </w:rPr>
        <w:t>,</w:t>
      </w:r>
      <w:r w:rsidR="00F3101D" w:rsidRPr="000523D4">
        <w:rPr>
          <w:szCs w:val="18"/>
        </w:rPr>
        <w:t xml:space="preserve"> recycled </w:t>
      </w:r>
      <w:r w:rsidR="0067724A" w:rsidRPr="000523D4">
        <w:rPr>
          <w:szCs w:val="18"/>
        </w:rPr>
        <w:t xml:space="preserve">or exported </w:t>
      </w:r>
      <w:r w:rsidR="00AF7B30">
        <w:rPr>
          <w:szCs w:val="18"/>
        </w:rPr>
        <w:t>but n</w:t>
      </w:r>
      <w:r w:rsidR="003E68D6" w:rsidRPr="000523D4">
        <w:rPr>
          <w:szCs w:val="18"/>
        </w:rPr>
        <w:t>o</w:t>
      </w:r>
      <w:r w:rsidR="00B53170" w:rsidRPr="000523D4">
        <w:rPr>
          <w:szCs w:val="18"/>
        </w:rPr>
        <w:t xml:space="preserve"> specific data is available on the quantities of dental wastes that are recycled or exported.</w:t>
      </w:r>
    </w:p>
    <w:p w14:paraId="56791D44" w14:textId="53846CEC" w:rsidR="009D3B23" w:rsidRPr="000523D4" w:rsidRDefault="009D3B23" w:rsidP="009D3B23">
      <w:pPr>
        <w:spacing w:line="300" w:lineRule="atLeast"/>
        <w:jc w:val="both"/>
        <w:rPr>
          <w:szCs w:val="18"/>
        </w:rPr>
      </w:pPr>
      <w:r w:rsidRPr="000523D4">
        <w:rPr>
          <w:szCs w:val="18"/>
        </w:rPr>
        <w:t xml:space="preserve">The mercury input and output estimates for mercury </w:t>
      </w:r>
      <w:r w:rsidR="00091716" w:rsidRPr="000523D4">
        <w:rPr>
          <w:szCs w:val="18"/>
        </w:rPr>
        <w:t>dental amalgam</w:t>
      </w:r>
      <w:r w:rsidRPr="000523D4">
        <w:rPr>
          <w:szCs w:val="18"/>
        </w:rPr>
        <w:t xml:space="preserve"> are shown in</w:t>
      </w:r>
      <w:r w:rsidR="00091716" w:rsidRPr="000523D4">
        <w:rPr>
          <w:szCs w:val="18"/>
        </w:rPr>
        <w:t xml:space="preserve"> </w:t>
      </w:r>
      <w:r w:rsidR="00091716" w:rsidRPr="000523D4">
        <w:rPr>
          <w:szCs w:val="18"/>
        </w:rPr>
        <w:fldChar w:fldCharType="begin"/>
      </w:r>
      <w:r w:rsidR="00091716" w:rsidRPr="000523D4">
        <w:rPr>
          <w:szCs w:val="18"/>
        </w:rPr>
        <w:instrText xml:space="preserve"> REF _Ref358777280 \h </w:instrText>
      </w:r>
      <w:r w:rsidR="0094605E" w:rsidRPr="000523D4">
        <w:rPr>
          <w:szCs w:val="18"/>
        </w:rPr>
        <w:instrText xml:space="preserve"> \* MERGEFORMAT </w:instrText>
      </w:r>
      <w:r w:rsidR="00091716" w:rsidRPr="000523D4">
        <w:rPr>
          <w:szCs w:val="18"/>
        </w:rPr>
      </w:r>
      <w:r w:rsidR="00091716" w:rsidRPr="000523D4">
        <w:rPr>
          <w:szCs w:val="18"/>
        </w:rPr>
        <w:fldChar w:fldCharType="separate"/>
      </w:r>
      <w:r w:rsidR="00423FC9" w:rsidRPr="00423FC9">
        <w:t xml:space="preserve">Table </w:t>
      </w:r>
      <w:r w:rsidR="00423FC9" w:rsidRPr="00423FC9">
        <w:rPr>
          <w:noProof/>
        </w:rPr>
        <w:t>8</w:t>
      </w:r>
      <w:r w:rsidR="00423FC9" w:rsidRPr="00423FC9">
        <w:rPr>
          <w:noProof/>
        </w:rPr>
        <w:noBreakHyphen/>
        <w:t>2</w:t>
      </w:r>
      <w:r w:rsidR="00091716" w:rsidRPr="000523D4">
        <w:rPr>
          <w:szCs w:val="18"/>
        </w:rPr>
        <w:fldChar w:fldCharType="end"/>
      </w:r>
      <w:r w:rsidRPr="000523D4">
        <w:rPr>
          <w:szCs w:val="18"/>
        </w:rPr>
        <w:t>.</w:t>
      </w:r>
      <w:r w:rsidR="009D242E" w:rsidRPr="000523D4">
        <w:rPr>
          <w:szCs w:val="18"/>
        </w:rPr>
        <w:t xml:space="preserve"> The figure shown for </w:t>
      </w:r>
      <w:r w:rsidR="007E74A5" w:rsidRPr="000523D4">
        <w:rPr>
          <w:szCs w:val="18"/>
        </w:rPr>
        <w:t>product</w:t>
      </w:r>
      <w:r w:rsidR="009D242E" w:rsidRPr="000523D4">
        <w:rPr>
          <w:szCs w:val="18"/>
        </w:rPr>
        <w:t xml:space="preserve"> represents an annual addition to the existing stocks of mercury in the teeth of most New Zealanders</w:t>
      </w:r>
      <w:r w:rsidR="00FE1A1B" w:rsidRPr="000523D4">
        <w:rPr>
          <w:szCs w:val="18"/>
        </w:rPr>
        <w:t>, which have not been assessed</w:t>
      </w:r>
      <w:r w:rsidR="009D242E" w:rsidRPr="000523D4">
        <w:rPr>
          <w:szCs w:val="18"/>
        </w:rPr>
        <w:t>.</w:t>
      </w:r>
      <w:r w:rsidR="00FE1A1B" w:rsidRPr="000523D4">
        <w:rPr>
          <w:szCs w:val="18"/>
        </w:rPr>
        <w:t xml:space="preserve"> Similarly, the figure shown for wastes does not include any amounts removed during filling replacement or tooth extraction, which would be very difficult to determine.</w:t>
      </w:r>
      <w:r w:rsidR="00435C60" w:rsidRPr="000523D4">
        <w:rPr>
          <w:szCs w:val="18"/>
        </w:rPr>
        <w:t xml:space="preserve"> </w:t>
      </w:r>
    </w:p>
    <w:p w14:paraId="7F649988" w14:textId="77777777" w:rsidR="009D3B23" w:rsidRPr="000523D4" w:rsidRDefault="00091716" w:rsidP="00091716">
      <w:pPr>
        <w:pStyle w:val="Caption"/>
        <w:spacing w:before="240"/>
        <w:rPr>
          <w:szCs w:val="18"/>
        </w:rPr>
      </w:pPr>
      <w:bookmarkStart w:id="118" w:name="_Ref358777280"/>
      <w:bookmarkStart w:id="119" w:name="_Toc484949665"/>
      <w:r w:rsidRPr="000523D4">
        <w:rPr>
          <w:rFonts w:ascii="Arial" w:hAnsi="Arial" w:cs="Arial"/>
        </w:rPr>
        <w:t xml:space="preserve">Table </w:t>
      </w:r>
      <w:r w:rsidR="00390C9F" w:rsidRPr="000523D4">
        <w:rPr>
          <w:rFonts w:ascii="Arial" w:hAnsi="Arial" w:cs="Arial"/>
        </w:rPr>
        <w:fldChar w:fldCharType="begin"/>
      </w:r>
      <w:r w:rsidR="00390C9F" w:rsidRPr="000523D4">
        <w:rPr>
          <w:rFonts w:ascii="Arial" w:hAnsi="Arial" w:cs="Arial"/>
        </w:rPr>
        <w:instrText xml:space="preserve"> STYLEREF 1 \s </w:instrText>
      </w:r>
      <w:r w:rsidR="00390C9F" w:rsidRPr="000523D4">
        <w:rPr>
          <w:rFonts w:ascii="Arial" w:hAnsi="Arial" w:cs="Arial"/>
        </w:rPr>
        <w:fldChar w:fldCharType="separate"/>
      </w:r>
      <w:r w:rsidR="00423FC9">
        <w:rPr>
          <w:rFonts w:ascii="Arial" w:hAnsi="Arial" w:cs="Arial"/>
          <w:noProof/>
        </w:rPr>
        <w:t>8</w:t>
      </w:r>
      <w:r w:rsidR="00390C9F" w:rsidRPr="000523D4">
        <w:rPr>
          <w:rFonts w:ascii="Arial" w:hAnsi="Arial" w:cs="Arial"/>
        </w:rPr>
        <w:fldChar w:fldCharType="end"/>
      </w:r>
      <w:r w:rsidR="00390C9F" w:rsidRPr="000523D4">
        <w:rPr>
          <w:rFonts w:ascii="Arial" w:hAnsi="Arial" w:cs="Arial"/>
        </w:rPr>
        <w:noBreakHyphen/>
      </w:r>
      <w:r w:rsidR="00390C9F" w:rsidRPr="000523D4">
        <w:rPr>
          <w:rFonts w:ascii="Arial" w:hAnsi="Arial" w:cs="Arial"/>
        </w:rPr>
        <w:fldChar w:fldCharType="begin"/>
      </w:r>
      <w:r w:rsidR="00390C9F" w:rsidRPr="000523D4">
        <w:rPr>
          <w:rFonts w:ascii="Arial" w:hAnsi="Arial" w:cs="Arial"/>
        </w:rPr>
        <w:instrText xml:space="preserve"> SEQ Table \* ARABIC \s 1 </w:instrText>
      </w:r>
      <w:r w:rsidR="00390C9F" w:rsidRPr="000523D4">
        <w:rPr>
          <w:rFonts w:ascii="Arial" w:hAnsi="Arial" w:cs="Arial"/>
        </w:rPr>
        <w:fldChar w:fldCharType="separate"/>
      </w:r>
      <w:r w:rsidR="00423FC9">
        <w:rPr>
          <w:rFonts w:ascii="Arial" w:hAnsi="Arial" w:cs="Arial"/>
          <w:noProof/>
        </w:rPr>
        <w:t>2</w:t>
      </w:r>
      <w:r w:rsidR="00390C9F" w:rsidRPr="000523D4">
        <w:rPr>
          <w:rFonts w:ascii="Arial" w:hAnsi="Arial" w:cs="Arial"/>
        </w:rPr>
        <w:fldChar w:fldCharType="end"/>
      </w:r>
      <w:bookmarkEnd w:id="118"/>
      <w:r w:rsidR="009D3B23" w:rsidRPr="000523D4">
        <w:rPr>
          <w:rFonts w:ascii="Arial" w:hAnsi="Arial" w:cs="Arial"/>
        </w:rPr>
        <w:t>:</w:t>
      </w:r>
      <w:r w:rsidR="009D3B23" w:rsidRPr="000523D4">
        <w:t xml:space="preserve">  </w:t>
      </w:r>
      <w:r w:rsidR="009D3B23" w:rsidRPr="000523D4">
        <w:rPr>
          <w:rFonts w:ascii="Arial" w:hAnsi="Arial" w:cs="Arial"/>
        </w:rPr>
        <w:t xml:space="preserve">Input and output estimates for mercury </w:t>
      </w:r>
      <w:r w:rsidRPr="000523D4">
        <w:rPr>
          <w:rFonts w:ascii="Arial" w:hAnsi="Arial" w:cs="Arial"/>
        </w:rPr>
        <w:t>dental amalgam</w:t>
      </w:r>
      <w:bookmarkEnd w:id="119"/>
    </w:p>
    <w:tbl>
      <w:tblPr>
        <w:tblStyle w:val="TableGrid"/>
        <w:tblW w:w="9322" w:type="dxa"/>
        <w:tblLook w:val="04A0" w:firstRow="1" w:lastRow="0" w:firstColumn="1" w:lastColumn="0" w:noHBand="0" w:noVBand="1"/>
      </w:tblPr>
      <w:tblGrid>
        <w:gridCol w:w="2104"/>
        <w:gridCol w:w="855"/>
        <w:gridCol w:w="1083"/>
        <w:gridCol w:w="1425"/>
        <w:gridCol w:w="1026"/>
        <w:gridCol w:w="912"/>
        <w:gridCol w:w="969"/>
        <w:gridCol w:w="948"/>
      </w:tblGrid>
      <w:tr w:rsidR="0067724A" w:rsidRPr="000523D4" w14:paraId="437B1BEA" w14:textId="77777777" w:rsidTr="00AF7B30">
        <w:trPr>
          <w:trHeight w:val="776"/>
        </w:trPr>
        <w:tc>
          <w:tcPr>
            <w:tcW w:w="2104" w:type="dxa"/>
            <w:vMerge w:val="restart"/>
            <w:vAlign w:val="center"/>
          </w:tcPr>
          <w:p w14:paraId="516302D2" w14:textId="77777777" w:rsidR="009D3B23" w:rsidRPr="000523D4" w:rsidRDefault="009D3B23" w:rsidP="00296CF3">
            <w:pPr>
              <w:spacing w:line="300" w:lineRule="atLeast"/>
              <w:jc w:val="center"/>
              <w:rPr>
                <w:rFonts w:ascii="Arial" w:hAnsi="Arial" w:cs="Arial"/>
                <w:b/>
                <w:sz w:val="16"/>
                <w:szCs w:val="16"/>
              </w:rPr>
            </w:pPr>
            <w:r w:rsidRPr="000523D4">
              <w:rPr>
                <w:rFonts w:ascii="Arial" w:hAnsi="Arial" w:cs="Arial"/>
                <w:b/>
                <w:sz w:val="16"/>
                <w:szCs w:val="16"/>
              </w:rPr>
              <w:t>Source</w:t>
            </w:r>
          </w:p>
        </w:tc>
        <w:tc>
          <w:tcPr>
            <w:tcW w:w="855" w:type="dxa"/>
            <w:vMerge w:val="restart"/>
            <w:vAlign w:val="center"/>
          </w:tcPr>
          <w:p w14:paraId="5E701B69" w14:textId="496B4DC8" w:rsidR="009D3B23" w:rsidRPr="000523D4" w:rsidRDefault="009D3B23" w:rsidP="00AF7B30">
            <w:pPr>
              <w:spacing w:line="300" w:lineRule="atLeast"/>
              <w:jc w:val="center"/>
              <w:rPr>
                <w:rFonts w:ascii="Arial" w:hAnsi="Arial" w:cs="Arial"/>
                <w:b/>
                <w:sz w:val="16"/>
                <w:szCs w:val="16"/>
              </w:rPr>
            </w:pPr>
            <w:r w:rsidRPr="000523D4">
              <w:rPr>
                <w:rFonts w:ascii="Arial" w:hAnsi="Arial" w:cs="Arial"/>
                <w:b/>
                <w:sz w:val="16"/>
                <w:szCs w:val="16"/>
              </w:rPr>
              <w:t>Activity</w:t>
            </w:r>
            <w:r w:rsidR="00C67CA8" w:rsidRPr="000523D4">
              <w:rPr>
                <w:rFonts w:ascii="Arial" w:hAnsi="Arial" w:cs="Arial"/>
                <w:b/>
                <w:sz w:val="16"/>
                <w:szCs w:val="16"/>
              </w:rPr>
              <w:t xml:space="preserve">, </w:t>
            </w:r>
            <w:r w:rsidR="00AF7B30">
              <w:rPr>
                <w:rFonts w:ascii="Arial" w:hAnsi="Arial" w:cs="Arial"/>
                <w:b/>
                <w:sz w:val="16"/>
                <w:szCs w:val="16"/>
              </w:rPr>
              <w:t xml:space="preserve">  </w:t>
            </w:r>
            <w:r w:rsidR="00C67CA8" w:rsidRPr="000523D4">
              <w:rPr>
                <w:rFonts w:ascii="Arial" w:hAnsi="Arial" w:cs="Arial"/>
                <w:b/>
                <w:sz w:val="16"/>
                <w:szCs w:val="16"/>
              </w:rPr>
              <w:t>kg /</w:t>
            </w:r>
            <w:proofErr w:type="spellStart"/>
            <w:r w:rsidR="00C67CA8" w:rsidRPr="000523D4">
              <w:rPr>
                <w:rFonts w:ascii="Arial" w:hAnsi="Arial" w:cs="Arial"/>
                <w:b/>
                <w:sz w:val="16"/>
                <w:szCs w:val="16"/>
              </w:rPr>
              <w:t>yr</w:t>
            </w:r>
            <w:proofErr w:type="spellEnd"/>
          </w:p>
        </w:tc>
        <w:tc>
          <w:tcPr>
            <w:tcW w:w="1083" w:type="dxa"/>
            <w:vMerge w:val="restart"/>
            <w:vAlign w:val="center"/>
          </w:tcPr>
          <w:p w14:paraId="0DD88548" w14:textId="77777777" w:rsidR="009D3B23" w:rsidRPr="000523D4" w:rsidRDefault="009D3B23" w:rsidP="00C67CA8">
            <w:pPr>
              <w:spacing w:line="300" w:lineRule="atLeast"/>
              <w:jc w:val="center"/>
              <w:rPr>
                <w:rFonts w:ascii="Arial" w:hAnsi="Arial" w:cs="Arial"/>
                <w:b/>
                <w:sz w:val="16"/>
                <w:szCs w:val="16"/>
              </w:rPr>
            </w:pPr>
            <w:r w:rsidRPr="000523D4">
              <w:rPr>
                <w:rFonts w:ascii="Arial" w:hAnsi="Arial" w:cs="Arial"/>
                <w:b/>
                <w:sz w:val="16"/>
                <w:szCs w:val="16"/>
              </w:rPr>
              <w:t xml:space="preserve">Mercury </w:t>
            </w:r>
            <w:r w:rsidR="00C67CA8" w:rsidRPr="000523D4">
              <w:rPr>
                <w:rFonts w:ascii="Arial" w:hAnsi="Arial" w:cs="Arial"/>
                <w:b/>
                <w:sz w:val="16"/>
                <w:szCs w:val="16"/>
              </w:rPr>
              <w:t>content, %</w:t>
            </w:r>
          </w:p>
        </w:tc>
        <w:tc>
          <w:tcPr>
            <w:tcW w:w="1425" w:type="dxa"/>
            <w:vMerge w:val="restart"/>
            <w:vAlign w:val="center"/>
          </w:tcPr>
          <w:p w14:paraId="467DD17B" w14:textId="77777777" w:rsidR="009D3B23" w:rsidRPr="000523D4" w:rsidRDefault="009D3B23" w:rsidP="00296CF3">
            <w:pPr>
              <w:spacing w:line="300" w:lineRule="atLeast"/>
              <w:jc w:val="center"/>
              <w:rPr>
                <w:rFonts w:ascii="Arial" w:hAnsi="Arial" w:cs="Arial"/>
                <w:b/>
                <w:sz w:val="16"/>
                <w:szCs w:val="16"/>
              </w:rPr>
            </w:pPr>
            <w:r w:rsidRPr="000523D4">
              <w:rPr>
                <w:rFonts w:ascii="Arial" w:hAnsi="Arial" w:cs="Arial"/>
                <w:b/>
                <w:sz w:val="16"/>
                <w:szCs w:val="16"/>
              </w:rPr>
              <w:t>Annual Mercury Inputs, kg/</w:t>
            </w:r>
            <w:proofErr w:type="spellStart"/>
            <w:r w:rsidRPr="000523D4">
              <w:rPr>
                <w:rFonts w:ascii="Arial" w:hAnsi="Arial" w:cs="Arial"/>
                <w:b/>
                <w:sz w:val="16"/>
                <w:szCs w:val="16"/>
              </w:rPr>
              <w:t>yr</w:t>
            </w:r>
            <w:proofErr w:type="spellEnd"/>
          </w:p>
        </w:tc>
        <w:tc>
          <w:tcPr>
            <w:tcW w:w="3855" w:type="dxa"/>
            <w:gridSpan w:val="4"/>
            <w:vAlign w:val="center"/>
          </w:tcPr>
          <w:p w14:paraId="63DA299B" w14:textId="77777777" w:rsidR="009D3B23" w:rsidRPr="000523D4" w:rsidRDefault="009D3B23" w:rsidP="00296CF3">
            <w:pPr>
              <w:spacing w:line="300" w:lineRule="atLeast"/>
              <w:jc w:val="center"/>
              <w:rPr>
                <w:rFonts w:ascii="Arial" w:hAnsi="Arial" w:cs="Arial"/>
                <w:b/>
                <w:sz w:val="16"/>
                <w:szCs w:val="16"/>
              </w:rPr>
            </w:pPr>
            <w:r w:rsidRPr="000523D4">
              <w:rPr>
                <w:rFonts w:ascii="Arial" w:hAnsi="Arial" w:cs="Arial"/>
                <w:b/>
                <w:sz w:val="16"/>
                <w:szCs w:val="16"/>
              </w:rPr>
              <w:t>Annual Mercury Outputs, kg/</w:t>
            </w:r>
            <w:proofErr w:type="spellStart"/>
            <w:r w:rsidRPr="000523D4">
              <w:rPr>
                <w:rFonts w:ascii="Arial" w:hAnsi="Arial" w:cs="Arial"/>
                <w:b/>
                <w:sz w:val="16"/>
                <w:szCs w:val="16"/>
              </w:rPr>
              <w:t>yr</w:t>
            </w:r>
            <w:proofErr w:type="spellEnd"/>
          </w:p>
        </w:tc>
      </w:tr>
      <w:tr w:rsidR="00C67CA8" w:rsidRPr="000523D4" w14:paraId="313B88F8" w14:textId="77777777" w:rsidTr="00AF7B30">
        <w:tc>
          <w:tcPr>
            <w:tcW w:w="2104" w:type="dxa"/>
            <w:vMerge/>
            <w:vAlign w:val="center"/>
          </w:tcPr>
          <w:p w14:paraId="64EABC78" w14:textId="77777777" w:rsidR="009D3B23" w:rsidRPr="000523D4" w:rsidRDefault="009D3B23" w:rsidP="00296CF3">
            <w:pPr>
              <w:spacing w:line="300" w:lineRule="atLeast"/>
              <w:jc w:val="center"/>
              <w:rPr>
                <w:rFonts w:ascii="Arial" w:hAnsi="Arial" w:cs="Arial"/>
                <w:b/>
                <w:sz w:val="16"/>
                <w:szCs w:val="16"/>
              </w:rPr>
            </w:pPr>
          </w:p>
        </w:tc>
        <w:tc>
          <w:tcPr>
            <w:tcW w:w="855" w:type="dxa"/>
            <w:vMerge/>
            <w:vAlign w:val="center"/>
          </w:tcPr>
          <w:p w14:paraId="1C4D26FB" w14:textId="77777777" w:rsidR="009D3B23" w:rsidRPr="000523D4" w:rsidRDefault="009D3B23" w:rsidP="00296CF3">
            <w:pPr>
              <w:spacing w:line="300" w:lineRule="atLeast"/>
              <w:jc w:val="center"/>
              <w:rPr>
                <w:rFonts w:ascii="Arial" w:hAnsi="Arial" w:cs="Arial"/>
                <w:b/>
                <w:sz w:val="16"/>
                <w:szCs w:val="16"/>
              </w:rPr>
            </w:pPr>
          </w:p>
        </w:tc>
        <w:tc>
          <w:tcPr>
            <w:tcW w:w="1083" w:type="dxa"/>
            <w:vMerge/>
            <w:vAlign w:val="center"/>
          </w:tcPr>
          <w:p w14:paraId="56DD276D" w14:textId="77777777" w:rsidR="009D3B23" w:rsidRPr="000523D4" w:rsidRDefault="009D3B23" w:rsidP="00296CF3">
            <w:pPr>
              <w:spacing w:line="300" w:lineRule="atLeast"/>
              <w:jc w:val="center"/>
              <w:rPr>
                <w:rFonts w:ascii="Arial" w:hAnsi="Arial" w:cs="Arial"/>
                <w:b/>
                <w:sz w:val="16"/>
                <w:szCs w:val="16"/>
              </w:rPr>
            </w:pPr>
          </w:p>
        </w:tc>
        <w:tc>
          <w:tcPr>
            <w:tcW w:w="1425" w:type="dxa"/>
            <w:vMerge/>
            <w:vAlign w:val="center"/>
          </w:tcPr>
          <w:p w14:paraId="7D3E5BEF" w14:textId="77777777" w:rsidR="009D3B23" w:rsidRPr="000523D4" w:rsidRDefault="009D3B23" w:rsidP="00296CF3">
            <w:pPr>
              <w:spacing w:line="300" w:lineRule="atLeast"/>
              <w:jc w:val="center"/>
              <w:rPr>
                <w:rFonts w:ascii="Arial" w:hAnsi="Arial" w:cs="Arial"/>
                <w:b/>
                <w:sz w:val="16"/>
                <w:szCs w:val="16"/>
              </w:rPr>
            </w:pPr>
          </w:p>
        </w:tc>
        <w:tc>
          <w:tcPr>
            <w:tcW w:w="1026" w:type="dxa"/>
            <w:vAlign w:val="center"/>
          </w:tcPr>
          <w:p w14:paraId="5C59C9C5" w14:textId="77777777" w:rsidR="009D3B23" w:rsidRPr="000523D4" w:rsidRDefault="009D3B23" w:rsidP="00296CF3">
            <w:pPr>
              <w:spacing w:line="300" w:lineRule="atLeast"/>
              <w:jc w:val="center"/>
              <w:rPr>
                <w:rFonts w:ascii="Arial" w:hAnsi="Arial" w:cs="Arial"/>
                <w:b/>
                <w:sz w:val="16"/>
                <w:szCs w:val="16"/>
              </w:rPr>
            </w:pPr>
            <w:r w:rsidRPr="000523D4">
              <w:rPr>
                <w:rFonts w:ascii="Arial" w:hAnsi="Arial" w:cs="Arial"/>
                <w:b/>
                <w:sz w:val="16"/>
                <w:szCs w:val="16"/>
              </w:rPr>
              <w:t>Air</w:t>
            </w:r>
          </w:p>
        </w:tc>
        <w:tc>
          <w:tcPr>
            <w:tcW w:w="912" w:type="dxa"/>
            <w:vAlign w:val="center"/>
          </w:tcPr>
          <w:p w14:paraId="7B9E84C5" w14:textId="77777777" w:rsidR="009D3B23" w:rsidRPr="000523D4" w:rsidRDefault="00EF3FAE" w:rsidP="00296CF3">
            <w:pPr>
              <w:spacing w:line="300" w:lineRule="atLeast"/>
              <w:jc w:val="center"/>
              <w:rPr>
                <w:rFonts w:ascii="Arial" w:hAnsi="Arial" w:cs="Arial"/>
                <w:b/>
                <w:sz w:val="16"/>
                <w:szCs w:val="16"/>
              </w:rPr>
            </w:pPr>
            <w:r w:rsidRPr="000523D4">
              <w:rPr>
                <w:rFonts w:ascii="Arial" w:hAnsi="Arial" w:cs="Arial"/>
                <w:b/>
                <w:sz w:val="16"/>
                <w:szCs w:val="16"/>
              </w:rPr>
              <w:t>Water</w:t>
            </w:r>
          </w:p>
        </w:tc>
        <w:tc>
          <w:tcPr>
            <w:tcW w:w="969" w:type="dxa"/>
          </w:tcPr>
          <w:p w14:paraId="0B588396" w14:textId="77777777" w:rsidR="009D3B23" w:rsidRPr="000523D4" w:rsidRDefault="009D3B23" w:rsidP="00296CF3">
            <w:pPr>
              <w:spacing w:line="300" w:lineRule="atLeast"/>
              <w:jc w:val="center"/>
              <w:rPr>
                <w:rFonts w:ascii="Arial" w:hAnsi="Arial" w:cs="Arial"/>
                <w:b/>
                <w:sz w:val="16"/>
                <w:szCs w:val="16"/>
              </w:rPr>
            </w:pPr>
            <w:r w:rsidRPr="000523D4">
              <w:rPr>
                <w:rFonts w:ascii="Arial" w:hAnsi="Arial" w:cs="Arial"/>
                <w:b/>
                <w:sz w:val="16"/>
                <w:szCs w:val="16"/>
              </w:rPr>
              <w:t>Product</w:t>
            </w:r>
          </w:p>
        </w:tc>
        <w:tc>
          <w:tcPr>
            <w:tcW w:w="948" w:type="dxa"/>
            <w:vAlign w:val="center"/>
          </w:tcPr>
          <w:p w14:paraId="5DBCDB72" w14:textId="77777777" w:rsidR="009D3B23" w:rsidRPr="000523D4" w:rsidRDefault="009D3B23" w:rsidP="00296CF3">
            <w:pPr>
              <w:spacing w:line="300" w:lineRule="atLeast"/>
              <w:jc w:val="center"/>
              <w:rPr>
                <w:rFonts w:ascii="Arial" w:hAnsi="Arial" w:cs="Arial"/>
                <w:b/>
                <w:sz w:val="16"/>
                <w:szCs w:val="16"/>
              </w:rPr>
            </w:pPr>
            <w:r w:rsidRPr="000523D4">
              <w:rPr>
                <w:rFonts w:ascii="Arial" w:hAnsi="Arial" w:cs="Arial"/>
                <w:b/>
                <w:sz w:val="16"/>
                <w:szCs w:val="16"/>
              </w:rPr>
              <w:t>Waste</w:t>
            </w:r>
          </w:p>
        </w:tc>
      </w:tr>
      <w:tr w:rsidR="00C67CA8" w:rsidRPr="000523D4" w14:paraId="7872ADB5" w14:textId="77777777" w:rsidTr="00AF7B30">
        <w:tc>
          <w:tcPr>
            <w:tcW w:w="2104" w:type="dxa"/>
          </w:tcPr>
          <w:p w14:paraId="540262CA" w14:textId="64963D6C" w:rsidR="009D3B23" w:rsidRPr="000523D4" w:rsidRDefault="00091716" w:rsidP="00296CF3">
            <w:pPr>
              <w:spacing w:line="300" w:lineRule="atLeast"/>
              <w:jc w:val="both"/>
              <w:rPr>
                <w:rFonts w:ascii="Arial" w:hAnsi="Arial" w:cs="Arial"/>
                <w:sz w:val="16"/>
                <w:szCs w:val="16"/>
              </w:rPr>
            </w:pPr>
            <w:r w:rsidRPr="000523D4">
              <w:rPr>
                <w:rFonts w:ascii="Arial" w:hAnsi="Arial" w:cs="Arial"/>
                <w:sz w:val="16"/>
                <w:szCs w:val="16"/>
              </w:rPr>
              <w:t>Dental amalgam</w:t>
            </w:r>
            <w:r w:rsidR="00AF7B30">
              <w:rPr>
                <w:rFonts w:ascii="Arial" w:hAnsi="Arial" w:cs="Arial"/>
                <w:sz w:val="16"/>
                <w:szCs w:val="16"/>
              </w:rPr>
              <w:t>, 2012</w:t>
            </w:r>
            <w:r w:rsidR="009D3B23" w:rsidRPr="000523D4">
              <w:rPr>
                <w:rFonts w:ascii="Arial" w:hAnsi="Arial" w:cs="Arial"/>
                <w:sz w:val="16"/>
                <w:szCs w:val="16"/>
              </w:rPr>
              <w:t xml:space="preserve"> </w:t>
            </w:r>
          </w:p>
        </w:tc>
        <w:tc>
          <w:tcPr>
            <w:tcW w:w="855" w:type="dxa"/>
            <w:vAlign w:val="center"/>
          </w:tcPr>
          <w:p w14:paraId="7A94D145" w14:textId="77777777" w:rsidR="009D3B23" w:rsidRPr="000523D4" w:rsidRDefault="00C67CA8" w:rsidP="00296CF3">
            <w:pPr>
              <w:spacing w:line="300" w:lineRule="atLeast"/>
              <w:jc w:val="center"/>
              <w:rPr>
                <w:rFonts w:ascii="Arial" w:hAnsi="Arial" w:cs="Arial"/>
                <w:sz w:val="16"/>
                <w:szCs w:val="16"/>
              </w:rPr>
            </w:pPr>
            <w:r w:rsidRPr="000523D4">
              <w:rPr>
                <w:rFonts w:ascii="Arial" w:hAnsi="Arial" w:cs="Arial"/>
                <w:sz w:val="16"/>
                <w:szCs w:val="16"/>
              </w:rPr>
              <w:t>320</w:t>
            </w:r>
          </w:p>
        </w:tc>
        <w:tc>
          <w:tcPr>
            <w:tcW w:w="1083" w:type="dxa"/>
            <w:vAlign w:val="center"/>
          </w:tcPr>
          <w:p w14:paraId="3A2D47DE" w14:textId="77777777" w:rsidR="009D3B23" w:rsidRPr="000523D4" w:rsidRDefault="00C67CA8" w:rsidP="00091716">
            <w:pPr>
              <w:spacing w:line="300" w:lineRule="atLeast"/>
              <w:jc w:val="center"/>
              <w:rPr>
                <w:rFonts w:ascii="Arial" w:hAnsi="Arial" w:cs="Arial"/>
                <w:sz w:val="16"/>
                <w:szCs w:val="16"/>
              </w:rPr>
            </w:pPr>
            <w:r w:rsidRPr="000523D4">
              <w:rPr>
                <w:rFonts w:ascii="Arial" w:hAnsi="Arial" w:cs="Arial"/>
                <w:sz w:val="16"/>
                <w:szCs w:val="16"/>
              </w:rPr>
              <w:t>47%</w:t>
            </w:r>
          </w:p>
        </w:tc>
        <w:tc>
          <w:tcPr>
            <w:tcW w:w="1425" w:type="dxa"/>
            <w:vAlign w:val="center"/>
          </w:tcPr>
          <w:p w14:paraId="762AD69A" w14:textId="77777777" w:rsidR="009D3B23" w:rsidRPr="000523D4" w:rsidRDefault="00C67CA8" w:rsidP="00296CF3">
            <w:pPr>
              <w:spacing w:line="300" w:lineRule="atLeast"/>
              <w:jc w:val="center"/>
              <w:rPr>
                <w:rFonts w:ascii="Arial" w:hAnsi="Arial" w:cs="Arial"/>
                <w:sz w:val="16"/>
                <w:szCs w:val="16"/>
              </w:rPr>
            </w:pPr>
            <w:r w:rsidRPr="000523D4">
              <w:rPr>
                <w:rFonts w:ascii="Arial" w:hAnsi="Arial" w:cs="Arial"/>
                <w:sz w:val="16"/>
                <w:szCs w:val="16"/>
              </w:rPr>
              <w:t>150</w:t>
            </w:r>
          </w:p>
        </w:tc>
        <w:tc>
          <w:tcPr>
            <w:tcW w:w="1026" w:type="dxa"/>
            <w:vAlign w:val="center"/>
          </w:tcPr>
          <w:p w14:paraId="6477D2AC" w14:textId="77777777" w:rsidR="009D3B23" w:rsidRPr="000523D4" w:rsidRDefault="0067724A" w:rsidP="00296CF3">
            <w:pPr>
              <w:spacing w:line="300" w:lineRule="atLeast"/>
              <w:jc w:val="center"/>
              <w:rPr>
                <w:rFonts w:ascii="Arial" w:hAnsi="Arial" w:cs="Arial"/>
                <w:sz w:val="16"/>
                <w:szCs w:val="16"/>
              </w:rPr>
            </w:pPr>
            <w:r w:rsidRPr="000523D4">
              <w:rPr>
                <w:rFonts w:ascii="Arial" w:hAnsi="Arial" w:cs="Arial"/>
                <w:sz w:val="16"/>
                <w:szCs w:val="16"/>
              </w:rPr>
              <w:t>3</w:t>
            </w:r>
          </w:p>
        </w:tc>
        <w:tc>
          <w:tcPr>
            <w:tcW w:w="912" w:type="dxa"/>
            <w:vAlign w:val="center"/>
          </w:tcPr>
          <w:p w14:paraId="63D9ECB8" w14:textId="77777777" w:rsidR="009D3B23" w:rsidRPr="000523D4" w:rsidRDefault="0067724A" w:rsidP="00EF3FAE">
            <w:pPr>
              <w:spacing w:line="300" w:lineRule="atLeast"/>
              <w:jc w:val="center"/>
              <w:rPr>
                <w:rFonts w:ascii="Arial" w:hAnsi="Arial" w:cs="Arial"/>
                <w:sz w:val="16"/>
                <w:szCs w:val="16"/>
              </w:rPr>
            </w:pPr>
            <w:r w:rsidRPr="000523D4">
              <w:rPr>
                <w:rFonts w:ascii="Arial" w:hAnsi="Arial" w:cs="Arial"/>
                <w:sz w:val="16"/>
                <w:szCs w:val="16"/>
              </w:rPr>
              <w:t>21</w:t>
            </w:r>
          </w:p>
        </w:tc>
        <w:tc>
          <w:tcPr>
            <w:tcW w:w="969" w:type="dxa"/>
            <w:vAlign w:val="center"/>
          </w:tcPr>
          <w:p w14:paraId="3A5B3FB0" w14:textId="77777777" w:rsidR="009D3B23" w:rsidRPr="000523D4" w:rsidRDefault="0067724A" w:rsidP="00EF3FAE">
            <w:pPr>
              <w:spacing w:line="300" w:lineRule="atLeast"/>
              <w:jc w:val="center"/>
              <w:rPr>
                <w:rFonts w:ascii="Arial" w:hAnsi="Arial" w:cs="Arial"/>
                <w:sz w:val="16"/>
                <w:szCs w:val="16"/>
              </w:rPr>
            </w:pPr>
            <w:r w:rsidRPr="000523D4">
              <w:rPr>
                <w:rFonts w:ascii="Arial" w:hAnsi="Arial" w:cs="Arial"/>
                <w:sz w:val="16"/>
                <w:szCs w:val="16"/>
              </w:rPr>
              <w:t>90</w:t>
            </w:r>
          </w:p>
        </w:tc>
        <w:tc>
          <w:tcPr>
            <w:tcW w:w="948" w:type="dxa"/>
            <w:vAlign w:val="center"/>
          </w:tcPr>
          <w:p w14:paraId="59A70B8B" w14:textId="4D22BAB1" w:rsidR="009D3B23" w:rsidRPr="000523D4" w:rsidRDefault="0067724A" w:rsidP="00EF3FAE">
            <w:pPr>
              <w:spacing w:line="300" w:lineRule="atLeast"/>
              <w:jc w:val="center"/>
              <w:rPr>
                <w:rFonts w:ascii="Arial" w:hAnsi="Arial" w:cs="Arial"/>
                <w:sz w:val="16"/>
                <w:szCs w:val="16"/>
              </w:rPr>
            </w:pPr>
            <w:r w:rsidRPr="000523D4">
              <w:rPr>
                <w:rFonts w:ascii="Arial" w:hAnsi="Arial" w:cs="Arial"/>
                <w:sz w:val="16"/>
                <w:szCs w:val="16"/>
              </w:rPr>
              <w:t>36</w:t>
            </w:r>
          </w:p>
        </w:tc>
      </w:tr>
      <w:tr w:rsidR="00AF7B30" w:rsidRPr="000523D4" w14:paraId="082DEAD2" w14:textId="77777777" w:rsidTr="00AF7B30">
        <w:tc>
          <w:tcPr>
            <w:tcW w:w="2104" w:type="dxa"/>
          </w:tcPr>
          <w:p w14:paraId="733C42E9" w14:textId="3040A2EA" w:rsidR="00AF7B30" w:rsidRPr="000523D4" w:rsidRDefault="00AF7B30" w:rsidP="00296CF3">
            <w:pPr>
              <w:spacing w:line="300" w:lineRule="atLeast"/>
              <w:jc w:val="both"/>
              <w:rPr>
                <w:rFonts w:ascii="Arial" w:hAnsi="Arial" w:cs="Arial"/>
                <w:sz w:val="16"/>
                <w:szCs w:val="16"/>
              </w:rPr>
            </w:pPr>
            <w:r>
              <w:rPr>
                <w:rFonts w:ascii="Arial" w:hAnsi="Arial" w:cs="Arial"/>
                <w:sz w:val="16"/>
                <w:szCs w:val="16"/>
              </w:rPr>
              <w:t>Dental amalgam, 2016</w:t>
            </w:r>
          </w:p>
        </w:tc>
        <w:tc>
          <w:tcPr>
            <w:tcW w:w="855" w:type="dxa"/>
            <w:vAlign w:val="center"/>
          </w:tcPr>
          <w:p w14:paraId="69DFD988" w14:textId="17D40BF6" w:rsidR="00AF7B30" w:rsidRPr="000523D4" w:rsidRDefault="00AF7B30" w:rsidP="00296CF3">
            <w:pPr>
              <w:spacing w:line="300" w:lineRule="atLeast"/>
              <w:jc w:val="center"/>
              <w:rPr>
                <w:rFonts w:ascii="Arial" w:hAnsi="Arial" w:cs="Arial"/>
                <w:sz w:val="16"/>
                <w:szCs w:val="16"/>
              </w:rPr>
            </w:pPr>
            <w:r>
              <w:rPr>
                <w:rFonts w:ascii="Arial" w:hAnsi="Arial" w:cs="Arial"/>
                <w:sz w:val="16"/>
                <w:szCs w:val="16"/>
              </w:rPr>
              <w:t>79.4</w:t>
            </w:r>
          </w:p>
        </w:tc>
        <w:tc>
          <w:tcPr>
            <w:tcW w:w="1083" w:type="dxa"/>
            <w:vAlign w:val="center"/>
          </w:tcPr>
          <w:p w14:paraId="4BA91E08" w14:textId="3CDB9071" w:rsidR="00AF7B30" w:rsidRPr="000523D4" w:rsidRDefault="00AF7B30" w:rsidP="00091716">
            <w:pPr>
              <w:spacing w:line="300" w:lineRule="atLeast"/>
              <w:jc w:val="center"/>
              <w:rPr>
                <w:rFonts w:ascii="Arial" w:hAnsi="Arial" w:cs="Arial"/>
                <w:sz w:val="16"/>
                <w:szCs w:val="16"/>
              </w:rPr>
            </w:pPr>
            <w:r>
              <w:rPr>
                <w:rFonts w:ascii="Arial" w:hAnsi="Arial" w:cs="Arial"/>
                <w:sz w:val="16"/>
                <w:szCs w:val="16"/>
              </w:rPr>
              <w:t>47%</w:t>
            </w:r>
          </w:p>
        </w:tc>
        <w:tc>
          <w:tcPr>
            <w:tcW w:w="1425" w:type="dxa"/>
            <w:vAlign w:val="center"/>
          </w:tcPr>
          <w:p w14:paraId="31F1FAC4" w14:textId="33C64498" w:rsidR="00AF7B30" w:rsidRPr="000523D4" w:rsidRDefault="00AF7B30" w:rsidP="00296CF3">
            <w:pPr>
              <w:spacing w:line="300" w:lineRule="atLeast"/>
              <w:jc w:val="center"/>
              <w:rPr>
                <w:rFonts w:ascii="Arial" w:hAnsi="Arial" w:cs="Arial"/>
                <w:sz w:val="16"/>
                <w:szCs w:val="16"/>
              </w:rPr>
            </w:pPr>
            <w:r>
              <w:rPr>
                <w:rFonts w:ascii="Arial" w:hAnsi="Arial" w:cs="Arial"/>
                <w:sz w:val="16"/>
                <w:szCs w:val="16"/>
              </w:rPr>
              <w:t>37.3</w:t>
            </w:r>
          </w:p>
        </w:tc>
        <w:tc>
          <w:tcPr>
            <w:tcW w:w="1026" w:type="dxa"/>
            <w:vAlign w:val="center"/>
          </w:tcPr>
          <w:p w14:paraId="2B2DED39" w14:textId="58424C71" w:rsidR="00AF7B30" w:rsidRPr="000523D4" w:rsidRDefault="00AF7B30" w:rsidP="00296CF3">
            <w:pPr>
              <w:spacing w:line="300" w:lineRule="atLeast"/>
              <w:jc w:val="center"/>
              <w:rPr>
                <w:rFonts w:ascii="Arial" w:hAnsi="Arial" w:cs="Arial"/>
                <w:sz w:val="16"/>
                <w:szCs w:val="16"/>
              </w:rPr>
            </w:pPr>
            <w:r>
              <w:rPr>
                <w:rFonts w:ascii="Arial" w:hAnsi="Arial" w:cs="Arial"/>
                <w:sz w:val="16"/>
                <w:szCs w:val="16"/>
              </w:rPr>
              <w:t>0.75</w:t>
            </w:r>
          </w:p>
        </w:tc>
        <w:tc>
          <w:tcPr>
            <w:tcW w:w="912" w:type="dxa"/>
            <w:vAlign w:val="center"/>
          </w:tcPr>
          <w:p w14:paraId="1BF26A24" w14:textId="241FD120" w:rsidR="00AF7B30" w:rsidRPr="000523D4" w:rsidRDefault="00AF7B30" w:rsidP="00EF3FAE">
            <w:pPr>
              <w:spacing w:line="300" w:lineRule="atLeast"/>
              <w:jc w:val="center"/>
              <w:rPr>
                <w:rFonts w:ascii="Arial" w:hAnsi="Arial" w:cs="Arial"/>
                <w:sz w:val="16"/>
                <w:szCs w:val="16"/>
              </w:rPr>
            </w:pPr>
            <w:r>
              <w:rPr>
                <w:rFonts w:ascii="Arial" w:hAnsi="Arial" w:cs="Arial"/>
                <w:sz w:val="16"/>
                <w:szCs w:val="16"/>
              </w:rPr>
              <w:t>5.2</w:t>
            </w:r>
            <w:r w:rsidR="002D7721">
              <w:rPr>
                <w:rFonts w:ascii="Arial" w:hAnsi="Arial" w:cs="Arial"/>
                <w:sz w:val="16"/>
                <w:szCs w:val="16"/>
              </w:rPr>
              <w:t>2</w:t>
            </w:r>
          </w:p>
        </w:tc>
        <w:tc>
          <w:tcPr>
            <w:tcW w:w="969" w:type="dxa"/>
            <w:vAlign w:val="center"/>
          </w:tcPr>
          <w:p w14:paraId="3DDEB707" w14:textId="56006B6A" w:rsidR="00AF7B30" w:rsidRPr="000523D4" w:rsidRDefault="00AF7B30" w:rsidP="00EF3FAE">
            <w:pPr>
              <w:spacing w:line="300" w:lineRule="atLeast"/>
              <w:jc w:val="center"/>
              <w:rPr>
                <w:rFonts w:ascii="Arial" w:hAnsi="Arial" w:cs="Arial"/>
                <w:sz w:val="16"/>
                <w:szCs w:val="16"/>
              </w:rPr>
            </w:pPr>
            <w:r>
              <w:rPr>
                <w:rFonts w:ascii="Arial" w:hAnsi="Arial" w:cs="Arial"/>
                <w:sz w:val="16"/>
                <w:szCs w:val="16"/>
              </w:rPr>
              <w:t>22.</w:t>
            </w:r>
            <w:r w:rsidR="002D7721">
              <w:rPr>
                <w:rFonts w:ascii="Arial" w:hAnsi="Arial" w:cs="Arial"/>
                <w:sz w:val="16"/>
                <w:szCs w:val="16"/>
              </w:rPr>
              <w:t>38</w:t>
            </w:r>
          </w:p>
        </w:tc>
        <w:tc>
          <w:tcPr>
            <w:tcW w:w="948" w:type="dxa"/>
            <w:vAlign w:val="center"/>
          </w:tcPr>
          <w:p w14:paraId="24205A1E" w14:textId="1EB63C5F" w:rsidR="00AF7B30" w:rsidRPr="000523D4" w:rsidRDefault="00AF7B30" w:rsidP="00EF3FAE">
            <w:pPr>
              <w:spacing w:line="300" w:lineRule="atLeast"/>
              <w:jc w:val="center"/>
              <w:rPr>
                <w:rFonts w:ascii="Arial" w:hAnsi="Arial" w:cs="Arial"/>
                <w:sz w:val="16"/>
                <w:szCs w:val="16"/>
              </w:rPr>
            </w:pPr>
            <w:r>
              <w:rPr>
                <w:rFonts w:ascii="Arial" w:hAnsi="Arial" w:cs="Arial"/>
                <w:sz w:val="16"/>
                <w:szCs w:val="16"/>
              </w:rPr>
              <w:t>8.9</w:t>
            </w:r>
            <w:r w:rsidR="0010545A">
              <w:rPr>
                <w:rFonts w:ascii="Arial" w:hAnsi="Arial" w:cs="Arial"/>
                <w:sz w:val="16"/>
                <w:szCs w:val="16"/>
              </w:rPr>
              <w:t>5</w:t>
            </w:r>
          </w:p>
        </w:tc>
      </w:tr>
    </w:tbl>
    <w:p w14:paraId="3A6134ED" w14:textId="77777777" w:rsidR="009D3B23" w:rsidRPr="000523D4" w:rsidRDefault="009D3B23" w:rsidP="009D3B23">
      <w:pPr>
        <w:tabs>
          <w:tab w:val="left" w:pos="2760"/>
        </w:tabs>
        <w:spacing w:before="120" w:line="300" w:lineRule="atLeast"/>
        <w:jc w:val="both"/>
        <w:rPr>
          <w:rFonts w:ascii="Arial" w:hAnsi="Arial" w:cs="Arial"/>
          <w:b/>
          <w:szCs w:val="18"/>
        </w:rPr>
      </w:pPr>
      <w:r w:rsidRPr="000523D4">
        <w:rPr>
          <w:rFonts w:ascii="Arial" w:hAnsi="Arial" w:cs="Arial"/>
          <w:b/>
          <w:szCs w:val="18"/>
        </w:rPr>
        <w:t>Certainty assessment</w:t>
      </w:r>
    </w:p>
    <w:p w14:paraId="3E383F2A" w14:textId="77777777" w:rsidR="009D3B23" w:rsidRPr="000523D4" w:rsidRDefault="009D3B23" w:rsidP="009D3B23">
      <w:pPr>
        <w:tabs>
          <w:tab w:val="left" w:pos="1701"/>
        </w:tabs>
        <w:spacing w:line="300" w:lineRule="atLeast"/>
        <w:jc w:val="both"/>
        <w:rPr>
          <w:szCs w:val="18"/>
        </w:rPr>
      </w:pPr>
      <w:r w:rsidRPr="000523D4">
        <w:rPr>
          <w:szCs w:val="18"/>
        </w:rPr>
        <w:t xml:space="preserve">Activity data: </w:t>
      </w:r>
      <w:r w:rsidRPr="000523D4">
        <w:rPr>
          <w:szCs w:val="18"/>
        </w:rPr>
        <w:tab/>
        <w:t xml:space="preserve">HIGH (because it is based on </w:t>
      </w:r>
      <w:r w:rsidR="00972D52" w:rsidRPr="000523D4">
        <w:rPr>
          <w:szCs w:val="18"/>
        </w:rPr>
        <w:t>supplier estimates</w:t>
      </w:r>
      <w:r w:rsidRPr="000523D4">
        <w:rPr>
          <w:szCs w:val="18"/>
        </w:rPr>
        <w:t>)</w:t>
      </w:r>
    </w:p>
    <w:p w14:paraId="0EDC0AA6" w14:textId="77777777" w:rsidR="009D3B23" w:rsidRPr="000523D4" w:rsidRDefault="009D3B23" w:rsidP="009D3B23">
      <w:pPr>
        <w:tabs>
          <w:tab w:val="left" w:pos="1701"/>
        </w:tabs>
        <w:spacing w:line="300" w:lineRule="atLeast"/>
        <w:jc w:val="both"/>
        <w:rPr>
          <w:szCs w:val="18"/>
        </w:rPr>
      </w:pPr>
      <w:r w:rsidRPr="000523D4">
        <w:rPr>
          <w:szCs w:val="18"/>
        </w:rPr>
        <w:t xml:space="preserve">Input estimates: </w:t>
      </w:r>
      <w:r w:rsidRPr="000523D4">
        <w:rPr>
          <w:szCs w:val="18"/>
        </w:rPr>
        <w:tab/>
        <w:t>LOW (because they are based on the Toolkit default factors)</w:t>
      </w:r>
    </w:p>
    <w:p w14:paraId="2A91345C" w14:textId="77777777" w:rsidR="009D3B23" w:rsidRPr="0028681C" w:rsidRDefault="009D3B23" w:rsidP="009D3B23">
      <w:pPr>
        <w:tabs>
          <w:tab w:val="left" w:pos="1701"/>
        </w:tabs>
        <w:spacing w:line="300" w:lineRule="atLeast"/>
        <w:jc w:val="both"/>
        <w:rPr>
          <w:szCs w:val="18"/>
        </w:rPr>
      </w:pPr>
      <w:r w:rsidRPr="000523D4">
        <w:rPr>
          <w:szCs w:val="18"/>
        </w:rPr>
        <w:t xml:space="preserve">Output estimates: </w:t>
      </w:r>
      <w:r w:rsidRPr="000523D4">
        <w:rPr>
          <w:szCs w:val="18"/>
        </w:rPr>
        <w:tab/>
        <w:t>LOW (because they are based on the Toolkit default factors).</w:t>
      </w:r>
    </w:p>
    <w:p w14:paraId="1F926DCA" w14:textId="77777777" w:rsidR="00DC5D8A" w:rsidRDefault="00DC5D8A" w:rsidP="00DC5D8A">
      <w:pPr>
        <w:pStyle w:val="Heading2"/>
      </w:pPr>
      <w:bookmarkStart w:id="120" w:name="_Toc484949603"/>
      <w:r>
        <w:t>Manometers and gauges</w:t>
      </w:r>
      <w:bookmarkEnd w:id="120"/>
    </w:p>
    <w:p w14:paraId="4F8A92FB" w14:textId="77777777" w:rsidR="00DC5D8A" w:rsidRDefault="00296CF3" w:rsidP="003833D6">
      <w:pPr>
        <w:spacing w:line="300" w:lineRule="atLeast"/>
        <w:jc w:val="both"/>
        <w:rPr>
          <w:szCs w:val="18"/>
        </w:rPr>
      </w:pPr>
      <w:r>
        <w:rPr>
          <w:szCs w:val="18"/>
        </w:rPr>
        <w:t xml:space="preserve">The most common uses of mercury in this sub-category are in blood pressure devices (sphygmomanometers) and in barometers. However, mercury may also be used </w:t>
      </w:r>
      <w:r w:rsidR="00552028">
        <w:rPr>
          <w:szCs w:val="18"/>
        </w:rPr>
        <w:t>for pressure (or vacuum) measurement</w:t>
      </w:r>
      <w:r w:rsidR="00BD0488">
        <w:rPr>
          <w:szCs w:val="18"/>
        </w:rPr>
        <w:t xml:space="preserve"> in a range of industrial and laboratory applications (</w:t>
      </w:r>
      <w:r w:rsidR="00C738EC">
        <w:rPr>
          <w:szCs w:val="18"/>
        </w:rPr>
        <w:t>UNEP, 2017</w:t>
      </w:r>
      <w:r w:rsidR="00BD0488">
        <w:rPr>
          <w:szCs w:val="18"/>
        </w:rPr>
        <w:t xml:space="preserve">). </w:t>
      </w:r>
    </w:p>
    <w:p w14:paraId="123594A8" w14:textId="2935E540" w:rsidR="001D0C09" w:rsidRDefault="004B5834" w:rsidP="003833D6">
      <w:pPr>
        <w:spacing w:line="300" w:lineRule="atLeast"/>
        <w:jc w:val="both"/>
        <w:rPr>
          <w:szCs w:val="18"/>
        </w:rPr>
      </w:pPr>
      <w:r w:rsidRPr="0010545A">
        <w:rPr>
          <w:szCs w:val="18"/>
        </w:rPr>
        <w:t>Fifteen New Zealand suppliers of medical equipment were contacted with regard to current stocks and annual sales of sphygmomanometers</w:t>
      </w:r>
      <w:r w:rsidR="0010545A">
        <w:rPr>
          <w:szCs w:val="18"/>
        </w:rPr>
        <w:t xml:space="preserve"> but only two</w:t>
      </w:r>
      <w:r w:rsidRPr="0010545A">
        <w:rPr>
          <w:szCs w:val="18"/>
        </w:rPr>
        <w:t xml:space="preserve"> of these </w:t>
      </w:r>
      <w:r w:rsidR="001D0C09" w:rsidRPr="0010545A">
        <w:rPr>
          <w:szCs w:val="18"/>
        </w:rPr>
        <w:t>reported</w:t>
      </w:r>
      <w:r w:rsidR="0010545A">
        <w:rPr>
          <w:szCs w:val="18"/>
        </w:rPr>
        <w:t xml:space="preserve"> any </w:t>
      </w:r>
      <w:r w:rsidRPr="0010545A">
        <w:rPr>
          <w:szCs w:val="18"/>
        </w:rPr>
        <w:t>sales</w:t>
      </w:r>
      <w:r w:rsidR="0010545A">
        <w:rPr>
          <w:szCs w:val="18"/>
        </w:rPr>
        <w:t>, with a total of 23 units sold in 2016. This is significantly up on the 3 units reported for 2012, but that information was only obtained from one supplier.  The Toolkit indicates that each sphygmomanometer contains 75 grams of mercury, on average.</w:t>
      </w:r>
    </w:p>
    <w:p w14:paraId="2C94B2F8" w14:textId="1D0CC2BA" w:rsidR="00DC5D8A" w:rsidRDefault="0010545A" w:rsidP="003833D6">
      <w:pPr>
        <w:spacing w:line="300" w:lineRule="atLeast"/>
        <w:jc w:val="both"/>
        <w:rPr>
          <w:szCs w:val="18"/>
        </w:rPr>
      </w:pPr>
      <w:r>
        <w:rPr>
          <w:szCs w:val="18"/>
        </w:rPr>
        <w:t xml:space="preserve">It was noted in the 2102 Inventory Report </w:t>
      </w:r>
      <w:r w:rsidR="00B31394">
        <w:rPr>
          <w:szCs w:val="18"/>
        </w:rPr>
        <w:t xml:space="preserve">that there was a general move towards phasing out </w:t>
      </w:r>
      <w:r>
        <w:rPr>
          <w:szCs w:val="18"/>
        </w:rPr>
        <w:t xml:space="preserve">the use of sphygmomanometers </w:t>
      </w:r>
      <w:r w:rsidR="00EA5196">
        <w:rPr>
          <w:szCs w:val="18"/>
        </w:rPr>
        <w:t>and a</w:t>
      </w:r>
      <w:r w:rsidR="006F4A36">
        <w:rPr>
          <w:szCs w:val="18"/>
        </w:rPr>
        <w:t xml:space="preserve"> similar situation w</w:t>
      </w:r>
      <w:r w:rsidR="00EA5196">
        <w:rPr>
          <w:szCs w:val="18"/>
        </w:rPr>
        <w:t>as noted for mercury barometers</w:t>
      </w:r>
      <w:r w:rsidR="006F4A36">
        <w:rPr>
          <w:szCs w:val="18"/>
        </w:rPr>
        <w:t>.</w:t>
      </w:r>
    </w:p>
    <w:p w14:paraId="5FA2A7F0" w14:textId="77777777" w:rsidR="006F4A36" w:rsidRPr="0010545A" w:rsidRDefault="006F4A36" w:rsidP="006F4A36">
      <w:pPr>
        <w:spacing w:line="300" w:lineRule="atLeast"/>
        <w:jc w:val="both"/>
        <w:rPr>
          <w:rFonts w:ascii="Arial" w:hAnsi="Arial" w:cs="Arial"/>
          <w:b/>
          <w:szCs w:val="18"/>
        </w:rPr>
      </w:pPr>
      <w:r w:rsidRPr="0010545A">
        <w:rPr>
          <w:rFonts w:ascii="Arial" w:hAnsi="Arial" w:cs="Arial"/>
          <w:b/>
          <w:szCs w:val="18"/>
        </w:rPr>
        <w:t>Input and output estimates</w:t>
      </w:r>
    </w:p>
    <w:p w14:paraId="7E1185D7" w14:textId="10307F55" w:rsidR="0086294C" w:rsidRDefault="00FA36F2" w:rsidP="003833D6">
      <w:pPr>
        <w:spacing w:line="300" w:lineRule="atLeast"/>
        <w:jc w:val="both"/>
        <w:rPr>
          <w:szCs w:val="18"/>
        </w:rPr>
      </w:pPr>
      <w:r w:rsidRPr="0010545A">
        <w:rPr>
          <w:szCs w:val="18"/>
        </w:rPr>
        <w:t xml:space="preserve">On the basis of the above, the annual mercury inputs for this sub-category will be taken as </w:t>
      </w:r>
      <w:r w:rsidR="00850A59">
        <w:rPr>
          <w:szCs w:val="18"/>
        </w:rPr>
        <w:t>1.73</w:t>
      </w:r>
      <w:r w:rsidR="00EA5196">
        <w:rPr>
          <w:szCs w:val="18"/>
        </w:rPr>
        <w:t xml:space="preserve"> </w:t>
      </w:r>
      <w:r w:rsidR="006210CF" w:rsidRPr="0010545A">
        <w:rPr>
          <w:szCs w:val="18"/>
        </w:rPr>
        <w:t>kg/year</w:t>
      </w:r>
      <w:r w:rsidR="006F4A36" w:rsidRPr="0010545A">
        <w:rPr>
          <w:szCs w:val="18"/>
        </w:rPr>
        <w:t>, with the same quantity estimated as an output in the Product category.</w:t>
      </w:r>
    </w:p>
    <w:p w14:paraId="01487947" w14:textId="77777777" w:rsidR="00DC5D8A" w:rsidRDefault="00DC5D8A" w:rsidP="00DC5D8A">
      <w:pPr>
        <w:pStyle w:val="Heading2"/>
      </w:pPr>
      <w:bookmarkStart w:id="121" w:name="_Toc484949604"/>
      <w:r>
        <w:t>Laboratory chemicals and equipment</w:t>
      </w:r>
      <w:bookmarkEnd w:id="121"/>
    </w:p>
    <w:p w14:paraId="5461491F" w14:textId="77777777" w:rsidR="006F4A36" w:rsidRDefault="001E4F9D" w:rsidP="003833D6">
      <w:pPr>
        <w:spacing w:line="300" w:lineRule="atLeast"/>
        <w:jc w:val="both"/>
        <w:rPr>
          <w:szCs w:val="18"/>
        </w:rPr>
      </w:pPr>
      <w:r w:rsidRPr="001E4F9D">
        <w:rPr>
          <w:szCs w:val="18"/>
        </w:rPr>
        <w:t>Mercury is used in laboratories in instruments, reagents, preservatives, and catalysts. Some of</w:t>
      </w:r>
      <w:r>
        <w:rPr>
          <w:szCs w:val="18"/>
        </w:rPr>
        <w:t xml:space="preserve"> </w:t>
      </w:r>
      <w:r w:rsidRPr="001E4F9D">
        <w:rPr>
          <w:szCs w:val="18"/>
        </w:rPr>
        <w:t>this mercury is released to air, primarily through lab vents. However, most of the mercury may be released</w:t>
      </w:r>
      <w:r>
        <w:rPr>
          <w:szCs w:val="18"/>
        </w:rPr>
        <w:t xml:space="preserve"> </w:t>
      </w:r>
      <w:r w:rsidRPr="001E4F9D">
        <w:rPr>
          <w:szCs w:val="18"/>
        </w:rPr>
        <w:t>in wastewater or disposed of as hazardous or municipal waste</w:t>
      </w:r>
      <w:r>
        <w:rPr>
          <w:szCs w:val="18"/>
        </w:rPr>
        <w:t xml:space="preserve">s (UNEP 2013). </w:t>
      </w:r>
    </w:p>
    <w:p w14:paraId="333F0A2C" w14:textId="77777777" w:rsidR="007A14E3" w:rsidRDefault="00140672" w:rsidP="003833D6">
      <w:pPr>
        <w:spacing w:line="300" w:lineRule="atLeast"/>
        <w:jc w:val="both"/>
        <w:rPr>
          <w:szCs w:val="18"/>
        </w:rPr>
      </w:pPr>
      <w:proofErr w:type="gramStart"/>
      <w:r>
        <w:rPr>
          <w:szCs w:val="18"/>
        </w:rPr>
        <w:lastRenderedPageBreak/>
        <w:t xml:space="preserve">The </w:t>
      </w:r>
      <w:r w:rsidR="006F4A36">
        <w:rPr>
          <w:szCs w:val="18"/>
        </w:rPr>
        <w:t xml:space="preserve">report on the 2012 Inventory included survey data for </w:t>
      </w:r>
      <w:r>
        <w:rPr>
          <w:szCs w:val="18"/>
        </w:rPr>
        <w:t>laboratory supply companies</w:t>
      </w:r>
      <w:r w:rsidR="006F4A36">
        <w:rPr>
          <w:szCs w:val="18"/>
        </w:rPr>
        <w:t xml:space="preserve"> and most of the major </w:t>
      </w:r>
      <w:r>
        <w:rPr>
          <w:szCs w:val="18"/>
        </w:rPr>
        <w:t>government and commercial</w:t>
      </w:r>
      <w:r w:rsidR="006F4A36">
        <w:rPr>
          <w:szCs w:val="18"/>
        </w:rPr>
        <w:t xml:space="preserve"> chemical </w:t>
      </w:r>
      <w:r>
        <w:rPr>
          <w:szCs w:val="18"/>
        </w:rPr>
        <w:t>laboratories</w:t>
      </w:r>
      <w:r w:rsidR="006F4A36">
        <w:rPr>
          <w:szCs w:val="18"/>
        </w:rPr>
        <w:t>.</w:t>
      </w:r>
      <w:proofErr w:type="gramEnd"/>
      <w:r w:rsidR="006F4A36">
        <w:rPr>
          <w:szCs w:val="18"/>
        </w:rPr>
        <w:t xml:space="preserve"> The results suggested </w:t>
      </w:r>
      <w:r>
        <w:rPr>
          <w:szCs w:val="18"/>
        </w:rPr>
        <w:t xml:space="preserve">total stock holdings of about </w:t>
      </w:r>
      <w:r w:rsidR="003A7C1D">
        <w:rPr>
          <w:szCs w:val="18"/>
        </w:rPr>
        <w:t>200</w:t>
      </w:r>
      <w:r w:rsidR="004C198A">
        <w:rPr>
          <w:szCs w:val="18"/>
        </w:rPr>
        <w:t xml:space="preserve"> kg of elemental mercury and 60 kg of mercury</w:t>
      </w:r>
      <w:r w:rsidR="00F223D3">
        <w:rPr>
          <w:szCs w:val="18"/>
        </w:rPr>
        <w:t>-containing</w:t>
      </w:r>
      <w:r w:rsidR="004C198A">
        <w:rPr>
          <w:szCs w:val="18"/>
        </w:rPr>
        <w:t xml:space="preserve"> chemicals, and annual inputs of about 3 kg/year.</w:t>
      </w:r>
      <w:r w:rsidR="007A14E3">
        <w:rPr>
          <w:szCs w:val="18"/>
        </w:rPr>
        <w:t xml:space="preserve">  </w:t>
      </w:r>
    </w:p>
    <w:p w14:paraId="14760C1C" w14:textId="03C7655A" w:rsidR="00DC5D8A" w:rsidRPr="00EA5196" w:rsidRDefault="007A14E3" w:rsidP="003833D6">
      <w:pPr>
        <w:spacing w:line="300" w:lineRule="atLeast"/>
        <w:jc w:val="both"/>
        <w:rPr>
          <w:szCs w:val="18"/>
        </w:rPr>
      </w:pPr>
      <w:r>
        <w:rPr>
          <w:szCs w:val="18"/>
        </w:rPr>
        <w:t>For the 2016 inventory the survey has been limited to current sales by laboratory supply companies</w:t>
      </w:r>
      <w:r w:rsidRPr="00EA5196">
        <w:rPr>
          <w:szCs w:val="18"/>
        </w:rPr>
        <w:t xml:space="preserve">. </w:t>
      </w:r>
      <w:r w:rsidR="00EA5196">
        <w:rPr>
          <w:szCs w:val="18"/>
        </w:rPr>
        <w:t>The three main laboratory supply companies were contacted for details of 2016 sales of mercury and mercury containing products.  A total of 0.5 kg elemental mercury and 5.78 kg of mercury containing compounds were sold in 2016. Specific details for the types of mercury containing compounds were not provided. Conservatively, these have been assumed to be mercuric chloride, which gives a total mercury contribution of 4.77 kg (including the 0.5 kg of elemental mercury).</w:t>
      </w:r>
    </w:p>
    <w:p w14:paraId="0FBB44A6" w14:textId="77777777" w:rsidR="00663F4E" w:rsidRPr="00EA5196" w:rsidRDefault="00663F4E" w:rsidP="00663F4E">
      <w:pPr>
        <w:spacing w:line="300" w:lineRule="atLeast"/>
        <w:jc w:val="both"/>
        <w:rPr>
          <w:rFonts w:ascii="Arial" w:hAnsi="Arial" w:cs="Arial"/>
          <w:b/>
          <w:szCs w:val="18"/>
        </w:rPr>
      </w:pPr>
      <w:r w:rsidRPr="00EA5196">
        <w:rPr>
          <w:rFonts w:ascii="Arial" w:hAnsi="Arial" w:cs="Arial"/>
          <w:b/>
          <w:szCs w:val="18"/>
        </w:rPr>
        <w:t>Input and output estimates</w:t>
      </w:r>
    </w:p>
    <w:p w14:paraId="1E4549CE" w14:textId="30F7B4B6" w:rsidR="00663F4E" w:rsidRPr="00EA5196" w:rsidRDefault="00663F4E" w:rsidP="00663F4E">
      <w:pPr>
        <w:spacing w:line="300" w:lineRule="atLeast"/>
        <w:jc w:val="both"/>
        <w:rPr>
          <w:szCs w:val="18"/>
        </w:rPr>
      </w:pPr>
      <w:r w:rsidRPr="00EA5196">
        <w:rPr>
          <w:szCs w:val="18"/>
        </w:rPr>
        <w:t xml:space="preserve">The annual </w:t>
      </w:r>
      <w:r w:rsidR="00EA5196">
        <w:rPr>
          <w:szCs w:val="18"/>
        </w:rPr>
        <w:t>sales</w:t>
      </w:r>
      <w:r w:rsidRPr="00EA5196">
        <w:rPr>
          <w:szCs w:val="18"/>
        </w:rPr>
        <w:t xml:space="preserve"> data for elemental mercury </w:t>
      </w:r>
      <w:r w:rsidR="0011340D" w:rsidRPr="00EA5196">
        <w:rPr>
          <w:szCs w:val="18"/>
        </w:rPr>
        <w:t>has been</w:t>
      </w:r>
      <w:r w:rsidRPr="00EA5196">
        <w:rPr>
          <w:szCs w:val="18"/>
        </w:rPr>
        <w:t xml:space="preserve"> taken as representing the total annual inputs for this sub-category. The Toolkit doesn’t provide any specific output factors and notes that this is highly dependent on the waste management practices of individual laboratories. The feedback received from some of the New Zealand labor</w:t>
      </w:r>
      <w:r w:rsidR="008A13B1" w:rsidRPr="00EA5196">
        <w:rPr>
          <w:szCs w:val="18"/>
        </w:rPr>
        <w:t>atories and u</w:t>
      </w:r>
      <w:r w:rsidRPr="00EA5196">
        <w:rPr>
          <w:szCs w:val="18"/>
        </w:rPr>
        <w:t xml:space="preserve">niversities </w:t>
      </w:r>
      <w:r w:rsidR="00EA5196">
        <w:rPr>
          <w:szCs w:val="18"/>
        </w:rPr>
        <w:t>in 2012 indicated</w:t>
      </w:r>
      <w:r w:rsidRPr="00EA5196">
        <w:rPr>
          <w:szCs w:val="18"/>
        </w:rPr>
        <w:t xml:space="preserve"> that </w:t>
      </w:r>
      <w:r w:rsidR="008A13B1" w:rsidRPr="00EA5196">
        <w:rPr>
          <w:szCs w:val="18"/>
        </w:rPr>
        <w:t>the bulk of the</w:t>
      </w:r>
      <w:r w:rsidRPr="00EA5196">
        <w:rPr>
          <w:szCs w:val="18"/>
        </w:rPr>
        <w:t xml:space="preserve"> wastes </w:t>
      </w:r>
      <w:r w:rsidR="008A13B1" w:rsidRPr="00EA5196">
        <w:rPr>
          <w:szCs w:val="18"/>
        </w:rPr>
        <w:t xml:space="preserve">are </w:t>
      </w:r>
      <w:r w:rsidRPr="00EA5196">
        <w:rPr>
          <w:szCs w:val="18"/>
        </w:rPr>
        <w:t>taken aw</w:t>
      </w:r>
      <w:r w:rsidR="00EA5196">
        <w:rPr>
          <w:szCs w:val="18"/>
        </w:rPr>
        <w:t>ay by waste contractors. On that</w:t>
      </w:r>
      <w:r w:rsidRPr="00EA5196">
        <w:rPr>
          <w:szCs w:val="18"/>
        </w:rPr>
        <w:t xml:space="preserve"> basis it </w:t>
      </w:r>
      <w:r w:rsidR="0011340D" w:rsidRPr="00EA5196">
        <w:rPr>
          <w:szCs w:val="18"/>
        </w:rPr>
        <w:t>has been</w:t>
      </w:r>
      <w:r w:rsidRPr="00EA5196">
        <w:rPr>
          <w:szCs w:val="18"/>
        </w:rPr>
        <w:t xml:space="preserve"> assumed</w:t>
      </w:r>
      <w:r w:rsidR="001103B6" w:rsidRPr="00EA5196">
        <w:rPr>
          <w:szCs w:val="18"/>
        </w:rPr>
        <w:t xml:space="preserve"> (through familiarity with laboratory practices)</w:t>
      </w:r>
      <w:r w:rsidRPr="00EA5196">
        <w:rPr>
          <w:szCs w:val="18"/>
        </w:rPr>
        <w:t xml:space="preserve"> that only 5% of the inputs are discharged to air and 10% to wastewater, with the remainder going to wastes. </w:t>
      </w:r>
    </w:p>
    <w:p w14:paraId="632D31D6" w14:textId="1A536DF5" w:rsidR="00C60985" w:rsidRDefault="008A13B1" w:rsidP="00D13C89">
      <w:pPr>
        <w:spacing w:line="300" w:lineRule="atLeast"/>
        <w:jc w:val="both"/>
        <w:rPr>
          <w:szCs w:val="18"/>
        </w:rPr>
      </w:pPr>
      <w:r w:rsidRPr="00EA5196">
        <w:rPr>
          <w:szCs w:val="18"/>
        </w:rPr>
        <w:t>The mercury input and output estimates for laboratory chemicals are shown in</w:t>
      </w:r>
      <w:r w:rsidR="00C61050" w:rsidRPr="00EA5196">
        <w:rPr>
          <w:szCs w:val="18"/>
        </w:rPr>
        <w:t xml:space="preserve"> </w:t>
      </w:r>
      <w:r w:rsidR="00006686" w:rsidRPr="00EA5196">
        <w:rPr>
          <w:szCs w:val="18"/>
        </w:rPr>
        <w:fldChar w:fldCharType="begin"/>
      </w:r>
      <w:r w:rsidR="00006686" w:rsidRPr="00EA5196">
        <w:rPr>
          <w:szCs w:val="18"/>
        </w:rPr>
        <w:instrText xml:space="preserve"> REF _Ref358782562 \h </w:instrText>
      </w:r>
      <w:r w:rsidR="0094605E" w:rsidRPr="00EA5196">
        <w:rPr>
          <w:szCs w:val="18"/>
        </w:rPr>
        <w:instrText xml:space="preserve"> \* MERGEFORMAT </w:instrText>
      </w:r>
      <w:r w:rsidR="00006686" w:rsidRPr="00EA5196">
        <w:rPr>
          <w:szCs w:val="18"/>
        </w:rPr>
      </w:r>
      <w:r w:rsidR="00006686" w:rsidRPr="00EA5196">
        <w:rPr>
          <w:szCs w:val="18"/>
        </w:rPr>
        <w:fldChar w:fldCharType="separate"/>
      </w:r>
      <w:r w:rsidR="00423FC9" w:rsidRPr="00423FC9">
        <w:t xml:space="preserve">Table </w:t>
      </w:r>
      <w:r w:rsidR="00423FC9" w:rsidRPr="00423FC9">
        <w:rPr>
          <w:noProof/>
        </w:rPr>
        <w:t>8</w:t>
      </w:r>
      <w:r w:rsidR="00423FC9" w:rsidRPr="00423FC9">
        <w:rPr>
          <w:noProof/>
        </w:rPr>
        <w:noBreakHyphen/>
        <w:t>3</w:t>
      </w:r>
      <w:r w:rsidR="00006686" w:rsidRPr="00EA5196">
        <w:rPr>
          <w:szCs w:val="18"/>
        </w:rPr>
        <w:fldChar w:fldCharType="end"/>
      </w:r>
      <w:bookmarkStart w:id="122" w:name="_Ref358734345"/>
      <w:r w:rsidR="00435C60" w:rsidRPr="00EA5196">
        <w:rPr>
          <w:szCs w:val="18"/>
        </w:rPr>
        <w:t>.</w:t>
      </w:r>
    </w:p>
    <w:p w14:paraId="57DDBBF4" w14:textId="77777777" w:rsidR="008A13B1" w:rsidRDefault="008A13B1" w:rsidP="00C61050">
      <w:pPr>
        <w:pStyle w:val="Caption"/>
        <w:spacing w:before="240"/>
        <w:rPr>
          <w:szCs w:val="18"/>
        </w:rPr>
      </w:pPr>
      <w:bookmarkStart w:id="123" w:name="_Ref358782562"/>
      <w:bookmarkStart w:id="124" w:name="_Toc484949666"/>
      <w:r w:rsidRPr="00C61050">
        <w:rPr>
          <w:rFonts w:ascii="Arial" w:hAnsi="Arial" w:cs="Arial"/>
        </w:rPr>
        <w:t xml:space="preserve">Table </w:t>
      </w:r>
      <w:r w:rsidR="00390C9F">
        <w:rPr>
          <w:rFonts w:ascii="Arial" w:hAnsi="Arial" w:cs="Arial"/>
        </w:rPr>
        <w:fldChar w:fldCharType="begin"/>
      </w:r>
      <w:r w:rsidR="00390C9F">
        <w:rPr>
          <w:rFonts w:ascii="Arial" w:hAnsi="Arial" w:cs="Arial"/>
        </w:rPr>
        <w:instrText xml:space="preserve"> STYLEREF 1 \s </w:instrText>
      </w:r>
      <w:r w:rsidR="00390C9F">
        <w:rPr>
          <w:rFonts w:ascii="Arial" w:hAnsi="Arial" w:cs="Arial"/>
        </w:rPr>
        <w:fldChar w:fldCharType="separate"/>
      </w:r>
      <w:r w:rsidR="00423FC9">
        <w:rPr>
          <w:rFonts w:ascii="Arial" w:hAnsi="Arial" w:cs="Arial"/>
          <w:noProof/>
        </w:rPr>
        <w:t>8</w:t>
      </w:r>
      <w:r w:rsidR="00390C9F">
        <w:rPr>
          <w:rFonts w:ascii="Arial" w:hAnsi="Arial" w:cs="Arial"/>
        </w:rPr>
        <w:fldChar w:fldCharType="end"/>
      </w:r>
      <w:r w:rsidR="00390C9F">
        <w:rPr>
          <w:rFonts w:ascii="Arial" w:hAnsi="Arial" w:cs="Arial"/>
        </w:rPr>
        <w:noBreakHyphen/>
      </w:r>
      <w:r w:rsidR="00390C9F">
        <w:rPr>
          <w:rFonts w:ascii="Arial" w:hAnsi="Arial" w:cs="Arial"/>
        </w:rPr>
        <w:fldChar w:fldCharType="begin"/>
      </w:r>
      <w:r w:rsidR="00390C9F">
        <w:rPr>
          <w:rFonts w:ascii="Arial" w:hAnsi="Arial" w:cs="Arial"/>
        </w:rPr>
        <w:instrText xml:space="preserve"> SEQ Table \* ARABIC \s 1 </w:instrText>
      </w:r>
      <w:r w:rsidR="00390C9F">
        <w:rPr>
          <w:rFonts w:ascii="Arial" w:hAnsi="Arial" w:cs="Arial"/>
        </w:rPr>
        <w:fldChar w:fldCharType="separate"/>
      </w:r>
      <w:r w:rsidR="00423FC9">
        <w:rPr>
          <w:rFonts w:ascii="Arial" w:hAnsi="Arial" w:cs="Arial"/>
          <w:noProof/>
        </w:rPr>
        <w:t>3</w:t>
      </w:r>
      <w:r w:rsidR="00390C9F">
        <w:rPr>
          <w:rFonts w:ascii="Arial" w:hAnsi="Arial" w:cs="Arial"/>
        </w:rPr>
        <w:fldChar w:fldCharType="end"/>
      </w:r>
      <w:bookmarkEnd w:id="122"/>
      <w:bookmarkEnd w:id="123"/>
      <w:r w:rsidRPr="00C61050">
        <w:rPr>
          <w:rFonts w:ascii="Arial" w:hAnsi="Arial" w:cs="Arial"/>
        </w:rPr>
        <w:t>:</w:t>
      </w:r>
      <w:r>
        <w:t xml:space="preserve">  </w:t>
      </w:r>
      <w:r w:rsidRPr="00284760">
        <w:rPr>
          <w:rFonts w:ascii="Arial" w:hAnsi="Arial" w:cs="Arial"/>
        </w:rPr>
        <w:t>Input and output estimates for</w:t>
      </w:r>
      <w:r>
        <w:rPr>
          <w:rFonts w:ascii="Arial" w:hAnsi="Arial" w:cs="Arial"/>
        </w:rPr>
        <w:t xml:space="preserve"> laboratory chemicals</w:t>
      </w:r>
      <w:bookmarkEnd w:id="124"/>
    </w:p>
    <w:tbl>
      <w:tblPr>
        <w:tblStyle w:val="TableGrid"/>
        <w:tblW w:w="9171" w:type="dxa"/>
        <w:tblLook w:val="04A0" w:firstRow="1" w:lastRow="0" w:firstColumn="1" w:lastColumn="0" w:noHBand="0" w:noVBand="1"/>
      </w:tblPr>
      <w:tblGrid>
        <w:gridCol w:w="1989"/>
        <w:gridCol w:w="2052"/>
        <w:gridCol w:w="1710"/>
        <w:gridCol w:w="1710"/>
        <w:gridCol w:w="1710"/>
      </w:tblGrid>
      <w:tr w:rsidR="009D30FE" w14:paraId="11078EB1" w14:textId="77777777" w:rsidTr="009D30FE">
        <w:trPr>
          <w:trHeight w:val="776"/>
        </w:trPr>
        <w:tc>
          <w:tcPr>
            <w:tcW w:w="1989" w:type="dxa"/>
            <w:vMerge w:val="restart"/>
            <w:vAlign w:val="center"/>
          </w:tcPr>
          <w:p w14:paraId="708057FA" w14:textId="77777777" w:rsidR="009D30FE" w:rsidRPr="00F31685" w:rsidRDefault="009D30FE" w:rsidP="008F7FA4">
            <w:pPr>
              <w:spacing w:line="300" w:lineRule="atLeast"/>
              <w:jc w:val="center"/>
              <w:rPr>
                <w:rFonts w:ascii="Arial" w:hAnsi="Arial" w:cs="Arial"/>
                <w:b/>
                <w:sz w:val="16"/>
                <w:szCs w:val="16"/>
              </w:rPr>
            </w:pPr>
            <w:r w:rsidRPr="00F31685">
              <w:rPr>
                <w:rFonts w:ascii="Arial" w:hAnsi="Arial" w:cs="Arial"/>
                <w:b/>
                <w:sz w:val="16"/>
                <w:szCs w:val="16"/>
              </w:rPr>
              <w:t>Source</w:t>
            </w:r>
          </w:p>
        </w:tc>
        <w:tc>
          <w:tcPr>
            <w:tcW w:w="2052" w:type="dxa"/>
            <w:vMerge w:val="restart"/>
            <w:vAlign w:val="center"/>
          </w:tcPr>
          <w:p w14:paraId="06BC17F2" w14:textId="77777777" w:rsidR="009D30FE" w:rsidRPr="00F31685" w:rsidRDefault="009D30FE" w:rsidP="008F7FA4">
            <w:pPr>
              <w:spacing w:line="300" w:lineRule="atLeast"/>
              <w:jc w:val="center"/>
              <w:rPr>
                <w:rFonts w:ascii="Arial" w:hAnsi="Arial" w:cs="Arial"/>
                <w:b/>
                <w:sz w:val="16"/>
                <w:szCs w:val="16"/>
              </w:rPr>
            </w:pPr>
            <w:r w:rsidRPr="00F31685">
              <w:rPr>
                <w:rFonts w:ascii="Arial" w:hAnsi="Arial" w:cs="Arial"/>
                <w:b/>
                <w:sz w:val="16"/>
                <w:szCs w:val="16"/>
              </w:rPr>
              <w:t>Annual Mercury Inputs, kg/</w:t>
            </w:r>
            <w:proofErr w:type="spellStart"/>
            <w:r w:rsidRPr="00F31685">
              <w:rPr>
                <w:rFonts w:ascii="Arial" w:hAnsi="Arial" w:cs="Arial"/>
                <w:b/>
                <w:sz w:val="16"/>
                <w:szCs w:val="16"/>
              </w:rPr>
              <w:t>yr</w:t>
            </w:r>
            <w:proofErr w:type="spellEnd"/>
          </w:p>
        </w:tc>
        <w:tc>
          <w:tcPr>
            <w:tcW w:w="5130" w:type="dxa"/>
            <w:gridSpan w:val="3"/>
            <w:vAlign w:val="center"/>
          </w:tcPr>
          <w:p w14:paraId="78EF57C8" w14:textId="77777777" w:rsidR="009D30FE" w:rsidRPr="00F31685" w:rsidRDefault="009D30FE" w:rsidP="00BC3100">
            <w:pPr>
              <w:spacing w:line="300" w:lineRule="atLeast"/>
              <w:jc w:val="center"/>
              <w:rPr>
                <w:rFonts w:ascii="Arial" w:hAnsi="Arial" w:cs="Arial"/>
                <w:b/>
                <w:sz w:val="16"/>
                <w:szCs w:val="16"/>
              </w:rPr>
            </w:pPr>
            <w:r w:rsidRPr="009B0A69">
              <w:rPr>
                <w:rFonts w:ascii="Arial" w:hAnsi="Arial" w:cs="Arial"/>
                <w:b/>
                <w:sz w:val="16"/>
                <w:szCs w:val="16"/>
              </w:rPr>
              <w:t>Annual Mercury Outputs, kg/</w:t>
            </w:r>
            <w:proofErr w:type="spellStart"/>
            <w:r w:rsidRPr="009B0A69">
              <w:rPr>
                <w:rFonts w:ascii="Arial" w:hAnsi="Arial" w:cs="Arial"/>
                <w:b/>
                <w:sz w:val="16"/>
                <w:szCs w:val="16"/>
              </w:rPr>
              <w:t>yr</w:t>
            </w:r>
            <w:proofErr w:type="spellEnd"/>
          </w:p>
        </w:tc>
      </w:tr>
      <w:tr w:rsidR="009D30FE" w14:paraId="0333F3E4" w14:textId="77777777" w:rsidTr="009D30FE">
        <w:tc>
          <w:tcPr>
            <w:tcW w:w="1989" w:type="dxa"/>
            <w:vMerge/>
            <w:vAlign w:val="center"/>
          </w:tcPr>
          <w:p w14:paraId="69F9D9AA" w14:textId="77777777" w:rsidR="009D30FE" w:rsidRPr="00F31685" w:rsidRDefault="009D30FE" w:rsidP="008F7FA4">
            <w:pPr>
              <w:spacing w:line="300" w:lineRule="atLeast"/>
              <w:jc w:val="center"/>
              <w:rPr>
                <w:rFonts w:ascii="Arial" w:hAnsi="Arial" w:cs="Arial"/>
                <w:b/>
                <w:sz w:val="16"/>
                <w:szCs w:val="16"/>
              </w:rPr>
            </w:pPr>
          </w:p>
        </w:tc>
        <w:tc>
          <w:tcPr>
            <w:tcW w:w="2052" w:type="dxa"/>
            <w:vMerge/>
            <w:vAlign w:val="center"/>
          </w:tcPr>
          <w:p w14:paraId="312045E5" w14:textId="77777777" w:rsidR="009D30FE" w:rsidRPr="00F31685" w:rsidRDefault="009D30FE" w:rsidP="008F7FA4">
            <w:pPr>
              <w:spacing w:line="300" w:lineRule="atLeast"/>
              <w:jc w:val="center"/>
              <w:rPr>
                <w:rFonts w:ascii="Arial" w:hAnsi="Arial" w:cs="Arial"/>
                <w:b/>
                <w:sz w:val="16"/>
                <w:szCs w:val="16"/>
              </w:rPr>
            </w:pPr>
          </w:p>
        </w:tc>
        <w:tc>
          <w:tcPr>
            <w:tcW w:w="1710" w:type="dxa"/>
            <w:vAlign w:val="center"/>
          </w:tcPr>
          <w:p w14:paraId="3E2634B0" w14:textId="77777777" w:rsidR="009D30FE" w:rsidRPr="00F31685" w:rsidRDefault="009D30FE" w:rsidP="008F7FA4">
            <w:pPr>
              <w:spacing w:line="300" w:lineRule="atLeast"/>
              <w:jc w:val="center"/>
              <w:rPr>
                <w:rFonts w:ascii="Arial" w:hAnsi="Arial" w:cs="Arial"/>
                <w:b/>
                <w:sz w:val="16"/>
                <w:szCs w:val="16"/>
              </w:rPr>
            </w:pPr>
            <w:r w:rsidRPr="00F31685">
              <w:rPr>
                <w:rFonts w:ascii="Arial" w:hAnsi="Arial" w:cs="Arial"/>
                <w:b/>
                <w:sz w:val="16"/>
                <w:szCs w:val="16"/>
              </w:rPr>
              <w:t>Air</w:t>
            </w:r>
          </w:p>
        </w:tc>
        <w:tc>
          <w:tcPr>
            <w:tcW w:w="1710" w:type="dxa"/>
            <w:vAlign w:val="center"/>
          </w:tcPr>
          <w:p w14:paraId="5AC01D40" w14:textId="77777777" w:rsidR="009D30FE" w:rsidRPr="00F31685" w:rsidRDefault="009D30FE" w:rsidP="008F7FA4">
            <w:pPr>
              <w:spacing w:line="300" w:lineRule="atLeast"/>
              <w:jc w:val="center"/>
              <w:rPr>
                <w:rFonts w:ascii="Arial" w:hAnsi="Arial" w:cs="Arial"/>
                <w:b/>
                <w:sz w:val="16"/>
                <w:szCs w:val="16"/>
              </w:rPr>
            </w:pPr>
            <w:r>
              <w:rPr>
                <w:rFonts w:ascii="Arial" w:hAnsi="Arial" w:cs="Arial"/>
                <w:b/>
                <w:sz w:val="16"/>
                <w:szCs w:val="16"/>
              </w:rPr>
              <w:t>Water</w:t>
            </w:r>
          </w:p>
        </w:tc>
        <w:tc>
          <w:tcPr>
            <w:tcW w:w="1710" w:type="dxa"/>
            <w:vAlign w:val="center"/>
          </w:tcPr>
          <w:p w14:paraId="172F0DDF" w14:textId="77777777" w:rsidR="009D30FE" w:rsidRDefault="009D30FE" w:rsidP="008F7FA4">
            <w:pPr>
              <w:spacing w:line="300" w:lineRule="atLeast"/>
              <w:jc w:val="center"/>
              <w:rPr>
                <w:rFonts w:ascii="Arial" w:hAnsi="Arial" w:cs="Arial"/>
                <w:b/>
                <w:sz w:val="16"/>
                <w:szCs w:val="16"/>
              </w:rPr>
            </w:pPr>
            <w:r>
              <w:rPr>
                <w:rFonts w:ascii="Arial" w:hAnsi="Arial" w:cs="Arial"/>
                <w:b/>
                <w:sz w:val="16"/>
                <w:szCs w:val="16"/>
              </w:rPr>
              <w:t>Waste</w:t>
            </w:r>
          </w:p>
        </w:tc>
      </w:tr>
      <w:tr w:rsidR="009D30FE" w14:paraId="5A729C71" w14:textId="77777777" w:rsidTr="009D30FE">
        <w:tc>
          <w:tcPr>
            <w:tcW w:w="1989" w:type="dxa"/>
          </w:tcPr>
          <w:p w14:paraId="7B201710" w14:textId="77777777" w:rsidR="009D30FE" w:rsidRPr="00F31685" w:rsidRDefault="009D30FE" w:rsidP="007A14E3">
            <w:pPr>
              <w:spacing w:line="300" w:lineRule="atLeast"/>
              <w:jc w:val="both"/>
              <w:rPr>
                <w:rFonts w:ascii="Arial" w:hAnsi="Arial" w:cs="Arial"/>
                <w:sz w:val="16"/>
                <w:szCs w:val="16"/>
              </w:rPr>
            </w:pPr>
            <w:r>
              <w:rPr>
                <w:rFonts w:ascii="Arial" w:hAnsi="Arial" w:cs="Arial"/>
                <w:sz w:val="16"/>
                <w:szCs w:val="16"/>
              </w:rPr>
              <w:t>Annual sales, 2012</w:t>
            </w:r>
          </w:p>
        </w:tc>
        <w:tc>
          <w:tcPr>
            <w:tcW w:w="2052" w:type="dxa"/>
            <w:vAlign w:val="center"/>
          </w:tcPr>
          <w:p w14:paraId="1921CB96" w14:textId="77777777" w:rsidR="009D30FE" w:rsidRDefault="009D30FE" w:rsidP="008F7FA4">
            <w:pPr>
              <w:spacing w:line="300" w:lineRule="atLeast"/>
              <w:jc w:val="center"/>
              <w:rPr>
                <w:rFonts w:ascii="Arial" w:hAnsi="Arial" w:cs="Arial"/>
                <w:sz w:val="16"/>
                <w:szCs w:val="16"/>
              </w:rPr>
            </w:pPr>
            <w:r>
              <w:rPr>
                <w:rFonts w:ascii="Arial" w:hAnsi="Arial" w:cs="Arial"/>
                <w:sz w:val="16"/>
                <w:szCs w:val="16"/>
              </w:rPr>
              <w:t>55</w:t>
            </w:r>
          </w:p>
        </w:tc>
        <w:tc>
          <w:tcPr>
            <w:tcW w:w="1710" w:type="dxa"/>
            <w:vAlign w:val="center"/>
          </w:tcPr>
          <w:p w14:paraId="408BECF8" w14:textId="77777777" w:rsidR="009D30FE" w:rsidRDefault="009D30FE" w:rsidP="008F7FA4">
            <w:pPr>
              <w:spacing w:line="300" w:lineRule="atLeast"/>
              <w:jc w:val="center"/>
              <w:rPr>
                <w:rFonts w:ascii="Arial" w:hAnsi="Arial" w:cs="Arial"/>
                <w:sz w:val="16"/>
                <w:szCs w:val="16"/>
              </w:rPr>
            </w:pPr>
            <w:r>
              <w:rPr>
                <w:rFonts w:ascii="Arial" w:hAnsi="Arial" w:cs="Arial"/>
                <w:sz w:val="16"/>
                <w:szCs w:val="16"/>
              </w:rPr>
              <w:t>2.75</w:t>
            </w:r>
          </w:p>
        </w:tc>
        <w:tc>
          <w:tcPr>
            <w:tcW w:w="1710" w:type="dxa"/>
          </w:tcPr>
          <w:p w14:paraId="530EB7C4" w14:textId="77777777" w:rsidR="009D30FE" w:rsidRDefault="009D30FE" w:rsidP="008F7FA4">
            <w:pPr>
              <w:spacing w:line="300" w:lineRule="atLeast"/>
              <w:jc w:val="center"/>
              <w:rPr>
                <w:rFonts w:ascii="Arial" w:hAnsi="Arial" w:cs="Arial"/>
                <w:sz w:val="16"/>
                <w:szCs w:val="16"/>
              </w:rPr>
            </w:pPr>
            <w:r>
              <w:rPr>
                <w:rFonts w:ascii="Arial" w:hAnsi="Arial" w:cs="Arial"/>
                <w:sz w:val="16"/>
                <w:szCs w:val="16"/>
              </w:rPr>
              <w:t>5.5</w:t>
            </w:r>
          </w:p>
        </w:tc>
        <w:tc>
          <w:tcPr>
            <w:tcW w:w="1710" w:type="dxa"/>
            <w:vAlign w:val="center"/>
          </w:tcPr>
          <w:p w14:paraId="76ACB397" w14:textId="77777777" w:rsidR="009D30FE" w:rsidRDefault="009D30FE" w:rsidP="008F7FA4">
            <w:pPr>
              <w:spacing w:line="300" w:lineRule="atLeast"/>
              <w:jc w:val="center"/>
              <w:rPr>
                <w:rFonts w:ascii="Arial" w:hAnsi="Arial" w:cs="Arial"/>
                <w:sz w:val="16"/>
                <w:szCs w:val="16"/>
              </w:rPr>
            </w:pPr>
            <w:r>
              <w:rPr>
                <w:rFonts w:ascii="Arial" w:hAnsi="Arial" w:cs="Arial"/>
                <w:sz w:val="16"/>
                <w:szCs w:val="16"/>
              </w:rPr>
              <w:t>46.75</w:t>
            </w:r>
          </w:p>
        </w:tc>
      </w:tr>
      <w:tr w:rsidR="009D30FE" w14:paraId="6E64EA2C" w14:textId="77777777" w:rsidTr="009D30FE">
        <w:tc>
          <w:tcPr>
            <w:tcW w:w="1989" w:type="dxa"/>
          </w:tcPr>
          <w:p w14:paraId="79E88D2A" w14:textId="0B7A22C8" w:rsidR="009D30FE" w:rsidRDefault="009D30FE" w:rsidP="007A14E3">
            <w:pPr>
              <w:spacing w:line="300" w:lineRule="atLeast"/>
              <w:jc w:val="both"/>
              <w:rPr>
                <w:rFonts w:ascii="Arial" w:hAnsi="Arial" w:cs="Arial"/>
                <w:sz w:val="16"/>
                <w:szCs w:val="16"/>
              </w:rPr>
            </w:pPr>
            <w:r w:rsidRPr="00EA5196">
              <w:rPr>
                <w:rFonts w:ascii="Arial" w:hAnsi="Arial" w:cs="Arial"/>
                <w:sz w:val="16"/>
                <w:szCs w:val="16"/>
              </w:rPr>
              <w:t>Annual sales, 201</w:t>
            </w:r>
            <w:r w:rsidR="00EA5196">
              <w:rPr>
                <w:rFonts w:ascii="Arial" w:hAnsi="Arial" w:cs="Arial"/>
                <w:sz w:val="16"/>
                <w:szCs w:val="16"/>
              </w:rPr>
              <w:t>2</w:t>
            </w:r>
          </w:p>
        </w:tc>
        <w:tc>
          <w:tcPr>
            <w:tcW w:w="2052" w:type="dxa"/>
            <w:vAlign w:val="center"/>
          </w:tcPr>
          <w:p w14:paraId="697C7699" w14:textId="67951BDC" w:rsidR="009D30FE" w:rsidRDefault="00EA5196" w:rsidP="008F7FA4">
            <w:pPr>
              <w:spacing w:line="300" w:lineRule="atLeast"/>
              <w:jc w:val="center"/>
              <w:rPr>
                <w:rFonts w:ascii="Arial" w:hAnsi="Arial" w:cs="Arial"/>
                <w:sz w:val="16"/>
                <w:szCs w:val="16"/>
              </w:rPr>
            </w:pPr>
            <w:r>
              <w:rPr>
                <w:rFonts w:ascii="Arial" w:hAnsi="Arial" w:cs="Arial"/>
                <w:sz w:val="16"/>
                <w:szCs w:val="16"/>
              </w:rPr>
              <w:t>4.77</w:t>
            </w:r>
          </w:p>
        </w:tc>
        <w:tc>
          <w:tcPr>
            <w:tcW w:w="1710" w:type="dxa"/>
            <w:vAlign w:val="center"/>
          </w:tcPr>
          <w:p w14:paraId="66DEAC9D" w14:textId="252BE0BB" w:rsidR="009D30FE" w:rsidRDefault="00EA5196" w:rsidP="008F7FA4">
            <w:pPr>
              <w:spacing w:line="300" w:lineRule="atLeast"/>
              <w:jc w:val="center"/>
              <w:rPr>
                <w:rFonts w:ascii="Arial" w:hAnsi="Arial" w:cs="Arial"/>
                <w:sz w:val="16"/>
                <w:szCs w:val="16"/>
              </w:rPr>
            </w:pPr>
            <w:r>
              <w:rPr>
                <w:rFonts w:ascii="Arial" w:hAnsi="Arial" w:cs="Arial"/>
                <w:sz w:val="16"/>
                <w:szCs w:val="16"/>
              </w:rPr>
              <w:t>0.24</w:t>
            </w:r>
          </w:p>
        </w:tc>
        <w:tc>
          <w:tcPr>
            <w:tcW w:w="1710" w:type="dxa"/>
          </w:tcPr>
          <w:p w14:paraId="0790E57F" w14:textId="6629FAD5" w:rsidR="009D30FE" w:rsidRDefault="00EA5196" w:rsidP="008F7FA4">
            <w:pPr>
              <w:spacing w:line="300" w:lineRule="atLeast"/>
              <w:jc w:val="center"/>
              <w:rPr>
                <w:rFonts w:ascii="Arial" w:hAnsi="Arial" w:cs="Arial"/>
                <w:sz w:val="16"/>
                <w:szCs w:val="16"/>
              </w:rPr>
            </w:pPr>
            <w:r>
              <w:rPr>
                <w:rFonts w:ascii="Arial" w:hAnsi="Arial" w:cs="Arial"/>
                <w:sz w:val="16"/>
                <w:szCs w:val="16"/>
              </w:rPr>
              <w:t>0.48</w:t>
            </w:r>
          </w:p>
        </w:tc>
        <w:tc>
          <w:tcPr>
            <w:tcW w:w="1710" w:type="dxa"/>
            <w:vAlign w:val="center"/>
          </w:tcPr>
          <w:p w14:paraId="5CC0E02C" w14:textId="73889AF6" w:rsidR="009D30FE" w:rsidRDefault="00EA5196" w:rsidP="008F7FA4">
            <w:pPr>
              <w:spacing w:line="300" w:lineRule="atLeast"/>
              <w:jc w:val="center"/>
              <w:rPr>
                <w:rFonts w:ascii="Arial" w:hAnsi="Arial" w:cs="Arial"/>
                <w:sz w:val="16"/>
                <w:szCs w:val="16"/>
              </w:rPr>
            </w:pPr>
            <w:r>
              <w:rPr>
                <w:rFonts w:ascii="Arial" w:hAnsi="Arial" w:cs="Arial"/>
                <w:sz w:val="16"/>
                <w:szCs w:val="16"/>
              </w:rPr>
              <w:t>4.05</w:t>
            </w:r>
          </w:p>
        </w:tc>
      </w:tr>
    </w:tbl>
    <w:p w14:paraId="3078934B" w14:textId="77777777" w:rsidR="008A13B1" w:rsidRPr="00BE17CF" w:rsidRDefault="008A13B1" w:rsidP="008A13B1">
      <w:pPr>
        <w:tabs>
          <w:tab w:val="left" w:pos="2760"/>
        </w:tabs>
        <w:spacing w:before="120" w:line="300" w:lineRule="atLeast"/>
        <w:jc w:val="both"/>
        <w:rPr>
          <w:rFonts w:ascii="Arial" w:hAnsi="Arial" w:cs="Arial"/>
          <w:b/>
          <w:szCs w:val="18"/>
        </w:rPr>
      </w:pPr>
      <w:r w:rsidRPr="00BE17CF">
        <w:rPr>
          <w:rFonts w:ascii="Arial" w:hAnsi="Arial" w:cs="Arial"/>
          <w:b/>
          <w:szCs w:val="18"/>
        </w:rPr>
        <w:t>Certainty assessment</w:t>
      </w:r>
    </w:p>
    <w:p w14:paraId="1CB78116" w14:textId="77777777" w:rsidR="008A13B1" w:rsidRDefault="008A13B1" w:rsidP="008A13B1">
      <w:pPr>
        <w:tabs>
          <w:tab w:val="left" w:pos="1701"/>
        </w:tabs>
        <w:spacing w:line="300" w:lineRule="atLeast"/>
        <w:jc w:val="both"/>
        <w:rPr>
          <w:szCs w:val="18"/>
        </w:rPr>
      </w:pPr>
      <w:r>
        <w:rPr>
          <w:szCs w:val="18"/>
        </w:rPr>
        <w:t xml:space="preserve">Activity data: </w:t>
      </w:r>
      <w:r>
        <w:rPr>
          <w:szCs w:val="18"/>
        </w:rPr>
        <w:tab/>
        <w:t>not relevant</w:t>
      </w:r>
    </w:p>
    <w:p w14:paraId="46DFDE7E" w14:textId="77777777" w:rsidR="008A13B1" w:rsidRDefault="008A13B1" w:rsidP="008A13B1">
      <w:pPr>
        <w:tabs>
          <w:tab w:val="left" w:pos="1701"/>
        </w:tabs>
        <w:spacing w:line="300" w:lineRule="atLeast"/>
        <w:jc w:val="both"/>
        <w:rPr>
          <w:szCs w:val="18"/>
        </w:rPr>
      </w:pPr>
      <w:r>
        <w:rPr>
          <w:szCs w:val="18"/>
        </w:rPr>
        <w:t xml:space="preserve">Input estimates: </w:t>
      </w:r>
      <w:r>
        <w:rPr>
          <w:szCs w:val="18"/>
        </w:rPr>
        <w:tab/>
        <w:t>MEDIUM (</w:t>
      </w:r>
      <w:r w:rsidRPr="00944DCC">
        <w:rPr>
          <w:szCs w:val="18"/>
        </w:rPr>
        <w:t xml:space="preserve">because </w:t>
      </w:r>
      <w:r>
        <w:rPr>
          <w:szCs w:val="18"/>
        </w:rPr>
        <w:t>they are</w:t>
      </w:r>
      <w:r w:rsidRPr="00944DCC">
        <w:rPr>
          <w:szCs w:val="18"/>
        </w:rPr>
        <w:t xml:space="preserve"> based on </w:t>
      </w:r>
      <w:r>
        <w:rPr>
          <w:szCs w:val="18"/>
        </w:rPr>
        <w:t>the import statistics and partial survey responses)</w:t>
      </w:r>
    </w:p>
    <w:p w14:paraId="156755C7" w14:textId="77777777" w:rsidR="008A13B1" w:rsidRPr="0028681C" w:rsidRDefault="008A13B1" w:rsidP="008A13B1">
      <w:pPr>
        <w:tabs>
          <w:tab w:val="left" w:pos="1701"/>
        </w:tabs>
        <w:spacing w:line="300" w:lineRule="atLeast"/>
        <w:jc w:val="both"/>
        <w:rPr>
          <w:szCs w:val="18"/>
        </w:rPr>
      </w:pPr>
      <w:r>
        <w:rPr>
          <w:szCs w:val="18"/>
        </w:rPr>
        <w:t xml:space="preserve">Output estimates: </w:t>
      </w:r>
      <w:r>
        <w:rPr>
          <w:szCs w:val="18"/>
        </w:rPr>
        <w:tab/>
        <w:t>LOW (</w:t>
      </w:r>
      <w:r w:rsidRPr="00944DCC">
        <w:rPr>
          <w:szCs w:val="18"/>
        </w:rPr>
        <w:t xml:space="preserve">because </w:t>
      </w:r>
      <w:r w:rsidRPr="00B871DA">
        <w:rPr>
          <w:szCs w:val="18"/>
        </w:rPr>
        <w:t xml:space="preserve">they are based on the </w:t>
      </w:r>
      <w:r>
        <w:rPr>
          <w:szCs w:val="18"/>
        </w:rPr>
        <w:t>assumed output</w:t>
      </w:r>
      <w:r w:rsidRPr="00B871DA">
        <w:rPr>
          <w:szCs w:val="18"/>
        </w:rPr>
        <w:t xml:space="preserve"> factors</w:t>
      </w:r>
      <w:r>
        <w:rPr>
          <w:szCs w:val="18"/>
        </w:rPr>
        <w:t>).</w:t>
      </w:r>
    </w:p>
    <w:p w14:paraId="38526A24" w14:textId="77777777" w:rsidR="00DC5D8A" w:rsidRDefault="00DC5D8A" w:rsidP="00DC5D8A">
      <w:pPr>
        <w:pStyle w:val="Heading2"/>
      </w:pPr>
      <w:bookmarkStart w:id="125" w:name="_Toc484949605"/>
      <w:r>
        <w:t>Mercury use in religious rituals and folklore medicine</w:t>
      </w:r>
      <w:bookmarkEnd w:id="125"/>
    </w:p>
    <w:p w14:paraId="4CBEBF6B" w14:textId="77777777" w:rsidR="00DC5D8A" w:rsidRDefault="00064FAB" w:rsidP="003833D6">
      <w:pPr>
        <w:spacing w:line="300" w:lineRule="atLeast"/>
        <w:jc w:val="both"/>
        <w:rPr>
          <w:szCs w:val="18"/>
        </w:rPr>
      </w:pPr>
      <w:r>
        <w:rPr>
          <w:szCs w:val="18"/>
        </w:rPr>
        <w:t xml:space="preserve">According to the Toolkit, </w:t>
      </w:r>
      <w:r w:rsidR="00251C60">
        <w:rPr>
          <w:szCs w:val="18"/>
        </w:rPr>
        <w:t>m</w:t>
      </w:r>
      <w:r w:rsidRPr="00064FAB">
        <w:rPr>
          <w:szCs w:val="18"/>
        </w:rPr>
        <w:t>ercury is used in certain cultural and religious practices, such as some Latin American and</w:t>
      </w:r>
      <w:r>
        <w:rPr>
          <w:szCs w:val="18"/>
        </w:rPr>
        <w:t xml:space="preserve"> </w:t>
      </w:r>
      <w:r w:rsidRPr="00064FAB">
        <w:rPr>
          <w:szCs w:val="18"/>
        </w:rPr>
        <w:t>Afro-Caribbean communities, in the USA, Mexico, and probably elsewhere. Uses include carrying it</w:t>
      </w:r>
      <w:r>
        <w:rPr>
          <w:szCs w:val="18"/>
        </w:rPr>
        <w:t xml:space="preserve"> </w:t>
      </w:r>
      <w:r w:rsidRPr="00064FAB">
        <w:rPr>
          <w:szCs w:val="18"/>
        </w:rPr>
        <w:t>in a sealed pouch or in a pocket as an amulet, sprinkling mercury on floors of homes or automobiles,</w:t>
      </w:r>
      <w:r>
        <w:rPr>
          <w:szCs w:val="18"/>
        </w:rPr>
        <w:t xml:space="preserve"> </w:t>
      </w:r>
      <w:r w:rsidRPr="00064FAB">
        <w:rPr>
          <w:szCs w:val="18"/>
        </w:rPr>
        <w:t>burning it in candl</w:t>
      </w:r>
      <w:r>
        <w:rPr>
          <w:szCs w:val="18"/>
        </w:rPr>
        <w:t>es, and mixing it with perfumes (</w:t>
      </w:r>
      <w:r w:rsidR="00C738EC">
        <w:rPr>
          <w:szCs w:val="18"/>
        </w:rPr>
        <w:t>UNEP, 2017</w:t>
      </w:r>
      <w:r>
        <w:rPr>
          <w:szCs w:val="18"/>
        </w:rPr>
        <w:t>). However, no information has been found on any such uses in New Zealand.</w:t>
      </w:r>
    </w:p>
    <w:p w14:paraId="4CC24BA1" w14:textId="081DE79F" w:rsidR="00DC5D8A" w:rsidRDefault="00DC5D8A" w:rsidP="00DC5D8A">
      <w:pPr>
        <w:pStyle w:val="Heading2"/>
      </w:pPr>
      <w:bookmarkStart w:id="126" w:name="_Toc484949606"/>
      <w:r>
        <w:t>Miscellaneous product uses and other sources</w:t>
      </w:r>
      <w:bookmarkEnd w:id="126"/>
    </w:p>
    <w:p w14:paraId="54DC3E92" w14:textId="77777777" w:rsidR="00663058" w:rsidRDefault="0048508E" w:rsidP="003833D6">
      <w:pPr>
        <w:spacing w:line="300" w:lineRule="atLeast"/>
        <w:jc w:val="both"/>
        <w:rPr>
          <w:szCs w:val="18"/>
        </w:rPr>
      </w:pPr>
      <w:r>
        <w:rPr>
          <w:szCs w:val="18"/>
        </w:rPr>
        <w:t xml:space="preserve">The only other possible use considered for this category was explosives. Mercury fulminate has been used </w:t>
      </w:r>
      <w:r w:rsidR="006A515C">
        <w:rPr>
          <w:szCs w:val="18"/>
        </w:rPr>
        <w:t xml:space="preserve">as </w:t>
      </w:r>
      <w:r>
        <w:rPr>
          <w:szCs w:val="18"/>
        </w:rPr>
        <w:t xml:space="preserve">an explosive in the past, but </w:t>
      </w:r>
      <w:r w:rsidR="006A515C">
        <w:rPr>
          <w:szCs w:val="18"/>
        </w:rPr>
        <w:t xml:space="preserve">it is believed that </w:t>
      </w:r>
      <w:r>
        <w:rPr>
          <w:szCs w:val="18"/>
        </w:rPr>
        <w:t xml:space="preserve">this use was phased out </w:t>
      </w:r>
      <w:r w:rsidR="006A515C">
        <w:rPr>
          <w:szCs w:val="18"/>
        </w:rPr>
        <w:t>about</w:t>
      </w:r>
      <w:r>
        <w:rPr>
          <w:szCs w:val="18"/>
        </w:rPr>
        <w:t xml:space="preserve"> 50 </w:t>
      </w:r>
      <w:r w:rsidR="006A515C">
        <w:rPr>
          <w:szCs w:val="18"/>
        </w:rPr>
        <w:t xml:space="preserve">or more </w:t>
      </w:r>
      <w:r>
        <w:rPr>
          <w:szCs w:val="18"/>
        </w:rPr>
        <w:t>years ago.</w:t>
      </w:r>
      <w:r w:rsidR="006A515C">
        <w:rPr>
          <w:szCs w:val="18"/>
        </w:rPr>
        <w:t xml:space="preserve"> Three explosives distributors were contacted </w:t>
      </w:r>
      <w:r w:rsidR="009D30FE">
        <w:rPr>
          <w:szCs w:val="18"/>
        </w:rPr>
        <w:t xml:space="preserve">for the 2012 Inventory Report </w:t>
      </w:r>
      <w:r w:rsidR="006A515C">
        <w:rPr>
          <w:szCs w:val="18"/>
        </w:rPr>
        <w:t xml:space="preserve">and </w:t>
      </w:r>
      <w:r w:rsidR="009D30FE">
        <w:rPr>
          <w:szCs w:val="18"/>
        </w:rPr>
        <w:t xml:space="preserve">they </w:t>
      </w:r>
      <w:r w:rsidR="006A515C">
        <w:rPr>
          <w:szCs w:val="18"/>
        </w:rPr>
        <w:t>all confirmed that there was no longer any mercury in any of their products.</w:t>
      </w:r>
      <w:r w:rsidR="00663058">
        <w:rPr>
          <w:szCs w:val="18"/>
        </w:rPr>
        <w:t xml:space="preserve"> </w:t>
      </w:r>
      <w:r w:rsidR="009D30FE">
        <w:rPr>
          <w:szCs w:val="18"/>
        </w:rPr>
        <w:t xml:space="preserve"> There is no reason to believe that this situation will be any different for 2016.</w:t>
      </w:r>
    </w:p>
    <w:p w14:paraId="20595423" w14:textId="77777777" w:rsidR="00DC5D8A" w:rsidRPr="00D766AB" w:rsidRDefault="00DC5D8A" w:rsidP="00DC5D8A">
      <w:pPr>
        <w:pStyle w:val="Heading2"/>
        <w:rPr>
          <w:rFonts w:eastAsia="Calibri"/>
        </w:rPr>
      </w:pPr>
      <w:bookmarkStart w:id="127" w:name="_Toc484949607"/>
      <w:r w:rsidRPr="00D766AB">
        <w:rPr>
          <w:rFonts w:eastAsia="Calibri"/>
        </w:rPr>
        <w:lastRenderedPageBreak/>
        <w:t>Summary for this category</w:t>
      </w:r>
      <w:bookmarkEnd w:id="127"/>
      <w:r w:rsidRPr="00D766AB">
        <w:rPr>
          <w:rFonts w:eastAsia="Calibri"/>
        </w:rPr>
        <w:t xml:space="preserve"> </w:t>
      </w:r>
    </w:p>
    <w:p w14:paraId="1DFD882D" w14:textId="6D6EB0D6" w:rsidR="0057746B" w:rsidRDefault="00DC5D8A">
      <w:pPr>
        <w:spacing w:after="0"/>
        <w:rPr>
          <w:rFonts w:ascii="Arial" w:hAnsi="Arial" w:cs="Arial"/>
          <w:b/>
          <w:bCs/>
        </w:rPr>
      </w:pPr>
      <w:r>
        <w:rPr>
          <w:rFonts w:eastAsia="Calibri"/>
          <w:szCs w:val="22"/>
        </w:rPr>
        <w:t>The estimated inputs and outputs for the other intentional product/process uses are summarised in</w:t>
      </w:r>
      <w:r w:rsidR="0029352B">
        <w:rPr>
          <w:rFonts w:eastAsia="Calibri"/>
          <w:szCs w:val="22"/>
        </w:rPr>
        <w:t xml:space="preserve"> </w:t>
      </w:r>
      <w:r w:rsidR="0029352B" w:rsidRPr="00305BC7">
        <w:rPr>
          <w:rFonts w:eastAsia="Calibri"/>
          <w:szCs w:val="22"/>
        </w:rPr>
        <w:fldChar w:fldCharType="begin"/>
      </w:r>
      <w:r w:rsidR="0029352B" w:rsidRPr="00305BC7">
        <w:rPr>
          <w:rFonts w:eastAsia="Calibri"/>
          <w:szCs w:val="22"/>
        </w:rPr>
        <w:instrText xml:space="preserve"> REF _Ref358782191 \h </w:instrText>
      </w:r>
      <w:r w:rsidR="00305BC7">
        <w:rPr>
          <w:rFonts w:eastAsia="Calibri"/>
          <w:szCs w:val="22"/>
        </w:rPr>
        <w:instrText xml:space="preserve"> \* MERGEFORMAT </w:instrText>
      </w:r>
      <w:r w:rsidR="0029352B" w:rsidRPr="00305BC7">
        <w:rPr>
          <w:rFonts w:eastAsia="Calibri"/>
          <w:szCs w:val="22"/>
        </w:rPr>
      </w:r>
      <w:r w:rsidR="0029352B" w:rsidRPr="00305BC7">
        <w:rPr>
          <w:rFonts w:eastAsia="Calibri"/>
          <w:szCs w:val="22"/>
        </w:rPr>
        <w:fldChar w:fldCharType="separate"/>
      </w:r>
      <w:r w:rsidR="00423FC9" w:rsidRPr="00423FC9">
        <w:t xml:space="preserve">Table </w:t>
      </w:r>
      <w:r w:rsidR="00423FC9" w:rsidRPr="00423FC9">
        <w:rPr>
          <w:noProof/>
        </w:rPr>
        <w:t>8</w:t>
      </w:r>
      <w:r w:rsidR="00423FC9" w:rsidRPr="00423FC9">
        <w:rPr>
          <w:noProof/>
        </w:rPr>
        <w:noBreakHyphen/>
        <w:t>4</w:t>
      </w:r>
      <w:r w:rsidR="0029352B" w:rsidRPr="00305BC7">
        <w:rPr>
          <w:rFonts w:eastAsia="Calibri"/>
          <w:szCs w:val="22"/>
        </w:rPr>
        <w:fldChar w:fldCharType="end"/>
      </w:r>
      <w:r w:rsidR="0057746B" w:rsidRPr="00305BC7">
        <w:rPr>
          <w:rFonts w:eastAsia="Calibri"/>
          <w:szCs w:val="22"/>
        </w:rPr>
        <w:t>.</w:t>
      </w:r>
      <w:bookmarkStart w:id="128" w:name="_Ref358549369"/>
    </w:p>
    <w:p w14:paraId="225DE870" w14:textId="77777777" w:rsidR="00DC5D8A" w:rsidRPr="007901FE" w:rsidRDefault="00DC5D8A" w:rsidP="00DC5D8A">
      <w:pPr>
        <w:pStyle w:val="Caption"/>
        <w:spacing w:before="240"/>
        <w:rPr>
          <w:rFonts w:ascii="Arial" w:hAnsi="Arial" w:cs="Arial"/>
          <w:szCs w:val="18"/>
        </w:rPr>
      </w:pPr>
      <w:bookmarkStart w:id="129" w:name="_Ref358782191"/>
      <w:bookmarkStart w:id="130" w:name="_Toc484949667"/>
      <w:r w:rsidRPr="00DC5D8A">
        <w:rPr>
          <w:rFonts w:ascii="Arial" w:hAnsi="Arial" w:cs="Arial"/>
        </w:rPr>
        <w:t xml:space="preserve">Table </w:t>
      </w:r>
      <w:r w:rsidR="00390C9F">
        <w:rPr>
          <w:rFonts w:ascii="Arial" w:hAnsi="Arial" w:cs="Arial"/>
        </w:rPr>
        <w:fldChar w:fldCharType="begin"/>
      </w:r>
      <w:r w:rsidR="00390C9F">
        <w:rPr>
          <w:rFonts w:ascii="Arial" w:hAnsi="Arial" w:cs="Arial"/>
        </w:rPr>
        <w:instrText xml:space="preserve"> STYLEREF 1 \s </w:instrText>
      </w:r>
      <w:r w:rsidR="00390C9F">
        <w:rPr>
          <w:rFonts w:ascii="Arial" w:hAnsi="Arial" w:cs="Arial"/>
        </w:rPr>
        <w:fldChar w:fldCharType="separate"/>
      </w:r>
      <w:r w:rsidR="00423FC9">
        <w:rPr>
          <w:rFonts w:ascii="Arial" w:hAnsi="Arial" w:cs="Arial"/>
          <w:noProof/>
        </w:rPr>
        <w:t>8</w:t>
      </w:r>
      <w:r w:rsidR="00390C9F">
        <w:rPr>
          <w:rFonts w:ascii="Arial" w:hAnsi="Arial" w:cs="Arial"/>
        </w:rPr>
        <w:fldChar w:fldCharType="end"/>
      </w:r>
      <w:r w:rsidR="00390C9F">
        <w:rPr>
          <w:rFonts w:ascii="Arial" w:hAnsi="Arial" w:cs="Arial"/>
        </w:rPr>
        <w:noBreakHyphen/>
      </w:r>
      <w:r w:rsidR="00390C9F">
        <w:rPr>
          <w:rFonts w:ascii="Arial" w:hAnsi="Arial" w:cs="Arial"/>
        </w:rPr>
        <w:fldChar w:fldCharType="begin"/>
      </w:r>
      <w:r w:rsidR="00390C9F">
        <w:rPr>
          <w:rFonts w:ascii="Arial" w:hAnsi="Arial" w:cs="Arial"/>
        </w:rPr>
        <w:instrText xml:space="preserve"> SEQ Table \* ARABIC \s 1 </w:instrText>
      </w:r>
      <w:r w:rsidR="00390C9F">
        <w:rPr>
          <w:rFonts w:ascii="Arial" w:hAnsi="Arial" w:cs="Arial"/>
        </w:rPr>
        <w:fldChar w:fldCharType="separate"/>
      </w:r>
      <w:r w:rsidR="00423FC9">
        <w:rPr>
          <w:rFonts w:ascii="Arial" w:hAnsi="Arial" w:cs="Arial"/>
          <w:noProof/>
        </w:rPr>
        <w:t>4</w:t>
      </w:r>
      <w:r w:rsidR="00390C9F">
        <w:rPr>
          <w:rFonts w:ascii="Arial" w:hAnsi="Arial" w:cs="Arial"/>
        </w:rPr>
        <w:fldChar w:fldCharType="end"/>
      </w:r>
      <w:bookmarkEnd w:id="128"/>
      <w:bookmarkEnd w:id="129"/>
      <w:r w:rsidRPr="00DC5D8A">
        <w:rPr>
          <w:rFonts w:ascii="Arial" w:hAnsi="Arial" w:cs="Arial"/>
        </w:rPr>
        <w:t>:</w:t>
      </w:r>
      <w:r w:rsidRPr="007901FE">
        <w:rPr>
          <w:rFonts w:ascii="Arial" w:hAnsi="Arial" w:cs="Arial"/>
        </w:rPr>
        <w:t xml:space="preserve"> Summary of inputs and o</w:t>
      </w:r>
      <w:r>
        <w:rPr>
          <w:rFonts w:ascii="Arial" w:hAnsi="Arial" w:cs="Arial"/>
        </w:rPr>
        <w:t>utputs for o</w:t>
      </w:r>
      <w:r w:rsidRPr="00DC5D8A">
        <w:rPr>
          <w:rFonts w:ascii="Arial" w:hAnsi="Arial" w:cs="Arial"/>
        </w:rPr>
        <w:t>ther intentional product/process uses</w:t>
      </w:r>
      <w:r w:rsidR="009D30FE">
        <w:rPr>
          <w:rFonts w:ascii="Arial" w:hAnsi="Arial" w:cs="Arial"/>
        </w:rPr>
        <w:t xml:space="preserve"> for 2016</w:t>
      </w:r>
      <w:bookmarkEnd w:id="130"/>
    </w:p>
    <w:tbl>
      <w:tblPr>
        <w:tblStyle w:val="TableGrid"/>
        <w:tblW w:w="9120" w:type="dxa"/>
        <w:tblInd w:w="108" w:type="dxa"/>
        <w:tblLayout w:type="fixed"/>
        <w:tblLook w:val="04A0" w:firstRow="1" w:lastRow="0" w:firstColumn="1" w:lastColumn="0" w:noHBand="0" w:noVBand="1"/>
      </w:tblPr>
      <w:tblGrid>
        <w:gridCol w:w="2394"/>
        <w:gridCol w:w="1425"/>
        <w:gridCol w:w="1060"/>
        <w:gridCol w:w="1060"/>
        <w:gridCol w:w="1060"/>
        <w:gridCol w:w="1060"/>
        <w:gridCol w:w="1061"/>
      </w:tblGrid>
      <w:tr w:rsidR="00EA7C2C" w:rsidRPr="002D7721" w14:paraId="69FB15E9" w14:textId="77777777" w:rsidTr="0035039D">
        <w:tc>
          <w:tcPr>
            <w:tcW w:w="2394" w:type="dxa"/>
            <w:vMerge w:val="restart"/>
            <w:vAlign w:val="center"/>
          </w:tcPr>
          <w:p w14:paraId="07AACC1C" w14:textId="77777777" w:rsidR="00EA7C2C" w:rsidRPr="002D7721" w:rsidRDefault="00EA7C2C" w:rsidP="003A7261">
            <w:pPr>
              <w:spacing w:line="300" w:lineRule="atLeast"/>
              <w:rPr>
                <w:rFonts w:ascii="Arial" w:hAnsi="Arial" w:cs="Arial"/>
                <w:b/>
                <w:sz w:val="16"/>
                <w:szCs w:val="16"/>
              </w:rPr>
            </w:pPr>
            <w:r w:rsidRPr="002D7721">
              <w:rPr>
                <w:rFonts w:ascii="Arial" w:hAnsi="Arial" w:cs="Arial"/>
                <w:b/>
                <w:sz w:val="16"/>
                <w:szCs w:val="16"/>
              </w:rPr>
              <w:t>Category</w:t>
            </w:r>
          </w:p>
        </w:tc>
        <w:tc>
          <w:tcPr>
            <w:tcW w:w="1425" w:type="dxa"/>
            <w:vMerge w:val="restart"/>
            <w:vAlign w:val="center"/>
          </w:tcPr>
          <w:p w14:paraId="3E650339" w14:textId="77777777" w:rsidR="00EA7C2C" w:rsidRPr="002D7721" w:rsidRDefault="00EA7C2C" w:rsidP="003A7261">
            <w:pPr>
              <w:spacing w:line="300" w:lineRule="atLeast"/>
              <w:jc w:val="center"/>
              <w:rPr>
                <w:rFonts w:ascii="Arial" w:hAnsi="Arial" w:cs="Arial"/>
                <w:b/>
                <w:sz w:val="16"/>
                <w:szCs w:val="16"/>
              </w:rPr>
            </w:pPr>
            <w:r w:rsidRPr="002D7721">
              <w:rPr>
                <w:rFonts w:ascii="Arial" w:hAnsi="Arial" w:cs="Arial"/>
                <w:b/>
                <w:sz w:val="16"/>
                <w:szCs w:val="16"/>
              </w:rPr>
              <w:t>Mercury Inputs, kg/year</w:t>
            </w:r>
          </w:p>
        </w:tc>
        <w:tc>
          <w:tcPr>
            <w:tcW w:w="5301" w:type="dxa"/>
            <w:gridSpan w:val="5"/>
            <w:vAlign w:val="center"/>
          </w:tcPr>
          <w:p w14:paraId="44396C43" w14:textId="77777777" w:rsidR="00EA7C2C" w:rsidRPr="002D7721" w:rsidRDefault="00EA7C2C" w:rsidP="003A7261">
            <w:pPr>
              <w:spacing w:line="300" w:lineRule="atLeast"/>
              <w:jc w:val="center"/>
              <w:rPr>
                <w:rFonts w:ascii="Arial" w:hAnsi="Arial" w:cs="Arial"/>
                <w:b/>
                <w:sz w:val="16"/>
                <w:szCs w:val="16"/>
              </w:rPr>
            </w:pPr>
            <w:r w:rsidRPr="002D7721">
              <w:rPr>
                <w:rFonts w:ascii="Arial" w:hAnsi="Arial" w:cs="Arial"/>
                <w:b/>
                <w:sz w:val="16"/>
                <w:szCs w:val="16"/>
              </w:rPr>
              <w:t>Mercury Outputs, kg/</w:t>
            </w:r>
            <w:proofErr w:type="spellStart"/>
            <w:r w:rsidRPr="002D7721">
              <w:rPr>
                <w:rFonts w:ascii="Arial" w:hAnsi="Arial" w:cs="Arial"/>
                <w:b/>
                <w:sz w:val="16"/>
                <w:szCs w:val="16"/>
              </w:rPr>
              <w:t>yr</w:t>
            </w:r>
            <w:proofErr w:type="spellEnd"/>
          </w:p>
        </w:tc>
      </w:tr>
      <w:tr w:rsidR="0035039D" w:rsidRPr="002D7721" w14:paraId="6ED8D37C" w14:textId="77777777" w:rsidTr="0035039D">
        <w:tc>
          <w:tcPr>
            <w:tcW w:w="2394" w:type="dxa"/>
            <w:vMerge/>
            <w:vAlign w:val="center"/>
          </w:tcPr>
          <w:p w14:paraId="60848819" w14:textId="77777777" w:rsidR="0035039D" w:rsidRPr="002D7721" w:rsidRDefault="0035039D" w:rsidP="003A7261">
            <w:pPr>
              <w:spacing w:line="300" w:lineRule="atLeast"/>
              <w:rPr>
                <w:rFonts w:ascii="Arial" w:hAnsi="Arial" w:cs="Arial"/>
                <w:b/>
                <w:sz w:val="16"/>
                <w:szCs w:val="16"/>
              </w:rPr>
            </w:pPr>
          </w:p>
        </w:tc>
        <w:tc>
          <w:tcPr>
            <w:tcW w:w="1425" w:type="dxa"/>
            <w:vMerge/>
          </w:tcPr>
          <w:p w14:paraId="57661BF8" w14:textId="77777777" w:rsidR="0035039D" w:rsidRPr="002D7721" w:rsidRDefault="0035039D" w:rsidP="003A7261">
            <w:pPr>
              <w:spacing w:line="300" w:lineRule="atLeast"/>
              <w:jc w:val="both"/>
              <w:rPr>
                <w:rFonts w:ascii="Arial" w:hAnsi="Arial" w:cs="Arial"/>
                <w:b/>
                <w:sz w:val="16"/>
                <w:szCs w:val="16"/>
              </w:rPr>
            </w:pPr>
          </w:p>
        </w:tc>
        <w:tc>
          <w:tcPr>
            <w:tcW w:w="1060" w:type="dxa"/>
            <w:vAlign w:val="center"/>
          </w:tcPr>
          <w:p w14:paraId="034BE0B9" w14:textId="77777777" w:rsidR="0035039D" w:rsidRPr="002D7721" w:rsidRDefault="0035039D" w:rsidP="003A7261">
            <w:pPr>
              <w:spacing w:line="300" w:lineRule="atLeast"/>
              <w:jc w:val="center"/>
              <w:rPr>
                <w:rFonts w:ascii="Arial" w:hAnsi="Arial" w:cs="Arial"/>
                <w:b/>
                <w:sz w:val="16"/>
                <w:szCs w:val="16"/>
              </w:rPr>
            </w:pPr>
            <w:r w:rsidRPr="002D7721">
              <w:rPr>
                <w:rFonts w:ascii="Arial" w:hAnsi="Arial" w:cs="Arial"/>
                <w:b/>
                <w:sz w:val="16"/>
                <w:szCs w:val="16"/>
              </w:rPr>
              <w:t>Air</w:t>
            </w:r>
          </w:p>
        </w:tc>
        <w:tc>
          <w:tcPr>
            <w:tcW w:w="1060" w:type="dxa"/>
            <w:vAlign w:val="center"/>
          </w:tcPr>
          <w:p w14:paraId="10F8D4B4" w14:textId="77777777" w:rsidR="0035039D" w:rsidRPr="002D7721" w:rsidRDefault="0035039D" w:rsidP="003A7261">
            <w:pPr>
              <w:spacing w:line="300" w:lineRule="atLeast"/>
              <w:jc w:val="center"/>
              <w:rPr>
                <w:rFonts w:ascii="Arial" w:hAnsi="Arial" w:cs="Arial"/>
                <w:b/>
                <w:sz w:val="16"/>
                <w:szCs w:val="16"/>
              </w:rPr>
            </w:pPr>
            <w:r w:rsidRPr="002D7721">
              <w:rPr>
                <w:rFonts w:ascii="Arial" w:hAnsi="Arial" w:cs="Arial"/>
                <w:b/>
                <w:sz w:val="16"/>
                <w:szCs w:val="16"/>
              </w:rPr>
              <w:t>Water</w:t>
            </w:r>
          </w:p>
        </w:tc>
        <w:tc>
          <w:tcPr>
            <w:tcW w:w="1060" w:type="dxa"/>
            <w:vAlign w:val="center"/>
          </w:tcPr>
          <w:p w14:paraId="3504B969" w14:textId="77777777" w:rsidR="0035039D" w:rsidRPr="002D7721" w:rsidRDefault="0035039D" w:rsidP="003A7261">
            <w:pPr>
              <w:spacing w:line="300" w:lineRule="atLeast"/>
              <w:jc w:val="center"/>
              <w:rPr>
                <w:rFonts w:ascii="Arial" w:hAnsi="Arial" w:cs="Arial"/>
                <w:b/>
                <w:sz w:val="16"/>
                <w:szCs w:val="16"/>
              </w:rPr>
            </w:pPr>
            <w:r w:rsidRPr="002D7721">
              <w:rPr>
                <w:rFonts w:ascii="Arial" w:hAnsi="Arial" w:cs="Arial"/>
                <w:b/>
                <w:sz w:val="16"/>
                <w:szCs w:val="16"/>
              </w:rPr>
              <w:t>Land</w:t>
            </w:r>
          </w:p>
        </w:tc>
        <w:tc>
          <w:tcPr>
            <w:tcW w:w="1060" w:type="dxa"/>
            <w:vAlign w:val="center"/>
          </w:tcPr>
          <w:p w14:paraId="1149CE95" w14:textId="77777777" w:rsidR="0035039D" w:rsidRPr="002D7721" w:rsidRDefault="0035039D" w:rsidP="00EA7C2C">
            <w:pPr>
              <w:spacing w:line="300" w:lineRule="atLeast"/>
              <w:jc w:val="center"/>
              <w:rPr>
                <w:rFonts w:ascii="Arial" w:hAnsi="Arial" w:cs="Arial"/>
                <w:b/>
                <w:sz w:val="16"/>
                <w:szCs w:val="16"/>
              </w:rPr>
            </w:pPr>
            <w:r w:rsidRPr="002D7721">
              <w:rPr>
                <w:rFonts w:ascii="Arial" w:hAnsi="Arial" w:cs="Arial"/>
                <w:b/>
                <w:sz w:val="16"/>
                <w:szCs w:val="16"/>
              </w:rPr>
              <w:t>Product</w:t>
            </w:r>
          </w:p>
        </w:tc>
        <w:tc>
          <w:tcPr>
            <w:tcW w:w="1061" w:type="dxa"/>
            <w:vAlign w:val="center"/>
          </w:tcPr>
          <w:p w14:paraId="5786F103" w14:textId="77777777" w:rsidR="0035039D" w:rsidRPr="002D7721" w:rsidRDefault="0035039D" w:rsidP="003A7261">
            <w:pPr>
              <w:spacing w:line="300" w:lineRule="atLeast"/>
              <w:jc w:val="center"/>
              <w:rPr>
                <w:rFonts w:ascii="Arial" w:hAnsi="Arial" w:cs="Arial"/>
                <w:b/>
                <w:sz w:val="16"/>
                <w:szCs w:val="16"/>
              </w:rPr>
            </w:pPr>
            <w:r w:rsidRPr="002D7721">
              <w:rPr>
                <w:rFonts w:ascii="Arial" w:hAnsi="Arial" w:cs="Arial"/>
                <w:b/>
                <w:sz w:val="16"/>
                <w:szCs w:val="16"/>
              </w:rPr>
              <w:t>Waste</w:t>
            </w:r>
          </w:p>
        </w:tc>
      </w:tr>
      <w:tr w:rsidR="002D7721" w:rsidRPr="002D7721" w14:paraId="02D8505E" w14:textId="77777777" w:rsidTr="0035039D">
        <w:tc>
          <w:tcPr>
            <w:tcW w:w="2394" w:type="dxa"/>
            <w:vAlign w:val="center"/>
          </w:tcPr>
          <w:p w14:paraId="0F361C42" w14:textId="77777777" w:rsidR="002D7721" w:rsidRPr="002D7721" w:rsidRDefault="002D7721" w:rsidP="002D7721">
            <w:pPr>
              <w:spacing w:line="300" w:lineRule="atLeast"/>
              <w:rPr>
                <w:rFonts w:ascii="Arial" w:hAnsi="Arial" w:cs="Arial"/>
                <w:sz w:val="16"/>
                <w:szCs w:val="16"/>
              </w:rPr>
            </w:pPr>
            <w:r w:rsidRPr="002D7721">
              <w:rPr>
                <w:rFonts w:ascii="Arial" w:hAnsi="Arial" w:cs="Arial"/>
                <w:sz w:val="16"/>
                <w:szCs w:val="16"/>
              </w:rPr>
              <w:t>Dental mercury amalgam fillings</w:t>
            </w:r>
          </w:p>
        </w:tc>
        <w:tc>
          <w:tcPr>
            <w:tcW w:w="1425" w:type="dxa"/>
            <w:vAlign w:val="center"/>
          </w:tcPr>
          <w:p w14:paraId="29E6CC25" w14:textId="468E5DB2" w:rsidR="002D7721" w:rsidRPr="002D7721" w:rsidRDefault="002D7721" w:rsidP="002D7721">
            <w:pPr>
              <w:spacing w:line="300" w:lineRule="atLeast"/>
              <w:jc w:val="center"/>
              <w:rPr>
                <w:rFonts w:ascii="Arial" w:hAnsi="Arial" w:cs="Arial"/>
                <w:sz w:val="16"/>
                <w:szCs w:val="16"/>
              </w:rPr>
            </w:pPr>
            <w:r>
              <w:rPr>
                <w:rFonts w:ascii="Arial" w:hAnsi="Arial" w:cs="Arial"/>
                <w:sz w:val="16"/>
                <w:szCs w:val="16"/>
              </w:rPr>
              <w:t>37.3</w:t>
            </w:r>
          </w:p>
        </w:tc>
        <w:tc>
          <w:tcPr>
            <w:tcW w:w="1060" w:type="dxa"/>
            <w:vAlign w:val="center"/>
          </w:tcPr>
          <w:p w14:paraId="16327BD0" w14:textId="3BB5A3AE" w:rsidR="002D7721" w:rsidRPr="002D7721" w:rsidRDefault="002D7721" w:rsidP="002D7721">
            <w:pPr>
              <w:spacing w:line="300" w:lineRule="atLeast"/>
              <w:jc w:val="center"/>
              <w:rPr>
                <w:rFonts w:ascii="Arial" w:hAnsi="Arial" w:cs="Arial"/>
                <w:sz w:val="16"/>
                <w:szCs w:val="16"/>
              </w:rPr>
            </w:pPr>
            <w:r>
              <w:rPr>
                <w:rFonts w:ascii="Arial" w:hAnsi="Arial" w:cs="Arial"/>
                <w:sz w:val="16"/>
                <w:szCs w:val="16"/>
              </w:rPr>
              <w:t>0.75</w:t>
            </w:r>
          </w:p>
        </w:tc>
        <w:tc>
          <w:tcPr>
            <w:tcW w:w="1060" w:type="dxa"/>
            <w:vAlign w:val="center"/>
          </w:tcPr>
          <w:p w14:paraId="29C4A245" w14:textId="67F22544" w:rsidR="002D7721" w:rsidRPr="002D7721" w:rsidRDefault="002D7721" w:rsidP="002D7721">
            <w:pPr>
              <w:spacing w:line="300" w:lineRule="atLeast"/>
              <w:jc w:val="center"/>
              <w:rPr>
                <w:rFonts w:ascii="Arial" w:hAnsi="Arial" w:cs="Arial"/>
                <w:sz w:val="16"/>
                <w:szCs w:val="16"/>
              </w:rPr>
            </w:pPr>
            <w:r>
              <w:rPr>
                <w:rFonts w:ascii="Arial" w:hAnsi="Arial" w:cs="Arial"/>
                <w:sz w:val="16"/>
                <w:szCs w:val="16"/>
              </w:rPr>
              <w:t>5.22</w:t>
            </w:r>
          </w:p>
        </w:tc>
        <w:tc>
          <w:tcPr>
            <w:tcW w:w="1060" w:type="dxa"/>
            <w:vAlign w:val="center"/>
          </w:tcPr>
          <w:p w14:paraId="77920462" w14:textId="11F8D479" w:rsidR="002D7721" w:rsidRPr="002D7721" w:rsidRDefault="002D7721" w:rsidP="002D7721">
            <w:pPr>
              <w:spacing w:line="300" w:lineRule="atLeast"/>
              <w:jc w:val="center"/>
              <w:rPr>
                <w:rFonts w:ascii="Arial" w:hAnsi="Arial" w:cs="Arial"/>
                <w:sz w:val="16"/>
                <w:szCs w:val="16"/>
              </w:rPr>
            </w:pPr>
            <w:r>
              <w:rPr>
                <w:rFonts w:ascii="Arial" w:hAnsi="Arial" w:cs="Arial"/>
                <w:sz w:val="16"/>
                <w:szCs w:val="16"/>
              </w:rPr>
              <w:t>-</w:t>
            </w:r>
          </w:p>
        </w:tc>
        <w:tc>
          <w:tcPr>
            <w:tcW w:w="1060" w:type="dxa"/>
            <w:vAlign w:val="center"/>
          </w:tcPr>
          <w:p w14:paraId="37BF2335" w14:textId="610F543F" w:rsidR="002D7721" w:rsidRPr="002D7721" w:rsidRDefault="002D7721" w:rsidP="002D7721">
            <w:pPr>
              <w:spacing w:line="300" w:lineRule="atLeast"/>
              <w:jc w:val="center"/>
              <w:rPr>
                <w:rFonts w:ascii="Arial" w:hAnsi="Arial" w:cs="Arial"/>
                <w:sz w:val="16"/>
                <w:szCs w:val="16"/>
              </w:rPr>
            </w:pPr>
            <w:r>
              <w:rPr>
                <w:rFonts w:ascii="Arial" w:hAnsi="Arial" w:cs="Arial"/>
                <w:sz w:val="16"/>
                <w:szCs w:val="16"/>
              </w:rPr>
              <w:t>22.38</w:t>
            </w:r>
          </w:p>
        </w:tc>
        <w:tc>
          <w:tcPr>
            <w:tcW w:w="1061" w:type="dxa"/>
            <w:vAlign w:val="center"/>
          </w:tcPr>
          <w:p w14:paraId="3AB6689E" w14:textId="6AD53FAE" w:rsidR="002D7721" w:rsidRPr="002D7721" w:rsidRDefault="002D7721" w:rsidP="002D7721">
            <w:pPr>
              <w:spacing w:line="300" w:lineRule="atLeast"/>
              <w:jc w:val="center"/>
              <w:rPr>
                <w:rFonts w:ascii="Arial" w:hAnsi="Arial" w:cs="Arial"/>
                <w:sz w:val="16"/>
                <w:szCs w:val="16"/>
              </w:rPr>
            </w:pPr>
            <w:r>
              <w:rPr>
                <w:rFonts w:ascii="Arial" w:hAnsi="Arial" w:cs="Arial"/>
                <w:sz w:val="16"/>
                <w:szCs w:val="16"/>
              </w:rPr>
              <w:t>8.95</w:t>
            </w:r>
          </w:p>
        </w:tc>
      </w:tr>
      <w:tr w:rsidR="0035039D" w:rsidRPr="002D7721" w14:paraId="6A38C508" w14:textId="77777777" w:rsidTr="0035039D">
        <w:tc>
          <w:tcPr>
            <w:tcW w:w="2394" w:type="dxa"/>
            <w:vAlign w:val="center"/>
          </w:tcPr>
          <w:p w14:paraId="3F8FC6E4" w14:textId="77777777" w:rsidR="0035039D" w:rsidRPr="002D7721" w:rsidRDefault="0035039D" w:rsidP="003A7261">
            <w:pPr>
              <w:spacing w:before="40" w:after="40" w:line="300" w:lineRule="atLeast"/>
              <w:rPr>
                <w:rFonts w:ascii="Arial" w:hAnsi="Arial" w:cs="Arial"/>
                <w:sz w:val="16"/>
                <w:szCs w:val="16"/>
              </w:rPr>
            </w:pPr>
            <w:r w:rsidRPr="002D7721">
              <w:rPr>
                <w:rFonts w:ascii="Arial" w:hAnsi="Arial" w:cs="Arial"/>
                <w:sz w:val="16"/>
                <w:szCs w:val="16"/>
              </w:rPr>
              <w:t>Manometers and gauges</w:t>
            </w:r>
          </w:p>
        </w:tc>
        <w:tc>
          <w:tcPr>
            <w:tcW w:w="1425" w:type="dxa"/>
            <w:vAlign w:val="center"/>
          </w:tcPr>
          <w:p w14:paraId="09CE0122" w14:textId="2F717420" w:rsidR="0035039D" w:rsidRPr="002D7721" w:rsidRDefault="00850A59" w:rsidP="003A7261">
            <w:pPr>
              <w:spacing w:line="300" w:lineRule="atLeast"/>
              <w:jc w:val="center"/>
              <w:rPr>
                <w:rFonts w:ascii="Arial" w:hAnsi="Arial" w:cs="Arial"/>
                <w:sz w:val="16"/>
                <w:szCs w:val="16"/>
              </w:rPr>
            </w:pPr>
            <w:r>
              <w:rPr>
                <w:rFonts w:ascii="Arial" w:hAnsi="Arial" w:cs="Arial"/>
                <w:sz w:val="16"/>
                <w:szCs w:val="16"/>
              </w:rPr>
              <w:t>1.73</w:t>
            </w:r>
          </w:p>
        </w:tc>
        <w:tc>
          <w:tcPr>
            <w:tcW w:w="1060" w:type="dxa"/>
            <w:vAlign w:val="center"/>
          </w:tcPr>
          <w:p w14:paraId="3F0E39D6" w14:textId="77777777" w:rsidR="0035039D" w:rsidRPr="002D7721" w:rsidRDefault="0035039D" w:rsidP="003A7261">
            <w:pPr>
              <w:spacing w:line="300" w:lineRule="atLeast"/>
              <w:jc w:val="center"/>
              <w:rPr>
                <w:rFonts w:ascii="Arial" w:hAnsi="Arial" w:cs="Arial"/>
                <w:sz w:val="16"/>
                <w:szCs w:val="16"/>
              </w:rPr>
            </w:pPr>
            <w:r w:rsidRPr="002D7721">
              <w:rPr>
                <w:rFonts w:ascii="Arial" w:hAnsi="Arial" w:cs="Arial"/>
                <w:sz w:val="16"/>
                <w:szCs w:val="16"/>
              </w:rPr>
              <w:t>-</w:t>
            </w:r>
          </w:p>
        </w:tc>
        <w:tc>
          <w:tcPr>
            <w:tcW w:w="1060" w:type="dxa"/>
            <w:vAlign w:val="center"/>
          </w:tcPr>
          <w:p w14:paraId="1FCDA155" w14:textId="77777777" w:rsidR="0035039D" w:rsidRPr="002D7721" w:rsidRDefault="0035039D" w:rsidP="003A7261">
            <w:pPr>
              <w:spacing w:line="300" w:lineRule="atLeast"/>
              <w:jc w:val="center"/>
              <w:rPr>
                <w:rFonts w:ascii="Arial" w:hAnsi="Arial" w:cs="Arial"/>
                <w:sz w:val="16"/>
                <w:szCs w:val="16"/>
              </w:rPr>
            </w:pPr>
            <w:r w:rsidRPr="002D7721">
              <w:rPr>
                <w:rFonts w:ascii="Arial" w:hAnsi="Arial" w:cs="Arial"/>
                <w:sz w:val="16"/>
                <w:szCs w:val="16"/>
              </w:rPr>
              <w:t>-</w:t>
            </w:r>
          </w:p>
        </w:tc>
        <w:tc>
          <w:tcPr>
            <w:tcW w:w="1060" w:type="dxa"/>
            <w:vAlign w:val="center"/>
          </w:tcPr>
          <w:p w14:paraId="2EB30482" w14:textId="77777777" w:rsidR="0035039D" w:rsidRPr="002D7721" w:rsidRDefault="0035039D" w:rsidP="003A7261">
            <w:pPr>
              <w:spacing w:line="300" w:lineRule="atLeast"/>
              <w:jc w:val="center"/>
              <w:rPr>
                <w:rFonts w:ascii="Arial" w:hAnsi="Arial" w:cs="Arial"/>
                <w:sz w:val="16"/>
                <w:szCs w:val="16"/>
              </w:rPr>
            </w:pPr>
            <w:r w:rsidRPr="002D7721">
              <w:rPr>
                <w:rFonts w:ascii="Arial" w:hAnsi="Arial" w:cs="Arial"/>
                <w:sz w:val="16"/>
                <w:szCs w:val="16"/>
              </w:rPr>
              <w:t>-</w:t>
            </w:r>
          </w:p>
        </w:tc>
        <w:tc>
          <w:tcPr>
            <w:tcW w:w="1060" w:type="dxa"/>
            <w:vAlign w:val="center"/>
          </w:tcPr>
          <w:p w14:paraId="24C0C5C5" w14:textId="4827CE3C" w:rsidR="0035039D" w:rsidRPr="002D7721" w:rsidRDefault="00850A59" w:rsidP="003A7261">
            <w:pPr>
              <w:spacing w:line="300" w:lineRule="atLeast"/>
              <w:jc w:val="center"/>
              <w:rPr>
                <w:rFonts w:ascii="Arial" w:hAnsi="Arial" w:cs="Arial"/>
                <w:sz w:val="16"/>
                <w:szCs w:val="16"/>
              </w:rPr>
            </w:pPr>
            <w:r>
              <w:rPr>
                <w:rFonts w:ascii="Arial" w:hAnsi="Arial" w:cs="Arial"/>
                <w:sz w:val="16"/>
                <w:szCs w:val="16"/>
              </w:rPr>
              <w:t>1.73</w:t>
            </w:r>
          </w:p>
        </w:tc>
        <w:tc>
          <w:tcPr>
            <w:tcW w:w="1061" w:type="dxa"/>
            <w:vAlign w:val="center"/>
          </w:tcPr>
          <w:p w14:paraId="126FE88B" w14:textId="77777777" w:rsidR="0035039D" w:rsidRPr="002D7721" w:rsidRDefault="0035039D" w:rsidP="003A7261">
            <w:pPr>
              <w:spacing w:line="300" w:lineRule="atLeast"/>
              <w:jc w:val="center"/>
              <w:rPr>
                <w:rFonts w:ascii="Arial" w:hAnsi="Arial" w:cs="Arial"/>
                <w:sz w:val="16"/>
                <w:szCs w:val="16"/>
              </w:rPr>
            </w:pPr>
            <w:r w:rsidRPr="002D7721">
              <w:rPr>
                <w:rFonts w:ascii="Arial" w:hAnsi="Arial" w:cs="Arial"/>
                <w:sz w:val="16"/>
                <w:szCs w:val="16"/>
              </w:rPr>
              <w:t>-</w:t>
            </w:r>
          </w:p>
        </w:tc>
      </w:tr>
      <w:tr w:rsidR="002D7721" w:rsidRPr="007901FE" w14:paraId="22EAE2E3" w14:textId="77777777" w:rsidTr="002D7721">
        <w:tc>
          <w:tcPr>
            <w:tcW w:w="2394" w:type="dxa"/>
            <w:vAlign w:val="center"/>
          </w:tcPr>
          <w:p w14:paraId="1EEBA803" w14:textId="77777777" w:rsidR="002D7721" w:rsidRPr="002D7721" w:rsidRDefault="002D7721" w:rsidP="002D7721">
            <w:pPr>
              <w:spacing w:line="300" w:lineRule="atLeast"/>
              <w:rPr>
                <w:rFonts w:ascii="Arial" w:hAnsi="Arial" w:cs="Arial"/>
                <w:sz w:val="16"/>
                <w:szCs w:val="16"/>
              </w:rPr>
            </w:pPr>
            <w:r w:rsidRPr="002D7721">
              <w:rPr>
                <w:rFonts w:ascii="Arial" w:hAnsi="Arial" w:cs="Arial"/>
                <w:sz w:val="16"/>
                <w:szCs w:val="16"/>
              </w:rPr>
              <w:t>Laboratory chemicals and equipment</w:t>
            </w:r>
          </w:p>
        </w:tc>
        <w:tc>
          <w:tcPr>
            <w:tcW w:w="1425" w:type="dxa"/>
            <w:vAlign w:val="center"/>
          </w:tcPr>
          <w:p w14:paraId="51994857" w14:textId="5524BEE3" w:rsidR="002D7721" w:rsidRPr="002D7721" w:rsidRDefault="002D7721" w:rsidP="002D7721">
            <w:pPr>
              <w:spacing w:line="300" w:lineRule="atLeast"/>
              <w:jc w:val="center"/>
              <w:rPr>
                <w:rFonts w:ascii="Arial" w:hAnsi="Arial" w:cs="Arial"/>
                <w:sz w:val="16"/>
                <w:szCs w:val="16"/>
              </w:rPr>
            </w:pPr>
            <w:r>
              <w:rPr>
                <w:rFonts w:ascii="Arial" w:hAnsi="Arial" w:cs="Arial"/>
                <w:sz w:val="16"/>
                <w:szCs w:val="16"/>
              </w:rPr>
              <w:t>4.77</w:t>
            </w:r>
          </w:p>
        </w:tc>
        <w:tc>
          <w:tcPr>
            <w:tcW w:w="1060" w:type="dxa"/>
            <w:vAlign w:val="center"/>
          </w:tcPr>
          <w:p w14:paraId="007915DD" w14:textId="2F90AF36" w:rsidR="002D7721" w:rsidRPr="002D7721" w:rsidRDefault="002D7721" w:rsidP="002D7721">
            <w:pPr>
              <w:spacing w:line="300" w:lineRule="atLeast"/>
              <w:jc w:val="center"/>
              <w:rPr>
                <w:rFonts w:ascii="Arial" w:hAnsi="Arial" w:cs="Arial"/>
                <w:sz w:val="16"/>
                <w:szCs w:val="16"/>
              </w:rPr>
            </w:pPr>
            <w:r>
              <w:rPr>
                <w:rFonts w:ascii="Arial" w:hAnsi="Arial" w:cs="Arial"/>
                <w:sz w:val="16"/>
                <w:szCs w:val="16"/>
              </w:rPr>
              <w:t>0.24</w:t>
            </w:r>
          </w:p>
        </w:tc>
        <w:tc>
          <w:tcPr>
            <w:tcW w:w="1060" w:type="dxa"/>
            <w:vAlign w:val="center"/>
          </w:tcPr>
          <w:p w14:paraId="4048741C" w14:textId="46F35DB2" w:rsidR="002D7721" w:rsidRPr="002D7721" w:rsidRDefault="002D7721" w:rsidP="002D7721">
            <w:pPr>
              <w:spacing w:line="300" w:lineRule="atLeast"/>
              <w:jc w:val="center"/>
              <w:rPr>
                <w:rFonts w:ascii="Arial" w:hAnsi="Arial" w:cs="Arial"/>
                <w:sz w:val="16"/>
                <w:szCs w:val="16"/>
              </w:rPr>
            </w:pPr>
            <w:r>
              <w:rPr>
                <w:rFonts w:ascii="Arial" w:hAnsi="Arial" w:cs="Arial"/>
                <w:sz w:val="16"/>
                <w:szCs w:val="16"/>
              </w:rPr>
              <w:t>0.48</w:t>
            </w:r>
          </w:p>
        </w:tc>
        <w:tc>
          <w:tcPr>
            <w:tcW w:w="1060" w:type="dxa"/>
            <w:vAlign w:val="center"/>
          </w:tcPr>
          <w:p w14:paraId="369B3230" w14:textId="64C03B53" w:rsidR="002D7721" w:rsidRPr="002D7721" w:rsidRDefault="002D7721" w:rsidP="002D7721">
            <w:pPr>
              <w:spacing w:line="300" w:lineRule="atLeast"/>
              <w:jc w:val="center"/>
              <w:rPr>
                <w:rFonts w:ascii="Arial" w:hAnsi="Arial" w:cs="Arial"/>
                <w:sz w:val="16"/>
                <w:szCs w:val="16"/>
              </w:rPr>
            </w:pPr>
            <w:r>
              <w:rPr>
                <w:rFonts w:ascii="Arial" w:hAnsi="Arial" w:cs="Arial"/>
                <w:sz w:val="16"/>
                <w:szCs w:val="16"/>
              </w:rPr>
              <w:t>-</w:t>
            </w:r>
          </w:p>
        </w:tc>
        <w:tc>
          <w:tcPr>
            <w:tcW w:w="1060" w:type="dxa"/>
            <w:vAlign w:val="center"/>
          </w:tcPr>
          <w:p w14:paraId="7AE11C79" w14:textId="77777777" w:rsidR="002D7721" w:rsidRPr="002D7721" w:rsidRDefault="002D7721" w:rsidP="002D7721">
            <w:pPr>
              <w:spacing w:line="300" w:lineRule="atLeast"/>
              <w:jc w:val="center"/>
              <w:rPr>
                <w:rFonts w:ascii="Arial" w:hAnsi="Arial" w:cs="Arial"/>
                <w:sz w:val="16"/>
                <w:szCs w:val="16"/>
              </w:rPr>
            </w:pPr>
            <w:r w:rsidRPr="002D7721">
              <w:rPr>
                <w:rFonts w:ascii="Arial" w:hAnsi="Arial" w:cs="Arial"/>
                <w:sz w:val="16"/>
                <w:szCs w:val="16"/>
              </w:rPr>
              <w:t>-</w:t>
            </w:r>
          </w:p>
        </w:tc>
        <w:tc>
          <w:tcPr>
            <w:tcW w:w="1061" w:type="dxa"/>
            <w:vAlign w:val="center"/>
          </w:tcPr>
          <w:p w14:paraId="290E4146" w14:textId="7D7DF8D7" w:rsidR="002D7721" w:rsidRPr="001D7794" w:rsidRDefault="002D7721" w:rsidP="002D7721">
            <w:pPr>
              <w:spacing w:line="300" w:lineRule="atLeast"/>
              <w:jc w:val="center"/>
              <w:rPr>
                <w:rFonts w:ascii="Arial" w:hAnsi="Arial" w:cs="Arial"/>
                <w:sz w:val="16"/>
                <w:szCs w:val="16"/>
              </w:rPr>
            </w:pPr>
            <w:r>
              <w:rPr>
                <w:rFonts w:ascii="Arial" w:hAnsi="Arial" w:cs="Arial"/>
                <w:sz w:val="16"/>
                <w:szCs w:val="16"/>
              </w:rPr>
              <w:t>4.05</w:t>
            </w:r>
          </w:p>
        </w:tc>
      </w:tr>
      <w:tr w:rsidR="0035039D" w:rsidRPr="007901FE" w14:paraId="54B55AB9" w14:textId="77777777" w:rsidTr="0035039D">
        <w:tc>
          <w:tcPr>
            <w:tcW w:w="2394" w:type="dxa"/>
            <w:vAlign w:val="center"/>
          </w:tcPr>
          <w:p w14:paraId="280EEABE" w14:textId="77777777" w:rsidR="0035039D" w:rsidRPr="004901F2" w:rsidRDefault="0035039D" w:rsidP="003A7261">
            <w:pPr>
              <w:spacing w:line="300" w:lineRule="atLeast"/>
              <w:rPr>
                <w:rFonts w:ascii="Arial" w:hAnsi="Arial" w:cs="Arial"/>
                <w:sz w:val="16"/>
                <w:szCs w:val="16"/>
              </w:rPr>
            </w:pPr>
            <w:r>
              <w:rPr>
                <w:rFonts w:ascii="Arial" w:hAnsi="Arial" w:cs="Arial"/>
                <w:sz w:val="16"/>
                <w:szCs w:val="16"/>
              </w:rPr>
              <w:t xml:space="preserve">Mercury use in religious rituals and folklore </w:t>
            </w:r>
          </w:p>
        </w:tc>
        <w:tc>
          <w:tcPr>
            <w:tcW w:w="1425" w:type="dxa"/>
            <w:vAlign w:val="center"/>
          </w:tcPr>
          <w:p w14:paraId="5F50516A" w14:textId="77777777" w:rsidR="0035039D" w:rsidRPr="004E3E02" w:rsidRDefault="0035039D" w:rsidP="003A7261">
            <w:pPr>
              <w:spacing w:line="300" w:lineRule="atLeast"/>
              <w:jc w:val="center"/>
              <w:rPr>
                <w:rFonts w:ascii="Arial" w:hAnsi="Arial" w:cs="Arial"/>
                <w:sz w:val="16"/>
                <w:szCs w:val="16"/>
              </w:rPr>
            </w:pPr>
            <w:r>
              <w:rPr>
                <w:rFonts w:ascii="Arial" w:hAnsi="Arial" w:cs="Arial"/>
                <w:sz w:val="16"/>
                <w:szCs w:val="16"/>
              </w:rPr>
              <w:t>-</w:t>
            </w:r>
          </w:p>
        </w:tc>
        <w:tc>
          <w:tcPr>
            <w:tcW w:w="1060" w:type="dxa"/>
            <w:vAlign w:val="center"/>
          </w:tcPr>
          <w:p w14:paraId="275039E8" w14:textId="77777777" w:rsidR="0035039D" w:rsidRPr="004E3E02" w:rsidRDefault="0035039D" w:rsidP="003A7261">
            <w:pPr>
              <w:spacing w:line="300" w:lineRule="atLeast"/>
              <w:jc w:val="center"/>
              <w:rPr>
                <w:rFonts w:ascii="Arial" w:hAnsi="Arial" w:cs="Arial"/>
                <w:sz w:val="16"/>
                <w:szCs w:val="16"/>
              </w:rPr>
            </w:pPr>
            <w:r>
              <w:rPr>
                <w:rFonts w:ascii="Arial" w:hAnsi="Arial" w:cs="Arial"/>
                <w:sz w:val="16"/>
                <w:szCs w:val="16"/>
              </w:rPr>
              <w:t>-</w:t>
            </w:r>
          </w:p>
        </w:tc>
        <w:tc>
          <w:tcPr>
            <w:tcW w:w="1060" w:type="dxa"/>
            <w:vAlign w:val="center"/>
          </w:tcPr>
          <w:p w14:paraId="4BCA506C" w14:textId="77777777" w:rsidR="0035039D" w:rsidRPr="004E3E02" w:rsidRDefault="0035039D" w:rsidP="003A7261">
            <w:pPr>
              <w:spacing w:line="300" w:lineRule="atLeast"/>
              <w:jc w:val="center"/>
              <w:rPr>
                <w:rFonts w:ascii="Arial" w:hAnsi="Arial" w:cs="Arial"/>
                <w:sz w:val="16"/>
                <w:szCs w:val="16"/>
              </w:rPr>
            </w:pPr>
            <w:r>
              <w:rPr>
                <w:rFonts w:ascii="Arial" w:hAnsi="Arial" w:cs="Arial"/>
                <w:sz w:val="16"/>
                <w:szCs w:val="16"/>
              </w:rPr>
              <w:t>-</w:t>
            </w:r>
          </w:p>
        </w:tc>
        <w:tc>
          <w:tcPr>
            <w:tcW w:w="1060" w:type="dxa"/>
            <w:vAlign w:val="center"/>
          </w:tcPr>
          <w:p w14:paraId="2B7C2297" w14:textId="77777777" w:rsidR="0035039D" w:rsidRPr="004E3E02" w:rsidRDefault="0035039D" w:rsidP="003A7261">
            <w:pPr>
              <w:spacing w:line="300" w:lineRule="atLeast"/>
              <w:jc w:val="center"/>
              <w:rPr>
                <w:rFonts w:ascii="Arial" w:hAnsi="Arial" w:cs="Arial"/>
                <w:sz w:val="16"/>
                <w:szCs w:val="16"/>
              </w:rPr>
            </w:pPr>
            <w:r>
              <w:rPr>
                <w:rFonts w:ascii="Arial" w:hAnsi="Arial" w:cs="Arial"/>
                <w:sz w:val="16"/>
                <w:szCs w:val="16"/>
              </w:rPr>
              <w:t>-</w:t>
            </w:r>
          </w:p>
        </w:tc>
        <w:tc>
          <w:tcPr>
            <w:tcW w:w="1060" w:type="dxa"/>
            <w:vAlign w:val="center"/>
          </w:tcPr>
          <w:p w14:paraId="5447CF26" w14:textId="77777777" w:rsidR="0035039D" w:rsidRPr="004E3E02" w:rsidRDefault="0035039D" w:rsidP="003A7261">
            <w:pPr>
              <w:spacing w:line="300" w:lineRule="atLeast"/>
              <w:jc w:val="center"/>
              <w:rPr>
                <w:rFonts w:ascii="Arial" w:hAnsi="Arial" w:cs="Arial"/>
                <w:sz w:val="16"/>
                <w:szCs w:val="16"/>
              </w:rPr>
            </w:pPr>
            <w:r>
              <w:rPr>
                <w:rFonts w:ascii="Arial" w:hAnsi="Arial" w:cs="Arial"/>
                <w:sz w:val="16"/>
                <w:szCs w:val="16"/>
              </w:rPr>
              <w:t>-</w:t>
            </w:r>
          </w:p>
        </w:tc>
        <w:tc>
          <w:tcPr>
            <w:tcW w:w="1061" w:type="dxa"/>
            <w:vAlign w:val="center"/>
          </w:tcPr>
          <w:p w14:paraId="61E2CBE7" w14:textId="77777777" w:rsidR="0035039D" w:rsidRPr="004E3E02" w:rsidRDefault="0035039D" w:rsidP="003A7261">
            <w:pPr>
              <w:spacing w:line="300" w:lineRule="atLeast"/>
              <w:jc w:val="center"/>
              <w:rPr>
                <w:rFonts w:ascii="Arial" w:hAnsi="Arial" w:cs="Arial"/>
                <w:sz w:val="16"/>
                <w:szCs w:val="16"/>
              </w:rPr>
            </w:pPr>
            <w:r>
              <w:rPr>
                <w:rFonts w:ascii="Arial" w:hAnsi="Arial" w:cs="Arial"/>
                <w:sz w:val="16"/>
                <w:szCs w:val="16"/>
              </w:rPr>
              <w:t>-</w:t>
            </w:r>
          </w:p>
        </w:tc>
      </w:tr>
      <w:tr w:rsidR="0035039D" w:rsidRPr="007901FE" w14:paraId="532313AB" w14:textId="77777777" w:rsidTr="0035039D">
        <w:tc>
          <w:tcPr>
            <w:tcW w:w="2394" w:type="dxa"/>
            <w:vAlign w:val="center"/>
          </w:tcPr>
          <w:p w14:paraId="4C664412" w14:textId="77777777" w:rsidR="0035039D" w:rsidRPr="004901F2" w:rsidRDefault="0035039D" w:rsidP="00B76496">
            <w:pPr>
              <w:spacing w:line="300" w:lineRule="atLeast"/>
              <w:rPr>
                <w:rFonts w:ascii="Arial" w:hAnsi="Arial" w:cs="Arial"/>
                <w:sz w:val="16"/>
                <w:szCs w:val="16"/>
              </w:rPr>
            </w:pPr>
            <w:r>
              <w:rPr>
                <w:rFonts w:ascii="Arial" w:hAnsi="Arial" w:cs="Arial"/>
                <w:sz w:val="16"/>
                <w:szCs w:val="16"/>
              </w:rPr>
              <w:t>Miscellaneous product uses, mercury metal, other sources</w:t>
            </w:r>
          </w:p>
        </w:tc>
        <w:tc>
          <w:tcPr>
            <w:tcW w:w="1425" w:type="dxa"/>
            <w:vAlign w:val="center"/>
          </w:tcPr>
          <w:p w14:paraId="0A4E50B7" w14:textId="77777777" w:rsidR="0035039D" w:rsidRDefault="0035039D" w:rsidP="003A7261">
            <w:pPr>
              <w:spacing w:line="300" w:lineRule="atLeast"/>
              <w:jc w:val="center"/>
              <w:rPr>
                <w:rFonts w:ascii="Arial" w:hAnsi="Arial" w:cs="Arial"/>
                <w:sz w:val="16"/>
                <w:szCs w:val="16"/>
              </w:rPr>
            </w:pPr>
            <w:r>
              <w:rPr>
                <w:rFonts w:ascii="Arial" w:hAnsi="Arial" w:cs="Arial"/>
                <w:sz w:val="16"/>
                <w:szCs w:val="16"/>
              </w:rPr>
              <w:t>-</w:t>
            </w:r>
          </w:p>
        </w:tc>
        <w:tc>
          <w:tcPr>
            <w:tcW w:w="1060" w:type="dxa"/>
            <w:vAlign w:val="center"/>
          </w:tcPr>
          <w:p w14:paraId="797B3EB7" w14:textId="77777777" w:rsidR="0035039D" w:rsidRDefault="0035039D" w:rsidP="003A7261">
            <w:pPr>
              <w:spacing w:line="300" w:lineRule="atLeast"/>
              <w:jc w:val="center"/>
              <w:rPr>
                <w:rFonts w:ascii="Arial" w:hAnsi="Arial" w:cs="Arial"/>
                <w:sz w:val="16"/>
                <w:szCs w:val="16"/>
              </w:rPr>
            </w:pPr>
            <w:r>
              <w:rPr>
                <w:rFonts w:ascii="Arial" w:hAnsi="Arial" w:cs="Arial"/>
                <w:sz w:val="16"/>
                <w:szCs w:val="16"/>
              </w:rPr>
              <w:t>-</w:t>
            </w:r>
          </w:p>
        </w:tc>
        <w:tc>
          <w:tcPr>
            <w:tcW w:w="1060" w:type="dxa"/>
            <w:vAlign w:val="center"/>
          </w:tcPr>
          <w:p w14:paraId="0821E234" w14:textId="77777777" w:rsidR="0035039D" w:rsidRDefault="0035039D" w:rsidP="003A7261">
            <w:pPr>
              <w:spacing w:line="300" w:lineRule="atLeast"/>
              <w:jc w:val="center"/>
              <w:rPr>
                <w:rFonts w:ascii="Arial" w:hAnsi="Arial" w:cs="Arial"/>
                <w:sz w:val="16"/>
                <w:szCs w:val="16"/>
              </w:rPr>
            </w:pPr>
            <w:r>
              <w:rPr>
                <w:rFonts w:ascii="Arial" w:hAnsi="Arial" w:cs="Arial"/>
                <w:sz w:val="16"/>
                <w:szCs w:val="16"/>
              </w:rPr>
              <w:t>-</w:t>
            </w:r>
          </w:p>
        </w:tc>
        <w:tc>
          <w:tcPr>
            <w:tcW w:w="1060" w:type="dxa"/>
            <w:vAlign w:val="center"/>
          </w:tcPr>
          <w:p w14:paraId="16EF91C7" w14:textId="77777777" w:rsidR="0035039D" w:rsidRDefault="0035039D" w:rsidP="003A7261">
            <w:pPr>
              <w:spacing w:line="300" w:lineRule="atLeast"/>
              <w:jc w:val="center"/>
              <w:rPr>
                <w:rFonts w:ascii="Arial" w:hAnsi="Arial" w:cs="Arial"/>
                <w:sz w:val="16"/>
                <w:szCs w:val="16"/>
              </w:rPr>
            </w:pPr>
            <w:r>
              <w:rPr>
                <w:rFonts w:ascii="Arial" w:hAnsi="Arial" w:cs="Arial"/>
                <w:sz w:val="16"/>
                <w:szCs w:val="16"/>
              </w:rPr>
              <w:t>-</w:t>
            </w:r>
          </w:p>
        </w:tc>
        <w:tc>
          <w:tcPr>
            <w:tcW w:w="1060" w:type="dxa"/>
            <w:vAlign w:val="center"/>
          </w:tcPr>
          <w:p w14:paraId="7FB82B33" w14:textId="77777777" w:rsidR="0035039D" w:rsidRDefault="0035039D" w:rsidP="003A7261">
            <w:pPr>
              <w:spacing w:line="300" w:lineRule="atLeast"/>
              <w:jc w:val="center"/>
              <w:rPr>
                <w:rFonts w:ascii="Arial" w:hAnsi="Arial" w:cs="Arial"/>
                <w:sz w:val="16"/>
                <w:szCs w:val="16"/>
              </w:rPr>
            </w:pPr>
            <w:r>
              <w:rPr>
                <w:rFonts w:ascii="Arial" w:hAnsi="Arial" w:cs="Arial"/>
                <w:sz w:val="16"/>
                <w:szCs w:val="16"/>
              </w:rPr>
              <w:t>-</w:t>
            </w:r>
          </w:p>
        </w:tc>
        <w:tc>
          <w:tcPr>
            <w:tcW w:w="1061" w:type="dxa"/>
            <w:vAlign w:val="center"/>
          </w:tcPr>
          <w:p w14:paraId="575E2E4D" w14:textId="77777777" w:rsidR="0035039D" w:rsidRDefault="0035039D" w:rsidP="003A7261">
            <w:pPr>
              <w:spacing w:line="300" w:lineRule="atLeast"/>
              <w:jc w:val="center"/>
              <w:rPr>
                <w:rFonts w:ascii="Arial" w:hAnsi="Arial" w:cs="Arial"/>
                <w:sz w:val="16"/>
                <w:szCs w:val="16"/>
              </w:rPr>
            </w:pPr>
            <w:r>
              <w:rPr>
                <w:rFonts w:ascii="Arial" w:hAnsi="Arial" w:cs="Arial"/>
                <w:sz w:val="16"/>
                <w:szCs w:val="16"/>
              </w:rPr>
              <w:t>-</w:t>
            </w:r>
          </w:p>
        </w:tc>
      </w:tr>
      <w:tr w:rsidR="0035039D" w:rsidRPr="007901FE" w14:paraId="3073E4D1" w14:textId="77777777" w:rsidTr="0035039D">
        <w:tc>
          <w:tcPr>
            <w:tcW w:w="2394" w:type="dxa"/>
            <w:vAlign w:val="center"/>
          </w:tcPr>
          <w:p w14:paraId="03B65CD8" w14:textId="77777777" w:rsidR="0035039D" w:rsidRPr="002D7721" w:rsidRDefault="0035039D" w:rsidP="0094046F">
            <w:pPr>
              <w:spacing w:line="300" w:lineRule="atLeast"/>
              <w:rPr>
                <w:rFonts w:ascii="Arial" w:hAnsi="Arial" w:cs="Arial"/>
                <w:b/>
                <w:sz w:val="16"/>
                <w:szCs w:val="16"/>
              </w:rPr>
            </w:pPr>
            <w:r w:rsidRPr="002D7721">
              <w:rPr>
                <w:rFonts w:ascii="Arial" w:hAnsi="Arial" w:cs="Arial"/>
                <w:b/>
                <w:sz w:val="16"/>
                <w:szCs w:val="16"/>
              </w:rPr>
              <w:t>Totals</w:t>
            </w:r>
          </w:p>
        </w:tc>
        <w:tc>
          <w:tcPr>
            <w:tcW w:w="1425" w:type="dxa"/>
            <w:vAlign w:val="center"/>
          </w:tcPr>
          <w:p w14:paraId="06147628" w14:textId="108C4D20" w:rsidR="0035039D" w:rsidRPr="002D7721" w:rsidRDefault="00A663D0" w:rsidP="003A7261">
            <w:pPr>
              <w:spacing w:line="300" w:lineRule="atLeast"/>
              <w:jc w:val="center"/>
              <w:rPr>
                <w:rFonts w:ascii="Arial" w:hAnsi="Arial" w:cs="Arial"/>
                <w:b/>
                <w:sz w:val="16"/>
                <w:szCs w:val="16"/>
              </w:rPr>
            </w:pPr>
            <w:r>
              <w:rPr>
                <w:rFonts w:ascii="Arial" w:hAnsi="Arial" w:cs="Arial"/>
                <w:b/>
                <w:sz w:val="16"/>
                <w:szCs w:val="16"/>
              </w:rPr>
              <w:t>43.8</w:t>
            </w:r>
          </w:p>
        </w:tc>
        <w:tc>
          <w:tcPr>
            <w:tcW w:w="1060" w:type="dxa"/>
            <w:vAlign w:val="center"/>
          </w:tcPr>
          <w:p w14:paraId="5A058C09" w14:textId="2C37AF78" w:rsidR="0035039D" w:rsidRPr="002D7721" w:rsidRDefault="009C00C2" w:rsidP="003A7261">
            <w:pPr>
              <w:spacing w:line="300" w:lineRule="atLeast"/>
              <w:jc w:val="center"/>
              <w:rPr>
                <w:rFonts w:ascii="Arial" w:hAnsi="Arial" w:cs="Arial"/>
                <w:b/>
                <w:sz w:val="16"/>
                <w:szCs w:val="16"/>
              </w:rPr>
            </w:pPr>
            <w:r>
              <w:rPr>
                <w:rFonts w:ascii="Arial" w:hAnsi="Arial" w:cs="Arial"/>
                <w:b/>
                <w:sz w:val="16"/>
                <w:szCs w:val="16"/>
              </w:rPr>
              <w:t>1.0</w:t>
            </w:r>
          </w:p>
        </w:tc>
        <w:tc>
          <w:tcPr>
            <w:tcW w:w="1060" w:type="dxa"/>
            <w:vAlign w:val="center"/>
          </w:tcPr>
          <w:p w14:paraId="21DA1541" w14:textId="6F5359D2" w:rsidR="0035039D" w:rsidRPr="002D7721" w:rsidRDefault="002D7721" w:rsidP="003A7261">
            <w:pPr>
              <w:spacing w:line="300" w:lineRule="atLeast"/>
              <w:jc w:val="center"/>
              <w:rPr>
                <w:rFonts w:ascii="Arial" w:hAnsi="Arial" w:cs="Arial"/>
                <w:b/>
                <w:sz w:val="16"/>
                <w:szCs w:val="16"/>
              </w:rPr>
            </w:pPr>
            <w:r>
              <w:rPr>
                <w:rFonts w:ascii="Arial" w:hAnsi="Arial" w:cs="Arial"/>
                <w:b/>
                <w:sz w:val="16"/>
                <w:szCs w:val="16"/>
              </w:rPr>
              <w:t>5.7</w:t>
            </w:r>
          </w:p>
        </w:tc>
        <w:tc>
          <w:tcPr>
            <w:tcW w:w="1060" w:type="dxa"/>
            <w:vAlign w:val="center"/>
          </w:tcPr>
          <w:p w14:paraId="466E2C3D" w14:textId="77777777" w:rsidR="0035039D" w:rsidRPr="002D7721" w:rsidRDefault="0035039D" w:rsidP="003A7261">
            <w:pPr>
              <w:spacing w:line="300" w:lineRule="atLeast"/>
              <w:jc w:val="center"/>
              <w:rPr>
                <w:rFonts w:ascii="Arial" w:hAnsi="Arial" w:cs="Arial"/>
                <w:b/>
                <w:sz w:val="16"/>
                <w:szCs w:val="16"/>
              </w:rPr>
            </w:pPr>
            <w:r w:rsidRPr="002D7721">
              <w:rPr>
                <w:rFonts w:ascii="Arial" w:hAnsi="Arial" w:cs="Arial"/>
                <w:b/>
                <w:sz w:val="16"/>
                <w:szCs w:val="16"/>
              </w:rPr>
              <w:t>-</w:t>
            </w:r>
          </w:p>
        </w:tc>
        <w:tc>
          <w:tcPr>
            <w:tcW w:w="1060" w:type="dxa"/>
            <w:vAlign w:val="center"/>
          </w:tcPr>
          <w:p w14:paraId="0BA400E5" w14:textId="6BA9B536" w:rsidR="0035039D" w:rsidRPr="002D7721" w:rsidRDefault="00A663D0" w:rsidP="003A7261">
            <w:pPr>
              <w:spacing w:line="300" w:lineRule="atLeast"/>
              <w:jc w:val="center"/>
              <w:rPr>
                <w:rFonts w:ascii="Arial" w:hAnsi="Arial" w:cs="Arial"/>
                <w:b/>
                <w:sz w:val="16"/>
                <w:szCs w:val="16"/>
              </w:rPr>
            </w:pPr>
            <w:r>
              <w:rPr>
                <w:rFonts w:ascii="Arial" w:hAnsi="Arial" w:cs="Arial"/>
                <w:b/>
                <w:sz w:val="16"/>
                <w:szCs w:val="16"/>
              </w:rPr>
              <w:t>24.1</w:t>
            </w:r>
          </w:p>
        </w:tc>
        <w:tc>
          <w:tcPr>
            <w:tcW w:w="1061" w:type="dxa"/>
            <w:vAlign w:val="center"/>
          </w:tcPr>
          <w:p w14:paraId="2DC317C6" w14:textId="5A71C641" w:rsidR="0035039D" w:rsidRPr="004E3E02" w:rsidRDefault="002D7721" w:rsidP="003A7261">
            <w:pPr>
              <w:spacing w:line="300" w:lineRule="atLeast"/>
              <w:jc w:val="center"/>
              <w:rPr>
                <w:rFonts w:ascii="Arial" w:hAnsi="Arial" w:cs="Arial"/>
                <w:b/>
                <w:sz w:val="16"/>
                <w:szCs w:val="16"/>
              </w:rPr>
            </w:pPr>
            <w:r>
              <w:rPr>
                <w:rFonts w:ascii="Arial" w:hAnsi="Arial" w:cs="Arial"/>
                <w:b/>
                <w:sz w:val="16"/>
                <w:szCs w:val="16"/>
              </w:rPr>
              <w:t>13.1</w:t>
            </w:r>
          </w:p>
        </w:tc>
      </w:tr>
    </w:tbl>
    <w:p w14:paraId="691DF041" w14:textId="77777777" w:rsidR="00D16E72" w:rsidRDefault="00D16E72" w:rsidP="003833D6">
      <w:pPr>
        <w:spacing w:line="300" w:lineRule="atLeast"/>
        <w:jc w:val="both"/>
        <w:rPr>
          <w:szCs w:val="18"/>
        </w:rPr>
      </w:pPr>
    </w:p>
    <w:p w14:paraId="3C96CEA5" w14:textId="77777777" w:rsidR="00D16E72" w:rsidRDefault="00D16E72">
      <w:pPr>
        <w:spacing w:after="0"/>
        <w:rPr>
          <w:szCs w:val="18"/>
        </w:rPr>
      </w:pPr>
      <w:r>
        <w:rPr>
          <w:szCs w:val="18"/>
        </w:rPr>
        <w:br w:type="page"/>
      </w:r>
    </w:p>
    <w:p w14:paraId="00827267" w14:textId="77777777" w:rsidR="00D16E72" w:rsidRDefault="003E5726" w:rsidP="00D16E72">
      <w:pPr>
        <w:pStyle w:val="Heading1"/>
      </w:pPr>
      <w:bookmarkStart w:id="131" w:name="_Toc484949608"/>
      <w:r>
        <w:lastRenderedPageBreak/>
        <w:t>Production of recycled metals (secondary metal production)</w:t>
      </w:r>
      <w:bookmarkEnd w:id="131"/>
    </w:p>
    <w:p w14:paraId="276B8075" w14:textId="77777777" w:rsidR="00D16E72" w:rsidRDefault="00D16E72" w:rsidP="003833D6">
      <w:pPr>
        <w:spacing w:line="300" w:lineRule="atLeast"/>
        <w:jc w:val="both"/>
        <w:rPr>
          <w:szCs w:val="18"/>
        </w:rPr>
      </w:pPr>
    </w:p>
    <w:p w14:paraId="622BD455" w14:textId="7D4FE7A8" w:rsidR="00D16E72" w:rsidRDefault="00591D0E" w:rsidP="003833D6">
      <w:pPr>
        <w:spacing w:line="300" w:lineRule="atLeast"/>
        <w:jc w:val="both"/>
        <w:rPr>
          <w:szCs w:val="18"/>
        </w:rPr>
      </w:pPr>
      <w:r w:rsidRPr="00591D0E">
        <w:rPr>
          <w:szCs w:val="18"/>
        </w:rPr>
        <w:t xml:space="preserve">This category covers mercury </w:t>
      </w:r>
      <w:r>
        <w:rPr>
          <w:szCs w:val="18"/>
        </w:rPr>
        <w:t>releases from the</w:t>
      </w:r>
      <w:r w:rsidRPr="00591D0E">
        <w:rPr>
          <w:szCs w:val="18"/>
        </w:rPr>
        <w:t xml:space="preserve"> product</w:t>
      </w:r>
      <w:r>
        <w:rPr>
          <w:szCs w:val="18"/>
        </w:rPr>
        <w:t xml:space="preserve">ion of recycled metals, which is also referred to as </w:t>
      </w:r>
      <w:r w:rsidRPr="00591D0E">
        <w:rPr>
          <w:szCs w:val="18"/>
        </w:rPr>
        <w:t>s</w:t>
      </w:r>
      <w:r>
        <w:rPr>
          <w:szCs w:val="18"/>
        </w:rPr>
        <w:t>econdary metal production</w:t>
      </w:r>
      <w:r w:rsidRPr="00591D0E">
        <w:rPr>
          <w:szCs w:val="18"/>
        </w:rPr>
        <w:t xml:space="preserve"> (</w:t>
      </w:r>
      <w:r w:rsidR="00C738EC">
        <w:rPr>
          <w:szCs w:val="18"/>
        </w:rPr>
        <w:t>UNEP, 2017</w:t>
      </w:r>
      <w:r w:rsidRPr="00591D0E">
        <w:rPr>
          <w:szCs w:val="18"/>
        </w:rPr>
        <w:t>). The various sub-categories and the primary release pathways are summarised in</w:t>
      </w:r>
      <w:r>
        <w:rPr>
          <w:szCs w:val="18"/>
        </w:rPr>
        <w:t xml:space="preserve"> </w:t>
      </w:r>
      <w:r>
        <w:rPr>
          <w:szCs w:val="18"/>
        </w:rPr>
        <w:fldChar w:fldCharType="begin"/>
      </w:r>
      <w:r>
        <w:rPr>
          <w:szCs w:val="18"/>
        </w:rPr>
        <w:instrText xml:space="preserve"> REF _Ref358551298 \h </w:instrText>
      </w:r>
      <w:r>
        <w:rPr>
          <w:szCs w:val="18"/>
        </w:rPr>
      </w:r>
      <w:r>
        <w:rPr>
          <w:szCs w:val="18"/>
        </w:rPr>
        <w:fldChar w:fldCharType="separate"/>
      </w:r>
      <w:r w:rsidR="00423FC9" w:rsidRPr="0001617E">
        <w:rPr>
          <w:rFonts w:ascii="Arial" w:hAnsi="Arial" w:cs="Arial"/>
        </w:rPr>
        <w:t xml:space="preserve">Table </w:t>
      </w:r>
      <w:r w:rsidR="00423FC9">
        <w:rPr>
          <w:rFonts w:ascii="Arial" w:hAnsi="Arial" w:cs="Arial"/>
          <w:noProof/>
        </w:rPr>
        <w:t>9</w:t>
      </w:r>
      <w:r w:rsidR="00423FC9" w:rsidRPr="0001617E">
        <w:rPr>
          <w:rFonts w:ascii="Arial" w:hAnsi="Arial" w:cs="Arial"/>
        </w:rPr>
        <w:noBreakHyphen/>
      </w:r>
      <w:r w:rsidR="00423FC9">
        <w:rPr>
          <w:rFonts w:ascii="Arial" w:hAnsi="Arial" w:cs="Arial"/>
          <w:noProof/>
        </w:rPr>
        <w:t>1</w:t>
      </w:r>
      <w:r>
        <w:rPr>
          <w:szCs w:val="18"/>
        </w:rPr>
        <w:fldChar w:fldCharType="end"/>
      </w:r>
      <w:r w:rsidR="00DB09D1" w:rsidRPr="00DB09D1">
        <w:rPr>
          <w:szCs w:val="18"/>
        </w:rPr>
        <w:t>, which has been copied directly from the UNEP Toolkit</w:t>
      </w:r>
      <w:r w:rsidRPr="00591D0E">
        <w:rPr>
          <w:szCs w:val="18"/>
        </w:rPr>
        <w:t>.</w:t>
      </w:r>
    </w:p>
    <w:p w14:paraId="467D9F53" w14:textId="77777777" w:rsidR="00D16E72" w:rsidRDefault="003E5726" w:rsidP="003E5726">
      <w:pPr>
        <w:pStyle w:val="Caption"/>
        <w:spacing w:before="240"/>
        <w:ind w:left="1440" w:hanging="1440"/>
        <w:rPr>
          <w:szCs w:val="18"/>
        </w:rPr>
      </w:pPr>
      <w:bookmarkStart w:id="132" w:name="_Ref358551298"/>
      <w:bookmarkStart w:id="133" w:name="_Toc484949668"/>
      <w:r w:rsidRPr="0001617E">
        <w:rPr>
          <w:rFonts w:ascii="Arial" w:hAnsi="Arial" w:cs="Arial"/>
        </w:rPr>
        <w:t xml:space="preserve">Table </w:t>
      </w:r>
      <w:r w:rsidR="002B0D65" w:rsidRPr="0001617E">
        <w:rPr>
          <w:rFonts w:ascii="Arial" w:hAnsi="Arial" w:cs="Arial"/>
        </w:rPr>
        <w:fldChar w:fldCharType="begin"/>
      </w:r>
      <w:r w:rsidR="002B0D65" w:rsidRPr="0001617E">
        <w:rPr>
          <w:rFonts w:ascii="Arial" w:hAnsi="Arial" w:cs="Arial"/>
        </w:rPr>
        <w:instrText xml:space="preserve"> STYLEREF 1 \s </w:instrText>
      </w:r>
      <w:r w:rsidR="002B0D65" w:rsidRPr="0001617E">
        <w:rPr>
          <w:rFonts w:ascii="Arial" w:hAnsi="Arial" w:cs="Arial"/>
        </w:rPr>
        <w:fldChar w:fldCharType="separate"/>
      </w:r>
      <w:r w:rsidR="00423FC9">
        <w:rPr>
          <w:rFonts w:ascii="Arial" w:hAnsi="Arial" w:cs="Arial"/>
          <w:noProof/>
        </w:rPr>
        <w:t>9</w:t>
      </w:r>
      <w:r w:rsidR="002B0D65" w:rsidRPr="0001617E">
        <w:rPr>
          <w:rFonts w:ascii="Arial" w:hAnsi="Arial" w:cs="Arial"/>
          <w:noProof/>
        </w:rPr>
        <w:fldChar w:fldCharType="end"/>
      </w:r>
      <w:r w:rsidR="00390C9F" w:rsidRPr="0001617E">
        <w:rPr>
          <w:rFonts w:ascii="Arial" w:hAnsi="Arial" w:cs="Arial"/>
        </w:rPr>
        <w:noBreakHyphen/>
      </w:r>
      <w:r w:rsidR="002B0D65" w:rsidRPr="0001617E">
        <w:rPr>
          <w:rFonts w:ascii="Arial" w:hAnsi="Arial" w:cs="Arial"/>
        </w:rPr>
        <w:fldChar w:fldCharType="begin"/>
      </w:r>
      <w:r w:rsidR="002B0D65" w:rsidRPr="0001617E">
        <w:rPr>
          <w:rFonts w:ascii="Arial" w:hAnsi="Arial" w:cs="Arial"/>
        </w:rPr>
        <w:instrText xml:space="preserve"> SEQ Table \* ARABIC \s 1 </w:instrText>
      </w:r>
      <w:r w:rsidR="002B0D65" w:rsidRPr="0001617E">
        <w:rPr>
          <w:rFonts w:ascii="Arial" w:hAnsi="Arial" w:cs="Arial"/>
        </w:rPr>
        <w:fldChar w:fldCharType="separate"/>
      </w:r>
      <w:r w:rsidR="00423FC9">
        <w:rPr>
          <w:rFonts w:ascii="Arial" w:hAnsi="Arial" w:cs="Arial"/>
          <w:noProof/>
        </w:rPr>
        <w:t>1</w:t>
      </w:r>
      <w:r w:rsidR="002B0D65" w:rsidRPr="0001617E">
        <w:rPr>
          <w:rFonts w:ascii="Arial" w:hAnsi="Arial" w:cs="Arial"/>
          <w:noProof/>
        </w:rPr>
        <w:fldChar w:fldCharType="end"/>
      </w:r>
      <w:bookmarkEnd w:id="132"/>
      <w:r w:rsidRPr="0001617E">
        <w:rPr>
          <w:rFonts w:ascii="Arial" w:hAnsi="Arial" w:cs="Arial"/>
        </w:rPr>
        <w:t>:</w:t>
      </w:r>
      <w:r>
        <w:t xml:space="preserve">  </w:t>
      </w:r>
      <w:r w:rsidR="00D16E72" w:rsidRPr="003D7CC9">
        <w:rPr>
          <w:rFonts w:ascii="Arial" w:hAnsi="Arial" w:cs="Arial"/>
        </w:rPr>
        <w:t>T</w:t>
      </w:r>
      <w:r w:rsidR="00D16E72">
        <w:rPr>
          <w:rFonts w:ascii="Arial" w:hAnsi="Arial" w:cs="Arial"/>
        </w:rPr>
        <w:t xml:space="preserve">oolkit framework for category </w:t>
      </w:r>
      <w:r>
        <w:rPr>
          <w:rFonts w:ascii="Arial" w:hAnsi="Arial" w:cs="Arial"/>
        </w:rPr>
        <w:t>7</w:t>
      </w:r>
      <w:r w:rsidR="00D16E72">
        <w:rPr>
          <w:rFonts w:ascii="Arial" w:hAnsi="Arial" w:cs="Arial"/>
        </w:rPr>
        <w:t xml:space="preserve"> –production</w:t>
      </w:r>
      <w:r>
        <w:rPr>
          <w:rFonts w:ascii="Arial" w:hAnsi="Arial" w:cs="Arial"/>
        </w:rPr>
        <w:t xml:space="preserve"> of recycled metals (secondary metal production)</w:t>
      </w:r>
      <w:bookmarkEnd w:id="1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850"/>
        <w:gridCol w:w="851"/>
        <w:gridCol w:w="851"/>
        <w:gridCol w:w="992"/>
        <w:gridCol w:w="992"/>
        <w:gridCol w:w="1099"/>
      </w:tblGrid>
      <w:tr w:rsidR="00D16E72" w:rsidRPr="004901F2" w14:paraId="7D252F16" w14:textId="77777777" w:rsidTr="00284F82">
        <w:tc>
          <w:tcPr>
            <w:tcW w:w="851" w:type="dxa"/>
            <w:shd w:val="clear" w:color="auto" w:fill="auto"/>
            <w:vAlign w:val="center"/>
          </w:tcPr>
          <w:p w14:paraId="5C561E99"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Toolkit Chapter</w:t>
            </w:r>
          </w:p>
        </w:tc>
        <w:tc>
          <w:tcPr>
            <w:tcW w:w="2693" w:type="dxa"/>
            <w:shd w:val="clear" w:color="auto" w:fill="auto"/>
            <w:vAlign w:val="center"/>
          </w:tcPr>
          <w:p w14:paraId="6EE0BF8D"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Sub-category</w:t>
            </w:r>
          </w:p>
        </w:tc>
        <w:tc>
          <w:tcPr>
            <w:tcW w:w="850" w:type="dxa"/>
            <w:shd w:val="clear" w:color="auto" w:fill="auto"/>
            <w:vAlign w:val="center"/>
          </w:tcPr>
          <w:p w14:paraId="3F217A9C"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Air</w:t>
            </w:r>
          </w:p>
        </w:tc>
        <w:tc>
          <w:tcPr>
            <w:tcW w:w="851" w:type="dxa"/>
            <w:shd w:val="clear" w:color="auto" w:fill="auto"/>
            <w:vAlign w:val="center"/>
          </w:tcPr>
          <w:p w14:paraId="02698C37"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Water</w:t>
            </w:r>
          </w:p>
        </w:tc>
        <w:tc>
          <w:tcPr>
            <w:tcW w:w="851" w:type="dxa"/>
            <w:shd w:val="clear" w:color="auto" w:fill="auto"/>
            <w:vAlign w:val="center"/>
          </w:tcPr>
          <w:p w14:paraId="2634CFC8"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Land</w:t>
            </w:r>
          </w:p>
        </w:tc>
        <w:tc>
          <w:tcPr>
            <w:tcW w:w="992" w:type="dxa"/>
            <w:shd w:val="clear" w:color="auto" w:fill="auto"/>
            <w:vAlign w:val="center"/>
          </w:tcPr>
          <w:p w14:paraId="5313EF2B"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Product</w:t>
            </w:r>
          </w:p>
        </w:tc>
        <w:tc>
          <w:tcPr>
            <w:tcW w:w="992" w:type="dxa"/>
            <w:shd w:val="clear" w:color="auto" w:fill="auto"/>
            <w:vAlign w:val="center"/>
          </w:tcPr>
          <w:p w14:paraId="3ECB285A"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Waste/ residue</w:t>
            </w:r>
          </w:p>
        </w:tc>
        <w:tc>
          <w:tcPr>
            <w:tcW w:w="1099" w:type="dxa"/>
            <w:shd w:val="clear" w:color="auto" w:fill="auto"/>
            <w:vAlign w:val="center"/>
          </w:tcPr>
          <w:p w14:paraId="12D7D579"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Main approach</w:t>
            </w:r>
          </w:p>
        </w:tc>
      </w:tr>
      <w:tr w:rsidR="00D16E72" w:rsidRPr="004901F2" w14:paraId="087C8A4A" w14:textId="77777777" w:rsidTr="00284F82">
        <w:tc>
          <w:tcPr>
            <w:tcW w:w="851" w:type="dxa"/>
            <w:shd w:val="clear" w:color="auto" w:fill="auto"/>
            <w:vAlign w:val="center"/>
          </w:tcPr>
          <w:p w14:paraId="168C5EAC" w14:textId="77777777" w:rsidR="00D16E72" w:rsidRPr="004901F2" w:rsidRDefault="00D16E72" w:rsidP="00284F82">
            <w:pPr>
              <w:spacing w:before="40" w:after="40" w:line="300" w:lineRule="atLeast"/>
              <w:rPr>
                <w:rFonts w:ascii="Arial" w:hAnsi="Arial" w:cs="Arial"/>
                <w:sz w:val="16"/>
                <w:szCs w:val="16"/>
              </w:rPr>
            </w:pPr>
            <w:r>
              <w:rPr>
                <w:rFonts w:ascii="Arial" w:hAnsi="Arial" w:cs="Arial"/>
                <w:sz w:val="16"/>
                <w:szCs w:val="16"/>
              </w:rPr>
              <w:t>5.2</w:t>
            </w:r>
            <w:r w:rsidRPr="004901F2">
              <w:rPr>
                <w:rFonts w:ascii="Arial" w:hAnsi="Arial" w:cs="Arial"/>
                <w:sz w:val="16"/>
                <w:szCs w:val="16"/>
              </w:rPr>
              <w:t>.1</w:t>
            </w:r>
          </w:p>
        </w:tc>
        <w:tc>
          <w:tcPr>
            <w:tcW w:w="2693" w:type="dxa"/>
            <w:shd w:val="clear" w:color="auto" w:fill="auto"/>
            <w:vAlign w:val="center"/>
          </w:tcPr>
          <w:p w14:paraId="2218B3BE" w14:textId="77777777" w:rsidR="00D16E72" w:rsidRPr="004901F2" w:rsidRDefault="003E5726" w:rsidP="003E5726">
            <w:pPr>
              <w:spacing w:line="300" w:lineRule="atLeast"/>
              <w:rPr>
                <w:rFonts w:ascii="Arial" w:hAnsi="Arial" w:cs="Arial"/>
                <w:sz w:val="16"/>
                <w:szCs w:val="16"/>
              </w:rPr>
            </w:pPr>
            <w:r>
              <w:rPr>
                <w:rFonts w:ascii="Arial" w:hAnsi="Arial" w:cs="Arial"/>
                <w:sz w:val="16"/>
                <w:szCs w:val="16"/>
              </w:rPr>
              <w:t>Recycled m</w:t>
            </w:r>
            <w:r w:rsidR="00D16E72">
              <w:rPr>
                <w:rFonts w:ascii="Arial" w:hAnsi="Arial" w:cs="Arial"/>
                <w:sz w:val="16"/>
                <w:szCs w:val="16"/>
              </w:rPr>
              <w:t>ercury</w:t>
            </w:r>
          </w:p>
        </w:tc>
        <w:tc>
          <w:tcPr>
            <w:tcW w:w="850" w:type="dxa"/>
            <w:shd w:val="clear" w:color="auto" w:fill="auto"/>
            <w:vAlign w:val="center"/>
          </w:tcPr>
          <w:p w14:paraId="28B44FE6"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2869F629" w14:textId="77777777" w:rsidR="00D16E72" w:rsidRPr="004901F2" w:rsidRDefault="00D16E72" w:rsidP="00284F82">
            <w:pPr>
              <w:spacing w:before="40" w:after="40" w:line="300" w:lineRule="atLeast"/>
              <w:jc w:val="center"/>
              <w:rPr>
                <w:rFonts w:ascii="Arial" w:hAnsi="Arial" w:cs="Arial"/>
                <w:sz w:val="16"/>
                <w:szCs w:val="16"/>
              </w:rPr>
            </w:pPr>
            <w:r w:rsidRPr="00177AB0">
              <w:rPr>
                <w:rFonts w:ascii="Arial" w:hAnsi="Arial" w:cs="Arial"/>
                <w:b/>
                <w:sz w:val="16"/>
                <w:szCs w:val="16"/>
              </w:rPr>
              <w:t>X</w:t>
            </w:r>
          </w:p>
        </w:tc>
        <w:tc>
          <w:tcPr>
            <w:tcW w:w="851" w:type="dxa"/>
            <w:shd w:val="clear" w:color="auto" w:fill="auto"/>
            <w:vAlign w:val="center"/>
          </w:tcPr>
          <w:p w14:paraId="041540F0"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3E68F9F3"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5C49B30C"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1099" w:type="dxa"/>
            <w:shd w:val="clear" w:color="auto" w:fill="auto"/>
            <w:vAlign w:val="center"/>
          </w:tcPr>
          <w:p w14:paraId="1266B00C"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sz w:val="16"/>
                <w:szCs w:val="16"/>
              </w:rPr>
              <w:t>PS</w:t>
            </w:r>
          </w:p>
        </w:tc>
      </w:tr>
      <w:tr w:rsidR="00D16E72" w:rsidRPr="004901F2" w14:paraId="7C11D3DB" w14:textId="77777777" w:rsidTr="00284F82">
        <w:tc>
          <w:tcPr>
            <w:tcW w:w="851" w:type="dxa"/>
            <w:shd w:val="clear" w:color="auto" w:fill="auto"/>
            <w:vAlign w:val="center"/>
          </w:tcPr>
          <w:p w14:paraId="2CD1E8C3" w14:textId="77777777" w:rsidR="00D16E72" w:rsidRPr="004901F2" w:rsidRDefault="00D16E72" w:rsidP="00284F82">
            <w:pPr>
              <w:spacing w:before="40" w:after="40" w:line="300" w:lineRule="atLeast"/>
              <w:rPr>
                <w:rFonts w:ascii="Arial" w:hAnsi="Arial" w:cs="Arial"/>
                <w:sz w:val="16"/>
                <w:szCs w:val="16"/>
              </w:rPr>
            </w:pPr>
            <w:r>
              <w:rPr>
                <w:rFonts w:ascii="Arial" w:hAnsi="Arial" w:cs="Arial"/>
                <w:sz w:val="16"/>
                <w:szCs w:val="16"/>
              </w:rPr>
              <w:t>5.2</w:t>
            </w:r>
            <w:r w:rsidRPr="004901F2">
              <w:rPr>
                <w:rFonts w:ascii="Arial" w:hAnsi="Arial" w:cs="Arial"/>
                <w:sz w:val="16"/>
                <w:szCs w:val="16"/>
              </w:rPr>
              <w:t>.2</w:t>
            </w:r>
          </w:p>
        </w:tc>
        <w:tc>
          <w:tcPr>
            <w:tcW w:w="2693" w:type="dxa"/>
            <w:shd w:val="clear" w:color="auto" w:fill="auto"/>
            <w:vAlign w:val="center"/>
          </w:tcPr>
          <w:p w14:paraId="0BDB5D4E" w14:textId="77777777" w:rsidR="00D16E72" w:rsidRPr="004901F2" w:rsidRDefault="003E5726" w:rsidP="00284F82">
            <w:pPr>
              <w:spacing w:before="40" w:after="40" w:line="300" w:lineRule="atLeast"/>
              <w:rPr>
                <w:rFonts w:ascii="Arial" w:hAnsi="Arial" w:cs="Arial"/>
                <w:sz w:val="16"/>
                <w:szCs w:val="16"/>
              </w:rPr>
            </w:pPr>
            <w:r>
              <w:rPr>
                <w:rFonts w:ascii="Arial" w:hAnsi="Arial" w:cs="Arial"/>
                <w:sz w:val="16"/>
                <w:szCs w:val="16"/>
              </w:rPr>
              <w:t>Ferrous metals (iron and steel)</w:t>
            </w:r>
          </w:p>
        </w:tc>
        <w:tc>
          <w:tcPr>
            <w:tcW w:w="850" w:type="dxa"/>
            <w:shd w:val="clear" w:color="auto" w:fill="auto"/>
            <w:vAlign w:val="center"/>
          </w:tcPr>
          <w:p w14:paraId="7997325A"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3873AFAA" w14:textId="77777777" w:rsidR="00D16E72" w:rsidRPr="003E5726" w:rsidRDefault="003E5726" w:rsidP="00284F82">
            <w:pPr>
              <w:spacing w:before="40" w:after="40" w:line="300" w:lineRule="atLeast"/>
              <w:jc w:val="center"/>
              <w:rPr>
                <w:rFonts w:ascii="Arial" w:hAnsi="Arial" w:cs="Arial"/>
                <w:sz w:val="16"/>
                <w:szCs w:val="16"/>
              </w:rPr>
            </w:pPr>
            <w:r>
              <w:rPr>
                <w:rFonts w:ascii="Arial" w:hAnsi="Arial" w:cs="Arial"/>
                <w:sz w:val="16"/>
                <w:szCs w:val="16"/>
              </w:rPr>
              <w:t>x</w:t>
            </w:r>
          </w:p>
        </w:tc>
        <w:tc>
          <w:tcPr>
            <w:tcW w:w="851" w:type="dxa"/>
            <w:shd w:val="clear" w:color="auto" w:fill="auto"/>
            <w:vAlign w:val="center"/>
          </w:tcPr>
          <w:p w14:paraId="4926E818" w14:textId="77777777" w:rsidR="00D16E72" w:rsidRPr="003E5726" w:rsidRDefault="003E5726" w:rsidP="00284F82">
            <w:pPr>
              <w:spacing w:before="40" w:after="40" w:line="300" w:lineRule="atLeast"/>
              <w:jc w:val="center"/>
              <w:rPr>
                <w:rFonts w:ascii="Arial" w:hAnsi="Arial" w:cs="Arial"/>
                <w:sz w:val="16"/>
                <w:szCs w:val="16"/>
              </w:rPr>
            </w:pPr>
            <w:r>
              <w:rPr>
                <w:rFonts w:ascii="Arial" w:hAnsi="Arial" w:cs="Arial"/>
                <w:sz w:val="16"/>
                <w:szCs w:val="16"/>
              </w:rPr>
              <w:t>x</w:t>
            </w:r>
          </w:p>
        </w:tc>
        <w:tc>
          <w:tcPr>
            <w:tcW w:w="992" w:type="dxa"/>
            <w:shd w:val="clear" w:color="auto" w:fill="auto"/>
            <w:vAlign w:val="center"/>
          </w:tcPr>
          <w:p w14:paraId="74A2CAAA" w14:textId="77777777" w:rsidR="00D16E72" w:rsidRPr="003E5726" w:rsidRDefault="00D16E72" w:rsidP="00284F82">
            <w:pPr>
              <w:spacing w:before="40" w:after="40" w:line="300" w:lineRule="atLeast"/>
              <w:jc w:val="center"/>
              <w:rPr>
                <w:rFonts w:ascii="Arial" w:hAnsi="Arial" w:cs="Arial"/>
                <w:sz w:val="16"/>
                <w:szCs w:val="16"/>
              </w:rPr>
            </w:pPr>
          </w:p>
        </w:tc>
        <w:tc>
          <w:tcPr>
            <w:tcW w:w="992" w:type="dxa"/>
            <w:shd w:val="clear" w:color="auto" w:fill="auto"/>
            <w:vAlign w:val="center"/>
          </w:tcPr>
          <w:p w14:paraId="2445D5D1" w14:textId="77777777" w:rsidR="00D16E72" w:rsidRPr="003E5726" w:rsidRDefault="003E5726" w:rsidP="00284F82">
            <w:pPr>
              <w:spacing w:before="40" w:after="40" w:line="300" w:lineRule="atLeast"/>
              <w:jc w:val="center"/>
              <w:rPr>
                <w:rFonts w:ascii="Arial" w:hAnsi="Arial" w:cs="Arial"/>
                <w:sz w:val="16"/>
                <w:szCs w:val="16"/>
              </w:rPr>
            </w:pPr>
            <w:r>
              <w:rPr>
                <w:rFonts w:ascii="Arial" w:hAnsi="Arial" w:cs="Arial"/>
                <w:sz w:val="16"/>
                <w:szCs w:val="16"/>
              </w:rPr>
              <w:t>x</w:t>
            </w:r>
          </w:p>
        </w:tc>
        <w:tc>
          <w:tcPr>
            <w:tcW w:w="1099" w:type="dxa"/>
            <w:shd w:val="clear" w:color="auto" w:fill="auto"/>
            <w:vAlign w:val="center"/>
          </w:tcPr>
          <w:p w14:paraId="262888B8" w14:textId="77777777" w:rsidR="00D16E72" w:rsidRPr="004901F2" w:rsidRDefault="003E5726" w:rsidP="00284F82">
            <w:pPr>
              <w:spacing w:before="40" w:after="40" w:line="300" w:lineRule="atLeast"/>
              <w:jc w:val="center"/>
              <w:rPr>
                <w:rFonts w:ascii="Arial" w:hAnsi="Arial" w:cs="Arial"/>
                <w:sz w:val="16"/>
                <w:szCs w:val="16"/>
              </w:rPr>
            </w:pPr>
            <w:r>
              <w:rPr>
                <w:rFonts w:ascii="Arial" w:hAnsi="Arial" w:cs="Arial"/>
                <w:sz w:val="16"/>
                <w:szCs w:val="16"/>
              </w:rPr>
              <w:t>PS</w:t>
            </w:r>
          </w:p>
        </w:tc>
      </w:tr>
      <w:tr w:rsidR="00D16E72" w:rsidRPr="004901F2" w14:paraId="3783B9A3" w14:textId="77777777" w:rsidTr="00284F82">
        <w:tc>
          <w:tcPr>
            <w:tcW w:w="851" w:type="dxa"/>
            <w:shd w:val="clear" w:color="auto" w:fill="auto"/>
            <w:vAlign w:val="center"/>
          </w:tcPr>
          <w:p w14:paraId="52F970AB" w14:textId="77777777" w:rsidR="00D16E72" w:rsidRPr="004901F2" w:rsidRDefault="00D16E72" w:rsidP="00284F82">
            <w:pPr>
              <w:spacing w:before="40" w:after="40" w:line="300" w:lineRule="atLeast"/>
              <w:rPr>
                <w:rFonts w:ascii="Arial" w:hAnsi="Arial" w:cs="Arial"/>
                <w:sz w:val="16"/>
                <w:szCs w:val="16"/>
              </w:rPr>
            </w:pPr>
            <w:r>
              <w:rPr>
                <w:rFonts w:ascii="Arial" w:hAnsi="Arial" w:cs="Arial"/>
                <w:sz w:val="16"/>
                <w:szCs w:val="16"/>
              </w:rPr>
              <w:t>5.2</w:t>
            </w:r>
            <w:r w:rsidRPr="004901F2">
              <w:rPr>
                <w:rFonts w:ascii="Arial" w:hAnsi="Arial" w:cs="Arial"/>
                <w:sz w:val="16"/>
                <w:szCs w:val="16"/>
              </w:rPr>
              <w:t>.3</w:t>
            </w:r>
          </w:p>
        </w:tc>
        <w:tc>
          <w:tcPr>
            <w:tcW w:w="2693" w:type="dxa"/>
            <w:shd w:val="clear" w:color="auto" w:fill="auto"/>
            <w:vAlign w:val="center"/>
          </w:tcPr>
          <w:p w14:paraId="4664308E" w14:textId="77777777" w:rsidR="00D16E72" w:rsidRPr="004901F2" w:rsidRDefault="003E5726" w:rsidP="00284F82">
            <w:pPr>
              <w:spacing w:line="300" w:lineRule="atLeast"/>
              <w:rPr>
                <w:rFonts w:ascii="Arial" w:hAnsi="Arial" w:cs="Arial"/>
                <w:sz w:val="16"/>
                <w:szCs w:val="16"/>
              </w:rPr>
            </w:pPr>
            <w:r>
              <w:rPr>
                <w:rFonts w:ascii="Arial" w:hAnsi="Arial" w:cs="Arial"/>
                <w:sz w:val="16"/>
                <w:szCs w:val="16"/>
              </w:rPr>
              <w:t>Other recycled metals</w:t>
            </w:r>
          </w:p>
        </w:tc>
        <w:tc>
          <w:tcPr>
            <w:tcW w:w="850" w:type="dxa"/>
            <w:shd w:val="clear" w:color="auto" w:fill="auto"/>
            <w:vAlign w:val="center"/>
          </w:tcPr>
          <w:p w14:paraId="0CA788A9"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12328367" w14:textId="77777777" w:rsidR="00D16E72" w:rsidRPr="003E5726" w:rsidRDefault="003E5726" w:rsidP="00284F82">
            <w:pPr>
              <w:spacing w:before="40" w:after="40" w:line="300" w:lineRule="atLeast"/>
              <w:jc w:val="center"/>
              <w:rPr>
                <w:rFonts w:ascii="Arial" w:hAnsi="Arial" w:cs="Arial"/>
                <w:sz w:val="16"/>
                <w:szCs w:val="16"/>
              </w:rPr>
            </w:pPr>
            <w:r>
              <w:rPr>
                <w:rFonts w:ascii="Arial" w:hAnsi="Arial" w:cs="Arial"/>
                <w:sz w:val="16"/>
                <w:szCs w:val="16"/>
              </w:rPr>
              <w:t>x</w:t>
            </w:r>
          </w:p>
        </w:tc>
        <w:tc>
          <w:tcPr>
            <w:tcW w:w="851" w:type="dxa"/>
            <w:shd w:val="clear" w:color="auto" w:fill="auto"/>
            <w:vAlign w:val="center"/>
          </w:tcPr>
          <w:p w14:paraId="36E7CF40" w14:textId="77777777" w:rsidR="00D16E72" w:rsidRPr="003E5726" w:rsidRDefault="003E5726" w:rsidP="00284F82">
            <w:pPr>
              <w:spacing w:before="40" w:after="40" w:line="300" w:lineRule="atLeast"/>
              <w:jc w:val="center"/>
              <w:rPr>
                <w:rFonts w:ascii="Arial" w:hAnsi="Arial" w:cs="Arial"/>
                <w:sz w:val="16"/>
                <w:szCs w:val="16"/>
              </w:rPr>
            </w:pPr>
            <w:r>
              <w:rPr>
                <w:rFonts w:ascii="Arial" w:hAnsi="Arial" w:cs="Arial"/>
                <w:sz w:val="16"/>
                <w:szCs w:val="16"/>
              </w:rPr>
              <w:t>x</w:t>
            </w:r>
          </w:p>
        </w:tc>
        <w:tc>
          <w:tcPr>
            <w:tcW w:w="992" w:type="dxa"/>
            <w:shd w:val="clear" w:color="auto" w:fill="auto"/>
            <w:vAlign w:val="center"/>
          </w:tcPr>
          <w:p w14:paraId="76069301" w14:textId="77777777" w:rsidR="00D16E72" w:rsidRPr="003E5726" w:rsidRDefault="00D16E72" w:rsidP="00284F82">
            <w:pPr>
              <w:spacing w:before="40" w:after="40" w:line="300" w:lineRule="atLeast"/>
              <w:jc w:val="center"/>
              <w:rPr>
                <w:rFonts w:ascii="Arial" w:hAnsi="Arial" w:cs="Arial"/>
                <w:sz w:val="16"/>
                <w:szCs w:val="16"/>
              </w:rPr>
            </w:pPr>
          </w:p>
        </w:tc>
        <w:tc>
          <w:tcPr>
            <w:tcW w:w="992" w:type="dxa"/>
            <w:shd w:val="clear" w:color="auto" w:fill="auto"/>
            <w:vAlign w:val="center"/>
          </w:tcPr>
          <w:p w14:paraId="75427583" w14:textId="77777777" w:rsidR="00D16E72" w:rsidRPr="003E5726" w:rsidRDefault="003E5726" w:rsidP="00284F82">
            <w:pPr>
              <w:spacing w:before="40" w:after="40" w:line="300" w:lineRule="atLeast"/>
              <w:jc w:val="center"/>
              <w:rPr>
                <w:rFonts w:ascii="Arial" w:hAnsi="Arial" w:cs="Arial"/>
                <w:sz w:val="16"/>
                <w:szCs w:val="16"/>
              </w:rPr>
            </w:pPr>
            <w:r>
              <w:rPr>
                <w:rFonts w:ascii="Arial" w:hAnsi="Arial" w:cs="Arial"/>
                <w:sz w:val="16"/>
                <w:szCs w:val="16"/>
              </w:rPr>
              <w:t>x</w:t>
            </w:r>
          </w:p>
        </w:tc>
        <w:tc>
          <w:tcPr>
            <w:tcW w:w="1099" w:type="dxa"/>
            <w:shd w:val="clear" w:color="auto" w:fill="auto"/>
            <w:vAlign w:val="center"/>
          </w:tcPr>
          <w:p w14:paraId="11A30F04"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sz w:val="16"/>
                <w:szCs w:val="16"/>
              </w:rPr>
              <w:t>PS</w:t>
            </w:r>
          </w:p>
        </w:tc>
      </w:tr>
    </w:tbl>
    <w:p w14:paraId="537569FF" w14:textId="77777777" w:rsidR="00D16E72" w:rsidRPr="00582EF2" w:rsidRDefault="00D16E72" w:rsidP="00D16E72">
      <w:pPr>
        <w:spacing w:before="60" w:after="60" w:line="260" w:lineRule="exact"/>
        <w:jc w:val="both"/>
        <w:rPr>
          <w:rFonts w:ascii="Arial" w:hAnsi="Arial" w:cs="Arial"/>
          <w:sz w:val="16"/>
          <w:szCs w:val="18"/>
        </w:rPr>
      </w:pPr>
      <w:r w:rsidRPr="00582EF2">
        <w:rPr>
          <w:rFonts w:ascii="Arial" w:hAnsi="Arial" w:cs="Arial"/>
          <w:sz w:val="16"/>
          <w:szCs w:val="18"/>
        </w:rPr>
        <w:t xml:space="preserve">Notes: </w:t>
      </w:r>
      <w:r w:rsidRPr="00582EF2">
        <w:rPr>
          <w:rFonts w:ascii="Arial" w:hAnsi="Arial" w:cs="Arial"/>
          <w:sz w:val="16"/>
          <w:szCs w:val="18"/>
        </w:rPr>
        <w:tab/>
        <w:t>PS = Point source by point source approach;</w:t>
      </w:r>
    </w:p>
    <w:p w14:paraId="5A7035ED" w14:textId="77777777" w:rsidR="00D16E72" w:rsidRPr="00582EF2" w:rsidRDefault="00D16E72" w:rsidP="00D16E72">
      <w:pPr>
        <w:spacing w:after="60" w:line="260" w:lineRule="exact"/>
        <w:ind w:firstLine="720"/>
        <w:jc w:val="both"/>
        <w:rPr>
          <w:rFonts w:ascii="Arial" w:hAnsi="Arial" w:cs="Arial"/>
          <w:sz w:val="16"/>
          <w:szCs w:val="18"/>
        </w:rPr>
      </w:pPr>
      <w:r w:rsidRPr="00582EF2">
        <w:rPr>
          <w:rFonts w:ascii="Arial" w:hAnsi="Arial" w:cs="Arial"/>
          <w:b/>
          <w:sz w:val="16"/>
          <w:szCs w:val="18"/>
        </w:rPr>
        <w:t>X</w:t>
      </w:r>
      <w:r w:rsidRPr="00582EF2">
        <w:rPr>
          <w:rFonts w:ascii="Arial" w:hAnsi="Arial" w:cs="Arial"/>
          <w:sz w:val="16"/>
          <w:szCs w:val="18"/>
        </w:rPr>
        <w:t xml:space="preserve"> - Release pathway expected to be predominant for the sub-category;</w:t>
      </w:r>
    </w:p>
    <w:p w14:paraId="1DD19A38" w14:textId="77777777" w:rsidR="00D16E72" w:rsidRPr="00582EF2" w:rsidRDefault="00D16E72" w:rsidP="00D16E72">
      <w:pPr>
        <w:spacing w:after="60" w:line="260" w:lineRule="exact"/>
        <w:ind w:firstLine="720"/>
        <w:jc w:val="both"/>
        <w:rPr>
          <w:rFonts w:ascii="Arial" w:hAnsi="Arial" w:cs="Arial"/>
          <w:sz w:val="16"/>
          <w:szCs w:val="18"/>
        </w:rPr>
      </w:pPr>
      <w:r w:rsidRPr="00582EF2">
        <w:rPr>
          <w:rFonts w:ascii="Arial" w:hAnsi="Arial" w:cs="Arial"/>
          <w:sz w:val="16"/>
          <w:szCs w:val="18"/>
        </w:rPr>
        <w:t>x - Additional release pathways to be considered, depending on specific source and national situation.</w:t>
      </w:r>
    </w:p>
    <w:p w14:paraId="0D161703" w14:textId="77777777" w:rsidR="00D16E72" w:rsidRPr="00ED67CA" w:rsidRDefault="00194426" w:rsidP="00194426">
      <w:pPr>
        <w:pStyle w:val="Heading2"/>
      </w:pPr>
      <w:bookmarkStart w:id="134" w:name="_Toc484949609"/>
      <w:r w:rsidRPr="00ED67CA">
        <w:t>Recycled mercury</w:t>
      </w:r>
      <w:bookmarkEnd w:id="134"/>
    </w:p>
    <w:p w14:paraId="237D7834" w14:textId="56B60F70" w:rsidR="00D16E72" w:rsidRDefault="00E41028" w:rsidP="003833D6">
      <w:pPr>
        <w:spacing w:line="300" w:lineRule="atLeast"/>
        <w:jc w:val="both"/>
        <w:rPr>
          <w:szCs w:val="18"/>
        </w:rPr>
      </w:pPr>
      <w:r w:rsidRPr="00ED67CA">
        <w:rPr>
          <w:szCs w:val="18"/>
        </w:rPr>
        <w:t>Metallic mercury can be recovered from a variety of waste materials</w:t>
      </w:r>
      <w:r w:rsidR="00ED67CA">
        <w:rPr>
          <w:szCs w:val="18"/>
        </w:rPr>
        <w:t xml:space="preserve"> by distillation, or retorting</w:t>
      </w:r>
      <w:r w:rsidRPr="00ED67CA">
        <w:rPr>
          <w:szCs w:val="18"/>
        </w:rPr>
        <w:t xml:space="preserve">. </w:t>
      </w:r>
      <w:r w:rsidR="00ED67CA">
        <w:rPr>
          <w:szCs w:val="18"/>
        </w:rPr>
        <w:t xml:space="preserve">For the 2012 Inventory Report a single </w:t>
      </w:r>
      <w:r w:rsidR="00C3348F">
        <w:rPr>
          <w:szCs w:val="18"/>
        </w:rPr>
        <w:t xml:space="preserve">commercial </w:t>
      </w:r>
      <w:r w:rsidRPr="00ED67CA">
        <w:rPr>
          <w:szCs w:val="18"/>
        </w:rPr>
        <w:t>mercury</w:t>
      </w:r>
      <w:r w:rsidR="00ED67CA">
        <w:rPr>
          <w:szCs w:val="18"/>
        </w:rPr>
        <w:t xml:space="preserve"> </w:t>
      </w:r>
      <w:r w:rsidRPr="00ED67CA">
        <w:rPr>
          <w:szCs w:val="18"/>
        </w:rPr>
        <w:t>recycl</w:t>
      </w:r>
      <w:r w:rsidR="00ED67CA">
        <w:rPr>
          <w:szCs w:val="18"/>
        </w:rPr>
        <w:t xml:space="preserve">ing operation was </w:t>
      </w:r>
      <w:r w:rsidRPr="00ED67CA">
        <w:rPr>
          <w:szCs w:val="18"/>
        </w:rPr>
        <w:t xml:space="preserve">identified in </w:t>
      </w:r>
      <w:r w:rsidR="00ED67CA">
        <w:rPr>
          <w:szCs w:val="18"/>
        </w:rPr>
        <w:t>Waihi, which wa</w:t>
      </w:r>
      <w:r w:rsidRPr="00ED67CA">
        <w:rPr>
          <w:szCs w:val="18"/>
        </w:rPr>
        <w:t xml:space="preserve">s mainly concerned with </w:t>
      </w:r>
      <w:r w:rsidR="003861DA">
        <w:rPr>
          <w:szCs w:val="18"/>
        </w:rPr>
        <w:t>metal</w:t>
      </w:r>
      <w:r w:rsidRPr="00ED67CA">
        <w:rPr>
          <w:szCs w:val="18"/>
        </w:rPr>
        <w:t xml:space="preserve"> recovery from dental</w:t>
      </w:r>
      <w:r w:rsidR="004F7C37" w:rsidRPr="00ED67CA">
        <w:rPr>
          <w:szCs w:val="18"/>
        </w:rPr>
        <w:t>, photographic and printing</w:t>
      </w:r>
      <w:r w:rsidRPr="00ED67CA">
        <w:rPr>
          <w:szCs w:val="18"/>
        </w:rPr>
        <w:t xml:space="preserve"> wastes. </w:t>
      </w:r>
      <w:r w:rsidR="00ED67CA">
        <w:rPr>
          <w:szCs w:val="18"/>
        </w:rPr>
        <w:t>For 2012 the company reported sales of 20 kg of mercury to small-scale gold miners, and exports of a further 240 kg. However, this operation has now closed down.</w:t>
      </w:r>
    </w:p>
    <w:p w14:paraId="03D4A065" w14:textId="2EEFC0C9" w:rsidR="0024798C" w:rsidRPr="00ED67CA" w:rsidRDefault="00C3348F" w:rsidP="003833D6">
      <w:pPr>
        <w:spacing w:line="300" w:lineRule="atLeast"/>
        <w:jc w:val="both"/>
        <w:rPr>
          <w:szCs w:val="18"/>
        </w:rPr>
      </w:pPr>
      <w:r>
        <w:rPr>
          <w:szCs w:val="18"/>
        </w:rPr>
        <w:t>Other information obtained for the 2012 Inventory Report indicated that small quantities of mercury are occasionally picked up in local authority hazardous waste collection campaigns and some scrap metal dealers are also known to collect small quantities of mercury from old car bodies and home appliances. However, there is no cohesive data available on the overall mercury quantities</w:t>
      </w:r>
      <w:r w:rsidR="00A57EF9">
        <w:rPr>
          <w:szCs w:val="18"/>
        </w:rPr>
        <w:t>. Some of the collected material is passed on to small-scale gold miners</w:t>
      </w:r>
      <w:r>
        <w:rPr>
          <w:szCs w:val="18"/>
        </w:rPr>
        <w:t xml:space="preserve">, </w:t>
      </w:r>
      <w:r w:rsidR="00A57EF9">
        <w:rPr>
          <w:szCs w:val="18"/>
        </w:rPr>
        <w:t>but this appears to be a relatively informal arrangement</w:t>
      </w:r>
      <w:r>
        <w:rPr>
          <w:szCs w:val="18"/>
        </w:rPr>
        <w:t xml:space="preserve">. </w:t>
      </w:r>
      <w:r w:rsidR="008113E4">
        <w:rPr>
          <w:szCs w:val="18"/>
        </w:rPr>
        <w:t>S</w:t>
      </w:r>
      <w:r w:rsidR="009168A7">
        <w:rPr>
          <w:szCs w:val="18"/>
        </w:rPr>
        <w:t xml:space="preserve">everal waste management companies </w:t>
      </w:r>
      <w:r w:rsidR="00E5227F" w:rsidRPr="00ED67CA">
        <w:rPr>
          <w:szCs w:val="18"/>
        </w:rPr>
        <w:t>a</w:t>
      </w:r>
      <w:r w:rsidR="0024798C" w:rsidRPr="00ED67CA">
        <w:rPr>
          <w:szCs w:val="18"/>
        </w:rPr>
        <w:t xml:space="preserve">re known to </w:t>
      </w:r>
      <w:r w:rsidR="009168A7">
        <w:rPr>
          <w:szCs w:val="18"/>
        </w:rPr>
        <w:t>have collected waste mercury i</w:t>
      </w:r>
      <w:r>
        <w:rPr>
          <w:szCs w:val="18"/>
        </w:rPr>
        <w:t xml:space="preserve">n the past, </w:t>
      </w:r>
      <w:r w:rsidR="008113E4">
        <w:rPr>
          <w:szCs w:val="18"/>
        </w:rPr>
        <w:t xml:space="preserve">but this was </w:t>
      </w:r>
      <w:r>
        <w:rPr>
          <w:szCs w:val="18"/>
        </w:rPr>
        <w:t>mainly for export.</w:t>
      </w:r>
      <w:r w:rsidR="00AE4F46">
        <w:rPr>
          <w:szCs w:val="18"/>
        </w:rPr>
        <w:t xml:space="preserve"> T</w:t>
      </w:r>
      <w:r w:rsidR="00A57EF9">
        <w:rPr>
          <w:szCs w:val="18"/>
        </w:rPr>
        <w:t>here was</w:t>
      </w:r>
      <w:r>
        <w:rPr>
          <w:szCs w:val="18"/>
        </w:rPr>
        <w:t xml:space="preserve"> </w:t>
      </w:r>
      <w:r w:rsidR="00A57EF9">
        <w:rPr>
          <w:szCs w:val="18"/>
        </w:rPr>
        <w:t xml:space="preserve">only </w:t>
      </w:r>
      <w:r w:rsidR="00AE4F46">
        <w:rPr>
          <w:szCs w:val="18"/>
        </w:rPr>
        <w:t>one active permit</w:t>
      </w:r>
      <w:r>
        <w:rPr>
          <w:szCs w:val="18"/>
        </w:rPr>
        <w:t xml:space="preserve"> during </w:t>
      </w:r>
      <w:r w:rsidR="00A57EF9">
        <w:rPr>
          <w:szCs w:val="18"/>
        </w:rPr>
        <w:t>2016 for the export</w:t>
      </w:r>
      <w:r>
        <w:rPr>
          <w:szCs w:val="18"/>
        </w:rPr>
        <w:t xml:space="preserve"> of mercury wastes</w:t>
      </w:r>
      <w:r w:rsidR="00A57EF9">
        <w:rPr>
          <w:szCs w:val="18"/>
        </w:rPr>
        <w:t>, which may have included metallic mercury</w:t>
      </w:r>
      <w:r>
        <w:rPr>
          <w:szCs w:val="18"/>
        </w:rPr>
        <w:t xml:space="preserve"> (see section 11.4). </w:t>
      </w:r>
    </w:p>
    <w:p w14:paraId="7FE4E986" w14:textId="7C36D02C" w:rsidR="008E422A" w:rsidRPr="008113E4" w:rsidRDefault="008113E4" w:rsidP="003833D6">
      <w:pPr>
        <w:spacing w:line="300" w:lineRule="atLeast"/>
        <w:jc w:val="both"/>
        <w:rPr>
          <w:szCs w:val="18"/>
        </w:rPr>
      </w:pPr>
      <w:r>
        <w:rPr>
          <w:szCs w:val="18"/>
        </w:rPr>
        <w:t>In the absence of any definitive data on mercury recycling it has been a</w:t>
      </w:r>
      <w:r w:rsidR="008E422A" w:rsidRPr="008113E4">
        <w:rPr>
          <w:szCs w:val="18"/>
        </w:rPr>
        <w:t>ssume</w:t>
      </w:r>
      <w:r>
        <w:rPr>
          <w:szCs w:val="18"/>
        </w:rPr>
        <w:t xml:space="preserve">d that the current quantities involved are no more than </w:t>
      </w:r>
      <w:r w:rsidR="008E422A" w:rsidRPr="008113E4">
        <w:rPr>
          <w:szCs w:val="18"/>
        </w:rPr>
        <w:t xml:space="preserve">20 kg </w:t>
      </w:r>
      <w:r>
        <w:rPr>
          <w:szCs w:val="18"/>
        </w:rPr>
        <w:t>per year, and that this will be for use in small-scale gold mining.</w:t>
      </w:r>
    </w:p>
    <w:p w14:paraId="0F19E217" w14:textId="77777777" w:rsidR="00D85924" w:rsidRPr="00ED67CA" w:rsidRDefault="00D85924" w:rsidP="00D85924">
      <w:pPr>
        <w:tabs>
          <w:tab w:val="left" w:pos="2760"/>
        </w:tabs>
        <w:spacing w:before="120" w:line="300" w:lineRule="atLeast"/>
        <w:jc w:val="both"/>
        <w:rPr>
          <w:rFonts w:ascii="Arial" w:hAnsi="Arial" w:cs="Arial"/>
          <w:b/>
          <w:szCs w:val="18"/>
        </w:rPr>
      </w:pPr>
      <w:r w:rsidRPr="00ED67CA">
        <w:rPr>
          <w:rFonts w:ascii="Arial" w:hAnsi="Arial" w:cs="Arial"/>
          <w:b/>
          <w:szCs w:val="18"/>
        </w:rPr>
        <w:t>Certainty assessment</w:t>
      </w:r>
    </w:p>
    <w:p w14:paraId="6F0343F3" w14:textId="715981A1" w:rsidR="00D85924" w:rsidRPr="00ED67CA" w:rsidRDefault="00D85924" w:rsidP="00D85924">
      <w:pPr>
        <w:tabs>
          <w:tab w:val="left" w:pos="1701"/>
        </w:tabs>
        <w:spacing w:line="300" w:lineRule="atLeast"/>
        <w:jc w:val="both"/>
        <w:rPr>
          <w:szCs w:val="18"/>
        </w:rPr>
      </w:pPr>
      <w:r w:rsidRPr="00ED67CA">
        <w:rPr>
          <w:szCs w:val="18"/>
        </w:rPr>
        <w:t xml:space="preserve">Activity data: </w:t>
      </w:r>
      <w:r w:rsidRPr="00ED67CA">
        <w:rPr>
          <w:szCs w:val="18"/>
        </w:rPr>
        <w:tab/>
      </w:r>
      <w:r w:rsidR="00ED67CA">
        <w:rPr>
          <w:szCs w:val="18"/>
        </w:rPr>
        <w:t>LOW</w:t>
      </w:r>
      <w:r w:rsidRPr="00ED67CA">
        <w:rPr>
          <w:szCs w:val="18"/>
        </w:rPr>
        <w:t xml:space="preserve"> (because it was based on company data)</w:t>
      </w:r>
    </w:p>
    <w:p w14:paraId="6B52B8EF" w14:textId="7D17D596" w:rsidR="00D85924" w:rsidRPr="00ED67CA" w:rsidRDefault="00D85924" w:rsidP="00D85924">
      <w:pPr>
        <w:tabs>
          <w:tab w:val="left" w:pos="1701"/>
        </w:tabs>
        <w:spacing w:line="300" w:lineRule="atLeast"/>
        <w:jc w:val="both"/>
        <w:rPr>
          <w:szCs w:val="18"/>
        </w:rPr>
      </w:pPr>
      <w:r w:rsidRPr="00ED67CA">
        <w:rPr>
          <w:szCs w:val="18"/>
        </w:rPr>
        <w:t xml:space="preserve">Input estimates: </w:t>
      </w:r>
      <w:r w:rsidRPr="00ED67CA">
        <w:rPr>
          <w:szCs w:val="18"/>
        </w:rPr>
        <w:tab/>
      </w:r>
      <w:r w:rsidR="00ED67CA">
        <w:rPr>
          <w:szCs w:val="18"/>
        </w:rPr>
        <w:t>LOW</w:t>
      </w:r>
      <w:r w:rsidRPr="00ED67CA">
        <w:rPr>
          <w:szCs w:val="18"/>
        </w:rPr>
        <w:t xml:space="preserve"> (because it </w:t>
      </w:r>
      <w:r w:rsidR="00ED67CA">
        <w:rPr>
          <w:szCs w:val="18"/>
        </w:rPr>
        <w:t>related directly to the activity</w:t>
      </w:r>
      <w:r w:rsidRPr="00ED67CA">
        <w:rPr>
          <w:szCs w:val="18"/>
        </w:rPr>
        <w:t xml:space="preserve"> data)</w:t>
      </w:r>
    </w:p>
    <w:p w14:paraId="5F8DAC2C" w14:textId="6229BBE1" w:rsidR="00D85924" w:rsidRPr="0028681C" w:rsidRDefault="00D85924" w:rsidP="00D85924">
      <w:pPr>
        <w:tabs>
          <w:tab w:val="left" w:pos="1701"/>
        </w:tabs>
        <w:spacing w:line="300" w:lineRule="atLeast"/>
        <w:jc w:val="both"/>
        <w:rPr>
          <w:szCs w:val="18"/>
        </w:rPr>
      </w:pPr>
      <w:r w:rsidRPr="00ED67CA">
        <w:rPr>
          <w:szCs w:val="18"/>
        </w:rPr>
        <w:t xml:space="preserve">Output estimates: </w:t>
      </w:r>
      <w:r w:rsidRPr="00ED67CA">
        <w:rPr>
          <w:szCs w:val="18"/>
        </w:rPr>
        <w:tab/>
      </w:r>
      <w:r w:rsidR="00ED67CA">
        <w:rPr>
          <w:szCs w:val="18"/>
        </w:rPr>
        <w:t>LOW</w:t>
      </w:r>
      <w:r w:rsidRPr="00ED67CA">
        <w:rPr>
          <w:szCs w:val="18"/>
        </w:rPr>
        <w:t xml:space="preserve"> (because the product outputs should be the same as the inputs).</w:t>
      </w:r>
    </w:p>
    <w:p w14:paraId="053F4F16" w14:textId="77777777" w:rsidR="008113E4" w:rsidRDefault="008113E4">
      <w:pPr>
        <w:spacing w:after="0"/>
        <w:rPr>
          <w:rFonts w:ascii="Arial" w:hAnsi="Arial"/>
          <w:b/>
          <w:sz w:val="24"/>
        </w:rPr>
      </w:pPr>
      <w:r>
        <w:br w:type="page"/>
      </w:r>
    </w:p>
    <w:p w14:paraId="5912FDDB" w14:textId="5DDD136E" w:rsidR="005D1872" w:rsidRDefault="00F139A6" w:rsidP="00F139A6">
      <w:pPr>
        <w:pStyle w:val="Heading2"/>
      </w:pPr>
      <w:bookmarkStart w:id="135" w:name="_Toc484949610"/>
      <w:r>
        <w:lastRenderedPageBreak/>
        <w:t>Ferrous metals (secondary steel)</w:t>
      </w:r>
      <w:bookmarkEnd w:id="135"/>
    </w:p>
    <w:p w14:paraId="48A1ADA6" w14:textId="7802CA27" w:rsidR="005D1872" w:rsidRDefault="00084616" w:rsidP="003833D6">
      <w:pPr>
        <w:spacing w:line="300" w:lineRule="atLeast"/>
        <w:jc w:val="both"/>
        <w:rPr>
          <w:szCs w:val="18"/>
        </w:rPr>
      </w:pPr>
      <w:r>
        <w:rPr>
          <w:szCs w:val="18"/>
        </w:rPr>
        <w:t xml:space="preserve">In the 2012 Inventory Report it was noted that there was </w:t>
      </w:r>
      <w:r w:rsidR="003A7261">
        <w:rPr>
          <w:szCs w:val="18"/>
        </w:rPr>
        <w:t xml:space="preserve">only </w:t>
      </w:r>
      <w:r>
        <w:rPr>
          <w:szCs w:val="18"/>
        </w:rPr>
        <w:t xml:space="preserve">one </w:t>
      </w:r>
      <w:r w:rsidR="003A7261">
        <w:rPr>
          <w:szCs w:val="18"/>
        </w:rPr>
        <w:t>secondary steel mill in New Zealand</w:t>
      </w:r>
      <w:r>
        <w:rPr>
          <w:szCs w:val="18"/>
        </w:rPr>
        <w:t xml:space="preserve">, which was operated by Pacific Steel Ltd </w:t>
      </w:r>
      <w:r w:rsidR="003A7261">
        <w:rPr>
          <w:szCs w:val="18"/>
        </w:rPr>
        <w:t>in So</w:t>
      </w:r>
      <w:r>
        <w:rPr>
          <w:szCs w:val="18"/>
        </w:rPr>
        <w:t>uth Auckland</w:t>
      </w:r>
      <w:r w:rsidR="003A7261">
        <w:rPr>
          <w:szCs w:val="18"/>
        </w:rPr>
        <w:t xml:space="preserve">. </w:t>
      </w:r>
      <w:r>
        <w:rPr>
          <w:szCs w:val="18"/>
        </w:rPr>
        <w:t>However, t</w:t>
      </w:r>
      <w:r w:rsidR="003A7261">
        <w:rPr>
          <w:szCs w:val="18"/>
        </w:rPr>
        <w:t xml:space="preserve">his plant </w:t>
      </w:r>
      <w:r>
        <w:rPr>
          <w:szCs w:val="18"/>
        </w:rPr>
        <w:t xml:space="preserve">was shut down in September 2015, with the business being transferred to the </w:t>
      </w:r>
      <w:r w:rsidR="001057AE">
        <w:rPr>
          <w:szCs w:val="18"/>
        </w:rPr>
        <w:t>New Zealand</w:t>
      </w:r>
      <w:r>
        <w:rPr>
          <w:szCs w:val="18"/>
        </w:rPr>
        <w:t xml:space="preserve"> Steel operations at Glenbrook – see section 4.5 (PSL, 2017). The same types of products are still being produced under the </w:t>
      </w:r>
      <w:r w:rsidR="003512E8">
        <w:rPr>
          <w:szCs w:val="18"/>
        </w:rPr>
        <w:t>Pacific Steel brand but they are now manufactured from virgin steel rather than recycled materials.</w:t>
      </w:r>
    </w:p>
    <w:p w14:paraId="7D8F9324" w14:textId="77777777" w:rsidR="003512E8" w:rsidRDefault="003512E8" w:rsidP="003833D6">
      <w:pPr>
        <w:spacing w:line="300" w:lineRule="atLeast"/>
        <w:jc w:val="both"/>
        <w:rPr>
          <w:szCs w:val="18"/>
        </w:rPr>
      </w:pPr>
      <w:r w:rsidRPr="00232361">
        <w:rPr>
          <w:szCs w:val="18"/>
        </w:rPr>
        <w:t xml:space="preserve">The </w:t>
      </w:r>
      <w:r>
        <w:rPr>
          <w:szCs w:val="18"/>
        </w:rPr>
        <w:t>2012 estimates for the Pacific Steel plant indicated mercury inputs of 2.0 kg/</w:t>
      </w:r>
      <w:proofErr w:type="spellStart"/>
      <w:r>
        <w:rPr>
          <w:szCs w:val="18"/>
        </w:rPr>
        <w:t>yr</w:t>
      </w:r>
      <w:proofErr w:type="spellEnd"/>
      <w:r>
        <w:rPr>
          <w:szCs w:val="18"/>
        </w:rPr>
        <w:t>, with the outputs being distributed across air (33%) and waste (67%).  However, for 2016 these figures will be reduced to zero.</w:t>
      </w:r>
    </w:p>
    <w:p w14:paraId="080CC41E" w14:textId="77777777" w:rsidR="00461B0B" w:rsidRDefault="007B7AEB" w:rsidP="007B7AEB">
      <w:pPr>
        <w:pStyle w:val="Heading2"/>
      </w:pPr>
      <w:bookmarkStart w:id="136" w:name="_Toc484949611"/>
      <w:r>
        <w:t>Production of other recycled metals</w:t>
      </w:r>
      <w:bookmarkEnd w:id="136"/>
    </w:p>
    <w:p w14:paraId="6CCC6612" w14:textId="77777777" w:rsidR="00006C8F" w:rsidRDefault="00025790" w:rsidP="003833D6">
      <w:pPr>
        <w:spacing w:line="300" w:lineRule="atLeast"/>
        <w:jc w:val="both"/>
        <w:rPr>
          <w:szCs w:val="18"/>
        </w:rPr>
      </w:pPr>
      <w:r>
        <w:rPr>
          <w:szCs w:val="18"/>
        </w:rPr>
        <w:t>This Toolkit sub-category covers the recycling of aluminium, zinc and other metals, but it is noted that very little is known about the mercury inputs and outputs for these activities. A similar situation applies in New Zealand</w:t>
      </w:r>
      <w:r w:rsidR="003512E8">
        <w:rPr>
          <w:szCs w:val="18"/>
        </w:rPr>
        <w:t>.</w:t>
      </w:r>
      <w:r>
        <w:rPr>
          <w:szCs w:val="18"/>
        </w:rPr>
        <w:t xml:space="preserve"> </w:t>
      </w:r>
    </w:p>
    <w:p w14:paraId="7874C310" w14:textId="30C8F75C" w:rsidR="003A7261" w:rsidRDefault="003512E8" w:rsidP="003833D6">
      <w:pPr>
        <w:spacing w:line="300" w:lineRule="atLeast"/>
        <w:jc w:val="both"/>
        <w:rPr>
          <w:szCs w:val="18"/>
        </w:rPr>
      </w:pPr>
      <w:r>
        <w:rPr>
          <w:szCs w:val="18"/>
        </w:rPr>
        <w:t>For the 2012 Inventory Report, some survey data from t</w:t>
      </w:r>
      <w:r w:rsidR="004A26C5">
        <w:rPr>
          <w:szCs w:val="18"/>
        </w:rPr>
        <w:t>he 2011 Dioxin Inventory for New Zealand (</w:t>
      </w:r>
      <w:proofErr w:type="spellStart"/>
      <w:r w:rsidR="002E47F5">
        <w:rPr>
          <w:szCs w:val="18"/>
        </w:rPr>
        <w:t>MfE</w:t>
      </w:r>
      <w:proofErr w:type="spellEnd"/>
      <w:r w:rsidR="002E47F5">
        <w:rPr>
          <w:szCs w:val="18"/>
        </w:rPr>
        <w:t>,</w:t>
      </w:r>
      <w:r w:rsidR="00653E3B">
        <w:rPr>
          <w:szCs w:val="18"/>
        </w:rPr>
        <w:t xml:space="preserve"> 2011</w:t>
      </w:r>
      <w:r w:rsidR="004A26C5">
        <w:rPr>
          <w:szCs w:val="18"/>
        </w:rPr>
        <w:t xml:space="preserve">) </w:t>
      </w:r>
      <w:r>
        <w:rPr>
          <w:szCs w:val="18"/>
        </w:rPr>
        <w:t xml:space="preserve">was used to estimate </w:t>
      </w:r>
      <w:r w:rsidR="006157DB">
        <w:rPr>
          <w:szCs w:val="18"/>
        </w:rPr>
        <w:t xml:space="preserve">total mercury inputs </w:t>
      </w:r>
      <w:r>
        <w:rPr>
          <w:szCs w:val="18"/>
        </w:rPr>
        <w:t xml:space="preserve">of less than </w:t>
      </w:r>
      <w:r w:rsidR="006157DB">
        <w:rPr>
          <w:szCs w:val="18"/>
        </w:rPr>
        <w:t>0.6 kg/year</w:t>
      </w:r>
      <w:r>
        <w:rPr>
          <w:szCs w:val="18"/>
        </w:rPr>
        <w:t xml:space="preserve"> for this source category</w:t>
      </w:r>
      <w:r w:rsidR="006157DB">
        <w:rPr>
          <w:szCs w:val="18"/>
        </w:rPr>
        <w:t xml:space="preserve">. </w:t>
      </w:r>
      <w:r>
        <w:rPr>
          <w:szCs w:val="18"/>
        </w:rPr>
        <w:t xml:space="preserve"> This estimate was not included in the 2012 inventory estimates because it was too low to be of any possible concern, and the same approach has been adopted here.</w:t>
      </w:r>
    </w:p>
    <w:p w14:paraId="326C26D6" w14:textId="77777777" w:rsidR="00B136BC" w:rsidRPr="00B136BC" w:rsidRDefault="00B136BC" w:rsidP="00B136BC">
      <w:pPr>
        <w:pStyle w:val="Heading2"/>
        <w:rPr>
          <w:rFonts w:eastAsia="Calibri"/>
        </w:rPr>
      </w:pPr>
      <w:bookmarkStart w:id="137" w:name="_Toc484949612"/>
      <w:r w:rsidRPr="00B136BC">
        <w:rPr>
          <w:rFonts w:eastAsia="Calibri"/>
        </w:rPr>
        <w:t>Summary for this category</w:t>
      </w:r>
      <w:bookmarkEnd w:id="137"/>
      <w:r w:rsidRPr="00B136BC">
        <w:rPr>
          <w:rFonts w:eastAsia="Calibri"/>
        </w:rPr>
        <w:t xml:space="preserve"> </w:t>
      </w:r>
    </w:p>
    <w:p w14:paraId="7A1ABA7A" w14:textId="5BBBB532" w:rsidR="00B136BC" w:rsidRDefault="00B136BC" w:rsidP="003512E8">
      <w:pPr>
        <w:spacing w:after="240" w:line="300" w:lineRule="atLeast"/>
        <w:jc w:val="both"/>
        <w:rPr>
          <w:rFonts w:eastAsia="Calibri"/>
          <w:szCs w:val="22"/>
        </w:rPr>
      </w:pPr>
      <w:r>
        <w:rPr>
          <w:rFonts w:eastAsia="Calibri"/>
          <w:szCs w:val="22"/>
        </w:rPr>
        <w:t xml:space="preserve">The estimated inputs and outputs for the metal recycling category are summarised in </w:t>
      </w:r>
      <w:r w:rsidRPr="00486D5C">
        <w:rPr>
          <w:rFonts w:eastAsia="Calibri"/>
          <w:szCs w:val="22"/>
        </w:rPr>
        <w:fldChar w:fldCharType="begin"/>
      </w:r>
      <w:r w:rsidRPr="00486D5C">
        <w:rPr>
          <w:rFonts w:eastAsia="Calibri"/>
          <w:szCs w:val="22"/>
        </w:rPr>
        <w:instrText xml:space="preserve"> REF _Ref358558314 \h </w:instrText>
      </w:r>
      <w:r w:rsidR="00486D5C">
        <w:rPr>
          <w:rFonts w:eastAsia="Calibri"/>
          <w:szCs w:val="22"/>
        </w:rPr>
        <w:instrText xml:space="preserve"> \* MERGEFORMAT </w:instrText>
      </w:r>
      <w:r w:rsidRPr="00486D5C">
        <w:rPr>
          <w:rFonts w:eastAsia="Calibri"/>
          <w:szCs w:val="22"/>
        </w:rPr>
      </w:r>
      <w:r w:rsidRPr="00486D5C">
        <w:rPr>
          <w:rFonts w:eastAsia="Calibri"/>
          <w:szCs w:val="22"/>
        </w:rPr>
        <w:fldChar w:fldCharType="separate"/>
      </w:r>
      <w:r w:rsidR="00423FC9" w:rsidRPr="00423FC9">
        <w:t xml:space="preserve">Table </w:t>
      </w:r>
      <w:r w:rsidR="00423FC9" w:rsidRPr="00423FC9">
        <w:rPr>
          <w:noProof/>
        </w:rPr>
        <w:t>9</w:t>
      </w:r>
      <w:r w:rsidR="00423FC9" w:rsidRPr="00423FC9">
        <w:rPr>
          <w:noProof/>
        </w:rPr>
        <w:noBreakHyphen/>
        <w:t>2</w:t>
      </w:r>
      <w:r w:rsidRPr="00486D5C">
        <w:rPr>
          <w:rFonts w:eastAsia="Calibri"/>
          <w:szCs w:val="22"/>
        </w:rPr>
        <w:fldChar w:fldCharType="end"/>
      </w:r>
      <w:r>
        <w:rPr>
          <w:rFonts w:eastAsia="Calibri"/>
          <w:szCs w:val="22"/>
        </w:rPr>
        <w:t>.</w:t>
      </w:r>
    </w:p>
    <w:p w14:paraId="6E70D93F" w14:textId="4B233148" w:rsidR="00B136BC" w:rsidRPr="007901FE" w:rsidRDefault="00B136BC" w:rsidP="00B136BC">
      <w:pPr>
        <w:pStyle w:val="Caption"/>
        <w:rPr>
          <w:rFonts w:ascii="Arial" w:hAnsi="Arial" w:cs="Arial"/>
          <w:szCs w:val="18"/>
        </w:rPr>
      </w:pPr>
      <w:bookmarkStart w:id="138" w:name="_Ref358558314"/>
      <w:bookmarkStart w:id="139" w:name="_Toc484949669"/>
      <w:r w:rsidRPr="00FE6C76">
        <w:rPr>
          <w:rFonts w:ascii="Arial" w:hAnsi="Arial" w:cs="Arial"/>
        </w:rPr>
        <w:t xml:space="preserve">Table </w:t>
      </w:r>
      <w:r w:rsidR="00390C9F">
        <w:rPr>
          <w:rFonts w:ascii="Arial" w:hAnsi="Arial" w:cs="Arial"/>
        </w:rPr>
        <w:fldChar w:fldCharType="begin"/>
      </w:r>
      <w:r w:rsidR="00390C9F">
        <w:rPr>
          <w:rFonts w:ascii="Arial" w:hAnsi="Arial" w:cs="Arial"/>
        </w:rPr>
        <w:instrText xml:space="preserve"> STYLEREF 1 \s </w:instrText>
      </w:r>
      <w:r w:rsidR="00390C9F">
        <w:rPr>
          <w:rFonts w:ascii="Arial" w:hAnsi="Arial" w:cs="Arial"/>
        </w:rPr>
        <w:fldChar w:fldCharType="separate"/>
      </w:r>
      <w:r w:rsidR="00423FC9">
        <w:rPr>
          <w:rFonts w:ascii="Arial" w:hAnsi="Arial" w:cs="Arial"/>
          <w:noProof/>
        </w:rPr>
        <w:t>9</w:t>
      </w:r>
      <w:r w:rsidR="00390C9F">
        <w:rPr>
          <w:rFonts w:ascii="Arial" w:hAnsi="Arial" w:cs="Arial"/>
        </w:rPr>
        <w:fldChar w:fldCharType="end"/>
      </w:r>
      <w:r w:rsidR="00390C9F">
        <w:rPr>
          <w:rFonts w:ascii="Arial" w:hAnsi="Arial" w:cs="Arial"/>
        </w:rPr>
        <w:noBreakHyphen/>
      </w:r>
      <w:r w:rsidR="00390C9F">
        <w:rPr>
          <w:rFonts w:ascii="Arial" w:hAnsi="Arial" w:cs="Arial"/>
        </w:rPr>
        <w:fldChar w:fldCharType="begin"/>
      </w:r>
      <w:r w:rsidR="00390C9F">
        <w:rPr>
          <w:rFonts w:ascii="Arial" w:hAnsi="Arial" w:cs="Arial"/>
        </w:rPr>
        <w:instrText xml:space="preserve"> SEQ Table \* ARABIC \s 1 </w:instrText>
      </w:r>
      <w:r w:rsidR="00390C9F">
        <w:rPr>
          <w:rFonts w:ascii="Arial" w:hAnsi="Arial" w:cs="Arial"/>
        </w:rPr>
        <w:fldChar w:fldCharType="separate"/>
      </w:r>
      <w:r w:rsidR="00423FC9">
        <w:rPr>
          <w:rFonts w:ascii="Arial" w:hAnsi="Arial" w:cs="Arial"/>
          <w:noProof/>
        </w:rPr>
        <w:t>2</w:t>
      </w:r>
      <w:r w:rsidR="00390C9F">
        <w:rPr>
          <w:rFonts w:ascii="Arial" w:hAnsi="Arial" w:cs="Arial"/>
        </w:rPr>
        <w:fldChar w:fldCharType="end"/>
      </w:r>
      <w:bookmarkEnd w:id="138"/>
      <w:r w:rsidRPr="00FE6C76">
        <w:rPr>
          <w:rFonts w:ascii="Arial" w:hAnsi="Arial" w:cs="Arial"/>
        </w:rPr>
        <w:t>:</w:t>
      </w:r>
      <w:r w:rsidRPr="007901FE">
        <w:rPr>
          <w:rFonts w:ascii="Arial" w:hAnsi="Arial" w:cs="Arial"/>
        </w:rPr>
        <w:t xml:space="preserve"> Summary of inputs and o</w:t>
      </w:r>
      <w:r>
        <w:rPr>
          <w:rFonts w:ascii="Arial" w:hAnsi="Arial" w:cs="Arial"/>
        </w:rPr>
        <w:t xml:space="preserve">utputs for </w:t>
      </w:r>
      <w:r w:rsidRPr="00D766AB">
        <w:rPr>
          <w:rFonts w:ascii="Arial" w:hAnsi="Arial" w:cs="Arial"/>
        </w:rPr>
        <w:t xml:space="preserve">production of </w:t>
      </w:r>
      <w:r w:rsidR="00090185">
        <w:rPr>
          <w:rFonts w:ascii="Arial" w:hAnsi="Arial" w:cs="Arial"/>
        </w:rPr>
        <w:t>recycled metals</w:t>
      </w:r>
      <w:r w:rsidR="003512E8">
        <w:rPr>
          <w:rFonts w:ascii="Arial" w:hAnsi="Arial" w:cs="Arial"/>
        </w:rPr>
        <w:t xml:space="preserve"> for 2016</w:t>
      </w:r>
      <w:bookmarkEnd w:id="139"/>
    </w:p>
    <w:tbl>
      <w:tblPr>
        <w:tblStyle w:val="TableGrid"/>
        <w:tblW w:w="9214" w:type="dxa"/>
        <w:tblInd w:w="108" w:type="dxa"/>
        <w:tblLook w:val="04A0" w:firstRow="1" w:lastRow="0" w:firstColumn="1" w:lastColumn="0" w:noHBand="0" w:noVBand="1"/>
      </w:tblPr>
      <w:tblGrid>
        <w:gridCol w:w="2410"/>
        <w:gridCol w:w="1394"/>
        <w:gridCol w:w="1082"/>
        <w:gridCol w:w="1082"/>
        <w:gridCol w:w="1082"/>
        <w:gridCol w:w="1082"/>
        <w:gridCol w:w="1082"/>
      </w:tblGrid>
      <w:tr w:rsidR="00B136BC" w:rsidRPr="007901FE" w14:paraId="5A563CFD" w14:textId="77777777" w:rsidTr="00090185">
        <w:tc>
          <w:tcPr>
            <w:tcW w:w="2410" w:type="dxa"/>
            <w:vMerge w:val="restart"/>
            <w:vAlign w:val="center"/>
          </w:tcPr>
          <w:p w14:paraId="7A4B3AB2" w14:textId="77777777" w:rsidR="00B136BC" w:rsidRPr="004E3E02" w:rsidRDefault="00B136BC" w:rsidP="00676490">
            <w:pPr>
              <w:spacing w:line="300" w:lineRule="atLeast"/>
              <w:rPr>
                <w:rFonts w:ascii="Arial" w:hAnsi="Arial" w:cs="Arial"/>
                <w:b/>
                <w:sz w:val="16"/>
                <w:szCs w:val="16"/>
              </w:rPr>
            </w:pPr>
            <w:r w:rsidRPr="004E3E02">
              <w:rPr>
                <w:rFonts w:ascii="Arial" w:hAnsi="Arial" w:cs="Arial"/>
                <w:b/>
                <w:sz w:val="16"/>
                <w:szCs w:val="16"/>
              </w:rPr>
              <w:t>Category</w:t>
            </w:r>
          </w:p>
        </w:tc>
        <w:tc>
          <w:tcPr>
            <w:tcW w:w="1394" w:type="dxa"/>
            <w:vMerge w:val="restart"/>
            <w:vAlign w:val="center"/>
          </w:tcPr>
          <w:p w14:paraId="3317C5C3" w14:textId="77777777" w:rsidR="00B136BC" w:rsidRPr="004E3E02" w:rsidRDefault="00B136BC" w:rsidP="00676490">
            <w:pPr>
              <w:spacing w:line="300" w:lineRule="atLeast"/>
              <w:jc w:val="center"/>
              <w:rPr>
                <w:rFonts w:ascii="Arial" w:hAnsi="Arial" w:cs="Arial"/>
                <w:b/>
                <w:sz w:val="16"/>
                <w:szCs w:val="16"/>
              </w:rPr>
            </w:pPr>
            <w:r w:rsidRPr="004E3E02">
              <w:rPr>
                <w:rFonts w:ascii="Arial" w:hAnsi="Arial" w:cs="Arial"/>
                <w:b/>
                <w:sz w:val="16"/>
                <w:szCs w:val="16"/>
              </w:rPr>
              <w:t>Mercury Inputs, kg/year</w:t>
            </w:r>
          </w:p>
        </w:tc>
        <w:tc>
          <w:tcPr>
            <w:tcW w:w="5410" w:type="dxa"/>
            <w:gridSpan w:val="5"/>
            <w:vAlign w:val="center"/>
          </w:tcPr>
          <w:p w14:paraId="320A9080" w14:textId="77777777" w:rsidR="00B136BC" w:rsidRPr="004E3E02" w:rsidRDefault="00B136BC" w:rsidP="00676490">
            <w:pPr>
              <w:spacing w:line="300" w:lineRule="atLeast"/>
              <w:jc w:val="center"/>
              <w:rPr>
                <w:rFonts w:ascii="Arial" w:hAnsi="Arial" w:cs="Arial"/>
                <w:b/>
                <w:sz w:val="16"/>
                <w:szCs w:val="16"/>
              </w:rPr>
            </w:pPr>
            <w:r w:rsidRPr="004E3E02">
              <w:rPr>
                <w:rFonts w:ascii="Arial" w:hAnsi="Arial" w:cs="Arial"/>
                <w:b/>
                <w:sz w:val="16"/>
                <w:szCs w:val="16"/>
              </w:rPr>
              <w:t>Mercury Outputs, kg/</w:t>
            </w:r>
            <w:proofErr w:type="spellStart"/>
            <w:r w:rsidRPr="004E3E02">
              <w:rPr>
                <w:rFonts w:ascii="Arial" w:hAnsi="Arial" w:cs="Arial"/>
                <w:b/>
                <w:sz w:val="16"/>
                <w:szCs w:val="16"/>
              </w:rPr>
              <w:t>yr</w:t>
            </w:r>
            <w:proofErr w:type="spellEnd"/>
          </w:p>
        </w:tc>
      </w:tr>
      <w:tr w:rsidR="00B136BC" w:rsidRPr="007901FE" w14:paraId="1BAD16EF" w14:textId="77777777" w:rsidTr="00090185">
        <w:tc>
          <w:tcPr>
            <w:tcW w:w="2410" w:type="dxa"/>
            <w:vMerge/>
            <w:vAlign w:val="center"/>
          </w:tcPr>
          <w:p w14:paraId="396EA27B" w14:textId="77777777" w:rsidR="00B136BC" w:rsidRPr="004E3E02" w:rsidRDefault="00B136BC" w:rsidP="00676490">
            <w:pPr>
              <w:spacing w:line="300" w:lineRule="atLeast"/>
              <w:rPr>
                <w:rFonts w:ascii="Arial" w:hAnsi="Arial" w:cs="Arial"/>
                <w:b/>
                <w:sz w:val="16"/>
                <w:szCs w:val="16"/>
              </w:rPr>
            </w:pPr>
          </w:p>
        </w:tc>
        <w:tc>
          <w:tcPr>
            <w:tcW w:w="1394" w:type="dxa"/>
            <w:vMerge/>
          </w:tcPr>
          <w:p w14:paraId="645C2A17" w14:textId="77777777" w:rsidR="00B136BC" w:rsidRPr="004E3E02" w:rsidRDefault="00B136BC" w:rsidP="00676490">
            <w:pPr>
              <w:spacing w:line="300" w:lineRule="atLeast"/>
              <w:jc w:val="both"/>
              <w:rPr>
                <w:rFonts w:ascii="Arial" w:hAnsi="Arial" w:cs="Arial"/>
                <w:b/>
                <w:sz w:val="16"/>
                <w:szCs w:val="16"/>
              </w:rPr>
            </w:pPr>
          </w:p>
        </w:tc>
        <w:tc>
          <w:tcPr>
            <w:tcW w:w="1082" w:type="dxa"/>
            <w:vAlign w:val="center"/>
          </w:tcPr>
          <w:p w14:paraId="3EC7934A" w14:textId="77777777" w:rsidR="00B136BC" w:rsidRPr="004E3E02" w:rsidRDefault="00B136BC" w:rsidP="00676490">
            <w:pPr>
              <w:spacing w:line="300" w:lineRule="atLeast"/>
              <w:jc w:val="center"/>
              <w:rPr>
                <w:rFonts w:ascii="Arial" w:hAnsi="Arial" w:cs="Arial"/>
                <w:b/>
                <w:sz w:val="16"/>
                <w:szCs w:val="16"/>
              </w:rPr>
            </w:pPr>
            <w:r w:rsidRPr="004E3E02">
              <w:rPr>
                <w:rFonts w:ascii="Arial" w:hAnsi="Arial" w:cs="Arial"/>
                <w:b/>
                <w:sz w:val="16"/>
                <w:szCs w:val="16"/>
              </w:rPr>
              <w:t>Air</w:t>
            </w:r>
          </w:p>
        </w:tc>
        <w:tc>
          <w:tcPr>
            <w:tcW w:w="1082" w:type="dxa"/>
            <w:vAlign w:val="center"/>
          </w:tcPr>
          <w:p w14:paraId="096A5D0C" w14:textId="77777777" w:rsidR="00B136BC" w:rsidRPr="004E3E02" w:rsidRDefault="00B136BC" w:rsidP="00676490">
            <w:pPr>
              <w:spacing w:line="300" w:lineRule="atLeast"/>
              <w:jc w:val="center"/>
              <w:rPr>
                <w:rFonts w:ascii="Arial" w:hAnsi="Arial" w:cs="Arial"/>
                <w:b/>
                <w:sz w:val="16"/>
                <w:szCs w:val="16"/>
              </w:rPr>
            </w:pPr>
            <w:r w:rsidRPr="004E3E02">
              <w:rPr>
                <w:rFonts w:ascii="Arial" w:hAnsi="Arial" w:cs="Arial"/>
                <w:b/>
                <w:sz w:val="16"/>
                <w:szCs w:val="16"/>
              </w:rPr>
              <w:t>Water</w:t>
            </w:r>
          </w:p>
        </w:tc>
        <w:tc>
          <w:tcPr>
            <w:tcW w:w="1082" w:type="dxa"/>
            <w:vAlign w:val="center"/>
          </w:tcPr>
          <w:p w14:paraId="50803CB2" w14:textId="77777777" w:rsidR="00B136BC" w:rsidRPr="004E3E02" w:rsidRDefault="00B136BC" w:rsidP="00676490">
            <w:pPr>
              <w:spacing w:line="300" w:lineRule="atLeast"/>
              <w:jc w:val="center"/>
              <w:rPr>
                <w:rFonts w:ascii="Arial" w:hAnsi="Arial" w:cs="Arial"/>
                <w:b/>
                <w:sz w:val="16"/>
                <w:szCs w:val="16"/>
              </w:rPr>
            </w:pPr>
            <w:r w:rsidRPr="004E3E02">
              <w:rPr>
                <w:rFonts w:ascii="Arial" w:hAnsi="Arial" w:cs="Arial"/>
                <w:b/>
                <w:sz w:val="16"/>
                <w:szCs w:val="16"/>
              </w:rPr>
              <w:t>Land</w:t>
            </w:r>
          </w:p>
        </w:tc>
        <w:tc>
          <w:tcPr>
            <w:tcW w:w="1082" w:type="dxa"/>
            <w:vAlign w:val="center"/>
          </w:tcPr>
          <w:p w14:paraId="62A5605D" w14:textId="77777777" w:rsidR="00B136BC" w:rsidRPr="004E3E02" w:rsidRDefault="00B136BC" w:rsidP="00676490">
            <w:pPr>
              <w:spacing w:line="300" w:lineRule="atLeast"/>
              <w:jc w:val="center"/>
              <w:rPr>
                <w:rFonts w:ascii="Arial" w:hAnsi="Arial" w:cs="Arial"/>
                <w:b/>
                <w:sz w:val="16"/>
                <w:szCs w:val="16"/>
              </w:rPr>
            </w:pPr>
            <w:r w:rsidRPr="004E3E02">
              <w:rPr>
                <w:rFonts w:ascii="Arial" w:hAnsi="Arial" w:cs="Arial"/>
                <w:b/>
                <w:sz w:val="16"/>
                <w:szCs w:val="16"/>
              </w:rPr>
              <w:t>Product</w:t>
            </w:r>
          </w:p>
        </w:tc>
        <w:tc>
          <w:tcPr>
            <w:tcW w:w="1082" w:type="dxa"/>
            <w:vAlign w:val="center"/>
          </w:tcPr>
          <w:p w14:paraId="7D6EB89B" w14:textId="77777777" w:rsidR="00B136BC" w:rsidRPr="004E3E02" w:rsidRDefault="00B136BC" w:rsidP="00676490">
            <w:pPr>
              <w:spacing w:line="300" w:lineRule="atLeast"/>
              <w:jc w:val="center"/>
              <w:rPr>
                <w:rFonts w:ascii="Arial" w:hAnsi="Arial" w:cs="Arial"/>
                <w:b/>
                <w:sz w:val="16"/>
                <w:szCs w:val="16"/>
              </w:rPr>
            </w:pPr>
            <w:r w:rsidRPr="004E3E02">
              <w:rPr>
                <w:rFonts w:ascii="Arial" w:hAnsi="Arial" w:cs="Arial"/>
                <w:b/>
                <w:sz w:val="16"/>
                <w:szCs w:val="16"/>
              </w:rPr>
              <w:t>Waste</w:t>
            </w:r>
          </w:p>
        </w:tc>
      </w:tr>
      <w:tr w:rsidR="00B136BC" w:rsidRPr="007901FE" w14:paraId="5D9540CD" w14:textId="77777777" w:rsidTr="00090185">
        <w:tc>
          <w:tcPr>
            <w:tcW w:w="2410" w:type="dxa"/>
            <w:vAlign w:val="center"/>
          </w:tcPr>
          <w:p w14:paraId="5A5595C8" w14:textId="77777777" w:rsidR="00B136BC" w:rsidRPr="005D6136" w:rsidRDefault="00B136BC" w:rsidP="00676490">
            <w:pPr>
              <w:spacing w:line="300" w:lineRule="atLeast"/>
              <w:rPr>
                <w:rFonts w:ascii="Arial" w:hAnsi="Arial" w:cs="Arial"/>
                <w:sz w:val="16"/>
                <w:szCs w:val="16"/>
              </w:rPr>
            </w:pPr>
            <w:r w:rsidRPr="005D6136">
              <w:rPr>
                <w:rFonts w:ascii="Arial" w:hAnsi="Arial" w:cs="Arial"/>
                <w:sz w:val="16"/>
                <w:szCs w:val="16"/>
              </w:rPr>
              <w:t>Recycled mercury</w:t>
            </w:r>
          </w:p>
        </w:tc>
        <w:tc>
          <w:tcPr>
            <w:tcW w:w="1394" w:type="dxa"/>
            <w:vAlign w:val="center"/>
          </w:tcPr>
          <w:p w14:paraId="205FF406" w14:textId="3B03EA65" w:rsidR="00B136BC" w:rsidRPr="005D6136" w:rsidRDefault="005D6136" w:rsidP="00676490">
            <w:pPr>
              <w:spacing w:line="300" w:lineRule="atLeast"/>
              <w:jc w:val="center"/>
              <w:rPr>
                <w:rFonts w:ascii="Arial" w:hAnsi="Arial" w:cs="Arial"/>
                <w:sz w:val="16"/>
                <w:szCs w:val="16"/>
              </w:rPr>
            </w:pPr>
            <w:r>
              <w:rPr>
                <w:rFonts w:ascii="Arial" w:hAnsi="Arial" w:cs="Arial"/>
                <w:sz w:val="16"/>
                <w:szCs w:val="16"/>
              </w:rPr>
              <w:t>20</w:t>
            </w:r>
          </w:p>
        </w:tc>
        <w:tc>
          <w:tcPr>
            <w:tcW w:w="1082" w:type="dxa"/>
            <w:vAlign w:val="center"/>
          </w:tcPr>
          <w:p w14:paraId="1C213FE8" w14:textId="77777777" w:rsidR="00B136BC" w:rsidRPr="005D6136" w:rsidRDefault="00090185" w:rsidP="00676490">
            <w:pPr>
              <w:spacing w:line="300" w:lineRule="atLeast"/>
              <w:jc w:val="center"/>
              <w:rPr>
                <w:rFonts w:ascii="Arial" w:hAnsi="Arial" w:cs="Arial"/>
                <w:sz w:val="16"/>
                <w:szCs w:val="16"/>
              </w:rPr>
            </w:pPr>
            <w:r w:rsidRPr="005D6136">
              <w:rPr>
                <w:rFonts w:ascii="Arial" w:hAnsi="Arial" w:cs="Arial"/>
                <w:sz w:val="16"/>
                <w:szCs w:val="16"/>
              </w:rPr>
              <w:t>-</w:t>
            </w:r>
          </w:p>
        </w:tc>
        <w:tc>
          <w:tcPr>
            <w:tcW w:w="1082" w:type="dxa"/>
            <w:vAlign w:val="center"/>
          </w:tcPr>
          <w:p w14:paraId="429D63D3" w14:textId="77777777" w:rsidR="00B136BC" w:rsidRPr="005D6136" w:rsidRDefault="00090185" w:rsidP="00676490">
            <w:pPr>
              <w:spacing w:line="300" w:lineRule="atLeast"/>
              <w:jc w:val="center"/>
              <w:rPr>
                <w:rFonts w:ascii="Arial" w:hAnsi="Arial" w:cs="Arial"/>
                <w:sz w:val="16"/>
                <w:szCs w:val="16"/>
              </w:rPr>
            </w:pPr>
            <w:r w:rsidRPr="005D6136">
              <w:rPr>
                <w:rFonts w:ascii="Arial" w:hAnsi="Arial" w:cs="Arial"/>
                <w:sz w:val="16"/>
                <w:szCs w:val="16"/>
              </w:rPr>
              <w:t>-</w:t>
            </w:r>
          </w:p>
        </w:tc>
        <w:tc>
          <w:tcPr>
            <w:tcW w:w="1082" w:type="dxa"/>
            <w:vAlign w:val="center"/>
          </w:tcPr>
          <w:p w14:paraId="2B0B6680" w14:textId="77777777" w:rsidR="00B136BC" w:rsidRPr="005D6136" w:rsidRDefault="00090185" w:rsidP="00676490">
            <w:pPr>
              <w:spacing w:line="300" w:lineRule="atLeast"/>
              <w:jc w:val="center"/>
              <w:rPr>
                <w:rFonts w:ascii="Arial" w:hAnsi="Arial" w:cs="Arial"/>
                <w:sz w:val="16"/>
                <w:szCs w:val="16"/>
              </w:rPr>
            </w:pPr>
            <w:r w:rsidRPr="005D6136">
              <w:rPr>
                <w:rFonts w:ascii="Arial" w:hAnsi="Arial" w:cs="Arial"/>
                <w:sz w:val="16"/>
                <w:szCs w:val="16"/>
              </w:rPr>
              <w:t>-</w:t>
            </w:r>
          </w:p>
        </w:tc>
        <w:tc>
          <w:tcPr>
            <w:tcW w:w="1082" w:type="dxa"/>
            <w:vAlign w:val="center"/>
          </w:tcPr>
          <w:p w14:paraId="6F6815F6" w14:textId="10CEBFAA" w:rsidR="00B136BC" w:rsidRPr="005D6136" w:rsidRDefault="005D6136" w:rsidP="00676490">
            <w:pPr>
              <w:spacing w:line="300" w:lineRule="atLeast"/>
              <w:jc w:val="center"/>
              <w:rPr>
                <w:rFonts w:ascii="Arial" w:hAnsi="Arial" w:cs="Arial"/>
                <w:sz w:val="16"/>
                <w:szCs w:val="16"/>
              </w:rPr>
            </w:pPr>
            <w:r>
              <w:rPr>
                <w:rFonts w:ascii="Arial" w:hAnsi="Arial" w:cs="Arial"/>
                <w:sz w:val="16"/>
                <w:szCs w:val="16"/>
              </w:rPr>
              <w:t>20</w:t>
            </w:r>
          </w:p>
        </w:tc>
        <w:tc>
          <w:tcPr>
            <w:tcW w:w="1082" w:type="dxa"/>
            <w:vAlign w:val="center"/>
          </w:tcPr>
          <w:p w14:paraId="071F79EE" w14:textId="77777777" w:rsidR="00B136BC" w:rsidRPr="004E3E02" w:rsidRDefault="00B136BC" w:rsidP="00676490">
            <w:pPr>
              <w:spacing w:line="300" w:lineRule="atLeast"/>
              <w:jc w:val="center"/>
              <w:rPr>
                <w:rFonts w:ascii="Arial" w:hAnsi="Arial" w:cs="Arial"/>
                <w:sz w:val="16"/>
                <w:szCs w:val="16"/>
              </w:rPr>
            </w:pPr>
            <w:r w:rsidRPr="005D6136">
              <w:rPr>
                <w:rFonts w:ascii="Arial" w:hAnsi="Arial" w:cs="Arial"/>
                <w:sz w:val="16"/>
                <w:szCs w:val="16"/>
              </w:rPr>
              <w:t>-</w:t>
            </w:r>
          </w:p>
        </w:tc>
      </w:tr>
      <w:tr w:rsidR="00B136BC" w:rsidRPr="007901FE" w14:paraId="248D324A" w14:textId="77777777" w:rsidTr="00090185">
        <w:tc>
          <w:tcPr>
            <w:tcW w:w="2410" w:type="dxa"/>
            <w:vAlign w:val="center"/>
          </w:tcPr>
          <w:p w14:paraId="41E3F228" w14:textId="77777777" w:rsidR="00B136BC" w:rsidRPr="004901F2" w:rsidRDefault="00B136BC" w:rsidP="00676490">
            <w:pPr>
              <w:spacing w:before="40" w:after="40" w:line="300" w:lineRule="atLeast"/>
              <w:rPr>
                <w:rFonts w:ascii="Arial" w:hAnsi="Arial" w:cs="Arial"/>
                <w:sz w:val="16"/>
                <w:szCs w:val="16"/>
              </w:rPr>
            </w:pPr>
            <w:r>
              <w:rPr>
                <w:rFonts w:ascii="Arial" w:hAnsi="Arial" w:cs="Arial"/>
                <w:sz w:val="16"/>
                <w:szCs w:val="16"/>
              </w:rPr>
              <w:t>Ferrous metals (iron and steel)</w:t>
            </w:r>
          </w:p>
        </w:tc>
        <w:tc>
          <w:tcPr>
            <w:tcW w:w="1394" w:type="dxa"/>
            <w:vAlign w:val="center"/>
          </w:tcPr>
          <w:p w14:paraId="60CDC1C5" w14:textId="77777777" w:rsidR="00B136BC" w:rsidRPr="004E3E02" w:rsidRDefault="003512E8" w:rsidP="00676490">
            <w:pPr>
              <w:spacing w:line="300" w:lineRule="atLeast"/>
              <w:jc w:val="center"/>
              <w:rPr>
                <w:rFonts w:ascii="Arial" w:hAnsi="Arial" w:cs="Arial"/>
                <w:sz w:val="16"/>
                <w:szCs w:val="16"/>
              </w:rPr>
            </w:pPr>
            <w:r>
              <w:rPr>
                <w:rFonts w:ascii="Arial" w:hAnsi="Arial" w:cs="Arial"/>
                <w:sz w:val="16"/>
                <w:szCs w:val="16"/>
              </w:rPr>
              <w:t>-</w:t>
            </w:r>
          </w:p>
        </w:tc>
        <w:tc>
          <w:tcPr>
            <w:tcW w:w="1082" w:type="dxa"/>
            <w:vAlign w:val="center"/>
          </w:tcPr>
          <w:p w14:paraId="508F8938" w14:textId="77777777" w:rsidR="00B136BC" w:rsidRPr="004E3E02" w:rsidRDefault="003512E8" w:rsidP="00676490">
            <w:pPr>
              <w:spacing w:line="300" w:lineRule="atLeast"/>
              <w:jc w:val="center"/>
              <w:rPr>
                <w:rFonts w:ascii="Arial" w:hAnsi="Arial" w:cs="Arial"/>
                <w:sz w:val="16"/>
                <w:szCs w:val="16"/>
              </w:rPr>
            </w:pPr>
            <w:r>
              <w:rPr>
                <w:rFonts w:ascii="Arial" w:hAnsi="Arial" w:cs="Arial"/>
                <w:sz w:val="16"/>
                <w:szCs w:val="16"/>
              </w:rPr>
              <w:t>-</w:t>
            </w:r>
          </w:p>
        </w:tc>
        <w:tc>
          <w:tcPr>
            <w:tcW w:w="1082" w:type="dxa"/>
            <w:vAlign w:val="center"/>
          </w:tcPr>
          <w:p w14:paraId="2D8FFD57" w14:textId="77777777" w:rsidR="00B136BC" w:rsidRPr="004E3E02" w:rsidRDefault="00B136BC" w:rsidP="00676490">
            <w:pPr>
              <w:spacing w:line="300" w:lineRule="atLeast"/>
              <w:jc w:val="center"/>
              <w:rPr>
                <w:rFonts w:ascii="Arial" w:hAnsi="Arial" w:cs="Arial"/>
                <w:sz w:val="16"/>
                <w:szCs w:val="16"/>
              </w:rPr>
            </w:pPr>
            <w:r>
              <w:rPr>
                <w:rFonts w:ascii="Arial" w:hAnsi="Arial" w:cs="Arial"/>
                <w:sz w:val="16"/>
                <w:szCs w:val="16"/>
              </w:rPr>
              <w:t>-</w:t>
            </w:r>
          </w:p>
        </w:tc>
        <w:tc>
          <w:tcPr>
            <w:tcW w:w="1082" w:type="dxa"/>
            <w:vAlign w:val="center"/>
          </w:tcPr>
          <w:p w14:paraId="07F6BDD6" w14:textId="77777777" w:rsidR="00B136BC" w:rsidRPr="004E3E02" w:rsidRDefault="00B136BC" w:rsidP="00676490">
            <w:pPr>
              <w:spacing w:line="300" w:lineRule="atLeast"/>
              <w:jc w:val="center"/>
              <w:rPr>
                <w:rFonts w:ascii="Arial" w:hAnsi="Arial" w:cs="Arial"/>
                <w:sz w:val="16"/>
                <w:szCs w:val="16"/>
              </w:rPr>
            </w:pPr>
            <w:r>
              <w:rPr>
                <w:rFonts w:ascii="Arial" w:hAnsi="Arial" w:cs="Arial"/>
                <w:sz w:val="16"/>
                <w:szCs w:val="16"/>
              </w:rPr>
              <w:t>-</w:t>
            </w:r>
          </w:p>
        </w:tc>
        <w:tc>
          <w:tcPr>
            <w:tcW w:w="1082" w:type="dxa"/>
            <w:vAlign w:val="center"/>
          </w:tcPr>
          <w:p w14:paraId="1FDD7C4F" w14:textId="77777777" w:rsidR="00B136BC" w:rsidRPr="004E3E02" w:rsidRDefault="00B136BC" w:rsidP="00676490">
            <w:pPr>
              <w:spacing w:line="300" w:lineRule="atLeast"/>
              <w:jc w:val="center"/>
              <w:rPr>
                <w:rFonts w:ascii="Arial" w:hAnsi="Arial" w:cs="Arial"/>
                <w:sz w:val="16"/>
                <w:szCs w:val="16"/>
              </w:rPr>
            </w:pPr>
            <w:r>
              <w:rPr>
                <w:rFonts w:ascii="Arial" w:hAnsi="Arial" w:cs="Arial"/>
                <w:sz w:val="16"/>
                <w:szCs w:val="16"/>
              </w:rPr>
              <w:t>-</w:t>
            </w:r>
          </w:p>
        </w:tc>
        <w:tc>
          <w:tcPr>
            <w:tcW w:w="1082" w:type="dxa"/>
            <w:vAlign w:val="center"/>
          </w:tcPr>
          <w:p w14:paraId="0EF693B5" w14:textId="77777777" w:rsidR="00B136BC" w:rsidRPr="004E3E02" w:rsidRDefault="003512E8" w:rsidP="00676490">
            <w:pPr>
              <w:spacing w:line="300" w:lineRule="atLeast"/>
              <w:jc w:val="center"/>
              <w:rPr>
                <w:rFonts w:ascii="Arial" w:hAnsi="Arial" w:cs="Arial"/>
                <w:sz w:val="16"/>
                <w:szCs w:val="16"/>
              </w:rPr>
            </w:pPr>
            <w:r>
              <w:rPr>
                <w:rFonts w:ascii="Arial" w:hAnsi="Arial" w:cs="Arial"/>
                <w:sz w:val="16"/>
                <w:szCs w:val="16"/>
              </w:rPr>
              <w:t>-</w:t>
            </w:r>
          </w:p>
        </w:tc>
      </w:tr>
      <w:tr w:rsidR="00B136BC" w:rsidRPr="007901FE" w14:paraId="610CE4D4" w14:textId="77777777" w:rsidTr="00090185">
        <w:tc>
          <w:tcPr>
            <w:tcW w:w="2410" w:type="dxa"/>
            <w:vAlign w:val="center"/>
          </w:tcPr>
          <w:p w14:paraId="57CF08D0" w14:textId="77777777" w:rsidR="00B136BC" w:rsidRPr="004901F2" w:rsidRDefault="00B136BC" w:rsidP="00676490">
            <w:pPr>
              <w:spacing w:line="300" w:lineRule="atLeast"/>
              <w:rPr>
                <w:rFonts w:ascii="Arial" w:hAnsi="Arial" w:cs="Arial"/>
                <w:sz w:val="16"/>
                <w:szCs w:val="16"/>
              </w:rPr>
            </w:pPr>
            <w:r>
              <w:rPr>
                <w:rFonts w:ascii="Arial" w:hAnsi="Arial" w:cs="Arial"/>
                <w:sz w:val="16"/>
                <w:szCs w:val="16"/>
              </w:rPr>
              <w:t>Other recycled metals</w:t>
            </w:r>
          </w:p>
        </w:tc>
        <w:tc>
          <w:tcPr>
            <w:tcW w:w="1394" w:type="dxa"/>
            <w:vAlign w:val="center"/>
          </w:tcPr>
          <w:p w14:paraId="3C91FBCA" w14:textId="77777777" w:rsidR="00B136BC" w:rsidRPr="004E3E02" w:rsidRDefault="00B136BC" w:rsidP="00676490">
            <w:pPr>
              <w:spacing w:line="300" w:lineRule="atLeast"/>
              <w:jc w:val="center"/>
              <w:rPr>
                <w:rFonts w:ascii="Arial" w:hAnsi="Arial" w:cs="Arial"/>
                <w:sz w:val="16"/>
                <w:szCs w:val="16"/>
              </w:rPr>
            </w:pPr>
            <w:r>
              <w:rPr>
                <w:rFonts w:ascii="Arial" w:hAnsi="Arial" w:cs="Arial"/>
                <w:sz w:val="16"/>
                <w:szCs w:val="16"/>
              </w:rPr>
              <w:t>-</w:t>
            </w:r>
          </w:p>
        </w:tc>
        <w:tc>
          <w:tcPr>
            <w:tcW w:w="1082" w:type="dxa"/>
            <w:vAlign w:val="center"/>
          </w:tcPr>
          <w:p w14:paraId="47754142" w14:textId="77777777" w:rsidR="00B136BC" w:rsidRPr="004E3E02" w:rsidRDefault="00B136BC" w:rsidP="00676490">
            <w:pPr>
              <w:spacing w:line="300" w:lineRule="atLeast"/>
              <w:jc w:val="center"/>
              <w:rPr>
                <w:rFonts w:ascii="Arial" w:hAnsi="Arial" w:cs="Arial"/>
                <w:sz w:val="16"/>
                <w:szCs w:val="16"/>
              </w:rPr>
            </w:pPr>
            <w:r>
              <w:rPr>
                <w:rFonts w:ascii="Arial" w:hAnsi="Arial" w:cs="Arial"/>
                <w:sz w:val="16"/>
                <w:szCs w:val="16"/>
              </w:rPr>
              <w:t>-</w:t>
            </w:r>
          </w:p>
        </w:tc>
        <w:tc>
          <w:tcPr>
            <w:tcW w:w="1082" w:type="dxa"/>
            <w:vAlign w:val="center"/>
          </w:tcPr>
          <w:p w14:paraId="785568C0" w14:textId="77777777" w:rsidR="00B136BC" w:rsidRPr="004E3E02" w:rsidRDefault="00B136BC" w:rsidP="00676490">
            <w:pPr>
              <w:spacing w:line="300" w:lineRule="atLeast"/>
              <w:jc w:val="center"/>
              <w:rPr>
                <w:rFonts w:ascii="Arial" w:hAnsi="Arial" w:cs="Arial"/>
                <w:sz w:val="16"/>
                <w:szCs w:val="16"/>
              </w:rPr>
            </w:pPr>
            <w:r>
              <w:rPr>
                <w:rFonts w:ascii="Arial" w:hAnsi="Arial" w:cs="Arial"/>
                <w:sz w:val="16"/>
                <w:szCs w:val="16"/>
              </w:rPr>
              <w:t>-</w:t>
            </w:r>
          </w:p>
        </w:tc>
        <w:tc>
          <w:tcPr>
            <w:tcW w:w="1082" w:type="dxa"/>
            <w:vAlign w:val="center"/>
          </w:tcPr>
          <w:p w14:paraId="7FA07D8A" w14:textId="77777777" w:rsidR="00B136BC" w:rsidRPr="004E3E02" w:rsidRDefault="00B136BC" w:rsidP="00676490">
            <w:pPr>
              <w:spacing w:line="300" w:lineRule="atLeast"/>
              <w:jc w:val="center"/>
              <w:rPr>
                <w:rFonts w:ascii="Arial" w:hAnsi="Arial" w:cs="Arial"/>
                <w:sz w:val="16"/>
                <w:szCs w:val="16"/>
              </w:rPr>
            </w:pPr>
            <w:r>
              <w:rPr>
                <w:rFonts w:ascii="Arial" w:hAnsi="Arial" w:cs="Arial"/>
                <w:sz w:val="16"/>
                <w:szCs w:val="16"/>
              </w:rPr>
              <w:t>-</w:t>
            </w:r>
          </w:p>
        </w:tc>
        <w:tc>
          <w:tcPr>
            <w:tcW w:w="1082" w:type="dxa"/>
            <w:vAlign w:val="center"/>
          </w:tcPr>
          <w:p w14:paraId="4AFD17A2" w14:textId="77777777" w:rsidR="00B136BC" w:rsidRPr="004E3E02" w:rsidRDefault="00B136BC" w:rsidP="00676490">
            <w:pPr>
              <w:spacing w:line="300" w:lineRule="atLeast"/>
              <w:jc w:val="center"/>
              <w:rPr>
                <w:rFonts w:ascii="Arial" w:hAnsi="Arial" w:cs="Arial"/>
                <w:sz w:val="16"/>
                <w:szCs w:val="16"/>
              </w:rPr>
            </w:pPr>
            <w:r>
              <w:rPr>
                <w:rFonts w:ascii="Arial" w:hAnsi="Arial" w:cs="Arial"/>
                <w:sz w:val="16"/>
                <w:szCs w:val="16"/>
              </w:rPr>
              <w:t>-</w:t>
            </w:r>
          </w:p>
        </w:tc>
        <w:tc>
          <w:tcPr>
            <w:tcW w:w="1082" w:type="dxa"/>
            <w:vAlign w:val="center"/>
          </w:tcPr>
          <w:p w14:paraId="6A808F78" w14:textId="77777777" w:rsidR="00B136BC" w:rsidRPr="004E3E02" w:rsidRDefault="00B136BC" w:rsidP="00676490">
            <w:pPr>
              <w:spacing w:line="300" w:lineRule="atLeast"/>
              <w:jc w:val="center"/>
              <w:rPr>
                <w:rFonts w:ascii="Arial" w:hAnsi="Arial" w:cs="Arial"/>
                <w:sz w:val="16"/>
                <w:szCs w:val="16"/>
              </w:rPr>
            </w:pPr>
            <w:r>
              <w:rPr>
                <w:rFonts w:ascii="Arial" w:hAnsi="Arial" w:cs="Arial"/>
                <w:sz w:val="16"/>
                <w:szCs w:val="16"/>
              </w:rPr>
              <w:t>-</w:t>
            </w:r>
          </w:p>
        </w:tc>
      </w:tr>
      <w:tr w:rsidR="00B136BC" w:rsidRPr="007901FE" w14:paraId="4E4E3A24" w14:textId="77777777" w:rsidTr="00090185">
        <w:tc>
          <w:tcPr>
            <w:tcW w:w="2410" w:type="dxa"/>
          </w:tcPr>
          <w:p w14:paraId="46B38AFB" w14:textId="77777777" w:rsidR="00B136BC" w:rsidRPr="005D6136" w:rsidRDefault="00B136BC" w:rsidP="00676490">
            <w:pPr>
              <w:spacing w:line="300" w:lineRule="atLeast"/>
              <w:jc w:val="both"/>
              <w:rPr>
                <w:rFonts w:ascii="Arial" w:hAnsi="Arial" w:cs="Arial"/>
                <w:b/>
                <w:sz w:val="16"/>
                <w:szCs w:val="16"/>
              </w:rPr>
            </w:pPr>
            <w:r w:rsidRPr="005D6136">
              <w:rPr>
                <w:rFonts w:ascii="Arial" w:hAnsi="Arial" w:cs="Arial"/>
                <w:b/>
                <w:sz w:val="16"/>
                <w:szCs w:val="16"/>
              </w:rPr>
              <w:t>Totals</w:t>
            </w:r>
          </w:p>
        </w:tc>
        <w:tc>
          <w:tcPr>
            <w:tcW w:w="1394" w:type="dxa"/>
            <w:vAlign w:val="center"/>
          </w:tcPr>
          <w:p w14:paraId="70E7A396" w14:textId="551256D3" w:rsidR="00B136BC" w:rsidRPr="005D6136" w:rsidRDefault="005D6136" w:rsidP="00676490">
            <w:pPr>
              <w:spacing w:line="300" w:lineRule="atLeast"/>
              <w:jc w:val="center"/>
              <w:rPr>
                <w:rFonts w:ascii="Arial" w:hAnsi="Arial" w:cs="Arial"/>
                <w:b/>
                <w:sz w:val="16"/>
                <w:szCs w:val="16"/>
              </w:rPr>
            </w:pPr>
            <w:r>
              <w:rPr>
                <w:rFonts w:ascii="Arial" w:hAnsi="Arial" w:cs="Arial"/>
                <w:b/>
                <w:sz w:val="16"/>
                <w:szCs w:val="16"/>
              </w:rPr>
              <w:t>20</w:t>
            </w:r>
          </w:p>
        </w:tc>
        <w:tc>
          <w:tcPr>
            <w:tcW w:w="1082" w:type="dxa"/>
            <w:vAlign w:val="center"/>
          </w:tcPr>
          <w:p w14:paraId="017B9A9F" w14:textId="5891AA4A" w:rsidR="00B136BC" w:rsidRPr="005D6136" w:rsidRDefault="005D6136" w:rsidP="00676490">
            <w:pPr>
              <w:spacing w:line="300" w:lineRule="atLeast"/>
              <w:jc w:val="center"/>
              <w:rPr>
                <w:rFonts w:ascii="Arial" w:hAnsi="Arial" w:cs="Arial"/>
                <w:b/>
                <w:sz w:val="16"/>
                <w:szCs w:val="16"/>
              </w:rPr>
            </w:pPr>
            <w:r>
              <w:rPr>
                <w:rFonts w:ascii="Arial" w:hAnsi="Arial" w:cs="Arial"/>
                <w:b/>
                <w:sz w:val="16"/>
                <w:szCs w:val="16"/>
              </w:rPr>
              <w:t>-</w:t>
            </w:r>
          </w:p>
        </w:tc>
        <w:tc>
          <w:tcPr>
            <w:tcW w:w="1082" w:type="dxa"/>
            <w:vAlign w:val="center"/>
          </w:tcPr>
          <w:p w14:paraId="7DE7733D" w14:textId="77777777" w:rsidR="00B136BC" w:rsidRPr="005D6136" w:rsidRDefault="00B136BC" w:rsidP="00676490">
            <w:pPr>
              <w:spacing w:line="300" w:lineRule="atLeast"/>
              <w:jc w:val="center"/>
              <w:rPr>
                <w:rFonts w:ascii="Arial" w:hAnsi="Arial" w:cs="Arial"/>
                <w:b/>
                <w:sz w:val="16"/>
                <w:szCs w:val="16"/>
              </w:rPr>
            </w:pPr>
            <w:r w:rsidRPr="005D6136">
              <w:rPr>
                <w:rFonts w:ascii="Arial" w:hAnsi="Arial" w:cs="Arial"/>
                <w:b/>
                <w:sz w:val="16"/>
                <w:szCs w:val="16"/>
              </w:rPr>
              <w:t>-</w:t>
            </w:r>
          </w:p>
        </w:tc>
        <w:tc>
          <w:tcPr>
            <w:tcW w:w="1082" w:type="dxa"/>
            <w:vAlign w:val="center"/>
          </w:tcPr>
          <w:p w14:paraId="333CF52E" w14:textId="77777777" w:rsidR="00B136BC" w:rsidRPr="005D6136" w:rsidRDefault="00B136BC" w:rsidP="00676490">
            <w:pPr>
              <w:spacing w:line="300" w:lineRule="atLeast"/>
              <w:jc w:val="center"/>
              <w:rPr>
                <w:rFonts w:ascii="Arial" w:hAnsi="Arial" w:cs="Arial"/>
                <w:b/>
                <w:sz w:val="16"/>
                <w:szCs w:val="16"/>
              </w:rPr>
            </w:pPr>
            <w:r w:rsidRPr="005D6136">
              <w:rPr>
                <w:rFonts w:ascii="Arial" w:hAnsi="Arial" w:cs="Arial"/>
                <w:b/>
                <w:sz w:val="16"/>
                <w:szCs w:val="16"/>
              </w:rPr>
              <w:t>-</w:t>
            </w:r>
          </w:p>
        </w:tc>
        <w:tc>
          <w:tcPr>
            <w:tcW w:w="1082" w:type="dxa"/>
            <w:vAlign w:val="center"/>
          </w:tcPr>
          <w:p w14:paraId="4496BB0E" w14:textId="380D5DC4" w:rsidR="00B136BC" w:rsidRPr="005D6136" w:rsidRDefault="005D6136" w:rsidP="00676490">
            <w:pPr>
              <w:spacing w:line="300" w:lineRule="atLeast"/>
              <w:jc w:val="center"/>
              <w:rPr>
                <w:rFonts w:ascii="Arial" w:hAnsi="Arial" w:cs="Arial"/>
                <w:b/>
                <w:sz w:val="16"/>
                <w:szCs w:val="16"/>
              </w:rPr>
            </w:pPr>
            <w:r>
              <w:rPr>
                <w:rFonts w:ascii="Arial" w:hAnsi="Arial" w:cs="Arial"/>
                <w:b/>
                <w:sz w:val="16"/>
                <w:szCs w:val="16"/>
              </w:rPr>
              <w:t>20</w:t>
            </w:r>
          </w:p>
        </w:tc>
        <w:tc>
          <w:tcPr>
            <w:tcW w:w="1082" w:type="dxa"/>
            <w:vAlign w:val="center"/>
          </w:tcPr>
          <w:p w14:paraId="6592DDA7" w14:textId="10C05420" w:rsidR="00B136BC" w:rsidRPr="004E3E02" w:rsidRDefault="005D6136" w:rsidP="00676490">
            <w:pPr>
              <w:spacing w:line="300" w:lineRule="atLeast"/>
              <w:jc w:val="center"/>
              <w:rPr>
                <w:rFonts w:ascii="Arial" w:hAnsi="Arial" w:cs="Arial"/>
                <w:b/>
                <w:sz w:val="16"/>
                <w:szCs w:val="16"/>
              </w:rPr>
            </w:pPr>
            <w:r>
              <w:rPr>
                <w:rFonts w:ascii="Arial" w:hAnsi="Arial" w:cs="Arial"/>
                <w:b/>
                <w:sz w:val="16"/>
                <w:szCs w:val="16"/>
              </w:rPr>
              <w:t>-</w:t>
            </w:r>
          </w:p>
        </w:tc>
      </w:tr>
    </w:tbl>
    <w:p w14:paraId="2A195531" w14:textId="77777777" w:rsidR="00D16E72" w:rsidRDefault="00D16E72">
      <w:pPr>
        <w:spacing w:after="0"/>
        <w:rPr>
          <w:szCs w:val="18"/>
        </w:rPr>
      </w:pPr>
      <w:r>
        <w:rPr>
          <w:szCs w:val="18"/>
        </w:rPr>
        <w:br w:type="page"/>
      </w:r>
    </w:p>
    <w:p w14:paraId="28E5F1AC" w14:textId="77777777" w:rsidR="00D16E72" w:rsidRDefault="00A658B0" w:rsidP="00D16E72">
      <w:pPr>
        <w:pStyle w:val="Heading1"/>
      </w:pPr>
      <w:bookmarkStart w:id="140" w:name="_Toc484949613"/>
      <w:r>
        <w:lastRenderedPageBreak/>
        <w:t>Waste incineration</w:t>
      </w:r>
      <w:bookmarkEnd w:id="140"/>
    </w:p>
    <w:p w14:paraId="18752828" w14:textId="77777777" w:rsidR="00D16E72" w:rsidRDefault="00D16E72" w:rsidP="003833D6">
      <w:pPr>
        <w:spacing w:line="300" w:lineRule="atLeast"/>
        <w:jc w:val="both"/>
        <w:rPr>
          <w:szCs w:val="18"/>
        </w:rPr>
      </w:pPr>
    </w:p>
    <w:p w14:paraId="619243BF" w14:textId="05D63A21" w:rsidR="00D16E72" w:rsidRDefault="00194426" w:rsidP="003833D6">
      <w:pPr>
        <w:spacing w:line="300" w:lineRule="atLeast"/>
        <w:jc w:val="both"/>
        <w:rPr>
          <w:szCs w:val="18"/>
        </w:rPr>
      </w:pPr>
      <w:r w:rsidRPr="00194426">
        <w:rPr>
          <w:szCs w:val="18"/>
        </w:rPr>
        <w:t xml:space="preserve">This category covers mercury </w:t>
      </w:r>
      <w:r>
        <w:rPr>
          <w:szCs w:val="18"/>
        </w:rPr>
        <w:t>releases from the incineration of different types of wastes</w:t>
      </w:r>
      <w:r w:rsidRPr="00194426">
        <w:rPr>
          <w:szCs w:val="18"/>
        </w:rPr>
        <w:t xml:space="preserve"> (</w:t>
      </w:r>
      <w:r w:rsidR="00C738EC">
        <w:rPr>
          <w:szCs w:val="18"/>
        </w:rPr>
        <w:t>UNEP, 2017</w:t>
      </w:r>
      <w:r w:rsidRPr="00194426">
        <w:rPr>
          <w:szCs w:val="18"/>
        </w:rPr>
        <w:t>). The various sub-categories and the primary release pathways are summarised in</w:t>
      </w:r>
      <w:r>
        <w:rPr>
          <w:szCs w:val="18"/>
        </w:rPr>
        <w:t xml:space="preserve"> </w:t>
      </w:r>
      <w:r w:rsidRPr="00145498">
        <w:rPr>
          <w:szCs w:val="18"/>
        </w:rPr>
        <w:fldChar w:fldCharType="begin"/>
      </w:r>
      <w:r w:rsidRPr="00486D5C">
        <w:rPr>
          <w:szCs w:val="18"/>
        </w:rPr>
        <w:instrText xml:space="preserve"> REF _Ref358551372 \h </w:instrText>
      </w:r>
      <w:r w:rsidR="00486D5C">
        <w:rPr>
          <w:szCs w:val="18"/>
        </w:rPr>
        <w:instrText xml:space="preserve"> \* MERGEFORMAT </w:instrText>
      </w:r>
      <w:r w:rsidRPr="00145498">
        <w:rPr>
          <w:szCs w:val="18"/>
        </w:rPr>
      </w:r>
      <w:r w:rsidRPr="00145498">
        <w:rPr>
          <w:szCs w:val="18"/>
        </w:rPr>
        <w:fldChar w:fldCharType="separate"/>
      </w:r>
      <w:r w:rsidR="00423FC9" w:rsidRPr="00423FC9">
        <w:t xml:space="preserve">Table </w:t>
      </w:r>
      <w:r w:rsidR="00423FC9" w:rsidRPr="00423FC9">
        <w:rPr>
          <w:noProof/>
        </w:rPr>
        <w:t>10</w:t>
      </w:r>
      <w:r w:rsidR="00423FC9" w:rsidRPr="00423FC9">
        <w:rPr>
          <w:noProof/>
        </w:rPr>
        <w:noBreakHyphen/>
        <w:t>1</w:t>
      </w:r>
      <w:r w:rsidRPr="00145498">
        <w:rPr>
          <w:szCs w:val="18"/>
        </w:rPr>
        <w:fldChar w:fldCharType="end"/>
      </w:r>
      <w:r w:rsidR="00DB09D1" w:rsidRPr="00DB09D1">
        <w:rPr>
          <w:szCs w:val="18"/>
        </w:rPr>
        <w:t>, which has been copied directly from the UNEP Toolkit</w:t>
      </w:r>
      <w:r w:rsidRPr="00194426">
        <w:rPr>
          <w:szCs w:val="18"/>
        </w:rPr>
        <w:t>.</w:t>
      </w:r>
    </w:p>
    <w:p w14:paraId="433DDF96" w14:textId="77777777" w:rsidR="00D16E72" w:rsidRDefault="00706355" w:rsidP="00706355">
      <w:pPr>
        <w:pStyle w:val="Caption"/>
        <w:spacing w:before="240"/>
        <w:rPr>
          <w:szCs w:val="18"/>
        </w:rPr>
      </w:pPr>
      <w:bookmarkStart w:id="141" w:name="_Ref358551372"/>
      <w:bookmarkStart w:id="142" w:name="_Toc484949670"/>
      <w:r w:rsidRPr="00FE6C76">
        <w:rPr>
          <w:rFonts w:ascii="Arial" w:hAnsi="Arial" w:cs="Arial"/>
        </w:rPr>
        <w:t xml:space="preserve">Table </w:t>
      </w:r>
      <w:r w:rsidR="00390C9F">
        <w:rPr>
          <w:rFonts w:ascii="Arial" w:hAnsi="Arial" w:cs="Arial"/>
        </w:rPr>
        <w:fldChar w:fldCharType="begin"/>
      </w:r>
      <w:r w:rsidR="00390C9F">
        <w:rPr>
          <w:rFonts w:ascii="Arial" w:hAnsi="Arial" w:cs="Arial"/>
        </w:rPr>
        <w:instrText xml:space="preserve"> STYLEREF 1 \s </w:instrText>
      </w:r>
      <w:r w:rsidR="00390C9F">
        <w:rPr>
          <w:rFonts w:ascii="Arial" w:hAnsi="Arial" w:cs="Arial"/>
        </w:rPr>
        <w:fldChar w:fldCharType="separate"/>
      </w:r>
      <w:r w:rsidR="00423FC9">
        <w:rPr>
          <w:rFonts w:ascii="Arial" w:hAnsi="Arial" w:cs="Arial"/>
          <w:noProof/>
        </w:rPr>
        <w:t>10</w:t>
      </w:r>
      <w:r w:rsidR="00390C9F">
        <w:rPr>
          <w:rFonts w:ascii="Arial" w:hAnsi="Arial" w:cs="Arial"/>
        </w:rPr>
        <w:fldChar w:fldCharType="end"/>
      </w:r>
      <w:r w:rsidR="00390C9F">
        <w:rPr>
          <w:rFonts w:ascii="Arial" w:hAnsi="Arial" w:cs="Arial"/>
        </w:rPr>
        <w:noBreakHyphen/>
      </w:r>
      <w:r w:rsidR="00390C9F">
        <w:rPr>
          <w:rFonts w:ascii="Arial" w:hAnsi="Arial" w:cs="Arial"/>
        </w:rPr>
        <w:fldChar w:fldCharType="begin"/>
      </w:r>
      <w:r w:rsidR="00390C9F">
        <w:rPr>
          <w:rFonts w:ascii="Arial" w:hAnsi="Arial" w:cs="Arial"/>
        </w:rPr>
        <w:instrText xml:space="preserve"> SEQ Table \* ARABIC \s 1 </w:instrText>
      </w:r>
      <w:r w:rsidR="00390C9F">
        <w:rPr>
          <w:rFonts w:ascii="Arial" w:hAnsi="Arial" w:cs="Arial"/>
        </w:rPr>
        <w:fldChar w:fldCharType="separate"/>
      </w:r>
      <w:r w:rsidR="00423FC9">
        <w:rPr>
          <w:rFonts w:ascii="Arial" w:hAnsi="Arial" w:cs="Arial"/>
          <w:noProof/>
        </w:rPr>
        <w:t>1</w:t>
      </w:r>
      <w:r w:rsidR="00390C9F">
        <w:rPr>
          <w:rFonts w:ascii="Arial" w:hAnsi="Arial" w:cs="Arial"/>
        </w:rPr>
        <w:fldChar w:fldCharType="end"/>
      </w:r>
      <w:bookmarkEnd w:id="141"/>
      <w:r w:rsidRPr="00FE6C76">
        <w:rPr>
          <w:rFonts w:ascii="Arial" w:hAnsi="Arial" w:cs="Arial"/>
        </w:rPr>
        <w:t>:</w:t>
      </w:r>
      <w:r>
        <w:t xml:space="preserve">  </w:t>
      </w:r>
      <w:r w:rsidR="00D16E72" w:rsidRPr="003D7CC9">
        <w:rPr>
          <w:rFonts w:ascii="Arial" w:hAnsi="Arial" w:cs="Arial"/>
        </w:rPr>
        <w:t>T</w:t>
      </w:r>
      <w:r w:rsidR="00D16E72">
        <w:rPr>
          <w:rFonts w:ascii="Arial" w:hAnsi="Arial" w:cs="Arial"/>
        </w:rPr>
        <w:t xml:space="preserve">oolkit framework for category </w:t>
      </w:r>
      <w:r w:rsidR="00A658B0">
        <w:rPr>
          <w:rFonts w:ascii="Arial" w:hAnsi="Arial" w:cs="Arial"/>
        </w:rPr>
        <w:t>8</w:t>
      </w:r>
      <w:r w:rsidR="00D16E72">
        <w:rPr>
          <w:rFonts w:ascii="Arial" w:hAnsi="Arial" w:cs="Arial"/>
        </w:rPr>
        <w:t xml:space="preserve"> – </w:t>
      </w:r>
      <w:r>
        <w:rPr>
          <w:rFonts w:ascii="Arial" w:hAnsi="Arial" w:cs="Arial"/>
        </w:rPr>
        <w:t>waste incineration</w:t>
      </w:r>
      <w:bookmarkEnd w:id="1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850"/>
        <w:gridCol w:w="851"/>
        <w:gridCol w:w="851"/>
        <w:gridCol w:w="992"/>
        <w:gridCol w:w="992"/>
        <w:gridCol w:w="1099"/>
      </w:tblGrid>
      <w:tr w:rsidR="00D16E72" w:rsidRPr="004901F2" w14:paraId="75F30E66" w14:textId="77777777" w:rsidTr="00284F82">
        <w:tc>
          <w:tcPr>
            <w:tcW w:w="851" w:type="dxa"/>
            <w:shd w:val="clear" w:color="auto" w:fill="auto"/>
            <w:vAlign w:val="center"/>
          </w:tcPr>
          <w:p w14:paraId="37B7583B"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Toolkit Chapter</w:t>
            </w:r>
          </w:p>
        </w:tc>
        <w:tc>
          <w:tcPr>
            <w:tcW w:w="2693" w:type="dxa"/>
            <w:shd w:val="clear" w:color="auto" w:fill="auto"/>
            <w:vAlign w:val="center"/>
          </w:tcPr>
          <w:p w14:paraId="0FC0A801"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Sub-category</w:t>
            </w:r>
          </w:p>
        </w:tc>
        <w:tc>
          <w:tcPr>
            <w:tcW w:w="850" w:type="dxa"/>
            <w:shd w:val="clear" w:color="auto" w:fill="auto"/>
            <w:vAlign w:val="center"/>
          </w:tcPr>
          <w:p w14:paraId="6CF9D64C"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Air</w:t>
            </w:r>
          </w:p>
        </w:tc>
        <w:tc>
          <w:tcPr>
            <w:tcW w:w="851" w:type="dxa"/>
            <w:shd w:val="clear" w:color="auto" w:fill="auto"/>
            <w:vAlign w:val="center"/>
          </w:tcPr>
          <w:p w14:paraId="479F1AB1"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Water</w:t>
            </w:r>
          </w:p>
        </w:tc>
        <w:tc>
          <w:tcPr>
            <w:tcW w:w="851" w:type="dxa"/>
            <w:shd w:val="clear" w:color="auto" w:fill="auto"/>
            <w:vAlign w:val="center"/>
          </w:tcPr>
          <w:p w14:paraId="3DCFE685"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Land</w:t>
            </w:r>
          </w:p>
        </w:tc>
        <w:tc>
          <w:tcPr>
            <w:tcW w:w="992" w:type="dxa"/>
            <w:shd w:val="clear" w:color="auto" w:fill="auto"/>
            <w:vAlign w:val="center"/>
          </w:tcPr>
          <w:p w14:paraId="6BCB5D92"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Product</w:t>
            </w:r>
          </w:p>
        </w:tc>
        <w:tc>
          <w:tcPr>
            <w:tcW w:w="992" w:type="dxa"/>
            <w:shd w:val="clear" w:color="auto" w:fill="auto"/>
            <w:vAlign w:val="center"/>
          </w:tcPr>
          <w:p w14:paraId="73D1A166"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Waste/ residue</w:t>
            </w:r>
          </w:p>
        </w:tc>
        <w:tc>
          <w:tcPr>
            <w:tcW w:w="1099" w:type="dxa"/>
            <w:shd w:val="clear" w:color="auto" w:fill="auto"/>
            <w:vAlign w:val="center"/>
          </w:tcPr>
          <w:p w14:paraId="4C29AD88"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Main approach</w:t>
            </w:r>
          </w:p>
        </w:tc>
      </w:tr>
      <w:tr w:rsidR="00D16E72" w:rsidRPr="004901F2" w14:paraId="41D1525B" w14:textId="77777777" w:rsidTr="00284F82">
        <w:tc>
          <w:tcPr>
            <w:tcW w:w="851" w:type="dxa"/>
            <w:shd w:val="clear" w:color="auto" w:fill="auto"/>
            <w:vAlign w:val="center"/>
          </w:tcPr>
          <w:p w14:paraId="087C50A6" w14:textId="77777777" w:rsidR="00D16E72" w:rsidRPr="004901F2" w:rsidRDefault="00D16E72" w:rsidP="00706355">
            <w:pPr>
              <w:spacing w:before="40" w:after="40" w:line="300" w:lineRule="atLeast"/>
              <w:rPr>
                <w:rFonts w:ascii="Arial" w:hAnsi="Arial" w:cs="Arial"/>
                <w:sz w:val="16"/>
                <w:szCs w:val="16"/>
              </w:rPr>
            </w:pPr>
            <w:r>
              <w:rPr>
                <w:rFonts w:ascii="Arial" w:hAnsi="Arial" w:cs="Arial"/>
                <w:sz w:val="16"/>
                <w:szCs w:val="16"/>
              </w:rPr>
              <w:t>5.</w:t>
            </w:r>
            <w:r w:rsidR="00300092">
              <w:rPr>
                <w:rFonts w:ascii="Arial" w:hAnsi="Arial" w:cs="Arial"/>
                <w:sz w:val="16"/>
                <w:szCs w:val="16"/>
              </w:rPr>
              <w:t>8</w:t>
            </w:r>
            <w:r w:rsidRPr="004901F2">
              <w:rPr>
                <w:rFonts w:ascii="Arial" w:hAnsi="Arial" w:cs="Arial"/>
                <w:sz w:val="16"/>
                <w:szCs w:val="16"/>
              </w:rPr>
              <w:t>.1</w:t>
            </w:r>
          </w:p>
        </w:tc>
        <w:tc>
          <w:tcPr>
            <w:tcW w:w="2693" w:type="dxa"/>
            <w:shd w:val="clear" w:color="auto" w:fill="auto"/>
            <w:vAlign w:val="center"/>
          </w:tcPr>
          <w:p w14:paraId="242EB1DE" w14:textId="77777777" w:rsidR="00D16E72" w:rsidRPr="004901F2" w:rsidRDefault="00706355" w:rsidP="00284F82">
            <w:pPr>
              <w:spacing w:line="300" w:lineRule="atLeast"/>
              <w:rPr>
                <w:rFonts w:ascii="Arial" w:hAnsi="Arial" w:cs="Arial"/>
                <w:sz w:val="16"/>
                <w:szCs w:val="16"/>
              </w:rPr>
            </w:pPr>
            <w:r>
              <w:rPr>
                <w:rFonts w:ascii="Arial" w:hAnsi="Arial" w:cs="Arial"/>
                <w:sz w:val="16"/>
                <w:szCs w:val="16"/>
              </w:rPr>
              <w:t>Municipal waste incineration</w:t>
            </w:r>
          </w:p>
        </w:tc>
        <w:tc>
          <w:tcPr>
            <w:tcW w:w="850" w:type="dxa"/>
            <w:shd w:val="clear" w:color="auto" w:fill="auto"/>
            <w:vAlign w:val="center"/>
          </w:tcPr>
          <w:p w14:paraId="2E6A6904"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434B905A" w14:textId="77777777" w:rsidR="00D16E72" w:rsidRPr="00706355" w:rsidRDefault="00706355" w:rsidP="00284F82">
            <w:pPr>
              <w:spacing w:before="40" w:after="40" w:line="300" w:lineRule="atLeast"/>
              <w:jc w:val="center"/>
              <w:rPr>
                <w:rFonts w:ascii="Arial" w:hAnsi="Arial" w:cs="Arial"/>
                <w:sz w:val="16"/>
                <w:szCs w:val="16"/>
              </w:rPr>
            </w:pPr>
            <w:r>
              <w:rPr>
                <w:rFonts w:ascii="Arial" w:hAnsi="Arial" w:cs="Arial"/>
                <w:sz w:val="16"/>
                <w:szCs w:val="16"/>
              </w:rPr>
              <w:t>x</w:t>
            </w:r>
          </w:p>
        </w:tc>
        <w:tc>
          <w:tcPr>
            <w:tcW w:w="851" w:type="dxa"/>
            <w:shd w:val="clear" w:color="auto" w:fill="auto"/>
            <w:vAlign w:val="center"/>
          </w:tcPr>
          <w:p w14:paraId="44ED94A0" w14:textId="77777777" w:rsidR="00D16E72" w:rsidRPr="004901F2" w:rsidRDefault="00706355" w:rsidP="00284F82">
            <w:pPr>
              <w:spacing w:before="40" w:after="40" w:line="300" w:lineRule="atLeast"/>
              <w:jc w:val="center"/>
              <w:rPr>
                <w:rFonts w:ascii="Arial" w:hAnsi="Arial" w:cs="Arial"/>
                <w:sz w:val="16"/>
                <w:szCs w:val="16"/>
              </w:rPr>
            </w:pPr>
            <w:r>
              <w:rPr>
                <w:rFonts w:ascii="Arial" w:hAnsi="Arial" w:cs="Arial"/>
                <w:sz w:val="16"/>
                <w:szCs w:val="16"/>
              </w:rPr>
              <w:t>x</w:t>
            </w:r>
          </w:p>
        </w:tc>
        <w:tc>
          <w:tcPr>
            <w:tcW w:w="992" w:type="dxa"/>
            <w:shd w:val="clear" w:color="auto" w:fill="auto"/>
            <w:vAlign w:val="center"/>
          </w:tcPr>
          <w:p w14:paraId="696BA659" w14:textId="77777777" w:rsidR="00D16E72" w:rsidRPr="004901F2" w:rsidRDefault="00706355" w:rsidP="00284F82">
            <w:pPr>
              <w:spacing w:before="40" w:after="40" w:line="300" w:lineRule="atLeast"/>
              <w:jc w:val="center"/>
              <w:rPr>
                <w:rFonts w:ascii="Arial" w:hAnsi="Arial" w:cs="Arial"/>
                <w:sz w:val="16"/>
                <w:szCs w:val="16"/>
              </w:rPr>
            </w:pPr>
            <w:r>
              <w:rPr>
                <w:rFonts w:ascii="Arial" w:hAnsi="Arial" w:cs="Arial"/>
                <w:sz w:val="16"/>
                <w:szCs w:val="16"/>
              </w:rPr>
              <w:t>x</w:t>
            </w:r>
          </w:p>
        </w:tc>
        <w:tc>
          <w:tcPr>
            <w:tcW w:w="992" w:type="dxa"/>
            <w:shd w:val="clear" w:color="auto" w:fill="auto"/>
            <w:vAlign w:val="center"/>
          </w:tcPr>
          <w:p w14:paraId="61D99792"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1099" w:type="dxa"/>
            <w:shd w:val="clear" w:color="auto" w:fill="auto"/>
            <w:vAlign w:val="center"/>
          </w:tcPr>
          <w:p w14:paraId="7398A3D0"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sz w:val="16"/>
                <w:szCs w:val="16"/>
              </w:rPr>
              <w:t>PS</w:t>
            </w:r>
          </w:p>
        </w:tc>
      </w:tr>
      <w:tr w:rsidR="00D16E72" w:rsidRPr="004901F2" w14:paraId="6C66E235" w14:textId="77777777" w:rsidTr="00284F82">
        <w:tc>
          <w:tcPr>
            <w:tcW w:w="851" w:type="dxa"/>
            <w:shd w:val="clear" w:color="auto" w:fill="auto"/>
            <w:vAlign w:val="center"/>
          </w:tcPr>
          <w:p w14:paraId="16514733" w14:textId="77777777" w:rsidR="00D16E72" w:rsidRPr="004901F2" w:rsidRDefault="00706355" w:rsidP="00284F82">
            <w:pPr>
              <w:spacing w:before="40" w:after="40" w:line="300" w:lineRule="atLeast"/>
              <w:rPr>
                <w:rFonts w:ascii="Arial" w:hAnsi="Arial" w:cs="Arial"/>
                <w:sz w:val="16"/>
                <w:szCs w:val="16"/>
              </w:rPr>
            </w:pPr>
            <w:r>
              <w:rPr>
                <w:rFonts w:ascii="Arial" w:hAnsi="Arial" w:cs="Arial"/>
                <w:sz w:val="16"/>
                <w:szCs w:val="16"/>
              </w:rPr>
              <w:t>5.</w:t>
            </w:r>
            <w:r w:rsidR="00300092">
              <w:rPr>
                <w:rFonts w:ascii="Arial" w:hAnsi="Arial" w:cs="Arial"/>
                <w:sz w:val="16"/>
                <w:szCs w:val="16"/>
              </w:rPr>
              <w:t>8</w:t>
            </w:r>
            <w:r w:rsidR="00D16E72" w:rsidRPr="004901F2">
              <w:rPr>
                <w:rFonts w:ascii="Arial" w:hAnsi="Arial" w:cs="Arial"/>
                <w:sz w:val="16"/>
                <w:szCs w:val="16"/>
              </w:rPr>
              <w:t>.2</w:t>
            </w:r>
          </w:p>
        </w:tc>
        <w:tc>
          <w:tcPr>
            <w:tcW w:w="2693" w:type="dxa"/>
            <w:shd w:val="clear" w:color="auto" w:fill="auto"/>
            <w:vAlign w:val="center"/>
          </w:tcPr>
          <w:p w14:paraId="472536B6" w14:textId="77777777" w:rsidR="00D16E72" w:rsidRPr="004901F2" w:rsidRDefault="00706355" w:rsidP="00284F82">
            <w:pPr>
              <w:spacing w:before="40" w:after="40" w:line="300" w:lineRule="atLeast"/>
              <w:rPr>
                <w:rFonts w:ascii="Arial" w:hAnsi="Arial" w:cs="Arial"/>
                <w:sz w:val="16"/>
                <w:szCs w:val="16"/>
              </w:rPr>
            </w:pPr>
            <w:r>
              <w:rPr>
                <w:rFonts w:ascii="Arial" w:hAnsi="Arial" w:cs="Arial"/>
                <w:sz w:val="16"/>
                <w:szCs w:val="16"/>
              </w:rPr>
              <w:t>Hazardous waste incineration</w:t>
            </w:r>
          </w:p>
        </w:tc>
        <w:tc>
          <w:tcPr>
            <w:tcW w:w="850" w:type="dxa"/>
            <w:shd w:val="clear" w:color="auto" w:fill="auto"/>
            <w:vAlign w:val="center"/>
          </w:tcPr>
          <w:p w14:paraId="79B0AD05"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09EA8EE8" w14:textId="77777777" w:rsidR="00D16E72" w:rsidRPr="004901F2" w:rsidRDefault="00706355" w:rsidP="00284F82">
            <w:pPr>
              <w:spacing w:before="40" w:after="40" w:line="300" w:lineRule="atLeast"/>
              <w:jc w:val="center"/>
              <w:rPr>
                <w:rFonts w:ascii="Arial" w:hAnsi="Arial" w:cs="Arial"/>
                <w:sz w:val="16"/>
                <w:szCs w:val="16"/>
              </w:rPr>
            </w:pPr>
            <w:r>
              <w:rPr>
                <w:rFonts w:ascii="Arial" w:hAnsi="Arial" w:cs="Arial"/>
                <w:sz w:val="16"/>
                <w:szCs w:val="16"/>
              </w:rPr>
              <w:t>x</w:t>
            </w:r>
          </w:p>
        </w:tc>
        <w:tc>
          <w:tcPr>
            <w:tcW w:w="851" w:type="dxa"/>
            <w:shd w:val="clear" w:color="auto" w:fill="auto"/>
            <w:vAlign w:val="center"/>
          </w:tcPr>
          <w:p w14:paraId="067917F3" w14:textId="77777777" w:rsidR="00D16E72" w:rsidRPr="004901F2" w:rsidRDefault="00D16E72" w:rsidP="00284F82">
            <w:pPr>
              <w:spacing w:before="40" w:after="40" w:line="300" w:lineRule="atLeast"/>
              <w:jc w:val="center"/>
              <w:rPr>
                <w:rFonts w:ascii="Arial" w:hAnsi="Arial" w:cs="Arial"/>
                <w:sz w:val="16"/>
                <w:szCs w:val="16"/>
              </w:rPr>
            </w:pPr>
          </w:p>
        </w:tc>
        <w:tc>
          <w:tcPr>
            <w:tcW w:w="992" w:type="dxa"/>
            <w:shd w:val="clear" w:color="auto" w:fill="auto"/>
            <w:vAlign w:val="center"/>
          </w:tcPr>
          <w:p w14:paraId="6E988B8F" w14:textId="77777777" w:rsidR="00D16E72" w:rsidRPr="004901F2" w:rsidRDefault="00D16E72" w:rsidP="00284F82">
            <w:pPr>
              <w:spacing w:before="40" w:after="40" w:line="300" w:lineRule="atLeast"/>
              <w:jc w:val="center"/>
              <w:rPr>
                <w:rFonts w:ascii="Arial" w:hAnsi="Arial" w:cs="Arial"/>
                <w:sz w:val="16"/>
                <w:szCs w:val="16"/>
              </w:rPr>
            </w:pPr>
          </w:p>
        </w:tc>
        <w:tc>
          <w:tcPr>
            <w:tcW w:w="992" w:type="dxa"/>
            <w:shd w:val="clear" w:color="auto" w:fill="auto"/>
            <w:vAlign w:val="center"/>
          </w:tcPr>
          <w:p w14:paraId="6D2ED552" w14:textId="77777777" w:rsidR="00D16E72" w:rsidRPr="004901F2" w:rsidRDefault="00706355" w:rsidP="00284F82">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1099" w:type="dxa"/>
            <w:shd w:val="clear" w:color="auto" w:fill="auto"/>
            <w:vAlign w:val="center"/>
          </w:tcPr>
          <w:p w14:paraId="38BAAC0B" w14:textId="77777777" w:rsidR="00D16E72" w:rsidRPr="004901F2" w:rsidRDefault="00706355" w:rsidP="00284F82">
            <w:pPr>
              <w:spacing w:before="40" w:after="40" w:line="300" w:lineRule="atLeast"/>
              <w:jc w:val="center"/>
              <w:rPr>
                <w:rFonts w:ascii="Arial" w:hAnsi="Arial" w:cs="Arial"/>
                <w:sz w:val="16"/>
                <w:szCs w:val="16"/>
              </w:rPr>
            </w:pPr>
            <w:r>
              <w:rPr>
                <w:rFonts w:ascii="Arial" w:hAnsi="Arial" w:cs="Arial"/>
                <w:sz w:val="16"/>
                <w:szCs w:val="16"/>
              </w:rPr>
              <w:t>PS</w:t>
            </w:r>
          </w:p>
        </w:tc>
      </w:tr>
      <w:tr w:rsidR="00D16E72" w:rsidRPr="004901F2" w14:paraId="32FD31A7" w14:textId="77777777" w:rsidTr="00284F82">
        <w:tc>
          <w:tcPr>
            <w:tcW w:w="851" w:type="dxa"/>
            <w:shd w:val="clear" w:color="auto" w:fill="auto"/>
            <w:vAlign w:val="center"/>
          </w:tcPr>
          <w:p w14:paraId="4200FEA5" w14:textId="77777777" w:rsidR="00D16E72" w:rsidRPr="004901F2" w:rsidRDefault="00706355" w:rsidP="00284F82">
            <w:pPr>
              <w:spacing w:before="40" w:after="40" w:line="300" w:lineRule="atLeast"/>
              <w:rPr>
                <w:rFonts w:ascii="Arial" w:hAnsi="Arial" w:cs="Arial"/>
                <w:sz w:val="16"/>
                <w:szCs w:val="16"/>
              </w:rPr>
            </w:pPr>
            <w:r>
              <w:rPr>
                <w:rFonts w:ascii="Arial" w:hAnsi="Arial" w:cs="Arial"/>
                <w:sz w:val="16"/>
                <w:szCs w:val="16"/>
              </w:rPr>
              <w:t>5.</w:t>
            </w:r>
            <w:r w:rsidR="00300092">
              <w:rPr>
                <w:rFonts w:ascii="Arial" w:hAnsi="Arial" w:cs="Arial"/>
                <w:sz w:val="16"/>
                <w:szCs w:val="16"/>
              </w:rPr>
              <w:t>8</w:t>
            </w:r>
            <w:r w:rsidR="00D16E72" w:rsidRPr="004901F2">
              <w:rPr>
                <w:rFonts w:ascii="Arial" w:hAnsi="Arial" w:cs="Arial"/>
                <w:sz w:val="16"/>
                <w:szCs w:val="16"/>
              </w:rPr>
              <w:t>.3</w:t>
            </w:r>
          </w:p>
        </w:tc>
        <w:tc>
          <w:tcPr>
            <w:tcW w:w="2693" w:type="dxa"/>
            <w:shd w:val="clear" w:color="auto" w:fill="auto"/>
            <w:vAlign w:val="center"/>
          </w:tcPr>
          <w:p w14:paraId="3B35CF4B" w14:textId="77777777" w:rsidR="00D16E72" w:rsidRPr="004901F2" w:rsidRDefault="00706355" w:rsidP="00284F82">
            <w:pPr>
              <w:spacing w:line="300" w:lineRule="atLeast"/>
              <w:rPr>
                <w:rFonts w:ascii="Arial" w:hAnsi="Arial" w:cs="Arial"/>
                <w:sz w:val="16"/>
                <w:szCs w:val="16"/>
              </w:rPr>
            </w:pPr>
            <w:r>
              <w:rPr>
                <w:rFonts w:ascii="Arial" w:hAnsi="Arial" w:cs="Arial"/>
                <w:sz w:val="16"/>
                <w:szCs w:val="16"/>
              </w:rPr>
              <w:t>Medical waste incineration</w:t>
            </w:r>
          </w:p>
        </w:tc>
        <w:tc>
          <w:tcPr>
            <w:tcW w:w="850" w:type="dxa"/>
            <w:shd w:val="clear" w:color="auto" w:fill="auto"/>
            <w:vAlign w:val="center"/>
          </w:tcPr>
          <w:p w14:paraId="1A5E3170"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2A9B4A37" w14:textId="77777777" w:rsidR="00D16E72" w:rsidRPr="004901F2" w:rsidRDefault="00706355" w:rsidP="00284F82">
            <w:pPr>
              <w:spacing w:before="40" w:after="40" w:line="300" w:lineRule="atLeast"/>
              <w:jc w:val="center"/>
              <w:rPr>
                <w:rFonts w:ascii="Arial" w:hAnsi="Arial" w:cs="Arial"/>
                <w:b/>
                <w:sz w:val="16"/>
                <w:szCs w:val="16"/>
              </w:rPr>
            </w:pPr>
            <w:r>
              <w:rPr>
                <w:rFonts w:ascii="Arial" w:hAnsi="Arial" w:cs="Arial"/>
                <w:b/>
                <w:sz w:val="16"/>
                <w:szCs w:val="16"/>
              </w:rPr>
              <w:t>x</w:t>
            </w:r>
          </w:p>
        </w:tc>
        <w:tc>
          <w:tcPr>
            <w:tcW w:w="851" w:type="dxa"/>
            <w:shd w:val="clear" w:color="auto" w:fill="auto"/>
            <w:vAlign w:val="center"/>
          </w:tcPr>
          <w:p w14:paraId="227AE01F" w14:textId="77777777" w:rsidR="00D16E72" w:rsidRPr="004901F2" w:rsidRDefault="00D16E72" w:rsidP="00284F82">
            <w:pPr>
              <w:spacing w:before="40" w:after="40" w:line="300" w:lineRule="atLeast"/>
              <w:jc w:val="center"/>
              <w:rPr>
                <w:rFonts w:ascii="Arial" w:hAnsi="Arial" w:cs="Arial"/>
                <w:sz w:val="16"/>
                <w:szCs w:val="16"/>
              </w:rPr>
            </w:pPr>
          </w:p>
        </w:tc>
        <w:tc>
          <w:tcPr>
            <w:tcW w:w="992" w:type="dxa"/>
            <w:shd w:val="clear" w:color="auto" w:fill="auto"/>
            <w:vAlign w:val="center"/>
          </w:tcPr>
          <w:p w14:paraId="5EF4CB51" w14:textId="77777777" w:rsidR="00D16E72" w:rsidRPr="004901F2" w:rsidRDefault="00D16E72" w:rsidP="00284F82">
            <w:pPr>
              <w:spacing w:before="40" w:after="40" w:line="300" w:lineRule="atLeast"/>
              <w:jc w:val="center"/>
              <w:rPr>
                <w:rFonts w:ascii="Arial" w:hAnsi="Arial" w:cs="Arial"/>
                <w:sz w:val="16"/>
                <w:szCs w:val="16"/>
              </w:rPr>
            </w:pPr>
          </w:p>
        </w:tc>
        <w:tc>
          <w:tcPr>
            <w:tcW w:w="992" w:type="dxa"/>
            <w:shd w:val="clear" w:color="auto" w:fill="auto"/>
            <w:vAlign w:val="center"/>
          </w:tcPr>
          <w:p w14:paraId="7028DC42" w14:textId="77777777" w:rsidR="00D16E72" w:rsidRPr="004901F2" w:rsidRDefault="00D16E72" w:rsidP="00284F82">
            <w:pPr>
              <w:spacing w:before="40" w:after="40" w:line="300" w:lineRule="atLeast"/>
              <w:jc w:val="center"/>
              <w:rPr>
                <w:rFonts w:ascii="Arial" w:hAnsi="Arial" w:cs="Arial"/>
                <w:sz w:val="16"/>
                <w:szCs w:val="16"/>
              </w:rPr>
            </w:pPr>
            <w:r w:rsidRPr="00177AB0">
              <w:rPr>
                <w:rFonts w:ascii="Arial" w:hAnsi="Arial" w:cs="Arial"/>
                <w:b/>
                <w:sz w:val="16"/>
                <w:szCs w:val="16"/>
              </w:rPr>
              <w:t>X</w:t>
            </w:r>
          </w:p>
        </w:tc>
        <w:tc>
          <w:tcPr>
            <w:tcW w:w="1099" w:type="dxa"/>
            <w:shd w:val="clear" w:color="auto" w:fill="auto"/>
            <w:vAlign w:val="center"/>
          </w:tcPr>
          <w:p w14:paraId="6A96B727"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sz w:val="16"/>
                <w:szCs w:val="16"/>
              </w:rPr>
              <w:t>PS</w:t>
            </w:r>
          </w:p>
        </w:tc>
      </w:tr>
      <w:tr w:rsidR="00D16E72" w:rsidRPr="004901F2" w14:paraId="38480421" w14:textId="77777777" w:rsidTr="00284F82">
        <w:tc>
          <w:tcPr>
            <w:tcW w:w="851" w:type="dxa"/>
            <w:shd w:val="clear" w:color="auto" w:fill="auto"/>
            <w:vAlign w:val="center"/>
          </w:tcPr>
          <w:p w14:paraId="3666AF62" w14:textId="77777777" w:rsidR="00D16E72" w:rsidRPr="004901F2" w:rsidRDefault="00706355" w:rsidP="00284F82">
            <w:pPr>
              <w:spacing w:before="40" w:after="40" w:line="300" w:lineRule="atLeast"/>
              <w:rPr>
                <w:rFonts w:ascii="Arial" w:hAnsi="Arial" w:cs="Arial"/>
                <w:sz w:val="16"/>
                <w:szCs w:val="16"/>
              </w:rPr>
            </w:pPr>
            <w:r>
              <w:rPr>
                <w:rFonts w:ascii="Arial" w:hAnsi="Arial" w:cs="Arial"/>
                <w:sz w:val="16"/>
                <w:szCs w:val="16"/>
              </w:rPr>
              <w:t>5.</w:t>
            </w:r>
            <w:r w:rsidR="00300092">
              <w:rPr>
                <w:rFonts w:ascii="Arial" w:hAnsi="Arial" w:cs="Arial"/>
                <w:sz w:val="16"/>
                <w:szCs w:val="16"/>
              </w:rPr>
              <w:t>8</w:t>
            </w:r>
            <w:r w:rsidR="00D16E72" w:rsidRPr="004901F2">
              <w:rPr>
                <w:rFonts w:ascii="Arial" w:hAnsi="Arial" w:cs="Arial"/>
                <w:sz w:val="16"/>
                <w:szCs w:val="16"/>
              </w:rPr>
              <w:t>.4</w:t>
            </w:r>
          </w:p>
        </w:tc>
        <w:tc>
          <w:tcPr>
            <w:tcW w:w="2693" w:type="dxa"/>
            <w:shd w:val="clear" w:color="auto" w:fill="auto"/>
            <w:vAlign w:val="center"/>
          </w:tcPr>
          <w:p w14:paraId="1C6302AB" w14:textId="77777777" w:rsidR="00D16E72" w:rsidRPr="004901F2" w:rsidRDefault="00706355" w:rsidP="00284F82">
            <w:pPr>
              <w:spacing w:line="300" w:lineRule="atLeast"/>
              <w:rPr>
                <w:rFonts w:ascii="Arial" w:hAnsi="Arial" w:cs="Arial"/>
                <w:sz w:val="16"/>
                <w:szCs w:val="16"/>
              </w:rPr>
            </w:pPr>
            <w:r>
              <w:rPr>
                <w:rFonts w:ascii="Arial" w:hAnsi="Arial" w:cs="Arial"/>
                <w:sz w:val="16"/>
                <w:szCs w:val="16"/>
              </w:rPr>
              <w:t>Sewage sludge incineration</w:t>
            </w:r>
          </w:p>
        </w:tc>
        <w:tc>
          <w:tcPr>
            <w:tcW w:w="850" w:type="dxa"/>
            <w:shd w:val="clear" w:color="auto" w:fill="auto"/>
            <w:vAlign w:val="center"/>
          </w:tcPr>
          <w:p w14:paraId="1D6A1937"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0A560436"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20EC4C0F" w14:textId="77777777" w:rsidR="00D16E72" w:rsidRPr="004901F2" w:rsidRDefault="00D16E72" w:rsidP="00284F82">
            <w:pPr>
              <w:spacing w:before="40" w:after="40" w:line="300" w:lineRule="atLeast"/>
              <w:jc w:val="center"/>
              <w:rPr>
                <w:rFonts w:ascii="Arial" w:hAnsi="Arial" w:cs="Arial"/>
                <w:b/>
                <w:sz w:val="16"/>
                <w:szCs w:val="16"/>
              </w:rPr>
            </w:pPr>
          </w:p>
        </w:tc>
        <w:tc>
          <w:tcPr>
            <w:tcW w:w="992" w:type="dxa"/>
            <w:shd w:val="clear" w:color="auto" w:fill="auto"/>
            <w:vAlign w:val="center"/>
          </w:tcPr>
          <w:p w14:paraId="242E9705" w14:textId="77777777" w:rsidR="00D16E72" w:rsidRPr="004901F2" w:rsidRDefault="00D16E72" w:rsidP="00284F82">
            <w:pPr>
              <w:spacing w:before="40" w:after="40" w:line="300" w:lineRule="atLeast"/>
              <w:jc w:val="center"/>
              <w:rPr>
                <w:rFonts w:ascii="Arial" w:hAnsi="Arial" w:cs="Arial"/>
                <w:sz w:val="16"/>
                <w:szCs w:val="16"/>
              </w:rPr>
            </w:pPr>
          </w:p>
        </w:tc>
        <w:tc>
          <w:tcPr>
            <w:tcW w:w="992" w:type="dxa"/>
            <w:shd w:val="clear" w:color="auto" w:fill="auto"/>
            <w:vAlign w:val="center"/>
          </w:tcPr>
          <w:p w14:paraId="2A645DCE"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1099" w:type="dxa"/>
            <w:shd w:val="clear" w:color="auto" w:fill="auto"/>
            <w:vAlign w:val="center"/>
          </w:tcPr>
          <w:p w14:paraId="676F6A25"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sz w:val="16"/>
                <w:szCs w:val="16"/>
              </w:rPr>
              <w:t>PS</w:t>
            </w:r>
          </w:p>
        </w:tc>
      </w:tr>
      <w:tr w:rsidR="00D16E72" w:rsidRPr="004901F2" w14:paraId="363385DE" w14:textId="77777777" w:rsidTr="00284F82">
        <w:tc>
          <w:tcPr>
            <w:tcW w:w="851" w:type="dxa"/>
            <w:shd w:val="clear" w:color="auto" w:fill="auto"/>
            <w:vAlign w:val="center"/>
          </w:tcPr>
          <w:p w14:paraId="3DD3350A" w14:textId="77777777" w:rsidR="00D16E72" w:rsidRPr="004901F2" w:rsidRDefault="00706355" w:rsidP="00284F82">
            <w:pPr>
              <w:spacing w:before="40" w:after="40" w:line="300" w:lineRule="atLeast"/>
              <w:rPr>
                <w:rFonts w:ascii="Arial" w:hAnsi="Arial" w:cs="Arial"/>
                <w:sz w:val="16"/>
                <w:szCs w:val="16"/>
              </w:rPr>
            </w:pPr>
            <w:r>
              <w:rPr>
                <w:rFonts w:ascii="Arial" w:hAnsi="Arial" w:cs="Arial"/>
                <w:sz w:val="16"/>
                <w:szCs w:val="16"/>
              </w:rPr>
              <w:t>5.</w:t>
            </w:r>
            <w:r w:rsidR="00300092">
              <w:rPr>
                <w:rFonts w:ascii="Arial" w:hAnsi="Arial" w:cs="Arial"/>
                <w:sz w:val="16"/>
                <w:szCs w:val="16"/>
              </w:rPr>
              <w:t>8</w:t>
            </w:r>
            <w:r w:rsidR="00D16E72" w:rsidRPr="004901F2">
              <w:rPr>
                <w:rFonts w:ascii="Arial" w:hAnsi="Arial" w:cs="Arial"/>
                <w:sz w:val="16"/>
                <w:szCs w:val="16"/>
              </w:rPr>
              <w:t>.5</w:t>
            </w:r>
          </w:p>
        </w:tc>
        <w:tc>
          <w:tcPr>
            <w:tcW w:w="2693" w:type="dxa"/>
            <w:shd w:val="clear" w:color="auto" w:fill="auto"/>
            <w:vAlign w:val="center"/>
          </w:tcPr>
          <w:p w14:paraId="6AA68C4F" w14:textId="77777777" w:rsidR="00D16E72" w:rsidRPr="004901F2" w:rsidRDefault="00706355" w:rsidP="00284F82">
            <w:pPr>
              <w:spacing w:line="300" w:lineRule="atLeast"/>
              <w:rPr>
                <w:rFonts w:ascii="Arial" w:hAnsi="Arial" w:cs="Arial"/>
                <w:sz w:val="16"/>
                <w:szCs w:val="16"/>
              </w:rPr>
            </w:pPr>
            <w:r>
              <w:rPr>
                <w:rFonts w:ascii="Arial" w:hAnsi="Arial" w:cs="Arial"/>
                <w:sz w:val="16"/>
                <w:szCs w:val="16"/>
              </w:rPr>
              <w:t>Informal waste incineration</w:t>
            </w:r>
          </w:p>
        </w:tc>
        <w:tc>
          <w:tcPr>
            <w:tcW w:w="850" w:type="dxa"/>
            <w:shd w:val="clear" w:color="auto" w:fill="auto"/>
            <w:vAlign w:val="center"/>
          </w:tcPr>
          <w:p w14:paraId="12619E13"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45F9FD8B" w14:textId="77777777" w:rsidR="00D16E72" w:rsidRPr="004901F2" w:rsidRDefault="00D16E72" w:rsidP="00284F82">
            <w:pPr>
              <w:spacing w:before="40" w:after="40" w:line="300" w:lineRule="atLeast"/>
              <w:jc w:val="center"/>
              <w:rPr>
                <w:rFonts w:ascii="Arial" w:hAnsi="Arial" w:cs="Arial"/>
                <w:sz w:val="16"/>
                <w:szCs w:val="16"/>
              </w:rPr>
            </w:pPr>
            <w:r w:rsidRPr="00177AB0">
              <w:rPr>
                <w:rFonts w:ascii="Arial" w:hAnsi="Arial" w:cs="Arial"/>
                <w:b/>
                <w:sz w:val="16"/>
                <w:szCs w:val="16"/>
              </w:rPr>
              <w:t>X</w:t>
            </w:r>
          </w:p>
        </w:tc>
        <w:tc>
          <w:tcPr>
            <w:tcW w:w="851" w:type="dxa"/>
            <w:shd w:val="clear" w:color="auto" w:fill="auto"/>
            <w:vAlign w:val="center"/>
          </w:tcPr>
          <w:p w14:paraId="228091A5"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396019BE"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36C86DB5" w14:textId="77777777" w:rsidR="00D16E72" w:rsidRPr="004901F2" w:rsidRDefault="00D16E72" w:rsidP="00284F82">
            <w:pPr>
              <w:spacing w:before="40" w:after="40" w:line="300" w:lineRule="atLeast"/>
              <w:jc w:val="center"/>
              <w:rPr>
                <w:rFonts w:ascii="Arial" w:hAnsi="Arial" w:cs="Arial"/>
                <w:sz w:val="16"/>
                <w:szCs w:val="16"/>
              </w:rPr>
            </w:pPr>
          </w:p>
        </w:tc>
        <w:tc>
          <w:tcPr>
            <w:tcW w:w="1099" w:type="dxa"/>
            <w:shd w:val="clear" w:color="auto" w:fill="auto"/>
            <w:vAlign w:val="center"/>
          </w:tcPr>
          <w:p w14:paraId="422590DF" w14:textId="77777777" w:rsidR="00D16E72" w:rsidRPr="004901F2" w:rsidRDefault="00D16E72" w:rsidP="00284F82">
            <w:pPr>
              <w:spacing w:before="40" w:after="40" w:line="300" w:lineRule="atLeast"/>
              <w:jc w:val="center"/>
              <w:rPr>
                <w:rFonts w:ascii="Arial" w:hAnsi="Arial" w:cs="Arial"/>
                <w:sz w:val="16"/>
                <w:szCs w:val="16"/>
              </w:rPr>
            </w:pPr>
            <w:r>
              <w:rPr>
                <w:rFonts w:ascii="Arial" w:hAnsi="Arial" w:cs="Arial"/>
                <w:sz w:val="16"/>
                <w:szCs w:val="16"/>
              </w:rPr>
              <w:t>PS</w:t>
            </w:r>
          </w:p>
        </w:tc>
      </w:tr>
    </w:tbl>
    <w:p w14:paraId="71A35ABB" w14:textId="77777777" w:rsidR="00D16E72" w:rsidRPr="00582EF2" w:rsidRDefault="00D16E72" w:rsidP="00D16E72">
      <w:pPr>
        <w:spacing w:before="60" w:after="60" w:line="260" w:lineRule="exact"/>
        <w:jc w:val="both"/>
        <w:rPr>
          <w:rFonts w:ascii="Arial" w:hAnsi="Arial" w:cs="Arial"/>
          <w:sz w:val="16"/>
          <w:szCs w:val="18"/>
        </w:rPr>
      </w:pPr>
      <w:r w:rsidRPr="00582EF2">
        <w:rPr>
          <w:rFonts w:ascii="Arial" w:hAnsi="Arial" w:cs="Arial"/>
          <w:sz w:val="16"/>
          <w:szCs w:val="18"/>
        </w:rPr>
        <w:t xml:space="preserve">Notes: </w:t>
      </w:r>
      <w:r w:rsidRPr="00582EF2">
        <w:rPr>
          <w:rFonts w:ascii="Arial" w:hAnsi="Arial" w:cs="Arial"/>
          <w:sz w:val="16"/>
          <w:szCs w:val="18"/>
        </w:rPr>
        <w:tab/>
        <w:t>PS = Point source by point source approach;</w:t>
      </w:r>
    </w:p>
    <w:p w14:paraId="22DCA3E8" w14:textId="77777777" w:rsidR="00D16E72" w:rsidRPr="00582EF2" w:rsidRDefault="00D16E72" w:rsidP="00D16E72">
      <w:pPr>
        <w:spacing w:after="60" w:line="260" w:lineRule="exact"/>
        <w:ind w:firstLine="720"/>
        <w:jc w:val="both"/>
        <w:rPr>
          <w:rFonts w:ascii="Arial" w:hAnsi="Arial" w:cs="Arial"/>
          <w:sz w:val="16"/>
          <w:szCs w:val="18"/>
        </w:rPr>
      </w:pPr>
      <w:r w:rsidRPr="00582EF2">
        <w:rPr>
          <w:rFonts w:ascii="Arial" w:hAnsi="Arial" w:cs="Arial"/>
          <w:b/>
          <w:sz w:val="16"/>
          <w:szCs w:val="18"/>
        </w:rPr>
        <w:t>X</w:t>
      </w:r>
      <w:r w:rsidRPr="00582EF2">
        <w:rPr>
          <w:rFonts w:ascii="Arial" w:hAnsi="Arial" w:cs="Arial"/>
          <w:sz w:val="16"/>
          <w:szCs w:val="18"/>
        </w:rPr>
        <w:t xml:space="preserve"> - Release pathway expected to be predominant for the sub-category;</w:t>
      </w:r>
    </w:p>
    <w:p w14:paraId="0588CB62" w14:textId="77777777" w:rsidR="00D16E72" w:rsidRPr="00582EF2" w:rsidRDefault="00D16E72" w:rsidP="00D16E72">
      <w:pPr>
        <w:spacing w:after="60" w:line="260" w:lineRule="exact"/>
        <w:ind w:firstLine="720"/>
        <w:jc w:val="both"/>
        <w:rPr>
          <w:rFonts w:ascii="Arial" w:hAnsi="Arial" w:cs="Arial"/>
          <w:sz w:val="16"/>
          <w:szCs w:val="18"/>
        </w:rPr>
      </w:pPr>
      <w:r w:rsidRPr="00582EF2">
        <w:rPr>
          <w:rFonts w:ascii="Arial" w:hAnsi="Arial" w:cs="Arial"/>
          <w:sz w:val="16"/>
          <w:szCs w:val="18"/>
        </w:rPr>
        <w:t>x - Additional release pathways to be considered, depending on specific source and national situation.</w:t>
      </w:r>
    </w:p>
    <w:p w14:paraId="6BEF28BE" w14:textId="77777777" w:rsidR="00D16E72" w:rsidRDefault="006E7B73" w:rsidP="006E7B73">
      <w:pPr>
        <w:pStyle w:val="Heading2"/>
      </w:pPr>
      <w:bookmarkStart w:id="143" w:name="_Toc484949614"/>
      <w:r>
        <w:t>Municipal waste incineration</w:t>
      </w:r>
      <w:bookmarkEnd w:id="143"/>
    </w:p>
    <w:p w14:paraId="50FAFF6D" w14:textId="77777777" w:rsidR="00D16E72" w:rsidRDefault="005A4668" w:rsidP="003833D6">
      <w:pPr>
        <w:spacing w:line="300" w:lineRule="atLeast"/>
        <w:jc w:val="both"/>
        <w:rPr>
          <w:szCs w:val="18"/>
        </w:rPr>
      </w:pPr>
      <w:r>
        <w:rPr>
          <w:szCs w:val="18"/>
        </w:rPr>
        <w:t>There are no municipal waste incinerators in New Zealand (</w:t>
      </w:r>
      <w:proofErr w:type="spellStart"/>
      <w:r>
        <w:rPr>
          <w:szCs w:val="18"/>
        </w:rPr>
        <w:t>MfE</w:t>
      </w:r>
      <w:proofErr w:type="spellEnd"/>
      <w:r>
        <w:rPr>
          <w:szCs w:val="18"/>
        </w:rPr>
        <w:t>, 2000).</w:t>
      </w:r>
    </w:p>
    <w:p w14:paraId="4825E2EC" w14:textId="77777777" w:rsidR="00D16E72" w:rsidRDefault="00AB6D27" w:rsidP="00AB6D27">
      <w:pPr>
        <w:pStyle w:val="Heading2"/>
      </w:pPr>
      <w:bookmarkStart w:id="144" w:name="_Toc484949615"/>
      <w:r>
        <w:t>Hazardous waste incineration</w:t>
      </w:r>
      <w:bookmarkEnd w:id="144"/>
    </w:p>
    <w:p w14:paraId="707F47E8" w14:textId="77777777" w:rsidR="001C2BBD" w:rsidRPr="001C2BBD" w:rsidRDefault="001C2BBD" w:rsidP="001C2BBD">
      <w:pPr>
        <w:spacing w:line="300" w:lineRule="atLeast"/>
        <w:jc w:val="both"/>
        <w:rPr>
          <w:szCs w:val="18"/>
        </w:rPr>
      </w:pPr>
      <w:r w:rsidRPr="001C2BBD">
        <w:rPr>
          <w:szCs w:val="18"/>
        </w:rPr>
        <w:t>Th</w:t>
      </w:r>
      <w:r w:rsidR="00D61534">
        <w:rPr>
          <w:szCs w:val="18"/>
        </w:rPr>
        <w:t xml:space="preserve">ere </w:t>
      </w:r>
      <w:r>
        <w:rPr>
          <w:szCs w:val="18"/>
        </w:rPr>
        <w:t>is</w:t>
      </w:r>
      <w:r w:rsidRPr="001C2BBD">
        <w:rPr>
          <w:szCs w:val="18"/>
        </w:rPr>
        <w:t xml:space="preserve"> only </w:t>
      </w:r>
      <w:r w:rsidR="00D61534">
        <w:rPr>
          <w:szCs w:val="18"/>
        </w:rPr>
        <w:t xml:space="preserve">one </w:t>
      </w:r>
      <w:r>
        <w:rPr>
          <w:szCs w:val="18"/>
        </w:rPr>
        <w:t>high-temperature hazardous</w:t>
      </w:r>
      <w:r w:rsidRPr="001C2BBD">
        <w:rPr>
          <w:szCs w:val="18"/>
        </w:rPr>
        <w:t xml:space="preserve"> waste incinerator</w:t>
      </w:r>
      <w:r>
        <w:rPr>
          <w:szCs w:val="18"/>
        </w:rPr>
        <w:t xml:space="preserve"> </w:t>
      </w:r>
      <w:r w:rsidR="00D61534">
        <w:rPr>
          <w:szCs w:val="18"/>
        </w:rPr>
        <w:t xml:space="preserve">in New Zealand, which is operated by Dow </w:t>
      </w:r>
      <w:proofErr w:type="spellStart"/>
      <w:proofErr w:type="gramStart"/>
      <w:r w:rsidR="00D61534">
        <w:rPr>
          <w:szCs w:val="18"/>
        </w:rPr>
        <w:t>AgroSciences</w:t>
      </w:r>
      <w:proofErr w:type="spellEnd"/>
      <w:r w:rsidR="00D61534">
        <w:rPr>
          <w:szCs w:val="18"/>
        </w:rPr>
        <w:t xml:space="preserve"> Ltd at their agrichemical formulation plant in New Plymouth.</w:t>
      </w:r>
      <w:proofErr w:type="gramEnd"/>
      <w:r w:rsidR="00D61534">
        <w:rPr>
          <w:szCs w:val="18"/>
        </w:rPr>
        <w:t xml:space="preserve"> This is used for the treatment and disposal of some of the wastes generated on-site that are potentially contaminated with agrichemicals. It is the only high-temperature hazardous waste incinerator currently </w:t>
      </w:r>
      <w:r>
        <w:rPr>
          <w:szCs w:val="18"/>
        </w:rPr>
        <w:t xml:space="preserve">permitted to operate </w:t>
      </w:r>
      <w:r w:rsidRPr="001C2BBD">
        <w:rPr>
          <w:szCs w:val="18"/>
        </w:rPr>
        <w:t>in New Zealand</w:t>
      </w:r>
      <w:r w:rsidR="00D61534">
        <w:rPr>
          <w:szCs w:val="18"/>
        </w:rPr>
        <w:t xml:space="preserve"> </w:t>
      </w:r>
      <w:r w:rsidRPr="001C2BBD">
        <w:rPr>
          <w:szCs w:val="18"/>
        </w:rPr>
        <w:t xml:space="preserve">under the </w:t>
      </w:r>
      <w:r w:rsidRPr="001C2BBD">
        <w:rPr>
          <w:i/>
          <w:szCs w:val="18"/>
        </w:rPr>
        <w:t>Resource Management (National Environmental Standards for Air Quality) Regulations 2004</w:t>
      </w:r>
      <w:r w:rsidRPr="001C2BBD">
        <w:rPr>
          <w:szCs w:val="18"/>
        </w:rPr>
        <w:t>.</w:t>
      </w:r>
    </w:p>
    <w:p w14:paraId="5DF676C1" w14:textId="56E1167B" w:rsidR="00AB6D27" w:rsidRDefault="00D61534" w:rsidP="003833D6">
      <w:pPr>
        <w:spacing w:line="300" w:lineRule="atLeast"/>
        <w:jc w:val="both"/>
        <w:rPr>
          <w:szCs w:val="18"/>
        </w:rPr>
      </w:pPr>
      <w:r>
        <w:rPr>
          <w:szCs w:val="18"/>
        </w:rPr>
        <w:t xml:space="preserve">The mercury emissions from the incinerator were tested </w:t>
      </w:r>
      <w:r w:rsidR="00325ECD">
        <w:rPr>
          <w:szCs w:val="18"/>
        </w:rPr>
        <w:t xml:space="preserve">in 2016 </w:t>
      </w:r>
      <w:r>
        <w:rPr>
          <w:szCs w:val="18"/>
        </w:rPr>
        <w:t xml:space="preserve">by an external contractor and found to be </w:t>
      </w:r>
      <w:r w:rsidR="00325ECD" w:rsidRPr="00325ECD">
        <w:rPr>
          <w:szCs w:val="18"/>
        </w:rPr>
        <w:t>&lt; 1.3 mg/hour for general waste, &lt; 1.1 mg/hr for liquid wastes and 1.2 mg/h</w:t>
      </w:r>
      <w:r w:rsidR="00325ECD">
        <w:rPr>
          <w:szCs w:val="18"/>
        </w:rPr>
        <w:t>r for empty drum incineration. The e</w:t>
      </w:r>
      <w:r w:rsidR="00325ECD" w:rsidRPr="00325ECD">
        <w:rPr>
          <w:szCs w:val="18"/>
        </w:rPr>
        <w:t>stimated operating time for 2016 was 8,200 hours giving a maximum mercury emission of 9.84 g</w:t>
      </w:r>
      <w:r w:rsidR="00325ECD">
        <w:rPr>
          <w:szCs w:val="18"/>
        </w:rPr>
        <w:t>rams</w:t>
      </w:r>
      <w:r w:rsidR="00325ECD" w:rsidRPr="00325ECD">
        <w:rPr>
          <w:szCs w:val="18"/>
        </w:rPr>
        <w:t xml:space="preserve"> per year (T </w:t>
      </w:r>
      <w:proofErr w:type="spellStart"/>
      <w:r w:rsidR="00325ECD" w:rsidRPr="00325ECD">
        <w:rPr>
          <w:szCs w:val="18"/>
        </w:rPr>
        <w:t>Gellen</w:t>
      </w:r>
      <w:proofErr w:type="spellEnd"/>
      <w:r w:rsidR="00325ECD" w:rsidRPr="00325ECD">
        <w:rPr>
          <w:szCs w:val="18"/>
        </w:rPr>
        <w:t xml:space="preserve">, Dow </w:t>
      </w:r>
      <w:proofErr w:type="spellStart"/>
      <w:r w:rsidR="00325ECD" w:rsidRPr="00325ECD">
        <w:rPr>
          <w:szCs w:val="18"/>
        </w:rPr>
        <w:t>AgroSciences</w:t>
      </w:r>
      <w:proofErr w:type="spellEnd"/>
      <w:r w:rsidR="00325ECD" w:rsidRPr="00325ECD">
        <w:rPr>
          <w:szCs w:val="18"/>
        </w:rPr>
        <w:t xml:space="preserve">, </w:t>
      </w:r>
      <w:proofErr w:type="spellStart"/>
      <w:r w:rsidR="00325ECD" w:rsidRPr="00325ECD">
        <w:rPr>
          <w:szCs w:val="18"/>
        </w:rPr>
        <w:t>pers</w:t>
      </w:r>
      <w:proofErr w:type="spellEnd"/>
      <w:r w:rsidR="00325ECD" w:rsidRPr="00325ECD">
        <w:rPr>
          <w:szCs w:val="18"/>
        </w:rPr>
        <w:t xml:space="preserve"> </w:t>
      </w:r>
      <w:proofErr w:type="spellStart"/>
      <w:r w:rsidR="00325ECD" w:rsidRPr="00325ECD">
        <w:rPr>
          <w:szCs w:val="18"/>
        </w:rPr>
        <w:t>comm</w:t>
      </w:r>
      <w:proofErr w:type="spellEnd"/>
      <w:r w:rsidR="00325ECD" w:rsidRPr="00325ECD">
        <w:rPr>
          <w:szCs w:val="18"/>
        </w:rPr>
        <w:t>, 2017)</w:t>
      </w:r>
      <w:proofErr w:type="gramStart"/>
      <w:r w:rsidR="008B7191">
        <w:rPr>
          <w:szCs w:val="18"/>
        </w:rPr>
        <w:t>.</w:t>
      </w:r>
      <w:proofErr w:type="gramEnd"/>
      <w:r w:rsidR="00325ECD">
        <w:rPr>
          <w:szCs w:val="18"/>
        </w:rPr>
        <w:t xml:space="preserve"> This is less than the figure of </w:t>
      </w:r>
      <w:r w:rsidR="006A7C5A">
        <w:rPr>
          <w:szCs w:val="18"/>
        </w:rPr>
        <w:t xml:space="preserve">16.5 grams/year </w:t>
      </w:r>
      <w:r w:rsidR="00325ECD">
        <w:rPr>
          <w:szCs w:val="18"/>
        </w:rPr>
        <w:t xml:space="preserve">estimated for 2012. </w:t>
      </w:r>
      <w:r w:rsidR="002615CE">
        <w:rPr>
          <w:szCs w:val="18"/>
        </w:rPr>
        <w:t>There is no information on the possible releases to other media, such as in wastes. However, the unit is not fitted with any particulate control equipment so it is reasonable to expect that all of the mercury will be emitted to air.</w:t>
      </w:r>
    </w:p>
    <w:p w14:paraId="5336C478" w14:textId="77777777" w:rsidR="002615CE" w:rsidRPr="00BE17CF" w:rsidRDefault="002615CE" w:rsidP="002615CE">
      <w:pPr>
        <w:tabs>
          <w:tab w:val="left" w:pos="2760"/>
        </w:tabs>
        <w:spacing w:before="120" w:line="300" w:lineRule="atLeast"/>
        <w:jc w:val="both"/>
        <w:rPr>
          <w:rFonts w:ascii="Arial" w:hAnsi="Arial" w:cs="Arial"/>
          <w:b/>
          <w:szCs w:val="18"/>
        </w:rPr>
      </w:pPr>
      <w:r w:rsidRPr="00BE17CF">
        <w:rPr>
          <w:rFonts w:ascii="Arial" w:hAnsi="Arial" w:cs="Arial"/>
          <w:b/>
          <w:szCs w:val="18"/>
        </w:rPr>
        <w:t>Certainty assessment</w:t>
      </w:r>
    </w:p>
    <w:p w14:paraId="771C212F" w14:textId="77777777" w:rsidR="002615CE" w:rsidRDefault="002615CE" w:rsidP="002615CE">
      <w:pPr>
        <w:tabs>
          <w:tab w:val="left" w:pos="1701"/>
        </w:tabs>
        <w:spacing w:line="300" w:lineRule="atLeast"/>
        <w:jc w:val="both"/>
        <w:rPr>
          <w:szCs w:val="18"/>
        </w:rPr>
      </w:pPr>
      <w:r>
        <w:rPr>
          <w:szCs w:val="18"/>
        </w:rPr>
        <w:t xml:space="preserve">Activity data: </w:t>
      </w:r>
      <w:r>
        <w:rPr>
          <w:szCs w:val="18"/>
        </w:rPr>
        <w:tab/>
        <w:t>not relevant</w:t>
      </w:r>
    </w:p>
    <w:p w14:paraId="0D31F001" w14:textId="77777777" w:rsidR="002615CE" w:rsidRDefault="002615CE" w:rsidP="002615CE">
      <w:pPr>
        <w:tabs>
          <w:tab w:val="left" w:pos="1701"/>
        </w:tabs>
        <w:spacing w:line="300" w:lineRule="atLeast"/>
        <w:jc w:val="both"/>
        <w:rPr>
          <w:szCs w:val="18"/>
        </w:rPr>
      </w:pPr>
      <w:r>
        <w:rPr>
          <w:szCs w:val="18"/>
        </w:rPr>
        <w:t xml:space="preserve">Input estimates: </w:t>
      </w:r>
      <w:r>
        <w:rPr>
          <w:szCs w:val="18"/>
        </w:rPr>
        <w:tab/>
        <w:t>MEDIUM (</w:t>
      </w:r>
      <w:r w:rsidRPr="00944DCC">
        <w:rPr>
          <w:szCs w:val="18"/>
        </w:rPr>
        <w:t xml:space="preserve">because </w:t>
      </w:r>
      <w:r>
        <w:rPr>
          <w:szCs w:val="18"/>
        </w:rPr>
        <w:t>it was inferred from the air emissions data)</w:t>
      </w:r>
    </w:p>
    <w:p w14:paraId="4FD10771" w14:textId="77777777" w:rsidR="002615CE" w:rsidRPr="0028681C" w:rsidRDefault="002615CE" w:rsidP="002615CE">
      <w:pPr>
        <w:tabs>
          <w:tab w:val="left" w:pos="1701"/>
        </w:tabs>
        <w:spacing w:line="300" w:lineRule="atLeast"/>
        <w:jc w:val="both"/>
        <w:rPr>
          <w:szCs w:val="18"/>
        </w:rPr>
      </w:pPr>
      <w:r>
        <w:rPr>
          <w:szCs w:val="18"/>
        </w:rPr>
        <w:t xml:space="preserve">Output estimates: </w:t>
      </w:r>
      <w:r>
        <w:rPr>
          <w:szCs w:val="18"/>
        </w:rPr>
        <w:tab/>
        <w:t>MEDIUM (</w:t>
      </w:r>
      <w:r w:rsidRPr="00944DCC">
        <w:rPr>
          <w:szCs w:val="18"/>
        </w:rPr>
        <w:t xml:space="preserve">because the </w:t>
      </w:r>
      <w:r>
        <w:rPr>
          <w:szCs w:val="18"/>
        </w:rPr>
        <w:t>air output was based on a single test exercise).</w:t>
      </w:r>
    </w:p>
    <w:p w14:paraId="211752EB" w14:textId="77777777" w:rsidR="001C2BBD" w:rsidRDefault="001C2BBD" w:rsidP="001C2BBD">
      <w:pPr>
        <w:pStyle w:val="Heading2"/>
      </w:pPr>
      <w:bookmarkStart w:id="145" w:name="_Toc484949616"/>
      <w:r>
        <w:lastRenderedPageBreak/>
        <w:t>Medical waste incineration</w:t>
      </w:r>
      <w:bookmarkEnd w:id="145"/>
    </w:p>
    <w:p w14:paraId="16D4C52F" w14:textId="77777777" w:rsidR="001C2BBD" w:rsidRDefault="001C2BBD" w:rsidP="001C2BBD">
      <w:pPr>
        <w:spacing w:line="300" w:lineRule="atLeast"/>
        <w:jc w:val="both"/>
        <w:rPr>
          <w:szCs w:val="18"/>
        </w:rPr>
      </w:pPr>
      <w:r>
        <w:rPr>
          <w:szCs w:val="18"/>
        </w:rPr>
        <w:t xml:space="preserve">There is only 1 medical waste incinerator in New Zealand, </w:t>
      </w:r>
      <w:r w:rsidR="00F5793D">
        <w:rPr>
          <w:szCs w:val="18"/>
        </w:rPr>
        <w:t xml:space="preserve">at the Grey Hospital in </w:t>
      </w:r>
      <w:r w:rsidR="00343B8E">
        <w:rPr>
          <w:szCs w:val="18"/>
        </w:rPr>
        <w:t>Greymouth</w:t>
      </w:r>
      <w:r>
        <w:rPr>
          <w:szCs w:val="18"/>
        </w:rPr>
        <w:t>. Medical waste incineration was widely practised in the past, but has been phased out in favour of alternative methods, such as steam sterilisation (</w:t>
      </w:r>
      <w:proofErr w:type="spellStart"/>
      <w:r w:rsidR="002E47F5">
        <w:rPr>
          <w:szCs w:val="18"/>
        </w:rPr>
        <w:t>MfE</w:t>
      </w:r>
      <w:proofErr w:type="spellEnd"/>
      <w:r w:rsidR="002E47F5">
        <w:rPr>
          <w:szCs w:val="18"/>
        </w:rPr>
        <w:t>, 2011a</w:t>
      </w:r>
      <w:r>
        <w:rPr>
          <w:szCs w:val="18"/>
        </w:rPr>
        <w:t>).</w:t>
      </w:r>
    </w:p>
    <w:p w14:paraId="7B9D5E4F" w14:textId="77777777" w:rsidR="00325ECD" w:rsidRDefault="00F5793D" w:rsidP="003833D6">
      <w:pPr>
        <w:spacing w:line="300" w:lineRule="atLeast"/>
        <w:jc w:val="both"/>
        <w:rPr>
          <w:szCs w:val="18"/>
        </w:rPr>
      </w:pPr>
      <w:r>
        <w:rPr>
          <w:szCs w:val="18"/>
        </w:rPr>
        <w:t>The Grey Hospital incinerator</w:t>
      </w:r>
      <w:r w:rsidR="00676490">
        <w:rPr>
          <w:szCs w:val="18"/>
        </w:rPr>
        <w:t xml:space="preserve"> i</w:t>
      </w:r>
      <w:r>
        <w:rPr>
          <w:szCs w:val="18"/>
        </w:rPr>
        <w:t xml:space="preserve">s </w:t>
      </w:r>
      <w:r w:rsidR="00676490">
        <w:rPr>
          <w:szCs w:val="18"/>
        </w:rPr>
        <w:t>a diesel-fired</w:t>
      </w:r>
      <w:r w:rsidR="00661AAE">
        <w:rPr>
          <w:szCs w:val="18"/>
        </w:rPr>
        <w:t>,</w:t>
      </w:r>
      <w:r w:rsidR="00676490">
        <w:rPr>
          <w:szCs w:val="18"/>
        </w:rPr>
        <w:t xml:space="preserve"> dual-chamber unit, with no add-on emission controls</w:t>
      </w:r>
      <w:r w:rsidR="00325ECD">
        <w:rPr>
          <w:szCs w:val="18"/>
        </w:rPr>
        <w:t>.</w:t>
      </w:r>
      <w:r w:rsidR="00325ECD" w:rsidRPr="00325ECD">
        <w:rPr>
          <w:szCs w:val="18"/>
        </w:rPr>
        <w:t xml:space="preserve"> </w:t>
      </w:r>
      <w:r w:rsidR="00325ECD">
        <w:rPr>
          <w:szCs w:val="18"/>
        </w:rPr>
        <w:t xml:space="preserve">In 2016 an estimated 78 tonnes of medical waste were incinerated (C Shaw, Grey Hospital, </w:t>
      </w:r>
      <w:proofErr w:type="spellStart"/>
      <w:r w:rsidR="00325ECD">
        <w:rPr>
          <w:szCs w:val="18"/>
        </w:rPr>
        <w:t>pers</w:t>
      </w:r>
      <w:proofErr w:type="spellEnd"/>
      <w:r w:rsidR="00325ECD">
        <w:rPr>
          <w:szCs w:val="18"/>
        </w:rPr>
        <w:t xml:space="preserve"> </w:t>
      </w:r>
      <w:proofErr w:type="spellStart"/>
      <w:r w:rsidR="00325ECD">
        <w:rPr>
          <w:szCs w:val="18"/>
        </w:rPr>
        <w:t>comm</w:t>
      </w:r>
      <w:proofErr w:type="spellEnd"/>
      <w:r w:rsidR="00325ECD">
        <w:rPr>
          <w:szCs w:val="18"/>
        </w:rPr>
        <w:t xml:space="preserve">, 2017), which is much lower than the </w:t>
      </w:r>
      <w:r>
        <w:rPr>
          <w:szCs w:val="18"/>
        </w:rPr>
        <w:t xml:space="preserve">200 tonnes/year </w:t>
      </w:r>
      <w:r w:rsidR="00325ECD">
        <w:rPr>
          <w:szCs w:val="18"/>
        </w:rPr>
        <w:t>estimated in 2012</w:t>
      </w:r>
      <w:r>
        <w:rPr>
          <w:szCs w:val="18"/>
        </w:rPr>
        <w:t>.</w:t>
      </w:r>
      <w:r w:rsidR="00676490">
        <w:rPr>
          <w:szCs w:val="18"/>
        </w:rPr>
        <w:t xml:space="preserve"> The emissions have never been tested for mercury. </w:t>
      </w:r>
    </w:p>
    <w:p w14:paraId="5F37EC6A" w14:textId="77777777" w:rsidR="001C2BBD" w:rsidRDefault="00676490" w:rsidP="003833D6">
      <w:pPr>
        <w:spacing w:line="300" w:lineRule="atLeast"/>
        <w:jc w:val="both"/>
        <w:rPr>
          <w:szCs w:val="18"/>
        </w:rPr>
      </w:pPr>
      <w:r>
        <w:rPr>
          <w:szCs w:val="18"/>
        </w:rPr>
        <w:t xml:space="preserve">The Toolkit recommends default input factors for medical waste of 8 – 40 g/tonne, and indicates that all of the mercury will be emitted to air on units with no emission control equipment. Applying these factors to the Grey Hospital incinerator indicates an annual input rate of </w:t>
      </w:r>
      <w:r w:rsidR="00325ECD">
        <w:rPr>
          <w:szCs w:val="18"/>
        </w:rPr>
        <w:t xml:space="preserve">0.62 to 3.12 kg/year for 2016 (mean 1.87 kg/year), compared to the figures of </w:t>
      </w:r>
      <w:r>
        <w:rPr>
          <w:szCs w:val="18"/>
        </w:rPr>
        <w:t>1.6 to 8 kg/year</w:t>
      </w:r>
      <w:r w:rsidR="00325ECD">
        <w:rPr>
          <w:szCs w:val="18"/>
        </w:rPr>
        <w:t xml:space="preserve"> reported for 2012 (mean 4.8 kg/year)</w:t>
      </w:r>
      <w:r w:rsidR="005F6117">
        <w:rPr>
          <w:szCs w:val="18"/>
        </w:rPr>
        <w:t>.</w:t>
      </w:r>
      <w:r>
        <w:rPr>
          <w:szCs w:val="18"/>
        </w:rPr>
        <w:t xml:space="preserve"> </w:t>
      </w:r>
      <w:r w:rsidR="005F6117">
        <w:rPr>
          <w:szCs w:val="18"/>
        </w:rPr>
        <w:t>The outputs to air will be the same as the inputs.</w:t>
      </w:r>
    </w:p>
    <w:p w14:paraId="7F75981D" w14:textId="77777777" w:rsidR="005F6117" w:rsidRPr="00BE17CF" w:rsidRDefault="005F6117" w:rsidP="005F6117">
      <w:pPr>
        <w:tabs>
          <w:tab w:val="left" w:pos="2760"/>
        </w:tabs>
        <w:spacing w:before="120" w:line="300" w:lineRule="atLeast"/>
        <w:jc w:val="both"/>
        <w:rPr>
          <w:rFonts w:ascii="Arial" w:hAnsi="Arial" w:cs="Arial"/>
          <w:b/>
          <w:szCs w:val="18"/>
        </w:rPr>
      </w:pPr>
      <w:r w:rsidRPr="00BE17CF">
        <w:rPr>
          <w:rFonts w:ascii="Arial" w:hAnsi="Arial" w:cs="Arial"/>
          <w:b/>
          <w:szCs w:val="18"/>
        </w:rPr>
        <w:t>Certainty assessment</w:t>
      </w:r>
    </w:p>
    <w:p w14:paraId="5D59892B" w14:textId="77777777" w:rsidR="005F6117" w:rsidRDefault="005F6117" w:rsidP="005F6117">
      <w:pPr>
        <w:tabs>
          <w:tab w:val="left" w:pos="1701"/>
        </w:tabs>
        <w:spacing w:line="300" w:lineRule="atLeast"/>
        <w:jc w:val="both"/>
        <w:rPr>
          <w:szCs w:val="18"/>
        </w:rPr>
      </w:pPr>
      <w:r>
        <w:rPr>
          <w:szCs w:val="18"/>
        </w:rPr>
        <w:t xml:space="preserve">Activity data: </w:t>
      </w:r>
      <w:r>
        <w:rPr>
          <w:szCs w:val="18"/>
        </w:rPr>
        <w:tab/>
        <w:t>MEDIUM (because it was an operator estimate)</w:t>
      </w:r>
    </w:p>
    <w:p w14:paraId="4EF0218B" w14:textId="77777777" w:rsidR="005F6117" w:rsidRDefault="005F6117" w:rsidP="005F6117">
      <w:pPr>
        <w:tabs>
          <w:tab w:val="left" w:pos="1701"/>
        </w:tabs>
        <w:spacing w:line="300" w:lineRule="atLeast"/>
        <w:jc w:val="both"/>
        <w:rPr>
          <w:szCs w:val="18"/>
        </w:rPr>
      </w:pPr>
      <w:r>
        <w:rPr>
          <w:szCs w:val="18"/>
        </w:rPr>
        <w:t xml:space="preserve">Input estimates: </w:t>
      </w:r>
      <w:r>
        <w:rPr>
          <w:szCs w:val="18"/>
        </w:rPr>
        <w:tab/>
        <w:t>LOW (</w:t>
      </w:r>
      <w:r w:rsidRPr="00944DCC">
        <w:rPr>
          <w:szCs w:val="18"/>
        </w:rPr>
        <w:t xml:space="preserve">because </w:t>
      </w:r>
      <w:r>
        <w:rPr>
          <w:szCs w:val="18"/>
        </w:rPr>
        <w:t>it was based on the Toolkit default factor)</w:t>
      </w:r>
    </w:p>
    <w:p w14:paraId="6D43B30D" w14:textId="77777777" w:rsidR="005F6117" w:rsidRPr="0028681C" w:rsidRDefault="005F6117" w:rsidP="005F6117">
      <w:pPr>
        <w:tabs>
          <w:tab w:val="left" w:pos="1701"/>
        </w:tabs>
        <w:spacing w:line="300" w:lineRule="atLeast"/>
        <w:jc w:val="both"/>
        <w:rPr>
          <w:szCs w:val="18"/>
        </w:rPr>
      </w:pPr>
      <w:r>
        <w:rPr>
          <w:szCs w:val="18"/>
        </w:rPr>
        <w:t xml:space="preserve">Output estimates: </w:t>
      </w:r>
      <w:r>
        <w:rPr>
          <w:szCs w:val="18"/>
        </w:rPr>
        <w:tab/>
        <w:t>LOW (</w:t>
      </w:r>
      <w:r w:rsidRPr="00944DCC">
        <w:rPr>
          <w:szCs w:val="18"/>
        </w:rPr>
        <w:t xml:space="preserve">because the </w:t>
      </w:r>
      <w:r>
        <w:rPr>
          <w:szCs w:val="18"/>
        </w:rPr>
        <w:t xml:space="preserve">output distribution was based on </w:t>
      </w:r>
      <w:r w:rsidRPr="005F6117">
        <w:rPr>
          <w:szCs w:val="18"/>
        </w:rPr>
        <w:t>the Toolkit default factor</w:t>
      </w:r>
      <w:r>
        <w:rPr>
          <w:szCs w:val="18"/>
        </w:rPr>
        <w:t>s).</w:t>
      </w:r>
    </w:p>
    <w:p w14:paraId="5938E698" w14:textId="77777777" w:rsidR="00AB6D27" w:rsidRDefault="00AB6D27" w:rsidP="00AB6D27">
      <w:pPr>
        <w:pStyle w:val="Heading2"/>
      </w:pPr>
      <w:bookmarkStart w:id="146" w:name="_Toc484949617"/>
      <w:r>
        <w:t>Sewage sludge incineration</w:t>
      </w:r>
      <w:bookmarkEnd w:id="146"/>
    </w:p>
    <w:p w14:paraId="76F32C35" w14:textId="77777777" w:rsidR="00AB6D27" w:rsidRDefault="00661AAE" w:rsidP="003833D6">
      <w:pPr>
        <w:spacing w:line="300" w:lineRule="atLeast"/>
        <w:jc w:val="both"/>
        <w:rPr>
          <w:szCs w:val="18"/>
        </w:rPr>
      </w:pPr>
      <w:r>
        <w:rPr>
          <w:szCs w:val="18"/>
        </w:rPr>
        <w:t>There is one sewage sludge incinerator in New Zealand, operated by the Dunedin City Council at its wastewater treatment plant in Dunedin. The incinerator is a diesel-fired, fluidised bed unit, and the exhaust gases are trea</w:t>
      </w:r>
      <w:r w:rsidR="00806345">
        <w:rPr>
          <w:szCs w:val="18"/>
        </w:rPr>
        <w:t xml:space="preserve">ted in a high-efficiency </w:t>
      </w:r>
      <w:proofErr w:type="spellStart"/>
      <w:r w:rsidR="00806345">
        <w:rPr>
          <w:szCs w:val="18"/>
        </w:rPr>
        <w:t>venturi</w:t>
      </w:r>
      <w:proofErr w:type="spellEnd"/>
      <w:r>
        <w:rPr>
          <w:szCs w:val="18"/>
        </w:rPr>
        <w:t xml:space="preserve"> scrubber, followed by a packed tower caustic scrubber.  The gases are then passed through a bark </w:t>
      </w:r>
      <w:proofErr w:type="spellStart"/>
      <w:r>
        <w:rPr>
          <w:szCs w:val="18"/>
        </w:rPr>
        <w:t>biofilter</w:t>
      </w:r>
      <w:proofErr w:type="spellEnd"/>
      <w:r>
        <w:rPr>
          <w:szCs w:val="18"/>
        </w:rPr>
        <w:t xml:space="preserve"> which acts as a final scrubber, primarily for odour control (</w:t>
      </w:r>
      <w:proofErr w:type="spellStart"/>
      <w:r w:rsidR="002E47F5">
        <w:rPr>
          <w:szCs w:val="18"/>
        </w:rPr>
        <w:t>MfE</w:t>
      </w:r>
      <w:proofErr w:type="spellEnd"/>
      <w:r w:rsidR="002E47F5">
        <w:rPr>
          <w:szCs w:val="18"/>
        </w:rPr>
        <w:t>, 2011a</w:t>
      </w:r>
      <w:r>
        <w:rPr>
          <w:szCs w:val="18"/>
        </w:rPr>
        <w:t>).</w:t>
      </w:r>
    </w:p>
    <w:p w14:paraId="69F3E909" w14:textId="12E8A375" w:rsidR="00BA7ABE" w:rsidRDefault="00D26105" w:rsidP="003833D6">
      <w:pPr>
        <w:spacing w:line="300" w:lineRule="atLeast"/>
        <w:jc w:val="both"/>
        <w:rPr>
          <w:szCs w:val="18"/>
        </w:rPr>
      </w:pPr>
      <w:r>
        <w:rPr>
          <w:szCs w:val="18"/>
        </w:rPr>
        <w:t xml:space="preserve">The incinerator </w:t>
      </w:r>
      <w:r w:rsidR="00BA7ABE">
        <w:rPr>
          <w:szCs w:val="18"/>
        </w:rPr>
        <w:t>normally</w:t>
      </w:r>
      <w:r>
        <w:rPr>
          <w:szCs w:val="18"/>
        </w:rPr>
        <w:t xml:space="preserve"> processes about 1</w:t>
      </w:r>
      <w:r w:rsidR="004D699D">
        <w:rPr>
          <w:szCs w:val="18"/>
        </w:rPr>
        <w:t>7</w:t>
      </w:r>
      <w:r>
        <w:rPr>
          <w:szCs w:val="18"/>
        </w:rPr>
        <w:t xml:space="preserve">00 tonnes of wastewater solids per year, on a dry basis. </w:t>
      </w:r>
      <w:r w:rsidR="00BA7ABE">
        <w:rPr>
          <w:szCs w:val="18"/>
        </w:rPr>
        <w:t>However, the plant was closed for refurbishment for most of 2014 to 2016</w:t>
      </w:r>
      <w:r w:rsidR="00BA7ABE" w:rsidRPr="00BA7ABE">
        <w:rPr>
          <w:szCs w:val="18"/>
        </w:rPr>
        <w:t xml:space="preserve"> </w:t>
      </w:r>
      <w:r w:rsidR="00BA7ABE">
        <w:rPr>
          <w:szCs w:val="18"/>
        </w:rPr>
        <w:t xml:space="preserve">and since re-opening has been burning on a 24 hr per day schedule.  At current combustion rates an estimated </w:t>
      </w:r>
      <w:r w:rsidR="00FC69D7">
        <w:rPr>
          <w:szCs w:val="18"/>
        </w:rPr>
        <w:t>1</w:t>
      </w:r>
      <w:r w:rsidR="00540C70">
        <w:rPr>
          <w:szCs w:val="18"/>
        </w:rPr>
        <w:t>,</w:t>
      </w:r>
      <w:r w:rsidR="00FC69D7">
        <w:rPr>
          <w:szCs w:val="18"/>
        </w:rPr>
        <w:t xml:space="preserve">424 tonnes </w:t>
      </w:r>
      <w:r w:rsidR="00BA7ABE">
        <w:rPr>
          <w:szCs w:val="18"/>
        </w:rPr>
        <w:t xml:space="preserve">dry sludge will be consumed for the year (B Stevenson-Wright, Dunedin City Council, 2017). </w:t>
      </w:r>
    </w:p>
    <w:p w14:paraId="4D3FDACE" w14:textId="572660BF" w:rsidR="00AB6D27" w:rsidRDefault="00D26105" w:rsidP="003833D6">
      <w:pPr>
        <w:spacing w:line="300" w:lineRule="atLeast"/>
        <w:jc w:val="both"/>
        <w:rPr>
          <w:szCs w:val="18"/>
        </w:rPr>
      </w:pPr>
      <w:r>
        <w:rPr>
          <w:szCs w:val="18"/>
        </w:rPr>
        <w:t xml:space="preserve">The mercury inputs can be estimated from the composition data for </w:t>
      </w:r>
      <w:proofErr w:type="spellStart"/>
      <w:r>
        <w:rPr>
          <w:szCs w:val="18"/>
        </w:rPr>
        <w:t>biosolids</w:t>
      </w:r>
      <w:proofErr w:type="spellEnd"/>
      <w:r w:rsidR="00266D6B">
        <w:rPr>
          <w:szCs w:val="18"/>
        </w:rPr>
        <w:t xml:space="preserve">, which is </w:t>
      </w:r>
      <w:r>
        <w:rPr>
          <w:szCs w:val="18"/>
        </w:rPr>
        <w:t xml:space="preserve">discussed in section </w:t>
      </w:r>
      <w:r w:rsidR="00266D6B">
        <w:rPr>
          <w:szCs w:val="18"/>
        </w:rPr>
        <w:t xml:space="preserve">11.5. This indicates a mercury composition of 0.56 mg/kg for Dunedin </w:t>
      </w:r>
      <w:r w:rsidR="00806345">
        <w:rPr>
          <w:szCs w:val="18"/>
        </w:rPr>
        <w:t xml:space="preserve">(Green Island) </w:t>
      </w:r>
      <w:proofErr w:type="spellStart"/>
      <w:r w:rsidR="00266D6B">
        <w:rPr>
          <w:szCs w:val="18"/>
        </w:rPr>
        <w:t>biosolids</w:t>
      </w:r>
      <w:proofErr w:type="spellEnd"/>
      <w:r w:rsidR="00266D6B">
        <w:rPr>
          <w:szCs w:val="18"/>
        </w:rPr>
        <w:t>, which suggest</w:t>
      </w:r>
      <w:r w:rsidR="00806345">
        <w:rPr>
          <w:szCs w:val="18"/>
        </w:rPr>
        <w:t>s</w:t>
      </w:r>
      <w:r w:rsidR="00266D6B">
        <w:rPr>
          <w:szCs w:val="18"/>
        </w:rPr>
        <w:t xml:space="preserve"> an annual input to the incinerator of 0.8</w:t>
      </w:r>
      <w:r w:rsidR="00BA7ABE">
        <w:rPr>
          <w:szCs w:val="18"/>
        </w:rPr>
        <w:t>0</w:t>
      </w:r>
      <w:r w:rsidR="00266D6B">
        <w:rPr>
          <w:szCs w:val="18"/>
        </w:rPr>
        <w:t xml:space="preserve"> kg/year</w:t>
      </w:r>
      <w:r w:rsidR="00BA7ABE">
        <w:rPr>
          <w:szCs w:val="18"/>
        </w:rPr>
        <w:t xml:space="preserve"> based on the current burn rate</w:t>
      </w:r>
      <w:r w:rsidR="00266D6B">
        <w:rPr>
          <w:szCs w:val="18"/>
        </w:rPr>
        <w:t xml:space="preserve">. </w:t>
      </w:r>
      <w:r w:rsidR="004D699D">
        <w:rPr>
          <w:szCs w:val="18"/>
        </w:rPr>
        <w:t xml:space="preserve">The </w:t>
      </w:r>
      <w:r w:rsidR="00486D5C">
        <w:rPr>
          <w:szCs w:val="18"/>
        </w:rPr>
        <w:t>incinerator off-gases are</w:t>
      </w:r>
      <w:r w:rsidR="004D699D">
        <w:rPr>
          <w:szCs w:val="18"/>
        </w:rPr>
        <w:t xml:space="preserve"> tested annually for mercury, and the </w:t>
      </w:r>
      <w:r w:rsidR="00BA7ABE">
        <w:rPr>
          <w:szCs w:val="18"/>
        </w:rPr>
        <w:t xml:space="preserve">average mercury emission result for testing conducted in March 2017 </w:t>
      </w:r>
      <w:r w:rsidR="004E4306">
        <w:rPr>
          <w:szCs w:val="18"/>
        </w:rPr>
        <w:t>indicates emissions of</w:t>
      </w:r>
      <w:r w:rsidR="00BA7ABE">
        <w:rPr>
          <w:szCs w:val="18"/>
        </w:rPr>
        <w:t xml:space="preserve"> 0.667 kg/year</w:t>
      </w:r>
      <w:r w:rsidR="004E4306">
        <w:rPr>
          <w:szCs w:val="18"/>
        </w:rPr>
        <w:t>. This</w:t>
      </w:r>
      <w:r w:rsidR="004D699D">
        <w:rPr>
          <w:szCs w:val="18"/>
        </w:rPr>
        <w:t xml:space="preserve"> agrees </w:t>
      </w:r>
      <w:r w:rsidR="003970B7">
        <w:rPr>
          <w:szCs w:val="18"/>
        </w:rPr>
        <w:t>reasonably</w:t>
      </w:r>
      <w:r w:rsidR="00BA7ABE">
        <w:rPr>
          <w:szCs w:val="18"/>
        </w:rPr>
        <w:t xml:space="preserve"> </w:t>
      </w:r>
      <w:r w:rsidR="004D699D">
        <w:rPr>
          <w:szCs w:val="18"/>
        </w:rPr>
        <w:t xml:space="preserve">well with the estimate based on </w:t>
      </w:r>
      <w:proofErr w:type="spellStart"/>
      <w:r w:rsidR="004D699D">
        <w:rPr>
          <w:szCs w:val="18"/>
        </w:rPr>
        <w:t>biosolids</w:t>
      </w:r>
      <w:proofErr w:type="spellEnd"/>
      <w:r w:rsidR="004D699D">
        <w:rPr>
          <w:szCs w:val="18"/>
        </w:rPr>
        <w:t xml:space="preserve"> composition. </w:t>
      </w:r>
      <w:r w:rsidR="00343B8E">
        <w:rPr>
          <w:szCs w:val="18"/>
        </w:rPr>
        <w:t xml:space="preserve">The incinerator off-gases </w:t>
      </w:r>
      <w:r w:rsidR="00575993">
        <w:rPr>
          <w:szCs w:val="18"/>
        </w:rPr>
        <w:t>are</w:t>
      </w:r>
      <w:r w:rsidR="00343B8E">
        <w:rPr>
          <w:szCs w:val="18"/>
        </w:rPr>
        <w:t xml:space="preserve"> treat</w:t>
      </w:r>
      <w:r w:rsidR="00575993">
        <w:rPr>
          <w:szCs w:val="18"/>
        </w:rPr>
        <w:t>ed by passing</w:t>
      </w:r>
      <w:r w:rsidR="00343B8E">
        <w:rPr>
          <w:szCs w:val="18"/>
        </w:rPr>
        <w:t xml:space="preserve"> through the </w:t>
      </w:r>
      <w:proofErr w:type="spellStart"/>
      <w:r w:rsidR="00343B8E">
        <w:rPr>
          <w:szCs w:val="18"/>
        </w:rPr>
        <w:t>biofilter</w:t>
      </w:r>
      <w:proofErr w:type="spellEnd"/>
      <w:r w:rsidR="00343B8E">
        <w:rPr>
          <w:szCs w:val="18"/>
        </w:rPr>
        <w:t>, and the tests on the latter shows that it captures more than 99% of the total mercury.</w:t>
      </w:r>
    </w:p>
    <w:p w14:paraId="25B9F731" w14:textId="77777777" w:rsidR="001C2BBD" w:rsidRDefault="00266D6B" w:rsidP="003833D6">
      <w:pPr>
        <w:spacing w:line="300" w:lineRule="atLeast"/>
        <w:jc w:val="both"/>
        <w:rPr>
          <w:szCs w:val="18"/>
        </w:rPr>
      </w:pPr>
      <w:r>
        <w:rPr>
          <w:szCs w:val="18"/>
        </w:rPr>
        <w:t>The Toolkit doesn’t recommend any default output factors for sewage sludge incinerators, but quotes some US data that indicates that the emissions to air are minimal when the incinerators are fitted with scrubber systems. Th</w:t>
      </w:r>
      <w:r w:rsidR="00343B8E">
        <w:rPr>
          <w:szCs w:val="18"/>
        </w:rPr>
        <w:t xml:space="preserve">e results for </w:t>
      </w:r>
      <w:r>
        <w:rPr>
          <w:szCs w:val="18"/>
        </w:rPr>
        <w:t>the Dunedin plant</w:t>
      </w:r>
      <w:r w:rsidR="00343B8E">
        <w:rPr>
          <w:szCs w:val="18"/>
        </w:rPr>
        <w:t xml:space="preserve"> are totally consistent with this observation</w:t>
      </w:r>
      <w:r>
        <w:rPr>
          <w:szCs w:val="18"/>
        </w:rPr>
        <w:t xml:space="preserve">, and it has been assumed that all of the mercury </w:t>
      </w:r>
      <w:r w:rsidR="00343B8E">
        <w:rPr>
          <w:szCs w:val="18"/>
        </w:rPr>
        <w:t xml:space="preserve">will be </w:t>
      </w:r>
      <w:r>
        <w:rPr>
          <w:szCs w:val="18"/>
        </w:rPr>
        <w:t xml:space="preserve">discharged via solid wastes, either in scrubber residues or in waste bark removed from the </w:t>
      </w:r>
      <w:proofErr w:type="spellStart"/>
      <w:r>
        <w:rPr>
          <w:szCs w:val="18"/>
        </w:rPr>
        <w:t>biofilter</w:t>
      </w:r>
      <w:proofErr w:type="spellEnd"/>
      <w:r>
        <w:rPr>
          <w:szCs w:val="18"/>
        </w:rPr>
        <w:t>.</w:t>
      </w:r>
    </w:p>
    <w:p w14:paraId="6A4CCAEB" w14:textId="77777777" w:rsidR="00661AAE" w:rsidRPr="00BE17CF" w:rsidRDefault="00661AAE" w:rsidP="00661AAE">
      <w:pPr>
        <w:tabs>
          <w:tab w:val="left" w:pos="2760"/>
        </w:tabs>
        <w:spacing w:before="120" w:line="300" w:lineRule="atLeast"/>
        <w:jc w:val="both"/>
        <w:rPr>
          <w:rFonts w:ascii="Arial" w:hAnsi="Arial" w:cs="Arial"/>
          <w:b/>
          <w:szCs w:val="18"/>
        </w:rPr>
      </w:pPr>
      <w:r w:rsidRPr="00BE17CF">
        <w:rPr>
          <w:rFonts w:ascii="Arial" w:hAnsi="Arial" w:cs="Arial"/>
          <w:b/>
          <w:szCs w:val="18"/>
        </w:rPr>
        <w:t>Certainty assessment</w:t>
      </w:r>
    </w:p>
    <w:p w14:paraId="1F119B73" w14:textId="77777777" w:rsidR="00661AAE" w:rsidRDefault="00661AAE" w:rsidP="00661AAE">
      <w:pPr>
        <w:tabs>
          <w:tab w:val="left" w:pos="1701"/>
        </w:tabs>
        <w:spacing w:line="300" w:lineRule="atLeast"/>
        <w:jc w:val="both"/>
        <w:rPr>
          <w:szCs w:val="18"/>
        </w:rPr>
      </w:pPr>
      <w:r>
        <w:rPr>
          <w:szCs w:val="18"/>
        </w:rPr>
        <w:t xml:space="preserve">Activity data: </w:t>
      </w:r>
      <w:r>
        <w:rPr>
          <w:szCs w:val="18"/>
        </w:rPr>
        <w:tab/>
        <w:t>MEDIUM (because it was an operator estimate)</w:t>
      </w:r>
    </w:p>
    <w:p w14:paraId="01854AD8" w14:textId="77777777" w:rsidR="00661AAE" w:rsidRDefault="00661AAE" w:rsidP="00661AAE">
      <w:pPr>
        <w:tabs>
          <w:tab w:val="left" w:pos="1701"/>
        </w:tabs>
        <w:spacing w:line="300" w:lineRule="atLeast"/>
        <w:jc w:val="both"/>
        <w:rPr>
          <w:szCs w:val="18"/>
        </w:rPr>
      </w:pPr>
      <w:r>
        <w:rPr>
          <w:szCs w:val="18"/>
        </w:rPr>
        <w:t xml:space="preserve">Input estimates: </w:t>
      </w:r>
      <w:r>
        <w:rPr>
          <w:szCs w:val="18"/>
        </w:rPr>
        <w:tab/>
      </w:r>
      <w:r w:rsidR="00F211F7">
        <w:rPr>
          <w:szCs w:val="18"/>
        </w:rPr>
        <w:t>MEDIUM</w:t>
      </w:r>
      <w:r>
        <w:rPr>
          <w:szCs w:val="18"/>
        </w:rPr>
        <w:t xml:space="preserve"> (</w:t>
      </w:r>
      <w:r w:rsidRPr="00944DCC">
        <w:rPr>
          <w:szCs w:val="18"/>
        </w:rPr>
        <w:t xml:space="preserve">because </w:t>
      </w:r>
      <w:r>
        <w:rPr>
          <w:szCs w:val="18"/>
        </w:rPr>
        <w:t xml:space="preserve">it was based on </w:t>
      </w:r>
      <w:r w:rsidR="00F211F7">
        <w:rPr>
          <w:szCs w:val="18"/>
        </w:rPr>
        <w:t xml:space="preserve">previous data for </w:t>
      </w:r>
      <w:proofErr w:type="spellStart"/>
      <w:r w:rsidR="00F211F7">
        <w:rPr>
          <w:szCs w:val="18"/>
        </w:rPr>
        <w:t>biosolids</w:t>
      </w:r>
      <w:proofErr w:type="spellEnd"/>
      <w:r w:rsidR="00F211F7">
        <w:rPr>
          <w:szCs w:val="18"/>
        </w:rPr>
        <w:t xml:space="preserve"> composition</w:t>
      </w:r>
      <w:r>
        <w:rPr>
          <w:szCs w:val="18"/>
        </w:rPr>
        <w:t>)</w:t>
      </w:r>
    </w:p>
    <w:p w14:paraId="7194FF8E" w14:textId="77777777" w:rsidR="00661AAE" w:rsidRPr="0028681C" w:rsidRDefault="00661AAE" w:rsidP="00661AAE">
      <w:pPr>
        <w:tabs>
          <w:tab w:val="left" w:pos="1701"/>
        </w:tabs>
        <w:spacing w:line="300" w:lineRule="atLeast"/>
        <w:jc w:val="both"/>
        <w:rPr>
          <w:szCs w:val="18"/>
        </w:rPr>
      </w:pPr>
      <w:r>
        <w:rPr>
          <w:szCs w:val="18"/>
        </w:rPr>
        <w:lastRenderedPageBreak/>
        <w:t xml:space="preserve">Output estimates: </w:t>
      </w:r>
      <w:r>
        <w:rPr>
          <w:szCs w:val="18"/>
        </w:rPr>
        <w:tab/>
        <w:t>LOW (</w:t>
      </w:r>
      <w:r w:rsidRPr="00944DCC">
        <w:rPr>
          <w:szCs w:val="18"/>
        </w:rPr>
        <w:t xml:space="preserve">because the </w:t>
      </w:r>
      <w:r>
        <w:rPr>
          <w:szCs w:val="18"/>
        </w:rPr>
        <w:t xml:space="preserve">output distribution was based on </w:t>
      </w:r>
      <w:r w:rsidR="00F211F7">
        <w:rPr>
          <w:szCs w:val="18"/>
        </w:rPr>
        <w:t>indicative US information</w:t>
      </w:r>
      <w:r>
        <w:rPr>
          <w:szCs w:val="18"/>
        </w:rPr>
        <w:t>).</w:t>
      </w:r>
    </w:p>
    <w:p w14:paraId="7C1CE88A" w14:textId="77777777" w:rsidR="00AB6D27" w:rsidRDefault="00AB6D27" w:rsidP="00AB6D27">
      <w:pPr>
        <w:pStyle w:val="Heading2"/>
      </w:pPr>
      <w:bookmarkStart w:id="147" w:name="_Toc484949618"/>
      <w:r>
        <w:t>Informal incineration</w:t>
      </w:r>
      <w:bookmarkEnd w:id="147"/>
    </w:p>
    <w:p w14:paraId="7C11E88C" w14:textId="5DB302D8" w:rsidR="00AB6D27" w:rsidRDefault="00A85FB4" w:rsidP="003833D6">
      <w:pPr>
        <w:spacing w:line="300" w:lineRule="atLeast"/>
        <w:jc w:val="both"/>
        <w:rPr>
          <w:szCs w:val="18"/>
        </w:rPr>
      </w:pPr>
      <w:r>
        <w:rPr>
          <w:szCs w:val="18"/>
        </w:rPr>
        <w:t>This Toolkit category covers unregulated waste disposal practices such as b</w:t>
      </w:r>
      <w:r w:rsidR="00AB6D27">
        <w:rPr>
          <w:szCs w:val="18"/>
        </w:rPr>
        <w:t xml:space="preserve">ackyard </w:t>
      </w:r>
      <w:r>
        <w:rPr>
          <w:szCs w:val="18"/>
        </w:rPr>
        <w:t xml:space="preserve">rubbish </w:t>
      </w:r>
      <w:r w:rsidR="00AB6D27">
        <w:rPr>
          <w:szCs w:val="18"/>
        </w:rPr>
        <w:t>burning</w:t>
      </w:r>
      <w:r>
        <w:rPr>
          <w:szCs w:val="18"/>
        </w:rPr>
        <w:t xml:space="preserve">. </w:t>
      </w:r>
      <w:r w:rsidR="003970B7">
        <w:rPr>
          <w:szCs w:val="18"/>
        </w:rPr>
        <w:t>T</w:t>
      </w:r>
      <w:r w:rsidR="00F133D4">
        <w:rPr>
          <w:szCs w:val="18"/>
        </w:rPr>
        <w:t xml:space="preserve">he </w:t>
      </w:r>
      <w:r w:rsidR="003970B7">
        <w:rPr>
          <w:szCs w:val="18"/>
        </w:rPr>
        <w:t xml:space="preserve">estimates for this source given in the </w:t>
      </w:r>
      <w:r w:rsidR="00F133D4">
        <w:rPr>
          <w:szCs w:val="18"/>
        </w:rPr>
        <w:t xml:space="preserve">2012 Inventory Report </w:t>
      </w:r>
      <w:r w:rsidR="003970B7">
        <w:rPr>
          <w:szCs w:val="18"/>
        </w:rPr>
        <w:t>were based on data taken from</w:t>
      </w:r>
      <w:r w:rsidR="00F133D4">
        <w:rPr>
          <w:szCs w:val="18"/>
        </w:rPr>
        <w:t xml:space="preserve"> t</w:t>
      </w:r>
      <w:r>
        <w:rPr>
          <w:szCs w:val="18"/>
        </w:rPr>
        <w:t xml:space="preserve">he </w:t>
      </w:r>
      <w:r w:rsidR="00F133D4">
        <w:rPr>
          <w:szCs w:val="18"/>
        </w:rPr>
        <w:t xml:space="preserve">New Zealand </w:t>
      </w:r>
      <w:r>
        <w:rPr>
          <w:szCs w:val="18"/>
        </w:rPr>
        <w:t>Dioxin Inventory (</w:t>
      </w:r>
      <w:proofErr w:type="spellStart"/>
      <w:r w:rsidR="00C55B14">
        <w:rPr>
          <w:szCs w:val="18"/>
        </w:rPr>
        <w:t>MfE</w:t>
      </w:r>
      <w:proofErr w:type="spellEnd"/>
      <w:r w:rsidR="00C55B14">
        <w:rPr>
          <w:szCs w:val="18"/>
        </w:rPr>
        <w:t>, 2011</w:t>
      </w:r>
      <w:r>
        <w:rPr>
          <w:szCs w:val="18"/>
        </w:rPr>
        <w:t xml:space="preserve">) </w:t>
      </w:r>
      <w:r w:rsidR="003970B7">
        <w:rPr>
          <w:szCs w:val="18"/>
        </w:rPr>
        <w:t xml:space="preserve">which </w:t>
      </w:r>
      <w:r>
        <w:rPr>
          <w:szCs w:val="18"/>
        </w:rPr>
        <w:t xml:space="preserve">estimated that the quantity of domestic wastes burned annually in New Zealand, in 2008, was </w:t>
      </w:r>
      <w:proofErr w:type="gramStart"/>
      <w:r>
        <w:rPr>
          <w:szCs w:val="18"/>
        </w:rPr>
        <w:t>about 18,000 tonnes/year</w:t>
      </w:r>
      <w:proofErr w:type="gramEnd"/>
      <w:r>
        <w:rPr>
          <w:szCs w:val="18"/>
        </w:rPr>
        <w:t xml:space="preserve">. </w:t>
      </w:r>
      <w:r w:rsidR="00F133D4">
        <w:rPr>
          <w:szCs w:val="18"/>
        </w:rPr>
        <w:t>There wa</w:t>
      </w:r>
      <w:r w:rsidR="002965FF">
        <w:rPr>
          <w:szCs w:val="18"/>
        </w:rPr>
        <w:t>s no data available on the mercury content of New Zealand municipal solid wastes, but the Toolkit recommend</w:t>
      </w:r>
      <w:r w:rsidR="00F133D4">
        <w:rPr>
          <w:szCs w:val="18"/>
        </w:rPr>
        <w:t>ed</w:t>
      </w:r>
      <w:r w:rsidR="002965FF">
        <w:rPr>
          <w:szCs w:val="18"/>
        </w:rPr>
        <w:t xml:space="preserve"> default factors of 1 – 10 g/tonne. Applying this to the a</w:t>
      </w:r>
      <w:r w:rsidR="00F133D4">
        <w:rPr>
          <w:szCs w:val="18"/>
        </w:rPr>
        <w:t>nnual waste quantities indicated</w:t>
      </w:r>
      <w:r w:rsidR="002965FF">
        <w:rPr>
          <w:szCs w:val="18"/>
        </w:rPr>
        <w:t xml:space="preserve"> an annual </w:t>
      </w:r>
      <w:r w:rsidR="007748A4">
        <w:rPr>
          <w:szCs w:val="18"/>
        </w:rPr>
        <w:t xml:space="preserve">mercury </w:t>
      </w:r>
      <w:r w:rsidR="002965FF">
        <w:rPr>
          <w:szCs w:val="18"/>
        </w:rPr>
        <w:t xml:space="preserve">input of 18 - 180 kg/yr. However </w:t>
      </w:r>
      <w:r w:rsidR="00F133D4">
        <w:rPr>
          <w:szCs w:val="18"/>
        </w:rPr>
        <w:t xml:space="preserve">it was expected that </w:t>
      </w:r>
      <w:r w:rsidR="002965FF">
        <w:rPr>
          <w:szCs w:val="18"/>
        </w:rPr>
        <w:t xml:space="preserve">the inputs </w:t>
      </w:r>
      <w:r w:rsidR="00F133D4">
        <w:rPr>
          <w:szCs w:val="18"/>
        </w:rPr>
        <w:t>were</w:t>
      </w:r>
      <w:r w:rsidR="002965FF">
        <w:rPr>
          <w:szCs w:val="18"/>
        </w:rPr>
        <w:t xml:space="preserve"> more likely to be at the lower end of this range because much </w:t>
      </w:r>
      <w:r w:rsidR="007748A4">
        <w:rPr>
          <w:szCs w:val="18"/>
        </w:rPr>
        <w:t xml:space="preserve">of the waste burned in </w:t>
      </w:r>
      <w:r w:rsidR="00B06DB8">
        <w:rPr>
          <w:szCs w:val="18"/>
        </w:rPr>
        <w:t xml:space="preserve">domestic </w:t>
      </w:r>
      <w:r w:rsidR="007748A4">
        <w:rPr>
          <w:szCs w:val="18"/>
        </w:rPr>
        <w:t xml:space="preserve">rubbish fires is unlikely to be contaminated with mercury. For the output calculations, it </w:t>
      </w:r>
      <w:r w:rsidR="00F133D4">
        <w:rPr>
          <w:szCs w:val="18"/>
        </w:rPr>
        <w:t>was</w:t>
      </w:r>
      <w:r w:rsidR="007748A4">
        <w:rPr>
          <w:szCs w:val="18"/>
        </w:rPr>
        <w:t xml:space="preserve"> assu</w:t>
      </w:r>
      <w:r w:rsidR="005905F5">
        <w:rPr>
          <w:szCs w:val="18"/>
        </w:rPr>
        <w:t>med that all of the mercury would</w:t>
      </w:r>
      <w:r w:rsidR="007748A4">
        <w:rPr>
          <w:szCs w:val="18"/>
        </w:rPr>
        <w:t xml:space="preserve"> be discharged to air.</w:t>
      </w:r>
    </w:p>
    <w:p w14:paraId="56132AC9" w14:textId="77777777" w:rsidR="00F133D4" w:rsidRDefault="00F133D4" w:rsidP="003833D6">
      <w:pPr>
        <w:spacing w:line="300" w:lineRule="atLeast"/>
        <w:jc w:val="both"/>
        <w:rPr>
          <w:szCs w:val="18"/>
        </w:rPr>
      </w:pPr>
      <w:r>
        <w:rPr>
          <w:szCs w:val="18"/>
        </w:rPr>
        <w:t>There is no significant new information available on domestic waste burning in New Zealand, so the 2012 estimates will simply be carried over for 2016.</w:t>
      </w:r>
    </w:p>
    <w:p w14:paraId="385D3876" w14:textId="77777777" w:rsidR="007748A4" w:rsidRPr="00BE17CF" w:rsidRDefault="007748A4" w:rsidP="007748A4">
      <w:pPr>
        <w:tabs>
          <w:tab w:val="left" w:pos="2760"/>
        </w:tabs>
        <w:spacing w:before="120" w:line="300" w:lineRule="atLeast"/>
        <w:jc w:val="both"/>
        <w:rPr>
          <w:rFonts w:ascii="Arial" w:hAnsi="Arial" w:cs="Arial"/>
          <w:b/>
          <w:szCs w:val="18"/>
        </w:rPr>
      </w:pPr>
      <w:r w:rsidRPr="00BE17CF">
        <w:rPr>
          <w:rFonts w:ascii="Arial" w:hAnsi="Arial" w:cs="Arial"/>
          <w:b/>
          <w:szCs w:val="18"/>
        </w:rPr>
        <w:t>Certainty assessment</w:t>
      </w:r>
    </w:p>
    <w:p w14:paraId="6B4BDFBB" w14:textId="77777777" w:rsidR="007748A4" w:rsidRDefault="007748A4" w:rsidP="007748A4">
      <w:pPr>
        <w:tabs>
          <w:tab w:val="left" w:pos="1701"/>
        </w:tabs>
        <w:spacing w:line="300" w:lineRule="atLeast"/>
        <w:jc w:val="both"/>
        <w:rPr>
          <w:szCs w:val="18"/>
        </w:rPr>
      </w:pPr>
      <w:r>
        <w:rPr>
          <w:szCs w:val="18"/>
        </w:rPr>
        <w:t xml:space="preserve">Activity data: </w:t>
      </w:r>
      <w:r>
        <w:rPr>
          <w:szCs w:val="18"/>
        </w:rPr>
        <w:tab/>
        <w:t xml:space="preserve">LOW (because it was based on a limited amount of </w:t>
      </w:r>
      <w:r w:rsidR="00320CD2">
        <w:rPr>
          <w:szCs w:val="18"/>
        </w:rPr>
        <w:t>published</w:t>
      </w:r>
      <w:r>
        <w:rPr>
          <w:szCs w:val="18"/>
        </w:rPr>
        <w:t xml:space="preserve"> survey data)</w:t>
      </w:r>
    </w:p>
    <w:p w14:paraId="58D2F31B" w14:textId="77777777" w:rsidR="007748A4" w:rsidRDefault="007748A4" w:rsidP="007748A4">
      <w:pPr>
        <w:tabs>
          <w:tab w:val="left" w:pos="1701"/>
        </w:tabs>
        <w:spacing w:line="300" w:lineRule="atLeast"/>
        <w:jc w:val="both"/>
        <w:rPr>
          <w:szCs w:val="18"/>
        </w:rPr>
      </w:pPr>
      <w:r>
        <w:rPr>
          <w:szCs w:val="18"/>
        </w:rPr>
        <w:t xml:space="preserve">Input estimates: </w:t>
      </w:r>
      <w:r>
        <w:rPr>
          <w:szCs w:val="18"/>
        </w:rPr>
        <w:tab/>
        <w:t>LOW (</w:t>
      </w:r>
      <w:r w:rsidRPr="00944DCC">
        <w:rPr>
          <w:szCs w:val="18"/>
        </w:rPr>
        <w:t xml:space="preserve">because </w:t>
      </w:r>
      <w:r>
        <w:rPr>
          <w:szCs w:val="18"/>
        </w:rPr>
        <w:t>it was based on the default Toolkit factors)</w:t>
      </w:r>
    </w:p>
    <w:p w14:paraId="2FC53B7C" w14:textId="77777777" w:rsidR="007748A4" w:rsidRPr="0028681C" w:rsidRDefault="007748A4" w:rsidP="007748A4">
      <w:pPr>
        <w:tabs>
          <w:tab w:val="left" w:pos="1701"/>
        </w:tabs>
        <w:spacing w:line="300" w:lineRule="atLeast"/>
        <w:jc w:val="both"/>
        <w:rPr>
          <w:szCs w:val="18"/>
        </w:rPr>
      </w:pPr>
      <w:r>
        <w:rPr>
          <w:szCs w:val="18"/>
        </w:rPr>
        <w:t xml:space="preserve">Output estimates: </w:t>
      </w:r>
      <w:r>
        <w:rPr>
          <w:szCs w:val="18"/>
        </w:rPr>
        <w:tab/>
        <w:t>LOW (</w:t>
      </w:r>
      <w:r w:rsidRPr="00944DCC">
        <w:rPr>
          <w:szCs w:val="18"/>
        </w:rPr>
        <w:t xml:space="preserve">because the </w:t>
      </w:r>
      <w:r>
        <w:rPr>
          <w:szCs w:val="18"/>
        </w:rPr>
        <w:t>output distribution was assumed).</w:t>
      </w:r>
    </w:p>
    <w:p w14:paraId="3C87D45F" w14:textId="77777777" w:rsidR="00AB6D27" w:rsidRPr="003970B7" w:rsidRDefault="00AB6D27" w:rsidP="00AB6D27">
      <w:pPr>
        <w:pStyle w:val="Heading2"/>
      </w:pPr>
      <w:bookmarkStart w:id="148" w:name="_Toc484949619"/>
      <w:r w:rsidRPr="003970B7">
        <w:t>Other incineration</w:t>
      </w:r>
      <w:bookmarkEnd w:id="148"/>
    </w:p>
    <w:p w14:paraId="41EB0F90" w14:textId="77777777" w:rsidR="00343B8E" w:rsidRPr="003970B7" w:rsidRDefault="00343B8E" w:rsidP="003833D6">
      <w:pPr>
        <w:spacing w:line="300" w:lineRule="atLeast"/>
        <w:jc w:val="both"/>
        <w:rPr>
          <w:szCs w:val="18"/>
        </w:rPr>
      </w:pPr>
      <w:r w:rsidRPr="003970B7">
        <w:rPr>
          <w:szCs w:val="18"/>
        </w:rPr>
        <w:t>(Note: this is not a Toolkit category, but has been added to accommodate several other New Zealand incinerators).</w:t>
      </w:r>
    </w:p>
    <w:p w14:paraId="71C0D2FD" w14:textId="69BFA827" w:rsidR="00AB6D27" w:rsidRPr="003970B7" w:rsidRDefault="00B06DB8" w:rsidP="003833D6">
      <w:pPr>
        <w:spacing w:line="300" w:lineRule="atLeast"/>
        <w:jc w:val="both"/>
        <w:rPr>
          <w:szCs w:val="18"/>
        </w:rPr>
      </w:pPr>
      <w:r w:rsidRPr="003970B7">
        <w:rPr>
          <w:szCs w:val="18"/>
        </w:rPr>
        <w:t>The Dioxin Inventory (</w:t>
      </w:r>
      <w:proofErr w:type="spellStart"/>
      <w:r w:rsidR="00C55B14">
        <w:rPr>
          <w:szCs w:val="18"/>
        </w:rPr>
        <w:t>MfE</w:t>
      </w:r>
      <w:proofErr w:type="spellEnd"/>
      <w:r w:rsidR="00C55B14">
        <w:rPr>
          <w:szCs w:val="18"/>
        </w:rPr>
        <w:t>, 2011</w:t>
      </w:r>
      <w:r w:rsidRPr="003970B7">
        <w:rPr>
          <w:szCs w:val="18"/>
        </w:rPr>
        <w:t xml:space="preserve">) lists several other incineration sources in New Zealand, including 71 school incinerators, </w:t>
      </w:r>
      <w:r w:rsidR="00D1700F" w:rsidRPr="003970B7">
        <w:rPr>
          <w:szCs w:val="18"/>
        </w:rPr>
        <w:t xml:space="preserve">a quarantine incinerator, </w:t>
      </w:r>
      <w:r w:rsidRPr="003970B7">
        <w:rPr>
          <w:szCs w:val="18"/>
        </w:rPr>
        <w:t xml:space="preserve">a single document incinerator, and 13 pet incinerators. </w:t>
      </w:r>
      <w:r w:rsidR="00343B8E" w:rsidRPr="003970B7">
        <w:rPr>
          <w:szCs w:val="18"/>
        </w:rPr>
        <w:t xml:space="preserve">However, the document incinerator has since been shut down. </w:t>
      </w:r>
      <w:r w:rsidRPr="003970B7">
        <w:rPr>
          <w:szCs w:val="18"/>
        </w:rPr>
        <w:t xml:space="preserve">The estimated waste throughput for the school incinerators was </w:t>
      </w:r>
      <w:proofErr w:type="gramStart"/>
      <w:r w:rsidRPr="003970B7">
        <w:rPr>
          <w:szCs w:val="18"/>
        </w:rPr>
        <w:t>only 70 tonnes/year, in total,</w:t>
      </w:r>
      <w:proofErr w:type="gramEnd"/>
      <w:r w:rsidRPr="003970B7">
        <w:rPr>
          <w:szCs w:val="18"/>
        </w:rPr>
        <w:t xml:space="preserve"> and the </w:t>
      </w:r>
      <w:r w:rsidR="00D1700F" w:rsidRPr="003970B7">
        <w:rPr>
          <w:szCs w:val="18"/>
        </w:rPr>
        <w:t xml:space="preserve">quarantine </w:t>
      </w:r>
      <w:r w:rsidRPr="003970B7">
        <w:rPr>
          <w:szCs w:val="18"/>
        </w:rPr>
        <w:t>incinerator throughput was 25 tonnes/year</w:t>
      </w:r>
      <w:r w:rsidR="00D1700F" w:rsidRPr="003970B7">
        <w:rPr>
          <w:szCs w:val="18"/>
        </w:rPr>
        <w:t>, respectively</w:t>
      </w:r>
      <w:r w:rsidRPr="003970B7">
        <w:rPr>
          <w:szCs w:val="18"/>
        </w:rPr>
        <w:t xml:space="preserve">. The wastes burned in these units would have a similar composition to that burned in backyard rubbish fires, and would only add a further 0.5% to the estimated mercury inputs. Therefore, these sources </w:t>
      </w:r>
      <w:r w:rsidR="003970B7">
        <w:rPr>
          <w:szCs w:val="18"/>
        </w:rPr>
        <w:t>have</w:t>
      </w:r>
      <w:r w:rsidRPr="003970B7">
        <w:rPr>
          <w:szCs w:val="18"/>
        </w:rPr>
        <w:t xml:space="preserve"> simply be</w:t>
      </w:r>
      <w:r w:rsidR="003970B7">
        <w:rPr>
          <w:szCs w:val="18"/>
        </w:rPr>
        <w:t>en</w:t>
      </w:r>
      <w:r w:rsidRPr="003970B7">
        <w:rPr>
          <w:szCs w:val="18"/>
        </w:rPr>
        <w:t xml:space="preserve"> added to the total informal waste incineration category.</w:t>
      </w:r>
    </w:p>
    <w:p w14:paraId="0D6B1F49" w14:textId="77777777" w:rsidR="00AB6D27" w:rsidRPr="003970B7" w:rsidRDefault="002B4B43" w:rsidP="003833D6">
      <w:pPr>
        <w:spacing w:line="300" w:lineRule="atLeast"/>
        <w:jc w:val="both"/>
        <w:rPr>
          <w:szCs w:val="18"/>
        </w:rPr>
      </w:pPr>
      <w:r w:rsidRPr="003970B7">
        <w:rPr>
          <w:szCs w:val="18"/>
        </w:rPr>
        <w:t xml:space="preserve">The total estimated throughput for the pet cremators was </w:t>
      </w:r>
      <w:proofErr w:type="gramStart"/>
      <w:r w:rsidRPr="003970B7">
        <w:rPr>
          <w:szCs w:val="18"/>
        </w:rPr>
        <w:t>about 260 tonnes/year,</w:t>
      </w:r>
      <w:proofErr w:type="gramEnd"/>
      <w:r w:rsidRPr="003970B7">
        <w:rPr>
          <w:szCs w:val="18"/>
        </w:rPr>
        <w:t xml:space="preserve"> in 2008. </w:t>
      </w:r>
      <w:r w:rsidR="00BA1534">
        <w:rPr>
          <w:szCs w:val="18"/>
        </w:rPr>
        <w:t>This figure may have increased since then but there is no more recent data available. The pet cremators</w:t>
      </w:r>
      <w:r w:rsidRPr="003970B7">
        <w:rPr>
          <w:szCs w:val="18"/>
        </w:rPr>
        <w:t xml:space="preserve"> are similar in design to crematoria and can be assessed using the same approach as described in section 12.1</w:t>
      </w:r>
      <w:r w:rsidR="00866EEE" w:rsidRPr="003970B7">
        <w:rPr>
          <w:szCs w:val="18"/>
        </w:rPr>
        <w:t xml:space="preserve">, but with adjustment for </w:t>
      </w:r>
      <w:proofErr w:type="gramStart"/>
      <w:r w:rsidR="00866EEE" w:rsidRPr="003970B7">
        <w:rPr>
          <w:szCs w:val="18"/>
        </w:rPr>
        <w:t>a lower</w:t>
      </w:r>
      <w:proofErr w:type="gramEnd"/>
      <w:r w:rsidR="00866EEE" w:rsidRPr="003970B7">
        <w:rPr>
          <w:szCs w:val="18"/>
        </w:rPr>
        <w:t xml:space="preserve"> mercury content. </w:t>
      </w:r>
      <w:r w:rsidR="002F0CD0" w:rsidRPr="003970B7">
        <w:rPr>
          <w:szCs w:val="18"/>
        </w:rPr>
        <w:t>Some indication of the likely mercury level in pets and other animals is given by the following 2 publications. A</w:t>
      </w:r>
      <w:r w:rsidR="007257F3" w:rsidRPr="003970B7">
        <w:rPr>
          <w:szCs w:val="18"/>
        </w:rPr>
        <w:t xml:space="preserve"> study on </w:t>
      </w:r>
      <w:r w:rsidR="002F0CD0" w:rsidRPr="003970B7">
        <w:rPr>
          <w:szCs w:val="18"/>
        </w:rPr>
        <w:t xml:space="preserve">a range of healthy </w:t>
      </w:r>
      <w:r w:rsidR="007257F3" w:rsidRPr="003970B7">
        <w:rPr>
          <w:szCs w:val="18"/>
        </w:rPr>
        <w:t>US animals found no mercury in dog tissues at a detection limit of 0.0002 g/kilogram</w:t>
      </w:r>
      <w:r w:rsidR="009B353C" w:rsidRPr="003970B7">
        <w:rPr>
          <w:szCs w:val="18"/>
        </w:rPr>
        <w:t xml:space="preserve"> (</w:t>
      </w:r>
      <w:proofErr w:type="spellStart"/>
      <w:r w:rsidR="009B353C" w:rsidRPr="003970B7">
        <w:rPr>
          <w:szCs w:val="18"/>
        </w:rPr>
        <w:t>Penumarthy</w:t>
      </w:r>
      <w:proofErr w:type="spellEnd"/>
      <w:r w:rsidR="009B353C" w:rsidRPr="003970B7">
        <w:rPr>
          <w:szCs w:val="18"/>
        </w:rPr>
        <w:t xml:space="preserve"> </w:t>
      </w:r>
      <w:r w:rsidR="009B353C" w:rsidRPr="003970B7">
        <w:rPr>
          <w:i/>
          <w:szCs w:val="18"/>
        </w:rPr>
        <w:t>et al</w:t>
      </w:r>
      <w:r w:rsidR="009B353C" w:rsidRPr="003970B7">
        <w:rPr>
          <w:szCs w:val="18"/>
        </w:rPr>
        <w:t>, 1980)</w:t>
      </w:r>
      <w:r w:rsidR="002F0CD0" w:rsidRPr="003970B7">
        <w:rPr>
          <w:szCs w:val="18"/>
        </w:rPr>
        <w:t>.  However</w:t>
      </w:r>
      <w:r w:rsidR="007257F3" w:rsidRPr="003970B7">
        <w:rPr>
          <w:szCs w:val="18"/>
        </w:rPr>
        <w:t>, a report on a small dog suspected of suffering from mercury poisoning found concentrations of 0.003 mg/kg</w:t>
      </w:r>
      <w:r w:rsidR="009B353C" w:rsidRPr="003970B7">
        <w:rPr>
          <w:szCs w:val="18"/>
        </w:rPr>
        <w:t xml:space="preserve"> </w:t>
      </w:r>
      <w:r w:rsidR="00824912" w:rsidRPr="003970B7">
        <w:rPr>
          <w:szCs w:val="18"/>
        </w:rPr>
        <w:t>(Far</w:t>
      </w:r>
      <w:r w:rsidR="009109B3" w:rsidRPr="003970B7">
        <w:rPr>
          <w:szCs w:val="18"/>
        </w:rPr>
        <w:t xml:space="preserve">rar </w:t>
      </w:r>
      <w:r w:rsidR="009109B3" w:rsidRPr="003970B7">
        <w:rPr>
          <w:i/>
          <w:szCs w:val="18"/>
        </w:rPr>
        <w:t>et al</w:t>
      </w:r>
      <w:r w:rsidR="009109B3" w:rsidRPr="003970B7">
        <w:rPr>
          <w:szCs w:val="18"/>
        </w:rPr>
        <w:t>, 1994)</w:t>
      </w:r>
      <w:r w:rsidR="007257F3" w:rsidRPr="003970B7">
        <w:rPr>
          <w:szCs w:val="18"/>
        </w:rPr>
        <w:t xml:space="preserve">. On the basis of these studies, a mercury concentration of 0.001 g/kg has been used for the input estimates, to give an annual </w:t>
      </w:r>
      <w:r w:rsidR="00866EEE" w:rsidRPr="003970B7">
        <w:rPr>
          <w:szCs w:val="18"/>
        </w:rPr>
        <w:t>mercury input of 0.</w:t>
      </w:r>
      <w:r w:rsidR="007257F3" w:rsidRPr="003970B7">
        <w:rPr>
          <w:szCs w:val="18"/>
        </w:rPr>
        <w:t>2</w:t>
      </w:r>
      <w:r w:rsidR="00866EEE" w:rsidRPr="003970B7">
        <w:rPr>
          <w:szCs w:val="18"/>
        </w:rPr>
        <w:t xml:space="preserve">6 </w:t>
      </w:r>
      <w:r w:rsidR="00320CD2" w:rsidRPr="003970B7">
        <w:rPr>
          <w:szCs w:val="18"/>
        </w:rPr>
        <w:t>kg/year.</w:t>
      </w:r>
      <w:r w:rsidR="00866EEE" w:rsidRPr="003970B7">
        <w:rPr>
          <w:szCs w:val="18"/>
        </w:rPr>
        <w:t xml:space="preserve"> </w:t>
      </w:r>
      <w:r w:rsidR="00320CD2" w:rsidRPr="003970B7">
        <w:rPr>
          <w:szCs w:val="18"/>
        </w:rPr>
        <w:t>It has been assumed that all of the mercury outputs will be released to air.</w:t>
      </w:r>
    </w:p>
    <w:p w14:paraId="619BF23C" w14:textId="77777777" w:rsidR="00320CD2" w:rsidRPr="003970B7" w:rsidRDefault="00320CD2" w:rsidP="00320CD2">
      <w:pPr>
        <w:tabs>
          <w:tab w:val="left" w:pos="2760"/>
        </w:tabs>
        <w:spacing w:before="120" w:line="300" w:lineRule="atLeast"/>
        <w:jc w:val="both"/>
        <w:rPr>
          <w:rFonts w:ascii="Arial" w:hAnsi="Arial" w:cs="Arial"/>
          <w:b/>
          <w:szCs w:val="18"/>
        </w:rPr>
      </w:pPr>
      <w:r w:rsidRPr="003970B7">
        <w:rPr>
          <w:rFonts w:ascii="Arial" w:hAnsi="Arial" w:cs="Arial"/>
          <w:b/>
          <w:szCs w:val="18"/>
        </w:rPr>
        <w:t>Certainty assessment</w:t>
      </w:r>
    </w:p>
    <w:p w14:paraId="36A8C2E9" w14:textId="77777777" w:rsidR="00320CD2" w:rsidRPr="003970B7" w:rsidRDefault="00320CD2" w:rsidP="00320CD2">
      <w:pPr>
        <w:tabs>
          <w:tab w:val="left" w:pos="1701"/>
        </w:tabs>
        <w:spacing w:line="300" w:lineRule="atLeast"/>
        <w:jc w:val="both"/>
        <w:rPr>
          <w:szCs w:val="18"/>
        </w:rPr>
      </w:pPr>
      <w:r w:rsidRPr="003970B7">
        <w:rPr>
          <w:szCs w:val="18"/>
        </w:rPr>
        <w:t xml:space="preserve">Activity data: </w:t>
      </w:r>
      <w:r w:rsidRPr="003970B7">
        <w:rPr>
          <w:szCs w:val="18"/>
        </w:rPr>
        <w:tab/>
        <w:t>LOW (because it was based on a limited amount of published source information)</w:t>
      </w:r>
    </w:p>
    <w:p w14:paraId="034A39B1" w14:textId="77777777" w:rsidR="00320CD2" w:rsidRPr="003970B7" w:rsidRDefault="00320CD2" w:rsidP="00320CD2">
      <w:pPr>
        <w:tabs>
          <w:tab w:val="left" w:pos="1701"/>
        </w:tabs>
        <w:spacing w:line="300" w:lineRule="atLeast"/>
        <w:jc w:val="both"/>
        <w:rPr>
          <w:szCs w:val="18"/>
        </w:rPr>
      </w:pPr>
      <w:r w:rsidRPr="003970B7">
        <w:rPr>
          <w:szCs w:val="18"/>
        </w:rPr>
        <w:t xml:space="preserve">Input estimates: </w:t>
      </w:r>
      <w:r w:rsidRPr="003970B7">
        <w:rPr>
          <w:szCs w:val="18"/>
        </w:rPr>
        <w:tab/>
        <w:t>LOW (because it was based on the default Toolkit factors for humans)</w:t>
      </w:r>
    </w:p>
    <w:p w14:paraId="5193F4FF" w14:textId="77777777" w:rsidR="00320CD2" w:rsidRPr="0028681C" w:rsidRDefault="00320CD2" w:rsidP="00320CD2">
      <w:pPr>
        <w:tabs>
          <w:tab w:val="left" w:pos="1701"/>
        </w:tabs>
        <w:spacing w:line="300" w:lineRule="atLeast"/>
        <w:jc w:val="both"/>
        <w:rPr>
          <w:szCs w:val="18"/>
        </w:rPr>
      </w:pPr>
      <w:r w:rsidRPr="003970B7">
        <w:rPr>
          <w:szCs w:val="18"/>
        </w:rPr>
        <w:lastRenderedPageBreak/>
        <w:t xml:space="preserve">Output estimates: </w:t>
      </w:r>
      <w:r w:rsidRPr="003970B7">
        <w:rPr>
          <w:szCs w:val="18"/>
        </w:rPr>
        <w:tab/>
        <w:t>LOW (because the output distribution was assumed).</w:t>
      </w:r>
    </w:p>
    <w:p w14:paraId="342AAF3C" w14:textId="77777777" w:rsidR="00D14458" w:rsidRPr="00B136BC" w:rsidRDefault="00D14458" w:rsidP="00D14458">
      <w:pPr>
        <w:pStyle w:val="Heading2"/>
        <w:rPr>
          <w:rFonts w:eastAsia="Calibri"/>
        </w:rPr>
      </w:pPr>
      <w:bookmarkStart w:id="149" w:name="_Toc484949620"/>
      <w:r w:rsidRPr="00B136BC">
        <w:rPr>
          <w:rFonts w:eastAsia="Calibri"/>
        </w:rPr>
        <w:t xml:space="preserve">Summary for this category </w:t>
      </w:r>
      <w:r w:rsidR="007171D0">
        <w:rPr>
          <w:rFonts w:eastAsia="Calibri"/>
        </w:rPr>
        <w:t>for 2016</w:t>
      </w:r>
      <w:bookmarkEnd w:id="149"/>
    </w:p>
    <w:p w14:paraId="64915E0C" w14:textId="2987067E" w:rsidR="00D14458" w:rsidRDefault="00D14458" w:rsidP="00D14458">
      <w:pPr>
        <w:spacing w:line="300" w:lineRule="atLeast"/>
        <w:jc w:val="both"/>
        <w:rPr>
          <w:rFonts w:eastAsia="Calibri"/>
          <w:szCs w:val="22"/>
        </w:rPr>
      </w:pPr>
      <w:r>
        <w:rPr>
          <w:rFonts w:eastAsia="Calibri"/>
          <w:szCs w:val="22"/>
        </w:rPr>
        <w:t xml:space="preserve">The estimated inputs and outputs for waste incineration are summarised in </w:t>
      </w:r>
      <w:r w:rsidRPr="00254793">
        <w:rPr>
          <w:rFonts w:eastAsia="Calibri"/>
          <w:szCs w:val="22"/>
        </w:rPr>
        <w:fldChar w:fldCharType="begin"/>
      </w:r>
      <w:r w:rsidRPr="00254793">
        <w:rPr>
          <w:rFonts w:eastAsia="Calibri"/>
          <w:szCs w:val="22"/>
        </w:rPr>
        <w:instrText xml:space="preserve"> REF _Ref358559883 \h </w:instrText>
      </w:r>
      <w:r w:rsidR="00254793">
        <w:rPr>
          <w:rFonts w:eastAsia="Calibri"/>
          <w:szCs w:val="22"/>
        </w:rPr>
        <w:instrText xml:space="preserve"> \* MERGEFORMAT </w:instrText>
      </w:r>
      <w:r w:rsidRPr="00254793">
        <w:rPr>
          <w:rFonts w:eastAsia="Calibri"/>
          <w:szCs w:val="22"/>
        </w:rPr>
      </w:r>
      <w:r w:rsidRPr="00254793">
        <w:rPr>
          <w:rFonts w:eastAsia="Calibri"/>
          <w:szCs w:val="22"/>
        </w:rPr>
        <w:fldChar w:fldCharType="separate"/>
      </w:r>
      <w:r w:rsidR="00423FC9" w:rsidRPr="00423FC9">
        <w:t xml:space="preserve">Table </w:t>
      </w:r>
      <w:r w:rsidR="00423FC9" w:rsidRPr="00423FC9">
        <w:rPr>
          <w:noProof/>
        </w:rPr>
        <w:t>10</w:t>
      </w:r>
      <w:r w:rsidR="00423FC9" w:rsidRPr="00423FC9">
        <w:rPr>
          <w:noProof/>
        </w:rPr>
        <w:noBreakHyphen/>
        <w:t>2</w:t>
      </w:r>
      <w:r w:rsidRPr="00254793">
        <w:rPr>
          <w:rFonts w:eastAsia="Calibri"/>
          <w:szCs w:val="22"/>
        </w:rPr>
        <w:fldChar w:fldCharType="end"/>
      </w:r>
      <w:r>
        <w:rPr>
          <w:rFonts w:eastAsia="Calibri"/>
          <w:szCs w:val="22"/>
        </w:rPr>
        <w:t>.</w:t>
      </w:r>
    </w:p>
    <w:p w14:paraId="37D1D69D" w14:textId="77777777" w:rsidR="00D14458" w:rsidRPr="007901FE" w:rsidRDefault="00D14458" w:rsidP="00D14458">
      <w:pPr>
        <w:pStyle w:val="Caption"/>
        <w:spacing w:before="240"/>
        <w:rPr>
          <w:rFonts w:ascii="Arial" w:hAnsi="Arial" w:cs="Arial"/>
          <w:szCs w:val="18"/>
        </w:rPr>
      </w:pPr>
      <w:bookmarkStart w:id="150" w:name="_Ref358559883"/>
      <w:bookmarkStart w:id="151" w:name="_Toc484949671"/>
      <w:r w:rsidRPr="00FE6C76">
        <w:rPr>
          <w:rFonts w:ascii="Arial" w:hAnsi="Arial" w:cs="Arial"/>
        </w:rPr>
        <w:t xml:space="preserve">Table </w:t>
      </w:r>
      <w:r w:rsidR="00390C9F">
        <w:rPr>
          <w:rFonts w:ascii="Arial" w:hAnsi="Arial" w:cs="Arial"/>
        </w:rPr>
        <w:fldChar w:fldCharType="begin"/>
      </w:r>
      <w:r w:rsidR="00390C9F">
        <w:rPr>
          <w:rFonts w:ascii="Arial" w:hAnsi="Arial" w:cs="Arial"/>
        </w:rPr>
        <w:instrText xml:space="preserve"> STYLEREF 1 \s </w:instrText>
      </w:r>
      <w:r w:rsidR="00390C9F">
        <w:rPr>
          <w:rFonts w:ascii="Arial" w:hAnsi="Arial" w:cs="Arial"/>
        </w:rPr>
        <w:fldChar w:fldCharType="separate"/>
      </w:r>
      <w:r w:rsidR="00423FC9">
        <w:rPr>
          <w:rFonts w:ascii="Arial" w:hAnsi="Arial" w:cs="Arial"/>
          <w:noProof/>
        </w:rPr>
        <w:t>10</w:t>
      </w:r>
      <w:r w:rsidR="00390C9F">
        <w:rPr>
          <w:rFonts w:ascii="Arial" w:hAnsi="Arial" w:cs="Arial"/>
        </w:rPr>
        <w:fldChar w:fldCharType="end"/>
      </w:r>
      <w:r w:rsidR="00390C9F">
        <w:rPr>
          <w:rFonts w:ascii="Arial" w:hAnsi="Arial" w:cs="Arial"/>
        </w:rPr>
        <w:noBreakHyphen/>
      </w:r>
      <w:r w:rsidR="00390C9F">
        <w:rPr>
          <w:rFonts w:ascii="Arial" w:hAnsi="Arial" w:cs="Arial"/>
        </w:rPr>
        <w:fldChar w:fldCharType="begin"/>
      </w:r>
      <w:r w:rsidR="00390C9F">
        <w:rPr>
          <w:rFonts w:ascii="Arial" w:hAnsi="Arial" w:cs="Arial"/>
        </w:rPr>
        <w:instrText xml:space="preserve"> SEQ Table \* ARABIC \s 1 </w:instrText>
      </w:r>
      <w:r w:rsidR="00390C9F">
        <w:rPr>
          <w:rFonts w:ascii="Arial" w:hAnsi="Arial" w:cs="Arial"/>
        </w:rPr>
        <w:fldChar w:fldCharType="separate"/>
      </w:r>
      <w:r w:rsidR="00423FC9">
        <w:rPr>
          <w:rFonts w:ascii="Arial" w:hAnsi="Arial" w:cs="Arial"/>
          <w:noProof/>
        </w:rPr>
        <w:t>2</w:t>
      </w:r>
      <w:r w:rsidR="00390C9F">
        <w:rPr>
          <w:rFonts w:ascii="Arial" w:hAnsi="Arial" w:cs="Arial"/>
        </w:rPr>
        <w:fldChar w:fldCharType="end"/>
      </w:r>
      <w:bookmarkEnd w:id="150"/>
      <w:r w:rsidRPr="00FE6C76">
        <w:rPr>
          <w:rFonts w:ascii="Arial" w:hAnsi="Arial" w:cs="Arial"/>
        </w:rPr>
        <w:t>:</w:t>
      </w:r>
      <w:r w:rsidRPr="007901FE">
        <w:rPr>
          <w:rFonts w:ascii="Arial" w:hAnsi="Arial" w:cs="Arial"/>
        </w:rPr>
        <w:t xml:space="preserve"> Summary of inputs and o</w:t>
      </w:r>
      <w:r>
        <w:rPr>
          <w:rFonts w:ascii="Arial" w:hAnsi="Arial" w:cs="Arial"/>
        </w:rPr>
        <w:t>utputs for waste incineration</w:t>
      </w:r>
      <w:r w:rsidR="00F133D4">
        <w:rPr>
          <w:rFonts w:ascii="Arial" w:hAnsi="Arial" w:cs="Arial"/>
        </w:rPr>
        <w:t xml:space="preserve"> for 2016</w:t>
      </w:r>
      <w:bookmarkEnd w:id="151"/>
    </w:p>
    <w:tbl>
      <w:tblPr>
        <w:tblStyle w:val="TableGrid"/>
        <w:tblW w:w="9214" w:type="dxa"/>
        <w:tblInd w:w="108" w:type="dxa"/>
        <w:tblLayout w:type="fixed"/>
        <w:tblLook w:val="04A0" w:firstRow="1" w:lastRow="0" w:firstColumn="1" w:lastColumn="0" w:noHBand="0" w:noVBand="1"/>
      </w:tblPr>
      <w:tblGrid>
        <w:gridCol w:w="2410"/>
        <w:gridCol w:w="1701"/>
        <w:gridCol w:w="1701"/>
        <w:gridCol w:w="803"/>
        <w:gridCol w:w="803"/>
        <w:gridCol w:w="946"/>
        <w:gridCol w:w="850"/>
      </w:tblGrid>
      <w:tr w:rsidR="00D14458" w:rsidRPr="007901FE" w14:paraId="1CF979A1" w14:textId="77777777" w:rsidTr="009855EE">
        <w:tc>
          <w:tcPr>
            <w:tcW w:w="2410" w:type="dxa"/>
            <w:vMerge w:val="restart"/>
            <w:vAlign w:val="center"/>
          </w:tcPr>
          <w:p w14:paraId="0823203A" w14:textId="77777777" w:rsidR="00D14458" w:rsidRPr="004E3E02" w:rsidRDefault="00D14458" w:rsidP="00676490">
            <w:pPr>
              <w:spacing w:line="300" w:lineRule="atLeast"/>
              <w:rPr>
                <w:rFonts w:ascii="Arial" w:hAnsi="Arial" w:cs="Arial"/>
                <w:b/>
                <w:sz w:val="16"/>
                <w:szCs w:val="16"/>
              </w:rPr>
            </w:pPr>
            <w:r w:rsidRPr="004E3E02">
              <w:rPr>
                <w:rFonts w:ascii="Arial" w:hAnsi="Arial" w:cs="Arial"/>
                <w:b/>
                <w:sz w:val="16"/>
                <w:szCs w:val="16"/>
              </w:rPr>
              <w:t>Category</w:t>
            </w:r>
          </w:p>
        </w:tc>
        <w:tc>
          <w:tcPr>
            <w:tcW w:w="1701" w:type="dxa"/>
            <w:vMerge w:val="restart"/>
            <w:vAlign w:val="center"/>
          </w:tcPr>
          <w:p w14:paraId="469806B8" w14:textId="77777777" w:rsidR="00D14458" w:rsidRPr="004E3E02" w:rsidRDefault="00D14458" w:rsidP="00676490">
            <w:pPr>
              <w:spacing w:line="300" w:lineRule="atLeast"/>
              <w:jc w:val="center"/>
              <w:rPr>
                <w:rFonts w:ascii="Arial" w:hAnsi="Arial" w:cs="Arial"/>
                <w:b/>
                <w:sz w:val="16"/>
                <w:szCs w:val="16"/>
              </w:rPr>
            </w:pPr>
            <w:r w:rsidRPr="004E3E02">
              <w:rPr>
                <w:rFonts w:ascii="Arial" w:hAnsi="Arial" w:cs="Arial"/>
                <w:b/>
                <w:sz w:val="16"/>
                <w:szCs w:val="16"/>
              </w:rPr>
              <w:t>Mercury Inputs, kg/year</w:t>
            </w:r>
          </w:p>
        </w:tc>
        <w:tc>
          <w:tcPr>
            <w:tcW w:w="5103" w:type="dxa"/>
            <w:gridSpan w:val="5"/>
            <w:vAlign w:val="center"/>
          </w:tcPr>
          <w:p w14:paraId="51469CC8" w14:textId="77777777" w:rsidR="00D14458" w:rsidRPr="004E3E02" w:rsidRDefault="00D14458" w:rsidP="00676490">
            <w:pPr>
              <w:spacing w:line="300" w:lineRule="atLeast"/>
              <w:jc w:val="center"/>
              <w:rPr>
                <w:rFonts w:ascii="Arial" w:hAnsi="Arial" w:cs="Arial"/>
                <w:b/>
                <w:sz w:val="16"/>
                <w:szCs w:val="16"/>
              </w:rPr>
            </w:pPr>
            <w:r w:rsidRPr="004E3E02">
              <w:rPr>
                <w:rFonts w:ascii="Arial" w:hAnsi="Arial" w:cs="Arial"/>
                <w:b/>
                <w:sz w:val="16"/>
                <w:szCs w:val="16"/>
              </w:rPr>
              <w:t>Mercury Outputs, kg/</w:t>
            </w:r>
            <w:proofErr w:type="spellStart"/>
            <w:r w:rsidRPr="004E3E02">
              <w:rPr>
                <w:rFonts w:ascii="Arial" w:hAnsi="Arial" w:cs="Arial"/>
                <w:b/>
                <w:sz w:val="16"/>
                <w:szCs w:val="16"/>
              </w:rPr>
              <w:t>yr</w:t>
            </w:r>
            <w:proofErr w:type="spellEnd"/>
          </w:p>
        </w:tc>
      </w:tr>
      <w:tr w:rsidR="00D14458" w:rsidRPr="007901FE" w14:paraId="43858B54" w14:textId="77777777" w:rsidTr="00114338">
        <w:tc>
          <w:tcPr>
            <w:tcW w:w="2410" w:type="dxa"/>
            <w:vMerge/>
            <w:vAlign w:val="center"/>
          </w:tcPr>
          <w:p w14:paraId="29BBC837" w14:textId="77777777" w:rsidR="00D14458" w:rsidRPr="004E3E02" w:rsidRDefault="00D14458" w:rsidP="00676490">
            <w:pPr>
              <w:spacing w:line="300" w:lineRule="atLeast"/>
              <w:rPr>
                <w:rFonts w:ascii="Arial" w:hAnsi="Arial" w:cs="Arial"/>
                <w:b/>
                <w:sz w:val="16"/>
                <w:szCs w:val="16"/>
              </w:rPr>
            </w:pPr>
          </w:p>
        </w:tc>
        <w:tc>
          <w:tcPr>
            <w:tcW w:w="1701" w:type="dxa"/>
            <w:vMerge/>
          </w:tcPr>
          <w:p w14:paraId="23FCBEB3" w14:textId="77777777" w:rsidR="00D14458" w:rsidRPr="004E3E02" w:rsidRDefault="00D14458" w:rsidP="00676490">
            <w:pPr>
              <w:spacing w:line="300" w:lineRule="atLeast"/>
              <w:jc w:val="both"/>
              <w:rPr>
                <w:rFonts w:ascii="Arial" w:hAnsi="Arial" w:cs="Arial"/>
                <w:b/>
                <w:sz w:val="16"/>
                <w:szCs w:val="16"/>
              </w:rPr>
            </w:pPr>
          </w:p>
        </w:tc>
        <w:tc>
          <w:tcPr>
            <w:tcW w:w="1701" w:type="dxa"/>
            <w:vAlign w:val="center"/>
          </w:tcPr>
          <w:p w14:paraId="322C8EE7" w14:textId="77777777" w:rsidR="00D14458" w:rsidRPr="004E3E02" w:rsidRDefault="00D14458" w:rsidP="00676490">
            <w:pPr>
              <w:spacing w:line="300" w:lineRule="atLeast"/>
              <w:jc w:val="center"/>
              <w:rPr>
                <w:rFonts w:ascii="Arial" w:hAnsi="Arial" w:cs="Arial"/>
                <w:b/>
                <w:sz w:val="16"/>
                <w:szCs w:val="16"/>
              </w:rPr>
            </w:pPr>
            <w:r w:rsidRPr="004E3E02">
              <w:rPr>
                <w:rFonts w:ascii="Arial" w:hAnsi="Arial" w:cs="Arial"/>
                <w:b/>
                <w:sz w:val="16"/>
                <w:szCs w:val="16"/>
              </w:rPr>
              <w:t>Air</w:t>
            </w:r>
          </w:p>
        </w:tc>
        <w:tc>
          <w:tcPr>
            <w:tcW w:w="803" w:type="dxa"/>
            <w:vAlign w:val="center"/>
          </w:tcPr>
          <w:p w14:paraId="7272FE65" w14:textId="77777777" w:rsidR="00D14458" w:rsidRPr="004E3E02" w:rsidRDefault="00D14458" w:rsidP="00676490">
            <w:pPr>
              <w:spacing w:line="300" w:lineRule="atLeast"/>
              <w:jc w:val="center"/>
              <w:rPr>
                <w:rFonts w:ascii="Arial" w:hAnsi="Arial" w:cs="Arial"/>
                <w:b/>
                <w:sz w:val="16"/>
                <w:szCs w:val="16"/>
              </w:rPr>
            </w:pPr>
            <w:r w:rsidRPr="004E3E02">
              <w:rPr>
                <w:rFonts w:ascii="Arial" w:hAnsi="Arial" w:cs="Arial"/>
                <w:b/>
                <w:sz w:val="16"/>
                <w:szCs w:val="16"/>
              </w:rPr>
              <w:t>Water</w:t>
            </w:r>
          </w:p>
        </w:tc>
        <w:tc>
          <w:tcPr>
            <w:tcW w:w="803" w:type="dxa"/>
            <w:vAlign w:val="center"/>
          </w:tcPr>
          <w:p w14:paraId="409657A9" w14:textId="77777777" w:rsidR="00D14458" w:rsidRPr="004E3E02" w:rsidRDefault="00D14458" w:rsidP="00676490">
            <w:pPr>
              <w:spacing w:line="300" w:lineRule="atLeast"/>
              <w:jc w:val="center"/>
              <w:rPr>
                <w:rFonts w:ascii="Arial" w:hAnsi="Arial" w:cs="Arial"/>
                <w:b/>
                <w:sz w:val="16"/>
                <w:szCs w:val="16"/>
              </w:rPr>
            </w:pPr>
            <w:r w:rsidRPr="004E3E02">
              <w:rPr>
                <w:rFonts w:ascii="Arial" w:hAnsi="Arial" w:cs="Arial"/>
                <w:b/>
                <w:sz w:val="16"/>
                <w:szCs w:val="16"/>
              </w:rPr>
              <w:t>Land</w:t>
            </w:r>
          </w:p>
        </w:tc>
        <w:tc>
          <w:tcPr>
            <w:tcW w:w="946" w:type="dxa"/>
            <w:vAlign w:val="center"/>
          </w:tcPr>
          <w:p w14:paraId="62ADC8AE" w14:textId="77777777" w:rsidR="00D14458" w:rsidRPr="004E3E02" w:rsidRDefault="00D14458" w:rsidP="00676490">
            <w:pPr>
              <w:spacing w:line="300" w:lineRule="atLeast"/>
              <w:jc w:val="center"/>
              <w:rPr>
                <w:rFonts w:ascii="Arial" w:hAnsi="Arial" w:cs="Arial"/>
                <w:b/>
                <w:sz w:val="16"/>
                <w:szCs w:val="16"/>
              </w:rPr>
            </w:pPr>
            <w:r w:rsidRPr="004E3E02">
              <w:rPr>
                <w:rFonts w:ascii="Arial" w:hAnsi="Arial" w:cs="Arial"/>
                <w:b/>
                <w:sz w:val="16"/>
                <w:szCs w:val="16"/>
              </w:rPr>
              <w:t>Product</w:t>
            </w:r>
          </w:p>
        </w:tc>
        <w:tc>
          <w:tcPr>
            <w:tcW w:w="850" w:type="dxa"/>
            <w:vAlign w:val="center"/>
          </w:tcPr>
          <w:p w14:paraId="3FF8B6B1" w14:textId="77777777" w:rsidR="00D14458" w:rsidRPr="004E3E02" w:rsidRDefault="00D14458" w:rsidP="00676490">
            <w:pPr>
              <w:spacing w:line="300" w:lineRule="atLeast"/>
              <w:jc w:val="center"/>
              <w:rPr>
                <w:rFonts w:ascii="Arial" w:hAnsi="Arial" w:cs="Arial"/>
                <w:b/>
                <w:sz w:val="16"/>
                <w:szCs w:val="16"/>
              </w:rPr>
            </w:pPr>
            <w:r w:rsidRPr="004E3E02">
              <w:rPr>
                <w:rFonts w:ascii="Arial" w:hAnsi="Arial" w:cs="Arial"/>
                <w:b/>
                <w:sz w:val="16"/>
                <w:szCs w:val="16"/>
              </w:rPr>
              <w:t>Waste</w:t>
            </w:r>
          </w:p>
        </w:tc>
      </w:tr>
      <w:tr w:rsidR="00D14458" w:rsidRPr="007901FE" w14:paraId="463B7821" w14:textId="77777777" w:rsidTr="00114338">
        <w:tc>
          <w:tcPr>
            <w:tcW w:w="2410" w:type="dxa"/>
            <w:vAlign w:val="center"/>
          </w:tcPr>
          <w:p w14:paraId="753EE5FC" w14:textId="77777777" w:rsidR="00D14458" w:rsidRPr="004901F2" w:rsidRDefault="00D14458" w:rsidP="00676490">
            <w:pPr>
              <w:spacing w:line="300" w:lineRule="atLeast"/>
              <w:rPr>
                <w:rFonts w:ascii="Arial" w:hAnsi="Arial" w:cs="Arial"/>
                <w:sz w:val="16"/>
                <w:szCs w:val="16"/>
              </w:rPr>
            </w:pPr>
            <w:r>
              <w:rPr>
                <w:rFonts w:ascii="Arial" w:hAnsi="Arial" w:cs="Arial"/>
                <w:sz w:val="16"/>
                <w:szCs w:val="16"/>
              </w:rPr>
              <w:t>Municipal waste incineration</w:t>
            </w:r>
          </w:p>
        </w:tc>
        <w:tc>
          <w:tcPr>
            <w:tcW w:w="1701" w:type="dxa"/>
            <w:vAlign w:val="center"/>
          </w:tcPr>
          <w:p w14:paraId="0909F7E6" w14:textId="77777777" w:rsidR="00D14458" w:rsidRPr="004E3E02" w:rsidRDefault="00D14458" w:rsidP="00676490">
            <w:pPr>
              <w:spacing w:line="300" w:lineRule="atLeast"/>
              <w:jc w:val="center"/>
              <w:rPr>
                <w:rFonts w:ascii="Arial" w:hAnsi="Arial" w:cs="Arial"/>
                <w:sz w:val="16"/>
                <w:szCs w:val="16"/>
              </w:rPr>
            </w:pPr>
            <w:r>
              <w:rPr>
                <w:rFonts w:ascii="Arial" w:hAnsi="Arial" w:cs="Arial"/>
                <w:sz w:val="16"/>
                <w:szCs w:val="16"/>
              </w:rPr>
              <w:t>-</w:t>
            </w:r>
          </w:p>
        </w:tc>
        <w:tc>
          <w:tcPr>
            <w:tcW w:w="1701" w:type="dxa"/>
            <w:vAlign w:val="center"/>
          </w:tcPr>
          <w:p w14:paraId="5E77F610" w14:textId="77777777" w:rsidR="00D14458" w:rsidRPr="004E3E02" w:rsidRDefault="00D14458" w:rsidP="00676490">
            <w:pPr>
              <w:spacing w:line="300" w:lineRule="atLeast"/>
              <w:jc w:val="center"/>
              <w:rPr>
                <w:rFonts w:ascii="Arial" w:hAnsi="Arial" w:cs="Arial"/>
                <w:sz w:val="16"/>
                <w:szCs w:val="16"/>
              </w:rPr>
            </w:pPr>
            <w:r>
              <w:rPr>
                <w:rFonts w:ascii="Arial" w:hAnsi="Arial" w:cs="Arial"/>
                <w:sz w:val="16"/>
                <w:szCs w:val="16"/>
              </w:rPr>
              <w:t>-</w:t>
            </w:r>
          </w:p>
        </w:tc>
        <w:tc>
          <w:tcPr>
            <w:tcW w:w="803" w:type="dxa"/>
            <w:vAlign w:val="center"/>
          </w:tcPr>
          <w:p w14:paraId="3B27B6E7" w14:textId="77777777" w:rsidR="00D14458" w:rsidRPr="004E3E02" w:rsidRDefault="00D14458" w:rsidP="00676490">
            <w:pPr>
              <w:spacing w:line="300" w:lineRule="atLeast"/>
              <w:jc w:val="center"/>
              <w:rPr>
                <w:rFonts w:ascii="Arial" w:hAnsi="Arial" w:cs="Arial"/>
                <w:sz w:val="16"/>
                <w:szCs w:val="16"/>
              </w:rPr>
            </w:pPr>
            <w:r>
              <w:rPr>
                <w:rFonts w:ascii="Arial" w:hAnsi="Arial" w:cs="Arial"/>
                <w:sz w:val="16"/>
                <w:szCs w:val="16"/>
              </w:rPr>
              <w:t>-</w:t>
            </w:r>
          </w:p>
        </w:tc>
        <w:tc>
          <w:tcPr>
            <w:tcW w:w="803" w:type="dxa"/>
            <w:vAlign w:val="center"/>
          </w:tcPr>
          <w:p w14:paraId="7DA095C1" w14:textId="77777777" w:rsidR="00D14458" w:rsidRPr="004E3E02" w:rsidRDefault="00D14458" w:rsidP="00676490">
            <w:pPr>
              <w:spacing w:line="300" w:lineRule="atLeast"/>
              <w:jc w:val="center"/>
              <w:rPr>
                <w:rFonts w:ascii="Arial" w:hAnsi="Arial" w:cs="Arial"/>
                <w:sz w:val="16"/>
                <w:szCs w:val="16"/>
              </w:rPr>
            </w:pPr>
            <w:r>
              <w:rPr>
                <w:rFonts w:ascii="Arial" w:hAnsi="Arial" w:cs="Arial"/>
                <w:sz w:val="16"/>
                <w:szCs w:val="16"/>
              </w:rPr>
              <w:t>-</w:t>
            </w:r>
          </w:p>
        </w:tc>
        <w:tc>
          <w:tcPr>
            <w:tcW w:w="946" w:type="dxa"/>
            <w:vAlign w:val="center"/>
          </w:tcPr>
          <w:p w14:paraId="149E0527" w14:textId="77777777" w:rsidR="00D14458" w:rsidRPr="004E3E02" w:rsidRDefault="00D14458" w:rsidP="00676490">
            <w:pPr>
              <w:spacing w:line="300" w:lineRule="atLeast"/>
              <w:jc w:val="center"/>
              <w:rPr>
                <w:rFonts w:ascii="Arial" w:hAnsi="Arial" w:cs="Arial"/>
                <w:sz w:val="16"/>
                <w:szCs w:val="16"/>
              </w:rPr>
            </w:pPr>
            <w:r>
              <w:rPr>
                <w:rFonts w:ascii="Arial" w:hAnsi="Arial" w:cs="Arial"/>
                <w:sz w:val="16"/>
                <w:szCs w:val="16"/>
              </w:rPr>
              <w:t>-</w:t>
            </w:r>
          </w:p>
        </w:tc>
        <w:tc>
          <w:tcPr>
            <w:tcW w:w="850" w:type="dxa"/>
            <w:vAlign w:val="center"/>
          </w:tcPr>
          <w:p w14:paraId="0D385C59" w14:textId="77777777" w:rsidR="00D14458" w:rsidRPr="004E3E02" w:rsidRDefault="00D14458" w:rsidP="00676490">
            <w:pPr>
              <w:spacing w:line="300" w:lineRule="atLeast"/>
              <w:jc w:val="center"/>
              <w:rPr>
                <w:rFonts w:ascii="Arial" w:hAnsi="Arial" w:cs="Arial"/>
                <w:sz w:val="16"/>
                <w:szCs w:val="16"/>
              </w:rPr>
            </w:pPr>
            <w:r>
              <w:rPr>
                <w:rFonts w:ascii="Arial" w:hAnsi="Arial" w:cs="Arial"/>
                <w:sz w:val="16"/>
                <w:szCs w:val="16"/>
              </w:rPr>
              <w:t>-</w:t>
            </w:r>
          </w:p>
        </w:tc>
      </w:tr>
      <w:tr w:rsidR="00D14458" w:rsidRPr="007901FE" w14:paraId="3E0D5757" w14:textId="77777777" w:rsidTr="00114338">
        <w:tc>
          <w:tcPr>
            <w:tcW w:w="2410" w:type="dxa"/>
            <w:vAlign w:val="center"/>
          </w:tcPr>
          <w:p w14:paraId="727C73DC" w14:textId="77777777" w:rsidR="00D14458" w:rsidRPr="004901F2" w:rsidRDefault="00D14458" w:rsidP="00676490">
            <w:pPr>
              <w:spacing w:before="40" w:after="40" w:line="300" w:lineRule="atLeast"/>
              <w:rPr>
                <w:rFonts w:ascii="Arial" w:hAnsi="Arial" w:cs="Arial"/>
                <w:sz w:val="16"/>
                <w:szCs w:val="16"/>
              </w:rPr>
            </w:pPr>
            <w:r>
              <w:rPr>
                <w:rFonts w:ascii="Arial" w:hAnsi="Arial" w:cs="Arial"/>
                <w:sz w:val="16"/>
                <w:szCs w:val="16"/>
              </w:rPr>
              <w:t>Hazardous waste incineration</w:t>
            </w:r>
          </w:p>
        </w:tc>
        <w:tc>
          <w:tcPr>
            <w:tcW w:w="1701" w:type="dxa"/>
            <w:vAlign w:val="center"/>
          </w:tcPr>
          <w:p w14:paraId="2B75B203" w14:textId="77777777" w:rsidR="00D14458" w:rsidRPr="004E3E02" w:rsidRDefault="00325ECD" w:rsidP="00676490">
            <w:pPr>
              <w:spacing w:line="300" w:lineRule="atLeast"/>
              <w:jc w:val="center"/>
              <w:rPr>
                <w:rFonts w:ascii="Arial" w:hAnsi="Arial" w:cs="Arial"/>
                <w:sz w:val="16"/>
                <w:szCs w:val="16"/>
              </w:rPr>
            </w:pPr>
            <w:r>
              <w:rPr>
                <w:rFonts w:ascii="Arial" w:hAnsi="Arial" w:cs="Arial"/>
                <w:sz w:val="16"/>
                <w:szCs w:val="16"/>
              </w:rPr>
              <w:t>0.0098</w:t>
            </w:r>
          </w:p>
        </w:tc>
        <w:tc>
          <w:tcPr>
            <w:tcW w:w="1701" w:type="dxa"/>
            <w:vAlign w:val="center"/>
          </w:tcPr>
          <w:p w14:paraId="5D3AF6ED" w14:textId="77777777" w:rsidR="00D14458" w:rsidRPr="004E3E02" w:rsidRDefault="009766C1" w:rsidP="00676490">
            <w:pPr>
              <w:spacing w:line="300" w:lineRule="atLeast"/>
              <w:jc w:val="center"/>
              <w:rPr>
                <w:rFonts w:ascii="Arial" w:hAnsi="Arial" w:cs="Arial"/>
                <w:sz w:val="16"/>
                <w:szCs w:val="16"/>
              </w:rPr>
            </w:pPr>
            <w:r>
              <w:rPr>
                <w:rFonts w:ascii="Arial" w:hAnsi="Arial" w:cs="Arial"/>
                <w:sz w:val="16"/>
                <w:szCs w:val="16"/>
              </w:rPr>
              <w:t>0.0</w:t>
            </w:r>
            <w:r w:rsidR="00BA7ABE">
              <w:rPr>
                <w:rFonts w:ascii="Arial" w:hAnsi="Arial" w:cs="Arial"/>
                <w:sz w:val="16"/>
                <w:szCs w:val="16"/>
              </w:rPr>
              <w:t>098</w:t>
            </w:r>
          </w:p>
        </w:tc>
        <w:tc>
          <w:tcPr>
            <w:tcW w:w="803" w:type="dxa"/>
            <w:vAlign w:val="center"/>
          </w:tcPr>
          <w:p w14:paraId="3A1FDA22" w14:textId="77777777" w:rsidR="00D14458" w:rsidRPr="004E3E02" w:rsidRDefault="00D14458" w:rsidP="00676490">
            <w:pPr>
              <w:spacing w:line="300" w:lineRule="atLeast"/>
              <w:jc w:val="center"/>
              <w:rPr>
                <w:rFonts w:ascii="Arial" w:hAnsi="Arial" w:cs="Arial"/>
                <w:sz w:val="16"/>
                <w:szCs w:val="16"/>
              </w:rPr>
            </w:pPr>
            <w:r>
              <w:rPr>
                <w:rFonts w:ascii="Arial" w:hAnsi="Arial" w:cs="Arial"/>
                <w:sz w:val="16"/>
                <w:szCs w:val="16"/>
              </w:rPr>
              <w:t>-</w:t>
            </w:r>
          </w:p>
        </w:tc>
        <w:tc>
          <w:tcPr>
            <w:tcW w:w="803" w:type="dxa"/>
            <w:vAlign w:val="center"/>
          </w:tcPr>
          <w:p w14:paraId="730023BD" w14:textId="77777777" w:rsidR="00D14458" w:rsidRPr="004E3E02" w:rsidRDefault="00D14458" w:rsidP="00676490">
            <w:pPr>
              <w:spacing w:line="300" w:lineRule="atLeast"/>
              <w:jc w:val="center"/>
              <w:rPr>
                <w:rFonts w:ascii="Arial" w:hAnsi="Arial" w:cs="Arial"/>
                <w:sz w:val="16"/>
                <w:szCs w:val="16"/>
              </w:rPr>
            </w:pPr>
            <w:r>
              <w:rPr>
                <w:rFonts w:ascii="Arial" w:hAnsi="Arial" w:cs="Arial"/>
                <w:sz w:val="16"/>
                <w:szCs w:val="16"/>
              </w:rPr>
              <w:t>-</w:t>
            </w:r>
          </w:p>
        </w:tc>
        <w:tc>
          <w:tcPr>
            <w:tcW w:w="946" w:type="dxa"/>
            <w:vAlign w:val="center"/>
          </w:tcPr>
          <w:p w14:paraId="6767FE3F" w14:textId="77777777" w:rsidR="00D14458" w:rsidRPr="004E3E02" w:rsidRDefault="00D14458" w:rsidP="00676490">
            <w:pPr>
              <w:spacing w:line="300" w:lineRule="atLeast"/>
              <w:jc w:val="center"/>
              <w:rPr>
                <w:rFonts w:ascii="Arial" w:hAnsi="Arial" w:cs="Arial"/>
                <w:sz w:val="16"/>
                <w:szCs w:val="16"/>
              </w:rPr>
            </w:pPr>
            <w:r>
              <w:rPr>
                <w:rFonts w:ascii="Arial" w:hAnsi="Arial" w:cs="Arial"/>
                <w:sz w:val="16"/>
                <w:szCs w:val="16"/>
              </w:rPr>
              <w:t>-</w:t>
            </w:r>
          </w:p>
        </w:tc>
        <w:tc>
          <w:tcPr>
            <w:tcW w:w="850" w:type="dxa"/>
            <w:vAlign w:val="center"/>
          </w:tcPr>
          <w:p w14:paraId="1B91A901" w14:textId="77777777" w:rsidR="00D14458" w:rsidRPr="004E3E02" w:rsidRDefault="00A67DF0" w:rsidP="00676490">
            <w:pPr>
              <w:spacing w:line="300" w:lineRule="atLeast"/>
              <w:jc w:val="center"/>
              <w:rPr>
                <w:rFonts w:ascii="Arial" w:hAnsi="Arial" w:cs="Arial"/>
                <w:sz w:val="16"/>
                <w:szCs w:val="16"/>
              </w:rPr>
            </w:pPr>
            <w:r>
              <w:rPr>
                <w:rFonts w:ascii="Arial" w:hAnsi="Arial" w:cs="Arial"/>
                <w:sz w:val="16"/>
                <w:szCs w:val="16"/>
              </w:rPr>
              <w:t>-</w:t>
            </w:r>
          </w:p>
        </w:tc>
      </w:tr>
      <w:tr w:rsidR="00D14458" w:rsidRPr="007901FE" w14:paraId="2BD8523C" w14:textId="77777777" w:rsidTr="00114338">
        <w:tc>
          <w:tcPr>
            <w:tcW w:w="2410" w:type="dxa"/>
            <w:vAlign w:val="center"/>
          </w:tcPr>
          <w:p w14:paraId="20DC857D" w14:textId="77777777" w:rsidR="00D14458" w:rsidRPr="004901F2" w:rsidRDefault="00D14458" w:rsidP="00676490">
            <w:pPr>
              <w:spacing w:line="300" w:lineRule="atLeast"/>
              <w:rPr>
                <w:rFonts w:ascii="Arial" w:hAnsi="Arial" w:cs="Arial"/>
                <w:sz w:val="16"/>
                <w:szCs w:val="16"/>
              </w:rPr>
            </w:pPr>
            <w:r>
              <w:rPr>
                <w:rFonts w:ascii="Arial" w:hAnsi="Arial" w:cs="Arial"/>
                <w:sz w:val="16"/>
                <w:szCs w:val="16"/>
              </w:rPr>
              <w:t>Medical waste incineration</w:t>
            </w:r>
          </w:p>
        </w:tc>
        <w:tc>
          <w:tcPr>
            <w:tcW w:w="1701" w:type="dxa"/>
            <w:vAlign w:val="center"/>
          </w:tcPr>
          <w:p w14:paraId="46F9E0EE" w14:textId="1A5B5C3C" w:rsidR="00D14458" w:rsidRPr="004E3E02" w:rsidRDefault="00325ECD" w:rsidP="00676490">
            <w:pPr>
              <w:spacing w:line="300" w:lineRule="atLeast"/>
              <w:jc w:val="center"/>
              <w:rPr>
                <w:rFonts w:ascii="Arial" w:hAnsi="Arial" w:cs="Arial"/>
                <w:sz w:val="16"/>
                <w:szCs w:val="16"/>
              </w:rPr>
            </w:pPr>
            <w:r>
              <w:rPr>
                <w:rFonts w:ascii="Arial" w:hAnsi="Arial" w:cs="Arial"/>
                <w:sz w:val="16"/>
                <w:szCs w:val="16"/>
              </w:rPr>
              <w:t xml:space="preserve">0.62 – 3.12 </w:t>
            </w:r>
            <w:r w:rsidR="00016AD4">
              <w:rPr>
                <w:rFonts w:ascii="Arial" w:hAnsi="Arial" w:cs="Arial"/>
                <w:sz w:val="16"/>
                <w:szCs w:val="16"/>
              </w:rPr>
              <w:br/>
            </w:r>
            <w:r>
              <w:rPr>
                <w:rFonts w:ascii="Arial" w:hAnsi="Arial" w:cs="Arial"/>
                <w:sz w:val="16"/>
                <w:szCs w:val="16"/>
              </w:rPr>
              <w:t>(1.87)</w:t>
            </w:r>
          </w:p>
        </w:tc>
        <w:tc>
          <w:tcPr>
            <w:tcW w:w="1701" w:type="dxa"/>
            <w:vAlign w:val="center"/>
          </w:tcPr>
          <w:p w14:paraId="7B36E01A" w14:textId="03E2E36F" w:rsidR="00D14458" w:rsidRPr="004E3E02" w:rsidRDefault="006F0863" w:rsidP="00676490">
            <w:pPr>
              <w:spacing w:line="300" w:lineRule="atLeast"/>
              <w:jc w:val="center"/>
              <w:rPr>
                <w:rFonts w:ascii="Arial" w:hAnsi="Arial" w:cs="Arial"/>
                <w:sz w:val="16"/>
                <w:szCs w:val="16"/>
              </w:rPr>
            </w:pPr>
            <w:r>
              <w:rPr>
                <w:rFonts w:ascii="Arial" w:hAnsi="Arial" w:cs="Arial"/>
                <w:sz w:val="16"/>
                <w:szCs w:val="16"/>
              </w:rPr>
              <w:t xml:space="preserve">0.62 – 3.12 </w:t>
            </w:r>
            <w:r>
              <w:rPr>
                <w:rFonts w:ascii="Arial" w:hAnsi="Arial" w:cs="Arial"/>
                <w:sz w:val="16"/>
                <w:szCs w:val="16"/>
              </w:rPr>
              <w:br/>
              <w:t>(1.87)</w:t>
            </w:r>
          </w:p>
        </w:tc>
        <w:tc>
          <w:tcPr>
            <w:tcW w:w="803" w:type="dxa"/>
            <w:vAlign w:val="center"/>
          </w:tcPr>
          <w:p w14:paraId="034036E4" w14:textId="77777777" w:rsidR="00D14458" w:rsidRPr="004E3E02" w:rsidRDefault="00D14458" w:rsidP="00676490">
            <w:pPr>
              <w:spacing w:line="300" w:lineRule="atLeast"/>
              <w:jc w:val="center"/>
              <w:rPr>
                <w:rFonts w:ascii="Arial" w:hAnsi="Arial" w:cs="Arial"/>
                <w:sz w:val="16"/>
                <w:szCs w:val="16"/>
              </w:rPr>
            </w:pPr>
            <w:r>
              <w:rPr>
                <w:rFonts w:ascii="Arial" w:hAnsi="Arial" w:cs="Arial"/>
                <w:sz w:val="16"/>
                <w:szCs w:val="16"/>
              </w:rPr>
              <w:t>-</w:t>
            </w:r>
          </w:p>
        </w:tc>
        <w:tc>
          <w:tcPr>
            <w:tcW w:w="803" w:type="dxa"/>
            <w:vAlign w:val="center"/>
          </w:tcPr>
          <w:p w14:paraId="51867C9A" w14:textId="77777777" w:rsidR="00D14458" w:rsidRPr="004E3E02" w:rsidRDefault="00D14458" w:rsidP="00676490">
            <w:pPr>
              <w:spacing w:line="300" w:lineRule="atLeast"/>
              <w:jc w:val="center"/>
              <w:rPr>
                <w:rFonts w:ascii="Arial" w:hAnsi="Arial" w:cs="Arial"/>
                <w:sz w:val="16"/>
                <w:szCs w:val="16"/>
              </w:rPr>
            </w:pPr>
            <w:r>
              <w:rPr>
                <w:rFonts w:ascii="Arial" w:hAnsi="Arial" w:cs="Arial"/>
                <w:sz w:val="16"/>
                <w:szCs w:val="16"/>
              </w:rPr>
              <w:t>-</w:t>
            </w:r>
          </w:p>
        </w:tc>
        <w:tc>
          <w:tcPr>
            <w:tcW w:w="946" w:type="dxa"/>
            <w:vAlign w:val="center"/>
          </w:tcPr>
          <w:p w14:paraId="2F670D7F" w14:textId="77777777" w:rsidR="00D14458" w:rsidRPr="004E3E02" w:rsidRDefault="00D14458" w:rsidP="00676490">
            <w:pPr>
              <w:spacing w:line="300" w:lineRule="atLeast"/>
              <w:jc w:val="center"/>
              <w:rPr>
                <w:rFonts w:ascii="Arial" w:hAnsi="Arial" w:cs="Arial"/>
                <w:sz w:val="16"/>
                <w:szCs w:val="16"/>
              </w:rPr>
            </w:pPr>
            <w:r>
              <w:rPr>
                <w:rFonts w:ascii="Arial" w:hAnsi="Arial" w:cs="Arial"/>
                <w:sz w:val="16"/>
                <w:szCs w:val="16"/>
              </w:rPr>
              <w:t>-</w:t>
            </w:r>
          </w:p>
        </w:tc>
        <w:tc>
          <w:tcPr>
            <w:tcW w:w="850" w:type="dxa"/>
            <w:vAlign w:val="center"/>
          </w:tcPr>
          <w:p w14:paraId="1F7D7AAF" w14:textId="77777777" w:rsidR="00D14458" w:rsidRPr="004E3E02" w:rsidRDefault="00D14458" w:rsidP="00676490">
            <w:pPr>
              <w:spacing w:line="300" w:lineRule="atLeast"/>
              <w:jc w:val="center"/>
              <w:rPr>
                <w:rFonts w:ascii="Arial" w:hAnsi="Arial" w:cs="Arial"/>
                <w:sz w:val="16"/>
                <w:szCs w:val="16"/>
              </w:rPr>
            </w:pPr>
            <w:r>
              <w:rPr>
                <w:rFonts w:ascii="Arial" w:hAnsi="Arial" w:cs="Arial"/>
                <w:sz w:val="16"/>
                <w:szCs w:val="16"/>
              </w:rPr>
              <w:t>-</w:t>
            </w:r>
          </w:p>
        </w:tc>
      </w:tr>
      <w:tr w:rsidR="00D14458" w:rsidRPr="007901FE" w14:paraId="10192C48" w14:textId="77777777" w:rsidTr="00114338">
        <w:tc>
          <w:tcPr>
            <w:tcW w:w="2410" w:type="dxa"/>
            <w:vAlign w:val="center"/>
          </w:tcPr>
          <w:p w14:paraId="24D7864A" w14:textId="77777777" w:rsidR="00D14458" w:rsidRPr="004901F2" w:rsidRDefault="00D14458" w:rsidP="00676490">
            <w:pPr>
              <w:spacing w:line="300" w:lineRule="atLeast"/>
              <w:rPr>
                <w:rFonts w:ascii="Arial" w:hAnsi="Arial" w:cs="Arial"/>
                <w:sz w:val="16"/>
                <w:szCs w:val="16"/>
              </w:rPr>
            </w:pPr>
            <w:r>
              <w:rPr>
                <w:rFonts w:ascii="Arial" w:hAnsi="Arial" w:cs="Arial"/>
                <w:sz w:val="16"/>
                <w:szCs w:val="16"/>
              </w:rPr>
              <w:t>Sewage sludge incineration</w:t>
            </w:r>
          </w:p>
        </w:tc>
        <w:tc>
          <w:tcPr>
            <w:tcW w:w="1701" w:type="dxa"/>
            <w:vAlign w:val="center"/>
          </w:tcPr>
          <w:p w14:paraId="7B478B16" w14:textId="77777777" w:rsidR="00D14458" w:rsidRDefault="00BA7ABE" w:rsidP="00676490">
            <w:pPr>
              <w:spacing w:line="300" w:lineRule="atLeast"/>
              <w:jc w:val="center"/>
              <w:rPr>
                <w:rFonts w:ascii="Arial" w:hAnsi="Arial" w:cs="Arial"/>
                <w:sz w:val="16"/>
                <w:szCs w:val="16"/>
              </w:rPr>
            </w:pPr>
            <w:r>
              <w:rPr>
                <w:rFonts w:ascii="Arial" w:hAnsi="Arial" w:cs="Arial"/>
                <w:sz w:val="16"/>
                <w:szCs w:val="16"/>
              </w:rPr>
              <w:t>0.</w:t>
            </w:r>
            <w:r w:rsidR="003970B7">
              <w:rPr>
                <w:rFonts w:ascii="Arial" w:hAnsi="Arial" w:cs="Arial"/>
                <w:sz w:val="16"/>
                <w:szCs w:val="16"/>
              </w:rPr>
              <w:t>8</w:t>
            </w:r>
          </w:p>
        </w:tc>
        <w:tc>
          <w:tcPr>
            <w:tcW w:w="1701" w:type="dxa"/>
            <w:vAlign w:val="center"/>
          </w:tcPr>
          <w:p w14:paraId="02AFD2C4" w14:textId="77777777" w:rsidR="00D14458" w:rsidRDefault="00A67DF0" w:rsidP="00676490">
            <w:pPr>
              <w:spacing w:line="300" w:lineRule="atLeast"/>
              <w:jc w:val="center"/>
              <w:rPr>
                <w:rFonts w:ascii="Arial" w:hAnsi="Arial" w:cs="Arial"/>
                <w:sz w:val="16"/>
                <w:szCs w:val="16"/>
              </w:rPr>
            </w:pPr>
            <w:r>
              <w:rPr>
                <w:rFonts w:ascii="Arial" w:hAnsi="Arial" w:cs="Arial"/>
                <w:sz w:val="16"/>
                <w:szCs w:val="16"/>
              </w:rPr>
              <w:t>-</w:t>
            </w:r>
          </w:p>
        </w:tc>
        <w:tc>
          <w:tcPr>
            <w:tcW w:w="803" w:type="dxa"/>
            <w:vAlign w:val="center"/>
          </w:tcPr>
          <w:p w14:paraId="2E3561C7" w14:textId="77777777" w:rsidR="00D14458" w:rsidRDefault="00A67DF0" w:rsidP="00676490">
            <w:pPr>
              <w:spacing w:line="300" w:lineRule="atLeast"/>
              <w:jc w:val="center"/>
              <w:rPr>
                <w:rFonts w:ascii="Arial" w:hAnsi="Arial" w:cs="Arial"/>
                <w:sz w:val="16"/>
                <w:szCs w:val="16"/>
              </w:rPr>
            </w:pPr>
            <w:r>
              <w:rPr>
                <w:rFonts w:ascii="Arial" w:hAnsi="Arial" w:cs="Arial"/>
                <w:sz w:val="16"/>
                <w:szCs w:val="16"/>
              </w:rPr>
              <w:t>-</w:t>
            </w:r>
          </w:p>
        </w:tc>
        <w:tc>
          <w:tcPr>
            <w:tcW w:w="803" w:type="dxa"/>
            <w:vAlign w:val="center"/>
          </w:tcPr>
          <w:p w14:paraId="50F4C817" w14:textId="77777777" w:rsidR="00D14458" w:rsidRDefault="00A67DF0" w:rsidP="00676490">
            <w:pPr>
              <w:spacing w:line="300" w:lineRule="atLeast"/>
              <w:jc w:val="center"/>
              <w:rPr>
                <w:rFonts w:ascii="Arial" w:hAnsi="Arial" w:cs="Arial"/>
                <w:sz w:val="16"/>
                <w:szCs w:val="16"/>
              </w:rPr>
            </w:pPr>
            <w:r>
              <w:rPr>
                <w:rFonts w:ascii="Arial" w:hAnsi="Arial" w:cs="Arial"/>
                <w:sz w:val="16"/>
                <w:szCs w:val="16"/>
              </w:rPr>
              <w:t>-</w:t>
            </w:r>
          </w:p>
        </w:tc>
        <w:tc>
          <w:tcPr>
            <w:tcW w:w="946" w:type="dxa"/>
            <w:vAlign w:val="center"/>
          </w:tcPr>
          <w:p w14:paraId="59ACFF0F" w14:textId="77777777" w:rsidR="00D14458" w:rsidRDefault="00A67DF0" w:rsidP="00676490">
            <w:pPr>
              <w:spacing w:line="300" w:lineRule="atLeast"/>
              <w:jc w:val="center"/>
              <w:rPr>
                <w:rFonts w:ascii="Arial" w:hAnsi="Arial" w:cs="Arial"/>
                <w:sz w:val="16"/>
                <w:szCs w:val="16"/>
              </w:rPr>
            </w:pPr>
            <w:r>
              <w:rPr>
                <w:rFonts w:ascii="Arial" w:hAnsi="Arial" w:cs="Arial"/>
                <w:sz w:val="16"/>
                <w:szCs w:val="16"/>
              </w:rPr>
              <w:t>-</w:t>
            </w:r>
          </w:p>
        </w:tc>
        <w:tc>
          <w:tcPr>
            <w:tcW w:w="850" w:type="dxa"/>
            <w:vAlign w:val="center"/>
          </w:tcPr>
          <w:p w14:paraId="5CC1C115" w14:textId="77777777" w:rsidR="00D14458" w:rsidRDefault="003970B7" w:rsidP="00676490">
            <w:pPr>
              <w:spacing w:line="300" w:lineRule="atLeast"/>
              <w:jc w:val="center"/>
              <w:rPr>
                <w:rFonts w:ascii="Arial" w:hAnsi="Arial" w:cs="Arial"/>
                <w:sz w:val="16"/>
                <w:szCs w:val="16"/>
              </w:rPr>
            </w:pPr>
            <w:r>
              <w:rPr>
                <w:rFonts w:ascii="Arial" w:hAnsi="Arial" w:cs="Arial"/>
                <w:sz w:val="16"/>
                <w:szCs w:val="16"/>
              </w:rPr>
              <w:t>0.</w:t>
            </w:r>
            <w:r w:rsidR="00BA7ABE">
              <w:rPr>
                <w:rFonts w:ascii="Arial" w:hAnsi="Arial" w:cs="Arial"/>
                <w:sz w:val="16"/>
                <w:szCs w:val="16"/>
              </w:rPr>
              <w:t>8</w:t>
            </w:r>
          </w:p>
        </w:tc>
      </w:tr>
      <w:tr w:rsidR="00D14458" w:rsidRPr="007901FE" w14:paraId="46C52A9B" w14:textId="77777777" w:rsidTr="00114338">
        <w:tc>
          <w:tcPr>
            <w:tcW w:w="2410" w:type="dxa"/>
            <w:vAlign w:val="center"/>
          </w:tcPr>
          <w:p w14:paraId="30C47DFB" w14:textId="77777777" w:rsidR="00D14458" w:rsidRPr="004901F2" w:rsidRDefault="00D14458" w:rsidP="00676490">
            <w:pPr>
              <w:spacing w:line="300" w:lineRule="atLeast"/>
              <w:rPr>
                <w:rFonts w:ascii="Arial" w:hAnsi="Arial" w:cs="Arial"/>
                <w:sz w:val="16"/>
                <w:szCs w:val="16"/>
              </w:rPr>
            </w:pPr>
            <w:r>
              <w:rPr>
                <w:rFonts w:ascii="Arial" w:hAnsi="Arial" w:cs="Arial"/>
                <w:sz w:val="16"/>
                <w:szCs w:val="16"/>
              </w:rPr>
              <w:t>Informal waste incineration</w:t>
            </w:r>
          </w:p>
        </w:tc>
        <w:tc>
          <w:tcPr>
            <w:tcW w:w="1701" w:type="dxa"/>
            <w:vAlign w:val="center"/>
          </w:tcPr>
          <w:p w14:paraId="7D21C605" w14:textId="323BBAE5" w:rsidR="00D14458" w:rsidRDefault="00A67DF0" w:rsidP="009766C1">
            <w:pPr>
              <w:spacing w:line="300" w:lineRule="atLeast"/>
              <w:jc w:val="center"/>
              <w:rPr>
                <w:rFonts w:ascii="Arial" w:hAnsi="Arial" w:cs="Arial"/>
                <w:sz w:val="16"/>
                <w:szCs w:val="16"/>
              </w:rPr>
            </w:pPr>
            <w:r>
              <w:rPr>
                <w:rFonts w:ascii="Arial" w:hAnsi="Arial" w:cs="Arial"/>
                <w:sz w:val="16"/>
                <w:szCs w:val="16"/>
              </w:rPr>
              <w:t>18</w:t>
            </w:r>
            <w:r w:rsidR="005905F5">
              <w:rPr>
                <w:rFonts w:ascii="Arial" w:hAnsi="Arial" w:cs="Arial"/>
                <w:sz w:val="16"/>
                <w:szCs w:val="16"/>
              </w:rPr>
              <w:t>.0</w:t>
            </w:r>
            <w:r>
              <w:rPr>
                <w:rFonts w:ascii="Arial" w:hAnsi="Arial" w:cs="Arial"/>
                <w:sz w:val="16"/>
                <w:szCs w:val="16"/>
              </w:rPr>
              <w:t xml:space="preserve"> </w:t>
            </w:r>
            <w:r w:rsidR="009855EE">
              <w:rPr>
                <w:rFonts w:ascii="Arial" w:hAnsi="Arial" w:cs="Arial"/>
                <w:sz w:val="16"/>
                <w:szCs w:val="16"/>
              </w:rPr>
              <w:t>–</w:t>
            </w:r>
            <w:r>
              <w:rPr>
                <w:rFonts w:ascii="Arial" w:hAnsi="Arial" w:cs="Arial"/>
                <w:sz w:val="16"/>
                <w:szCs w:val="16"/>
              </w:rPr>
              <w:t xml:space="preserve"> 18</w:t>
            </w:r>
            <w:r w:rsidR="005905F5">
              <w:rPr>
                <w:rFonts w:ascii="Arial" w:hAnsi="Arial" w:cs="Arial"/>
                <w:sz w:val="16"/>
                <w:szCs w:val="16"/>
              </w:rPr>
              <w:t>0</w:t>
            </w:r>
            <w:r w:rsidR="006F0863">
              <w:rPr>
                <w:rFonts w:ascii="Arial" w:hAnsi="Arial" w:cs="Arial"/>
                <w:sz w:val="16"/>
                <w:szCs w:val="16"/>
              </w:rPr>
              <w:t>.0</w:t>
            </w:r>
            <w:r w:rsidR="009855EE">
              <w:rPr>
                <w:rFonts w:ascii="Arial" w:hAnsi="Arial" w:cs="Arial"/>
                <w:sz w:val="16"/>
                <w:szCs w:val="16"/>
              </w:rPr>
              <w:t xml:space="preserve"> </w:t>
            </w:r>
            <w:r w:rsidR="00016AD4">
              <w:rPr>
                <w:rFonts w:ascii="Arial" w:hAnsi="Arial" w:cs="Arial"/>
                <w:sz w:val="16"/>
                <w:szCs w:val="16"/>
              </w:rPr>
              <w:br/>
            </w:r>
            <w:r w:rsidR="009855EE">
              <w:rPr>
                <w:rFonts w:ascii="Arial" w:hAnsi="Arial" w:cs="Arial"/>
                <w:sz w:val="16"/>
                <w:szCs w:val="16"/>
              </w:rPr>
              <w:t>(99.5)</w:t>
            </w:r>
          </w:p>
        </w:tc>
        <w:tc>
          <w:tcPr>
            <w:tcW w:w="1701" w:type="dxa"/>
            <w:vAlign w:val="center"/>
          </w:tcPr>
          <w:p w14:paraId="13B6A4BB" w14:textId="4731D6F6" w:rsidR="00D14458" w:rsidRDefault="00A67DF0" w:rsidP="009766C1">
            <w:pPr>
              <w:spacing w:line="300" w:lineRule="atLeast"/>
              <w:jc w:val="center"/>
              <w:rPr>
                <w:rFonts w:ascii="Arial" w:hAnsi="Arial" w:cs="Arial"/>
                <w:sz w:val="16"/>
                <w:szCs w:val="16"/>
              </w:rPr>
            </w:pPr>
            <w:r>
              <w:rPr>
                <w:rFonts w:ascii="Arial" w:hAnsi="Arial" w:cs="Arial"/>
                <w:sz w:val="16"/>
                <w:szCs w:val="16"/>
              </w:rPr>
              <w:t>18</w:t>
            </w:r>
            <w:r w:rsidR="006F0863">
              <w:rPr>
                <w:rFonts w:ascii="Arial" w:hAnsi="Arial" w:cs="Arial"/>
                <w:sz w:val="16"/>
                <w:szCs w:val="16"/>
              </w:rPr>
              <w:t>.0</w:t>
            </w:r>
            <w:r>
              <w:rPr>
                <w:rFonts w:ascii="Arial" w:hAnsi="Arial" w:cs="Arial"/>
                <w:sz w:val="16"/>
                <w:szCs w:val="16"/>
              </w:rPr>
              <w:t xml:space="preserve"> </w:t>
            </w:r>
            <w:r w:rsidR="009855EE">
              <w:rPr>
                <w:rFonts w:ascii="Arial" w:hAnsi="Arial" w:cs="Arial"/>
                <w:sz w:val="16"/>
                <w:szCs w:val="16"/>
              </w:rPr>
              <w:t>–</w:t>
            </w:r>
            <w:r>
              <w:rPr>
                <w:rFonts w:ascii="Arial" w:hAnsi="Arial" w:cs="Arial"/>
                <w:sz w:val="16"/>
                <w:szCs w:val="16"/>
              </w:rPr>
              <w:t xml:space="preserve"> 18</w:t>
            </w:r>
            <w:r w:rsidR="009766C1">
              <w:rPr>
                <w:rFonts w:ascii="Arial" w:hAnsi="Arial" w:cs="Arial"/>
                <w:sz w:val="16"/>
                <w:szCs w:val="16"/>
              </w:rPr>
              <w:t>0.9</w:t>
            </w:r>
            <w:r w:rsidR="009855EE">
              <w:rPr>
                <w:rFonts w:ascii="Arial" w:hAnsi="Arial" w:cs="Arial"/>
                <w:sz w:val="16"/>
                <w:szCs w:val="16"/>
              </w:rPr>
              <w:t xml:space="preserve"> </w:t>
            </w:r>
            <w:r w:rsidR="00016AD4">
              <w:rPr>
                <w:rFonts w:ascii="Arial" w:hAnsi="Arial" w:cs="Arial"/>
                <w:sz w:val="16"/>
                <w:szCs w:val="16"/>
              </w:rPr>
              <w:br/>
            </w:r>
            <w:r w:rsidR="009855EE">
              <w:rPr>
                <w:rFonts w:ascii="Arial" w:hAnsi="Arial" w:cs="Arial"/>
                <w:sz w:val="16"/>
                <w:szCs w:val="16"/>
              </w:rPr>
              <w:t>(99.5)</w:t>
            </w:r>
          </w:p>
        </w:tc>
        <w:tc>
          <w:tcPr>
            <w:tcW w:w="803" w:type="dxa"/>
            <w:vAlign w:val="center"/>
          </w:tcPr>
          <w:p w14:paraId="60DA5799" w14:textId="77777777" w:rsidR="00D14458" w:rsidRDefault="00A67DF0" w:rsidP="00676490">
            <w:pPr>
              <w:spacing w:line="300" w:lineRule="atLeast"/>
              <w:jc w:val="center"/>
              <w:rPr>
                <w:rFonts w:ascii="Arial" w:hAnsi="Arial" w:cs="Arial"/>
                <w:sz w:val="16"/>
                <w:szCs w:val="16"/>
              </w:rPr>
            </w:pPr>
            <w:r>
              <w:rPr>
                <w:rFonts w:ascii="Arial" w:hAnsi="Arial" w:cs="Arial"/>
                <w:sz w:val="16"/>
                <w:szCs w:val="16"/>
              </w:rPr>
              <w:t>-</w:t>
            </w:r>
          </w:p>
        </w:tc>
        <w:tc>
          <w:tcPr>
            <w:tcW w:w="803" w:type="dxa"/>
            <w:vAlign w:val="center"/>
          </w:tcPr>
          <w:p w14:paraId="335F753B" w14:textId="77777777" w:rsidR="00D14458" w:rsidRDefault="00A67DF0" w:rsidP="00676490">
            <w:pPr>
              <w:spacing w:line="300" w:lineRule="atLeast"/>
              <w:jc w:val="center"/>
              <w:rPr>
                <w:rFonts w:ascii="Arial" w:hAnsi="Arial" w:cs="Arial"/>
                <w:sz w:val="16"/>
                <w:szCs w:val="16"/>
              </w:rPr>
            </w:pPr>
            <w:r>
              <w:rPr>
                <w:rFonts w:ascii="Arial" w:hAnsi="Arial" w:cs="Arial"/>
                <w:sz w:val="16"/>
                <w:szCs w:val="16"/>
              </w:rPr>
              <w:t>-</w:t>
            </w:r>
          </w:p>
        </w:tc>
        <w:tc>
          <w:tcPr>
            <w:tcW w:w="946" w:type="dxa"/>
            <w:vAlign w:val="center"/>
          </w:tcPr>
          <w:p w14:paraId="70211A71" w14:textId="77777777" w:rsidR="00D14458" w:rsidRDefault="00A67DF0" w:rsidP="00676490">
            <w:pPr>
              <w:spacing w:line="300" w:lineRule="atLeast"/>
              <w:jc w:val="center"/>
              <w:rPr>
                <w:rFonts w:ascii="Arial" w:hAnsi="Arial" w:cs="Arial"/>
                <w:sz w:val="16"/>
                <w:szCs w:val="16"/>
              </w:rPr>
            </w:pPr>
            <w:r>
              <w:rPr>
                <w:rFonts w:ascii="Arial" w:hAnsi="Arial" w:cs="Arial"/>
                <w:sz w:val="16"/>
                <w:szCs w:val="16"/>
              </w:rPr>
              <w:t>-</w:t>
            </w:r>
          </w:p>
        </w:tc>
        <w:tc>
          <w:tcPr>
            <w:tcW w:w="850" w:type="dxa"/>
            <w:vAlign w:val="center"/>
          </w:tcPr>
          <w:p w14:paraId="4100623A" w14:textId="77777777" w:rsidR="00D14458" w:rsidRDefault="00A67DF0" w:rsidP="00676490">
            <w:pPr>
              <w:spacing w:line="300" w:lineRule="atLeast"/>
              <w:jc w:val="center"/>
              <w:rPr>
                <w:rFonts w:ascii="Arial" w:hAnsi="Arial" w:cs="Arial"/>
                <w:sz w:val="16"/>
                <w:szCs w:val="16"/>
              </w:rPr>
            </w:pPr>
            <w:r>
              <w:rPr>
                <w:rFonts w:ascii="Arial" w:hAnsi="Arial" w:cs="Arial"/>
                <w:sz w:val="16"/>
                <w:szCs w:val="16"/>
              </w:rPr>
              <w:t>-</w:t>
            </w:r>
          </w:p>
        </w:tc>
      </w:tr>
      <w:tr w:rsidR="00D14458" w:rsidRPr="007901FE" w14:paraId="0EC0CB99" w14:textId="77777777" w:rsidTr="00114338">
        <w:tc>
          <w:tcPr>
            <w:tcW w:w="2410" w:type="dxa"/>
            <w:vAlign w:val="center"/>
          </w:tcPr>
          <w:p w14:paraId="1500467E" w14:textId="77777777" w:rsidR="00D14458" w:rsidRDefault="00D14458" w:rsidP="00A67DF0">
            <w:pPr>
              <w:spacing w:line="300" w:lineRule="atLeast"/>
              <w:rPr>
                <w:rFonts w:ascii="Arial" w:hAnsi="Arial" w:cs="Arial"/>
                <w:sz w:val="16"/>
                <w:szCs w:val="16"/>
              </w:rPr>
            </w:pPr>
            <w:r>
              <w:rPr>
                <w:rFonts w:ascii="Arial" w:hAnsi="Arial" w:cs="Arial"/>
                <w:sz w:val="16"/>
                <w:szCs w:val="16"/>
              </w:rPr>
              <w:t xml:space="preserve">Other </w:t>
            </w:r>
            <w:r w:rsidR="00A67DF0">
              <w:rPr>
                <w:rFonts w:ascii="Arial" w:hAnsi="Arial" w:cs="Arial"/>
                <w:sz w:val="16"/>
                <w:szCs w:val="16"/>
              </w:rPr>
              <w:t>(pet incinerators)</w:t>
            </w:r>
          </w:p>
        </w:tc>
        <w:tc>
          <w:tcPr>
            <w:tcW w:w="1701" w:type="dxa"/>
            <w:vAlign w:val="center"/>
          </w:tcPr>
          <w:p w14:paraId="469CFC81" w14:textId="77777777" w:rsidR="00D14458" w:rsidRDefault="00A67DF0" w:rsidP="007257F3">
            <w:pPr>
              <w:spacing w:line="300" w:lineRule="atLeast"/>
              <w:jc w:val="center"/>
              <w:rPr>
                <w:rFonts w:ascii="Arial" w:hAnsi="Arial" w:cs="Arial"/>
                <w:sz w:val="16"/>
                <w:szCs w:val="16"/>
              </w:rPr>
            </w:pPr>
            <w:r>
              <w:rPr>
                <w:rFonts w:ascii="Arial" w:hAnsi="Arial" w:cs="Arial"/>
                <w:sz w:val="16"/>
                <w:szCs w:val="16"/>
              </w:rPr>
              <w:t>0.</w:t>
            </w:r>
            <w:r w:rsidR="007257F3">
              <w:rPr>
                <w:rFonts w:ascii="Arial" w:hAnsi="Arial" w:cs="Arial"/>
                <w:sz w:val="16"/>
                <w:szCs w:val="16"/>
              </w:rPr>
              <w:t>2</w:t>
            </w:r>
            <w:r>
              <w:rPr>
                <w:rFonts w:ascii="Arial" w:hAnsi="Arial" w:cs="Arial"/>
                <w:sz w:val="16"/>
                <w:szCs w:val="16"/>
              </w:rPr>
              <w:t>6</w:t>
            </w:r>
          </w:p>
        </w:tc>
        <w:tc>
          <w:tcPr>
            <w:tcW w:w="1701" w:type="dxa"/>
            <w:vAlign w:val="center"/>
          </w:tcPr>
          <w:p w14:paraId="0F8FCB90" w14:textId="77777777" w:rsidR="00D14458" w:rsidRDefault="00A67DF0" w:rsidP="007257F3">
            <w:pPr>
              <w:spacing w:line="300" w:lineRule="atLeast"/>
              <w:jc w:val="center"/>
              <w:rPr>
                <w:rFonts w:ascii="Arial" w:hAnsi="Arial" w:cs="Arial"/>
                <w:sz w:val="16"/>
                <w:szCs w:val="16"/>
              </w:rPr>
            </w:pPr>
            <w:r>
              <w:rPr>
                <w:rFonts w:ascii="Arial" w:hAnsi="Arial" w:cs="Arial"/>
                <w:sz w:val="16"/>
                <w:szCs w:val="16"/>
              </w:rPr>
              <w:t>0.</w:t>
            </w:r>
            <w:r w:rsidR="007257F3">
              <w:rPr>
                <w:rFonts w:ascii="Arial" w:hAnsi="Arial" w:cs="Arial"/>
                <w:sz w:val="16"/>
                <w:szCs w:val="16"/>
              </w:rPr>
              <w:t>2</w:t>
            </w:r>
            <w:r>
              <w:rPr>
                <w:rFonts w:ascii="Arial" w:hAnsi="Arial" w:cs="Arial"/>
                <w:sz w:val="16"/>
                <w:szCs w:val="16"/>
              </w:rPr>
              <w:t xml:space="preserve">6 </w:t>
            </w:r>
          </w:p>
        </w:tc>
        <w:tc>
          <w:tcPr>
            <w:tcW w:w="803" w:type="dxa"/>
            <w:vAlign w:val="center"/>
          </w:tcPr>
          <w:p w14:paraId="1A811FF7" w14:textId="77777777" w:rsidR="00D14458" w:rsidRDefault="00A67DF0" w:rsidP="00676490">
            <w:pPr>
              <w:spacing w:line="300" w:lineRule="atLeast"/>
              <w:jc w:val="center"/>
              <w:rPr>
                <w:rFonts w:ascii="Arial" w:hAnsi="Arial" w:cs="Arial"/>
                <w:sz w:val="16"/>
                <w:szCs w:val="16"/>
              </w:rPr>
            </w:pPr>
            <w:r>
              <w:rPr>
                <w:rFonts w:ascii="Arial" w:hAnsi="Arial" w:cs="Arial"/>
                <w:sz w:val="16"/>
                <w:szCs w:val="16"/>
              </w:rPr>
              <w:t>-</w:t>
            </w:r>
          </w:p>
        </w:tc>
        <w:tc>
          <w:tcPr>
            <w:tcW w:w="803" w:type="dxa"/>
            <w:vAlign w:val="center"/>
          </w:tcPr>
          <w:p w14:paraId="66B41999" w14:textId="77777777" w:rsidR="00D14458" w:rsidRDefault="00A67DF0" w:rsidP="00676490">
            <w:pPr>
              <w:spacing w:line="300" w:lineRule="atLeast"/>
              <w:jc w:val="center"/>
              <w:rPr>
                <w:rFonts w:ascii="Arial" w:hAnsi="Arial" w:cs="Arial"/>
                <w:sz w:val="16"/>
                <w:szCs w:val="16"/>
              </w:rPr>
            </w:pPr>
            <w:r>
              <w:rPr>
                <w:rFonts w:ascii="Arial" w:hAnsi="Arial" w:cs="Arial"/>
                <w:sz w:val="16"/>
                <w:szCs w:val="16"/>
              </w:rPr>
              <w:t>-</w:t>
            </w:r>
          </w:p>
        </w:tc>
        <w:tc>
          <w:tcPr>
            <w:tcW w:w="946" w:type="dxa"/>
            <w:vAlign w:val="center"/>
          </w:tcPr>
          <w:p w14:paraId="2646FEBD" w14:textId="77777777" w:rsidR="00D14458" w:rsidRDefault="00A67DF0" w:rsidP="00676490">
            <w:pPr>
              <w:spacing w:line="300" w:lineRule="atLeast"/>
              <w:jc w:val="center"/>
              <w:rPr>
                <w:rFonts w:ascii="Arial" w:hAnsi="Arial" w:cs="Arial"/>
                <w:sz w:val="16"/>
                <w:szCs w:val="16"/>
              </w:rPr>
            </w:pPr>
            <w:r>
              <w:rPr>
                <w:rFonts w:ascii="Arial" w:hAnsi="Arial" w:cs="Arial"/>
                <w:sz w:val="16"/>
                <w:szCs w:val="16"/>
              </w:rPr>
              <w:t>-</w:t>
            </w:r>
          </w:p>
        </w:tc>
        <w:tc>
          <w:tcPr>
            <w:tcW w:w="850" w:type="dxa"/>
            <w:vAlign w:val="center"/>
          </w:tcPr>
          <w:p w14:paraId="0CA771AE" w14:textId="77777777" w:rsidR="00D14458" w:rsidRDefault="00A67DF0" w:rsidP="00676490">
            <w:pPr>
              <w:spacing w:line="300" w:lineRule="atLeast"/>
              <w:jc w:val="center"/>
              <w:rPr>
                <w:rFonts w:ascii="Arial" w:hAnsi="Arial" w:cs="Arial"/>
                <w:sz w:val="16"/>
                <w:szCs w:val="16"/>
              </w:rPr>
            </w:pPr>
            <w:r>
              <w:rPr>
                <w:rFonts w:ascii="Arial" w:hAnsi="Arial" w:cs="Arial"/>
                <w:sz w:val="16"/>
                <w:szCs w:val="16"/>
              </w:rPr>
              <w:t>-</w:t>
            </w:r>
          </w:p>
        </w:tc>
      </w:tr>
      <w:tr w:rsidR="00D14458" w:rsidRPr="007901FE" w14:paraId="08EB73F3" w14:textId="77777777" w:rsidTr="00114338">
        <w:tc>
          <w:tcPr>
            <w:tcW w:w="2410" w:type="dxa"/>
            <w:vAlign w:val="center"/>
          </w:tcPr>
          <w:p w14:paraId="154F6694" w14:textId="77777777" w:rsidR="00D14458" w:rsidRPr="005905F5" w:rsidRDefault="00D14458" w:rsidP="009855EE">
            <w:pPr>
              <w:spacing w:line="300" w:lineRule="atLeast"/>
              <w:rPr>
                <w:rFonts w:ascii="Arial" w:hAnsi="Arial" w:cs="Arial"/>
                <w:b/>
                <w:sz w:val="16"/>
                <w:szCs w:val="16"/>
              </w:rPr>
            </w:pPr>
            <w:r w:rsidRPr="005905F5">
              <w:rPr>
                <w:rFonts w:ascii="Arial" w:hAnsi="Arial" w:cs="Arial"/>
                <w:b/>
                <w:sz w:val="16"/>
                <w:szCs w:val="16"/>
              </w:rPr>
              <w:t>Totals</w:t>
            </w:r>
          </w:p>
        </w:tc>
        <w:tc>
          <w:tcPr>
            <w:tcW w:w="1701" w:type="dxa"/>
            <w:vAlign w:val="center"/>
          </w:tcPr>
          <w:p w14:paraId="221F05DF" w14:textId="21967721" w:rsidR="00D14458" w:rsidRPr="005905F5" w:rsidRDefault="009C00C2" w:rsidP="00683AD9">
            <w:pPr>
              <w:spacing w:line="300" w:lineRule="atLeast"/>
              <w:jc w:val="center"/>
              <w:rPr>
                <w:rFonts w:ascii="Arial" w:hAnsi="Arial" w:cs="Arial"/>
                <w:b/>
                <w:sz w:val="16"/>
                <w:szCs w:val="16"/>
              </w:rPr>
            </w:pPr>
            <w:r>
              <w:rPr>
                <w:rFonts w:ascii="Arial" w:hAnsi="Arial" w:cs="Arial"/>
                <w:b/>
                <w:sz w:val="16"/>
                <w:szCs w:val="16"/>
              </w:rPr>
              <w:t>19.7</w:t>
            </w:r>
            <w:r w:rsidR="005905F5">
              <w:rPr>
                <w:rFonts w:ascii="Arial" w:hAnsi="Arial" w:cs="Arial"/>
                <w:b/>
                <w:sz w:val="16"/>
                <w:szCs w:val="16"/>
              </w:rPr>
              <w:t xml:space="preserve"> – 184.2 </w:t>
            </w:r>
            <w:r>
              <w:rPr>
                <w:rFonts w:ascii="Arial" w:hAnsi="Arial" w:cs="Arial"/>
                <w:b/>
                <w:sz w:val="16"/>
                <w:szCs w:val="16"/>
              </w:rPr>
              <w:br/>
            </w:r>
            <w:r w:rsidR="005905F5">
              <w:rPr>
                <w:rFonts w:ascii="Arial" w:hAnsi="Arial" w:cs="Arial"/>
                <w:b/>
                <w:sz w:val="16"/>
                <w:szCs w:val="16"/>
              </w:rPr>
              <w:t>(102.4)</w:t>
            </w:r>
          </w:p>
        </w:tc>
        <w:tc>
          <w:tcPr>
            <w:tcW w:w="1701" w:type="dxa"/>
            <w:vAlign w:val="center"/>
          </w:tcPr>
          <w:p w14:paraId="1B310824" w14:textId="36253590" w:rsidR="00D14458" w:rsidRPr="005905F5" w:rsidRDefault="009C00C2" w:rsidP="009766C1">
            <w:pPr>
              <w:spacing w:line="300" w:lineRule="atLeast"/>
              <w:jc w:val="center"/>
              <w:rPr>
                <w:rFonts w:ascii="Arial" w:hAnsi="Arial" w:cs="Arial"/>
                <w:b/>
                <w:sz w:val="16"/>
                <w:szCs w:val="16"/>
              </w:rPr>
            </w:pPr>
            <w:r>
              <w:rPr>
                <w:rFonts w:ascii="Arial" w:hAnsi="Arial" w:cs="Arial"/>
                <w:b/>
                <w:sz w:val="16"/>
                <w:szCs w:val="16"/>
              </w:rPr>
              <w:t>18.</w:t>
            </w:r>
            <w:r w:rsidR="005905F5">
              <w:rPr>
                <w:rFonts w:ascii="Arial" w:hAnsi="Arial" w:cs="Arial"/>
                <w:b/>
                <w:sz w:val="16"/>
                <w:szCs w:val="16"/>
              </w:rPr>
              <w:t xml:space="preserve">9 – 183.4 </w:t>
            </w:r>
            <w:r>
              <w:rPr>
                <w:rFonts w:ascii="Arial" w:hAnsi="Arial" w:cs="Arial"/>
                <w:b/>
                <w:sz w:val="16"/>
                <w:szCs w:val="16"/>
              </w:rPr>
              <w:br/>
            </w:r>
            <w:r w:rsidR="005905F5">
              <w:rPr>
                <w:rFonts w:ascii="Arial" w:hAnsi="Arial" w:cs="Arial"/>
                <w:b/>
                <w:sz w:val="16"/>
                <w:szCs w:val="16"/>
              </w:rPr>
              <w:t>(101.6)</w:t>
            </w:r>
          </w:p>
        </w:tc>
        <w:tc>
          <w:tcPr>
            <w:tcW w:w="803" w:type="dxa"/>
            <w:vAlign w:val="center"/>
          </w:tcPr>
          <w:p w14:paraId="43121589" w14:textId="77777777" w:rsidR="00D14458" w:rsidRPr="005905F5" w:rsidRDefault="009855EE" w:rsidP="00676490">
            <w:pPr>
              <w:spacing w:line="300" w:lineRule="atLeast"/>
              <w:jc w:val="center"/>
              <w:rPr>
                <w:rFonts w:ascii="Arial" w:hAnsi="Arial" w:cs="Arial"/>
                <w:b/>
                <w:sz w:val="16"/>
                <w:szCs w:val="16"/>
              </w:rPr>
            </w:pPr>
            <w:r w:rsidRPr="005905F5">
              <w:rPr>
                <w:rFonts w:ascii="Arial" w:hAnsi="Arial" w:cs="Arial"/>
                <w:b/>
                <w:sz w:val="16"/>
                <w:szCs w:val="16"/>
              </w:rPr>
              <w:t>-</w:t>
            </w:r>
          </w:p>
        </w:tc>
        <w:tc>
          <w:tcPr>
            <w:tcW w:w="803" w:type="dxa"/>
            <w:vAlign w:val="center"/>
          </w:tcPr>
          <w:p w14:paraId="27D0F50C" w14:textId="77777777" w:rsidR="00D14458" w:rsidRPr="005905F5" w:rsidRDefault="009855EE" w:rsidP="00676490">
            <w:pPr>
              <w:spacing w:line="300" w:lineRule="atLeast"/>
              <w:jc w:val="center"/>
              <w:rPr>
                <w:rFonts w:ascii="Arial" w:hAnsi="Arial" w:cs="Arial"/>
                <w:b/>
                <w:sz w:val="16"/>
                <w:szCs w:val="16"/>
              </w:rPr>
            </w:pPr>
            <w:r w:rsidRPr="005905F5">
              <w:rPr>
                <w:rFonts w:ascii="Arial" w:hAnsi="Arial" w:cs="Arial"/>
                <w:b/>
                <w:sz w:val="16"/>
                <w:szCs w:val="16"/>
              </w:rPr>
              <w:t>-</w:t>
            </w:r>
          </w:p>
        </w:tc>
        <w:tc>
          <w:tcPr>
            <w:tcW w:w="946" w:type="dxa"/>
            <w:vAlign w:val="center"/>
          </w:tcPr>
          <w:p w14:paraId="1655A3C1" w14:textId="77777777" w:rsidR="00D14458" w:rsidRPr="005905F5" w:rsidRDefault="009855EE" w:rsidP="00676490">
            <w:pPr>
              <w:spacing w:line="300" w:lineRule="atLeast"/>
              <w:jc w:val="center"/>
              <w:rPr>
                <w:rFonts w:ascii="Arial" w:hAnsi="Arial" w:cs="Arial"/>
                <w:b/>
                <w:sz w:val="16"/>
                <w:szCs w:val="16"/>
              </w:rPr>
            </w:pPr>
            <w:r w:rsidRPr="005905F5">
              <w:rPr>
                <w:rFonts w:ascii="Arial" w:hAnsi="Arial" w:cs="Arial"/>
                <w:b/>
                <w:sz w:val="16"/>
                <w:szCs w:val="16"/>
              </w:rPr>
              <w:t>-</w:t>
            </w:r>
          </w:p>
        </w:tc>
        <w:tc>
          <w:tcPr>
            <w:tcW w:w="850" w:type="dxa"/>
            <w:vAlign w:val="center"/>
          </w:tcPr>
          <w:p w14:paraId="6E77E725" w14:textId="6AD08CB6" w:rsidR="00D14458" w:rsidRPr="004E3E02" w:rsidRDefault="00A67DF0" w:rsidP="00676490">
            <w:pPr>
              <w:spacing w:line="300" w:lineRule="atLeast"/>
              <w:jc w:val="center"/>
              <w:rPr>
                <w:rFonts w:ascii="Arial" w:hAnsi="Arial" w:cs="Arial"/>
                <w:b/>
                <w:sz w:val="16"/>
                <w:szCs w:val="16"/>
              </w:rPr>
            </w:pPr>
            <w:r w:rsidRPr="005905F5">
              <w:rPr>
                <w:rFonts w:ascii="Arial" w:hAnsi="Arial" w:cs="Arial"/>
                <w:b/>
                <w:sz w:val="16"/>
                <w:szCs w:val="16"/>
              </w:rPr>
              <w:t>0.8</w:t>
            </w:r>
          </w:p>
        </w:tc>
      </w:tr>
    </w:tbl>
    <w:p w14:paraId="4BCBEE58" w14:textId="0131ADF5" w:rsidR="00AB6D27" w:rsidRDefault="00AB6D27" w:rsidP="003833D6">
      <w:pPr>
        <w:spacing w:line="300" w:lineRule="atLeast"/>
        <w:jc w:val="both"/>
        <w:rPr>
          <w:szCs w:val="18"/>
        </w:rPr>
      </w:pPr>
    </w:p>
    <w:p w14:paraId="6983813B" w14:textId="77777777" w:rsidR="00D16E72" w:rsidRDefault="00D16E72">
      <w:pPr>
        <w:spacing w:after="0"/>
        <w:rPr>
          <w:szCs w:val="18"/>
        </w:rPr>
      </w:pPr>
      <w:r>
        <w:rPr>
          <w:szCs w:val="18"/>
        </w:rPr>
        <w:br w:type="page"/>
      </w:r>
    </w:p>
    <w:p w14:paraId="75019769" w14:textId="77777777" w:rsidR="00D16E72" w:rsidRDefault="00300092" w:rsidP="00D16E72">
      <w:pPr>
        <w:pStyle w:val="Heading1"/>
      </w:pPr>
      <w:bookmarkStart w:id="152" w:name="_Toc484949621"/>
      <w:r>
        <w:lastRenderedPageBreak/>
        <w:t>Waste deposition/landfilling and wastewater treatment</w:t>
      </w:r>
      <w:bookmarkEnd w:id="152"/>
    </w:p>
    <w:p w14:paraId="591A9553" w14:textId="77777777" w:rsidR="00D16E72" w:rsidRDefault="00D16E72" w:rsidP="003833D6">
      <w:pPr>
        <w:spacing w:line="300" w:lineRule="atLeast"/>
        <w:jc w:val="both"/>
        <w:rPr>
          <w:szCs w:val="18"/>
        </w:rPr>
      </w:pPr>
    </w:p>
    <w:p w14:paraId="6BDF667E" w14:textId="6E58264C" w:rsidR="00D86641" w:rsidRDefault="00D86641" w:rsidP="003833D6">
      <w:pPr>
        <w:spacing w:line="300" w:lineRule="atLeast"/>
        <w:jc w:val="both"/>
        <w:rPr>
          <w:szCs w:val="18"/>
        </w:rPr>
      </w:pPr>
      <w:r w:rsidRPr="00D86641">
        <w:rPr>
          <w:szCs w:val="18"/>
        </w:rPr>
        <w:t xml:space="preserve">This category covers mercury releases from the </w:t>
      </w:r>
      <w:r>
        <w:rPr>
          <w:szCs w:val="18"/>
        </w:rPr>
        <w:t>disposal of solid and liquid</w:t>
      </w:r>
      <w:r w:rsidRPr="00D86641">
        <w:rPr>
          <w:szCs w:val="18"/>
        </w:rPr>
        <w:t xml:space="preserve"> wastes</w:t>
      </w:r>
      <w:r>
        <w:rPr>
          <w:szCs w:val="18"/>
        </w:rPr>
        <w:t xml:space="preserve"> by landfilling, dumping, or discharge to wastewater treatment systems</w:t>
      </w:r>
      <w:r w:rsidRPr="00D86641">
        <w:rPr>
          <w:szCs w:val="18"/>
        </w:rPr>
        <w:t xml:space="preserve"> (</w:t>
      </w:r>
      <w:r w:rsidR="00C738EC">
        <w:rPr>
          <w:szCs w:val="18"/>
        </w:rPr>
        <w:t>UNEP, 2017</w:t>
      </w:r>
      <w:r w:rsidRPr="00D86641">
        <w:rPr>
          <w:szCs w:val="18"/>
        </w:rPr>
        <w:t>). The various sub-categories and the primary release pathways are summarised in</w:t>
      </w:r>
      <w:r>
        <w:rPr>
          <w:szCs w:val="18"/>
        </w:rPr>
        <w:t xml:space="preserve"> </w:t>
      </w:r>
      <w:r w:rsidRPr="00A445F9">
        <w:rPr>
          <w:szCs w:val="18"/>
        </w:rPr>
        <w:fldChar w:fldCharType="begin"/>
      </w:r>
      <w:r w:rsidRPr="004A6C5C">
        <w:rPr>
          <w:szCs w:val="18"/>
        </w:rPr>
        <w:instrText xml:space="preserve"> REF _Ref358552390 \h </w:instrText>
      </w:r>
      <w:r w:rsidR="004A6C5C">
        <w:rPr>
          <w:szCs w:val="18"/>
        </w:rPr>
        <w:instrText xml:space="preserve"> \* MERGEFORMAT </w:instrText>
      </w:r>
      <w:r w:rsidRPr="00A445F9">
        <w:rPr>
          <w:szCs w:val="18"/>
        </w:rPr>
      </w:r>
      <w:r w:rsidRPr="00A445F9">
        <w:rPr>
          <w:szCs w:val="18"/>
        </w:rPr>
        <w:fldChar w:fldCharType="separate"/>
      </w:r>
      <w:r w:rsidR="00423FC9" w:rsidRPr="00423FC9">
        <w:t xml:space="preserve">Table </w:t>
      </w:r>
      <w:r w:rsidR="00423FC9" w:rsidRPr="00423FC9">
        <w:rPr>
          <w:noProof/>
        </w:rPr>
        <w:t>11</w:t>
      </w:r>
      <w:r w:rsidR="00423FC9" w:rsidRPr="00423FC9">
        <w:rPr>
          <w:noProof/>
        </w:rPr>
        <w:noBreakHyphen/>
        <w:t>1</w:t>
      </w:r>
      <w:r w:rsidRPr="00A445F9">
        <w:rPr>
          <w:szCs w:val="18"/>
        </w:rPr>
        <w:fldChar w:fldCharType="end"/>
      </w:r>
      <w:r w:rsidR="00DB09D1" w:rsidRPr="004A6C5C">
        <w:rPr>
          <w:szCs w:val="18"/>
        </w:rPr>
        <w:t>,</w:t>
      </w:r>
      <w:r w:rsidR="00DB09D1" w:rsidRPr="00DB09D1">
        <w:rPr>
          <w:szCs w:val="18"/>
        </w:rPr>
        <w:t xml:space="preserve"> which has been copied directly from the UNEP Toolkit</w:t>
      </w:r>
      <w:r w:rsidRPr="00D86641">
        <w:rPr>
          <w:szCs w:val="18"/>
        </w:rPr>
        <w:t>.</w:t>
      </w:r>
      <w:r>
        <w:rPr>
          <w:szCs w:val="18"/>
        </w:rPr>
        <w:t xml:space="preserve"> </w:t>
      </w:r>
    </w:p>
    <w:p w14:paraId="746BEBB4" w14:textId="77777777" w:rsidR="00D16E72" w:rsidRDefault="00D86641" w:rsidP="003833D6">
      <w:pPr>
        <w:spacing w:line="300" w:lineRule="atLeast"/>
        <w:jc w:val="both"/>
        <w:rPr>
          <w:szCs w:val="18"/>
        </w:rPr>
      </w:pPr>
      <w:r>
        <w:rPr>
          <w:szCs w:val="18"/>
        </w:rPr>
        <w:t>Information on the handling and disposal of mercury-containing wastes by specialist waste management companies will also be covered at the end of this section. This includes exporting for treatment and disposal in other countries.</w:t>
      </w:r>
      <w:r w:rsidR="000C2BDC">
        <w:rPr>
          <w:szCs w:val="18"/>
        </w:rPr>
        <w:t xml:space="preserve"> </w:t>
      </w:r>
    </w:p>
    <w:p w14:paraId="6B3E4303" w14:textId="77777777" w:rsidR="00D16E72" w:rsidRDefault="00300092" w:rsidP="00300092">
      <w:pPr>
        <w:pStyle w:val="Caption"/>
        <w:spacing w:before="240"/>
        <w:ind w:left="1440" w:hanging="1440"/>
        <w:rPr>
          <w:szCs w:val="18"/>
        </w:rPr>
      </w:pPr>
      <w:bookmarkStart w:id="153" w:name="_Ref358552390"/>
      <w:bookmarkStart w:id="154" w:name="_Toc484949672"/>
      <w:r w:rsidRPr="00FE6C76">
        <w:rPr>
          <w:rFonts w:ascii="Arial" w:hAnsi="Arial" w:cs="Arial"/>
        </w:rPr>
        <w:t xml:space="preserve">Table </w:t>
      </w:r>
      <w:r w:rsidR="00390C9F">
        <w:rPr>
          <w:rFonts w:ascii="Arial" w:hAnsi="Arial" w:cs="Arial"/>
        </w:rPr>
        <w:fldChar w:fldCharType="begin"/>
      </w:r>
      <w:r w:rsidR="00390C9F">
        <w:rPr>
          <w:rFonts w:ascii="Arial" w:hAnsi="Arial" w:cs="Arial"/>
        </w:rPr>
        <w:instrText xml:space="preserve"> STYLEREF 1 \s </w:instrText>
      </w:r>
      <w:r w:rsidR="00390C9F">
        <w:rPr>
          <w:rFonts w:ascii="Arial" w:hAnsi="Arial" w:cs="Arial"/>
        </w:rPr>
        <w:fldChar w:fldCharType="separate"/>
      </w:r>
      <w:r w:rsidR="00423FC9">
        <w:rPr>
          <w:rFonts w:ascii="Arial" w:hAnsi="Arial" w:cs="Arial"/>
          <w:noProof/>
        </w:rPr>
        <w:t>11</w:t>
      </w:r>
      <w:r w:rsidR="00390C9F">
        <w:rPr>
          <w:rFonts w:ascii="Arial" w:hAnsi="Arial" w:cs="Arial"/>
        </w:rPr>
        <w:fldChar w:fldCharType="end"/>
      </w:r>
      <w:r w:rsidR="00390C9F">
        <w:rPr>
          <w:rFonts w:ascii="Arial" w:hAnsi="Arial" w:cs="Arial"/>
        </w:rPr>
        <w:noBreakHyphen/>
      </w:r>
      <w:r w:rsidR="00390C9F">
        <w:rPr>
          <w:rFonts w:ascii="Arial" w:hAnsi="Arial" w:cs="Arial"/>
        </w:rPr>
        <w:fldChar w:fldCharType="begin"/>
      </w:r>
      <w:r w:rsidR="00390C9F">
        <w:rPr>
          <w:rFonts w:ascii="Arial" w:hAnsi="Arial" w:cs="Arial"/>
        </w:rPr>
        <w:instrText xml:space="preserve"> SEQ Table \* ARABIC \s 1 </w:instrText>
      </w:r>
      <w:r w:rsidR="00390C9F">
        <w:rPr>
          <w:rFonts w:ascii="Arial" w:hAnsi="Arial" w:cs="Arial"/>
        </w:rPr>
        <w:fldChar w:fldCharType="separate"/>
      </w:r>
      <w:r w:rsidR="00423FC9">
        <w:rPr>
          <w:rFonts w:ascii="Arial" w:hAnsi="Arial" w:cs="Arial"/>
          <w:noProof/>
        </w:rPr>
        <w:t>1</w:t>
      </w:r>
      <w:r w:rsidR="00390C9F">
        <w:rPr>
          <w:rFonts w:ascii="Arial" w:hAnsi="Arial" w:cs="Arial"/>
        </w:rPr>
        <w:fldChar w:fldCharType="end"/>
      </w:r>
      <w:bookmarkEnd w:id="153"/>
      <w:r w:rsidRPr="00FE6C76">
        <w:rPr>
          <w:rFonts w:ascii="Arial" w:hAnsi="Arial" w:cs="Arial"/>
        </w:rPr>
        <w:t>:</w:t>
      </w:r>
      <w:r>
        <w:t xml:space="preserve">  </w:t>
      </w:r>
      <w:r w:rsidR="00D16E72" w:rsidRPr="003D7CC9">
        <w:rPr>
          <w:rFonts w:ascii="Arial" w:hAnsi="Arial" w:cs="Arial"/>
        </w:rPr>
        <w:t>T</w:t>
      </w:r>
      <w:r w:rsidR="00D16E72">
        <w:rPr>
          <w:rFonts w:ascii="Arial" w:hAnsi="Arial" w:cs="Arial"/>
        </w:rPr>
        <w:t xml:space="preserve">oolkit framework for category </w:t>
      </w:r>
      <w:r>
        <w:rPr>
          <w:rFonts w:ascii="Arial" w:hAnsi="Arial" w:cs="Arial"/>
        </w:rPr>
        <w:t>9</w:t>
      </w:r>
      <w:r w:rsidR="00D16E72">
        <w:rPr>
          <w:rFonts w:ascii="Arial" w:hAnsi="Arial" w:cs="Arial"/>
        </w:rPr>
        <w:t xml:space="preserve"> – </w:t>
      </w:r>
      <w:r>
        <w:rPr>
          <w:rFonts w:ascii="Arial" w:hAnsi="Arial" w:cs="Arial"/>
        </w:rPr>
        <w:t>waste deposition/landfilling and wastewater treatment</w:t>
      </w:r>
      <w:bookmarkEnd w:id="1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850"/>
        <w:gridCol w:w="851"/>
        <w:gridCol w:w="851"/>
        <w:gridCol w:w="992"/>
        <w:gridCol w:w="992"/>
        <w:gridCol w:w="1099"/>
      </w:tblGrid>
      <w:tr w:rsidR="00D16E72" w:rsidRPr="004901F2" w14:paraId="2D744FB9" w14:textId="77777777" w:rsidTr="00284F82">
        <w:tc>
          <w:tcPr>
            <w:tcW w:w="851" w:type="dxa"/>
            <w:shd w:val="clear" w:color="auto" w:fill="auto"/>
            <w:vAlign w:val="center"/>
          </w:tcPr>
          <w:p w14:paraId="4E9DB636"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Toolkit Chapter</w:t>
            </w:r>
          </w:p>
        </w:tc>
        <w:tc>
          <w:tcPr>
            <w:tcW w:w="2693" w:type="dxa"/>
            <w:shd w:val="clear" w:color="auto" w:fill="auto"/>
            <w:vAlign w:val="center"/>
          </w:tcPr>
          <w:p w14:paraId="136413A8"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Sub-category</w:t>
            </w:r>
          </w:p>
        </w:tc>
        <w:tc>
          <w:tcPr>
            <w:tcW w:w="850" w:type="dxa"/>
            <w:shd w:val="clear" w:color="auto" w:fill="auto"/>
            <w:vAlign w:val="center"/>
          </w:tcPr>
          <w:p w14:paraId="0152C5F0"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Air</w:t>
            </w:r>
          </w:p>
        </w:tc>
        <w:tc>
          <w:tcPr>
            <w:tcW w:w="851" w:type="dxa"/>
            <w:shd w:val="clear" w:color="auto" w:fill="auto"/>
            <w:vAlign w:val="center"/>
          </w:tcPr>
          <w:p w14:paraId="5F803A9D"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Water</w:t>
            </w:r>
          </w:p>
        </w:tc>
        <w:tc>
          <w:tcPr>
            <w:tcW w:w="851" w:type="dxa"/>
            <w:shd w:val="clear" w:color="auto" w:fill="auto"/>
            <w:vAlign w:val="center"/>
          </w:tcPr>
          <w:p w14:paraId="55557C3E"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Land</w:t>
            </w:r>
          </w:p>
        </w:tc>
        <w:tc>
          <w:tcPr>
            <w:tcW w:w="992" w:type="dxa"/>
            <w:shd w:val="clear" w:color="auto" w:fill="auto"/>
            <w:vAlign w:val="center"/>
          </w:tcPr>
          <w:p w14:paraId="4B8C2858"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Product</w:t>
            </w:r>
          </w:p>
        </w:tc>
        <w:tc>
          <w:tcPr>
            <w:tcW w:w="992" w:type="dxa"/>
            <w:shd w:val="clear" w:color="auto" w:fill="auto"/>
            <w:vAlign w:val="center"/>
          </w:tcPr>
          <w:p w14:paraId="5AF49F4B"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Waste/ residue</w:t>
            </w:r>
          </w:p>
        </w:tc>
        <w:tc>
          <w:tcPr>
            <w:tcW w:w="1099" w:type="dxa"/>
            <w:shd w:val="clear" w:color="auto" w:fill="auto"/>
            <w:vAlign w:val="center"/>
          </w:tcPr>
          <w:p w14:paraId="758FEC97"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Main approach</w:t>
            </w:r>
          </w:p>
        </w:tc>
      </w:tr>
      <w:tr w:rsidR="00D16E72" w:rsidRPr="004901F2" w14:paraId="0B04A916" w14:textId="77777777" w:rsidTr="00284F82">
        <w:tc>
          <w:tcPr>
            <w:tcW w:w="851" w:type="dxa"/>
            <w:shd w:val="clear" w:color="auto" w:fill="auto"/>
            <w:vAlign w:val="center"/>
          </w:tcPr>
          <w:p w14:paraId="62233137" w14:textId="77777777" w:rsidR="00D16E72" w:rsidRPr="004901F2" w:rsidRDefault="00300092" w:rsidP="00284F82">
            <w:pPr>
              <w:spacing w:before="40" w:after="40" w:line="300" w:lineRule="atLeast"/>
              <w:rPr>
                <w:rFonts w:ascii="Arial" w:hAnsi="Arial" w:cs="Arial"/>
                <w:sz w:val="16"/>
                <w:szCs w:val="16"/>
              </w:rPr>
            </w:pPr>
            <w:r>
              <w:rPr>
                <w:rFonts w:ascii="Arial" w:hAnsi="Arial" w:cs="Arial"/>
                <w:sz w:val="16"/>
                <w:szCs w:val="16"/>
              </w:rPr>
              <w:t>5.9</w:t>
            </w:r>
            <w:r w:rsidR="00D16E72" w:rsidRPr="004901F2">
              <w:rPr>
                <w:rFonts w:ascii="Arial" w:hAnsi="Arial" w:cs="Arial"/>
                <w:sz w:val="16"/>
                <w:szCs w:val="16"/>
              </w:rPr>
              <w:t>.1</w:t>
            </w:r>
          </w:p>
        </w:tc>
        <w:tc>
          <w:tcPr>
            <w:tcW w:w="2693" w:type="dxa"/>
            <w:shd w:val="clear" w:color="auto" w:fill="auto"/>
            <w:vAlign w:val="center"/>
          </w:tcPr>
          <w:p w14:paraId="7B23EFFB" w14:textId="77777777" w:rsidR="00D16E72" w:rsidRPr="004901F2" w:rsidRDefault="00E00C82" w:rsidP="00284F82">
            <w:pPr>
              <w:spacing w:line="300" w:lineRule="atLeast"/>
              <w:rPr>
                <w:rFonts w:ascii="Arial" w:hAnsi="Arial" w:cs="Arial"/>
                <w:sz w:val="16"/>
                <w:szCs w:val="16"/>
              </w:rPr>
            </w:pPr>
            <w:r>
              <w:rPr>
                <w:rFonts w:ascii="Arial" w:hAnsi="Arial" w:cs="Arial"/>
                <w:sz w:val="16"/>
                <w:szCs w:val="16"/>
              </w:rPr>
              <w:t>Controlled landfills/deposits</w:t>
            </w:r>
          </w:p>
        </w:tc>
        <w:tc>
          <w:tcPr>
            <w:tcW w:w="850" w:type="dxa"/>
            <w:shd w:val="clear" w:color="auto" w:fill="auto"/>
            <w:vAlign w:val="center"/>
          </w:tcPr>
          <w:p w14:paraId="2CBA6AB1" w14:textId="77777777" w:rsidR="00D16E72" w:rsidRPr="008A451E" w:rsidRDefault="008A451E" w:rsidP="00284F82">
            <w:pPr>
              <w:spacing w:before="40" w:after="40" w:line="300" w:lineRule="atLeast"/>
              <w:jc w:val="center"/>
              <w:rPr>
                <w:rFonts w:ascii="Arial" w:hAnsi="Arial" w:cs="Arial"/>
                <w:sz w:val="16"/>
                <w:szCs w:val="16"/>
              </w:rPr>
            </w:pPr>
            <w:r w:rsidRPr="008A451E">
              <w:rPr>
                <w:rFonts w:ascii="Arial" w:hAnsi="Arial" w:cs="Arial"/>
                <w:sz w:val="16"/>
                <w:szCs w:val="16"/>
              </w:rPr>
              <w:t>x</w:t>
            </w:r>
          </w:p>
        </w:tc>
        <w:tc>
          <w:tcPr>
            <w:tcW w:w="851" w:type="dxa"/>
            <w:shd w:val="clear" w:color="auto" w:fill="auto"/>
            <w:vAlign w:val="center"/>
          </w:tcPr>
          <w:p w14:paraId="069BE18B" w14:textId="77777777" w:rsidR="00D16E72" w:rsidRPr="004901F2" w:rsidRDefault="008A451E" w:rsidP="00284F82">
            <w:pPr>
              <w:spacing w:before="40" w:after="40" w:line="300" w:lineRule="atLeast"/>
              <w:jc w:val="center"/>
              <w:rPr>
                <w:rFonts w:ascii="Arial" w:hAnsi="Arial" w:cs="Arial"/>
                <w:sz w:val="16"/>
                <w:szCs w:val="16"/>
              </w:rPr>
            </w:pPr>
            <w:r>
              <w:rPr>
                <w:rFonts w:ascii="Arial" w:hAnsi="Arial" w:cs="Arial"/>
                <w:sz w:val="16"/>
                <w:szCs w:val="16"/>
              </w:rPr>
              <w:t>x</w:t>
            </w:r>
          </w:p>
        </w:tc>
        <w:tc>
          <w:tcPr>
            <w:tcW w:w="851" w:type="dxa"/>
            <w:shd w:val="clear" w:color="auto" w:fill="auto"/>
            <w:vAlign w:val="center"/>
          </w:tcPr>
          <w:p w14:paraId="252851C9"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16D66004" w14:textId="77777777" w:rsidR="00D16E72" w:rsidRPr="004901F2" w:rsidRDefault="00D16E72" w:rsidP="00284F82">
            <w:pPr>
              <w:spacing w:before="40" w:after="40" w:line="300" w:lineRule="atLeast"/>
              <w:jc w:val="center"/>
              <w:rPr>
                <w:rFonts w:ascii="Arial" w:hAnsi="Arial" w:cs="Arial"/>
                <w:sz w:val="16"/>
                <w:szCs w:val="16"/>
              </w:rPr>
            </w:pPr>
          </w:p>
        </w:tc>
        <w:tc>
          <w:tcPr>
            <w:tcW w:w="992" w:type="dxa"/>
            <w:shd w:val="clear" w:color="auto" w:fill="auto"/>
            <w:vAlign w:val="center"/>
          </w:tcPr>
          <w:p w14:paraId="392E44AF"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1099" w:type="dxa"/>
            <w:shd w:val="clear" w:color="auto" w:fill="auto"/>
            <w:vAlign w:val="center"/>
          </w:tcPr>
          <w:p w14:paraId="3F0DAF23" w14:textId="77777777" w:rsidR="00D16E72" w:rsidRPr="004901F2" w:rsidRDefault="008C7CEF" w:rsidP="00284F82">
            <w:pPr>
              <w:spacing w:before="40" w:after="40" w:line="300" w:lineRule="atLeast"/>
              <w:jc w:val="center"/>
              <w:rPr>
                <w:rFonts w:ascii="Arial" w:hAnsi="Arial" w:cs="Arial"/>
                <w:sz w:val="16"/>
                <w:szCs w:val="16"/>
              </w:rPr>
            </w:pPr>
            <w:r w:rsidRPr="008C7CEF">
              <w:rPr>
                <w:rFonts w:ascii="Arial" w:hAnsi="Arial" w:cs="Arial"/>
                <w:sz w:val="16"/>
                <w:szCs w:val="16"/>
              </w:rPr>
              <w:t>OW</w:t>
            </w:r>
          </w:p>
        </w:tc>
      </w:tr>
      <w:tr w:rsidR="00D16E72" w:rsidRPr="004901F2" w14:paraId="25ED503B" w14:textId="77777777" w:rsidTr="00284F82">
        <w:tc>
          <w:tcPr>
            <w:tcW w:w="851" w:type="dxa"/>
            <w:shd w:val="clear" w:color="auto" w:fill="auto"/>
            <w:vAlign w:val="center"/>
          </w:tcPr>
          <w:p w14:paraId="4CD75C86" w14:textId="77777777" w:rsidR="00D16E72" w:rsidRPr="004901F2" w:rsidRDefault="00300092" w:rsidP="00284F82">
            <w:pPr>
              <w:spacing w:before="40" w:after="40" w:line="300" w:lineRule="atLeast"/>
              <w:rPr>
                <w:rFonts w:ascii="Arial" w:hAnsi="Arial" w:cs="Arial"/>
                <w:sz w:val="16"/>
                <w:szCs w:val="16"/>
              </w:rPr>
            </w:pPr>
            <w:r>
              <w:rPr>
                <w:rFonts w:ascii="Arial" w:hAnsi="Arial" w:cs="Arial"/>
                <w:sz w:val="16"/>
                <w:szCs w:val="16"/>
              </w:rPr>
              <w:t>5.9</w:t>
            </w:r>
            <w:r w:rsidR="00D16E72" w:rsidRPr="004901F2">
              <w:rPr>
                <w:rFonts w:ascii="Arial" w:hAnsi="Arial" w:cs="Arial"/>
                <w:sz w:val="16"/>
                <w:szCs w:val="16"/>
              </w:rPr>
              <w:t>.2</w:t>
            </w:r>
          </w:p>
        </w:tc>
        <w:tc>
          <w:tcPr>
            <w:tcW w:w="2693" w:type="dxa"/>
            <w:shd w:val="clear" w:color="auto" w:fill="auto"/>
            <w:vAlign w:val="center"/>
          </w:tcPr>
          <w:p w14:paraId="7D056EF9" w14:textId="77777777" w:rsidR="00D16E72" w:rsidRPr="004901F2" w:rsidRDefault="00E00C82" w:rsidP="00284F82">
            <w:pPr>
              <w:spacing w:before="40" w:after="40" w:line="300" w:lineRule="atLeast"/>
              <w:rPr>
                <w:rFonts w:ascii="Arial" w:hAnsi="Arial" w:cs="Arial"/>
                <w:sz w:val="16"/>
                <w:szCs w:val="16"/>
              </w:rPr>
            </w:pPr>
            <w:r>
              <w:rPr>
                <w:rFonts w:ascii="Arial" w:hAnsi="Arial" w:cs="Arial"/>
                <w:sz w:val="16"/>
                <w:szCs w:val="16"/>
              </w:rPr>
              <w:t>Diffuse deposition with some control</w:t>
            </w:r>
          </w:p>
        </w:tc>
        <w:tc>
          <w:tcPr>
            <w:tcW w:w="850" w:type="dxa"/>
            <w:shd w:val="clear" w:color="auto" w:fill="auto"/>
            <w:vAlign w:val="center"/>
          </w:tcPr>
          <w:p w14:paraId="547F2EAE" w14:textId="77777777" w:rsidR="00D16E72" w:rsidRPr="008A451E" w:rsidRDefault="008A451E" w:rsidP="00284F82">
            <w:pPr>
              <w:spacing w:before="40" w:after="40" w:line="300" w:lineRule="atLeast"/>
              <w:jc w:val="center"/>
              <w:rPr>
                <w:rFonts w:ascii="Arial" w:hAnsi="Arial" w:cs="Arial"/>
                <w:sz w:val="16"/>
                <w:szCs w:val="16"/>
              </w:rPr>
            </w:pPr>
            <w:r w:rsidRPr="008A451E">
              <w:rPr>
                <w:rFonts w:ascii="Arial" w:hAnsi="Arial" w:cs="Arial"/>
                <w:sz w:val="16"/>
                <w:szCs w:val="16"/>
              </w:rPr>
              <w:t>x</w:t>
            </w:r>
          </w:p>
        </w:tc>
        <w:tc>
          <w:tcPr>
            <w:tcW w:w="851" w:type="dxa"/>
            <w:shd w:val="clear" w:color="auto" w:fill="auto"/>
            <w:vAlign w:val="center"/>
          </w:tcPr>
          <w:p w14:paraId="2E2EBC87" w14:textId="77777777" w:rsidR="00D16E72" w:rsidRPr="004901F2" w:rsidRDefault="00D16E72" w:rsidP="00284F82">
            <w:pPr>
              <w:spacing w:before="40" w:after="40" w:line="300" w:lineRule="atLeast"/>
              <w:jc w:val="center"/>
              <w:rPr>
                <w:rFonts w:ascii="Arial" w:hAnsi="Arial" w:cs="Arial"/>
                <w:sz w:val="16"/>
                <w:szCs w:val="16"/>
              </w:rPr>
            </w:pPr>
            <w:r w:rsidRPr="00177AB0">
              <w:rPr>
                <w:rFonts w:ascii="Arial" w:hAnsi="Arial" w:cs="Arial"/>
                <w:b/>
                <w:sz w:val="16"/>
                <w:szCs w:val="16"/>
              </w:rPr>
              <w:t>X</w:t>
            </w:r>
          </w:p>
        </w:tc>
        <w:tc>
          <w:tcPr>
            <w:tcW w:w="851" w:type="dxa"/>
            <w:shd w:val="clear" w:color="auto" w:fill="auto"/>
            <w:vAlign w:val="center"/>
          </w:tcPr>
          <w:p w14:paraId="52034F6C"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640ACDE8" w14:textId="77777777" w:rsidR="00D16E72" w:rsidRPr="004901F2" w:rsidRDefault="00D16E72" w:rsidP="00284F82">
            <w:pPr>
              <w:spacing w:before="40" w:after="40" w:line="300" w:lineRule="atLeast"/>
              <w:jc w:val="center"/>
              <w:rPr>
                <w:rFonts w:ascii="Arial" w:hAnsi="Arial" w:cs="Arial"/>
                <w:sz w:val="16"/>
                <w:szCs w:val="16"/>
              </w:rPr>
            </w:pPr>
          </w:p>
        </w:tc>
        <w:tc>
          <w:tcPr>
            <w:tcW w:w="992" w:type="dxa"/>
            <w:shd w:val="clear" w:color="auto" w:fill="auto"/>
            <w:vAlign w:val="center"/>
          </w:tcPr>
          <w:p w14:paraId="0D8A17CC" w14:textId="77777777" w:rsidR="00D16E72" w:rsidRPr="004901F2" w:rsidRDefault="008A451E" w:rsidP="00284F82">
            <w:pPr>
              <w:spacing w:before="40" w:after="40" w:line="300" w:lineRule="atLeast"/>
              <w:jc w:val="center"/>
              <w:rPr>
                <w:rFonts w:ascii="Arial" w:hAnsi="Arial" w:cs="Arial"/>
                <w:sz w:val="16"/>
                <w:szCs w:val="16"/>
              </w:rPr>
            </w:pPr>
            <w:r w:rsidRPr="00177AB0">
              <w:rPr>
                <w:rFonts w:ascii="Arial" w:hAnsi="Arial" w:cs="Arial"/>
                <w:b/>
                <w:sz w:val="16"/>
                <w:szCs w:val="16"/>
              </w:rPr>
              <w:t>X</w:t>
            </w:r>
          </w:p>
        </w:tc>
        <w:tc>
          <w:tcPr>
            <w:tcW w:w="1099" w:type="dxa"/>
            <w:shd w:val="clear" w:color="auto" w:fill="auto"/>
            <w:vAlign w:val="center"/>
          </w:tcPr>
          <w:p w14:paraId="05BFB0C6"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sz w:val="16"/>
                <w:szCs w:val="16"/>
              </w:rPr>
              <w:t>OW</w:t>
            </w:r>
          </w:p>
        </w:tc>
      </w:tr>
      <w:tr w:rsidR="00D16E72" w:rsidRPr="004901F2" w14:paraId="514F526D" w14:textId="77777777" w:rsidTr="00284F82">
        <w:tc>
          <w:tcPr>
            <w:tcW w:w="851" w:type="dxa"/>
            <w:shd w:val="clear" w:color="auto" w:fill="auto"/>
            <w:vAlign w:val="center"/>
          </w:tcPr>
          <w:p w14:paraId="1C2BB908" w14:textId="77777777" w:rsidR="00D16E72" w:rsidRPr="004901F2" w:rsidRDefault="00300092" w:rsidP="00284F82">
            <w:pPr>
              <w:spacing w:before="40" w:after="40" w:line="300" w:lineRule="atLeast"/>
              <w:rPr>
                <w:rFonts w:ascii="Arial" w:hAnsi="Arial" w:cs="Arial"/>
                <w:sz w:val="16"/>
                <w:szCs w:val="16"/>
              </w:rPr>
            </w:pPr>
            <w:r>
              <w:rPr>
                <w:rFonts w:ascii="Arial" w:hAnsi="Arial" w:cs="Arial"/>
                <w:sz w:val="16"/>
                <w:szCs w:val="16"/>
              </w:rPr>
              <w:t>5.9</w:t>
            </w:r>
            <w:r w:rsidR="00D16E72" w:rsidRPr="004901F2">
              <w:rPr>
                <w:rFonts w:ascii="Arial" w:hAnsi="Arial" w:cs="Arial"/>
                <w:sz w:val="16"/>
                <w:szCs w:val="16"/>
              </w:rPr>
              <w:t>.3</w:t>
            </w:r>
          </w:p>
        </w:tc>
        <w:tc>
          <w:tcPr>
            <w:tcW w:w="2693" w:type="dxa"/>
            <w:shd w:val="clear" w:color="auto" w:fill="auto"/>
            <w:vAlign w:val="center"/>
          </w:tcPr>
          <w:p w14:paraId="54663A54" w14:textId="77777777" w:rsidR="00D16E72" w:rsidRPr="004901F2" w:rsidRDefault="00E00C82" w:rsidP="00284F82">
            <w:pPr>
              <w:spacing w:line="300" w:lineRule="atLeast"/>
              <w:rPr>
                <w:rFonts w:ascii="Arial" w:hAnsi="Arial" w:cs="Arial"/>
                <w:sz w:val="16"/>
                <w:szCs w:val="16"/>
              </w:rPr>
            </w:pPr>
            <w:r>
              <w:rPr>
                <w:rFonts w:ascii="Arial" w:hAnsi="Arial" w:cs="Arial"/>
                <w:sz w:val="16"/>
                <w:szCs w:val="16"/>
              </w:rPr>
              <w:t>Informal local disposal of industrial wastes</w:t>
            </w:r>
          </w:p>
        </w:tc>
        <w:tc>
          <w:tcPr>
            <w:tcW w:w="850" w:type="dxa"/>
            <w:shd w:val="clear" w:color="auto" w:fill="auto"/>
            <w:vAlign w:val="center"/>
          </w:tcPr>
          <w:p w14:paraId="70D87ADC"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3BEE3BAA"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3D73B868"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1B764AD8" w14:textId="77777777" w:rsidR="00D16E72" w:rsidRPr="004901F2" w:rsidRDefault="00D16E72" w:rsidP="00284F82">
            <w:pPr>
              <w:spacing w:before="40" w:after="40" w:line="300" w:lineRule="atLeast"/>
              <w:jc w:val="center"/>
              <w:rPr>
                <w:rFonts w:ascii="Arial" w:hAnsi="Arial" w:cs="Arial"/>
                <w:sz w:val="16"/>
                <w:szCs w:val="16"/>
              </w:rPr>
            </w:pPr>
          </w:p>
        </w:tc>
        <w:tc>
          <w:tcPr>
            <w:tcW w:w="992" w:type="dxa"/>
            <w:shd w:val="clear" w:color="auto" w:fill="auto"/>
            <w:vAlign w:val="center"/>
          </w:tcPr>
          <w:p w14:paraId="24220AE0" w14:textId="77777777" w:rsidR="00D16E72" w:rsidRPr="004901F2" w:rsidRDefault="00D16E72" w:rsidP="00284F82">
            <w:pPr>
              <w:spacing w:before="40" w:after="40" w:line="300" w:lineRule="atLeast"/>
              <w:jc w:val="center"/>
              <w:rPr>
                <w:rFonts w:ascii="Arial" w:hAnsi="Arial" w:cs="Arial"/>
                <w:sz w:val="16"/>
                <w:szCs w:val="16"/>
              </w:rPr>
            </w:pPr>
          </w:p>
        </w:tc>
        <w:tc>
          <w:tcPr>
            <w:tcW w:w="1099" w:type="dxa"/>
            <w:shd w:val="clear" w:color="auto" w:fill="auto"/>
            <w:vAlign w:val="center"/>
          </w:tcPr>
          <w:p w14:paraId="4907F503"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sz w:val="16"/>
                <w:szCs w:val="16"/>
              </w:rPr>
              <w:t>PS</w:t>
            </w:r>
          </w:p>
        </w:tc>
      </w:tr>
      <w:tr w:rsidR="00D16E72" w:rsidRPr="004901F2" w14:paraId="27BBAEC5" w14:textId="77777777" w:rsidTr="00284F82">
        <w:tc>
          <w:tcPr>
            <w:tcW w:w="851" w:type="dxa"/>
            <w:shd w:val="clear" w:color="auto" w:fill="auto"/>
            <w:vAlign w:val="center"/>
          </w:tcPr>
          <w:p w14:paraId="6B19ED5F" w14:textId="77777777" w:rsidR="00D16E72" w:rsidRPr="004901F2" w:rsidRDefault="00300092" w:rsidP="00284F82">
            <w:pPr>
              <w:spacing w:before="40" w:after="40" w:line="300" w:lineRule="atLeast"/>
              <w:rPr>
                <w:rFonts w:ascii="Arial" w:hAnsi="Arial" w:cs="Arial"/>
                <w:sz w:val="16"/>
                <w:szCs w:val="16"/>
              </w:rPr>
            </w:pPr>
            <w:r>
              <w:rPr>
                <w:rFonts w:ascii="Arial" w:hAnsi="Arial" w:cs="Arial"/>
                <w:sz w:val="16"/>
                <w:szCs w:val="16"/>
              </w:rPr>
              <w:t>5.9</w:t>
            </w:r>
            <w:r w:rsidR="00D16E72" w:rsidRPr="004901F2">
              <w:rPr>
                <w:rFonts w:ascii="Arial" w:hAnsi="Arial" w:cs="Arial"/>
                <w:sz w:val="16"/>
                <w:szCs w:val="16"/>
              </w:rPr>
              <w:t>.4</w:t>
            </w:r>
          </w:p>
        </w:tc>
        <w:tc>
          <w:tcPr>
            <w:tcW w:w="2693" w:type="dxa"/>
            <w:shd w:val="clear" w:color="auto" w:fill="auto"/>
            <w:vAlign w:val="center"/>
          </w:tcPr>
          <w:p w14:paraId="5CB4442E" w14:textId="77777777" w:rsidR="00D16E72" w:rsidRPr="004901F2" w:rsidRDefault="00E00C82" w:rsidP="00284F82">
            <w:pPr>
              <w:spacing w:line="300" w:lineRule="atLeast"/>
              <w:rPr>
                <w:rFonts w:ascii="Arial" w:hAnsi="Arial" w:cs="Arial"/>
                <w:sz w:val="16"/>
                <w:szCs w:val="16"/>
              </w:rPr>
            </w:pPr>
            <w:r>
              <w:rPr>
                <w:rFonts w:ascii="Arial" w:hAnsi="Arial" w:cs="Arial"/>
                <w:sz w:val="16"/>
                <w:szCs w:val="16"/>
              </w:rPr>
              <w:t>Informal dumping of general waste</w:t>
            </w:r>
          </w:p>
        </w:tc>
        <w:tc>
          <w:tcPr>
            <w:tcW w:w="850" w:type="dxa"/>
            <w:shd w:val="clear" w:color="auto" w:fill="auto"/>
            <w:vAlign w:val="center"/>
          </w:tcPr>
          <w:p w14:paraId="0AA87D7E"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7CE30A02"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2D03FA9F"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992" w:type="dxa"/>
            <w:shd w:val="clear" w:color="auto" w:fill="auto"/>
            <w:vAlign w:val="center"/>
          </w:tcPr>
          <w:p w14:paraId="0CB25E09" w14:textId="77777777" w:rsidR="00D16E72" w:rsidRPr="004901F2" w:rsidRDefault="00D16E72" w:rsidP="00284F82">
            <w:pPr>
              <w:spacing w:before="40" w:after="40" w:line="300" w:lineRule="atLeast"/>
              <w:jc w:val="center"/>
              <w:rPr>
                <w:rFonts w:ascii="Arial" w:hAnsi="Arial" w:cs="Arial"/>
                <w:sz w:val="16"/>
                <w:szCs w:val="16"/>
              </w:rPr>
            </w:pPr>
          </w:p>
        </w:tc>
        <w:tc>
          <w:tcPr>
            <w:tcW w:w="992" w:type="dxa"/>
            <w:shd w:val="clear" w:color="auto" w:fill="auto"/>
            <w:vAlign w:val="center"/>
          </w:tcPr>
          <w:p w14:paraId="31CE428E" w14:textId="77777777" w:rsidR="00D16E72" w:rsidRPr="004901F2" w:rsidRDefault="00D16E72" w:rsidP="00284F82">
            <w:pPr>
              <w:spacing w:before="40" w:after="40" w:line="300" w:lineRule="atLeast"/>
              <w:jc w:val="center"/>
              <w:rPr>
                <w:rFonts w:ascii="Arial" w:hAnsi="Arial" w:cs="Arial"/>
                <w:b/>
                <w:sz w:val="16"/>
                <w:szCs w:val="16"/>
              </w:rPr>
            </w:pPr>
          </w:p>
        </w:tc>
        <w:tc>
          <w:tcPr>
            <w:tcW w:w="1099" w:type="dxa"/>
            <w:shd w:val="clear" w:color="auto" w:fill="auto"/>
            <w:vAlign w:val="center"/>
          </w:tcPr>
          <w:p w14:paraId="50DC1FC5" w14:textId="77777777" w:rsidR="00D16E72" w:rsidRPr="004901F2" w:rsidRDefault="008C7CEF" w:rsidP="00284F82">
            <w:pPr>
              <w:spacing w:before="40" w:after="40" w:line="300" w:lineRule="atLeast"/>
              <w:jc w:val="center"/>
              <w:rPr>
                <w:rFonts w:ascii="Arial" w:hAnsi="Arial" w:cs="Arial"/>
                <w:sz w:val="16"/>
                <w:szCs w:val="16"/>
              </w:rPr>
            </w:pPr>
            <w:r w:rsidRPr="008C7CEF">
              <w:rPr>
                <w:rFonts w:ascii="Arial" w:hAnsi="Arial" w:cs="Arial"/>
                <w:sz w:val="16"/>
                <w:szCs w:val="16"/>
              </w:rPr>
              <w:t>OW</w:t>
            </w:r>
          </w:p>
        </w:tc>
      </w:tr>
      <w:tr w:rsidR="00D16E72" w:rsidRPr="004901F2" w14:paraId="0A4D2BE7" w14:textId="77777777" w:rsidTr="00284F82">
        <w:tc>
          <w:tcPr>
            <w:tcW w:w="851" w:type="dxa"/>
            <w:shd w:val="clear" w:color="auto" w:fill="auto"/>
            <w:vAlign w:val="center"/>
          </w:tcPr>
          <w:p w14:paraId="662C8C1D" w14:textId="77777777" w:rsidR="00D16E72" w:rsidRPr="004901F2" w:rsidRDefault="00300092" w:rsidP="00284F82">
            <w:pPr>
              <w:spacing w:before="40" w:after="40" w:line="300" w:lineRule="atLeast"/>
              <w:rPr>
                <w:rFonts w:ascii="Arial" w:hAnsi="Arial" w:cs="Arial"/>
                <w:sz w:val="16"/>
                <w:szCs w:val="16"/>
              </w:rPr>
            </w:pPr>
            <w:r>
              <w:rPr>
                <w:rFonts w:ascii="Arial" w:hAnsi="Arial" w:cs="Arial"/>
                <w:sz w:val="16"/>
                <w:szCs w:val="16"/>
              </w:rPr>
              <w:t>5.9</w:t>
            </w:r>
            <w:r w:rsidR="00D16E72" w:rsidRPr="004901F2">
              <w:rPr>
                <w:rFonts w:ascii="Arial" w:hAnsi="Arial" w:cs="Arial"/>
                <w:sz w:val="16"/>
                <w:szCs w:val="16"/>
              </w:rPr>
              <w:t>.5</w:t>
            </w:r>
          </w:p>
        </w:tc>
        <w:tc>
          <w:tcPr>
            <w:tcW w:w="2693" w:type="dxa"/>
            <w:shd w:val="clear" w:color="auto" w:fill="auto"/>
            <w:vAlign w:val="center"/>
          </w:tcPr>
          <w:p w14:paraId="5608187D" w14:textId="77777777" w:rsidR="00D16E72" w:rsidRPr="004901F2" w:rsidRDefault="00E00C82" w:rsidP="00284F82">
            <w:pPr>
              <w:spacing w:line="300" w:lineRule="atLeast"/>
              <w:rPr>
                <w:rFonts w:ascii="Arial" w:hAnsi="Arial" w:cs="Arial"/>
                <w:sz w:val="16"/>
                <w:szCs w:val="16"/>
              </w:rPr>
            </w:pPr>
            <w:r>
              <w:rPr>
                <w:rFonts w:ascii="Arial" w:hAnsi="Arial" w:cs="Arial"/>
                <w:sz w:val="16"/>
                <w:szCs w:val="16"/>
              </w:rPr>
              <w:t>Wastewater treatment systems</w:t>
            </w:r>
          </w:p>
        </w:tc>
        <w:tc>
          <w:tcPr>
            <w:tcW w:w="850" w:type="dxa"/>
            <w:shd w:val="clear" w:color="auto" w:fill="auto"/>
            <w:vAlign w:val="center"/>
          </w:tcPr>
          <w:p w14:paraId="0FA05917" w14:textId="77777777" w:rsidR="00D16E72" w:rsidRPr="008A451E" w:rsidRDefault="008A451E" w:rsidP="00284F82">
            <w:pPr>
              <w:spacing w:before="40" w:after="40" w:line="300" w:lineRule="atLeast"/>
              <w:jc w:val="center"/>
              <w:rPr>
                <w:rFonts w:ascii="Arial" w:hAnsi="Arial" w:cs="Arial"/>
                <w:sz w:val="16"/>
                <w:szCs w:val="16"/>
              </w:rPr>
            </w:pPr>
            <w:r w:rsidRPr="008A451E">
              <w:rPr>
                <w:rFonts w:ascii="Arial" w:hAnsi="Arial" w:cs="Arial"/>
                <w:sz w:val="16"/>
                <w:szCs w:val="16"/>
              </w:rPr>
              <w:t>x</w:t>
            </w:r>
          </w:p>
        </w:tc>
        <w:tc>
          <w:tcPr>
            <w:tcW w:w="851" w:type="dxa"/>
            <w:shd w:val="clear" w:color="auto" w:fill="auto"/>
            <w:vAlign w:val="center"/>
          </w:tcPr>
          <w:p w14:paraId="15868D7E" w14:textId="77777777" w:rsidR="00D16E72" w:rsidRPr="004901F2" w:rsidRDefault="00D16E72" w:rsidP="00284F82">
            <w:pPr>
              <w:spacing w:before="40" w:after="40" w:line="300" w:lineRule="atLeast"/>
              <w:jc w:val="center"/>
              <w:rPr>
                <w:rFonts w:ascii="Arial" w:hAnsi="Arial" w:cs="Arial"/>
                <w:sz w:val="16"/>
                <w:szCs w:val="16"/>
              </w:rPr>
            </w:pPr>
            <w:r w:rsidRPr="00177AB0">
              <w:rPr>
                <w:rFonts w:ascii="Arial" w:hAnsi="Arial" w:cs="Arial"/>
                <w:b/>
                <w:sz w:val="16"/>
                <w:szCs w:val="16"/>
              </w:rPr>
              <w:t>X</w:t>
            </w:r>
          </w:p>
        </w:tc>
        <w:tc>
          <w:tcPr>
            <w:tcW w:w="851" w:type="dxa"/>
            <w:shd w:val="clear" w:color="auto" w:fill="auto"/>
            <w:vAlign w:val="center"/>
          </w:tcPr>
          <w:p w14:paraId="65EECED9"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15823DE4" w14:textId="77777777" w:rsidR="00D16E72" w:rsidRPr="004901F2" w:rsidRDefault="00D16E72" w:rsidP="00284F82">
            <w:pPr>
              <w:spacing w:before="40" w:after="40" w:line="300" w:lineRule="atLeast"/>
              <w:jc w:val="center"/>
              <w:rPr>
                <w:rFonts w:ascii="Arial" w:hAnsi="Arial" w:cs="Arial"/>
                <w:sz w:val="16"/>
                <w:szCs w:val="16"/>
              </w:rPr>
            </w:pPr>
          </w:p>
        </w:tc>
        <w:tc>
          <w:tcPr>
            <w:tcW w:w="992" w:type="dxa"/>
            <w:shd w:val="clear" w:color="auto" w:fill="auto"/>
            <w:vAlign w:val="center"/>
          </w:tcPr>
          <w:p w14:paraId="408D0C40" w14:textId="77777777" w:rsidR="00D16E72" w:rsidRPr="004901F2" w:rsidRDefault="008A451E" w:rsidP="00284F82">
            <w:pPr>
              <w:spacing w:before="40" w:after="40" w:line="300" w:lineRule="atLeast"/>
              <w:jc w:val="center"/>
              <w:rPr>
                <w:rFonts w:ascii="Arial" w:hAnsi="Arial" w:cs="Arial"/>
                <w:sz w:val="16"/>
                <w:szCs w:val="16"/>
              </w:rPr>
            </w:pPr>
            <w:r>
              <w:rPr>
                <w:rFonts w:ascii="Arial" w:hAnsi="Arial" w:cs="Arial"/>
                <w:sz w:val="16"/>
                <w:szCs w:val="16"/>
              </w:rPr>
              <w:t>x</w:t>
            </w:r>
          </w:p>
        </w:tc>
        <w:tc>
          <w:tcPr>
            <w:tcW w:w="1099" w:type="dxa"/>
            <w:shd w:val="clear" w:color="auto" w:fill="auto"/>
            <w:vAlign w:val="center"/>
          </w:tcPr>
          <w:p w14:paraId="7E1BC478" w14:textId="77777777" w:rsidR="00D16E72" w:rsidRPr="004901F2" w:rsidRDefault="008C7CEF" w:rsidP="00284F82">
            <w:pPr>
              <w:spacing w:before="40" w:after="40" w:line="300" w:lineRule="atLeast"/>
              <w:jc w:val="center"/>
              <w:rPr>
                <w:rFonts w:ascii="Arial" w:hAnsi="Arial" w:cs="Arial"/>
                <w:sz w:val="16"/>
                <w:szCs w:val="16"/>
              </w:rPr>
            </w:pPr>
            <w:r w:rsidRPr="008C7CEF">
              <w:rPr>
                <w:rFonts w:ascii="Arial" w:hAnsi="Arial" w:cs="Arial"/>
                <w:sz w:val="16"/>
                <w:szCs w:val="16"/>
              </w:rPr>
              <w:t>OW</w:t>
            </w:r>
            <w:r>
              <w:rPr>
                <w:rFonts w:ascii="Arial" w:hAnsi="Arial" w:cs="Arial"/>
                <w:sz w:val="16"/>
                <w:szCs w:val="16"/>
              </w:rPr>
              <w:t>/</w:t>
            </w:r>
            <w:r w:rsidR="00D16E72">
              <w:rPr>
                <w:rFonts w:ascii="Arial" w:hAnsi="Arial" w:cs="Arial"/>
                <w:sz w:val="16"/>
                <w:szCs w:val="16"/>
              </w:rPr>
              <w:t>PS</w:t>
            </w:r>
          </w:p>
        </w:tc>
      </w:tr>
    </w:tbl>
    <w:p w14:paraId="4D99FD95" w14:textId="77777777" w:rsidR="00D16E72" w:rsidRPr="00582EF2" w:rsidRDefault="00D16E72" w:rsidP="00D16E72">
      <w:pPr>
        <w:spacing w:before="60" w:after="60" w:line="260" w:lineRule="exact"/>
        <w:jc w:val="both"/>
        <w:rPr>
          <w:rFonts w:ascii="Arial" w:hAnsi="Arial" w:cs="Arial"/>
          <w:sz w:val="16"/>
          <w:szCs w:val="18"/>
        </w:rPr>
      </w:pPr>
      <w:r w:rsidRPr="00582EF2">
        <w:rPr>
          <w:rFonts w:ascii="Arial" w:hAnsi="Arial" w:cs="Arial"/>
          <w:sz w:val="16"/>
          <w:szCs w:val="18"/>
        </w:rPr>
        <w:t xml:space="preserve">Notes: </w:t>
      </w:r>
      <w:r w:rsidRPr="00582EF2">
        <w:rPr>
          <w:rFonts w:ascii="Arial" w:hAnsi="Arial" w:cs="Arial"/>
          <w:sz w:val="16"/>
          <w:szCs w:val="18"/>
        </w:rPr>
        <w:tab/>
        <w:t>PS = Point source by point source approach; OW = National/overview approach;</w:t>
      </w:r>
    </w:p>
    <w:p w14:paraId="27A20D9B" w14:textId="77777777" w:rsidR="00D16E72" w:rsidRPr="00582EF2" w:rsidRDefault="00D16E72" w:rsidP="00D16E72">
      <w:pPr>
        <w:spacing w:after="60" w:line="260" w:lineRule="exact"/>
        <w:ind w:firstLine="720"/>
        <w:jc w:val="both"/>
        <w:rPr>
          <w:rFonts w:ascii="Arial" w:hAnsi="Arial" w:cs="Arial"/>
          <w:sz w:val="16"/>
          <w:szCs w:val="18"/>
        </w:rPr>
      </w:pPr>
      <w:r w:rsidRPr="00582EF2">
        <w:rPr>
          <w:rFonts w:ascii="Arial" w:hAnsi="Arial" w:cs="Arial"/>
          <w:b/>
          <w:sz w:val="16"/>
          <w:szCs w:val="18"/>
        </w:rPr>
        <w:t>X</w:t>
      </w:r>
      <w:r w:rsidRPr="00582EF2">
        <w:rPr>
          <w:rFonts w:ascii="Arial" w:hAnsi="Arial" w:cs="Arial"/>
          <w:sz w:val="16"/>
          <w:szCs w:val="18"/>
        </w:rPr>
        <w:t xml:space="preserve"> - Release pathway expected to be predominant for the sub-category;</w:t>
      </w:r>
    </w:p>
    <w:p w14:paraId="0EF0A9EF" w14:textId="77777777" w:rsidR="00D16E72" w:rsidRPr="00582EF2" w:rsidRDefault="00D16E72" w:rsidP="00D16E72">
      <w:pPr>
        <w:spacing w:after="60" w:line="260" w:lineRule="exact"/>
        <w:ind w:firstLine="720"/>
        <w:jc w:val="both"/>
        <w:rPr>
          <w:rFonts w:ascii="Arial" w:hAnsi="Arial" w:cs="Arial"/>
          <w:sz w:val="16"/>
          <w:szCs w:val="18"/>
        </w:rPr>
      </w:pPr>
      <w:r w:rsidRPr="00582EF2">
        <w:rPr>
          <w:rFonts w:ascii="Arial" w:hAnsi="Arial" w:cs="Arial"/>
          <w:sz w:val="16"/>
          <w:szCs w:val="18"/>
        </w:rPr>
        <w:t>x - Additional release pathways to be considered, depending on specific source and national situation.</w:t>
      </w:r>
    </w:p>
    <w:p w14:paraId="41B3F943" w14:textId="2BC57762" w:rsidR="00A97215" w:rsidRDefault="00A97215" w:rsidP="00D16E72">
      <w:pPr>
        <w:spacing w:line="300" w:lineRule="atLeast"/>
        <w:jc w:val="both"/>
        <w:rPr>
          <w:szCs w:val="18"/>
        </w:rPr>
      </w:pPr>
      <w:r>
        <w:rPr>
          <w:szCs w:val="18"/>
        </w:rPr>
        <w:t>One of the key points to recogni</w:t>
      </w:r>
      <w:r w:rsidR="001057AE">
        <w:rPr>
          <w:szCs w:val="18"/>
        </w:rPr>
        <w:t xml:space="preserve">se for this category is that the estimated inputs </w:t>
      </w:r>
      <w:r>
        <w:rPr>
          <w:szCs w:val="18"/>
        </w:rPr>
        <w:t>include the wastes that are generated by many of the sources discussed under previous categories. This means that there is in</w:t>
      </w:r>
      <w:r w:rsidR="001057AE">
        <w:rPr>
          <w:szCs w:val="18"/>
        </w:rPr>
        <w:t>evitably some double accounting. However, the extent of this is not readily determined because the inputs are simply estimated using the default Toolkit factors</w:t>
      </w:r>
    </w:p>
    <w:p w14:paraId="306E4519" w14:textId="77777777" w:rsidR="00352440" w:rsidRDefault="00352440" w:rsidP="00352440">
      <w:pPr>
        <w:pStyle w:val="Heading2"/>
      </w:pPr>
      <w:bookmarkStart w:id="155" w:name="_Toc484949622"/>
      <w:r>
        <w:t>Controlled landfill/deposition</w:t>
      </w:r>
      <w:bookmarkEnd w:id="155"/>
    </w:p>
    <w:p w14:paraId="115DAE0C" w14:textId="77777777" w:rsidR="00352440" w:rsidRDefault="00AE7BF2" w:rsidP="001202B6">
      <w:pPr>
        <w:spacing w:line="300" w:lineRule="atLeast"/>
        <w:jc w:val="both"/>
        <w:rPr>
          <w:szCs w:val="18"/>
        </w:rPr>
      </w:pPr>
      <w:r>
        <w:rPr>
          <w:szCs w:val="18"/>
        </w:rPr>
        <w:t>The m</w:t>
      </w:r>
      <w:r w:rsidR="001202B6" w:rsidRPr="001202B6">
        <w:rPr>
          <w:szCs w:val="18"/>
        </w:rPr>
        <w:t xml:space="preserve">ercury content in the general </w:t>
      </w:r>
      <w:r>
        <w:rPr>
          <w:szCs w:val="18"/>
        </w:rPr>
        <w:t xml:space="preserve">municipal </w:t>
      </w:r>
      <w:r w:rsidR="001202B6" w:rsidRPr="001202B6">
        <w:rPr>
          <w:szCs w:val="18"/>
        </w:rPr>
        <w:t xml:space="preserve">waste stream </w:t>
      </w:r>
      <w:r>
        <w:rPr>
          <w:szCs w:val="18"/>
        </w:rPr>
        <w:t xml:space="preserve">can come </w:t>
      </w:r>
      <w:r w:rsidR="001202B6" w:rsidRPr="001202B6">
        <w:rPr>
          <w:szCs w:val="18"/>
        </w:rPr>
        <w:t xml:space="preserve">from </w:t>
      </w:r>
      <w:r>
        <w:rPr>
          <w:szCs w:val="18"/>
        </w:rPr>
        <w:t>four</w:t>
      </w:r>
      <w:r w:rsidR="001202B6" w:rsidRPr="001202B6">
        <w:rPr>
          <w:szCs w:val="18"/>
        </w:rPr>
        <w:t xml:space="preserve"> main </w:t>
      </w:r>
      <w:r>
        <w:rPr>
          <w:szCs w:val="18"/>
        </w:rPr>
        <w:t>sources</w:t>
      </w:r>
      <w:r w:rsidR="001202B6" w:rsidRPr="001202B6">
        <w:rPr>
          <w:szCs w:val="18"/>
        </w:rPr>
        <w:t>: 1) intentionally</w:t>
      </w:r>
      <w:r w:rsidR="001202B6">
        <w:rPr>
          <w:szCs w:val="18"/>
        </w:rPr>
        <w:t xml:space="preserve"> </w:t>
      </w:r>
      <w:r w:rsidR="001202B6" w:rsidRPr="001202B6">
        <w:rPr>
          <w:szCs w:val="18"/>
        </w:rPr>
        <w:t>used mercury in spent products and process waste</w:t>
      </w:r>
      <w:r>
        <w:rPr>
          <w:szCs w:val="18"/>
        </w:rPr>
        <w:t>s</w:t>
      </w:r>
      <w:r w:rsidR="001202B6" w:rsidRPr="001202B6">
        <w:rPr>
          <w:szCs w:val="18"/>
        </w:rPr>
        <w:t>; 2) mercury impurities in bulk materials</w:t>
      </w:r>
      <w:r w:rsidR="001202B6">
        <w:rPr>
          <w:szCs w:val="18"/>
        </w:rPr>
        <w:t xml:space="preserve"> </w:t>
      </w:r>
      <w:r w:rsidR="001202B6" w:rsidRPr="001202B6">
        <w:rPr>
          <w:szCs w:val="18"/>
        </w:rPr>
        <w:t>(</w:t>
      </w:r>
      <w:proofErr w:type="spellStart"/>
      <w:r>
        <w:rPr>
          <w:szCs w:val="18"/>
        </w:rPr>
        <w:t>eg</w:t>
      </w:r>
      <w:proofErr w:type="spellEnd"/>
      <w:r>
        <w:rPr>
          <w:szCs w:val="18"/>
        </w:rPr>
        <w:t xml:space="preserve">. paper, </w:t>
      </w:r>
      <w:r w:rsidR="001202B6" w:rsidRPr="001202B6">
        <w:rPr>
          <w:szCs w:val="18"/>
        </w:rPr>
        <w:t xml:space="preserve">plastics, </w:t>
      </w:r>
      <w:r>
        <w:rPr>
          <w:szCs w:val="18"/>
        </w:rPr>
        <w:t>and metals)</w:t>
      </w:r>
      <w:r w:rsidR="001202B6" w:rsidRPr="001202B6">
        <w:rPr>
          <w:szCs w:val="18"/>
        </w:rPr>
        <w:t>; 3) mercury as an anthropogenic trace pollutant in bulk materials</w:t>
      </w:r>
      <w:r>
        <w:rPr>
          <w:szCs w:val="18"/>
        </w:rPr>
        <w:t xml:space="preserve">, and; 4) trace levels of mercury contamination of food wastes. In New Zealand, most </w:t>
      </w:r>
      <w:r w:rsidR="003C1735">
        <w:rPr>
          <w:szCs w:val="18"/>
        </w:rPr>
        <w:t>municipal solid</w:t>
      </w:r>
      <w:r>
        <w:rPr>
          <w:szCs w:val="18"/>
        </w:rPr>
        <w:t xml:space="preserve"> wastes are disposed to </w:t>
      </w:r>
      <w:r w:rsidR="0082021A">
        <w:rPr>
          <w:szCs w:val="18"/>
        </w:rPr>
        <w:t xml:space="preserve">controlled </w:t>
      </w:r>
      <w:r>
        <w:rPr>
          <w:szCs w:val="18"/>
        </w:rPr>
        <w:t>landfill</w:t>
      </w:r>
      <w:r w:rsidR="0082021A">
        <w:rPr>
          <w:szCs w:val="18"/>
        </w:rPr>
        <w:t>s</w:t>
      </w:r>
      <w:r>
        <w:rPr>
          <w:szCs w:val="18"/>
        </w:rPr>
        <w:t>.</w:t>
      </w:r>
    </w:p>
    <w:p w14:paraId="51EAAD4B" w14:textId="77777777" w:rsidR="00D16E72" w:rsidRDefault="00AE7BF2" w:rsidP="003833D6">
      <w:pPr>
        <w:spacing w:line="300" w:lineRule="atLeast"/>
        <w:jc w:val="both"/>
        <w:rPr>
          <w:szCs w:val="18"/>
        </w:rPr>
      </w:pPr>
      <w:r>
        <w:rPr>
          <w:szCs w:val="18"/>
        </w:rPr>
        <w:t>The key requirements for quantifying the inputs and outputs for this source are the total quantities of waste disposed to landfill in each year, and the average mercury content of that waste. The first of these is now readily available in New Zealand through the data collected through the Waste Disposal Levy s</w:t>
      </w:r>
      <w:r w:rsidR="00745DF1">
        <w:rPr>
          <w:szCs w:val="18"/>
        </w:rPr>
        <w:t>cheme</w:t>
      </w:r>
      <w:r w:rsidR="00430120">
        <w:rPr>
          <w:szCs w:val="18"/>
        </w:rPr>
        <w:t xml:space="preserve"> (</w:t>
      </w:r>
      <w:proofErr w:type="spellStart"/>
      <w:r w:rsidR="00430120">
        <w:rPr>
          <w:szCs w:val="18"/>
        </w:rPr>
        <w:t>MfE</w:t>
      </w:r>
      <w:proofErr w:type="spellEnd"/>
      <w:r w:rsidR="00430120">
        <w:rPr>
          <w:szCs w:val="18"/>
        </w:rPr>
        <w:t>, 2017)</w:t>
      </w:r>
      <w:r w:rsidR="00E27748">
        <w:rPr>
          <w:szCs w:val="18"/>
        </w:rPr>
        <w:t xml:space="preserve">. </w:t>
      </w:r>
      <w:r w:rsidR="00430120">
        <w:rPr>
          <w:szCs w:val="18"/>
        </w:rPr>
        <w:t xml:space="preserve">From June 2015 to May 2016 the scheme recorded disposal of 3,276,960 tonnes of waste.  Annual disposal quantities have been increasing at a rate of 7 – 10% per annum since 2014 so an additional 4% has been added to this total to give an estimated 3,408,038 tonnes for the 2016 calendar year. For 2012 the total was </w:t>
      </w:r>
      <w:r w:rsidR="00745DF1" w:rsidRPr="00745DF1">
        <w:rPr>
          <w:szCs w:val="18"/>
        </w:rPr>
        <w:t>2,513,927</w:t>
      </w:r>
      <w:r w:rsidR="00745DF1">
        <w:rPr>
          <w:szCs w:val="18"/>
        </w:rPr>
        <w:t xml:space="preserve"> tonnes</w:t>
      </w:r>
      <w:r w:rsidR="00E27748">
        <w:rPr>
          <w:szCs w:val="18"/>
        </w:rPr>
        <w:t>.</w:t>
      </w:r>
    </w:p>
    <w:p w14:paraId="3306F329" w14:textId="77777777" w:rsidR="00D53F79" w:rsidRDefault="00D53F79" w:rsidP="003833D6">
      <w:pPr>
        <w:spacing w:line="300" w:lineRule="atLeast"/>
        <w:jc w:val="both"/>
        <w:rPr>
          <w:szCs w:val="18"/>
        </w:rPr>
      </w:pPr>
      <w:r>
        <w:rPr>
          <w:szCs w:val="18"/>
        </w:rPr>
        <w:lastRenderedPageBreak/>
        <w:t xml:space="preserve">The Waste Levy data only applies to commercial landfills accepting household waste, and does not include the waste disposed to </w:t>
      </w:r>
      <w:proofErr w:type="spellStart"/>
      <w:r>
        <w:rPr>
          <w:szCs w:val="18"/>
        </w:rPr>
        <w:t>cleanfill</w:t>
      </w:r>
      <w:proofErr w:type="spellEnd"/>
      <w:r>
        <w:rPr>
          <w:szCs w:val="18"/>
        </w:rPr>
        <w:t xml:space="preserve"> sites. However, there is no reason to expect significant levels of mercury conta</w:t>
      </w:r>
      <w:r w:rsidR="00CE473F">
        <w:rPr>
          <w:szCs w:val="18"/>
        </w:rPr>
        <w:t xml:space="preserve">mination in </w:t>
      </w:r>
      <w:proofErr w:type="spellStart"/>
      <w:r w:rsidR="00CE473F">
        <w:rPr>
          <w:szCs w:val="18"/>
        </w:rPr>
        <w:t>cleanfill</w:t>
      </w:r>
      <w:proofErr w:type="spellEnd"/>
      <w:r w:rsidR="00CE473F">
        <w:rPr>
          <w:szCs w:val="18"/>
        </w:rPr>
        <w:t xml:space="preserve"> wastes, because mercury-containing wastes are usually excluded from these sites (</w:t>
      </w:r>
      <w:proofErr w:type="spellStart"/>
      <w:r w:rsidR="00CE473F">
        <w:rPr>
          <w:szCs w:val="18"/>
        </w:rPr>
        <w:t>eg</w:t>
      </w:r>
      <w:proofErr w:type="spellEnd"/>
      <w:r w:rsidR="00CE473F">
        <w:rPr>
          <w:szCs w:val="18"/>
        </w:rPr>
        <w:t xml:space="preserve">. see </w:t>
      </w:r>
      <w:proofErr w:type="spellStart"/>
      <w:r w:rsidR="00CE473F">
        <w:rPr>
          <w:szCs w:val="18"/>
        </w:rPr>
        <w:t>MfE</w:t>
      </w:r>
      <w:proofErr w:type="spellEnd"/>
      <w:r w:rsidR="005C6BC2">
        <w:rPr>
          <w:szCs w:val="18"/>
        </w:rPr>
        <w:t>,</w:t>
      </w:r>
      <w:r w:rsidR="00CE473F">
        <w:rPr>
          <w:szCs w:val="18"/>
        </w:rPr>
        <w:t xml:space="preserve"> 2002). </w:t>
      </w:r>
      <w:r w:rsidR="00A21BF4">
        <w:rPr>
          <w:szCs w:val="18"/>
        </w:rPr>
        <w:t>The wastes disposed at privately-owned waste facilities, such as those operated by the pulp and paper mills, Huntly Power Station, and the gold mine tailings dams, have already been addressed in other sections</w:t>
      </w:r>
      <w:r w:rsidR="005C6BC2">
        <w:rPr>
          <w:szCs w:val="18"/>
        </w:rPr>
        <w:t xml:space="preserve"> (when relevant)</w:t>
      </w:r>
      <w:r w:rsidR="00A21BF4">
        <w:rPr>
          <w:szCs w:val="18"/>
        </w:rPr>
        <w:t>.</w:t>
      </w:r>
    </w:p>
    <w:p w14:paraId="2CAB285D" w14:textId="77777777" w:rsidR="00E27748" w:rsidRDefault="00E27748" w:rsidP="003833D6">
      <w:pPr>
        <w:spacing w:line="300" w:lineRule="atLeast"/>
        <w:jc w:val="both"/>
        <w:rPr>
          <w:szCs w:val="18"/>
        </w:rPr>
      </w:pPr>
      <w:r>
        <w:rPr>
          <w:szCs w:val="18"/>
        </w:rPr>
        <w:t xml:space="preserve">The general composition of the New Zealand </w:t>
      </w:r>
      <w:r w:rsidR="00626EE1">
        <w:rPr>
          <w:szCs w:val="18"/>
        </w:rPr>
        <w:t xml:space="preserve">municipal </w:t>
      </w:r>
      <w:r>
        <w:rPr>
          <w:szCs w:val="18"/>
        </w:rPr>
        <w:t>waste stream is reasonably well characterised</w:t>
      </w:r>
      <w:r w:rsidR="00626EE1">
        <w:rPr>
          <w:szCs w:val="18"/>
        </w:rPr>
        <w:t xml:space="preserve">, but </w:t>
      </w:r>
      <w:r>
        <w:rPr>
          <w:szCs w:val="18"/>
        </w:rPr>
        <w:t xml:space="preserve">there is no information available on the mercury content of the wastes. In the absence of this data, the Toolkit factors have been used. These recommend default factors of 1 – 10 g/tonne of waste for estimating the inputs, and output distribution factors of 0.01 (1%) to air and 0.0001 (0.01%) to water, with the remainder of the inputs being regarded as </w:t>
      </w:r>
      <w:r w:rsidR="00C21DD8">
        <w:rPr>
          <w:szCs w:val="18"/>
        </w:rPr>
        <w:t xml:space="preserve">disposal to a </w:t>
      </w:r>
      <w:r>
        <w:rPr>
          <w:szCs w:val="18"/>
        </w:rPr>
        <w:t>reservoir.</w:t>
      </w:r>
    </w:p>
    <w:p w14:paraId="3D3841AA" w14:textId="6BC66BBA" w:rsidR="007D4239" w:rsidRDefault="007D4239" w:rsidP="007D4239">
      <w:pPr>
        <w:spacing w:line="300" w:lineRule="atLeast"/>
        <w:jc w:val="both"/>
        <w:rPr>
          <w:szCs w:val="18"/>
        </w:rPr>
      </w:pPr>
      <w:r w:rsidRPr="00675730">
        <w:rPr>
          <w:szCs w:val="18"/>
        </w:rPr>
        <w:t xml:space="preserve">The mercury input and output calculations for </w:t>
      </w:r>
      <w:r>
        <w:rPr>
          <w:szCs w:val="18"/>
        </w:rPr>
        <w:t xml:space="preserve">controlled landfill </w:t>
      </w:r>
      <w:r w:rsidRPr="00675730">
        <w:rPr>
          <w:szCs w:val="18"/>
        </w:rPr>
        <w:t>are shown in</w:t>
      </w:r>
      <w:r>
        <w:rPr>
          <w:szCs w:val="18"/>
        </w:rPr>
        <w:t xml:space="preserve"> </w:t>
      </w:r>
      <w:r w:rsidRPr="00BF5893">
        <w:rPr>
          <w:szCs w:val="18"/>
        </w:rPr>
        <w:fldChar w:fldCharType="begin"/>
      </w:r>
      <w:r w:rsidRPr="0078520B">
        <w:rPr>
          <w:szCs w:val="18"/>
        </w:rPr>
        <w:instrText xml:space="preserve"> REF _Ref358784394 \h </w:instrText>
      </w:r>
      <w:r w:rsidR="0078520B">
        <w:rPr>
          <w:szCs w:val="18"/>
        </w:rPr>
        <w:instrText xml:space="preserve"> \* MERGEFORMAT </w:instrText>
      </w:r>
      <w:r w:rsidRPr="00BF5893">
        <w:rPr>
          <w:szCs w:val="18"/>
        </w:rPr>
      </w:r>
      <w:r w:rsidRPr="00BF5893">
        <w:rPr>
          <w:szCs w:val="18"/>
        </w:rPr>
        <w:fldChar w:fldCharType="separate"/>
      </w:r>
      <w:r w:rsidR="00423FC9" w:rsidRPr="00423FC9">
        <w:t xml:space="preserve">Table </w:t>
      </w:r>
      <w:r w:rsidR="00423FC9" w:rsidRPr="00423FC9">
        <w:rPr>
          <w:noProof/>
        </w:rPr>
        <w:t>11</w:t>
      </w:r>
      <w:r w:rsidR="00423FC9" w:rsidRPr="00423FC9">
        <w:rPr>
          <w:noProof/>
        </w:rPr>
        <w:noBreakHyphen/>
        <w:t>2</w:t>
      </w:r>
      <w:r w:rsidRPr="00BF5893">
        <w:rPr>
          <w:szCs w:val="18"/>
        </w:rPr>
        <w:fldChar w:fldCharType="end"/>
      </w:r>
      <w:r w:rsidR="00430120">
        <w:rPr>
          <w:szCs w:val="18"/>
        </w:rPr>
        <w:t xml:space="preserve"> for both 2012 and 2016</w:t>
      </w:r>
      <w:r>
        <w:rPr>
          <w:szCs w:val="18"/>
        </w:rPr>
        <w:t>.</w:t>
      </w:r>
      <w:r w:rsidR="00356A90">
        <w:rPr>
          <w:szCs w:val="18"/>
        </w:rPr>
        <w:t xml:space="preserve"> It should be noted that the Toolkit indicates that the </w:t>
      </w:r>
      <w:r w:rsidR="00CE686E">
        <w:rPr>
          <w:szCs w:val="18"/>
        </w:rPr>
        <w:t>lower</w:t>
      </w:r>
      <w:r w:rsidR="00356A90">
        <w:rPr>
          <w:szCs w:val="18"/>
        </w:rPr>
        <w:t xml:space="preserve"> rates would apply in countries where there was </w:t>
      </w:r>
      <w:r w:rsidR="00CE686E">
        <w:rPr>
          <w:szCs w:val="18"/>
        </w:rPr>
        <w:t xml:space="preserve">a high rate of </w:t>
      </w:r>
      <w:r w:rsidR="00356A90">
        <w:rPr>
          <w:szCs w:val="18"/>
        </w:rPr>
        <w:t>removal of mercury-containing wastes from the municipal</w:t>
      </w:r>
      <w:r w:rsidR="00CE686E">
        <w:rPr>
          <w:szCs w:val="18"/>
        </w:rPr>
        <w:t xml:space="preserve"> waste stream, and the upper rates apply where there is none. New Zealand is probably intermediate between these two options.</w:t>
      </w:r>
      <w:r w:rsidR="00435C60">
        <w:rPr>
          <w:szCs w:val="18"/>
        </w:rPr>
        <w:t xml:space="preserve"> </w:t>
      </w:r>
    </w:p>
    <w:p w14:paraId="323BF458" w14:textId="77777777" w:rsidR="007D4239" w:rsidRDefault="007D4239" w:rsidP="007D4239">
      <w:pPr>
        <w:pStyle w:val="Caption"/>
        <w:spacing w:before="240"/>
        <w:rPr>
          <w:szCs w:val="18"/>
        </w:rPr>
      </w:pPr>
      <w:bookmarkStart w:id="156" w:name="_Ref358784394"/>
      <w:bookmarkStart w:id="157" w:name="_Toc484949673"/>
      <w:r w:rsidRPr="00FE6C76">
        <w:rPr>
          <w:rFonts w:ascii="Arial" w:hAnsi="Arial" w:cs="Arial"/>
        </w:rPr>
        <w:t xml:space="preserve">Table </w:t>
      </w:r>
      <w:r w:rsidR="00390C9F">
        <w:rPr>
          <w:rFonts w:ascii="Arial" w:hAnsi="Arial" w:cs="Arial"/>
        </w:rPr>
        <w:fldChar w:fldCharType="begin"/>
      </w:r>
      <w:r w:rsidR="00390C9F">
        <w:rPr>
          <w:rFonts w:ascii="Arial" w:hAnsi="Arial" w:cs="Arial"/>
        </w:rPr>
        <w:instrText xml:space="preserve"> STYLEREF 1 \s </w:instrText>
      </w:r>
      <w:r w:rsidR="00390C9F">
        <w:rPr>
          <w:rFonts w:ascii="Arial" w:hAnsi="Arial" w:cs="Arial"/>
        </w:rPr>
        <w:fldChar w:fldCharType="separate"/>
      </w:r>
      <w:r w:rsidR="00423FC9">
        <w:rPr>
          <w:rFonts w:ascii="Arial" w:hAnsi="Arial" w:cs="Arial"/>
          <w:noProof/>
        </w:rPr>
        <w:t>11</w:t>
      </w:r>
      <w:r w:rsidR="00390C9F">
        <w:rPr>
          <w:rFonts w:ascii="Arial" w:hAnsi="Arial" w:cs="Arial"/>
        </w:rPr>
        <w:fldChar w:fldCharType="end"/>
      </w:r>
      <w:r w:rsidR="00390C9F">
        <w:rPr>
          <w:rFonts w:ascii="Arial" w:hAnsi="Arial" w:cs="Arial"/>
        </w:rPr>
        <w:noBreakHyphen/>
      </w:r>
      <w:r w:rsidR="00390C9F">
        <w:rPr>
          <w:rFonts w:ascii="Arial" w:hAnsi="Arial" w:cs="Arial"/>
        </w:rPr>
        <w:fldChar w:fldCharType="begin"/>
      </w:r>
      <w:r w:rsidR="00390C9F">
        <w:rPr>
          <w:rFonts w:ascii="Arial" w:hAnsi="Arial" w:cs="Arial"/>
        </w:rPr>
        <w:instrText xml:space="preserve"> SEQ Table \* ARABIC \s 1 </w:instrText>
      </w:r>
      <w:r w:rsidR="00390C9F">
        <w:rPr>
          <w:rFonts w:ascii="Arial" w:hAnsi="Arial" w:cs="Arial"/>
        </w:rPr>
        <w:fldChar w:fldCharType="separate"/>
      </w:r>
      <w:r w:rsidR="00423FC9">
        <w:rPr>
          <w:rFonts w:ascii="Arial" w:hAnsi="Arial" w:cs="Arial"/>
          <w:noProof/>
        </w:rPr>
        <w:t>2</w:t>
      </w:r>
      <w:r w:rsidR="00390C9F">
        <w:rPr>
          <w:rFonts w:ascii="Arial" w:hAnsi="Arial" w:cs="Arial"/>
        </w:rPr>
        <w:fldChar w:fldCharType="end"/>
      </w:r>
      <w:bookmarkEnd w:id="156"/>
      <w:r w:rsidRPr="00FE6C76">
        <w:rPr>
          <w:rFonts w:ascii="Arial" w:hAnsi="Arial" w:cs="Arial"/>
        </w:rPr>
        <w:t>:</w:t>
      </w:r>
      <w:r>
        <w:t xml:space="preserve">  </w:t>
      </w:r>
      <w:r w:rsidRPr="00284760">
        <w:rPr>
          <w:rFonts w:ascii="Arial" w:hAnsi="Arial" w:cs="Arial"/>
        </w:rPr>
        <w:t>Input and output estimates for</w:t>
      </w:r>
      <w:r>
        <w:rPr>
          <w:rFonts w:ascii="Arial" w:hAnsi="Arial" w:cs="Arial"/>
        </w:rPr>
        <w:t xml:space="preserve"> controlled landfill</w:t>
      </w:r>
      <w:bookmarkEnd w:id="157"/>
    </w:p>
    <w:tbl>
      <w:tblPr>
        <w:tblStyle w:val="TableGrid"/>
        <w:tblW w:w="0" w:type="auto"/>
        <w:tblLook w:val="04A0" w:firstRow="1" w:lastRow="0" w:firstColumn="1" w:lastColumn="0" w:noHBand="0" w:noVBand="1"/>
      </w:tblPr>
      <w:tblGrid>
        <w:gridCol w:w="1362"/>
        <w:gridCol w:w="1254"/>
        <w:gridCol w:w="1140"/>
        <w:gridCol w:w="1425"/>
        <w:gridCol w:w="1197"/>
        <w:gridCol w:w="1254"/>
        <w:gridCol w:w="1504"/>
      </w:tblGrid>
      <w:tr w:rsidR="007D4239" w14:paraId="3CB45EE9" w14:textId="77777777" w:rsidTr="00C3085E">
        <w:tc>
          <w:tcPr>
            <w:tcW w:w="1362" w:type="dxa"/>
            <w:vMerge w:val="restart"/>
            <w:vAlign w:val="center"/>
          </w:tcPr>
          <w:p w14:paraId="4119A8CA" w14:textId="77777777" w:rsidR="007D4239" w:rsidRPr="00F31685" w:rsidRDefault="007D4239" w:rsidP="00356A90">
            <w:pPr>
              <w:spacing w:line="300" w:lineRule="atLeast"/>
              <w:jc w:val="center"/>
              <w:rPr>
                <w:rFonts w:ascii="Arial" w:hAnsi="Arial" w:cs="Arial"/>
                <w:b/>
                <w:sz w:val="16"/>
                <w:szCs w:val="16"/>
              </w:rPr>
            </w:pPr>
            <w:r w:rsidRPr="00F31685">
              <w:rPr>
                <w:rFonts w:ascii="Arial" w:hAnsi="Arial" w:cs="Arial"/>
                <w:b/>
                <w:sz w:val="16"/>
                <w:szCs w:val="16"/>
              </w:rPr>
              <w:t>Source</w:t>
            </w:r>
          </w:p>
        </w:tc>
        <w:tc>
          <w:tcPr>
            <w:tcW w:w="1254" w:type="dxa"/>
            <w:vMerge w:val="restart"/>
            <w:vAlign w:val="center"/>
          </w:tcPr>
          <w:p w14:paraId="106D188A" w14:textId="77777777" w:rsidR="007D4239" w:rsidRPr="00F31685" w:rsidRDefault="007D4239" w:rsidP="00356A90">
            <w:pPr>
              <w:spacing w:line="300" w:lineRule="atLeast"/>
              <w:jc w:val="center"/>
              <w:rPr>
                <w:rFonts w:ascii="Arial" w:hAnsi="Arial" w:cs="Arial"/>
                <w:b/>
                <w:sz w:val="16"/>
                <w:szCs w:val="16"/>
              </w:rPr>
            </w:pPr>
            <w:r>
              <w:rPr>
                <w:rFonts w:ascii="Arial" w:hAnsi="Arial" w:cs="Arial"/>
                <w:b/>
                <w:sz w:val="16"/>
                <w:szCs w:val="16"/>
              </w:rPr>
              <w:t>Activity Rate, tonnes</w:t>
            </w:r>
            <w:r w:rsidRPr="00F31685">
              <w:rPr>
                <w:rFonts w:ascii="Arial" w:hAnsi="Arial" w:cs="Arial"/>
                <w:b/>
                <w:sz w:val="16"/>
                <w:szCs w:val="16"/>
              </w:rPr>
              <w:t>/</w:t>
            </w:r>
            <w:proofErr w:type="spellStart"/>
            <w:r w:rsidRPr="00F31685">
              <w:rPr>
                <w:rFonts w:ascii="Arial" w:hAnsi="Arial" w:cs="Arial"/>
                <w:b/>
                <w:sz w:val="16"/>
                <w:szCs w:val="16"/>
              </w:rPr>
              <w:t>yr</w:t>
            </w:r>
            <w:proofErr w:type="spellEnd"/>
          </w:p>
        </w:tc>
        <w:tc>
          <w:tcPr>
            <w:tcW w:w="1140" w:type="dxa"/>
            <w:vMerge w:val="restart"/>
            <w:vAlign w:val="center"/>
          </w:tcPr>
          <w:p w14:paraId="445320BA" w14:textId="77777777" w:rsidR="007D4239" w:rsidRPr="00F31685" w:rsidRDefault="007D4239" w:rsidP="007D4239">
            <w:pPr>
              <w:spacing w:line="300" w:lineRule="atLeast"/>
              <w:jc w:val="center"/>
              <w:rPr>
                <w:rFonts w:ascii="Arial" w:hAnsi="Arial" w:cs="Arial"/>
                <w:b/>
                <w:sz w:val="16"/>
                <w:szCs w:val="16"/>
              </w:rPr>
            </w:pPr>
            <w:r>
              <w:rPr>
                <w:rFonts w:ascii="Arial" w:hAnsi="Arial" w:cs="Arial"/>
                <w:b/>
                <w:sz w:val="16"/>
                <w:szCs w:val="16"/>
              </w:rPr>
              <w:t>Mercury Content, g/tonne</w:t>
            </w:r>
          </w:p>
        </w:tc>
        <w:tc>
          <w:tcPr>
            <w:tcW w:w="1425" w:type="dxa"/>
            <w:vMerge w:val="restart"/>
            <w:vAlign w:val="center"/>
          </w:tcPr>
          <w:p w14:paraId="441B5B0F" w14:textId="77777777" w:rsidR="007D4239" w:rsidRPr="00F31685" w:rsidRDefault="007D4239" w:rsidP="007D4239">
            <w:pPr>
              <w:spacing w:line="300" w:lineRule="atLeast"/>
              <w:jc w:val="center"/>
              <w:rPr>
                <w:rFonts w:ascii="Arial" w:hAnsi="Arial" w:cs="Arial"/>
                <w:b/>
                <w:sz w:val="16"/>
                <w:szCs w:val="16"/>
              </w:rPr>
            </w:pPr>
            <w:r>
              <w:rPr>
                <w:rFonts w:ascii="Arial" w:hAnsi="Arial" w:cs="Arial"/>
                <w:b/>
                <w:sz w:val="16"/>
                <w:szCs w:val="16"/>
              </w:rPr>
              <w:t>Annual Inputs, kg/</w:t>
            </w:r>
            <w:proofErr w:type="spellStart"/>
            <w:r>
              <w:rPr>
                <w:rFonts w:ascii="Arial" w:hAnsi="Arial" w:cs="Arial"/>
                <w:b/>
                <w:sz w:val="16"/>
                <w:szCs w:val="16"/>
              </w:rPr>
              <w:t>yr</w:t>
            </w:r>
            <w:proofErr w:type="spellEnd"/>
          </w:p>
        </w:tc>
        <w:tc>
          <w:tcPr>
            <w:tcW w:w="3955" w:type="dxa"/>
            <w:gridSpan w:val="3"/>
            <w:vAlign w:val="center"/>
          </w:tcPr>
          <w:p w14:paraId="68811FF8" w14:textId="77777777" w:rsidR="007D4239" w:rsidRPr="00F31685" w:rsidRDefault="007D4239" w:rsidP="00356A90">
            <w:pPr>
              <w:spacing w:line="300" w:lineRule="atLeast"/>
              <w:jc w:val="center"/>
              <w:rPr>
                <w:rFonts w:ascii="Arial" w:hAnsi="Arial" w:cs="Arial"/>
                <w:b/>
                <w:sz w:val="16"/>
                <w:szCs w:val="16"/>
              </w:rPr>
            </w:pPr>
            <w:r w:rsidRPr="00F31685">
              <w:rPr>
                <w:rFonts w:ascii="Arial" w:hAnsi="Arial" w:cs="Arial"/>
                <w:b/>
                <w:sz w:val="16"/>
                <w:szCs w:val="16"/>
              </w:rPr>
              <w:t>Annual Mercury Outputs, kg/</w:t>
            </w:r>
            <w:proofErr w:type="spellStart"/>
            <w:r w:rsidRPr="00F31685">
              <w:rPr>
                <w:rFonts w:ascii="Arial" w:hAnsi="Arial" w:cs="Arial"/>
                <w:b/>
                <w:sz w:val="16"/>
                <w:szCs w:val="16"/>
              </w:rPr>
              <w:t>yr</w:t>
            </w:r>
            <w:proofErr w:type="spellEnd"/>
          </w:p>
        </w:tc>
      </w:tr>
      <w:tr w:rsidR="007D4239" w14:paraId="0DE18AF3" w14:textId="77777777" w:rsidTr="00C3085E">
        <w:tc>
          <w:tcPr>
            <w:tcW w:w="1362" w:type="dxa"/>
            <w:vMerge/>
            <w:vAlign w:val="center"/>
          </w:tcPr>
          <w:p w14:paraId="6EA9E71C" w14:textId="77777777" w:rsidR="007D4239" w:rsidRPr="00F31685" w:rsidRDefault="007D4239" w:rsidP="00356A90">
            <w:pPr>
              <w:spacing w:line="300" w:lineRule="atLeast"/>
              <w:jc w:val="center"/>
              <w:rPr>
                <w:rFonts w:ascii="Arial" w:hAnsi="Arial" w:cs="Arial"/>
                <w:b/>
                <w:sz w:val="16"/>
                <w:szCs w:val="16"/>
              </w:rPr>
            </w:pPr>
          </w:p>
        </w:tc>
        <w:tc>
          <w:tcPr>
            <w:tcW w:w="1254" w:type="dxa"/>
            <w:vMerge/>
            <w:vAlign w:val="center"/>
          </w:tcPr>
          <w:p w14:paraId="07140E8B" w14:textId="77777777" w:rsidR="007D4239" w:rsidRPr="00F31685" w:rsidRDefault="007D4239" w:rsidP="00356A90">
            <w:pPr>
              <w:spacing w:line="300" w:lineRule="atLeast"/>
              <w:jc w:val="center"/>
              <w:rPr>
                <w:rFonts w:ascii="Arial" w:hAnsi="Arial" w:cs="Arial"/>
                <w:b/>
                <w:sz w:val="16"/>
                <w:szCs w:val="16"/>
              </w:rPr>
            </w:pPr>
          </w:p>
        </w:tc>
        <w:tc>
          <w:tcPr>
            <w:tcW w:w="1140" w:type="dxa"/>
            <w:vMerge/>
          </w:tcPr>
          <w:p w14:paraId="277E973B" w14:textId="77777777" w:rsidR="007D4239" w:rsidRPr="00F31685" w:rsidRDefault="007D4239" w:rsidP="00356A90">
            <w:pPr>
              <w:spacing w:line="300" w:lineRule="atLeast"/>
              <w:jc w:val="center"/>
              <w:rPr>
                <w:rFonts w:ascii="Arial" w:hAnsi="Arial" w:cs="Arial"/>
                <w:b/>
                <w:sz w:val="16"/>
                <w:szCs w:val="16"/>
              </w:rPr>
            </w:pPr>
          </w:p>
        </w:tc>
        <w:tc>
          <w:tcPr>
            <w:tcW w:w="1425" w:type="dxa"/>
            <w:vMerge/>
          </w:tcPr>
          <w:p w14:paraId="3E7C76C5" w14:textId="77777777" w:rsidR="007D4239" w:rsidRPr="00F31685" w:rsidRDefault="007D4239" w:rsidP="00356A90">
            <w:pPr>
              <w:spacing w:line="300" w:lineRule="atLeast"/>
              <w:jc w:val="center"/>
              <w:rPr>
                <w:rFonts w:ascii="Arial" w:hAnsi="Arial" w:cs="Arial"/>
                <w:b/>
                <w:sz w:val="16"/>
                <w:szCs w:val="16"/>
              </w:rPr>
            </w:pPr>
          </w:p>
        </w:tc>
        <w:tc>
          <w:tcPr>
            <w:tcW w:w="1197" w:type="dxa"/>
            <w:vAlign w:val="center"/>
          </w:tcPr>
          <w:p w14:paraId="47E53038" w14:textId="77777777" w:rsidR="007D4239" w:rsidRPr="00F31685" w:rsidRDefault="007D4239" w:rsidP="00356A90">
            <w:pPr>
              <w:spacing w:line="300" w:lineRule="atLeast"/>
              <w:jc w:val="center"/>
              <w:rPr>
                <w:rFonts w:ascii="Arial" w:hAnsi="Arial" w:cs="Arial"/>
                <w:b/>
                <w:sz w:val="16"/>
                <w:szCs w:val="16"/>
              </w:rPr>
            </w:pPr>
            <w:r w:rsidRPr="00F31685">
              <w:rPr>
                <w:rFonts w:ascii="Arial" w:hAnsi="Arial" w:cs="Arial"/>
                <w:b/>
                <w:sz w:val="16"/>
                <w:szCs w:val="16"/>
              </w:rPr>
              <w:t>Air</w:t>
            </w:r>
          </w:p>
        </w:tc>
        <w:tc>
          <w:tcPr>
            <w:tcW w:w="1254" w:type="dxa"/>
            <w:vAlign w:val="center"/>
          </w:tcPr>
          <w:p w14:paraId="3E77A737" w14:textId="77777777" w:rsidR="007D4239" w:rsidRPr="00F31685" w:rsidRDefault="007D4239" w:rsidP="00356A90">
            <w:pPr>
              <w:spacing w:line="300" w:lineRule="atLeast"/>
              <w:jc w:val="center"/>
              <w:rPr>
                <w:rFonts w:ascii="Arial" w:hAnsi="Arial" w:cs="Arial"/>
                <w:b/>
                <w:sz w:val="16"/>
                <w:szCs w:val="16"/>
              </w:rPr>
            </w:pPr>
            <w:r>
              <w:rPr>
                <w:rFonts w:ascii="Arial" w:hAnsi="Arial" w:cs="Arial"/>
                <w:b/>
                <w:sz w:val="16"/>
                <w:szCs w:val="16"/>
              </w:rPr>
              <w:t>Water</w:t>
            </w:r>
          </w:p>
        </w:tc>
        <w:tc>
          <w:tcPr>
            <w:tcW w:w="1504" w:type="dxa"/>
            <w:vAlign w:val="center"/>
          </w:tcPr>
          <w:p w14:paraId="0F56BEC7" w14:textId="77777777" w:rsidR="007D4239" w:rsidRPr="00F31685" w:rsidRDefault="007D4239" w:rsidP="00356A90">
            <w:pPr>
              <w:spacing w:line="300" w:lineRule="atLeast"/>
              <w:jc w:val="center"/>
              <w:rPr>
                <w:rFonts w:ascii="Arial" w:hAnsi="Arial" w:cs="Arial"/>
                <w:b/>
                <w:sz w:val="16"/>
                <w:szCs w:val="16"/>
              </w:rPr>
            </w:pPr>
            <w:r>
              <w:rPr>
                <w:rFonts w:ascii="Arial" w:hAnsi="Arial" w:cs="Arial"/>
                <w:b/>
                <w:sz w:val="16"/>
                <w:szCs w:val="16"/>
              </w:rPr>
              <w:t>Reservoir</w:t>
            </w:r>
          </w:p>
        </w:tc>
      </w:tr>
      <w:tr w:rsidR="007D4239" w14:paraId="5D51038B" w14:textId="77777777" w:rsidTr="00C3085E">
        <w:tc>
          <w:tcPr>
            <w:tcW w:w="1362" w:type="dxa"/>
            <w:vAlign w:val="center"/>
          </w:tcPr>
          <w:p w14:paraId="209C37AA" w14:textId="77777777" w:rsidR="007D4239" w:rsidRPr="00F31685" w:rsidRDefault="007D4239" w:rsidP="00430120">
            <w:pPr>
              <w:spacing w:line="300" w:lineRule="atLeast"/>
              <w:rPr>
                <w:rFonts w:ascii="Arial" w:hAnsi="Arial" w:cs="Arial"/>
                <w:sz w:val="16"/>
                <w:szCs w:val="16"/>
              </w:rPr>
            </w:pPr>
            <w:r>
              <w:rPr>
                <w:rFonts w:ascii="Arial" w:hAnsi="Arial" w:cs="Arial"/>
                <w:sz w:val="16"/>
                <w:szCs w:val="16"/>
              </w:rPr>
              <w:t>Landfilling of wastes</w:t>
            </w:r>
            <w:r w:rsidR="00430120">
              <w:rPr>
                <w:rFonts w:ascii="Arial" w:hAnsi="Arial" w:cs="Arial"/>
                <w:sz w:val="16"/>
                <w:szCs w:val="16"/>
              </w:rPr>
              <w:t>, 2012</w:t>
            </w:r>
          </w:p>
        </w:tc>
        <w:tc>
          <w:tcPr>
            <w:tcW w:w="1254" w:type="dxa"/>
            <w:vAlign w:val="center"/>
          </w:tcPr>
          <w:p w14:paraId="24102EC1" w14:textId="77777777" w:rsidR="007D4239" w:rsidRPr="00F31685" w:rsidRDefault="007D4239" w:rsidP="00356A90">
            <w:pPr>
              <w:spacing w:line="300" w:lineRule="atLeast"/>
              <w:jc w:val="center"/>
              <w:rPr>
                <w:rFonts w:ascii="Arial" w:hAnsi="Arial" w:cs="Arial"/>
                <w:sz w:val="16"/>
                <w:szCs w:val="16"/>
              </w:rPr>
            </w:pPr>
            <w:r>
              <w:rPr>
                <w:rFonts w:ascii="Arial" w:hAnsi="Arial" w:cs="Arial"/>
                <w:sz w:val="16"/>
                <w:szCs w:val="16"/>
              </w:rPr>
              <w:t>2.5 x 10</w:t>
            </w:r>
            <w:r w:rsidRPr="007D4239">
              <w:rPr>
                <w:rFonts w:ascii="Arial" w:hAnsi="Arial" w:cs="Arial"/>
                <w:sz w:val="16"/>
                <w:szCs w:val="16"/>
                <w:vertAlign w:val="superscript"/>
              </w:rPr>
              <w:t>6</w:t>
            </w:r>
          </w:p>
        </w:tc>
        <w:tc>
          <w:tcPr>
            <w:tcW w:w="1140" w:type="dxa"/>
            <w:vAlign w:val="center"/>
          </w:tcPr>
          <w:p w14:paraId="1BDE6C38" w14:textId="77777777" w:rsidR="007D4239" w:rsidRDefault="007D4239" w:rsidP="007D4239">
            <w:pPr>
              <w:spacing w:line="300" w:lineRule="atLeast"/>
              <w:jc w:val="center"/>
              <w:rPr>
                <w:rFonts w:ascii="Arial" w:hAnsi="Arial" w:cs="Arial"/>
                <w:sz w:val="16"/>
                <w:szCs w:val="16"/>
              </w:rPr>
            </w:pPr>
            <w:r>
              <w:rPr>
                <w:rFonts w:ascii="Arial" w:hAnsi="Arial" w:cs="Arial"/>
                <w:sz w:val="16"/>
                <w:szCs w:val="16"/>
              </w:rPr>
              <w:t>1 - 10</w:t>
            </w:r>
          </w:p>
        </w:tc>
        <w:tc>
          <w:tcPr>
            <w:tcW w:w="1425" w:type="dxa"/>
            <w:vAlign w:val="center"/>
          </w:tcPr>
          <w:p w14:paraId="3EEA6C79" w14:textId="77777777" w:rsidR="007D4239" w:rsidRDefault="007D4239" w:rsidP="007D4239">
            <w:pPr>
              <w:spacing w:line="300" w:lineRule="atLeast"/>
              <w:jc w:val="center"/>
              <w:rPr>
                <w:rFonts w:ascii="Arial" w:hAnsi="Arial" w:cs="Arial"/>
                <w:sz w:val="16"/>
                <w:szCs w:val="16"/>
              </w:rPr>
            </w:pPr>
            <w:r>
              <w:rPr>
                <w:rFonts w:ascii="Arial" w:hAnsi="Arial" w:cs="Arial"/>
                <w:sz w:val="16"/>
                <w:szCs w:val="16"/>
              </w:rPr>
              <w:t>2,500 – 25,000</w:t>
            </w:r>
            <w:r w:rsidR="0093099D">
              <w:rPr>
                <w:rFonts w:ascii="Arial" w:hAnsi="Arial" w:cs="Arial"/>
                <w:sz w:val="16"/>
                <w:szCs w:val="16"/>
              </w:rPr>
              <w:t xml:space="preserve"> (13,750)</w:t>
            </w:r>
          </w:p>
        </w:tc>
        <w:tc>
          <w:tcPr>
            <w:tcW w:w="1197" w:type="dxa"/>
            <w:vAlign w:val="center"/>
          </w:tcPr>
          <w:p w14:paraId="4250266A" w14:textId="77777777" w:rsidR="007D4239" w:rsidRPr="00F31685" w:rsidRDefault="007D4239" w:rsidP="00356A90">
            <w:pPr>
              <w:spacing w:line="300" w:lineRule="atLeast"/>
              <w:jc w:val="center"/>
              <w:rPr>
                <w:rFonts w:ascii="Arial" w:hAnsi="Arial" w:cs="Arial"/>
                <w:sz w:val="16"/>
                <w:szCs w:val="16"/>
              </w:rPr>
            </w:pPr>
            <w:r>
              <w:rPr>
                <w:rFonts w:ascii="Arial" w:hAnsi="Arial" w:cs="Arial"/>
                <w:sz w:val="16"/>
                <w:szCs w:val="16"/>
              </w:rPr>
              <w:t xml:space="preserve">25 </w:t>
            </w:r>
            <w:r w:rsidR="0093099D">
              <w:rPr>
                <w:rFonts w:ascii="Arial" w:hAnsi="Arial" w:cs="Arial"/>
                <w:sz w:val="16"/>
                <w:szCs w:val="16"/>
              </w:rPr>
              <w:t>–</w:t>
            </w:r>
            <w:r>
              <w:rPr>
                <w:rFonts w:ascii="Arial" w:hAnsi="Arial" w:cs="Arial"/>
                <w:sz w:val="16"/>
                <w:szCs w:val="16"/>
              </w:rPr>
              <w:t xml:space="preserve"> 250</w:t>
            </w:r>
            <w:r w:rsidR="0093099D">
              <w:rPr>
                <w:rFonts w:ascii="Arial" w:hAnsi="Arial" w:cs="Arial"/>
                <w:sz w:val="16"/>
                <w:szCs w:val="16"/>
              </w:rPr>
              <w:t xml:space="preserve"> (137.5)</w:t>
            </w:r>
          </w:p>
        </w:tc>
        <w:tc>
          <w:tcPr>
            <w:tcW w:w="1254" w:type="dxa"/>
            <w:vAlign w:val="center"/>
          </w:tcPr>
          <w:p w14:paraId="17DE7CCA" w14:textId="77777777" w:rsidR="007D4239" w:rsidRPr="00F31685" w:rsidRDefault="007D4239" w:rsidP="00356A90">
            <w:pPr>
              <w:spacing w:line="300" w:lineRule="atLeast"/>
              <w:jc w:val="center"/>
              <w:rPr>
                <w:rFonts w:ascii="Arial" w:hAnsi="Arial" w:cs="Arial"/>
                <w:sz w:val="16"/>
                <w:szCs w:val="16"/>
              </w:rPr>
            </w:pPr>
            <w:r>
              <w:rPr>
                <w:rFonts w:ascii="Arial" w:hAnsi="Arial" w:cs="Arial"/>
                <w:sz w:val="16"/>
                <w:szCs w:val="16"/>
              </w:rPr>
              <w:t>0.25 – 2.5</w:t>
            </w:r>
            <w:r w:rsidR="0093099D">
              <w:rPr>
                <w:rFonts w:ascii="Arial" w:hAnsi="Arial" w:cs="Arial"/>
                <w:sz w:val="16"/>
                <w:szCs w:val="16"/>
              </w:rPr>
              <w:t xml:space="preserve"> (1.375)</w:t>
            </w:r>
          </w:p>
        </w:tc>
        <w:tc>
          <w:tcPr>
            <w:tcW w:w="1504" w:type="dxa"/>
            <w:vAlign w:val="center"/>
          </w:tcPr>
          <w:p w14:paraId="4D660169" w14:textId="77777777" w:rsidR="007D4239" w:rsidRPr="00F31685" w:rsidRDefault="007D4239" w:rsidP="007D4239">
            <w:pPr>
              <w:spacing w:line="300" w:lineRule="atLeast"/>
              <w:jc w:val="center"/>
              <w:rPr>
                <w:rFonts w:ascii="Arial" w:hAnsi="Arial" w:cs="Arial"/>
                <w:sz w:val="16"/>
                <w:szCs w:val="16"/>
              </w:rPr>
            </w:pPr>
            <w:r>
              <w:rPr>
                <w:rFonts w:ascii="Arial" w:hAnsi="Arial" w:cs="Arial"/>
                <w:sz w:val="16"/>
                <w:szCs w:val="16"/>
              </w:rPr>
              <w:t>2,475 – 24,748</w:t>
            </w:r>
            <w:r w:rsidR="0093099D">
              <w:rPr>
                <w:rFonts w:ascii="Arial" w:hAnsi="Arial" w:cs="Arial"/>
                <w:sz w:val="16"/>
                <w:szCs w:val="16"/>
              </w:rPr>
              <w:t xml:space="preserve"> (13,611.5)</w:t>
            </w:r>
          </w:p>
        </w:tc>
      </w:tr>
      <w:tr w:rsidR="00430120" w14:paraId="70C6963A" w14:textId="77777777" w:rsidTr="00C3085E">
        <w:tc>
          <w:tcPr>
            <w:tcW w:w="1362" w:type="dxa"/>
            <w:vAlign w:val="center"/>
          </w:tcPr>
          <w:p w14:paraId="0801C2A4" w14:textId="77777777" w:rsidR="00430120" w:rsidRDefault="00430120" w:rsidP="00430120">
            <w:pPr>
              <w:spacing w:line="300" w:lineRule="atLeast"/>
              <w:rPr>
                <w:rFonts w:ascii="Arial" w:hAnsi="Arial" w:cs="Arial"/>
                <w:sz w:val="16"/>
                <w:szCs w:val="16"/>
              </w:rPr>
            </w:pPr>
            <w:r>
              <w:rPr>
                <w:rFonts w:ascii="Arial" w:hAnsi="Arial" w:cs="Arial"/>
                <w:sz w:val="16"/>
                <w:szCs w:val="16"/>
              </w:rPr>
              <w:t>Landfilling of wastes, 2016</w:t>
            </w:r>
          </w:p>
        </w:tc>
        <w:tc>
          <w:tcPr>
            <w:tcW w:w="1254" w:type="dxa"/>
            <w:vAlign w:val="center"/>
          </w:tcPr>
          <w:p w14:paraId="4694CA92" w14:textId="77777777" w:rsidR="00430120" w:rsidRPr="00800EF1" w:rsidRDefault="00430120" w:rsidP="00430120">
            <w:pPr>
              <w:spacing w:line="300" w:lineRule="atLeast"/>
              <w:jc w:val="center"/>
              <w:rPr>
                <w:rFonts w:ascii="Arial" w:hAnsi="Arial" w:cs="Arial"/>
                <w:sz w:val="16"/>
                <w:szCs w:val="16"/>
                <w:vertAlign w:val="superscript"/>
              </w:rPr>
            </w:pPr>
            <w:r>
              <w:rPr>
                <w:rFonts w:ascii="Arial" w:hAnsi="Arial" w:cs="Arial"/>
                <w:sz w:val="16"/>
                <w:szCs w:val="16"/>
              </w:rPr>
              <w:t>3.41 x 10</w:t>
            </w:r>
            <w:r>
              <w:rPr>
                <w:rFonts w:ascii="Arial" w:hAnsi="Arial" w:cs="Arial"/>
                <w:sz w:val="16"/>
                <w:szCs w:val="16"/>
                <w:vertAlign w:val="superscript"/>
              </w:rPr>
              <w:t>6</w:t>
            </w:r>
          </w:p>
        </w:tc>
        <w:tc>
          <w:tcPr>
            <w:tcW w:w="1140" w:type="dxa"/>
            <w:vAlign w:val="center"/>
          </w:tcPr>
          <w:p w14:paraId="552C1755" w14:textId="77777777" w:rsidR="00430120" w:rsidRDefault="00430120" w:rsidP="00430120">
            <w:pPr>
              <w:spacing w:line="300" w:lineRule="atLeast"/>
              <w:jc w:val="center"/>
              <w:rPr>
                <w:rFonts w:ascii="Arial" w:hAnsi="Arial" w:cs="Arial"/>
                <w:sz w:val="16"/>
                <w:szCs w:val="16"/>
              </w:rPr>
            </w:pPr>
            <w:r>
              <w:rPr>
                <w:rFonts w:ascii="Arial" w:hAnsi="Arial" w:cs="Arial"/>
                <w:sz w:val="16"/>
                <w:szCs w:val="16"/>
              </w:rPr>
              <w:t>1 - 10</w:t>
            </w:r>
          </w:p>
        </w:tc>
        <w:tc>
          <w:tcPr>
            <w:tcW w:w="1425" w:type="dxa"/>
            <w:vAlign w:val="center"/>
          </w:tcPr>
          <w:p w14:paraId="1787FEFC" w14:textId="77777777" w:rsidR="00430120" w:rsidRDefault="00430120" w:rsidP="00430120">
            <w:pPr>
              <w:spacing w:line="300" w:lineRule="atLeast"/>
              <w:jc w:val="center"/>
              <w:rPr>
                <w:rFonts w:ascii="Arial" w:hAnsi="Arial" w:cs="Arial"/>
                <w:sz w:val="16"/>
                <w:szCs w:val="16"/>
              </w:rPr>
            </w:pPr>
            <w:r>
              <w:rPr>
                <w:rFonts w:ascii="Arial" w:hAnsi="Arial" w:cs="Arial"/>
                <w:sz w:val="16"/>
                <w:szCs w:val="16"/>
              </w:rPr>
              <w:t>3,410 – 34,100 (18,755)</w:t>
            </w:r>
          </w:p>
        </w:tc>
        <w:tc>
          <w:tcPr>
            <w:tcW w:w="1197" w:type="dxa"/>
            <w:vAlign w:val="center"/>
          </w:tcPr>
          <w:p w14:paraId="574DBAA0" w14:textId="72A75232" w:rsidR="00430120" w:rsidRDefault="00475228" w:rsidP="00430120">
            <w:pPr>
              <w:spacing w:line="300" w:lineRule="atLeast"/>
              <w:jc w:val="center"/>
              <w:rPr>
                <w:rFonts w:ascii="Arial" w:hAnsi="Arial" w:cs="Arial"/>
                <w:sz w:val="16"/>
                <w:szCs w:val="16"/>
              </w:rPr>
            </w:pPr>
            <w:r>
              <w:rPr>
                <w:rFonts w:ascii="Arial" w:hAnsi="Arial" w:cs="Arial"/>
                <w:sz w:val="16"/>
                <w:szCs w:val="16"/>
              </w:rPr>
              <w:t>34 – 341 (187.6</w:t>
            </w:r>
            <w:r w:rsidR="00430120">
              <w:rPr>
                <w:rFonts w:ascii="Arial" w:hAnsi="Arial" w:cs="Arial"/>
                <w:sz w:val="16"/>
                <w:szCs w:val="16"/>
              </w:rPr>
              <w:t>)</w:t>
            </w:r>
          </w:p>
        </w:tc>
        <w:tc>
          <w:tcPr>
            <w:tcW w:w="1254" w:type="dxa"/>
            <w:vAlign w:val="center"/>
          </w:tcPr>
          <w:p w14:paraId="5BFD64FD" w14:textId="1504204C" w:rsidR="00430120" w:rsidRDefault="00430120" w:rsidP="00430120">
            <w:pPr>
              <w:spacing w:line="300" w:lineRule="atLeast"/>
              <w:jc w:val="center"/>
              <w:rPr>
                <w:rFonts w:ascii="Arial" w:hAnsi="Arial" w:cs="Arial"/>
                <w:sz w:val="16"/>
                <w:szCs w:val="16"/>
              </w:rPr>
            </w:pPr>
            <w:r>
              <w:rPr>
                <w:rFonts w:ascii="Arial" w:hAnsi="Arial" w:cs="Arial"/>
                <w:sz w:val="16"/>
                <w:szCs w:val="16"/>
              </w:rPr>
              <w:t>0.34 –</w:t>
            </w:r>
            <w:r w:rsidR="00477E79">
              <w:rPr>
                <w:rFonts w:ascii="Arial" w:hAnsi="Arial" w:cs="Arial"/>
                <w:sz w:val="16"/>
                <w:szCs w:val="16"/>
              </w:rPr>
              <w:t xml:space="preserve"> 3.4</w:t>
            </w:r>
            <w:r w:rsidR="006F0863">
              <w:rPr>
                <w:rFonts w:ascii="Arial" w:hAnsi="Arial" w:cs="Arial"/>
                <w:sz w:val="16"/>
                <w:szCs w:val="16"/>
              </w:rPr>
              <w:t>1</w:t>
            </w:r>
            <w:r w:rsidR="00475228">
              <w:rPr>
                <w:rFonts w:ascii="Arial" w:hAnsi="Arial" w:cs="Arial"/>
                <w:sz w:val="16"/>
                <w:szCs w:val="16"/>
              </w:rPr>
              <w:t xml:space="preserve"> (1.9</w:t>
            </w:r>
            <w:r>
              <w:rPr>
                <w:rFonts w:ascii="Arial" w:hAnsi="Arial" w:cs="Arial"/>
                <w:sz w:val="16"/>
                <w:szCs w:val="16"/>
              </w:rPr>
              <w:t>)</w:t>
            </w:r>
          </w:p>
        </w:tc>
        <w:tc>
          <w:tcPr>
            <w:tcW w:w="1504" w:type="dxa"/>
            <w:vAlign w:val="center"/>
          </w:tcPr>
          <w:p w14:paraId="23182816" w14:textId="77777777" w:rsidR="00430120" w:rsidRDefault="00430120" w:rsidP="00430120">
            <w:pPr>
              <w:spacing w:line="300" w:lineRule="atLeast"/>
              <w:jc w:val="center"/>
              <w:rPr>
                <w:rFonts w:ascii="Arial" w:hAnsi="Arial" w:cs="Arial"/>
                <w:sz w:val="16"/>
                <w:szCs w:val="16"/>
              </w:rPr>
            </w:pPr>
            <w:r>
              <w:rPr>
                <w:rFonts w:ascii="Arial" w:hAnsi="Arial" w:cs="Arial"/>
                <w:sz w:val="16"/>
                <w:szCs w:val="16"/>
              </w:rPr>
              <w:t>3,375.6 – 33,756</w:t>
            </w:r>
            <w:r w:rsidR="00C3085E">
              <w:rPr>
                <w:rFonts w:ascii="Arial" w:hAnsi="Arial" w:cs="Arial"/>
                <w:sz w:val="16"/>
                <w:szCs w:val="16"/>
              </w:rPr>
              <w:t xml:space="preserve"> (18,565.5)</w:t>
            </w:r>
          </w:p>
        </w:tc>
      </w:tr>
    </w:tbl>
    <w:p w14:paraId="0D7E1ECB" w14:textId="77777777" w:rsidR="007D4239" w:rsidRPr="00BE17CF" w:rsidRDefault="007D4239" w:rsidP="007D4239">
      <w:pPr>
        <w:spacing w:before="240" w:line="300" w:lineRule="atLeast"/>
        <w:jc w:val="both"/>
        <w:rPr>
          <w:rFonts w:ascii="Arial" w:hAnsi="Arial" w:cs="Arial"/>
          <w:b/>
          <w:szCs w:val="18"/>
        </w:rPr>
      </w:pPr>
      <w:r w:rsidRPr="00BE17CF">
        <w:rPr>
          <w:rFonts w:ascii="Arial" w:hAnsi="Arial" w:cs="Arial"/>
          <w:b/>
          <w:szCs w:val="18"/>
        </w:rPr>
        <w:t>Certainty assessment</w:t>
      </w:r>
    </w:p>
    <w:p w14:paraId="3A6FFEA1" w14:textId="77777777" w:rsidR="007D4239" w:rsidRDefault="007D4239" w:rsidP="007D4239">
      <w:pPr>
        <w:tabs>
          <w:tab w:val="left" w:pos="1985"/>
        </w:tabs>
        <w:spacing w:line="300" w:lineRule="atLeast"/>
        <w:jc w:val="both"/>
        <w:rPr>
          <w:szCs w:val="18"/>
        </w:rPr>
      </w:pPr>
      <w:r>
        <w:rPr>
          <w:szCs w:val="18"/>
        </w:rPr>
        <w:t xml:space="preserve">Activity data: </w:t>
      </w:r>
      <w:r>
        <w:rPr>
          <w:szCs w:val="18"/>
        </w:rPr>
        <w:tab/>
        <w:t>HIGH (because it is based on national levy data)</w:t>
      </w:r>
    </w:p>
    <w:p w14:paraId="758838C2" w14:textId="77777777" w:rsidR="007D4239" w:rsidRDefault="007D4239" w:rsidP="007D4239">
      <w:pPr>
        <w:tabs>
          <w:tab w:val="left" w:pos="1985"/>
        </w:tabs>
        <w:spacing w:line="300" w:lineRule="atLeast"/>
        <w:jc w:val="both"/>
        <w:rPr>
          <w:szCs w:val="18"/>
        </w:rPr>
      </w:pPr>
      <w:r>
        <w:rPr>
          <w:szCs w:val="18"/>
        </w:rPr>
        <w:t xml:space="preserve">Input estimates: </w:t>
      </w:r>
      <w:r>
        <w:rPr>
          <w:szCs w:val="18"/>
        </w:rPr>
        <w:tab/>
        <w:t>LOW</w:t>
      </w:r>
      <w:r w:rsidRPr="00CE3E59">
        <w:rPr>
          <w:szCs w:val="18"/>
        </w:rPr>
        <w:t xml:space="preserve"> </w:t>
      </w:r>
      <w:r>
        <w:rPr>
          <w:szCs w:val="18"/>
        </w:rPr>
        <w:t xml:space="preserve">(because </w:t>
      </w:r>
      <w:r w:rsidRPr="007D4239">
        <w:rPr>
          <w:szCs w:val="18"/>
        </w:rPr>
        <w:t xml:space="preserve">they are based on the default Toolkit </w:t>
      </w:r>
      <w:r w:rsidR="0044700D">
        <w:rPr>
          <w:szCs w:val="18"/>
        </w:rPr>
        <w:t>in</w:t>
      </w:r>
      <w:r w:rsidRPr="007D4239">
        <w:rPr>
          <w:szCs w:val="18"/>
        </w:rPr>
        <w:t>put factors</w:t>
      </w:r>
      <w:r>
        <w:rPr>
          <w:szCs w:val="18"/>
        </w:rPr>
        <w:t>)</w:t>
      </w:r>
    </w:p>
    <w:p w14:paraId="05F65541" w14:textId="77777777" w:rsidR="007D4239" w:rsidRPr="0028681C" w:rsidRDefault="007D4239" w:rsidP="007D4239">
      <w:pPr>
        <w:tabs>
          <w:tab w:val="left" w:pos="1985"/>
        </w:tabs>
        <w:spacing w:line="300" w:lineRule="atLeast"/>
        <w:jc w:val="both"/>
        <w:rPr>
          <w:szCs w:val="18"/>
        </w:rPr>
      </w:pPr>
      <w:r>
        <w:rPr>
          <w:szCs w:val="18"/>
        </w:rPr>
        <w:t xml:space="preserve">Output estimates: </w:t>
      </w:r>
      <w:r>
        <w:rPr>
          <w:szCs w:val="18"/>
        </w:rPr>
        <w:tab/>
        <w:t>LOW (because they are based on the default Toolkit output factors).</w:t>
      </w:r>
    </w:p>
    <w:p w14:paraId="56314BF2" w14:textId="77777777" w:rsidR="00E27748" w:rsidRDefault="00A37DEF" w:rsidP="00A37DEF">
      <w:pPr>
        <w:pStyle w:val="Heading2"/>
      </w:pPr>
      <w:bookmarkStart w:id="158" w:name="_Toc484949623"/>
      <w:r>
        <w:t>Diffuse deposition, informal disposal and dumping</w:t>
      </w:r>
      <w:bookmarkEnd w:id="158"/>
    </w:p>
    <w:p w14:paraId="3C3B58A2" w14:textId="6C4544E3" w:rsidR="00626EE1" w:rsidRDefault="008B7191" w:rsidP="003833D6">
      <w:pPr>
        <w:spacing w:line="300" w:lineRule="atLeast"/>
        <w:jc w:val="both"/>
        <w:rPr>
          <w:szCs w:val="18"/>
        </w:rPr>
      </w:pPr>
      <w:r>
        <w:rPr>
          <w:szCs w:val="18"/>
        </w:rPr>
        <w:t>These three</w:t>
      </w:r>
      <w:r w:rsidR="00A37DEF">
        <w:rPr>
          <w:szCs w:val="18"/>
        </w:rPr>
        <w:t xml:space="preserve"> Toolkit sub-categories have not been assessed. </w:t>
      </w:r>
      <w:r w:rsidR="00626EE1">
        <w:rPr>
          <w:szCs w:val="18"/>
        </w:rPr>
        <w:t>The first, controlled diffuse deposition, relates to the use of industrial wastes in road and building foundations</w:t>
      </w:r>
      <w:r w:rsidR="00192A06">
        <w:rPr>
          <w:szCs w:val="18"/>
        </w:rPr>
        <w:t xml:space="preserve">. It is not known whether this occurs </w:t>
      </w:r>
      <w:r w:rsidR="00626EE1">
        <w:rPr>
          <w:szCs w:val="18"/>
        </w:rPr>
        <w:t xml:space="preserve">to any extent within New Zealand, although waste quantities of greater than about 0.5 </w:t>
      </w:r>
      <w:r w:rsidR="00192A06">
        <w:rPr>
          <w:szCs w:val="18"/>
        </w:rPr>
        <w:t xml:space="preserve">tonnes would generally require </w:t>
      </w:r>
      <w:proofErr w:type="gramStart"/>
      <w:r w:rsidR="00626EE1">
        <w:rPr>
          <w:szCs w:val="18"/>
        </w:rPr>
        <w:t>a resource</w:t>
      </w:r>
      <w:proofErr w:type="gramEnd"/>
      <w:r w:rsidR="00626EE1">
        <w:rPr>
          <w:szCs w:val="18"/>
        </w:rPr>
        <w:t xml:space="preserve"> consent</w:t>
      </w:r>
      <w:r w:rsidR="008F6E88">
        <w:rPr>
          <w:szCs w:val="18"/>
        </w:rPr>
        <w:t xml:space="preserve"> under the RMA</w:t>
      </w:r>
      <w:r w:rsidR="00626EE1">
        <w:rPr>
          <w:szCs w:val="18"/>
        </w:rPr>
        <w:t>.</w:t>
      </w:r>
    </w:p>
    <w:p w14:paraId="4BC410E6" w14:textId="77777777" w:rsidR="00B432F9" w:rsidRDefault="00626EE1" w:rsidP="003833D6">
      <w:pPr>
        <w:spacing w:line="300" w:lineRule="atLeast"/>
        <w:jc w:val="both"/>
        <w:rPr>
          <w:szCs w:val="18"/>
        </w:rPr>
      </w:pPr>
      <w:r>
        <w:rPr>
          <w:szCs w:val="18"/>
        </w:rPr>
        <w:t xml:space="preserve">Informal disposal also relates to industrial wastes, and especially those that may have been dumped in the past without any regulatory control. </w:t>
      </w:r>
      <w:r w:rsidR="00B432F9">
        <w:rPr>
          <w:szCs w:val="18"/>
        </w:rPr>
        <w:t>If this has occurred in New Zealand, the sites should show up in the list of hot-spots (</w:t>
      </w:r>
      <w:proofErr w:type="spellStart"/>
      <w:r w:rsidR="00B432F9">
        <w:rPr>
          <w:szCs w:val="18"/>
        </w:rPr>
        <w:t>ie</w:t>
      </w:r>
      <w:proofErr w:type="spellEnd"/>
      <w:r w:rsidR="00943293">
        <w:rPr>
          <w:szCs w:val="18"/>
        </w:rPr>
        <w:t>.</w:t>
      </w:r>
      <w:r w:rsidR="00B432F9">
        <w:rPr>
          <w:szCs w:val="18"/>
        </w:rPr>
        <w:t xml:space="preserve"> contaminated sites) discussed in section 13.</w:t>
      </w:r>
    </w:p>
    <w:p w14:paraId="3BC91D6C" w14:textId="77777777" w:rsidR="00E27748" w:rsidRDefault="00B432F9" w:rsidP="003833D6">
      <w:pPr>
        <w:spacing w:line="300" w:lineRule="atLeast"/>
        <w:jc w:val="both"/>
        <w:rPr>
          <w:szCs w:val="18"/>
        </w:rPr>
      </w:pPr>
      <w:r>
        <w:rPr>
          <w:szCs w:val="18"/>
        </w:rPr>
        <w:t>Finally,</w:t>
      </w:r>
      <w:r w:rsidR="00626EE1">
        <w:rPr>
          <w:szCs w:val="18"/>
        </w:rPr>
        <w:t xml:space="preserve"> </w:t>
      </w:r>
      <w:r>
        <w:rPr>
          <w:szCs w:val="18"/>
        </w:rPr>
        <w:t xml:space="preserve">the informal dumping category relates to uncontrolled dumping of general wastes. </w:t>
      </w:r>
      <w:r w:rsidR="00A37DEF">
        <w:rPr>
          <w:szCs w:val="18"/>
        </w:rPr>
        <w:t>There is</w:t>
      </w:r>
      <w:r w:rsidR="00FD1C77">
        <w:rPr>
          <w:szCs w:val="18"/>
        </w:rPr>
        <w:t xml:space="preserve"> almost certainly</w:t>
      </w:r>
      <w:r w:rsidR="00A37DEF">
        <w:rPr>
          <w:szCs w:val="18"/>
        </w:rPr>
        <w:t xml:space="preserve"> some uncontrolled dumping of solid wastes in New Zealand. However, no data is available on the likely extent of any of this.</w:t>
      </w:r>
    </w:p>
    <w:p w14:paraId="2D7A9838" w14:textId="77777777" w:rsidR="00E27748" w:rsidRDefault="00A37DEF" w:rsidP="00A37DEF">
      <w:pPr>
        <w:pStyle w:val="Heading2"/>
      </w:pPr>
      <w:bookmarkStart w:id="159" w:name="_Toc484949624"/>
      <w:r>
        <w:lastRenderedPageBreak/>
        <w:t>Wastewater treatment systems</w:t>
      </w:r>
      <w:bookmarkEnd w:id="159"/>
    </w:p>
    <w:p w14:paraId="532E69F8" w14:textId="77777777" w:rsidR="00A37DEF" w:rsidRDefault="0062643C" w:rsidP="0062643C">
      <w:pPr>
        <w:spacing w:line="300" w:lineRule="atLeast"/>
        <w:jc w:val="both"/>
        <w:rPr>
          <w:szCs w:val="18"/>
        </w:rPr>
      </w:pPr>
      <w:r w:rsidRPr="0062643C">
        <w:rPr>
          <w:szCs w:val="18"/>
        </w:rPr>
        <w:t>The most important factors determining</w:t>
      </w:r>
      <w:r w:rsidR="00FD1C77">
        <w:rPr>
          <w:szCs w:val="18"/>
        </w:rPr>
        <w:t xml:space="preserve"> releases of mercury from waste</w:t>
      </w:r>
      <w:r w:rsidRPr="0062643C">
        <w:rPr>
          <w:szCs w:val="18"/>
        </w:rPr>
        <w:t>water are the amount</w:t>
      </w:r>
      <w:r>
        <w:rPr>
          <w:szCs w:val="18"/>
        </w:rPr>
        <w:t xml:space="preserve"> </w:t>
      </w:r>
      <w:r w:rsidRPr="0062643C">
        <w:rPr>
          <w:szCs w:val="18"/>
        </w:rPr>
        <w:t>of mercury-containing wastes that are discharged to the system and the concentration of mercury in</w:t>
      </w:r>
      <w:r>
        <w:rPr>
          <w:szCs w:val="18"/>
        </w:rPr>
        <w:t xml:space="preserve"> </w:t>
      </w:r>
      <w:r w:rsidRPr="0062643C">
        <w:rPr>
          <w:szCs w:val="18"/>
        </w:rPr>
        <w:t>those w</w:t>
      </w:r>
      <w:r w:rsidR="00FD1C77">
        <w:rPr>
          <w:szCs w:val="18"/>
        </w:rPr>
        <w:t>astes. Mercury content in waste</w:t>
      </w:r>
      <w:r w:rsidRPr="0062643C">
        <w:rPr>
          <w:szCs w:val="18"/>
        </w:rPr>
        <w:t>water mainly originates from two source groups: 1) intentionally</w:t>
      </w:r>
      <w:r>
        <w:rPr>
          <w:szCs w:val="18"/>
        </w:rPr>
        <w:t xml:space="preserve"> </w:t>
      </w:r>
      <w:r w:rsidRPr="0062643C">
        <w:rPr>
          <w:szCs w:val="18"/>
        </w:rPr>
        <w:t>used mercury in products and processes (such as from dental amalgams, spillage from thermometers</w:t>
      </w:r>
      <w:r>
        <w:rPr>
          <w:szCs w:val="18"/>
        </w:rPr>
        <w:t xml:space="preserve"> </w:t>
      </w:r>
      <w:r w:rsidRPr="0062643C">
        <w:rPr>
          <w:szCs w:val="18"/>
        </w:rPr>
        <w:t>and other devices, and industrial discharges); and 2) atmospheric mercury washed out by</w:t>
      </w:r>
      <w:r>
        <w:rPr>
          <w:szCs w:val="18"/>
        </w:rPr>
        <w:t xml:space="preserve"> </w:t>
      </w:r>
      <w:r w:rsidRPr="0062643C">
        <w:rPr>
          <w:szCs w:val="18"/>
        </w:rPr>
        <w:t xml:space="preserve">precipitation </w:t>
      </w:r>
      <w:r w:rsidR="00FD1C77">
        <w:rPr>
          <w:szCs w:val="18"/>
        </w:rPr>
        <w:t xml:space="preserve">and carried in </w:t>
      </w:r>
      <w:proofErr w:type="spellStart"/>
      <w:r w:rsidR="00FD1C77">
        <w:rPr>
          <w:szCs w:val="18"/>
        </w:rPr>
        <w:t>stormwater</w:t>
      </w:r>
      <w:proofErr w:type="spellEnd"/>
      <w:r w:rsidRPr="0062643C">
        <w:rPr>
          <w:szCs w:val="18"/>
        </w:rPr>
        <w:t>. As such, waste water treatment is an intermediate mercury release source where mercury</w:t>
      </w:r>
      <w:r>
        <w:rPr>
          <w:szCs w:val="18"/>
        </w:rPr>
        <w:t xml:space="preserve"> </w:t>
      </w:r>
      <w:r w:rsidRPr="0062643C">
        <w:rPr>
          <w:szCs w:val="18"/>
        </w:rPr>
        <w:t>inputs from o</w:t>
      </w:r>
      <w:r w:rsidR="00FD1C77">
        <w:rPr>
          <w:szCs w:val="18"/>
        </w:rPr>
        <w:t>riginal mercury contamination are treated and the</w:t>
      </w:r>
      <w:r w:rsidR="00A402E7">
        <w:rPr>
          <w:szCs w:val="18"/>
        </w:rPr>
        <w:t>n</w:t>
      </w:r>
      <w:r w:rsidR="00FD1C77">
        <w:rPr>
          <w:szCs w:val="18"/>
        </w:rPr>
        <w:t xml:space="preserve"> re-</w:t>
      </w:r>
      <w:r w:rsidRPr="0062643C">
        <w:rPr>
          <w:szCs w:val="18"/>
        </w:rPr>
        <w:t xml:space="preserve">distributed </w:t>
      </w:r>
      <w:r w:rsidR="00FD1C77">
        <w:rPr>
          <w:szCs w:val="18"/>
        </w:rPr>
        <w:t>t</w:t>
      </w:r>
      <w:r w:rsidRPr="0062643C">
        <w:rPr>
          <w:szCs w:val="18"/>
        </w:rPr>
        <w:t>o water, land (through the application</w:t>
      </w:r>
      <w:r w:rsidR="00FD1C77">
        <w:rPr>
          <w:szCs w:val="18"/>
        </w:rPr>
        <w:t xml:space="preserve"> </w:t>
      </w:r>
      <w:r w:rsidRPr="0062643C">
        <w:rPr>
          <w:szCs w:val="18"/>
        </w:rPr>
        <w:t xml:space="preserve">of sludge) and air (through sludge incineration). In addition some sludge is disposed </w:t>
      </w:r>
      <w:r w:rsidR="00FD1C77">
        <w:rPr>
          <w:szCs w:val="18"/>
        </w:rPr>
        <w:t>to</w:t>
      </w:r>
      <w:r w:rsidRPr="0062643C">
        <w:rPr>
          <w:szCs w:val="18"/>
        </w:rPr>
        <w:t xml:space="preserve"> landfill</w:t>
      </w:r>
      <w:r>
        <w:rPr>
          <w:szCs w:val="18"/>
        </w:rPr>
        <w:t xml:space="preserve"> (</w:t>
      </w:r>
      <w:r w:rsidR="00C738EC">
        <w:rPr>
          <w:szCs w:val="18"/>
        </w:rPr>
        <w:t>UNEP, 2017</w:t>
      </w:r>
      <w:r>
        <w:rPr>
          <w:szCs w:val="18"/>
        </w:rPr>
        <w:t>).</w:t>
      </w:r>
    </w:p>
    <w:p w14:paraId="36A42FD4" w14:textId="7660E446" w:rsidR="00943293" w:rsidRDefault="00943293" w:rsidP="00943293">
      <w:pPr>
        <w:spacing w:line="300" w:lineRule="atLeast"/>
        <w:jc w:val="both"/>
        <w:rPr>
          <w:szCs w:val="18"/>
        </w:rPr>
      </w:pPr>
      <w:r>
        <w:rPr>
          <w:szCs w:val="18"/>
        </w:rPr>
        <w:t>Water New Zealand collate information on the volumes of liquid waste treated through New Zealand wastewater plants and this data is presented in a publicly available spreadsheet</w:t>
      </w:r>
      <w:r w:rsidR="00914B36">
        <w:rPr>
          <w:szCs w:val="18"/>
        </w:rPr>
        <w:t xml:space="preserve"> (Water NZ, 2017)</w:t>
      </w:r>
      <w:r w:rsidR="00475228">
        <w:rPr>
          <w:szCs w:val="18"/>
        </w:rPr>
        <w:t xml:space="preserve">. </w:t>
      </w:r>
      <w:r>
        <w:rPr>
          <w:szCs w:val="18"/>
        </w:rPr>
        <w:t xml:space="preserve">The councils </w:t>
      </w:r>
      <w:r w:rsidR="00475228">
        <w:rPr>
          <w:szCs w:val="18"/>
        </w:rPr>
        <w:t>that</w:t>
      </w:r>
      <w:r>
        <w:rPr>
          <w:szCs w:val="18"/>
        </w:rPr>
        <w:t xml:space="preserve"> provided data in the 2015-2016 calendar </w:t>
      </w:r>
      <w:proofErr w:type="gramStart"/>
      <w:r>
        <w:rPr>
          <w:szCs w:val="18"/>
        </w:rPr>
        <w:t>year</w:t>
      </w:r>
      <w:proofErr w:type="gramEnd"/>
      <w:r>
        <w:rPr>
          <w:szCs w:val="18"/>
        </w:rPr>
        <w:t xml:space="preserve"> had jurisdictions covering 4,053,598 of New Zealand’s population, with 3,511,857 on reticulated wastewater systems. Using the 2013 data for the usually resident population count this would leave 841,341 New Zealander’s not covered by the data in the spreadsheet. (L. Smith, </w:t>
      </w:r>
      <w:proofErr w:type="spellStart"/>
      <w:r>
        <w:rPr>
          <w:szCs w:val="18"/>
        </w:rPr>
        <w:t>pers</w:t>
      </w:r>
      <w:proofErr w:type="spellEnd"/>
      <w:r>
        <w:rPr>
          <w:szCs w:val="18"/>
        </w:rPr>
        <w:t xml:space="preserve"> </w:t>
      </w:r>
      <w:proofErr w:type="spellStart"/>
      <w:r>
        <w:rPr>
          <w:szCs w:val="18"/>
        </w:rPr>
        <w:t>comm</w:t>
      </w:r>
      <w:proofErr w:type="spellEnd"/>
      <w:r>
        <w:rPr>
          <w:szCs w:val="18"/>
        </w:rPr>
        <w:t>, Water New Zealand, 2017). For the purposes of the inventory these people are assumed to use septic tank disposal and are assumed to discharge waste water at the same rate as individuals who are connected to a wastewater treatment plant.</w:t>
      </w:r>
    </w:p>
    <w:p w14:paraId="53CB9E99" w14:textId="1DB73BDC" w:rsidR="00943293" w:rsidRDefault="00943293" w:rsidP="00943293">
      <w:pPr>
        <w:spacing w:line="300" w:lineRule="atLeast"/>
        <w:jc w:val="both"/>
        <w:rPr>
          <w:szCs w:val="18"/>
        </w:rPr>
      </w:pPr>
      <w:r>
        <w:rPr>
          <w:szCs w:val="18"/>
        </w:rPr>
        <w:t xml:space="preserve">Water New Zealand reported that for 2015-2016 New Zealand waste water treatment plants handled </w:t>
      </w:r>
      <w:proofErr w:type="gramStart"/>
      <w:r>
        <w:rPr>
          <w:szCs w:val="18"/>
        </w:rPr>
        <w:t>447,676,145 m</w:t>
      </w:r>
      <w:r w:rsidRPr="00800EF1">
        <w:rPr>
          <w:szCs w:val="18"/>
          <w:vertAlign w:val="superscript"/>
        </w:rPr>
        <w:t>3</w:t>
      </w:r>
      <w:r w:rsidR="00475228">
        <w:rPr>
          <w:szCs w:val="18"/>
        </w:rPr>
        <w:t>/year</w:t>
      </w:r>
      <w:proofErr w:type="gramEnd"/>
      <w:r w:rsidR="00475228">
        <w:rPr>
          <w:szCs w:val="18"/>
        </w:rPr>
        <w:t xml:space="preserve">. </w:t>
      </w:r>
      <w:r>
        <w:rPr>
          <w:szCs w:val="18"/>
        </w:rPr>
        <w:t>Consequently septic plant discharges are assumed to be 107,250,464 m</w:t>
      </w:r>
      <w:r w:rsidRPr="00BE77BC">
        <w:rPr>
          <w:szCs w:val="18"/>
          <w:vertAlign w:val="superscript"/>
        </w:rPr>
        <w:t>3</w:t>
      </w:r>
      <w:r>
        <w:rPr>
          <w:szCs w:val="18"/>
        </w:rPr>
        <w:t xml:space="preserve">/year giving a total wastewater production figure </w:t>
      </w:r>
      <w:proofErr w:type="gramStart"/>
      <w:r>
        <w:rPr>
          <w:szCs w:val="18"/>
        </w:rPr>
        <w:t>of 554,926,609 m</w:t>
      </w:r>
      <w:r w:rsidRPr="00BE77BC">
        <w:rPr>
          <w:szCs w:val="18"/>
          <w:vertAlign w:val="superscript"/>
        </w:rPr>
        <w:t>3</w:t>
      </w:r>
      <w:r>
        <w:rPr>
          <w:szCs w:val="18"/>
        </w:rPr>
        <w:t>/year</w:t>
      </w:r>
      <w:proofErr w:type="gramEnd"/>
      <w:r>
        <w:rPr>
          <w:szCs w:val="18"/>
        </w:rPr>
        <w:t>.</w:t>
      </w:r>
      <w:r w:rsidR="00475228">
        <w:rPr>
          <w:szCs w:val="18"/>
        </w:rPr>
        <w:t xml:space="preserve"> </w:t>
      </w:r>
      <w:r w:rsidR="00914B36">
        <w:rPr>
          <w:szCs w:val="18"/>
        </w:rPr>
        <w:t xml:space="preserve">This is somewhat lower than the figure </w:t>
      </w:r>
      <w:proofErr w:type="gramStart"/>
      <w:r w:rsidR="00914B36">
        <w:rPr>
          <w:szCs w:val="18"/>
        </w:rPr>
        <w:t>of 657,000,000 m</w:t>
      </w:r>
      <w:r w:rsidR="00914B36" w:rsidRPr="00BE77BC">
        <w:rPr>
          <w:szCs w:val="18"/>
          <w:vertAlign w:val="superscript"/>
        </w:rPr>
        <w:t>3</w:t>
      </w:r>
      <w:r w:rsidR="00914B36">
        <w:rPr>
          <w:szCs w:val="18"/>
        </w:rPr>
        <w:t>/year given in the 2012 Inventory Report,</w:t>
      </w:r>
      <w:proofErr w:type="gramEnd"/>
      <w:r w:rsidR="00914B36">
        <w:rPr>
          <w:szCs w:val="18"/>
        </w:rPr>
        <w:t xml:space="preserve"> but that was based on less detailed data.</w:t>
      </w:r>
    </w:p>
    <w:p w14:paraId="45903178" w14:textId="77777777" w:rsidR="00A37DEF" w:rsidRDefault="006A3AA1" w:rsidP="003833D6">
      <w:pPr>
        <w:spacing w:line="300" w:lineRule="atLeast"/>
        <w:jc w:val="both"/>
        <w:rPr>
          <w:szCs w:val="18"/>
        </w:rPr>
      </w:pPr>
      <w:r>
        <w:rPr>
          <w:szCs w:val="18"/>
        </w:rPr>
        <w:t xml:space="preserve">There is no information available on the average mercury content of the wastes entering New Zealand wastewater plants. The Toolkit recommends default factors of </w:t>
      </w:r>
      <w:r w:rsidR="001813AB">
        <w:rPr>
          <w:szCs w:val="18"/>
        </w:rPr>
        <w:t>0.5 – 10 µg/litre, and output factors of 0.5 (50%) to water, 0.2 (20%) to land</w:t>
      </w:r>
      <w:r w:rsidR="00914B36">
        <w:rPr>
          <w:rStyle w:val="FootnoteReference"/>
          <w:szCs w:val="18"/>
        </w:rPr>
        <w:footnoteReference w:id="19"/>
      </w:r>
      <w:r w:rsidR="001813AB">
        <w:rPr>
          <w:szCs w:val="18"/>
        </w:rPr>
        <w:t>, and 0.3 (30%) to waste.</w:t>
      </w:r>
      <w:r w:rsidR="00C21DD8">
        <w:rPr>
          <w:szCs w:val="18"/>
        </w:rPr>
        <w:t xml:space="preserve"> The latter two factors reflect the fact that some </w:t>
      </w:r>
      <w:proofErr w:type="spellStart"/>
      <w:r w:rsidR="00C21DD8">
        <w:rPr>
          <w:szCs w:val="18"/>
        </w:rPr>
        <w:t>biosolids</w:t>
      </w:r>
      <w:proofErr w:type="spellEnd"/>
      <w:r w:rsidR="00C21DD8">
        <w:rPr>
          <w:szCs w:val="18"/>
        </w:rPr>
        <w:t xml:space="preserve"> are disposed to land (including use in compost) and some are disposed to landfills, although the exact distribution for New Zealand is unknown.</w:t>
      </w:r>
    </w:p>
    <w:p w14:paraId="47C692EC" w14:textId="47D135C1" w:rsidR="00DE42A4" w:rsidRDefault="00DE42A4" w:rsidP="00DE42A4">
      <w:pPr>
        <w:spacing w:line="300" w:lineRule="atLeast"/>
        <w:jc w:val="both"/>
        <w:rPr>
          <w:szCs w:val="18"/>
        </w:rPr>
      </w:pPr>
      <w:r w:rsidRPr="00675730">
        <w:rPr>
          <w:szCs w:val="18"/>
        </w:rPr>
        <w:t xml:space="preserve">The mercury input and output calculations for </w:t>
      </w:r>
      <w:r>
        <w:rPr>
          <w:szCs w:val="18"/>
        </w:rPr>
        <w:t xml:space="preserve">wastewater treatment plants </w:t>
      </w:r>
      <w:r w:rsidRPr="00675730">
        <w:rPr>
          <w:szCs w:val="18"/>
        </w:rPr>
        <w:t>are shown in</w:t>
      </w:r>
      <w:r>
        <w:rPr>
          <w:szCs w:val="18"/>
        </w:rPr>
        <w:t xml:space="preserve"> </w:t>
      </w:r>
      <w:r w:rsidRPr="00305BC7">
        <w:rPr>
          <w:szCs w:val="18"/>
        </w:rPr>
        <w:fldChar w:fldCharType="begin"/>
      </w:r>
      <w:r w:rsidRPr="00305BC7">
        <w:rPr>
          <w:szCs w:val="18"/>
        </w:rPr>
        <w:instrText xml:space="preserve"> REF _Ref358791244 \h </w:instrText>
      </w:r>
      <w:r w:rsidR="00305BC7">
        <w:rPr>
          <w:szCs w:val="18"/>
        </w:rPr>
        <w:instrText xml:space="preserve"> \* MERGEFORMAT </w:instrText>
      </w:r>
      <w:r w:rsidRPr="00305BC7">
        <w:rPr>
          <w:szCs w:val="18"/>
        </w:rPr>
      </w:r>
      <w:r w:rsidRPr="00305BC7">
        <w:rPr>
          <w:szCs w:val="18"/>
        </w:rPr>
        <w:fldChar w:fldCharType="separate"/>
      </w:r>
      <w:r w:rsidR="00423FC9" w:rsidRPr="00423FC9">
        <w:t xml:space="preserve">Table </w:t>
      </w:r>
      <w:r w:rsidR="00423FC9" w:rsidRPr="00423FC9">
        <w:rPr>
          <w:noProof/>
        </w:rPr>
        <w:t>11</w:t>
      </w:r>
      <w:r w:rsidR="00423FC9" w:rsidRPr="00423FC9">
        <w:rPr>
          <w:noProof/>
        </w:rPr>
        <w:noBreakHyphen/>
        <w:t>3</w:t>
      </w:r>
      <w:r w:rsidRPr="00305BC7">
        <w:rPr>
          <w:szCs w:val="18"/>
        </w:rPr>
        <w:fldChar w:fldCharType="end"/>
      </w:r>
      <w:r>
        <w:rPr>
          <w:szCs w:val="18"/>
        </w:rPr>
        <w:t>.</w:t>
      </w:r>
    </w:p>
    <w:p w14:paraId="27FF48C5" w14:textId="77777777" w:rsidR="00DE42A4" w:rsidRDefault="00DE42A4" w:rsidP="00A402E7">
      <w:pPr>
        <w:pStyle w:val="Caption"/>
        <w:spacing w:before="240"/>
        <w:rPr>
          <w:szCs w:val="18"/>
        </w:rPr>
      </w:pPr>
      <w:bookmarkStart w:id="160" w:name="_Ref358791244"/>
      <w:bookmarkStart w:id="161" w:name="_Toc484949674"/>
      <w:r w:rsidRPr="00753BB9">
        <w:rPr>
          <w:rFonts w:ascii="Arial" w:hAnsi="Arial" w:cs="Arial"/>
        </w:rPr>
        <w:t xml:space="preserve">Table </w:t>
      </w:r>
      <w:r w:rsidR="00390C9F">
        <w:rPr>
          <w:rFonts w:ascii="Arial" w:hAnsi="Arial" w:cs="Arial"/>
        </w:rPr>
        <w:fldChar w:fldCharType="begin"/>
      </w:r>
      <w:r w:rsidR="00390C9F">
        <w:rPr>
          <w:rFonts w:ascii="Arial" w:hAnsi="Arial" w:cs="Arial"/>
        </w:rPr>
        <w:instrText xml:space="preserve"> STYLEREF 1 \s </w:instrText>
      </w:r>
      <w:r w:rsidR="00390C9F">
        <w:rPr>
          <w:rFonts w:ascii="Arial" w:hAnsi="Arial" w:cs="Arial"/>
        </w:rPr>
        <w:fldChar w:fldCharType="separate"/>
      </w:r>
      <w:r w:rsidR="00423FC9">
        <w:rPr>
          <w:rFonts w:ascii="Arial" w:hAnsi="Arial" w:cs="Arial"/>
          <w:noProof/>
        </w:rPr>
        <w:t>11</w:t>
      </w:r>
      <w:r w:rsidR="00390C9F">
        <w:rPr>
          <w:rFonts w:ascii="Arial" w:hAnsi="Arial" w:cs="Arial"/>
        </w:rPr>
        <w:fldChar w:fldCharType="end"/>
      </w:r>
      <w:r w:rsidR="00390C9F">
        <w:rPr>
          <w:rFonts w:ascii="Arial" w:hAnsi="Arial" w:cs="Arial"/>
        </w:rPr>
        <w:noBreakHyphen/>
      </w:r>
      <w:r w:rsidR="00390C9F">
        <w:rPr>
          <w:rFonts w:ascii="Arial" w:hAnsi="Arial" w:cs="Arial"/>
        </w:rPr>
        <w:fldChar w:fldCharType="begin"/>
      </w:r>
      <w:r w:rsidR="00390C9F">
        <w:rPr>
          <w:rFonts w:ascii="Arial" w:hAnsi="Arial" w:cs="Arial"/>
        </w:rPr>
        <w:instrText xml:space="preserve"> SEQ Table \* ARABIC \s 1 </w:instrText>
      </w:r>
      <w:r w:rsidR="00390C9F">
        <w:rPr>
          <w:rFonts w:ascii="Arial" w:hAnsi="Arial" w:cs="Arial"/>
        </w:rPr>
        <w:fldChar w:fldCharType="separate"/>
      </w:r>
      <w:r w:rsidR="00423FC9">
        <w:rPr>
          <w:rFonts w:ascii="Arial" w:hAnsi="Arial" w:cs="Arial"/>
          <w:noProof/>
        </w:rPr>
        <w:t>3</w:t>
      </w:r>
      <w:r w:rsidR="00390C9F">
        <w:rPr>
          <w:rFonts w:ascii="Arial" w:hAnsi="Arial" w:cs="Arial"/>
        </w:rPr>
        <w:fldChar w:fldCharType="end"/>
      </w:r>
      <w:bookmarkEnd w:id="160"/>
      <w:r w:rsidRPr="00753BB9">
        <w:rPr>
          <w:rFonts w:ascii="Arial" w:hAnsi="Arial" w:cs="Arial"/>
        </w:rPr>
        <w:t>:</w:t>
      </w:r>
      <w:r>
        <w:t xml:space="preserve">  </w:t>
      </w:r>
      <w:r w:rsidRPr="00284760">
        <w:rPr>
          <w:rFonts w:ascii="Arial" w:hAnsi="Arial" w:cs="Arial"/>
        </w:rPr>
        <w:t>Input and output estimates for</w:t>
      </w:r>
      <w:r>
        <w:rPr>
          <w:rFonts w:ascii="Arial" w:hAnsi="Arial" w:cs="Arial"/>
        </w:rPr>
        <w:t xml:space="preserve"> wastewater treatment plants</w:t>
      </w:r>
      <w:bookmarkEnd w:id="161"/>
    </w:p>
    <w:tbl>
      <w:tblPr>
        <w:tblStyle w:val="TableGrid"/>
        <w:tblW w:w="0" w:type="auto"/>
        <w:tblLook w:val="04A0" w:firstRow="1" w:lastRow="0" w:firstColumn="1" w:lastColumn="0" w:noHBand="0" w:noVBand="1"/>
      </w:tblPr>
      <w:tblGrid>
        <w:gridCol w:w="1526"/>
        <w:gridCol w:w="1276"/>
        <w:gridCol w:w="1417"/>
        <w:gridCol w:w="1232"/>
        <w:gridCol w:w="1320"/>
        <w:gridCol w:w="1134"/>
        <w:gridCol w:w="1231"/>
      </w:tblGrid>
      <w:tr w:rsidR="00DE42A4" w14:paraId="562EEE6E" w14:textId="77777777" w:rsidTr="007D4D84">
        <w:tc>
          <w:tcPr>
            <w:tcW w:w="1526" w:type="dxa"/>
            <w:vMerge w:val="restart"/>
            <w:vAlign w:val="center"/>
          </w:tcPr>
          <w:p w14:paraId="079769AA" w14:textId="77777777" w:rsidR="00DE42A4" w:rsidRPr="00F31685" w:rsidRDefault="00DE42A4" w:rsidP="00DE42A4">
            <w:pPr>
              <w:spacing w:line="300" w:lineRule="atLeast"/>
              <w:jc w:val="center"/>
              <w:rPr>
                <w:rFonts w:ascii="Arial" w:hAnsi="Arial" w:cs="Arial"/>
                <w:b/>
                <w:sz w:val="16"/>
                <w:szCs w:val="16"/>
              </w:rPr>
            </w:pPr>
            <w:r w:rsidRPr="00F31685">
              <w:rPr>
                <w:rFonts w:ascii="Arial" w:hAnsi="Arial" w:cs="Arial"/>
                <w:b/>
                <w:sz w:val="16"/>
                <w:szCs w:val="16"/>
              </w:rPr>
              <w:t>Source</w:t>
            </w:r>
          </w:p>
        </w:tc>
        <w:tc>
          <w:tcPr>
            <w:tcW w:w="1276" w:type="dxa"/>
            <w:vMerge w:val="restart"/>
            <w:vAlign w:val="center"/>
          </w:tcPr>
          <w:p w14:paraId="56BD45CB" w14:textId="77777777" w:rsidR="00DE42A4" w:rsidRPr="00F31685" w:rsidRDefault="00DE42A4" w:rsidP="00780B15">
            <w:pPr>
              <w:spacing w:line="300" w:lineRule="atLeast"/>
              <w:jc w:val="center"/>
              <w:rPr>
                <w:rFonts w:ascii="Arial" w:hAnsi="Arial" w:cs="Arial"/>
                <w:b/>
                <w:sz w:val="16"/>
                <w:szCs w:val="16"/>
              </w:rPr>
            </w:pPr>
            <w:r>
              <w:rPr>
                <w:rFonts w:ascii="Arial" w:hAnsi="Arial" w:cs="Arial"/>
                <w:b/>
                <w:sz w:val="16"/>
                <w:szCs w:val="16"/>
              </w:rPr>
              <w:t xml:space="preserve">Activity Rate, </w:t>
            </w:r>
            <w:r w:rsidR="00780B15">
              <w:rPr>
                <w:rFonts w:ascii="Arial" w:hAnsi="Arial" w:cs="Arial"/>
                <w:b/>
                <w:sz w:val="16"/>
                <w:szCs w:val="16"/>
              </w:rPr>
              <w:t>L</w:t>
            </w:r>
            <w:r w:rsidR="0078520B">
              <w:rPr>
                <w:rFonts w:ascii="Arial" w:hAnsi="Arial" w:cs="Arial"/>
                <w:b/>
                <w:sz w:val="16"/>
                <w:szCs w:val="16"/>
              </w:rPr>
              <w:t>itres</w:t>
            </w:r>
            <w:r w:rsidRPr="00F31685">
              <w:rPr>
                <w:rFonts w:ascii="Arial" w:hAnsi="Arial" w:cs="Arial"/>
                <w:b/>
                <w:sz w:val="16"/>
                <w:szCs w:val="16"/>
              </w:rPr>
              <w:t>/</w:t>
            </w:r>
            <w:proofErr w:type="spellStart"/>
            <w:r w:rsidRPr="00F31685">
              <w:rPr>
                <w:rFonts w:ascii="Arial" w:hAnsi="Arial" w:cs="Arial"/>
                <w:b/>
                <w:sz w:val="16"/>
                <w:szCs w:val="16"/>
              </w:rPr>
              <w:t>yr</w:t>
            </w:r>
            <w:proofErr w:type="spellEnd"/>
          </w:p>
        </w:tc>
        <w:tc>
          <w:tcPr>
            <w:tcW w:w="1417" w:type="dxa"/>
            <w:vMerge w:val="restart"/>
            <w:vAlign w:val="center"/>
          </w:tcPr>
          <w:p w14:paraId="362B6EF0" w14:textId="77777777" w:rsidR="00DE42A4" w:rsidRPr="00F31685" w:rsidRDefault="00DE42A4" w:rsidP="00DE42A4">
            <w:pPr>
              <w:spacing w:line="300" w:lineRule="atLeast"/>
              <w:jc w:val="center"/>
              <w:rPr>
                <w:rFonts w:ascii="Arial" w:hAnsi="Arial" w:cs="Arial"/>
                <w:b/>
                <w:sz w:val="16"/>
                <w:szCs w:val="16"/>
              </w:rPr>
            </w:pPr>
            <w:r>
              <w:rPr>
                <w:rFonts w:ascii="Arial" w:hAnsi="Arial" w:cs="Arial"/>
                <w:b/>
                <w:sz w:val="16"/>
                <w:szCs w:val="16"/>
              </w:rPr>
              <w:t>Mercury Content, µg/L</w:t>
            </w:r>
          </w:p>
        </w:tc>
        <w:tc>
          <w:tcPr>
            <w:tcW w:w="1232" w:type="dxa"/>
            <w:vMerge w:val="restart"/>
            <w:vAlign w:val="center"/>
          </w:tcPr>
          <w:p w14:paraId="3B4BC022" w14:textId="77777777" w:rsidR="00DE42A4" w:rsidRPr="00F31685" w:rsidRDefault="00DE42A4" w:rsidP="00DE42A4">
            <w:pPr>
              <w:spacing w:line="300" w:lineRule="atLeast"/>
              <w:jc w:val="center"/>
              <w:rPr>
                <w:rFonts w:ascii="Arial" w:hAnsi="Arial" w:cs="Arial"/>
                <w:b/>
                <w:sz w:val="16"/>
                <w:szCs w:val="16"/>
              </w:rPr>
            </w:pPr>
            <w:r>
              <w:rPr>
                <w:rFonts w:ascii="Arial" w:hAnsi="Arial" w:cs="Arial"/>
                <w:b/>
                <w:sz w:val="16"/>
                <w:szCs w:val="16"/>
              </w:rPr>
              <w:t>Annual Inputs, kg/</w:t>
            </w:r>
            <w:proofErr w:type="spellStart"/>
            <w:r>
              <w:rPr>
                <w:rFonts w:ascii="Arial" w:hAnsi="Arial" w:cs="Arial"/>
                <w:b/>
                <w:sz w:val="16"/>
                <w:szCs w:val="16"/>
              </w:rPr>
              <w:t>yr</w:t>
            </w:r>
            <w:proofErr w:type="spellEnd"/>
          </w:p>
        </w:tc>
        <w:tc>
          <w:tcPr>
            <w:tcW w:w="3685" w:type="dxa"/>
            <w:gridSpan w:val="3"/>
            <w:vAlign w:val="center"/>
          </w:tcPr>
          <w:p w14:paraId="6416B51C" w14:textId="77777777" w:rsidR="00DE42A4" w:rsidRPr="00F31685" w:rsidRDefault="00DE42A4" w:rsidP="00DE42A4">
            <w:pPr>
              <w:spacing w:line="300" w:lineRule="atLeast"/>
              <w:jc w:val="center"/>
              <w:rPr>
                <w:rFonts w:ascii="Arial" w:hAnsi="Arial" w:cs="Arial"/>
                <w:b/>
                <w:sz w:val="16"/>
                <w:szCs w:val="16"/>
              </w:rPr>
            </w:pPr>
            <w:r w:rsidRPr="00F31685">
              <w:rPr>
                <w:rFonts w:ascii="Arial" w:hAnsi="Arial" w:cs="Arial"/>
                <w:b/>
                <w:sz w:val="16"/>
                <w:szCs w:val="16"/>
              </w:rPr>
              <w:t>Annual Mercury Outputs, kg/</w:t>
            </w:r>
            <w:proofErr w:type="spellStart"/>
            <w:r w:rsidRPr="00F31685">
              <w:rPr>
                <w:rFonts w:ascii="Arial" w:hAnsi="Arial" w:cs="Arial"/>
                <w:b/>
                <w:sz w:val="16"/>
                <w:szCs w:val="16"/>
              </w:rPr>
              <w:t>yr</w:t>
            </w:r>
            <w:proofErr w:type="spellEnd"/>
          </w:p>
        </w:tc>
      </w:tr>
      <w:tr w:rsidR="00DE42A4" w14:paraId="36A3E56C" w14:textId="77777777" w:rsidTr="007D4D84">
        <w:tc>
          <w:tcPr>
            <w:tcW w:w="1526" w:type="dxa"/>
            <w:vMerge/>
            <w:vAlign w:val="center"/>
          </w:tcPr>
          <w:p w14:paraId="617DC415" w14:textId="77777777" w:rsidR="00DE42A4" w:rsidRPr="00F31685" w:rsidRDefault="00DE42A4" w:rsidP="00DE42A4">
            <w:pPr>
              <w:spacing w:line="300" w:lineRule="atLeast"/>
              <w:jc w:val="center"/>
              <w:rPr>
                <w:rFonts w:ascii="Arial" w:hAnsi="Arial" w:cs="Arial"/>
                <w:b/>
                <w:sz w:val="16"/>
                <w:szCs w:val="16"/>
              </w:rPr>
            </w:pPr>
          </w:p>
        </w:tc>
        <w:tc>
          <w:tcPr>
            <w:tcW w:w="1276" w:type="dxa"/>
            <w:vMerge/>
            <w:vAlign w:val="center"/>
          </w:tcPr>
          <w:p w14:paraId="30D83677" w14:textId="77777777" w:rsidR="00DE42A4" w:rsidRPr="00F31685" w:rsidRDefault="00DE42A4" w:rsidP="00DE42A4">
            <w:pPr>
              <w:spacing w:line="300" w:lineRule="atLeast"/>
              <w:jc w:val="center"/>
              <w:rPr>
                <w:rFonts w:ascii="Arial" w:hAnsi="Arial" w:cs="Arial"/>
                <w:b/>
                <w:sz w:val="16"/>
                <w:szCs w:val="16"/>
              </w:rPr>
            </w:pPr>
          </w:p>
        </w:tc>
        <w:tc>
          <w:tcPr>
            <w:tcW w:w="1417" w:type="dxa"/>
            <w:vMerge/>
          </w:tcPr>
          <w:p w14:paraId="71AE4F17" w14:textId="77777777" w:rsidR="00DE42A4" w:rsidRPr="00F31685" w:rsidRDefault="00DE42A4" w:rsidP="00DE42A4">
            <w:pPr>
              <w:spacing w:line="300" w:lineRule="atLeast"/>
              <w:jc w:val="center"/>
              <w:rPr>
                <w:rFonts w:ascii="Arial" w:hAnsi="Arial" w:cs="Arial"/>
                <w:b/>
                <w:sz w:val="16"/>
                <w:szCs w:val="16"/>
              </w:rPr>
            </w:pPr>
          </w:p>
        </w:tc>
        <w:tc>
          <w:tcPr>
            <w:tcW w:w="1232" w:type="dxa"/>
            <w:vMerge/>
          </w:tcPr>
          <w:p w14:paraId="471D19B8" w14:textId="77777777" w:rsidR="00DE42A4" w:rsidRPr="00F31685" w:rsidRDefault="00DE42A4" w:rsidP="00DE42A4">
            <w:pPr>
              <w:spacing w:line="300" w:lineRule="atLeast"/>
              <w:jc w:val="center"/>
              <w:rPr>
                <w:rFonts w:ascii="Arial" w:hAnsi="Arial" w:cs="Arial"/>
                <w:b/>
                <w:sz w:val="16"/>
                <w:szCs w:val="16"/>
              </w:rPr>
            </w:pPr>
          </w:p>
        </w:tc>
        <w:tc>
          <w:tcPr>
            <w:tcW w:w="1320" w:type="dxa"/>
            <w:vAlign w:val="center"/>
          </w:tcPr>
          <w:p w14:paraId="42708521" w14:textId="77777777" w:rsidR="00DE42A4" w:rsidRPr="00F31685" w:rsidRDefault="00DE42A4" w:rsidP="00DE42A4">
            <w:pPr>
              <w:spacing w:line="300" w:lineRule="atLeast"/>
              <w:jc w:val="center"/>
              <w:rPr>
                <w:rFonts w:ascii="Arial" w:hAnsi="Arial" w:cs="Arial"/>
                <w:b/>
                <w:sz w:val="16"/>
                <w:szCs w:val="16"/>
              </w:rPr>
            </w:pPr>
            <w:r>
              <w:rPr>
                <w:rFonts w:ascii="Arial" w:hAnsi="Arial" w:cs="Arial"/>
                <w:b/>
                <w:sz w:val="16"/>
                <w:szCs w:val="16"/>
              </w:rPr>
              <w:t>Water</w:t>
            </w:r>
          </w:p>
        </w:tc>
        <w:tc>
          <w:tcPr>
            <w:tcW w:w="1134" w:type="dxa"/>
            <w:vAlign w:val="center"/>
          </w:tcPr>
          <w:p w14:paraId="71B0224B" w14:textId="77777777" w:rsidR="00DE42A4" w:rsidRPr="00F31685" w:rsidRDefault="00DE42A4" w:rsidP="00DE42A4">
            <w:pPr>
              <w:spacing w:line="300" w:lineRule="atLeast"/>
              <w:jc w:val="center"/>
              <w:rPr>
                <w:rFonts w:ascii="Arial" w:hAnsi="Arial" w:cs="Arial"/>
                <w:b/>
                <w:sz w:val="16"/>
                <w:szCs w:val="16"/>
              </w:rPr>
            </w:pPr>
            <w:r>
              <w:rPr>
                <w:rFonts w:ascii="Arial" w:hAnsi="Arial" w:cs="Arial"/>
                <w:b/>
                <w:sz w:val="16"/>
                <w:szCs w:val="16"/>
              </w:rPr>
              <w:t>Land</w:t>
            </w:r>
          </w:p>
        </w:tc>
        <w:tc>
          <w:tcPr>
            <w:tcW w:w="1231" w:type="dxa"/>
            <w:vAlign w:val="center"/>
          </w:tcPr>
          <w:p w14:paraId="0D209940" w14:textId="77777777" w:rsidR="00DE42A4" w:rsidRPr="00F31685" w:rsidRDefault="00DE42A4" w:rsidP="00DE42A4">
            <w:pPr>
              <w:spacing w:line="300" w:lineRule="atLeast"/>
              <w:jc w:val="center"/>
              <w:rPr>
                <w:rFonts w:ascii="Arial" w:hAnsi="Arial" w:cs="Arial"/>
                <w:b/>
                <w:sz w:val="16"/>
                <w:szCs w:val="16"/>
              </w:rPr>
            </w:pPr>
            <w:r>
              <w:rPr>
                <w:rFonts w:ascii="Arial" w:hAnsi="Arial" w:cs="Arial"/>
                <w:b/>
                <w:sz w:val="16"/>
                <w:szCs w:val="16"/>
              </w:rPr>
              <w:t>Waste</w:t>
            </w:r>
          </w:p>
        </w:tc>
      </w:tr>
      <w:tr w:rsidR="00DE42A4" w14:paraId="191DA10A" w14:textId="77777777" w:rsidTr="007D4D84">
        <w:tc>
          <w:tcPr>
            <w:tcW w:w="1526" w:type="dxa"/>
            <w:vAlign w:val="center"/>
          </w:tcPr>
          <w:p w14:paraId="48A52A6A" w14:textId="77777777" w:rsidR="00DE42A4" w:rsidRPr="00F31685" w:rsidRDefault="00DE42A4" w:rsidP="00DE42A4">
            <w:pPr>
              <w:spacing w:line="300" w:lineRule="atLeast"/>
              <w:rPr>
                <w:rFonts w:ascii="Arial" w:hAnsi="Arial" w:cs="Arial"/>
                <w:sz w:val="16"/>
                <w:szCs w:val="16"/>
              </w:rPr>
            </w:pPr>
            <w:r>
              <w:rPr>
                <w:rFonts w:ascii="Arial" w:hAnsi="Arial" w:cs="Arial"/>
                <w:sz w:val="16"/>
                <w:szCs w:val="16"/>
              </w:rPr>
              <w:t>Municipal WWTP</w:t>
            </w:r>
            <w:r w:rsidR="00914B36">
              <w:rPr>
                <w:rFonts w:ascii="Arial" w:hAnsi="Arial" w:cs="Arial"/>
                <w:sz w:val="16"/>
                <w:szCs w:val="16"/>
              </w:rPr>
              <w:t>, 2012</w:t>
            </w:r>
          </w:p>
        </w:tc>
        <w:tc>
          <w:tcPr>
            <w:tcW w:w="1276" w:type="dxa"/>
            <w:vAlign w:val="center"/>
          </w:tcPr>
          <w:p w14:paraId="0358F79B" w14:textId="77777777" w:rsidR="00DE42A4" w:rsidRPr="00F31685" w:rsidRDefault="00DE42A4" w:rsidP="00DE42A4">
            <w:pPr>
              <w:spacing w:line="300" w:lineRule="atLeast"/>
              <w:jc w:val="center"/>
              <w:rPr>
                <w:rFonts w:ascii="Arial" w:hAnsi="Arial" w:cs="Arial"/>
                <w:sz w:val="16"/>
                <w:szCs w:val="16"/>
              </w:rPr>
            </w:pPr>
            <w:r>
              <w:rPr>
                <w:rFonts w:ascii="Arial" w:hAnsi="Arial" w:cs="Arial"/>
                <w:sz w:val="16"/>
                <w:szCs w:val="16"/>
              </w:rPr>
              <w:t>657</w:t>
            </w:r>
            <w:r w:rsidR="0078520B">
              <w:rPr>
                <w:rFonts w:ascii="Arial" w:hAnsi="Arial" w:cs="Arial"/>
                <w:sz w:val="16"/>
                <w:szCs w:val="16"/>
              </w:rPr>
              <w:t xml:space="preserve"> x 10</w:t>
            </w:r>
            <w:r w:rsidR="0078520B" w:rsidRPr="002D6CD9">
              <w:rPr>
                <w:rFonts w:ascii="Arial" w:hAnsi="Arial" w:cs="Arial"/>
                <w:sz w:val="16"/>
                <w:szCs w:val="16"/>
                <w:vertAlign w:val="superscript"/>
              </w:rPr>
              <w:t>9</w:t>
            </w:r>
          </w:p>
        </w:tc>
        <w:tc>
          <w:tcPr>
            <w:tcW w:w="1417" w:type="dxa"/>
            <w:vAlign w:val="center"/>
          </w:tcPr>
          <w:p w14:paraId="071FB9A6" w14:textId="77777777" w:rsidR="00DE42A4" w:rsidRDefault="00DE42A4" w:rsidP="00DE42A4">
            <w:pPr>
              <w:spacing w:line="300" w:lineRule="atLeast"/>
              <w:jc w:val="center"/>
              <w:rPr>
                <w:rFonts w:ascii="Arial" w:hAnsi="Arial" w:cs="Arial"/>
                <w:sz w:val="16"/>
                <w:szCs w:val="16"/>
              </w:rPr>
            </w:pPr>
            <w:r>
              <w:rPr>
                <w:rFonts w:ascii="Arial" w:hAnsi="Arial" w:cs="Arial"/>
                <w:sz w:val="16"/>
                <w:szCs w:val="16"/>
              </w:rPr>
              <w:t>0.5 - 10</w:t>
            </w:r>
          </w:p>
        </w:tc>
        <w:tc>
          <w:tcPr>
            <w:tcW w:w="1232" w:type="dxa"/>
            <w:vAlign w:val="center"/>
          </w:tcPr>
          <w:p w14:paraId="6721BB97" w14:textId="77777777" w:rsidR="00BF32E9" w:rsidRDefault="00DE42A4" w:rsidP="00BF32E9">
            <w:pPr>
              <w:spacing w:line="300" w:lineRule="atLeast"/>
              <w:jc w:val="center"/>
              <w:rPr>
                <w:rFonts w:ascii="Arial" w:hAnsi="Arial" w:cs="Arial"/>
                <w:sz w:val="16"/>
                <w:szCs w:val="16"/>
              </w:rPr>
            </w:pPr>
            <w:r>
              <w:rPr>
                <w:rFonts w:ascii="Arial" w:hAnsi="Arial" w:cs="Arial"/>
                <w:sz w:val="16"/>
                <w:szCs w:val="16"/>
              </w:rPr>
              <w:t>328.5 – 6,570</w:t>
            </w:r>
            <w:r w:rsidR="00BF32E9">
              <w:rPr>
                <w:rFonts w:ascii="Arial" w:hAnsi="Arial" w:cs="Arial"/>
                <w:sz w:val="16"/>
                <w:szCs w:val="16"/>
              </w:rPr>
              <w:t xml:space="preserve"> </w:t>
            </w:r>
            <w:r w:rsidR="00B92E5E">
              <w:rPr>
                <w:rFonts w:ascii="Arial" w:hAnsi="Arial" w:cs="Arial"/>
                <w:sz w:val="16"/>
                <w:szCs w:val="16"/>
              </w:rPr>
              <w:t>(3,449.3</w:t>
            </w:r>
            <w:r w:rsidR="00BF32E9">
              <w:rPr>
                <w:rFonts w:ascii="Arial" w:hAnsi="Arial" w:cs="Arial"/>
                <w:sz w:val="16"/>
                <w:szCs w:val="16"/>
              </w:rPr>
              <w:t>)</w:t>
            </w:r>
          </w:p>
        </w:tc>
        <w:tc>
          <w:tcPr>
            <w:tcW w:w="1320" w:type="dxa"/>
            <w:vAlign w:val="center"/>
          </w:tcPr>
          <w:p w14:paraId="14268918" w14:textId="77777777" w:rsidR="00DE42A4" w:rsidRPr="00F31685" w:rsidRDefault="00DE42A4" w:rsidP="00DE42A4">
            <w:pPr>
              <w:spacing w:line="300" w:lineRule="atLeast"/>
              <w:jc w:val="center"/>
              <w:rPr>
                <w:rFonts w:ascii="Arial" w:hAnsi="Arial" w:cs="Arial"/>
                <w:sz w:val="16"/>
                <w:szCs w:val="16"/>
              </w:rPr>
            </w:pPr>
            <w:r>
              <w:rPr>
                <w:rFonts w:ascii="Arial" w:hAnsi="Arial" w:cs="Arial"/>
                <w:sz w:val="16"/>
                <w:szCs w:val="16"/>
              </w:rPr>
              <w:t>164</w:t>
            </w:r>
            <w:r w:rsidR="007D4D84">
              <w:rPr>
                <w:rFonts w:ascii="Arial" w:hAnsi="Arial" w:cs="Arial"/>
                <w:sz w:val="16"/>
                <w:szCs w:val="16"/>
              </w:rPr>
              <w:t>.3</w:t>
            </w:r>
            <w:r>
              <w:rPr>
                <w:rFonts w:ascii="Arial" w:hAnsi="Arial" w:cs="Arial"/>
                <w:sz w:val="16"/>
                <w:szCs w:val="16"/>
              </w:rPr>
              <w:t xml:space="preserve"> – 3,285</w:t>
            </w:r>
            <w:r w:rsidR="00B92E5E">
              <w:rPr>
                <w:rFonts w:ascii="Arial" w:hAnsi="Arial" w:cs="Arial"/>
                <w:sz w:val="16"/>
                <w:szCs w:val="16"/>
              </w:rPr>
              <w:t xml:space="preserve"> (1,724.7</w:t>
            </w:r>
            <w:r w:rsidR="00BF32E9">
              <w:rPr>
                <w:rFonts w:ascii="Arial" w:hAnsi="Arial" w:cs="Arial"/>
                <w:sz w:val="16"/>
                <w:szCs w:val="16"/>
              </w:rPr>
              <w:t>)</w:t>
            </w:r>
          </w:p>
        </w:tc>
        <w:tc>
          <w:tcPr>
            <w:tcW w:w="1134" w:type="dxa"/>
            <w:vAlign w:val="center"/>
          </w:tcPr>
          <w:p w14:paraId="25660D26" w14:textId="77777777" w:rsidR="00DE42A4" w:rsidRPr="00F31685" w:rsidRDefault="00DE42A4" w:rsidP="00DE42A4">
            <w:pPr>
              <w:spacing w:line="300" w:lineRule="atLeast"/>
              <w:jc w:val="center"/>
              <w:rPr>
                <w:rFonts w:ascii="Arial" w:hAnsi="Arial" w:cs="Arial"/>
                <w:sz w:val="16"/>
                <w:szCs w:val="16"/>
              </w:rPr>
            </w:pPr>
            <w:r>
              <w:rPr>
                <w:rFonts w:ascii="Arial" w:hAnsi="Arial" w:cs="Arial"/>
                <w:sz w:val="16"/>
                <w:szCs w:val="16"/>
              </w:rPr>
              <w:t xml:space="preserve">65.7 </w:t>
            </w:r>
            <w:r w:rsidR="00BF32E9">
              <w:rPr>
                <w:rFonts w:ascii="Arial" w:hAnsi="Arial" w:cs="Arial"/>
                <w:sz w:val="16"/>
                <w:szCs w:val="16"/>
              </w:rPr>
              <w:t>–</w:t>
            </w:r>
            <w:r>
              <w:rPr>
                <w:rFonts w:ascii="Arial" w:hAnsi="Arial" w:cs="Arial"/>
                <w:sz w:val="16"/>
                <w:szCs w:val="16"/>
              </w:rPr>
              <w:t xml:space="preserve"> 1</w:t>
            </w:r>
            <w:r w:rsidR="00962F74">
              <w:rPr>
                <w:rFonts w:ascii="Arial" w:hAnsi="Arial" w:cs="Arial"/>
                <w:sz w:val="16"/>
                <w:szCs w:val="16"/>
              </w:rPr>
              <w:t>,</w:t>
            </w:r>
            <w:r>
              <w:rPr>
                <w:rFonts w:ascii="Arial" w:hAnsi="Arial" w:cs="Arial"/>
                <w:sz w:val="16"/>
                <w:szCs w:val="16"/>
              </w:rPr>
              <w:t>314</w:t>
            </w:r>
            <w:r w:rsidR="00BF32E9">
              <w:rPr>
                <w:rFonts w:ascii="Arial" w:hAnsi="Arial" w:cs="Arial"/>
                <w:sz w:val="16"/>
                <w:szCs w:val="16"/>
              </w:rPr>
              <w:t xml:space="preserve"> (</w:t>
            </w:r>
            <w:r w:rsidR="00B92E5E">
              <w:rPr>
                <w:rFonts w:ascii="Arial" w:hAnsi="Arial" w:cs="Arial"/>
                <w:sz w:val="16"/>
                <w:szCs w:val="16"/>
              </w:rPr>
              <w:t>689.9</w:t>
            </w:r>
            <w:r w:rsidR="00BF32E9">
              <w:rPr>
                <w:rFonts w:ascii="Arial" w:hAnsi="Arial" w:cs="Arial"/>
                <w:sz w:val="16"/>
                <w:szCs w:val="16"/>
              </w:rPr>
              <w:t>)</w:t>
            </w:r>
          </w:p>
        </w:tc>
        <w:tc>
          <w:tcPr>
            <w:tcW w:w="1231" w:type="dxa"/>
            <w:vAlign w:val="center"/>
          </w:tcPr>
          <w:p w14:paraId="571343D2" w14:textId="77777777" w:rsidR="00DE42A4" w:rsidRPr="00F31685" w:rsidRDefault="00DE42A4" w:rsidP="00B92E5E">
            <w:pPr>
              <w:spacing w:line="300" w:lineRule="atLeast"/>
              <w:jc w:val="center"/>
              <w:rPr>
                <w:rFonts w:ascii="Arial" w:hAnsi="Arial" w:cs="Arial"/>
                <w:sz w:val="16"/>
                <w:szCs w:val="16"/>
              </w:rPr>
            </w:pPr>
            <w:r>
              <w:rPr>
                <w:rFonts w:ascii="Arial" w:hAnsi="Arial" w:cs="Arial"/>
                <w:sz w:val="16"/>
                <w:szCs w:val="16"/>
              </w:rPr>
              <w:t xml:space="preserve">98.5 </w:t>
            </w:r>
            <w:r w:rsidR="00BF32E9">
              <w:rPr>
                <w:rFonts w:ascii="Arial" w:hAnsi="Arial" w:cs="Arial"/>
                <w:sz w:val="16"/>
                <w:szCs w:val="16"/>
              </w:rPr>
              <w:t>–</w:t>
            </w:r>
            <w:r>
              <w:rPr>
                <w:rFonts w:ascii="Arial" w:hAnsi="Arial" w:cs="Arial"/>
                <w:sz w:val="16"/>
                <w:szCs w:val="16"/>
              </w:rPr>
              <w:t xml:space="preserve"> 1</w:t>
            </w:r>
            <w:r w:rsidR="00962F74">
              <w:rPr>
                <w:rFonts w:ascii="Arial" w:hAnsi="Arial" w:cs="Arial"/>
                <w:sz w:val="16"/>
                <w:szCs w:val="16"/>
              </w:rPr>
              <w:t>,</w:t>
            </w:r>
            <w:r>
              <w:rPr>
                <w:rFonts w:ascii="Arial" w:hAnsi="Arial" w:cs="Arial"/>
                <w:sz w:val="16"/>
                <w:szCs w:val="16"/>
              </w:rPr>
              <w:t>971</w:t>
            </w:r>
            <w:r w:rsidR="00BF32E9">
              <w:rPr>
                <w:rFonts w:ascii="Arial" w:hAnsi="Arial" w:cs="Arial"/>
                <w:sz w:val="16"/>
                <w:szCs w:val="16"/>
              </w:rPr>
              <w:t xml:space="preserve"> (1</w:t>
            </w:r>
            <w:r w:rsidR="00B92E5E">
              <w:rPr>
                <w:rFonts w:ascii="Arial" w:hAnsi="Arial" w:cs="Arial"/>
                <w:sz w:val="16"/>
                <w:szCs w:val="16"/>
              </w:rPr>
              <w:t>,034.8</w:t>
            </w:r>
            <w:r w:rsidR="00BF32E9">
              <w:rPr>
                <w:rFonts w:ascii="Arial" w:hAnsi="Arial" w:cs="Arial"/>
                <w:sz w:val="16"/>
                <w:szCs w:val="16"/>
              </w:rPr>
              <w:t>)</w:t>
            </w:r>
          </w:p>
        </w:tc>
      </w:tr>
      <w:tr w:rsidR="00914B36" w14:paraId="44AE0803" w14:textId="77777777" w:rsidTr="007D4D84">
        <w:tc>
          <w:tcPr>
            <w:tcW w:w="1526" w:type="dxa"/>
            <w:vAlign w:val="center"/>
          </w:tcPr>
          <w:p w14:paraId="20B7B6A1" w14:textId="77777777" w:rsidR="00914B36" w:rsidRPr="00F31685" w:rsidRDefault="00914B36" w:rsidP="00914B36">
            <w:pPr>
              <w:spacing w:line="300" w:lineRule="atLeast"/>
              <w:rPr>
                <w:rFonts w:ascii="Arial" w:hAnsi="Arial" w:cs="Arial"/>
                <w:sz w:val="16"/>
                <w:szCs w:val="16"/>
              </w:rPr>
            </w:pPr>
            <w:r>
              <w:rPr>
                <w:rFonts w:ascii="Arial" w:hAnsi="Arial" w:cs="Arial"/>
                <w:sz w:val="16"/>
                <w:szCs w:val="16"/>
              </w:rPr>
              <w:t>Municipal WWTP, 2016</w:t>
            </w:r>
          </w:p>
        </w:tc>
        <w:tc>
          <w:tcPr>
            <w:tcW w:w="1276" w:type="dxa"/>
            <w:vAlign w:val="center"/>
          </w:tcPr>
          <w:p w14:paraId="42E60898" w14:textId="77777777" w:rsidR="00914B36" w:rsidRPr="00800EF1" w:rsidRDefault="00914B36" w:rsidP="00914B36">
            <w:pPr>
              <w:spacing w:line="300" w:lineRule="atLeast"/>
              <w:jc w:val="center"/>
              <w:rPr>
                <w:rFonts w:ascii="Arial" w:hAnsi="Arial" w:cs="Arial"/>
                <w:sz w:val="16"/>
                <w:szCs w:val="16"/>
                <w:vertAlign w:val="superscript"/>
              </w:rPr>
            </w:pPr>
            <w:r>
              <w:rPr>
                <w:rFonts w:ascii="Arial" w:hAnsi="Arial" w:cs="Arial"/>
                <w:sz w:val="16"/>
                <w:szCs w:val="16"/>
              </w:rPr>
              <w:t>555 x 10</w:t>
            </w:r>
            <w:r>
              <w:rPr>
                <w:rFonts w:ascii="Arial" w:hAnsi="Arial" w:cs="Arial"/>
                <w:sz w:val="16"/>
                <w:szCs w:val="16"/>
                <w:vertAlign w:val="superscript"/>
              </w:rPr>
              <w:t>9</w:t>
            </w:r>
          </w:p>
        </w:tc>
        <w:tc>
          <w:tcPr>
            <w:tcW w:w="1417" w:type="dxa"/>
            <w:vAlign w:val="center"/>
          </w:tcPr>
          <w:p w14:paraId="0DE47B59" w14:textId="77777777" w:rsidR="00914B36" w:rsidRDefault="00914B36" w:rsidP="00914B36">
            <w:pPr>
              <w:spacing w:line="300" w:lineRule="atLeast"/>
              <w:jc w:val="center"/>
              <w:rPr>
                <w:rFonts w:ascii="Arial" w:hAnsi="Arial" w:cs="Arial"/>
                <w:sz w:val="16"/>
                <w:szCs w:val="16"/>
              </w:rPr>
            </w:pPr>
            <w:r>
              <w:rPr>
                <w:rFonts w:ascii="Arial" w:hAnsi="Arial" w:cs="Arial"/>
                <w:sz w:val="16"/>
                <w:szCs w:val="16"/>
              </w:rPr>
              <w:t>0.5 - 10</w:t>
            </w:r>
          </w:p>
        </w:tc>
        <w:tc>
          <w:tcPr>
            <w:tcW w:w="1232" w:type="dxa"/>
            <w:vAlign w:val="center"/>
          </w:tcPr>
          <w:p w14:paraId="115CCDCA" w14:textId="28D1B6DA" w:rsidR="00914B36" w:rsidRDefault="001724C3" w:rsidP="00914B36">
            <w:pPr>
              <w:spacing w:line="300" w:lineRule="atLeast"/>
              <w:jc w:val="center"/>
              <w:rPr>
                <w:rFonts w:ascii="Arial" w:hAnsi="Arial" w:cs="Arial"/>
                <w:sz w:val="16"/>
                <w:szCs w:val="16"/>
              </w:rPr>
            </w:pPr>
            <w:r>
              <w:rPr>
                <w:rFonts w:ascii="Arial" w:hAnsi="Arial" w:cs="Arial"/>
                <w:sz w:val="16"/>
                <w:szCs w:val="16"/>
              </w:rPr>
              <w:t>277.5 – 5550 (2,913.8</w:t>
            </w:r>
            <w:r w:rsidR="00914B36">
              <w:rPr>
                <w:rFonts w:ascii="Arial" w:hAnsi="Arial" w:cs="Arial"/>
                <w:sz w:val="16"/>
                <w:szCs w:val="16"/>
              </w:rPr>
              <w:t>)</w:t>
            </w:r>
          </w:p>
        </w:tc>
        <w:tc>
          <w:tcPr>
            <w:tcW w:w="1320" w:type="dxa"/>
            <w:vAlign w:val="center"/>
          </w:tcPr>
          <w:p w14:paraId="304F8AA9" w14:textId="2FFE8B8D" w:rsidR="00914B36" w:rsidRDefault="001724C3" w:rsidP="001724C3">
            <w:pPr>
              <w:spacing w:line="300" w:lineRule="atLeast"/>
              <w:jc w:val="center"/>
              <w:rPr>
                <w:rFonts w:ascii="Arial" w:hAnsi="Arial" w:cs="Arial"/>
                <w:sz w:val="16"/>
                <w:szCs w:val="16"/>
              </w:rPr>
            </w:pPr>
            <w:r>
              <w:rPr>
                <w:rFonts w:ascii="Arial" w:hAnsi="Arial" w:cs="Arial"/>
                <w:sz w:val="16"/>
                <w:szCs w:val="16"/>
              </w:rPr>
              <w:t>138</w:t>
            </w:r>
            <w:r w:rsidR="00914B36">
              <w:rPr>
                <w:rFonts w:ascii="Arial" w:hAnsi="Arial" w:cs="Arial"/>
                <w:sz w:val="16"/>
                <w:szCs w:val="16"/>
              </w:rPr>
              <w:t>.</w:t>
            </w:r>
            <w:r>
              <w:rPr>
                <w:rFonts w:ascii="Arial" w:hAnsi="Arial" w:cs="Arial"/>
                <w:sz w:val="16"/>
                <w:szCs w:val="16"/>
              </w:rPr>
              <w:t>7 – 2,775</w:t>
            </w:r>
            <w:r w:rsidR="00914B36">
              <w:rPr>
                <w:rFonts w:ascii="Arial" w:hAnsi="Arial" w:cs="Arial"/>
                <w:sz w:val="16"/>
                <w:szCs w:val="16"/>
              </w:rPr>
              <w:t xml:space="preserve"> </w:t>
            </w:r>
            <w:r>
              <w:rPr>
                <w:rFonts w:ascii="Arial" w:hAnsi="Arial" w:cs="Arial"/>
                <w:sz w:val="16"/>
                <w:szCs w:val="16"/>
              </w:rPr>
              <w:t>(1,456</w:t>
            </w:r>
            <w:r w:rsidR="00914B36">
              <w:rPr>
                <w:rFonts w:ascii="Arial" w:hAnsi="Arial" w:cs="Arial"/>
                <w:sz w:val="16"/>
                <w:szCs w:val="16"/>
              </w:rPr>
              <w:t>.</w:t>
            </w:r>
            <w:r>
              <w:rPr>
                <w:rFonts w:ascii="Arial" w:hAnsi="Arial" w:cs="Arial"/>
                <w:sz w:val="16"/>
                <w:szCs w:val="16"/>
              </w:rPr>
              <w:t>9</w:t>
            </w:r>
            <w:r w:rsidR="00914B36">
              <w:rPr>
                <w:rFonts w:ascii="Arial" w:hAnsi="Arial" w:cs="Arial"/>
                <w:sz w:val="16"/>
                <w:szCs w:val="16"/>
              </w:rPr>
              <w:t>)</w:t>
            </w:r>
          </w:p>
        </w:tc>
        <w:tc>
          <w:tcPr>
            <w:tcW w:w="1134" w:type="dxa"/>
            <w:vAlign w:val="center"/>
          </w:tcPr>
          <w:p w14:paraId="76874BC9" w14:textId="320E789B" w:rsidR="00914B36" w:rsidRDefault="00914B36" w:rsidP="00914B36">
            <w:pPr>
              <w:spacing w:line="300" w:lineRule="atLeast"/>
              <w:jc w:val="center"/>
              <w:rPr>
                <w:rFonts w:ascii="Arial" w:hAnsi="Arial" w:cs="Arial"/>
                <w:sz w:val="16"/>
                <w:szCs w:val="16"/>
              </w:rPr>
            </w:pPr>
            <w:r>
              <w:rPr>
                <w:rFonts w:ascii="Arial" w:hAnsi="Arial" w:cs="Arial"/>
                <w:sz w:val="16"/>
                <w:szCs w:val="16"/>
              </w:rPr>
              <w:t>5</w:t>
            </w:r>
            <w:r w:rsidR="001724C3">
              <w:rPr>
                <w:rFonts w:ascii="Arial" w:hAnsi="Arial" w:cs="Arial"/>
                <w:sz w:val="16"/>
                <w:szCs w:val="16"/>
              </w:rPr>
              <w:t>5.5 – 1110 (5</w:t>
            </w:r>
            <w:r>
              <w:rPr>
                <w:rFonts w:ascii="Arial" w:hAnsi="Arial" w:cs="Arial"/>
                <w:sz w:val="16"/>
                <w:szCs w:val="16"/>
              </w:rPr>
              <w:t>8</w:t>
            </w:r>
            <w:r w:rsidR="001724C3">
              <w:rPr>
                <w:rFonts w:ascii="Arial" w:hAnsi="Arial" w:cs="Arial"/>
                <w:sz w:val="16"/>
                <w:szCs w:val="16"/>
              </w:rPr>
              <w:t>2.8</w:t>
            </w:r>
            <w:r>
              <w:rPr>
                <w:rFonts w:ascii="Arial" w:hAnsi="Arial" w:cs="Arial"/>
                <w:sz w:val="16"/>
                <w:szCs w:val="16"/>
              </w:rPr>
              <w:t>)</w:t>
            </w:r>
          </w:p>
        </w:tc>
        <w:tc>
          <w:tcPr>
            <w:tcW w:w="1231" w:type="dxa"/>
            <w:vAlign w:val="center"/>
          </w:tcPr>
          <w:p w14:paraId="3F73486B" w14:textId="77777777" w:rsidR="00914B36" w:rsidRDefault="00FE0EB9" w:rsidP="00914B36">
            <w:pPr>
              <w:spacing w:line="300" w:lineRule="atLeast"/>
              <w:jc w:val="center"/>
              <w:rPr>
                <w:rFonts w:ascii="Arial" w:hAnsi="Arial" w:cs="Arial"/>
                <w:sz w:val="16"/>
                <w:szCs w:val="16"/>
              </w:rPr>
            </w:pPr>
            <w:r>
              <w:rPr>
                <w:rFonts w:ascii="Arial" w:hAnsi="Arial" w:cs="Arial"/>
                <w:sz w:val="16"/>
                <w:szCs w:val="16"/>
              </w:rPr>
              <w:t>83.25 – 1,665 (874.1)</w:t>
            </w:r>
          </w:p>
        </w:tc>
      </w:tr>
    </w:tbl>
    <w:p w14:paraId="63763E71" w14:textId="77777777" w:rsidR="00DE42A4" w:rsidRPr="00BE17CF" w:rsidRDefault="00DE42A4" w:rsidP="00DE42A4">
      <w:pPr>
        <w:spacing w:before="240" w:line="300" w:lineRule="atLeast"/>
        <w:jc w:val="both"/>
        <w:rPr>
          <w:rFonts w:ascii="Arial" w:hAnsi="Arial" w:cs="Arial"/>
          <w:b/>
          <w:szCs w:val="18"/>
        </w:rPr>
      </w:pPr>
      <w:r w:rsidRPr="00BE17CF">
        <w:rPr>
          <w:rFonts w:ascii="Arial" w:hAnsi="Arial" w:cs="Arial"/>
          <w:b/>
          <w:szCs w:val="18"/>
        </w:rPr>
        <w:t>Certainty assessment</w:t>
      </w:r>
    </w:p>
    <w:p w14:paraId="4A466FB5" w14:textId="77777777" w:rsidR="00DE42A4" w:rsidRDefault="00DE42A4" w:rsidP="00DE42A4">
      <w:pPr>
        <w:tabs>
          <w:tab w:val="left" w:pos="1985"/>
        </w:tabs>
        <w:spacing w:line="300" w:lineRule="atLeast"/>
        <w:jc w:val="both"/>
        <w:rPr>
          <w:szCs w:val="18"/>
        </w:rPr>
      </w:pPr>
      <w:r>
        <w:rPr>
          <w:szCs w:val="18"/>
        </w:rPr>
        <w:t xml:space="preserve">Activity data: </w:t>
      </w:r>
      <w:r>
        <w:rPr>
          <w:szCs w:val="18"/>
        </w:rPr>
        <w:tab/>
        <w:t>MEDIUM (because it is based on past national data)</w:t>
      </w:r>
    </w:p>
    <w:p w14:paraId="0B3859DC" w14:textId="77777777" w:rsidR="00DE42A4" w:rsidRDefault="00DE42A4" w:rsidP="00DE42A4">
      <w:pPr>
        <w:tabs>
          <w:tab w:val="left" w:pos="1985"/>
        </w:tabs>
        <w:spacing w:line="300" w:lineRule="atLeast"/>
        <w:jc w:val="both"/>
        <w:rPr>
          <w:szCs w:val="18"/>
        </w:rPr>
      </w:pPr>
      <w:r>
        <w:rPr>
          <w:szCs w:val="18"/>
        </w:rPr>
        <w:t xml:space="preserve">Input estimates: </w:t>
      </w:r>
      <w:r>
        <w:rPr>
          <w:szCs w:val="18"/>
        </w:rPr>
        <w:tab/>
        <w:t>LOW</w:t>
      </w:r>
      <w:r w:rsidRPr="00CE3E59">
        <w:rPr>
          <w:szCs w:val="18"/>
        </w:rPr>
        <w:t xml:space="preserve"> </w:t>
      </w:r>
      <w:r>
        <w:rPr>
          <w:szCs w:val="18"/>
        </w:rPr>
        <w:t xml:space="preserve">(because </w:t>
      </w:r>
      <w:r w:rsidRPr="007D4239">
        <w:rPr>
          <w:szCs w:val="18"/>
        </w:rPr>
        <w:t>they are based on the default Toolkit output factors</w:t>
      </w:r>
      <w:r>
        <w:rPr>
          <w:szCs w:val="18"/>
        </w:rPr>
        <w:t>)</w:t>
      </w:r>
    </w:p>
    <w:p w14:paraId="0BDBFE01" w14:textId="77777777" w:rsidR="00DE42A4" w:rsidRPr="0028681C" w:rsidRDefault="00DE42A4" w:rsidP="00DE42A4">
      <w:pPr>
        <w:tabs>
          <w:tab w:val="left" w:pos="1985"/>
        </w:tabs>
        <w:spacing w:line="300" w:lineRule="atLeast"/>
        <w:jc w:val="both"/>
        <w:rPr>
          <w:szCs w:val="18"/>
        </w:rPr>
      </w:pPr>
      <w:r>
        <w:rPr>
          <w:szCs w:val="18"/>
        </w:rPr>
        <w:lastRenderedPageBreak/>
        <w:t xml:space="preserve">Output estimates: </w:t>
      </w:r>
      <w:r>
        <w:rPr>
          <w:szCs w:val="18"/>
        </w:rPr>
        <w:tab/>
        <w:t>LOW (because they are based on the default Toolkit output factors).</w:t>
      </w:r>
    </w:p>
    <w:p w14:paraId="11AC1EDE" w14:textId="77777777" w:rsidR="001813AB" w:rsidRPr="00020491" w:rsidRDefault="006776F9" w:rsidP="006776F9">
      <w:pPr>
        <w:pStyle w:val="Heading2"/>
      </w:pPr>
      <w:bookmarkStart w:id="162" w:name="_Toc484949625"/>
      <w:r w:rsidRPr="00020491">
        <w:t>Specialist waste disposal services</w:t>
      </w:r>
      <w:bookmarkEnd w:id="162"/>
    </w:p>
    <w:p w14:paraId="1328EE76" w14:textId="77777777" w:rsidR="001813AB" w:rsidRPr="00020491" w:rsidRDefault="00123DA3" w:rsidP="003833D6">
      <w:pPr>
        <w:spacing w:line="300" w:lineRule="atLeast"/>
        <w:jc w:val="both"/>
        <w:rPr>
          <w:szCs w:val="18"/>
        </w:rPr>
      </w:pPr>
      <w:r w:rsidRPr="00020491">
        <w:rPr>
          <w:szCs w:val="18"/>
        </w:rPr>
        <w:t xml:space="preserve">This category is not specifically listed in the Toolkit, but has been included here for the purposes of providing additional information on some of the New Zealand management practices for mercury-containing wastes. </w:t>
      </w:r>
    </w:p>
    <w:p w14:paraId="2450E71B" w14:textId="77777777" w:rsidR="003A52F3" w:rsidRPr="00020491" w:rsidRDefault="003A52F3" w:rsidP="00133004">
      <w:pPr>
        <w:spacing w:line="300" w:lineRule="atLeast"/>
        <w:jc w:val="both"/>
        <w:rPr>
          <w:rFonts w:ascii="Arial" w:hAnsi="Arial" w:cs="Arial"/>
          <w:b/>
          <w:szCs w:val="18"/>
        </w:rPr>
      </w:pPr>
      <w:r w:rsidRPr="00020491">
        <w:rPr>
          <w:rFonts w:ascii="Arial" w:hAnsi="Arial" w:cs="Arial"/>
          <w:b/>
          <w:szCs w:val="18"/>
        </w:rPr>
        <w:t>Waste exports</w:t>
      </w:r>
      <w:r w:rsidR="00C55D09" w:rsidRPr="00020491">
        <w:rPr>
          <w:rFonts w:ascii="Arial" w:hAnsi="Arial" w:cs="Arial"/>
          <w:b/>
          <w:szCs w:val="18"/>
        </w:rPr>
        <w:t xml:space="preserve"> and imports</w:t>
      </w:r>
    </w:p>
    <w:p w14:paraId="4EBEC02A" w14:textId="4FD32A4F" w:rsidR="00A873BD" w:rsidRPr="00020491" w:rsidRDefault="003A52F3" w:rsidP="00E47F02">
      <w:pPr>
        <w:spacing w:line="300" w:lineRule="atLeast"/>
        <w:jc w:val="both"/>
        <w:rPr>
          <w:szCs w:val="18"/>
        </w:rPr>
      </w:pPr>
      <w:r w:rsidRPr="00020491">
        <w:rPr>
          <w:szCs w:val="18"/>
        </w:rPr>
        <w:t xml:space="preserve">Exports of mercury-containing wastes require a permit under the </w:t>
      </w:r>
      <w:r w:rsidR="00A873BD" w:rsidRPr="00020491">
        <w:rPr>
          <w:i/>
          <w:szCs w:val="18"/>
        </w:rPr>
        <w:t xml:space="preserve">Imports and Exports </w:t>
      </w:r>
      <w:r w:rsidR="008B046D" w:rsidRPr="00020491">
        <w:rPr>
          <w:i/>
          <w:szCs w:val="18"/>
        </w:rPr>
        <w:t>(</w:t>
      </w:r>
      <w:r w:rsidR="00A873BD" w:rsidRPr="00020491">
        <w:rPr>
          <w:i/>
          <w:szCs w:val="18"/>
        </w:rPr>
        <w:t>Restrictions</w:t>
      </w:r>
      <w:r w:rsidR="008B046D" w:rsidRPr="00020491">
        <w:rPr>
          <w:i/>
          <w:szCs w:val="18"/>
        </w:rPr>
        <w:t>)</w:t>
      </w:r>
      <w:r w:rsidR="00A873BD" w:rsidRPr="00020491">
        <w:rPr>
          <w:i/>
          <w:szCs w:val="18"/>
        </w:rPr>
        <w:t xml:space="preserve"> Act 1988</w:t>
      </w:r>
      <w:r w:rsidR="00A873BD" w:rsidRPr="00020491">
        <w:rPr>
          <w:szCs w:val="18"/>
        </w:rPr>
        <w:t>. These permits are issued by the E</w:t>
      </w:r>
      <w:r w:rsidR="008113E4">
        <w:rPr>
          <w:szCs w:val="18"/>
        </w:rPr>
        <w:t xml:space="preserve">nvironmental </w:t>
      </w:r>
      <w:r w:rsidR="00A873BD" w:rsidRPr="00020491">
        <w:rPr>
          <w:szCs w:val="18"/>
        </w:rPr>
        <w:t>P</w:t>
      </w:r>
      <w:r w:rsidR="008113E4">
        <w:rPr>
          <w:szCs w:val="18"/>
        </w:rPr>
        <w:t xml:space="preserve">rotection </w:t>
      </w:r>
      <w:r w:rsidR="00A873BD" w:rsidRPr="00020491">
        <w:rPr>
          <w:szCs w:val="18"/>
        </w:rPr>
        <w:t>A</w:t>
      </w:r>
      <w:r w:rsidR="008113E4">
        <w:rPr>
          <w:szCs w:val="18"/>
        </w:rPr>
        <w:t>uthority</w:t>
      </w:r>
      <w:r w:rsidR="00A873BD" w:rsidRPr="00020491">
        <w:rPr>
          <w:szCs w:val="18"/>
        </w:rPr>
        <w:t xml:space="preserve">, and in </w:t>
      </w:r>
      <w:r w:rsidR="00020491">
        <w:rPr>
          <w:szCs w:val="18"/>
        </w:rPr>
        <w:t>May 2017</w:t>
      </w:r>
      <w:r w:rsidR="00A873BD" w:rsidRPr="00020491">
        <w:rPr>
          <w:szCs w:val="18"/>
        </w:rPr>
        <w:t xml:space="preserve"> </w:t>
      </w:r>
      <w:r w:rsidR="00C55D09" w:rsidRPr="00020491">
        <w:rPr>
          <w:szCs w:val="18"/>
        </w:rPr>
        <w:t>the</w:t>
      </w:r>
      <w:r w:rsidR="00E47F02">
        <w:rPr>
          <w:szCs w:val="18"/>
        </w:rPr>
        <w:t>re were no current</w:t>
      </w:r>
      <w:r w:rsidR="00C55D09" w:rsidRPr="00020491">
        <w:rPr>
          <w:szCs w:val="18"/>
        </w:rPr>
        <w:t xml:space="preserve"> permit</w:t>
      </w:r>
      <w:r w:rsidR="009A6853" w:rsidRPr="00020491">
        <w:rPr>
          <w:szCs w:val="18"/>
        </w:rPr>
        <w:t>s</w:t>
      </w:r>
      <w:r w:rsidR="00C55D09" w:rsidRPr="00020491">
        <w:rPr>
          <w:szCs w:val="18"/>
        </w:rPr>
        <w:t xml:space="preserve"> </w:t>
      </w:r>
      <w:r w:rsidR="00020491">
        <w:rPr>
          <w:szCs w:val="18"/>
        </w:rPr>
        <w:t xml:space="preserve">listed </w:t>
      </w:r>
      <w:r w:rsidR="00C55D09" w:rsidRPr="00020491">
        <w:rPr>
          <w:szCs w:val="18"/>
        </w:rPr>
        <w:t xml:space="preserve">for </w:t>
      </w:r>
      <w:r w:rsidR="00E47F02">
        <w:rPr>
          <w:szCs w:val="18"/>
        </w:rPr>
        <w:t xml:space="preserve">exports of </w:t>
      </w:r>
      <w:r w:rsidR="00A873BD" w:rsidRPr="00020491">
        <w:rPr>
          <w:szCs w:val="18"/>
        </w:rPr>
        <w:t>mercury-containing wastes</w:t>
      </w:r>
      <w:r w:rsidR="00C55D09" w:rsidRPr="00020491">
        <w:rPr>
          <w:szCs w:val="18"/>
        </w:rPr>
        <w:t xml:space="preserve"> </w:t>
      </w:r>
      <w:r w:rsidR="00020491">
        <w:rPr>
          <w:szCs w:val="18"/>
        </w:rPr>
        <w:t>(EPA, 2017</w:t>
      </w:r>
      <w:r w:rsidR="00E47F02">
        <w:rPr>
          <w:szCs w:val="18"/>
        </w:rPr>
        <w:t>a</w:t>
      </w:r>
      <w:r w:rsidR="00020491">
        <w:rPr>
          <w:szCs w:val="18"/>
        </w:rPr>
        <w:t xml:space="preserve">). </w:t>
      </w:r>
      <w:r w:rsidR="008113E4">
        <w:rPr>
          <w:szCs w:val="18"/>
        </w:rPr>
        <w:t xml:space="preserve">An earlier permit for the export of </w:t>
      </w:r>
      <w:r w:rsidR="00A43D9A" w:rsidRPr="00A43D9A">
        <w:rPr>
          <w:i/>
          <w:szCs w:val="18"/>
        </w:rPr>
        <w:t>miscellaneous mercury bearing waste including crushed lamps and fluorescent</w:t>
      </w:r>
      <w:r w:rsidR="00A43D9A" w:rsidRPr="00A43D9A">
        <w:rPr>
          <w:szCs w:val="18"/>
        </w:rPr>
        <w:t xml:space="preserve"> tubes</w:t>
      </w:r>
      <w:r w:rsidR="008113E4">
        <w:rPr>
          <w:szCs w:val="18"/>
        </w:rPr>
        <w:t xml:space="preserve"> expired in July 2016. In addition, there are</w:t>
      </w:r>
      <w:r w:rsidR="00E47F02">
        <w:rPr>
          <w:szCs w:val="18"/>
        </w:rPr>
        <w:t xml:space="preserve"> </w:t>
      </w:r>
      <w:r w:rsidR="008113E4">
        <w:rPr>
          <w:szCs w:val="18"/>
        </w:rPr>
        <w:t xml:space="preserve">current </w:t>
      </w:r>
      <w:r w:rsidR="00E47F02">
        <w:rPr>
          <w:szCs w:val="18"/>
        </w:rPr>
        <w:t>permits for imports of small amounts of mercury metal wastes and mercury lamps, both from New</w:t>
      </w:r>
      <w:r w:rsidR="00465944" w:rsidRPr="00020491">
        <w:rPr>
          <w:szCs w:val="18"/>
        </w:rPr>
        <w:t xml:space="preserve"> Caledonia.</w:t>
      </w:r>
      <w:r w:rsidR="00C55D09" w:rsidRPr="00020491">
        <w:rPr>
          <w:szCs w:val="18"/>
        </w:rPr>
        <w:t xml:space="preserve"> </w:t>
      </w:r>
    </w:p>
    <w:p w14:paraId="06DEDE6F" w14:textId="77777777" w:rsidR="00465944" w:rsidRPr="00020491" w:rsidRDefault="00133004" w:rsidP="00133004">
      <w:pPr>
        <w:spacing w:line="300" w:lineRule="atLeast"/>
        <w:jc w:val="both"/>
        <w:rPr>
          <w:rFonts w:ascii="Arial" w:hAnsi="Arial" w:cs="Arial"/>
          <w:b/>
          <w:szCs w:val="18"/>
        </w:rPr>
      </w:pPr>
      <w:r w:rsidRPr="00020491">
        <w:rPr>
          <w:rFonts w:ascii="Arial" w:hAnsi="Arial" w:cs="Arial"/>
          <w:b/>
          <w:szCs w:val="18"/>
        </w:rPr>
        <w:t xml:space="preserve">Waste </w:t>
      </w:r>
      <w:r w:rsidR="00465944" w:rsidRPr="00020491">
        <w:rPr>
          <w:rFonts w:ascii="Arial" w:hAnsi="Arial" w:cs="Arial"/>
          <w:b/>
          <w:szCs w:val="18"/>
        </w:rPr>
        <w:t>disposal services</w:t>
      </w:r>
    </w:p>
    <w:p w14:paraId="2F07ED44" w14:textId="784FF5B7" w:rsidR="001813AB" w:rsidRDefault="00E47F02" w:rsidP="00465944">
      <w:pPr>
        <w:spacing w:line="300" w:lineRule="atLeast"/>
        <w:jc w:val="both"/>
        <w:rPr>
          <w:szCs w:val="18"/>
        </w:rPr>
      </w:pPr>
      <w:r>
        <w:rPr>
          <w:szCs w:val="18"/>
        </w:rPr>
        <w:t>In the 2012 Inventory Report it was noted that there we</w:t>
      </w:r>
      <w:r w:rsidR="00465944" w:rsidRPr="00020491">
        <w:rPr>
          <w:szCs w:val="18"/>
        </w:rPr>
        <w:t xml:space="preserve">re </w:t>
      </w:r>
      <w:r w:rsidR="009A6853" w:rsidRPr="00020491">
        <w:rPr>
          <w:szCs w:val="18"/>
        </w:rPr>
        <w:t xml:space="preserve">four </w:t>
      </w:r>
      <w:r w:rsidR="00465944" w:rsidRPr="00020491">
        <w:rPr>
          <w:szCs w:val="18"/>
        </w:rPr>
        <w:t xml:space="preserve">companies providing hazardous waste treatment and disposal services in New Zealand. </w:t>
      </w:r>
      <w:r>
        <w:rPr>
          <w:szCs w:val="18"/>
        </w:rPr>
        <w:t>The i</w:t>
      </w:r>
      <w:r w:rsidR="00465944" w:rsidRPr="00020491">
        <w:rPr>
          <w:szCs w:val="18"/>
        </w:rPr>
        <w:t xml:space="preserve">nformation </w:t>
      </w:r>
      <w:r>
        <w:rPr>
          <w:szCs w:val="18"/>
        </w:rPr>
        <w:t xml:space="preserve">obtained from </w:t>
      </w:r>
      <w:r w:rsidR="00D05C51">
        <w:rPr>
          <w:szCs w:val="18"/>
        </w:rPr>
        <w:t xml:space="preserve">some of </w:t>
      </w:r>
      <w:r>
        <w:rPr>
          <w:szCs w:val="18"/>
        </w:rPr>
        <w:t xml:space="preserve">these companies </w:t>
      </w:r>
      <w:r w:rsidR="00465944" w:rsidRPr="00020491">
        <w:rPr>
          <w:szCs w:val="18"/>
        </w:rPr>
        <w:t>indicate</w:t>
      </w:r>
      <w:r>
        <w:rPr>
          <w:szCs w:val="18"/>
        </w:rPr>
        <w:t>d</w:t>
      </w:r>
      <w:r w:rsidR="00465944" w:rsidRPr="00020491">
        <w:rPr>
          <w:szCs w:val="18"/>
        </w:rPr>
        <w:t xml:space="preserve"> that they </w:t>
      </w:r>
      <w:r w:rsidR="00D05C51">
        <w:rPr>
          <w:szCs w:val="18"/>
        </w:rPr>
        <w:t>occasionally</w:t>
      </w:r>
      <w:r w:rsidR="00465944" w:rsidRPr="00020491">
        <w:rPr>
          <w:szCs w:val="18"/>
        </w:rPr>
        <w:t xml:space="preserve"> accept small quantities of mercury and mercury-containing wastes</w:t>
      </w:r>
      <w:r w:rsidR="008A04DB" w:rsidRPr="00020491">
        <w:rPr>
          <w:szCs w:val="18"/>
        </w:rPr>
        <w:t>, especially from</w:t>
      </w:r>
      <w:r w:rsidR="009A6853" w:rsidRPr="00020491">
        <w:rPr>
          <w:szCs w:val="18"/>
        </w:rPr>
        <w:t xml:space="preserve"> dentists,</w:t>
      </w:r>
      <w:r w:rsidR="008A04DB" w:rsidRPr="00020491">
        <w:rPr>
          <w:szCs w:val="18"/>
        </w:rPr>
        <w:t xml:space="preserve"> </w:t>
      </w:r>
      <w:r w:rsidR="009F3D41" w:rsidRPr="00020491">
        <w:rPr>
          <w:szCs w:val="18"/>
        </w:rPr>
        <w:t xml:space="preserve">hospitals, </w:t>
      </w:r>
      <w:r w:rsidR="009A6853" w:rsidRPr="00020491">
        <w:rPr>
          <w:szCs w:val="18"/>
        </w:rPr>
        <w:t xml:space="preserve">schools, </w:t>
      </w:r>
      <w:r w:rsidR="008A04DB" w:rsidRPr="00020491">
        <w:rPr>
          <w:szCs w:val="18"/>
        </w:rPr>
        <w:t>universities and laboratories</w:t>
      </w:r>
      <w:r w:rsidR="00465944" w:rsidRPr="00020491">
        <w:rPr>
          <w:szCs w:val="18"/>
        </w:rPr>
        <w:t>. These are either passed on to other use</w:t>
      </w:r>
      <w:r w:rsidR="008A04DB" w:rsidRPr="00020491">
        <w:rPr>
          <w:szCs w:val="18"/>
        </w:rPr>
        <w:t>r</w:t>
      </w:r>
      <w:r w:rsidR="00465944" w:rsidRPr="00020491">
        <w:rPr>
          <w:szCs w:val="18"/>
        </w:rPr>
        <w:t>s or diluted and disposed to landfill or wastewater treatment plants.</w:t>
      </w:r>
      <w:r w:rsidR="00465944">
        <w:rPr>
          <w:szCs w:val="18"/>
        </w:rPr>
        <w:t xml:space="preserve"> </w:t>
      </w:r>
      <w:r>
        <w:rPr>
          <w:szCs w:val="18"/>
        </w:rPr>
        <w:t>The situation is expected to be much the same for 2016.</w:t>
      </w:r>
    </w:p>
    <w:p w14:paraId="5E26123B" w14:textId="77777777" w:rsidR="00352440" w:rsidRPr="00B136BC" w:rsidRDefault="00352440" w:rsidP="00352440">
      <w:pPr>
        <w:pStyle w:val="Heading2"/>
        <w:rPr>
          <w:rFonts w:eastAsia="Calibri"/>
        </w:rPr>
      </w:pPr>
      <w:bookmarkStart w:id="163" w:name="_Toc484949626"/>
      <w:r w:rsidRPr="00B136BC">
        <w:rPr>
          <w:rFonts w:eastAsia="Calibri"/>
        </w:rPr>
        <w:t>Summary for this category</w:t>
      </w:r>
      <w:bookmarkEnd w:id="163"/>
      <w:r w:rsidRPr="00B136BC">
        <w:rPr>
          <w:rFonts w:eastAsia="Calibri"/>
        </w:rPr>
        <w:t xml:space="preserve"> </w:t>
      </w:r>
    </w:p>
    <w:p w14:paraId="75965B0A" w14:textId="0E531813" w:rsidR="0084141B" w:rsidRDefault="00352440" w:rsidP="00453A57">
      <w:pPr>
        <w:spacing w:line="300" w:lineRule="atLeast"/>
        <w:rPr>
          <w:rFonts w:eastAsia="Calibri"/>
          <w:szCs w:val="22"/>
        </w:rPr>
      </w:pPr>
      <w:r>
        <w:rPr>
          <w:rFonts w:eastAsia="Calibri"/>
          <w:szCs w:val="22"/>
        </w:rPr>
        <w:t xml:space="preserve">The estimated inputs and outputs for </w:t>
      </w:r>
      <w:r w:rsidRPr="00352440">
        <w:rPr>
          <w:rFonts w:eastAsia="Calibri"/>
          <w:szCs w:val="22"/>
        </w:rPr>
        <w:t xml:space="preserve">waste deposition/landfilling and wastewater treatment </w:t>
      </w:r>
      <w:r>
        <w:rPr>
          <w:rFonts w:eastAsia="Calibri"/>
          <w:szCs w:val="22"/>
        </w:rPr>
        <w:t>are summarised in</w:t>
      </w:r>
      <w:r w:rsidR="006B3BC8">
        <w:rPr>
          <w:rFonts w:eastAsia="Calibri"/>
          <w:szCs w:val="22"/>
        </w:rPr>
        <w:t xml:space="preserve"> Table 11-4.</w:t>
      </w:r>
    </w:p>
    <w:p w14:paraId="242F8745" w14:textId="77777777" w:rsidR="00352440" w:rsidRPr="007901FE" w:rsidRDefault="003F2323" w:rsidP="00FE6C76">
      <w:pPr>
        <w:pStyle w:val="Caption"/>
        <w:spacing w:before="240"/>
        <w:ind w:left="1440" w:hanging="1440"/>
        <w:rPr>
          <w:rFonts w:ascii="Arial" w:hAnsi="Arial" w:cs="Arial"/>
          <w:szCs w:val="18"/>
        </w:rPr>
      </w:pPr>
      <w:bookmarkStart w:id="164" w:name="_Ref358560641"/>
      <w:bookmarkStart w:id="165" w:name="_Toc484949675"/>
      <w:r w:rsidRPr="00FE6C76">
        <w:rPr>
          <w:rFonts w:ascii="Arial" w:hAnsi="Arial" w:cs="Arial"/>
        </w:rPr>
        <w:t xml:space="preserve">Table </w:t>
      </w:r>
      <w:r w:rsidR="00390C9F">
        <w:rPr>
          <w:rFonts w:ascii="Arial" w:hAnsi="Arial" w:cs="Arial"/>
        </w:rPr>
        <w:fldChar w:fldCharType="begin"/>
      </w:r>
      <w:r w:rsidR="00390C9F">
        <w:rPr>
          <w:rFonts w:ascii="Arial" w:hAnsi="Arial" w:cs="Arial"/>
        </w:rPr>
        <w:instrText xml:space="preserve"> STYLEREF 1 \s </w:instrText>
      </w:r>
      <w:r w:rsidR="00390C9F">
        <w:rPr>
          <w:rFonts w:ascii="Arial" w:hAnsi="Arial" w:cs="Arial"/>
        </w:rPr>
        <w:fldChar w:fldCharType="separate"/>
      </w:r>
      <w:r w:rsidR="00423FC9">
        <w:rPr>
          <w:rFonts w:ascii="Arial" w:hAnsi="Arial" w:cs="Arial"/>
          <w:noProof/>
        </w:rPr>
        <w:t>11</w:t>
      </w:r>
      <w:r w:rsidR="00390C9F">
        <w:rPr>
          <w:rFonts w:ascii="Arial" w:hAnsi="Arial" w:cs="Arial"/>
        </w:rPr>
        <w:fldChar w:fldCharType="end"/>
      </w:r>
      <w:r w:rsidR="00390C9F">
        <w:rPr>
          <w:rFonts w:ascii="Arial" w:hAnsi="Arial" w:cs="Arial"/>
        </w:rPr>
        <w:noBreakHyphen/>
      </w:r>
      <w:r w:rsidR="00390C9F">
        <w:rPr>
          <w:rFonts w:ascii="Arial" w:hAnsi="Arial" w:cs="Arial"/>
        </w:rPr>
        <w:fldChar w:fldCharType="begin"/>
      </w:r>
      <w:r w:rsidR="00390C9F">
        <w:rPr>
          <w:rFonts w:ascii="Arial" w:hAnsi="Arial" w:cs="Arial"/>
        </w:rPr>
        <w:instrText xml:space="preserve"> SEQ Table \* ARABIC \s 1 </w:instrText>
      </w:r>
      <w:r w:rsidR="00390C9F">
        <w:rPr>
          <w:rFonts w:ascii="Arial" w:hAnsi="Arial" w:cs="Arial"/>
        </w:rPr>
        <w:fldChar w:fldCharType="separate"/>
      </w:r>
      <w:r w:rsidR="00423FC9">
        <w:rPr>
          <w:rFonts w:ascii="Arial" w:hAnsi="Arial" w:cs="Arial"/>
          <w:noProof/>
        </w:rPr>
        <w:t>4</w:t>
      </w:r>
      <w:r w:rsidR="00390C9F">
        <w:rPr>
          <w:rFonts w:ascii="Arial" w:hAnsi="Arial" w:cs="Arial"/>
        </w:rPr>
        <w:fldChar w:fldCharType="end"/>
      </w:r>
      <w:bookmarkEnd w:id="164"/>
      <w:r w:rsidR="00352440" w:rsidRPr="00FE6C76">
        <w:rPr>
          <w:rFonts w:ascii="Arial" w:hAnsi="Arial" w:cs="Arial"/>
        </w:rPr>
        <w:t>:</w:t>
      </w:r>
      <w:r w:rsidR="00352440" w:rsidRPr="007901FE">
        <w:rPr>
          <w:rFonts w:ascii="Arial" w:hAnsi="Arial" w:cs="Arial"/>
        </w:rPr>
        <w:t xml:space="preserve"> Summary of inputs and o</w:t>
      </w:r>
      <w:r w:rsidR="00352440">
        <w:rPr>
          <w:rFonts w:ascii="Arial" w:hAnsi="Arial" w:cs="Arial"/>
        </w:rPr>
        <w:t xml:space="preserve">utputs for waste </w:t>
      </w:r>
      <w:r w:rsidRPr="003F2323">
        <w:rPr>
          <w:rFonts w:ascii="Arial" w:hAnsi="Arial" w:cs="Arial"/>
        </w:rPr>
        <w:t>deposition/landfilling and wastewater treatment</w:t>
      </w:r>
      <w:r w:rsidR="00FE0EB9">
        <w:rPr>
          <w:rFonts w:ascii="Arial" w:hAnsi="Arial" w:cs="Arial"/>
        </w:rPr>
        <w:t xml:space="preserve"> for 2016</w:t>
      </w:r>
      <w:bookmarkEnd w:id="165"/>
    </w:p>
    <w:tbl>
      <w:tblPr>
        <w:tblStyle w:val="TableGrid"/>
        <w:tblW w:w="9214" w:type="dxa"/>
        <w:tblInd w:w="108" w:type="dxa"/>
        <w:tblLook w:val="04A0" w:firstRow="1" w:lastRow="0" w:firstColumn="1" w:lastColumn="0" w:noHBand="0" w:noVBand="1"/>
      </w:tblPr>
      <w:tblGrid>
        <w:gridCol w:w="1483"/>
        <w:gridCol w:w="1425"/>
        <w:gridCol w:w="912"/>
        <w:gridCol w:w="1539"/>
        <w:gridCol w:w="1139"/>
        <w:gridCol w:w="1254"/>
        <w:gridCol w:w="1462"/>
      </w:tblGrid>
      <w:tr w:rsidR="0084141B" w:rsidRPr="007901FE" w14:paraId="0C83AD8D" w14:textId="77777777" w:rsidTr="00D237D4">
        <w:tc>
          <w:tcPr>
            <w:tcW w:w="1483" w:type="dxa"/>
            <w:vMerge w:val="restart"/>
            <w:vAlign w:val="center"/>
          </w:tcPr>
          <w:p w14:paraId="4E6526A0" w14:textId="77777777" w:rsidR="0084141B" w:rsidRPr="004E3E02" w:rsidRDefault="0084141B" w:rsidP="00676490">
            <w:pPr>
              <w:spacing w:line="300" w:lineRule="atLeast"/>
              <w:rPr>
                <w:rFonts w:ascii="Arial" w:hAnsi="Arial" w:cs="Arial"/>
                <w:b/>
                <w:sz w:val="16"/>
                <w:szCs w:val="16"/>
              </w:rPr>
            </w:pPr>
            <w:r w:rsidRPr="004E3E02">
              <w:rPr>
                <w:rFonts w:ascii="Arial" w:hAnsi="Arial" w:cs="Arial"/>
                <w:b/>
                <w:sz w:val="16"/>
                <w:szCs w:val="16"/>
              </w:rPr>
              <w:t>Category</w:t>
            </w:r>
          </w:p>
        </w:tc>
        <w:tc>
          <w:tcPr>
            <w:tcW w:w="1425" w:type="dxa"/>
            <w:vMerge w:val="restart"/>
            <w:vAlign w:val="center"/>
          </w:tcPr>
          <w:p w14:paraId="1987A9AF" w14:textId="77777777" w:rsidR="0084141B" w:rsidRPr="004E3E02" w:rsidRDefault="0084141B" w:rsidP="00676490">
            <w:pPr>
              <w:spacing w:line="300" w:lineRule="atLeast"/>
              <w:jc w:val="center"/>
              <w:rPr>
                <w:rFonts w:ascii="Arial" w:hAnsi="Arial" w:cs="Arial"/>
                <w:b/>
                <w:sz w:val="16"/>
                <w:szCs w:val="16"/>
              </w:rPr>
            </w:pPr>
            <w:r w:rsidRPr="004E3E02">
              <w:rPr>
                <w:rFonts w:ascii="Arial" w:hAnsi="Arial" w:cs="Arial"/>
                <w:b/>
                <w:sz w:val="16"/>
                <w:szCs w:val="16"/>
              </w:rPr>
              <w:t>Mercury Inputs, kg/year</w:t>
            </w:r>
          </w:p>
        </w:tc>
        <w:tc>
          <w:tcPr>
            <w:tcW w:w="6306" w:type="dxa"/>
            <w:gridSpan w:val="5"/>
            <w:vAlign w:val="center"/>
          </w:tcPr>
          <w:p w14:paraId="04856516" w14:textId="77777777" w:rsidR="0084141B" w:rsidRPr="004E3E02" w:rsidRDefault="0084141B" w:rsidP="00676490">
            <w:pPr>
              <w:spacing w:line="300" w:lineRule="atLeast"/>
              <w:jc w:val="center"/>
              <w:rPr>
                <w:rFonts w:ascii="Arial" w:hAnsi="Arial" w:cs="Arial"/>
                <w:b/>
                <w:sz w:val="16"/>
                <w:szCs w:val="16"/>
              </w:rPr>
            </w:pPr>
            <w:r w:rsidRPr="004E3E02">
              <w:rPr>
                <w:rFonts w:ascii="Arial" w:hAnsi="Arial" w:cs="Arial"/>
                <w:b/>
                <w:sz w:val="16"/>
                <w:szCs w:val="16"/>
              </w:rPr>
              <w:t>Mercury Outputs, kg/</w:t>
            </w:r>
            <w:proofErr w:type="spellStart"/>
            <w:r w:rsidRPr="004E3E02">
              <w:rPr>
                <w:rFonts w:ascii="Arial" w:hAnsi="Arial" w:cs="Arial"/>
                <w:b/>
                <w:sz w:val="16"/>
                <w:szCs w:val="16"/>
              </w:rPr>
              <w:t>yr</w:t>
            </w:r>
            <w:proofErr w:type="spellEnd"/>
          </w:p>
        </w:tc>
      </w:tr>
      <w:tr w:rsidR="0084141B" w:rsidRPr="007901FE" w14:paraId="1552FDDB" w14:textId="77777777" w:rsidTr="00D237D4">
        <w:tc>
          <w:tcPr>
            <w:tcW w:w="1483" w:type="dxa"/>
            <w:vMerge/>
            <w:vAlign w:val="center"/>
          </w:tcPr>
          <w:p w14:paraId="32A5A24F" w14:textId="77777777" w:rsidR="0084141B" w:rsidRPr="004E3E02" w:rsidRDefault="0084141B" w:rsidP="00676490">
            <w:pPr>
              <w:spacing w:line="300" w:lineRule="atLeast"/>
              <w:rPr>
                <w:rFonts w:ascii="Arial" w:hAnsi="Arial" w:cs="Arial"/>
                <w:b/>
                <w:sz w:val="16"/>
                <w:szCs w:val="16"/>
              </w:rPr>
            </w:pPr>
          </w:p>
        </w:tc>
        <w:tc>
          <w:tcPr>
            <w:tcW w:w="1425" w:type="dxa"/>
            <w:vMerge/>
          </w:tcPr>
          <w:p w14:paraId="1750915C" w14:textId="77777777" w:rsidR="0084141B" w:rsidRPr="004E3E02" w:rsidRDefault="0084141B" w:rsidP="00676490">
            <w:pPr>
              <w:spacing w:line="300" w:lineRule="atLeast"/>
              <w:jc w:val="both"/>
              <w:rPr>
                <w:rFonts w:ascii="Arial" w:hAnsi="Arial" w:cs="Arial"/>
                <w:b/>
                <w:sz w:val="16"/>
                <w:szCs w:val="16"/>
              </w:rPr>
            </w:pPr>
          </w:p>
        </w:tc>
        <w:tc>
          <w:tcPr>
            <w:tcW w:w="912" w:type="dxa"/>
            <w:vAlign w:val="center"/>
          </w:tcPr>
          <w:p w14:paraId="08E5360A" w14:textId="77777777" w:rsidR="0084141B" w:rsidRPr="004E3E02" w:rsidRDefault="0084141B" w:rsidP="00676490">
            <w:pPr>
              <w:spacing w:line="300" w:lineRule="atLeast"/>
              <w:jc w:val="center"/>
              <w:rPr>
                <w:rFonts w:ascii="Arial" w:hAnsi="Arial" w:cs="Arial"/>
                <w:b/>
                <w:sz w:val="16"/>
                <w:szCs w:val="16"/>
              </w:rPr>
            </w:pPr>
            <w:r w:rsidRPr="004E3E02">
              <w:rPr>
                <w:rFonts w:ascii="Arial" w:hAnsi="Arial" w:cs="Arial"/>
                <w:b/>
                <w:sz w:val="16"/>
                <w:szCs w:val="16"/>
              </w:rPr>
              <w:t>Air</w:t>
            </w:r>
          </w:p>
        </w:tc>
        <w:tc>
          <w:tcPr>
            <w:tcW w:w="1539" w:type="dxa"/>
            <w:vAlign w:val="center"/>
          </w:tcPr>
          <w:p w14:paraId="5C56D946" w14:textId="77777777" w:rsidR="0084141B" w:rsidRPr="004E3E02" w:rsidRDefault="0084141B" w:rsidP="00676490">
            <w:pPr>
              <w:spacing w:line="300" w:lineRule="atLeast"/>
              <w:jc w:val="center"/>
              <w:rPr>
                <w:rFonts w:ascii="Arial" w:hAnsi="Arial" w:cs="Arial"/>
                <w:b/>
                <w:sz w:val="16"/>
                <w:szCs w:val="16"/>
              </w:rPr>
            </w:pPr>
            <w:r w:rsidRPr="004E3E02">
              <w:rPr>
                <w:rFonts w:ascii="Arial" w:hAnsi="Arial" w:cs="Arial"/>
                <w:b/>
                <w:sz w:val="16"/>
                <w:szCs w:val="16"/>
              </w:rPr>
              <w:t>Water</w:t>
            </w:r>
          </w:p>
        </w:tc>
        <w:tc>
          <w:tcPr>
            <w:tcW w:w="1139" w:type="dxa"/>
            <w:vAlign w:val="center"/>
          </w:tcPr>
          <w:p w14:paraId="0ADA42C0" w14:textId="77777777" w:rsidR="0084141B" w:rsidRPr="004E3E02" w:rsidRDefault="0084141B" w:rsidP="00676490">
            <w:pPr>
              <w:spacing w:line="300" w:lineRule="atLeast"/>
              <w:jc w:val="center"/>
              <w:rPr>
                <w:rFonts w:ascii="Arial" w:hAnsi="Arial" w:cs="Arial"/>
                <w:b/>
                <w:sz w:val="16"/>
                <w:szCs w:val="16"/>
              </w:rPr>
            </w:pPr>
            <w:r w:rsidRPr="004E3E02">
              <w:rPr>
                <w:rFonts w:ascii="Arial" w:hAnsi="Arial" w:cs="Arial"/>
                <w:b/>
                <w:sz w:val="16"/>
                <w:szCs w:val="16"/>
              </w:rPr>
              <w:t>Land</w:t>
            </w:r>
          </w:p>
        </w:tc>
        <w:tc>
          <w:tcPr>
            <w:tcW w:w="1254" w:type="dxa"/>
            <w:vAlign w:val="center"/>
          </w:tcPr>
          <w:p w14:paraId="723F7DF0" w14:textId="77777777" w:rsidR="0084141B" w:rsidRPr="004E3E02" w:rsidRDefault="0084141B" w:rsidP="00676490">
            <w:pPr>
              <w:spacing w:line="300" w:lineRule="atLeast"/>
              <w:jc w:val="center"/>
              <w:rPr>
                <w:rFonts w:ascii="Arial" w:hAnsi="Arial" w:cs="Arial"/>
                <w:b/>
                <w:sz w:val="16"/>
                <w:szCs w:val="16"/>
              </w:rPr>
            </w:pPr>
            <w:r w:rsidRPr="004E3E02">
              <w:rPr>
                <w:rFonts w:ascii="Arial" w:hAnsi="Arial" w:cs="Arial"/>
                <w:b/>
                <w:sz w:val="16"/>
                <w:szCs w:val="16"/>
              </w:rPr>
              <w:t>Waste</w:t>
            </w:r>
          </w:p>
        </w:tc>
        <w:tc>
          <w:tcPr>
            <w:tcW w:w="1462" w:type="dxa"/>
            <w:vAlign w:val="center"/>
          </w:tcPr>
          <w:p w14:paraId="08CF5741" w14:textId="77777777" w:rsidR="0084141B" w:rsidRPr="004E3E02" w:rsidRDefault="0084141B" w:rsidP="00676490">
            <w:pPr>
              <w:spacing w:line="300" w:lineRule="atLeast"/>
              <w:jc w:val="center"/>
              <w:rPr>
                <w:rFonts w:ascii="Arial" w:hAnsi="Arial" w:cs="Arial"/>
                <w:b/>
                <w:sz w:val="16"/>
                <w:szCs w:val="16"/>
              </w:rPr>
            </w:pPr>
            <w:r>
              <w:rPr>
                <w:rFonts w:ascii="Arial" w:hAnsi="Arial" w:cs="Arial"/>
                <w:b/>
                <w:sz w:val="16"/>
                <w:szCs w:val="16"/>
              </w:rPr>
              <w:t>Reservoir</w:t>
            </w:r>
          </w:p>
        </w:tc>
      </w:tr>
      <w:tr w:rsidR="001724C3" w:rsidRPr="007901FE" w14:paraId="5188193F" w14:textId="77777777" w:rsidTr="00D237D4">
        <w:tc>
          <w:tcPr>
            <w:tcW w:w="1483" w:type="dxa"/>
            <w:vAlign w:val="center"/>
          </w:tcPr>
          <w:p w14:paraId="2BE1789A" w14:textId="34F71C00" w:rsidR="001724C3" w:rsidRPr="004901F2" w:rsidRDefault="001724C3" w:rsidP="001724C3">
            <w:pPr>
              <w:spacing w:line="300" w:lineRule="atLeast"/>
              <w:rPr>
                <w:rFonts w:ascii="Arial" w:hAnsi="Arial" w:cs="Arial"/>
                <w:sz w:val="16"/>
                <w:szCs w:val="16"/>
              </w:rPr>
            </w:pPr>
            <w:r>
              <w:rPr>
                <w:rFonts w:ascii="Arial" w:hAnsi="Arial" w:cs="Arial"/>
                <w:sz w:val="16"/>
                <w:szCs w:val="16"/>
              </w:rPr>
              <w:t>Cont</w:t>
            </w:r>
            <w:r w:rsidR="00D237D4">
              <w:rPr>
                <w:rFonts w:ascii="Arial" w:hAnsi="Arial" w:cs="Arial"/>
                <w:sz w:val="16"/>
                <w:szCs w:val="16"/>
              </w:rPr>
              <w:t>rolled landfills</w:t>
            </w:r>
          </w:p>
        </w:tc>
        <w:tc>
          <w:tcPr>
            <w:tcW w:w="1425" w:type="dxa"/>
            <w:vAlign w:val="center"/>
          </w:tcPr>
          <w:p w14:paraId="03DC6EB6" w14:textId="1E8DD241" w:rsidR="001724C3" w:rsidRDefault="001724C3" w:rsidP="001724C3">
            <w:pPr>
              <w:spacing w:line="300" w:lineRule="atLeast"/>
              <w:jc w:val="center"/>
              <w:rPr>
                <w:rFonts w:ascii="Arial" w:hAnsi="Arial" w:cs="Arial"/>
                <w:sz w:val="16"/>
                <w:szCs w:val="16"/>
              </w:rPr>
            </w:pPr>
            <w:r>
              <w:rPr>
                <w:rFonts w:ascii="Arial" w:hAnsi="Arial" w:cs="Arial"/>
                <w:sz w:val="16"/>
                <w:szCs w:val="16"/>
              </w:rPr>
              <w:t>3,410 – 34,100 (18,755)</w:t>
            </w:r>
          </w:p>
        </w:tc>
        <w:tc>
          <w:tcPr>
            <w:tcW w:w="912" w:type="dxa"/>
            <w:vAlign w:val="center"/>
          </w:tcPr>
          <w:p w14:paraId="3A8FE986" w14:textId="29B40CC0" w:rsidR="001724C3" w:rsidRDefault="001724C3" w:rsidP="001724C3">
            <w:pPr>
              <w:spacing w:line="300" w:lineRule="atLeast"/>
              <w:jc w:val="center"/>
              <w:rPr>
                <w:rFonts w:ascii="Arial" w:hAnsi="Arial" w:cs="Arial"/>
                <w:sz w:val="16"/>
                <w:szCs w:val="16"/>
              </w:rPr>
            </w:pPr>
            <w:r>
              <w:rPr>
                <w:rFonts w:ascii="Arial" w:hAnsi="Arial" w:cs="Arial"/>
                <w:sz w:val="16"/>
                <w:szCs w:val="16"/>
              </w:rPr>
              <w:t>34 – 341 (187.6)</w:t>
            </w:r>
          </w:p>
        </w:tc>
        <w:tc>
          <w:tcPr>
            <w:tcW w:w="1539" w:type="dxa"/>
            <w:vAlign w:val="center"/>
          </w:tcPr>
          <w:p w14:paraId="3DFE965E" w14:textId="180939AF" w:rsidR="001724C3" w:rsidRDefault="00475228" w:rsidP="001724C3">
            <w:pPr>
              <w:spacing w:line="300" w:lineRule="atLeast"/>
              <w:jc w:val="center"/>
              <w:rPr>
                <w:rFonts w:ascii="Arial" w:hAnsi="Arial" w:cs="Arial"/>
                <w:sz w:val="16"/>
                <w:szCs w:val="16"/>
              </w:rPr>
            </w:pPr>
            <w:r>
              <w:rPr>
                <w:rFonts w:ascii="Arial" w:hAnsi="Arial" w:cs="Arial"/>
                <w:sz w:val="16"/>
                <w:szCs w:val="16"/>
              </w:rPr>
              <w:t xml:space="preserve">0.34 – 3.4 </w:t>
            </w:r>
            <w:r>
              <w:rPr>
                <w:rFonts w:ascii="Arial" w:hAnsi="Arial" w:cs="Arial"/>
                <w:sz w:val="16"/>
                <w:szCs w:val="16"/>
              </w:rPr>
              <w:br/>
              <w:t>(1.9</w:t>
            </w:r>
            <w:r w:rsidR="001724C3">
              <w:rPr>
                <w:rFonts w:ascii="Arial" w:hAnsi="Arial" w:cs="Arial"/>
                <w:sz w:val="16"/>
                <w:szCs w:val="16"/>
              </w:rPr>
              <w:t>)</w:t>
            </w:r>
          </w:p>
        </w:tc>
        <w:tc>
          <w:tcPr>
            <w:tcW w:w="1139" w:type="dxa"/>
            <w:vAlign w:val="center"/>
          </w:tcPr>
          <w:p w14:paraId="6ADB6212" w14:textId="66B45045" w:rsidR="001724C3" w:rsidRDefault="001724C3" w:rsidP="001724C3">
            <w:pPr>
              <w:spacing w:line="300" w:lineRule="atLeast"/>
              <w:jc w:val="center"/>
              <w:rPr>
                <w:rFonts w:ascii="Arial" w:hAnsi="Arial" w:cs="Arial"/>
                <w:sz w:val="16"/>
                <w:szCs w:val="16"/>
              </w:rPr>
            </w:pPr>
            <w:r>
              <w:rPr>
                <w:rFonts w:ascii="Arial" w:hAnsi="Arial" w:cs="Arial"/>
                <w:sz w:val="16"/>
                <w:szCs w:val="16"/>
              </w:rPr>
              <w:t>-</w:t>
            </w:r>
          </w:p>
        </w:tc>
        <w:tc>
          <w:tcPr>
            <w:tcW w:w="1254" w:type="dxa"/>
            <w:vAlign w:val="center"/>
          </w:tcPr>
          <w:p w14:paraId="7D4E4924" w14:textId="77777777" w:rsidR="001724C3" w:rsidRPr="004E3E02" w:rsidRDefault="001724C3" w:rsidP="001724C3">
            <w:pPr>
              <w:spacing w:line="300" w:lineRule="atLeast"/>
              <w:jc w:val="center"/>
              <w:rPr>
                <w:rFonts w:ascii="Arial" w:hAnsi="Arial" w:cs="Arial"/>
                <w:sz w:val="16"/>
                <w:szCs w:val="16"/>
              </w:rPr>
            </w:pPr>
            <w:r>
              <w:rPr>
                <w:rFonts w:ascii="Arial" w:hAnsi="Arial" w:cs="Arial"/>
                <w:sz w:val="16"/>
                <w:szCs w:val="16"/>
              </w:rPr>
              <w:t>-</w:t>
            </w:r>
          </w:p>
        </w:tc>
        <w:tc>
          <w:tcPr>
            <w:tcW w:w="1462" w:type="dxa"/>
            <w:vAlign w:val="center"/>
          </w:tcPr>
          <w:p w14:paraId="3F58ECFA" w14:textId="77777777" w:rsidR="001724C3" w:rsidRDefault="001724C3" w:rsidP="001724C3">
            <w:pPr>
              <w:spacing w:line="300" w:lineRule="atLeast"/>
              <w:jc w:val="center"/>
              <w:rPr>
                <w:rFonts w:ascii="Arial" w:hAnsi="Arial" w:cs="Arial"/>
                <w:sz w:val="16"/>
                <w:szCs w:val="16"/>
              </w:rPr>
            </w:pPr>
            <w:r>
              <w:rPr>
                <w:rFonts w:ascii="Arial" w:hAnsi="Arial" w:cs="Arial"/>
                <w:sz w:val="16"/>
                <w:szCs w:val="16"/>
              </w:rPr>
              <w:t>3,375.6 – 33,756 (18,565.5)</w:t>
            </w:r>
          </w:p>
        </w:tc>
      </w:tr>
      <w:tr w:rsidR="0084141B" w:rsidRPr="007901FE" w14:paraId="226763A7" w14:textId="77777777" w:rsidTr="00D237D4">
        <w:tc>
          <w:tcPr>
            <w:tcW w:w="1483" w:type="dxa"/>
            <w:vAlign w:val="center"/>
          </w:tcPr>
          <w:p w14:paraId="6D3D6B56" w14:textId="08215785" w:rsidR="0084141B" w:rsidRPr="004901F2" w:rsidRDefault="0084141B" w:rsidP="00D237D4">
            <w:pPr>
              <w:spacing w:before="40" w:after="40" w:line="300" w:lineRule="atLeast"/>
              <w:rPr>
                <w:rFonts w:ascii="Arial" w:hAnsi="Arial" w:cs="Arial"/>
                <w:sz w:val="16"/>
                <w:szCs w:val="16"/>
              </w:rPr>
            </w:pPr>
            <w:r>
              <w:rPr>
                <w:rFonts w:ascii="Arial" w:hAnsi="Arial" w:cs="Arial"/>
                <w:sz w:val="16"/>
                <w:szCs w:val="16"/>
              </w:rPr>
              <w:t xml:space="preserve">Diffuse </w:t>
            </w:r>
            <w:r w:rsidR="00D237D4">
              <w:rPr>
                <w:rFonts w:ascii="Arial" w:hAnsi="Arial" w:cs="Arial"/>
                <w:sz w:val="16"/>
                <w:szCs w:val="16"/>
              </w:rPr>
              <w:t>dumping</w:t>
            </w:r>
          </w:p>
        </w:tc>
        <w:tc>
          <w:tcPr>
            <w:tcW w:w="1425" w:type="dxa"/>
            <w:vAlign w:val="center"/>
          </w:tcPr>
          <w:p w14:paraId="684BC032" w14:textId="77777777" w:rsidR="0084141B" w:rsidRPr="004E3E02" w:rsidRDefault="0084141B" w:rsidP="00676490">
            <w:pPr>
              <w:spacing w:line="300" w:lineRule="atLeast"/>
              <w:jc w:val="center"/>
              <w:rPr>
                <w:rFonts w:ascii="Arial" w:hAnsi="Arial" w:cs="Arial"/>
                <w:sz w:val="16"/>
                <w:szCs w:val="16"/>
              </w:rPr>
            </w:pPr>
            <w:r>
              <w:rPr>
                <w:rFonts w:ascii="Arial" w:hAnsi="Arial" w:cs="Arial"/>
                <w:sz w:val="16"/>
                <w:szCs w:val="16"/>
              </w:rPr>
              <w:t>-</w:t>
            </w:r>
          </w:p>
        </w:tc>
        <w:tc>
          <w:tcPr>
            <w:tcW w:w="912" w:type="dxa"/>
            <w:vAlign w:val="center"/>
          </w:tcPr>
          <w:p w14:paraId="3D19250B" w14:textId="77777777" w:rsidR="0084141B" w:rsidRPr="004E3E02" w:rsidRDefault="0084141B" w:rsidP="00676490">
            <w:pPr>
              <w:spacing w:line="300" w:lineRule="atLeast"/>
              <w:jc w:val="center"/>
              <w:rPr>
                <w:rFonts w:ascii="Arial" w:hAnsi="Arial" w:cs="Arial"/>
                <w:sz w:val="16"/>
                <w:szCs w:val="16"/>
              </w:rPr>
            </w:pPr>
            <w:r>
              <w:rPr>
                <w:rFonts w:ascii="Arial" w:hAnsi="Arial" w:cs="Arial"/>
                <w:sz w:val="16"/>
                <w:szCs w:val="16"/>
              </w:rPr>
              <w:t>-</w:t>
            </w:r>
          </w:p>
        </w:tc>
        <w:tc>
          <w:tcPr>
            <w:tcW w:w="1539" w:type="dxa"/>
            <w:vAlign w:val="center"/>
          </w:tcPr>
          <w:p w14:paraId="08AED989" w14:textId="77777777" w:rsidR="0084141B" w:rsidRPr="004E3E02" w:rsidRDefault="0084141B" w:rsidP="00676490">
            <w:pPr>
              <w:spacing w:line="300" w:lineRule="atLeast"/>
              <w:jc w:val="center"/>
              <w:rPr>
                <w:rFonts w:ascii="Arial" w:hAnsi="Arial" w:cs="Arial"/>
                <w:sz w:val="16"/>
                <w:szCs w:val="16"/>
              </w:rPr>
            </w:pPr>
            <w:r>
              <w:rPr>
                <w:rFonts w:ascii="Arial" w:hAnsi="Arial" w:cs="Arial"/>
                <w:sz w:val="16"/>
                <w:szCs w:val="16"/>
              </w:rPr>
              <w:t>-</w:t>
            </w:r>
          </w:p>
        </w:tc>
        <w:tc>
          <w:tcPr>
            <w:tcW w:w="1139" w:type="dxa"/>
            <w:vAlign w:val="center"/>
          </w:tcPr>
          <w:p w14:paraId="36DC1BA3" w14:textId="77777777" w:rsidR="0084141B" w:rsidRPr="004E3E02" w:rsidRDefault="0084141B" w:rsidP="00676490">
            <w:pPr>
              <w:spacing w:line="300" w:lineRule="atLeast"/>
              <w:jc w:val="center"/>
              <w:rPr>
                <w:rFonts w:ascii="Arial" w:hAnsi="Arial" w:cs="Arial"/>
                <w:sz w:val="16"/>
                <w:szCs w:val="16"/>
              </w:rPr>
            </w:pPr>
            <w:r>
              <w:rPr>
                <w:rFonts w:ascii="Arial" w:hAnsi="Arial" w:cs="Arial"/>
                <w:sz w:val="16"/>
                <w:szCs w:val="16"/>
              </w:rPr>
              <w:t>-</w:t>
            </w:r>
          </w:p>
        </w:tc>
        <w:tc>
          <w:tcPr>
            <w:tcW w:w="1254" w:type="dxa"/>
            <w:vAlign w:val="center"/>
          </w:tcPr>
          <w:p w14:paraId="351CFEE7" w14:textId="77777777" w:rsidR="0084141B" w:rsidRPr="004E3E02" w:rsidRDefault="0084141B" w:rsidP="00676490">
            <w:pPr>
              <w:spacing w:line="300" w:lineRule="atLeast"/>
              <w:jc w:val="center"/>
              <w:rPr>
                <w:rFonts w:ascii="Arial" w:hAnsi="Arial" w:cs="Arial"/>
                <w:sz w:val="16"/>
                <w:szCs w:val="16"/>
              </w:rPr>
            </w:pPr>
            <w:r>
              <w:rPr>
                <w:rFonts w:ascii="Arial" w:hAnsi="Arial" w:cs="Arial"/>
                <w:sz w:val="16"/>
                <w:szCs w:val="16"/>
              </w:rPr>
              <w:t>-</w:t>
            </w:r>
          </w:p>
        </w:tc>
        <w:tc>
          <w:tcPr>
            <w:tcW w:w="1462" w:type="dxa"/>
            <w:vAlign w:val="center"/>
          </w:tcPr>
          <w:p w14:paraId="346BB0B8" w14:textId="77777777" w:rsidR="0084141B" w:rsidRDefault="0084141B" w:rsidP="00676490">
            <w:pPr>
              <w:spacing w:line="300" w:lineRule="atLeast"/>
              <w:jc w:val="center"/>
              <w:rPr>
                <w:rFonts w:ascii="Arial" w:hAnsi="Arial" w:cs="Arial"/>
                <w:sz w:val="16"/>
                <w:szCs w:val="16"/>
              </w:rPr>
            </w:pPr>
            <w:r>
              <w:rPr>
                <w:rFonts w:ascii="Arial" w:hAnsi="Arial" w:cs="Arial"/>
                <w:sz w:val="16"/>
                <w:szCs w:val="16"/>
              </w:rPr>
              <w:t>-</w:t>
            </w:r>
          </w:p>
        </w:tc>
      </w:tr>
      <w:tr w:rsidR="0084141B" w:rsidRPr="007901FE" w14:paraId="1BA2B77F" w14:textId="77777777" w:rsidTr="00D237D4">
        <w:tc>
          <w:tcPr>
            <w:tcW w:w="1483" w:type="dxa"/>
            <w:vAlign w:val="center"/>
          </w:tcPr>
          <w:p w14:paraId="7366CB37" w14:textId="02272E09" w:rsidR="0084141B" w:rsidRPr="004901F2" w:rsidRDefault="0084141B" w:rsidP="00D237D4">
            <w:pPr>
              <w:spacing w:line="300" w:lineRule="atLeast"/>
              <w:rPr>
                <w:rFonts w:ascii="Arial" w:hAnsi="Arial" w:cs="Arial"/>
                <w:sz w:val="16"/>
                <w:szCs w:val="16"/>
              </w:rPr>
            </w:pPr>
            <w:r>
              <w:rPr>
                <w:rFonts w:ascii="Arial" w:hAnsi="Arial" w:cs="Arial"/>
                <w:sz w:val="16"/>
                <w:szCs w:val="16"/>
              </w:rPr>
              <w:t xml:space="preserve">Informal </w:t>
            </w:r>
            <w:r w:rsidR="00D237D4">
              <w:rPr>
                <w:rFonts w:ascii="Arial" w:hAnsi="Arial" w:cs="Arial"/>
                <w:sz w:val="16"/>
                <w:szCs w:val="16"/>
              </w:rPr>
              <w:t xml:space="preserve">- </w:t>
            </w:r>
            <w:r>
              <w:rPr>
                <w:rFonts w:ascii="Arial" w:hAnsi="Arial" w:cs="Arial"/>
                <w:sz w:val="16"/>
                <w:szCs w:val="16"/>
              </w:rPr>
              <w:t xml:space="preserve">industrial </w:t>
            </w:r>
            <w:r w:rsidR="00D237D4">
              <w:rPr>
                <w:rFonts w:ascii="Arial" w:hAnsi="Arial" w:cs="Arial"/>
                <w:sz w:val="16"/>
                <w:szCs w:val="16"/>
              </w:rPr>
              <w:t>wastes</w:t>
            </w:r>
          </w:p>
        </w:tc>
        <w:tc>
          <w:tcPr>
            <w:tcW w:w="1425" w:type="dxa"/>
            <w:vAlign w:val="center"/>
          </w:tcPr>
          <w:p w14:paraId="498EFD1C" w14:textId="77777777" w:rsidR="0084141B" w:rsidRPr="004E3E02" w:rsidRDefault="0084141B" w:rsidP="00676490">
            <w:pPr>
              <w:spacing w:line="300" w:lineRule="atLeast"/>
              <w:jc w:val="center"/>
              <w:rPr>
                <w:rFonts w:ascii="Arial" w:hAnsi="Arial" w:cs="Arial"/>
                <w:sz w:val="16"/>
                <w:szCs w:val="16"/>
              </w:rPr>
            </w:pPr>
            <w:r>
              <w:rPr>
                <w:rFonts w:ascii="Arial" w:hAnsi="Arial" w:cs="Arial"/>
                <w:sz w:val="16"/>
                <w:szCs w:val="16"/>
              </w:rPr>
              <w:t>-</w:t>
            </w:r>
          </w:p>
        </w:tc>
        <w:tc>
          <w:tcPr>
            <w:tcW w:w="912" w:type="dxa"/>
            <w:vAlign w:val="center"/>
          </w:tcPr>
          <w:p w14:paraId="0D90E607" w14:textId="77777777" w:rsidR="0084141B" w:rsidRPr="004E3E02" w:rsidRDefault="0084141B" w:rsidP="00676490">
            <w:pPr>
              <w:spacing w:line="300" w:lineRule="atLeast"/>
              <w:jc w:val="center"/>
              <w:rPr>
                <w:rFonts w:ascii="Arial" w:hAnsi="Arial" w:cs="Arial"/>
                <w:sz w:val="16"/>
                <w:szCs w:val="16"/>
              </w:rPr>
            </w:pPr>
            <w:r>
              <w:rPr>
                <w:rFonts w:ascii="Arial" w:hAnsi="Arial" w:cs="Arial"/>
                <w:sz w:val="16"/>
                <w:szCs w:val="16"/>
              </w:rPr>
              <w:t>-</w:t>
            </w:r>
          </w:p>
        </w:tc>
        <w:tc>
          <w:tcPr>
            <w:tcW w:w="1539" w:type="dxa"/>
            <w:vAlign w:val="center"/>
          </w:tcPr>
          <w:p w14:paraId="0AD55FA1" w14:textId="77777777" w:rsidR="0084141B" w:rsidRPr="004E3E02" w:rsidRDefault="0084141B" w:rsidP="00676490">
            <w:pPr>
              <w:spacing w:line="300" w:lineRule="atLeast"/>
              <w:jc w:val="center"/>
              <w:rPr>
                <w:rFonts w:ascii="Arial" w:hAnsi="Arial" w:cs="Arial"/>
                <w:sz w:val="16"/>
                <w:szCs w:val="16"/>
              </w:rPr>
            </w:pPr>
            <w:r>
              <w:rPr>
                <w:rFonts w:ascii="Arial" w:hAnsi="Arial" w:cs="Arial"/>
                <w:sz w:val="16"/>
                <w:szCs w:val="16"/>
              </w:rPr>
              <w:t>-</w:t>
            </w:r>
          </w:p>
        </w:tc>
        <w:tc>
          <w:tcPr>
            <w:tcW w:w="1139" w:type="dxa"/>
            <w:vAlign w:val="center"/>
          </w:tcPr>
          <w:p w14:paraId="36C26919" w14:textId="77777777" w:rsidR="0084141B" w:rsidRPr="004E3E02" w:rsidRDefault="0084141B" w:rsidP="00676490">
            <w:pPr>
              <w:spacing w:line="300" w:lineRule="atLeast"/>
              <w:jc w:val="center"/>
              <w:rPr>
                <w:rFonts w:ascii="Arial" w:hAnsi="Arial" w:cs="Arial"/>
                <w:sz w:val="16"/>
                <w:szCs w:val="16"/>
              </w:rPr>
            </w:pPr>
            <w:r>
              <w:rPr>
                <w:rFonts w:ascii="Arial" w:hAnsi="Arial" w:cs="Arial"/>
                <w:sz w:val="16"/>
                <w:szCs w:val="16"/>
              </w:rPr>
              <w:t>-</w:t>
            </w:r>
          </w:p>
        </w:tc>
        <w:tc>
          <w:tcPr>
            <w:tcW w:w="1254" w:type="dxa"/>
            <w:vAlign w:val="center"/>
          </w:tcPr>
          <w:p w14:paraId="5B46B41B" w14:textId="77777777" w:rsidR="0084141B" w:rsidRPr="004E3E02" w:rsidRDefault="0084141B" w:rsidP="00676490">
            <w:pPr>
              <w:spacing w:line="300" w:lineRule="atLeast"/>
              <w:jc w:val="center"/>
              <w:rPr>
                <w:rFonts w:ascii="Arial" w:hAnsi="Arial" w:cs="Arial"/>
                <w:sz w:val="16"/>
                <w:szCs w:val="16"/>
              </w:rPr>
            </w:pPr>
            <w:r>
              <w:rPr>
                <w:rFonts w:ascii="Arial" w:hAnsi="Arial" w:cs="Arial"/>
                <w:sz w:val="16"/>
                <w:szCs w:val="16"/>
              </w:rPr>
              <w:t>-</w:t>
            </w:r>
          </w:p>
        </w:tc>
        <w:tc>
          <w:tcPr>
            <w:tcW w:w="1462" w:type="dxa"/>
            <w:vAlign w:val="center"/>
          </w:tcPr>
          <w:p w14:paraId="42784959" w14:textId="77777777" w:rsidR="0084141B" w:rsidRDefault="0084141B" w:rsidP="00676490">
            <w:pPr>
              <w:spacing w:line="300" w:lineRule="atLeast"/>
              <w:jc w:val="center"/>
              <w:rPr>
                <w:rFonts w:ascii="Arial" w:hAnsi="Arial" w:cs="Arial"/>
                <w:sz w:val="16"/>
                <w:szCs w:val="16"/>
              </w:rPr>
            </w:pPr>
            <w:r>
              <w:rPr>
                <w:rFonts w:ascii="Arial" w:hAnsi="Arial" w:cs="Arial"/>
                <w:sz w:val="16"/>
                <w:szCs w:val="16"/>
              </w:rPr>
              <w:t>-</w:t>
            </w:r>
          </w:p>
        </w:tc>
      </w:tr>
      <w:tr w:rsidR="0084141B" w:rsidRPr="007901FE" w14:paraId="5BC7A8D4" w14:textId="77777777" w:rsidTr="00D237D4">
        <w:tc>
          <w:tcPr>
            <w:tcW w:w="1483" w:type="dxa"/>
            <w:vAlign w:val="center"/>
          </w:tcPr>
          <w:p w14:paraId="4C6646A6" w14:textId="026A4C98" w:rsidR="0084141B" w:rsidRPr="004901F2" w:rsidRDefault="00D237D4" w:rsidP="00D237D4">
            <w:pPr>
              <w:spacing w:line="300" w:lineRule="atLeast"/>
              <w:rPr>
                <w:rFonts w:ascii="Arial" w:hAnsi="Arial" w:cs="Arial"/>
                <w:sz w:val="16"/>
                <w:szCs w:val="16"/>
              </w:rPr>
            </w:pPr>
            <w:r>
              <w:rPr>
                <w:rFonts w:ascii="Arial" w:hAnsi="Arial" w:cs="Arial"/>
                <w:sz w:val="16"/>
                <w:szCs w:val="16"/>
              </w:rPr>
              <w:t>Informal -</w:t>
            </w:r>
            <w:r w:rsidR="0084141B">
              <w:rPr>
                <w:rFonts w:ascii="Arial" w:hAnsi="Arial" w:cs="Arial"/>
                <w:sz w:val="16"/>
                <w:szCs w:val="16"/>
              </w:rPr>
              <w:t xml:space="preserve"> general waste</w:t>
            </w:r>
          </w:p>
        </w:tc>
        <w:tc>
          <w:tcPr>
            <w:tcW w:w="1425" w:type="dxa"/>
            <w:vAlign w:val="center"/>
          </w:tcPr>
          <w:p w14:paraId="0AB11B09" w14:textId="77777777" w:rsidR="0084141B" w:rsidRDefault="0084141B" w:rsidP="00676490">
            <w:pPr>
              <w:spacing w:line="300" w:lineRule="atLeast"/>
              <w:jc w:val="center"/>
              <w:rPr>
                <w:rFonts w:ascii="Arial" w:hAnsi="Arial" w:cs="Arial"/>
                <w:sz w:val="16"/>
                <w:szCs w:val="16"/>
              </w:rPr>
            </w:pPr>
            <w:r>
              <w:rPr>
                <w:rFonts w:ascii="Arial" w:hAnsi="Arial" w:cs="Arial"/>
                <w:sz w:val="16"/>
                <w:szCs w:val="16"/>
              </w:rPr>
              <w:t>-</w:t>
            </w:r>
          </w:p>
        </w:tc>
        <w:tc>
          <w:tcPr>
            <w:tcW w:w="912" w:type="dxa"/>
            <w:vAlign w:val="center"/>
          </w:tcPr>
          <w:p w14:paraId="4766DBBF" w14:textId="77777777" w:rsidR="0084141B" w:rsidRDefault="0084141B" w:rsidP="00676490">
            <w:pPr>
              <w:spacing w:line="300" w:lineRule="atLeast"/>
              <w:jc w:val="center"/>
              <w:rPr>
                <w:rFonts w:ascii="Arial" w:hAnsi="Arial" w:cs="Arial"/>
                <w:sz w:val="16"/>
                <w:szCs w:val="16"/>
              </w:rPr>
            </w:pPr>
            <w:r>
              <w:rPr>
                <w:rFonts w:ascii="Arial" w:hAnsi="Arial" w:cs="Arial"/>
                <w:sz w:val="16"/>
                <w:szCs w:val="16"/>
              </w:rPr>
              <w:t>-</w:t>
            </w:r>
          </w:p>
        </w:tc>
        <w:tc>
          <w:tcPr>
            <w:tcW w:w="1539" w:type="dxa"/>
            <w:vAlign w:val="center"/>
          </w:tcPr>
          <w:p w14:paraId="5009000F" w14:textId="77777777" w:rsidR="0084141B" w:rsidRDefault="0084141B" w:rsidP="00676490">
            <w:pPr>
              <w:spacing w:line="300" w:lineRule="atLeast"/>
              <w:jc w:val="center"/>
              <w:rPr>
                <w:rFonts w:ascii="Arial" w:hAnsi="Arial" w:cs="Arial"/>
                <w:sz w:val="16"/>
                <w:szCs w:val="16"/>
              </w:rPr>
            </w:pPr>
            <w:r>
              <w:rPr>
                <w:rFonts w:ascii="Arial" w:hAnsi="Arial" w:cs="Arial"/>
                <w:sz w:val="16"/>
                <w:szCs w:val="16"/>
              </w:rPr>
              <w:t>-</w:t>
            </w:r>
          </w:p>
        </w:tc>
        <w:tc>
          <w:tcPr>
            <w:tcW w:w="1139" w:type="dxa"/>
            <w:vAlign w:val="center"/>
          </w:tcPr>
          <w:p w14:paraId="045418D8" w14:textId="77777777" w:rsidR="0084141B" w:rsidRDefault="0084141B" w:rsidP="00676490">
            <w:pPr>
              <w:spacing w:line="300" w:lineRule="atLeast"/>
              <w:jc w:val="center"/>
              <w:rPr>
                <w:rFonts w:ascii="Arial" w:hAnsi="Arial" w:cs="Arial"/>
                <w:sz w:val="16"/>
                <w:szCs w:val="16"/>
              </w:rPr>
            </w:pPr>
            <w:r>
              <w:rPr>
                <w:rFonts w:ascii="Arial" w:hAnsi="Arial" w:cs="Arial"/>
                <w:sz w:val="16"/>
                <w:szCs w:val="16"/>
              </w:rPr>
              <w:t>-</w:t>
            </w:r>
          </w:p>
        </w:tc>
        <w:tc>
          <w:tcPr>
            <w:tcW w:w="1254" w:type="dxa"/>
            <w:vAlign w:val="center"/>
          </w:tcPr>
          <w:p w14:paraId="2949BE55" w14:textId="77777777" w:rsidR="0084141B" w:rsidRDefault="0084141B" w:rsidP="00676490">
            <w:pPr>
              <w:spacing w:line="300" w:lineRule="atLeast"/>
              <w:jc w:val="center"/>
              <w:rPr>
                <w:rFonts w:ascii="Arial" w:hAnsi="Arial" w:cs="Arial"/>
                <w:sz w:val="16"/>
                <w:szCs w:val="16"/>
              </w:rPr>
            </w:pPr>
            <w:r>
              <w:rPr>
                <w:rFonts w:ascii="Arial" w:hAnsi="Arial" w:cs="Arial"/>
                <w:sz w:val="16"/>
                <w:szCs w:val="16"/>
              </w:rPr>
              <w:t>-</w:t>
            </w:r>
          </w:p>
        </w:tc>
        <w:tc>
          <w:tcPr>
            <w:tcW w:w="1462" w:type="dxa"/>
            <w:vAlign w:val="center"/>
          </w:tcPr>
          <w:p w14:paraId="0D178EA3" w14:textId="77777777" w:rsidR="0084141B" w:rsidRDefault="0084141B" w:rsidP="00676490">
            <w:pPr>
              <w:spacing w:line="300" w:lineRule="atLeast"/>
              <w:jc w:val="center"/>
              <w:rPr>
                <w:rFonts w:ascii="Arial" w:hAnsi="Arial" w:cs="Arial"/>
                <w:sz w:val="16"/>
                <w:szCs w:val="16"/>
              </w:rPr>
            </w:pPr>
            <w:r>
              <w:rPr>
                <w:rFonts w:ascii="Arial" w:hAnsi="Arial" w:cs="Arial"/>
                <w:sz w:val="16"/>
                <w:szCs w:val="16"/>
              </w:rPr>
              <w:t>-</w:t>
            </w:r>
          </w:p>
        </w:tc>
      </w:tr>
      <w:tr w:rsidR="001724C3" w:rsidRPr="007901FE" w14:paraId="0030F126" w14:textId="77777777" w:rsidTr="00D237D4">
        <w:tc>
          <w:tcPr>
            <w:tcW w:w="1483" w:type="dxa"/>
            <w:vAlign w:val="center"/>
          </w:tcPr>
          <w:p w14:paraId="15A4ADE7" w14:textId="77777777" w:rsidR="001724C3" w:rsidRPr="004901F2" w:rsidRDefault="001724C3" w:rsidP="001724C3">
            <w:pPr>
              <w:spacing w:line="300" w:lineRule="atLeast"/>
              <w:rPr>
                <w:rFonts w:ascii="Arial" w:hAnsi="Arial" w:cs="Arial"/>
                <w:sz w:val="16"/>
                <w:szCs w:val="16"/>
              </w:rPr>
            </w:pPr>
            <w:r>
              <w:rPr>
                <w:rFonts w:ascii="Arial" w:hAnsi="Arial" w:cs="Arial"/>
                <w:sz w:val="16"/>
                <w:szCs w:val="16"/>
              </w:rPr>
              <w:t xml:space="preserve">Wastewater treatment </w:t>
            </w:r>
          </w:p>
        </w:tc>
        <w:tc>
          <w:tcPr>
            <w:tcW w:w="1425" w:type="dxa"/>
            <w:vAlign w:val="center"/>
          </w:tcPr>
          <w:p w14:paraId="69B02512" w14:textId="6A0666C9" w:rsidR="001724C3" w:rsidRDefault="001724C3" w:rsidP="001724C3">
            <w:pPr>
              <w:spacing w:line="300" w:lineRule="atLeast"/>
              <w:jc w:val="center"/>
              <w:rPr>
                <w:rFonts w:ascii="Arial" w:hAnsi="Arial" w:cs="Arial"/>
                <w:sz w:val="16"/>
                <w:szCs w:val="16"/>
              </w:rPr>
            </w:pPr>
            <w:r>
              <w:rPr>
                <w:rFonts w:ascii="Arial" w:hAnsi="Arial" w:cs="Arial"/>
                <w:sz w:val="16"/>
                <w:szCs w:val="16"/>
              </w:rPr>
              <w:t>277.5 – 5550 (2,913.8)</w:t>
            </w:r>
          </w:p>
        </w:tc>
        <w:tc>
          <w:tcPr>
            <w:tcW w:w="912" w:type="dxa"/>
            <w:vAlign w:val="center"/>
          </w:tcPr>
          <w:p w14:paraId="258B1F8C" w14:textId="71A7CC34" w:rsidR="001724C3" w:rsidRDefault="001724C3" w:rsidP="001724C3">
            <w:pPr>
              <w:spacing w:line="300" w:lineRule="atLeast"/>
              <w:jc w:val="center"/>
              <w:rPr>
                <w:rFonts w:ascii="Arial" w:hAnsi="Arial" w:cs="Arial"/>
                <w:sz w:val="16"/>
                <w:szCs w:val="16"/>
              </w:rPr>
            </w:pPr>
            <w:r>
              <w:rPr>
                <w:rFonts w:ascii="Arial" w:hAnsi="Arial" w:cs="Arial"/>
                <w:sz w:val="16"/>
                <w:szCs w:val="16"/>
              </w:rPr>
              <w:t>-</w:t>
            </w:r>
          </w:p>
        </w:tc>
        <w:tc>
          <w:tcPr>
            <w:tcW w:w="1539" w:type="dxa"/>
            <w:vAlign w:val="center"/>
          </w:tcPr>
          <w:p w14:paraId="654608F0" w14:textId="5C458262" w:rsidR="001724C3" w:rsidRDefault="001724C3" w:rsidP="001724C3">
            <w:pPr>
              <w:spacing w:line="300" w:lineRule="atLeast"/>
              <w:jc w:val="center"/>
              <w:rPr>
                <w:rFonts w:ascii="Arial" w:hAnsi="Arial" w:cs="Arial"/>
                <w:sz w:val="16"/>
                <w:szCs w:val="16"/>
              </w:rPr>
            </w:pPr>
            <w:r>
              <w:rPr>
                <w:rFonts w:ascii="Arial" w:hAnsi="Arial" w:cs="Arial"/>
                <w:sz w:val="16"/>
                <w:szCs w:val="16"/>
              </w:rPr>
              <w:t>138.7 – 2,775 (1,456.9)</w:t>
            </w:r>
          </w:p>
        </w:tc>
        <w:tc>
          <w:tcPr>
            <w:tcW w:w="1139" w:type="dxa"/>
            <w:vAlign w:val="center"/>
          </w:tcPr>
          <w:p w14:paraId="4AD1B92D" w14:textId="76DF7871" w:rsidR="001724C3" w:rsidRDefault="001724C3" w:rsidP="001724C3">
            <w:pPr>
              <w:spacing w:line="300" w:lineRule="atLeast"/>
              <w:jc w:val="center"/>
              <w:rPr>
                <w:rFonts w:ascii="Arial" w:hAnsi="Arial" w:cs="Arial"/>
                <w:sz w:val="16"/>
                <w:szCs w:val="16"/>
              </w:rPr>
            </w:pPr>
            <w:r>
              <w:rPr>
                <w:rFonts w:ascii="Arial" w:hAnsi="Arial" w:cs="Arial"/>
                <w:sz w:val="16"/>
                <w:szCs w:val="16"/>
              </w:rPr>
              <w:t>55.5 – 1110 (582.8)</w:t>
            </w:r>
          </w:p>
        </w:tc>
        <w:tc>
          <w:tcPr>
            <w:tcW w:w="1254" w:type="dxa"/>
            <w:vAlign w:val="center"/>
          </w:tcPr>
          <w:p w14:paraId="6AB9D2F4" w14:textId="77777777" w:rsidR="001724C3" w:rsidRDefault="001724C3" w:rsidP="001724C3">
            <w:pPr>
              <w:spacing w:line="300" w:lineRule="atLeast"/>
              <w:jc w:val="center"/>
              <w:rPr>
                <w:rFonts w:ascii="Arial" w:hAnsi="Arial" w:cs="Arial"/>
                <w:sz w:val="16"/>
                <w:szCs w:val="16"/>
              </w:rPr>
            </w:pPr>
            <w:r>
              <w:rPr>
                <w:rFonts w:ascii="Arial" w:hAnsi="Arial" w:cs="Arial"/>
                <w:sz w:val="16"/>
                <w:szCs w:val="16"/>
              </w:rPr>
              <w:t>83.25 – 1,665 (874.1)</w:t>
            </w:r>
          </w:p>
        </w:tc>
        <w:tc>
          <w:tcPr>
            <w:tcW w:w="1462" w:type="dxa"/>
            <w:vAlign w:val="center"/>
          </w:tcPr>
          <w:p w14:paraId="75DED226" w14:textId="77777777" w:rsidR="001724C3" w:rsidRDefault="001724C3" w:rsidP="001724C3">
            <w:pPr>
              <w:spacing w:line="300" w:lineRule="atLeast"/>
              <w:jc w:val="center"/>
              <w:rPr>
                <w:rFonts w:ascii="Arial" w:hAnsi="Arial" w:cs="Arial"/>
                <w:sz w:val="16"/>
                <w:szCs w:val="16"/>
              </w:rPr>
            </w:pPr>
            <w:r>
              <w:rPr>
                <w:rFonts w:ascii="Arial" w:hAnsi="Arial" w:cs="Arial"/>
                <w:sz w:val="16"/>
                <w:szCs w:val="16"/>
              </w:rPr>
              <w:t>-</w:t>
            </w:r>
          </w:p>
        </w:tc>
      </w:tr>
      <w:tr w:rsidR="0084141B" w:rsidRPr="007901FE" w14:paraId="40A6BAC5" w14:textId="77777777" w:rsidTr="00D237D4">
        <w:tc>
          <w:tcPr>
            <w:tcW w:w="1483" w:type="dxa"/>
            <w:vAlign w:val="center"/>
          </w:tcPr>
          <w:p w14:paraId="709FDD4C" w14:textId="77777777" w:rsidR="0084141B" w:rsidRPr="004E3E02" w:rsidRDefault="0084141B" w:rsidP="00C87339">
            <w:pPr>
              <w:spacing w:line="300" w:lineRule="atLeast"/>
              <w:rPr>
                <w:rFonts w:ascii="Arial" w:hAnsi="Arial" w:cs="Arial"/>
                <w:b/>
                <w:sz w:val="16"/>
                <w:szCs w:val="16"/>
              </w:rPr>
            </w:pPr>
            <w:r w:rsidRPr="004E3E02">
              <w:rPr>
                <w:rFonts w:ascii="Arial" w:hAnsi="Arial" w:cs="Arial"/>
                <w:b/>
                <w:sz w:val="16"/>
                <w:szCs w:val="16"/>
              </w:rPr>
              <w:t>Totals</w:t>
            </w:r>
          </w:p>
        </w:tc>
        <w:tc>
          <w:tcPr>
            <w:tcW w:w="1425" w:type="dxa"/>
            <w:vAlign w:val="center"/>
          </w:tcPr>
          <w:p w14:paraId="3FF9AA0B" w14:textId="19D895FD" w:rsidR="0084141B" w:rsidRPr="004E3E02" w:rsidRDefault="00775066" w:rsidP="00775066">
            <w:pPr>
              <w:spacing w:line="300" w:lineRule="atLeast"/>
              <w:jc w:val="center"/>
              <w:rPr>
                <w:rFonts w:ascii="Arial" w:hAnsi="Arial" w:cs="Arial"/>
                <w:b/>
                <w:sz w:val="16"/>
                <w:szCs w:val="16"/>
              </w:rPr>
            </w:pPr>
            <w:r>
              <w:rPr>
                <w:rFonts w:ascii="Arial" w:hAnsi="Arial" w:cs="Arial"/>
                <w:b/>
                <w:sz w:val="16"/>
                <w:szCs w:val="16"/>
              </w:rPr>
              <w:t>3,687.5</w:t>
            </w:r>
            <w:r w:rsidR="0084141B">
              <w:rPr>
                <w:rFonts w:ascii="Arial" w:hAnsi="Arial" w:cs="Arial"/>
                <w:b/>
                <w:sz w:val="16"/>
                <w:szCs w:val="16"/>
              </w:rPr>
              <w:t xml:space="preserve"> – 3</w:t>
            </w:r>
            <w:r>
              <w:rPr>
                <w:rFonts w:ascii="Arial" w:hAnsi="Arial" w:cs="Arial"/>
                <w:b/>
                <w:sz w:val="16"/>
                <w:szCs w:val="16"/>
              </w:rPr>
              <w:t>9</w:t>
            </w:r>
            <w:r w:rsidR="0084141B">
              <w:rPr>
                <w:rFonts w:ascii="Arial" w:hAnsi="Arial" w:cs="Arial"/>
                <w:b/>
                <w:sz w:val="16"/>
                <w:szCs w:val="16"/>
              </w:rPr>
              <w:t>,</w:t>
            </w:r>
            <w:r w:rsidR="009C00C2">
              <w:rPr>
                <w:rFonts w:ascii="Arial" w:hAnsi="Arial" w:cs="Arial"/>
                <w:b/>
                <w:sz w:val="16"/>
                <w:szCs w:val="16"/>
              </w:rPr>
              <w:t>650 (21,668.8</w:t>
            </w:r>
            <w:r w:rsidR="00453A57">
              <w:rPr>
                <w:rFonts w:ascii="Arial" w:hAnsi="Arial" w:cs="Arial"/>
                <w:b/>
                <w:sz w:val="16"/>
                <w:szCs w:val="16"/>
              </w:rPr>
              <w:t>)</w:t>
            </w:r>
          </w:p>
        </w:tc>
        <w:tc>
          <w:tcPr>
            <w:tcW w:w="912" w:type="dxa"/>
            <w:vAlign w:val="center"/>
          </w:tcPr>
          <w:p w14:paraId="67FD2C67" w14:textId="77777777" w:rsidR="0084141B" w:rsidRPr="00313502" w:rsidRDefault="00313502" w:rsidP="00676490">
            <w:pPr>
              <w:spacing w:line="300" w:lineRule="atLeast"/>
              <w:jc w:val="center"/>
              <w:rPr>
                <w:rFonts w:ascii="Arial" w:hAnsi="Arial" w:cs="Arial"/>
                <w:b/>
                <w:sz w:val="16"/>
                <w:szCs w:val="16"/>
              </w:rPr>
            </w:pPr>
            <w:r w:rsidRPr="00313502">
              <w:rPr>
                <w:rFonts w:ascii="Arial" w:hAnsi="Arial" w:cs="Arial"/>
                <w:b/>
                <w:sz w:val="16"/>
                <w:szCs w:val="16"/>
              </w:rPr>
              <w:t>34 – 341 (187.6)</w:t>
            </w:r>
          </w:p>
        </w:tc>
        <w:tc>
          <w:tcPr>
            <w:tcW w:w="1539" w:type="dxa"/>
            <w:vAlign w:val="center"/>
          </w:tcPr>
          <w:p w14:paraId="769D6566" w14:textId="6C46DD4C" w:rsidR="0084141B" w:rsidRPr="004E3E02" w:rsidRDefault="001724C3" w:rsidP="001724C3">
            <w:pPr>
              <w:spacing w:line="300" w:lineRule="atLeast"/>
              <w:jc w:val="center"/>
              <w:rPr>
                <w:rFonts w:ascii="Arial" w:hAnsi="Arial" w:cs="Arial"/>
                <w:b/>
                <w:sz w:val="16"/>
                <w:szCs w:val="16"/>
              </w:rPr>
            </w:pPr>
            <w:r>
              <w:rPr>
                <w:rFonts w:ascii="Arial" w:hAnsi="Arial" w:cs="Arial"/>
                <w:b/>
                <w:sz w:val="16"/>
                <w:szCs w:val="16"/>
              </w:rPr>
              <w:t>139</w:t>
            </w:r>
            <w:r w:rsidR="00313502">
              <w:rPr>
                <w:rFonts w:ascii="Arial" w:hAnsi="Arial" w:cs="Arial"/>
                <w:b/>
                <w:sz w:val="16"/>
                <w:szCs w:val="16"/>
              </w:rPr>
              <w:t>.1</w:t>
            </w:r>
            <w:r w:rsidR="0084141B">
              <w:rPr>
                <w:rFonts w:ascii="Arial" w:hAnsi="Arial" w:cs="Arial"/>
                <w:b/>
                <w:sz w:val="16"/>
                <w:szCs w:val="16"/>
              </w:rPr>
              <w:t xml:space="preserve"> – </w:t>
            </w:r>
            <w:r w:rsidR="00313502">
              <w:rPr>
                <w:rFonts w:ascii="Arial" w:hAnsi="Arial" w:cs="Arial"/>
                <w:b/>
                <w:sz w:val="16"/>
                <w:szCs w:val="16"/>
              </w:rPr>
              <w:t>2</w:t>
            </w:r>
            <w:r w:rsidR="0084141B">
              <w:rPr>
                <w:rFonts w:ascii="Arial" w:hAnsi="Arial" w:cs="Arial"/>
                <w:b/>
                <w:sz w:val="16"/>
                <w:szCs w:val="16"/>
              </w:rPr>
              <w:t>,</w:t>
            </w:r>
            <w:r w:rsidR="00313502">
              <w:rPr>
                <w:rFonts w:ascii="Arial" w:hAnsi="Arial" w:cs="Arial"/>
                <w:b/>
                <w:sz w:val="16"/>
                <w:szCs w:val="16"/>
              </w:rPr>
              <w:t>7</w:t>
            </w:r>
            <w:r>
              <w:rPr>
                <w:rFonts w:ascii="Arial" w:hAnsi="Arial" w:cs="Arial"/>
                <w:b/>
                <w:sz w:val="16"/>
                <w:szCs w:val="16"/>
              </w:rPr>
              <w:t>78.4</w:t>
            </w:r>
            <w:r w:rsidR="0084141B">
              <w:rPr>
                <w:rFonts w:ascii="Arial" w:hAnsi="Arial" w:cs="Arial"/>
                <w:b/>
                <w:sz w:val="16"/>
                <w:szCs w:val="16"/>
              </w:rPr>
              <w:t xml:space="preserve"> (1</w:t>
            </w:r>
            <w:r w:rsidR="00474E24">
              <w:rPr>
                <w:rFonts w:ascii="Arial" w:hAnsi="Arial" w:cs="Arial"/>
                <w:b/>
                <w:sz w:val="16"/>
                <w:szCs w:val="16"/>
              </w:rPr>
              <w:t>,</w:t>
            </w:r>
            <w:r>
              <w:rPr>
                <w:rFonts w:ascii="Arial" w:hAnsi="Arial" w:cs="Arial"/>
                <w:b/>
                <w:sz w:val="16"/>
                <w:szCs w:val="16"/>
              </w:rPr>
              <w:t>458.8</w:t>
            </w:r>
            <w:r w:rsidR="0084141B">
              <w:rPr>
                <w:rFonts w:ascii="Arial" w:hAnsi="Arial" w:cs="Arial"/>
                <w:b/>
                <w:sz w:val="16"/>
                <w:szCs w:val="16"/>
              </w:rPr>
              <w:t>)</w:t>
            </w:r>
          </w:p>
        </w:tc>
        <w:tc>
          <w:tcPr>
            <w:tcW w:w="1139" w:type="dxa"/>
            <w:vAlign w:val="center"/>
          </w:tcPr>
          <w:p w14:paraId="0F47EF2C" w14:textId="470CD75F" w:rsidR="0084141B" w:rsidRPr="00313502" w:rsidRDefault="00313502" w:rsidP="00453A57">
            <w:pPr>
              <w:spacing w:line="300" w:lineRule="atLeast"/>
              <w:jc w:val="center"/>
              <w:rPr>
                <w:rFonts w:ascii="Arial" w:hAnsi="Arial" w:cs="Arial"/>
                <w:b/>
                <w:sz w:val="16"/>
                <w:szCs w:val="16"/>
              </w:rPr>
            </w:pPr>
            <w:r w:rsidRPr="00313502">
              <w:rPr>
                <w:rFonts w:ascii="Arial" w:hAnsi="Arial" w:cs="Arial"/>
                <w:b/>
                <w:sz w:val="16"/>
                <w:szCs w:val="16"/>
              </w:rPr>
              <w:t>55</w:t>
            </w:r>
            <w:r w:rsidR="001724C3">
              <w:rPr>
                <w:rFonts w:ascii="Arial" w:hAnsi="Arial" w:cs="Arial"/>
                <w:b/>
                <w:sz w:val="16"/>
                <w:szCs w:val="16"/>
              </w:rPr>
              <w:t>.5 – 1110 (582.8</w:t>
            </w:r>
            <w:r w:rsidRPr="00313502">
              <w:rPr>
                <w:rFonts w:ascii="Arial" w:hAnsi="Arial" w:cs="Arial"/>
                <w:b/>
                <w:sz w:val="16"/>
                <w:szCs w:val="16"/>
              </w:rPr>
              <w:t>)</w:t>
            </w:r>
          </w:p>
        </w:tc>
        <w:tc>
          <w:tcPr>
            <w:tcW w:w="1254" w:type="dxa"/>
            <w:vAlign w:val="center"/>
          </w:tcPr>
          <w:p w14:paraId="55AF1ADD" w14:textId="77777777" w:rsidR="0084141B" w:rsidRPr="00313502" w:rsidRDefault="00313502" w:rsidP="00676490">
            <w:pPr>
              <w:spacing w:line="300" w:lineRule="atLeast"/>
              <w:jc w:val="center"/>
              <w:rPr>
                <w:rFonts w:ascii="Arial" w:hAnsi="Arial" w:cs="Arial"/>
                <w:b/>
                <w:sz w:val="16"/>
                <w:szCs w:val="16"/>
              </w:rPr>
            </w:pPr>
            <w:r w:rsidRPr="00313502">
              <w:rPr>
                <w:rFonts w:ascii="Arial" w:hAnsi="Arial" w:cs="Arial"/>
                <w:b/>
                <w:sz w:val="16"/>
                <w:szCs w:val="16"/>
              </w:rPr>
              <w:t>83.25 – 1,665 (874.1)</w:t>
            </w:r>
          </w:p>
        </w:tc>
        <w:tc>
          <w:tcPr>
            <w:tcW w:w="1462" w:type="dxa"/>
            <w:vAlign w:val="center"/>
          </w:tcPr>
          <w:p w14:paraId="39A66CBF" w14:textId="77777777" w:rsidR="0084141B" w:rsidRPr="00313502" w:rsidRDefault="00313502" w:rsidP="00676490">
            <w:pPr>
              <w:spacing w:line="300" w:lineRule="atLeast"/>
              <w:jc w:val="center"/>
              <w:rPr>
                <w:rFonts w:ascii="Arial" w:hAnsi="Arial" w:cs="Arial"/>
                <w:b/>
                <w:sz w:val="16"/>
                <w:szCs w:val="16"/>
              </w:rPr>
            </w:pPr>
            <w:r w:rsidRPr="00313502">
              <w:rPr>
                <w:rFonts w:ascii="Arial" w:hAnsi="Arial" w:cs="Arial"/>
                <w:b/>
                <w:sz w:val="16"/>
                <w:szCs w:val="16"/>
              </w:rPr>
              <w:t>3,375.6 – 33,756 (18,565.5)</w:t>
            </w:r>
          </w:p>
        </w:tc>
      </w:tr>
    </w:tbl>
    <w:p w14:paraId="5757FA2C" w14:textId="77777777" w:rsidR="00D16E72" w:rsidRDefault="00D16E72">
      <w:pPr>
        <w:spacing w:after="0"/>
        <w:rPr>
          <w:szCs w:val="18"/>
        </w:rPr>
      </w:pPr>
      <w:r>
        <w:rPr>
          <w:szCs w:val="18"/>
        </w:rPr>
        <w:br w:type="page"/>
      </w:r>
    </w:p>
    <w:p w14:paraId="65254552" w14:textId="77777777" w:rsidR="00D16E72" w:rsidRDefault="00D045C4" w:rsidP="00D16E72">
      <w:pPr>
        <w:pStyle w:val="Heading1"/>
      </w:pPr>
      <w:bookmarkStart w:id="166" w:name="_Toc484949627"/>
      <w:r>
        <w:lastRenderedPageBreak/>
        <w:t>Crematoria and cemeteries</w:t>
      </w:r>
      <w:bookmarkEnd w:id="166"/>
    </w:p>
    <w:p w14:paraId="61E144BC" w14:textId="77777777" w:rsidR="00D16E72" w:rsidRDefault="00D16E72" w:rsidP="003833D6">
      <w:pPr>
        <w:spacing w:line="300" w:lineRule="atLeast"/>
        <w:jc w:val="both"/>
        <w:rPr>
          <w:szCs w:val="18"/>
        </w:rPr>
      </w:pPr>
    </w:p>
    <w:p w14:paraId="1A16DA5C" w14:textId="2C795C2A" w:rsidR="00D16E72" w:rsidRDefault="0010789E" w:rsidP="003833D6">
      <w:pPr>
        <w:spacing w:line="300" w:lineRule="atLeast"/>
        <w:jc w:val="both"/>
        <w:rPr>
          <w:szCs w:val="18"/>
        </w:rPr>
      </w:pPr>
      <w:r w:rsidRPr="0010789E">
        <w:rPr>
          <w:szCs w:val="18"/>
        </w:rPr>
        <w:t xml:space="preserve">This category covers mercury releases from </w:t>
      </w:r>
      <w:r>
        <w:rPr>
          <w:szCs w:val="18"/>
        </w:rPr>
        <w:t xml:space="preserve">cremation and </w:t>
      </w:r>
      <w:r w:rsidR="001F24E3">
        <w:rPr>
          <w:szCs w:val="18"/>
        </w:rPr>
        <w:t>burial of human bodies</w:t>
      </w:r>
      <w:r w:rsidRPr="0010789E">
        <w:rPr>
          <w:szCs w:val="18"/>
        </w:rPr>
        <w:t xml:space="preserve"> (</w:t>
      </w:r>
      <w:r w:rsidR="00C738EC">
        <w:rPr>
          <w:szCs w:val="18"/>
        </w:rPr>
        <w:t>UNEP, 2017</w:t>
      </w:r>
      <w:r w:rsidRPr="0010789E">
        <w:rPr>
          <w:szCs w:val="18"/>
        </w:rPr>
        <w:t>). The various sub-categories and the primary release pathways are summarised in</w:t>
      </w:r>
      <w:r>
        <w:rPr>
          <w:szCs w:val="18"/>
        </w:rPr>
        <w:t xml:space="preserve"> </w:t>
      </w:r>
      <w:r w:rsidRPr="0001617E">
        <w:rPr>
          <w:szCs w:val="18"/>
        </w:rPr>
        <w:fldChar w:fldCharType="begin"/>
      </w:r>
      <w:r w:rsidRPr="0001617E">
        <w:rPr>
          <w:szCs w:val="18"/>
        </w:rPr>
        <w:instrText xml:space="preserve"> REF _Ref358560210 \h </w:instrText>
      </w:r>
      <w:r w:rsidR="0001617E">
        <w:rPr>
          <w:szCs w:val="18"/>
        </w:rPr>
        <w:instrText xml:space="preserve"> \* MERGEFORMAT </w:instrText>
      </w:r>
      <w:r w:rsidRPr="0001617E">
        <w:rPr>
          <w:szCs w:val="18"/>
        </w:rPr>
      </w:r>
      <w:r w:rsidRPr="0001617E">
        <w:rPr>
          <w:szCs w:val="18"/>
        </w:rPr>
        <w:fldChar w:fldCharType="separate"/>
      </w:r>
      <w:r w:rsidR="00423FC9" w:rsidRPr="00423FC9">
        <w:t xml:space="preserve">Table </w:t>
      </w:r>
      <w:r w:rsidR="00423FC9" w:rsidRPr="00423FC9">
        <w:rPr>
          <w:noProof/>
        </w:rPr>
        <w:t>12</w:t>
      </w:r>
      <w:r w:rsidR="00423FC9" w:rsidRPr="00423FC9">
        <w:rPr>
          <w:noProof/>
        </w:rPr>
        <w:noBreakHyphen/>
        <w:t>1</w:t>
      </w:r>
      <w:r w:rsidRPr="0001617E">
        <w:rPr>
          <w:szCs w:val="18"/>
        </w:rPr>
        <w:fldChar w:fldCharType="end"/>
      </w:r>
      <w:r w:rsidR="00DB09D1" w:rsidRPr="0001617E">
        <w:rPr>
          <w:szCs w:val="18"/>
        </w:rPr>
        <w:t xml:space="preserve">, </w:t>
      </w:r>
      <w:r w:rsidR="00DB09D1" w:rsidRPr="00DB09D1">
        <w:rPr>
          <w:szCs w:val="18"/>
        </w:rPr>
        <w:t>which has been copied directly from the UNEP Toolkit</w:t>
      </w:r>
      <w:r w:rsidRPr="0010789E">
        <w:rPr>
          <w:szCs w:val="18"/>
        </w:rPr>
        <w:t>.</w:t>
      </w:r>
    </w:p>
    <w:p w14:paraId="79C3AAC6" w14:textId="77777777" w:rsidR="00D16E72" w:rsidRDefault="00D045C4" w:rsidP="00D045C4">
      <w:pPr>
        <w:pStyle w:val="Caption"/>
        <w:spacing w:before="240"/>
        <w:rPr>
          <w:szCs w:val="18"/>
        </w:rPr>
      </w:pPr>
      <w:bookmarkStart w:id="167" w:name="_Ref358560210"/>
      <w:bookmarkStart w:id="168" w:name="_Toc484949676"/>
      <w:r w:rsidRPr="00FE6C76">
        <w:rPr>
          <w:rFonts w:ascii="Arial" w:hAnsi="Arial" w:cs="Arial"/>
        </w:rPr>
        <w:t xml:space="preserve">Table </w:t>
      </w:r>
      <w:r w:rsidR="00390C9F">
        <w:rPr>
          <w:rFonts w:ascii="Arial" w:hAnsi="Arial" w:cs="Arial"/>
        </w:rPr>
        <w:fldChar w:fldCharType="begin"/>
      </w:r>
      <w:r w:rsidR="00390C9F">
        <w:rPr>
          <w:rFonts w:ascii="Arial" w:hAnsi="Arial" w:cs="Arial"/>
        </w:rPr>
        <w:instrText xml:space="preserve"> STYLEREF 1 \s </w:instrText>
      </w:r>
      <w:r w:rsidR="00390C9F">
        <w:rPr>
          <w:rFonts w:ascii="Arial" w:hAnsi="Arial" w:cs="Arial"/>
        </w:rPr>
        <w:fldChar w:fldCharType="separate"/>
      </w:r>
      <w:r w:rsidR="00423FC9">
        <w:rPr>
          <w:rFonts w:ascii="Arial" w:hAnsi="Arial" w:cs="Arial"/>
          <w:noProof/>
        </w:rPr>
        <w:t>12</w:t>
      </w:r>
      <w:r w:rsidR="00390C9F">
        <w:rPr>
          <w:rFonts w:ascii="Arial" w:hAnsi="Arial" w:cs="Arial"/>
        </w:rPr>
        <w:fldChar w:fldCharType="end"/>
      </w:r>
      <w:r w:rsidR="00390C9F">
        <w:rPr>
          <w:rFonts w:ascii="Arial" w:hAnsi="Arial" w:cs="Arial"/>
        </w:rPr>
        <w:noBreakHyphen/>
      </w:r>
      <w:r w:rsidR="00390C9F">
        <w:rPr>
          <w:rFonts w:ascii="Arial" w:hAnsi="Arial" w:cs="Arial"/>
        </w:rPr>
        <w:fldChar w:fldCharType="begin"/>
      </w:r>
      <w:r w:rsidR="00390C9F">
        <w:rPr>
          <w:rFonts w:ascii="Arial" w:hAnsi="Arial" w:cs="Arial"/>
        </w:rPr>
        <w:instrText xml:space="preserve"> SEQ Table \* ARABIC \s 1 </w:instrText>
      </w:r>
      <w:r w:rsidR="00390C9F">
        <w:rPr>
          <w:rFonts w:ascii="Arial" w:hAnsi="Arial" w:cs="Arial"/>
        </w:rPr>
        <w:fldChar w:fldCharType="separate"/>
      </w:r>
      <w:r w:rsidR="00423FC9">
        <w:rPr>
          <w:rFonts w:ascii="Arial" w:hAnsi="Arial" w:cs="Arial"/>
          <w:noProof/>
        </w:rPr>
        <w:t>1</w:t>
      </w:r>
      <w:r w:rsidR="00390C9F">
        <w:rPr>
          <w:rFonts w:ascii="Arial" w:hAnsi="Arial" w:cs="Arial"/>
        </w:rPr>
        <w:fldChar w:fldCharType="end"/>
      </w:r>
      <w:bookmarkEnd w:id="167"/>
      <w:r w:rsidRPr="00FE6C76">
        <w:rPr>
          <w:rFonts w:ascii="Arial" w:hAnsi="Arial" w:cs="Arial"/>
        </w:rPr>
        <w:t>:</w:t>
      </w:r>
      <w:r>
        <w:t xml:space="preserve">  </w:t>
      </w:r>
      <w:r w:rsidR="00D16E72" w:rsidRPr="003D7CC9">
        <w:rPr>
          <w:rFonts w:ascii="Arial" w:hAnsi="Arial" w:cs="Arial"/>
        </w:rPr>
        <w:t>T</w:t>
      </w:r>
      <w:r w:rsidR="00D16E72">
        <w:rPr>
          <w:rFonts w:ascii="Arial" w:hAnsi="Arial" w:cs="Arial"/>
        </w:rPr>
        <w:t xml:space="preserve">oolkit framework for category </w:t>
      </w:r>
      <w:r>
        <w:rPr>
          <w:rFonts w:ascii="Arial" w:hAnsi="Arial" w:cs="Arial"/>
        </w:rPr>
        <w:t>10</w:t>
      </w:r>
      <w:r w:rsidR="00D16E72">
        <w:rPr>
          <w:rFonts w:ascii="Arial" w:hAnsi="Arial" w:cs="Arial"/>
        </w:rPr>
        <w:t xml:space="preserve"> – </w:t>
      </w:r>
      <w:r>
        <w:rPr>
          <w:rFonts w:ascii="Arial" w:hAnsi="Arial" w:cs="Arial"/>
        </w:rPr>
        <w:t xml:space="preserve">crematoria and </w:t>
      </w:r>
      <w:r w:rsidR="0010789E">
        <w:rPr>
          <w:rFonts w:ascii="Arial" w:hAnsi="Arial" w:cs="Arial"/>
        </w:rPr>
        <w:t>cemeteries</w:t>
      </w:r>
      <w:bookmarkEnd w:id="1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850"/>
        <w:gridCol w:w="851"/>
        <w:gridCol w:w="851"/>
        <w:gridCol w:w="992"/>
        <w:gridCol w:w="992"/>
        <w:gridCol w:w="1099"/>
      </w:tblGrid>
      <w:tr w:rsidR="00D16E72" w:rsidRPr="004901F2" w14:paraId="4FBC09C1" w14:textId="77777777" w:rsidTr="00284F82">
        <w:tc>
          <w:tcPr>
            <w:tcW w:w="851" w:type="dxa"/>
            <w:shd w:val="clear" w:color="auto" w:fill="auto"/>
            <w:vAlign w:val="center"/>
          </w:tcPr>
          <w:p w14:paraId="627B6656"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Toolkit Chapter</w:t>
            </w:r>
          </w:p>
        </w:tc>
        <w:tc>
          <w:tcPr>
            <w:tcW w:w="2693" w:type="dxa"/>
            <w:shd w:val="clear" w:color="auto" w:fill="auto"/>
            <w:vAlign w:val="center"/>
          </w:tcPr>
          <w:p w14:paraId="3311ED8D"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Sub-category</w:t>
            </w:r>
          </w:p>
        </w:tc>
        <w:tc>
          <w:tcPr>
            <w:tcW w:w="850" w:type="dxa"/>
            <w:shd w:val="clear" w:color="auto" w:fill="auto"/>
            <w:vAlign w:val="center"/>
          </w:tcPr>
          <w:p w14:paraId="51D2FACF"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Air</w:t>
            </w:r>
          </w:p>
        </w:tc>
        <w:tc>
          <w:tcPr>
            <w:tcW w:w="851" w:type="dxa"/>
            <w:shd w:val="clear" w:color="auto" w:fill="auto"/>
            <w:vAlign w:val="center"/>
          </w:tcPr>
          <w:p w14:paraId="25ECC712"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Water</w:t>
            </w:r>
          </w:p>
        </w:tc>
        <w:tc>
          <w:tcPr>
            <w:tcW w:w="851" w:type="dxa"/>
            <w:shd w:val="clear" w:color="auto" w:fill="auto"/>
            <w:vAlign w:val="center"/>
          </w:tcPr>
          <w:p w14:paraId="079DB849"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Land</w:t>
            </w:r>
          </w:p>
        </w:tc>
        <w:tc>
          <w:tcPr>
            <w:tcW w:w="992" w:type="dxa"/>
            <w:shd w:val="clear" w:color="auto" w:fill="auto"/>
            <w:vAlign w:val="center"/>
          </w:tcPr>
          <w:p w14:paraId="48B38B95"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Product</w:t>
            </w:r>
          </w:p>
        </w:tc>
        <w:tc>
          <w:tcPr>
            <w:tcW w:w="992" w:type="dxa"/>
            <w:shd w:val="clear" w:color="auto" w:fill="auto"/>
            <w:vAlign w:val="center"/>
          </w:tcPr>
          <w:p w14:paraId="2AFE9C69"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Waste/ residue</w:t>
            </w:r>
          </w:p>
        </w:tc>
        <w:tc>
          <w:tcPr>
            <w:tcW w:w="1099" w:type="dxa"/>
            <w:shd w:val="clear" w:color="auto" w:fill="auto"/>
            <w:vAlign w:val="center"/>
          </w:tcPr>
          <w:p w14:paraId="04C3345A"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Main approach</w:t>
            </w:r>
          </w:p>
        </w:tc>
      </w:tr>
      <w:tr w:rsidR="00D16E72" w:rsidRPr="004901F2" w14:paraId="11A3DF65" w14:textId="77777777" w:rsidTr="00284F82">
        <w:tc>
          <w:tcPr>
            <w:tcW w:w="851" w:type="dxa"/>
            <w:shd w:val="clear" w:color="auto" w:fill="auto"/>
            <w:vAlign w:val="center"/>
          </w:tcPr>
          <w:p w14:paraId="7BCF1FA1" w14:textId="77777777" w:rsidR="00D16E72" w:rsidRPr="004901F2" w:rsidRDefault="00D16E72" w:rsidP="00284F82">
            <w:pPr>
              <w:spacing w:before="40" w:after="40" w:line="300" w:lineRule="atLeast"/>
              <w:rPr>
                <w:rFonts w:ascii="Arial" w:hAnsi="Arial" w:cs="Arial"/>
                <w:sz w:val="16"/>
                <w:szCs w:val="16"/>
              </w:rPr>
            </w:pPr>
            <w:r>
              <w:rPr>
                <w:rFonts w:ascii="Arial" w:hAnsi="Arial" w:cs="Arial"/>
                <w:sz w:val="16"/>
                <w:szCs w:val="16"/>
              </w:rPr>
              <w:t>5.2</w:t>
            </w:r>
            <w:r w:rsidRPr="004901F2">
              <w:rPr>
                <w:rFonts w:ascii="Arial" w:hAnsi="Arial" w:cs="Arial"/>
                <w:sz w:val="16"/>
                <w:szCs w:val="16"/>
              </w:rPr>
              <w:t>.1</w:t>
            </w:r>
          </w:p>
        </w:tc>
        <w:tc>
          <w:tcPr>
            <w:tcW w:w="2693" w:type="dxa"/>
            <w:shd w:val="clear" w:color="auto" w:fill="auto"/>
            <w:vAlign w:val="center"/>
          </w:tcPr>
          <w:p w14:paraId="53FD609E" w14:textId="77777777" w:rsidR="00D16E72" w:rsidRPr="004901F2" w:rsidRDefault="00D045C4" w:rsidP="00284F82">
            <w:pPr>
              <w:spacing w:line="300" w:lineRule="atLeast"/>
              <w:rPr>
                <w:rFonts w:ascii="Arial" w:hAnsi="Arial" w:cs="Arial"/>
                <w:sz w:val="16"/>
                <w:szCs w:val="16"/>
              </w:rPr>
            </w:pPr>
            <w:r>
              <w:rPr>
                <w:rFonts w:ascii="Arial" w:hAnsi="Arial" w:cs="Arial"/>
                <w:sz w:val="16"/>
                <w:szCs w:val="16"/>
              </w:rPr>
              <w:t>Crematoria</w:t>
            </w:r>
          </w:p>
        </w:tc>
        <w:tc>
          <w:tcPr>
            <w:tcW w:w="850" w:type="dxa"/>
            <w:shd w:val="clear" w:color="auto" w:fill="auto"/>
            <w:vAlign w:val="center"/>
          </w:tcPr>
          <w:p w14:paraId="3A70746D"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851" w:type="dxa"/>
            <w:shd w:val="clear" w:color="auto" w:fill="auto"/>
            <w:vAlign w:val="center"/>
          </w:tcPr>
          <w:p w14:paraId="072F4A13" w14:textId="77777777" w:rsidR="00D16E72" w:rsidRPr="004901F2" w:rsidRDefault="00D16E72" w:rsidP="00284F82">
            <w:pPr>
              <w:spacing w:before="40" w:after="40" w:line="300" w:lineRule="atLeast"/>
              <w:jc w:val="center"/>
              <w:rPr>
                <w:rFonts w:ascii="Arial" w:hAnsi="Arial" w:cs="Arial"/>
                <w:sz w:val="16"/>
                <w:szCs w:val="16"/>
              </w:rPr>
            </w:pPr>
          </w:p>
        </w:tc>
        <w:tc>
          <w:tcPr>
            <w:tcW w:w="851" w:type="dxa"/>
            <w:shd w:val="clear" w:color="auto" w:fill="auto"/>
            <w:vAlign w:val="center"/>
          </w:tcPr>
          <w:p w14:paraId="3C397187" w14:textId="77777777" w:rsidR="00D16E72" w:rsidRPr="004901F2" w:rsidRDefault="00D16E72" w:rsidP="00284F82">
            <w:pPr>
              <w:spacing w:before="40" w:after="40" w:line="300" w:lineRule="atLeast"/>
              <w:jc w:val="center"/>
              <w:rPr>
                <w:rFonts w:ascii="Arial" w:hAnsi="Arial" w:cs="Arial"/>
                <w:sz w:val="16"/>
                <w:szCs w:val="16"/>
              </w:rPr>
            </w:pPr>
          </w:p>
        </w:tc>
        <w:tc>
          <w:tcPr>
            <w:tcW w:w="992" w:type="dxa"/>
            <w:shd w:val="clear" w:color="auto" w:fill="auto"/>
            <w:vAlign w:val="center"/>
          </w:tcPr>
          <w:p w14:paraId="02C50B7C" w14:textId="77777777" w:rsidR="00D16E72" w:rsidRPr="004901F2" w:rsidRDefault="00D16E72" w:rsidP="00284F82">
            <w:pPr>
              <w:spacing w:before="40" w:after="40" w:line="300" w:lineRule="atLeast"/>
              <w:jc w:val="center"/>
              <w:rPr>
                <w:rFonts w:ascii="Arial" w:hAnsi="Arial" w:cs="Arial"/>
                <w:sz w:val="16"/>
                <w:szCs w:val="16"/>
              </w:rPr>
            </w:pPr>
          </w:p>
        </w:tc>
        <w:tc>
          <w:tcPr>
            <w:tcW w:w="992" w:type="dxa"/>
            <w:shd w:val="clear" w:color="auto" w:fill="auto"/>
            <w:vAlign w:val="center"/>
          </w:tcPr>
          <w:p w14:paraId="5C563371" w14:textId="77777777" w:rsidR="00D16E72" w:rsidRPr="004901F2" w:rsidRDefault="00D16E72" w:rsidP="00284F82">
            <w:pPr>
              <w:spacing w:before="40" w:after="40" w:line="300" w:lineRule="atLeast"/>
              <w:jc w:val="center"/>
              <w:rPr>
                <w:rFonts w:ascii="Arial" w:hAnsi="Arial" w:cs="Arial"/>
                <w:b/>
                <w:sz w:val="16"/>
                <w:szCs w:val="16"/>
              </w:rPr>
            </w:pPr>
            <w:r w:rsidRPr="004901F2">
              <w:rPr>
                <w:rFonts w:ascii="Arial" w:hAnsi="Arial" w:cs="Arial"/>
                <w:b/>
                <w:sz w:val="16"/>
                <w:szCs w:val="16"/>
              </w:rPr>
              <w:t>X</w:t>
            </w:r>
          </w:p>
        </w:tc>
        <w:tc>
          <w:tcPr>
            <w:tcW w:w="1099" w:type="dxa"/>
            <w:shd w:val="clear" w:color="auto" w:fill="auto"/>
            <w:vAlign w:val="center"/>
          </w:tcPr>
          <w:p w14:paraId="72005403" w14:textId="77777777" w:rsidR="00D16E72" w:rsidRPr="004901F2" w:rsidRDefault="00D045C4" w:rsidP="00284F82">
            <w:pPr>
              <w:spacing w:before="40" w:after="40" w:line="300" w:lineRule="atLeast"/>
              <w:jc w:val="center"/>
              <w:rPr>
                <w:rFonts w:ascii="Arial" w:hAnsi="Arial" w:cs="Arial"/>
                <w:sz w:val="16"/>
                <w:szCs w:val="16"/>
              </w:rPr>
            </w:pPr>
            <w:r>
              <w:rPr>
                <w:rFonts w:ascii="Arial" w:hAnsi="Arial" w:cs="Arial"/>
                <w:sz w:val="16"/>
                <w:szCs w:val="16"/>
              </w:rPr>
              <w:t>OW</w:t>
            </w:r>
          </w:p>
        </w:tc>
      </w:tr>
      <w:tr w:rsidR="00D16E72" w:rsidRPr="004901F2" w14:paraId="371BFEE4" w14:textId="77777777" w:rsidTr="00284F82">
        <w:tc>
          <w:tcPr>
            <w:tcW w:w="851" w:type="dxa"/>
            <w:shd w:val="clear" w:color="auto" w:fill="auto"/>
            <w:vAlign w:val="center"/>
          </w:tcPr>
          <w:p w14:paraId="56BDD32C" w14:textId="77777777" w:rsidR="00D16E72" w:rsidRPr="004901F2" w:rsidRDefault="00D16E72" w:rsidP="00284F82">
            <w:pPr>
              <w:spacing w:before="40" w:after="40" w:line="300" w:lineRule="atLeast"/>
              <w:rPr>
                <w:rFonts w:ascii="Arial" w:hAnsi="Arial" w:cs="Arial"/>
                <w:sz w:val="16"/>
                <w:szCs w:val="16"/>
              </w:rPr>
            </w:pPr>
            <w:r>
              <w:rPr>
                <w:rFonts w:ascii="Arial" w:hAnsi="Arial" w:cs="Arial"/>
                <w:sz w:val="16"/>
                <w:szCs w:val="16"/>
              </w:rPr>
              <w:t>5.2</w:t>
            </w:r>
            <w:r w:rsidRPr="004901F2">
              <w:rPr>
                <w:rFonts w:ascii="Arial" w:hAnsi="Arial" w:cs="Arial"/>
                <w:sz w:val="16"/>
                <w:szCs w:val="16"/>
              </w:rPr>
              <w:t>.2</w:t>
            </w:r>
          </w:p>
        </w:tc>
        <w:tc>
          <w:tcPr>
            <w:tcW w:w="2693" w:type="dxa"/>
            <w:shd w:val="clear" w:color="auto" w:fill="auto"/>
            <w:vAlign w:val="center"/>
          </w:tcPr>
          <w:p w14:paraId="4B5B22A3" w14:textId="77777777" w:rsidR="00D16E72" w:rsidRPr="004901F2" w:rsidRDefault="00D045C4" w:rsidP="00284F82">
            <w:pPr>
              <w:spacing w:before="40" w:after="40" w:line="300" w:lineRule="atLeast"/>
              <w:rPr>
                <w:rFonts w:ascii="Arial" w:hAnsi="Arial" w:cs="Arial"/>
                <w:sz w:val="16"/>
                <w:szCs w:val="16"/>
              </w:rPr>
            </w:pPr>
            <w:r>
              <w:rPr>
                <w:rFonts w:ascii="Arial" w:hAnsi="Arial" w:cs="Arial"/>
                <w:sz w:val="16"/>
                <w:szCs w:val="16"/>
              </w:rPr>
              <w:t>Cemeteries</w:t>
            </w:r>
          </w:p>
        </w:tc>
        <w:tc>
          <w:tcPr>
            <w:tcW w:w="850" w:type="dxa"/>
            <w:shd w:val="clear" w:color="auto" w:fill="auto"/>
            <w:vAlign w:val="center"/>
          </w:tcPr>
          <w:p w14:paraId="024CB763" w14:textId="77777777" w:rsidR="00D16E72" w:rsidRPr="004901F2" w:rsidRDefault="00D16E72" w:rsidP="00284F82">
            <w:pPr>
              <w:spacing w:before="40" w:after="40" w:line="300" w:lineRule="atLeast"/>
              <w:jc w:val="center"/>
              <w:rPr>
                <w:rFonts w:ascii="Arial" w:hAnsi="Arial" w:cs="Arial"/>
                <w:b/>
                <w:sz w:val="16"/>
                <w:szCs w:val="16"/>
              </w:rPr>
            </w:pPr>
          </w:p>
        </w:tc>
        <w:tc>
          <w:tcPr>
            <w:tcW w:w="851" w:type="dxa"/>
            <w:shd w:val="clear" w:color="auto" w:fill="auto"/>
            <w:vAlign w:val="center"/>
          </w:tcPr>
          <w:p w14:paraId="54240138" w14:textId="77777777" w:rsidR="00D16E72" w:rsidRPr="004901F2" w:rsidRDefault="00D16E72" w:rsidP="00284F82">
            <w:pPr>
              <w:spacing w:before="40" w:after="40" w:line="300" w:lineRule="atLeast"/>
              <w:jc w:val="center"/>
              <w:rPr>
                <w:rFonts w:ascii="Arial" w:hAnsi="Arial" w:cs="Arial"/>
                <w:sz w:val="16"/>
                <w:szCs w:val="16"/>
              </w:rPr>
            </w:pPr>
          </w:p>
        </w:tc>
        <w:tc>
          <w:tcPr>
            <w:tcW w:w="851" w:type="dxa"/>
            <w:shd w:val="clear" w:color="auto" w:fill="auto"/>
            <w:vAlign w:val="center"/>
          </w:tcPr>
          <w:p w14:paraId="044F9A4A"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b/>
                <w:sz w:val="16"/>
                <w:szCs w:val="16"/>
              </w:rPr>
              <w:t>X</w:t>
            </w:r>
          </w:p>
        </w:tc>
        <w:tc>
          <w:tcPr>
            <w:tcW w:w="992" w:type="dxa"/>
            <w:shd w:val="clear" w:color="auto" w:fill="auto"/>
            <w:vAlign w:val="center"/>
          </w:tcPr>
          <w:p w14:paraId="7CDEC44C" w14:textId="77777777" w:rsidR="00D16E72" w:rsidRPr="004901F2" w:rsidRDefault="00D16E72" w:rsidP="00284F82">
            <w:pPr>
              <w:spacing w:before="40" w:after="40" w:line="300" w:lineRule="atLeast"/>
              <w:jc w:val="center"/>
              <w:rPr>
                <w:rFonts w:ascii="Arial" w:hAnsi="Arial" w:cs="Arial"/>
                <w:sz w:val="16"/>
                <w:szCs w:val="16"/>
              </w:rPr>
            </w:pPr>
          </w:p>
        </w:tc>
        <w:tc>
          <w:tcPr>
            <w:tcW w:w="992" w:type="dxa"/>
            <w:shd w:val="clear" w:color="auto" w:fill="auto"/>
            <w:vAlign w:val="center"/>
          </w:tcPr>
          <w:p w14:paraId="091D9964" w14:textId="77777777" w:rsidR="00D16E72" w:rsidRPr="004901F2" w:rsidRDefault="00D16E72" w:rsidP="00284F82">
            <w:pPr>
              <w:spacing w:before="40" w:after="40" w:line="300" w:lineRule="atLeast"/>
              <w:jc w:val="center"/>
              <w:rPr>
                <w:rFonts w:ascii="Arial" w:hAnsi="Arial" w:cs="Arial"/>
                <w:sz w:val="16"/>
                <w:szCs w:val="16"/>
              </w:rPr>
            </w:pPr>
          </w:p>
        </w:tc>
        <w:tc>
          <w:tcPr>
            <w:tcW w:w="1099" w:type="dxa"/>
            <w:shd w:val="clear" w:color="auto" w:fill="auto"/>
            <w:vAlign w:val="center"/>
          </w:tcPr>
          <w:p w14:paraId="4F923585" w14:textId="77777777" w:rsidR="00D16E72" w:rsidRPr="004901F2" w:rsidRDefault="00D16E72" w:rsidP="00284F82">
            <w:pPr>
              <w:spacing w:before="40" w:after="40" w:line="300" w:lineRule="atLeast"/>
              <w:jc w:val="center"/>
              <w:rPr>
                <w:rFonts w:ascii="Arial" w:hAnsi="Arial" w:cs="Arial"/>
                <w:sz w:val="16"/>
                <w:szCs w:val="16"/>
              </w:rPr>
            </w:pPr>
            <w:r w:rsidRPr="004901F2">
              <w:rPr>
                <w:rFonts w:ascii="Arial" w:hAnsi="Arial" w:cs="Arial"/>
                <w:sz w:val="16"/>
                <w:szCs w:val="16"/>
              </w:rPr>
              <w:t>OW</w:t>
            </w:r>
          </w:p>
        </w:tc>
      </w:tr>
    </w:tbl>
    <w:p w14:paraId="480E46EC" w14:textId="77777777" w:rsidR="00D16E72" w:rsidRPr="00582EF2" w:rsidRDefault="00D16E72" w:rsidP="00D16E72">
      <w:pPr>
        <w:spacing w:before="60" w:after="60" w:line="260" w:lineRule="exact"/>
        <w:jc w:val="both"/>
        <w:rPr>
          <w:rFonts w:ascii="Arial" w:hAnsi="Arial" w:cs="Arial"/>
          <w:sz w:val="16"/>
          <w:szCs w:val="18"/>
        </w:rPr>
      </w:pPr>
      <w:r w:rsidRPr="00582EF2">
        <w:rPr>
          <w:rFonts w:ascii="Arial" w:hAnsi="Arial" w:cs="Arial"/>
          <w:sz w:val="16"/>
          <w:szCs w:val="18"/>
        </w:rPr>
        <w:t xml:space="preserve">Notes: </w:t>
      </w:r>
      <w:r w:rsidRPr="00582EF2">
        <w:rPr>
          <w:rFonts w:ascii="Arial" w:hAnsi="Arial" w:cs="Arial"/>
          <w:sz w:val="16"/>
          <w:szCs w:val="18"/>
        </w:rPr>
        <w:tab/>
        <w:t>OW = National/overview approach;</w:t>
      </w:r>
    </w:p>
    <w:p w14:paraId="66C39A42" w14:textId="77777777" w:rsidR="00D16E72" w:rsidRPr="00582EF2" w:rsidRDefault="00D16E72" w:rsidP="00D16E72">
      <w:pPr>
        <w:spacing w:after="60" w:line="260" w:lineRule="exact"/>
        <w:ind w:firstLine="720"/>
        <w:jc w:val="both"/>
        <w:rPr>
          <w:rFonts w:ascii="Arial" w:hAnsi="Arial" w:cs="Arial"/>
          <w:sz w:val="16"/>
          <w:szCs w:val="18"/>
        </w:rPr>
      </w:pPr>
      <w:r w:rsidRPr="00582EF2">
        <w:rPr>
          <w:rFonts w:ascii="Arial" w:hAnsi="Arial" w:cs="Arial"/>
          <w:b/>
          <w:sz w:val="16"/>
          <w:szCs w:val="18"/>
        </w:rPr>
        <w:t>X</w:t>
      </w:r>
      <w:r w:rsidRPr="00582EF2">
        <w:rPr>
          <w:rFonts w:ascii="Arial" w:hAnsi="Arial" w:cs="Arial"/>
          <w:sz w:val="16"/>
          <w:szCs w:val="18"/>
        </w:rPr>
        <w:t xml:space="preserve"> - Release pathway expected to be predominant for the sub-category;</w:t>
      </w:r>
    </w:p>
    <w:p w14:paraId="7901BD99" w14:textId="77777777" w:rsidR="00D16E72" w:rsidRPr="00582EF2" w:rsidRDefault="00D16E72" w:rsidP="00D16E72">
      <w:pPr>
        <w:spacing w:after="60" w:line="260" w:lineRule="exact"/>
        <w:ind w:firstLine="720"/>
        <w:jc w:val="both"/>
        <w:rPr>
          <w:rFonts w:ascii="Arial" w:hAnsi="Arial" w:cs="Arial"/>
          <w:sz w:val="16"/>
          <w:szCs w:val="18"/>
        </w:rPr>
      </w:pPr>
      <w:r w:rsidRPr="00582EF2">
        <w:rPr>
          <w:rFonts w:ascii="Arial" w:hAnsi="Arial" w:cs="Arial"/>
          <w:sz w:val="16"/>
          <w:szCs w:val="18"/>
        </w:rPr>
        <w:t>x - Additional release pathways to be considered, depending on specific source and national situation.</w:t>
      </w:r>
    </w:p>
    <w:p w14:paraId="52D39ECD" w14:textId="77777777" w:rsidR="00D16E72" w:rsidRDefault="00784BAE" w:rsidP="00784BAE">
      <w:pPr>
        <w:pStyle w:val="Heading2"/>
      </w:pPr>
      <w:bookmarkStart w:id="169" w:name="_Toc484949628"/>
      <w:r>
        <w:t>Crematoria</w:t>
      </w:r>
      <w:r w:rsidR="00BF3D37">
        <w:t xml:space="preserve"> and cemeteries</w:t>
      </w:r>
      <w:bookmarkEnd w:id="169"/>
    </w:p>
    <w:p w14:paraId="1B800102" w14:textId="77777777" w:rsidR="00D16E72" w:rsidRDefault="008B59B7" w:rsidP="003833D6">
      <w:pPr>
        <w:spacing w:line="300" w:lineRule="atLeast"/>
        <w:jc w:val="both"/>
        <w:rPr>
          <w:szCs w:val="18"/>
        </w:rPr>
      </w:pPr>
      <w:r>
        <w:rPr>
          <w:szCs w:val="18"/>
        </w:rPr>
        <w:t>The mercury releases from this source, and also in cemeteries, comes from the mercury present in the corpses</w:t>
      </w:r>
      <w:r w:rsidR="00BF5893">
        <w:rPr>
          <w:szCs w:val="18"/>
        </w:rPr>
        <w:t>, mainly as a result of the mercury in dental amalgam fillings</w:t>
      </w:r>
      <w:r>
        <w:rPr>
          <w:szCs w:val="18"/>
        </w:rPr>
        <w:t>. In cremation, this is predominantly released to air, while in cemeteries it is released to land.</w:t>
      </w:r>
    </w:p>
    <w:p w14:paraId="18B357BC" w14:textId="40FD3233" w:rsidR="00D16E72" w:rsidRDefault="008B59B7" w:rsidP="003833D6">
      <w:pPr>
        <w:spacing w:line="300" w:lineRule="atLeast"/>
        <w:jc w:val="both"/>
        <w:rPr>
          <w:szCs w:val="18"/>
        </w:rPr>
      </w:pPr>
      <w:r>
        <w:rPr>
          <w:szCs w:val="18"/>
        </w:rPr>
        <w:t xml:space="preserve">Annual </w:t>
      </w:r>
      <w:r w:rsidR="00387783">
        <w:rPr>
          <w:szCs w:val="18"/>
        </w:rPr>
        <w:t>data</w:t>
      </w:r>
      <w:r>
        <w:rPr>
          <w:szCs w:val="18"/>
        </w:rPr>
        <w:t xml:space="preserve"> obtained from </w:t>
      </w:r>
      <w:r w:rsidR="00BF3D37">
        <w:rPr>
          <w:szCs w:val="18"/>
        </w:rPr>
        <w:t xml:space="preserve">the </w:t>
      </w:r>
      <w:r>
        <w:rPr>
          <w:szCs w:val="18"/>
        </w:rPr>
        <w:t>Department of Internal Affairs (</w:t>
      </w:r>
      <w:r w:rsidR="00254C3A">
        <w:rPr>
          <w:szCs w:val="18"/>
        </w:rPr>
        <w:t>V Millar</w:t>
      </w:r>
      <w:r w:rsidR="00BF3D37">
        <w:rPr>
          <w:szCs w:val="18"/>
        </w:rPr>
        <w:t xml:space="preserve">, </w:t>
      </w:r>
      <w:proofErr w:type="spellStart"/>
      <w:r w:rsidR="00BF3D37">
        <w:rPr>
          <w:szCs w:val="18"/>
        </w:rPr>
        <w:t>pers</w:t>
      </w:r>
      <w:proofErr w:type="spellEnd"/>
      <w:r w:rsidR="00BF3D37">
        <w:rPr>
          <w:szCs w:val="18"/>
        </w:rPr>
        <w:t xml:space="preserve"> </w:t>
      </w:r>
      <w:proofErr w:type="spellStart"/>
      <w:r w:rsidR="00BF3D37">
        <w:rPr>
          <w:szCs w:val="18"/>
        </w:rPr>
        <w:t>comm</w:t>
      </w:r>
      <w:proofErr w:type="spellEnd"/>
      <w:r w:rsidR="00BF3D37">
        <w:rPr>
          <w:szCs w:val="18"/>
        </w:rPr>
        <w:t>, 2013</w:t>
      </w:r>
      <w:r>
        <w:rPr>
          <w:szCs w:val="18"/>
        </w:rPr>
        <w:t>) show that</w:t>
      </w:r>
      <w:r w:rsidR="00C372BB">
        <w:rPr>
          <w:szCs w:val="18"/>
        </w:rPr>
        <w:t xml:space="preserve"> for </w:t>
      </w:r>
      <w:r w:rsidR="00254C3A">
        <w:rPr>
          <w:szCs w:val="18"/>
        </w:rPr>
        <w:t>2016 there were 31,333 registered deaths with 20,129 estimated c</w:t>
      </w:r>
      <w:r w:rsidR="00826087">
        <w:rPr>
          <w:szCs w:val="18"/>
        </w:rPr>
        <w:t xml:space="preserve">remations or 64% of the total. </w:t>
      </w:r>
      <w:r w:rsidR="00254C3A">
        <w:rPr>
          <w:szCs w:val="18"/>
        </w:rPr>
        <w:t xml:space="preserve">As might be expected the total is only slightly up on the </w:t>
      </w:r>
      <w:r w:rsidR="00BF3D37">
        <w:rPr>
          <w:szCs w:val="18"/>
        </w:rPr>
        <w:t>30,099</w:t>
      </w:r>
      <w:r>
        <w:rPr>
          <w:szCs w:val="18"/>
        </w:rPr>
        <w:t xml:space="preserve"> </w:t>
      </w:r>
      <w:r w:rsidR="00254C3A">
        <w:rPr>
          <w:szCs w:val="18"/>
        </w:rPr>
        <w:t xml:space="preserve">deaths reported in 2012, for which </w:t>
      </w:r>
      <w:r w:rsidR="00BF3D37">
        <w:rPr>
          <w:szCs w:val="18"/>
        </w:rPr>
        <w:t>63</w:t>
      </w:r>
      <w:r>
        <w:rPr>
          <w:szCs w:val="18"/>
        </w:rPr>
        <w:t>% were cremated</w:t>
      </w:r>
      <w:r w:rsidR="00BF3D37">
        <w:rPr>
          <w:rStyle w:val="FootnoteReference"/>
          <w:szCs w:val="18"/>
        </w:rPr>
        <w:footnoteReference w:id="20"/>
      </w:r>
      <w:r>
        <w:rPr>
          <w:szCs w:val="18"/>
        </w:rPr>
        <w:t>.</w:t>
      </w:r>
    </w:p>
    <w:p w14:paraId="33398F01" w14:textId="0B11840A" w:rsidR="000937A5" w:rsidRPr="00232361" w:rsidRDefault="000937A5" w:rsidP="000937A5">
      <w:pPr>
        <w:spacing w:line="300" w:lineRule="atLeast"/>
        <w:jc w:val="both"/>
        <w:rPr>
          <w:szCs w:val="18"/>
        </w:rPr>
      </w:pPr>
      <w:r>
        <w:rPr>
          <w:szCs w:val="18"/>
        </w:rPr>
        <w:t>No information has been found on the mercury content of New Zealanders, so the Toolkit default factors of 1 – 4 g/body ha</w:t>
      </w:r>
      <w:r w:rsidR="00387783">
        <w:rPr>
          <w:szCs w:val="18"/>
        </w:rPr>
        <w:t>ve</w:t>
      </w:r>
      <w:r>
        <w:rPr>
          <w:szCs w:val="18"/>
        </w:rPr>
        <w:t xml:space="preserve"> been used. </w:t>
      </w:r>
      <w:r w:rsidRPr="00232361">
        <w:rPr>
          <w:szCs w:val="18"/>
        </w:rPr>
        <w:t xml:space="preserve">The input and output </w:t>
      </w:r>
      <w:r>
        <w:rPr>
          <w:szCs w:val="18"/>
        </w:rPr>
        <w:t>estimates</w:t>
      </w:r>
      <w:r w:rsidRPr="00232361">
        <w:rPr>
          <w:szCs w:val="18"/>
        </w:rPr>
        <w:t xml:space="preserve"> for </w:t>
      </w:r>
      <w:r>
        <w:rPr>
          <w:szCs w:val="18"/>
        </w:rPr>
        <w:t>cremation and cemeteries</w:t>
      </w:r>
      <w:r w:rsidRPr="00232361">
        <w:rPr>
          <w:szCs w:val="18"/>
        </w:rPr>
        <w:t xml:space="preserve"> are shown in</w:t>
      </w:r>
      <w:r>
        <w:rPr>
          <w:szCs w:val="18"/>
        </w:rPr>
        <w:t xml:space="preserve"> </w:t>
      </w:r>
      <w:r w:rsidR="003B00C0" w:rsidRPr="00CA5553">
        <w:rPr>
          <w:szCs w:val="18"/>
        </w:rPr>
        <w:fldChar w:fldCharType="begin"/>
      </w:r>
      <w:r w:rsidR="003B00C0" w:rsidRPr="00AA2FC0">
        <w:rPr>
          <w:szCs w:val="18"/>
        </w:rPr>
        <w:instrText xml:space="preserve"> REF _Ref358635380 \h </w:instrText>
      </w:r>
      <w:r w:rsidR="00AA2FC0">
        <w:rPr>
          <w:szCs w:val="18"/>
        </w:rPr>
        <w:instrText xml:space="preserve"> \* MERGEFORMAT </w:instrText>
      </w:r>
      <w:r w:rsidR="003B00C0" w:rsidRPr="00CA5553">
        <w:rPr>
          <w:szCs w:val="18"/>
        </w:rPr>
      </w:r>
      <w:r w:rsidR="003B00C0" w:rsidRPr="00CA5553">
        <w:rPr>
          <w:szCs w:val="18"/>
        </w:rPr>
        <w:fldChar w:fldCharType="separate"/>
      </w:r>
      <w:r w:rsidR="00423FC9" w:rsidRPr="00423FC9">
        <w:t xml:space="preserve">Table </w:t>
      </w:r>
      <w:r w:rsidR="00423FC9" w:rsidRPr="00423FC9">
        <w:rPr>
          <w:noProof/>
        </w:rPr>
        <w:t>12</w:t>
      </w:r>
      <w:r w:rsidR="00423FC9" w:rsidRPr="00423FC9">
        <w:rPr>
          <w:noProof/>
        </w:rPr>
        <w:noBreakHyphen/>
        <w:t>2</w:t>
      </w:r>
      <w:r w:rsidR="003B00C0" w:rsidRPr="00CA5553">
        <w:rPr>
          <w:szCs w:val="18"/>
        </w:rPr>
        <w:fldChar w:fldCharType="end"/>
      </w:r>
      <w:r w:rsidRPr="00AA2FC0">
        <w:rPr>
          <w:szCs w:val="18"/>
        </w:rPr>
        <w:t>.</w:t>
      </w:r>
    </w:p>
    <w:p w14:paraId="422FECAF" w14:textId="77777777" w:rsidR="000937A5" w:rsidRDefault="000937A5" w:rsidP="003B00C0">
      <w:pPr>
        <w:pStyle w:val="Caption"/>
        <w:spacing w:before="240"/>
        <w:rPr>
          <w:szCs w:val="18"/>
        </w:rPr>
      </w:pPr>
      <w:bookmarkStart w:id="170" w:name="_Ref358635380"/>
      <w:bookmarkStart w:id="171" w:name="_Toc484949677"/>
      <w:r w:rsidRPr="00FE6C76">
        <w:rPr>
          <w:rFonts w:ascii="Arial" w:hAnsi="Arial" w:cs="Arial"/>
        </w:rPr>
        <w:t xml:space="preserve">Table </w:t>
      </w:r>
      <w:r w:rsidR="00390C9F">
        <w:rPr>
          <w:rFonts w:ascii="Arial" w:hAnsi="Arial" w:cs="Arial"/>
        </w:rPr>
        <w:fldChar w:fldCharType="begin"/>
      </w:r>
      <w:r w:rsidR="00390C9F">
        <w:rPr>
          <w:rFonts w:ascii="Arial" w:hAnsi="Arial" w:cs="Arial"/>
        </w:rPr>
        <w:instrText xml:space="preserve"> STYLEREF 1 \s </w:instrText>
      </w:r>
      <w:r w:rsidR="00390C9F">
        <w:rPr>
          <w:rFonts w:ascii="Arial" w:hAnsi="Arial" w:cs="Arial"/>
        </w:rPr>
        <w:fldChar w:fldCharType="separate"/>
      </w:r>
      <w:r w:rsidR="00423FC9">
        <w:rPr>
          <w:rFonts w:ascii="Arial" w:hAnsi="Arial" w:cs="Arial"/>
          <w:noProof/>
        </w:rPr>
        <w:t>12</w:t>
      </w:r>
      <w:r w:rsidR="00390C9F">
        <w:rPr>
          <w:rFonts w:ascii="Arial" w:hAnsi="Arial" w:cs="Arial"/>
        </w:rPr>
        <w:fldChar w:fldCharType="end"/>
      </w:r>
      <w:r w:rsidR="00390C9F">
        <w:rPr>
          <w:rFonts w:ascii="Arial" w:hAnsi="Arial" w:cs="Arial"/>
        </w:rPr>
        <w:noBreakHyphen/>
      </w:r>
      <w:r w:rsidR="00390C9F">
        <w:rPr>
          <w:rFonts w:ascii="Arial" w:hAnsi="Arial" w:cs="Arial"/>
        </w:rPr>
        <w:fldChar w:fldCharType="begin"/>
      </w:r>
      <w:r w:rsidR="00390C9F">
        <w:rPr>
          <w:rFonts w:ascii="Arial" w:hAnsi="Arial" w:cs="Arial"/>
        </w:rPr>
        <w:instrText xml:space="preserve"> SEQ Table \* ARABIC \s 1 </w:instrText>
      </w:r>
      <w:r w:rsidR="00390C9F">
        <w:rPr>
          <w:rFonts w:ascii="Arial" w:hAnsi="Arial" w:cs="Arial"/>
        </w:rPr>
        <w:fldChar w:fldCharType="separate"/>
      </w:r>
      <w:r w:rsidR="00423FC9">
        <w:rPr>
          <w:rFonts w:ascii="Arial" w:hAnsi="Arial" w:cs="Arial"/>
          <w:noProof/>
        </w:rPr>
        <w:t>2</w:t>
      </w:r>
      <w:r w:rsidR="00390C9F">
        <w:rPr>
          <w:rFonts w:ascii="Arial" w:hAnsi="Arial" w:cs="Arial"/>
        </w:rPr>
        <w:fldChar w:fldCharType="end"/>
      </w:r>
      <w:bookmarkEnd w:id="170"/>
      <w:r w:rsidRPr="00FE6C76">
        <w:rPr>
          <w:rFonts w:ascii="Arial" w:hAnsi="Arial" w:cs="Arial"/>
        </w:rPr>
        <w:t>:</w:t>
      </w:r>
      <w:r>
        <w:t xml:space="preserve">  </w:t>
      </w:r>
      <w:r w:rsidRPr="00284760">
        <w:rPr>
          <w:rFonts w:ascii="Arial" w:hAnsi="Arial" w:cs="Arial"/>
        </w:rPr>
        <w:t>Input and output estimates for</w:t>
      </w:r>
      <w:r>
        <w:rPr>
          <w:rFonts w:ascii="Arial" w:hAnsi="Arial" w:cs="Arial"/>
        </w:rPr>
        <w:t xml:space="preserve"> cremation and cemeteries</w:t>
      </w:r>
      <w:bookmarkEnd w:id="171"/>
    </w:p>
    <w:tbl>
      <w:tblPr>
        <w:tblStyle w:val="TableGrid"/>
        <w:tblW w:w="9287" w:type="dxa"/>
        <w:tblLook w:val="04A0" w:firstRow="1" w:lastRow="0" w:firstColumn="1" w:lastColumn="0" w:noHBand="0" w:noVBand="1"/>
      </w:tblPr>
      <w:tblGrid>
        <w:gridCol w:w="1526"/>
        <w:gridCol w:w="1417"/>
        <w:gridCol w:w="1560"/>
        <w:gridCol w:w="1701"/>
        <w:gridCol w:w="1559"/>
        <w:gridCol w:w="1524"/>
      </w:tblGrid>
      <w:tr w:rsidR="003B00C0" w14:paraId="0E12BAE4" w14:textId="77777777" w:rsidTr="00FE6C76">
        <w:tc>
          <w:tcPr>
            <w:tcW w:w="1526" w:type="dxa"/>
            <w:vMerge w:val="restart"/>
            <w:vAlign w:val="center"/>
          </w:tcPr>
          <w:p w14:paraId="4397CED0" w14:textId="77777777" w:rsidR="003B00C0" w:rsidRPr="00F31685" w:rsidRDefault="003B00C0" w:rsidP="000937A5">
            <w:pPr>
              <w:spacing w:line="300" w:lineRule="atLeast"/>
              <w:jc w:val="center"/>
              <w:rPr>
                <w:rFonts w:ascii="Arial" w:hAnsi="Arial" w:cs="Arial"/>
                <w:b/>
                <w:sz w:val="16"/>
                <w:szCs w:val="16"/>
              </w:rPr>
            </w:pPr>
            <w:r w:rsidRPr="00F31685">
              <w:rPr>
                <w:rFonts w:ascii="Arial" w:hAnsi="Arial" w:cs="Arial"/>
                <w:b/>
                <w:sz w:val="16"/>
                <w:szCs w:val="16"/>
              </w:rPr>
              <w:t>Source</w:t>
            </w:r>
          </w:p>
        </w:tc>
        <w:tc>
          <w:tcPr>
            <w:tcW w:w="1417" w:type="dxa"/>
            <w:vMerge w:val="restart"/>
            <w:vAlign w:val="center"/>
          </w:tcPr>
          <w:p w14:paraId="31E5E837" w14:textId="77777777" w:rsidR="003B00C0" w:rsidRPr="00F31685" w:rsidRDefault="003B00C0" w:rsidP="000937A5">
            <w:pPr>
              <w:spacing w:line="300" w:lineRule="atLeast"/>
              <w:jc w:val="center"/>
              <w:rPr>
                <w:rFonts w:ascii="Arial" w:hAnsi="Arial" w:cs="Arial"/>
                <w:b/>
                <w:sz w:val="16"/>
                <w:szCs w:val="16"/>
              </w:rPr>
            </w:pPr>
            <w:r>
              <w:rPr>
                <w:rFonts w:ascii="Arial" w:hAnsi="Arial" w:cs="Arial"/>
                <w:b/>
                <w:sz w:val="16"/>
                <w:szCs w:val="16"/>
              </w:rPr>
              <w:t>Activity Rate, corpses</w:t>
            </w:r>
            <w:r w:rsidRPr="00F31685">
              <w:rPr>
                <w:rFonts w:ascii="Arial" w:hAnsi="Arial" w:cs="Arial"/>
                <w:b/>
                <w:sz w:val="16"/>
                <w:szCs w:val="16"/>
              </w:rPr>
              <w:t>/</w:t>
            </w:r>
            <w:proofErr w:type="spellStart"/>
            <w:r w:rsidRPr="00F31685">
              <w:rPr>
                <w:rFonts w:ascii="Arial" w:hAnsi="Arial" w:cs="Arial"/>
                <w:b/>
                <w:sz w:val="16"/>
                <w:szCs w:val="16"/>
              </w:rPr>
              <w:t>yr</w:t>
            </w:r>
            <w:proofErr w:type="spellEnd"/>
          </w:p>
        </w:tc>
        <w:tc>
          <w:tcPr>
            <w:tcW w:w="1560" w:type="dxa"/>
            <w:vMerge w:val="restart"/>
            <w:vAlign w:val="center"/>
          </w:tcPr>
          <w:p w14:paraId="5C0A59F9" w14:textId="77777777" w:rsidR="003B00C0" w:rsidRPr="00F31685" w:rsidRDefault="003B00C0" w:rsidP="003B00C0">
            <w:pPr>
              <w:spacing w:line="300" w:lineRule="atLeast"/>
              <w:jc w:val="center"/>
              <w:rPr>
                <w:rFonts w:ascii="Arial" w:hAnsi="Arial" w:cs="Arial"/>
                <w:b/>
                <w:sz w:val="16"/>
                <w:szCs w:val="16"/>
              </w:rPr>
            </w:pPr>
            <w:r>
              <w:rPr>
                <w:rFonts w:ascii="Arial" w:hAnsi="Arial" w:cs="Arial"/>
                <w:b/>
                <w:sz w:val="16"/>
                <w:szCs w:val="16"/>
              </w:rPr>
              <w:t>Mercury content, g/corpse</w:t>
            </w:r>
          </w:p>
        </w:tc>
        <w:tc>
          <w:tcPr>
            <w:tcW w:w="1701" w:type="dxa"/>
            <w:vMerge w:val="restart"/>
            <w:vAlign w:val="center"/>
          </w:tcPr>
          <w:p w14:paraId="142A970D" w14:textId="77777777" w:rsidR="003B00C0" w:rsidRPr="00F31685" w:rsidRDefault="003B00C0" w:rsidP="000937A5">
            <w:pPr>
              <w:spacing w:line="300" w:lineRule="atLeast"/>
              <w:jc w:val="center"/>
              <w:rPr>
                <w:rFonts w:ascii="Arial" w:hAnsi="Arial" w:cs="Arial"/>
                <w:b/>
                <w:sz w:val="16"/>
                <w:szCs w:val="16"/>
              </w:rPr>
            </w:pPr>
            <w:r w:rsidRPr="00F31685">
              <w:rPr>
                <w:rFonts w:ascii="Arial" w:hAnsi="Arial" w:cs="Arial"/>
                <w:b/>
                <w:sz w:val="16"/>
                <w:szCs w:val="16"/>
              </w:rPr>
              <w:t>Annual Mercury Inputs, kg/</w:t>
            </w:r>
            <w:proofErr w:type="spellStart"/>
            <w:r w:rsidRPr="00F31685">
              <w:rPr>
                <w:rFonts w:ascii="Arial" w:hAnsi="Arial" w:cs="Arial"/>
                <w:b/>
                <w:sz w:val="16"/>
                <w:szCs w:val="16"/>
              </w:rPr>
              <w:t>yr</w:t>
            </w:r>
            <w:proofErr w:type="spellEnd"/>
          </w:p>
        </w:tc>
        <w:tc>
          <w:tcPr>
            <w:tcW w:w="3083" w:type="dxa"/>
            <w:gridSpan w:val="2"/>
            <w:vAlign w:val="center"/>
          </w:tcPr>
          <w:p w14:paraId="40F18F49" w14:textId="77777777" w:rsidR="003B00C0" w:rsidRPr="00F31685" w:rsidRDefault="003B00C0" w:rsidP="000937A5">
            <w:pPr>
              <w:spacing w:line="300" w:lineRule="atLeast"/>
              <w:jc w:val="center"/>
              <w:rPr>
                <w:rFonts w:ascii="Arial" w:hAnsi="Arial" w:cs="Arial"/>
                <w:b/>
                <w:sz w:val="16"/>
                <w:szCs w:val="16"/>
              </w:rPr>
            </w:pPr>
            <w:r w:rsidRPr="00F31685">
              <w:rPr>
                <w:rFonts w:ascii="Arial" w:hAnsi="Arial" w:cs="Arial"/>
                <w:b/>
                <w:sz w:val="16"/>
                <w:szCs w:val="16"/>
              </w:rPr>
              <w:t>Annual Mercury Outputs, kg/</w:t>
            </w:r>
            <w:proofErr w:type="spellStart"/>
            <w:r w:rsidRPr="00F31685">
              <w:rPr>
                <w:rFonts w:ascii="Arial" w:hAnsi="Arial" w:cs="Arial"/>
                <w:b/>
                <w:sz w:val="16"/>
                <w:szCs w:val="16"/>
              </w:rPr>
              <w:t>yr</w:t>
            </w:r>
            <w:proofErr w:type="spellEnd"/>
          </w:p>
        </w:tc>
      </w:tr>
      <w:tr w:rsidR="003B00C0" w14:paraId="06E3CF7E" w14:textId="77777777" w:rsidTr="00FE6C76">
        <w:tc>
          <w:tcPr>
            <w:tcW w:w="1526" w:type="dxa"/>
            <w:vMerge/>
            <w:vAlign w:val="center"/>
          </w:tcPr>
          <w:p w14:paraId="7F98685C" w14:textId="77777777" w:rsidR="003B00C0" w:rsidRPr="00F31685" w:rsidRDefault="003B00C0" w:rsidP="000937A5">
            <w:pPr>
              <w:spacing w:line="300" w:lineRule="atLeast"/>
              <w:jc w:val="center"/>
              <w:rPr>
                <w:rFonts w:ascii="Arial" w:hAnsi="Arial" w:cs="Arial"/>
                <w:b/>
                <w:sz w:val="16"/>
                <w:szCs w:val="16"/>
              </w:rPr>
            </w:pPr>
          </w:p>
        </w:tc>
        <w:tc>
          <w:tcPr>
            <w:tcW w:w="1417" w:type="dxa"/>
            <w:vMerge/>
            <w:vAlign w:val="center"/>
          </w:tcPr>
          <w:p w14:paraId="14E87FB8" w14:textId="77777777" w:rsidR="003B00C0" w:rsidRPr="00F31685" w:rsidRDefault="003B00C0" w:rsidP="000937A5">
            <w:pPr>
              <w:spacing w:line="300" w:lineRule="atLeast"/>
              <w:jc w:val="center"/>
              <w:rPr>
                <w:rFonts w:ascii="Arial" w:hAnsi="Arial" w:cs="Arial"/>
                <w:b/>
                <w:sz w:val="16"/>
                <w:szCs w:val="16"/>
              </w:rPr>
            </w:pPr>
          </w:p>
        </w:tc>
        <w:tc>
          <w:tcPr>
            <w:tcW w:w="1560" w:type="dxa"/>
            <w:vMerge/>
          </w:tcPr>
          <w:p w14:paraId="367877B5" w14:textId="77777777" w:rsidR="003B00C0" w:rsidRPr="00F31685" w:rsidRDefault="003B00C0" w:rsidP="000937A5">
            <w:pPr>
              <w:spacing w:line="300" w:lineRule="atLeast"/>
              <w:jc w:val="center"/>
              <w:rPr>
                <w:rFonts w:ascii="Arial" w:hAnsi="Arial" w:cs="Arial"/>
                <w:b/>
                <w:sz w:val="16"/>
                <w:szCs w:val="16"/>
              </w:rPr>
            </w:pPr>
          </w:p>
        </w:tc>
        <w:tc>
          <w:tcPr>
            <w:tcW w:w="1701" w:type="dxa"/>
            <w:vMerge/>
            <w:vAlign w:val="center"/>
          </w:tcPr>
          <w:p w14:paraId="469527A1" w14:textId="77777777" w:rsidR="003B00C0" w:rsidRPr="00F31685" w:rsidRDefault="003B00C0" w:rsidP="000937A5">
            <w:pPr>
              <w:spacing w:line="300" w:lineRule="atLeast"/>
              <w:jc w:val="center"/>
              <w:rPr>
                <w:rFonts w:ascii="Arial" w:hAnsi="Arial" w:cs="Arial"/>
                <w:b/>
                <w:sz w:val="16"/>
                <w:szCs w:val="16"/>
              </w:rPr>
            </w:pPr>
          </w:p>
        </w:tc>
        <w:tc>
          <w:tcPr>
            <w:tcW w:w="1559" w:type="dxa"/>
            <w:vAlign w:val="center"/>
          </w:tcPr>
          <w:p w14:paraId="631E3343" w14:textId="77777777" w:rsidR="003B00C0" w:rsidRPr="00F31685" w:rsidRDefault="003B00C0" w:rsidP="000937A5">
            <w:pPr>
              <w:spacing w:line="300" w:lineRule="atLeast"/>
              <w:jc w:val="center"/>
              <w:rPr>
                <w:rFonts w:ascii="Arial" w:hAnsi="Arial" w:cs="Arial"/>
                <w:b/>
                <w:sz w:val="16"/>
                <w:szCs w:val="16"/>
              </w:rPr>
            </w:pPr>
            <w:r w:rsidRPr="00F31685">
              <w:rPr>
                <w:rFonts w:ascii="Arial" w:hAnsi="Arial" w:cs="Arial"/>
                <w:b/>
                <w:sz w:val="16"/>
                <w:szCs w:val="16"/>
              </w:rPr>
              <w:t>Air</w:t>
            </w:r>
          </w:p>
        </w:tc>
        <w:tc>
          <w:tcPr>
            <w:tcW w:w="1524" w:type="dxa"/>
            <w:vAlign w:val="center"/>
          </w:tcPr>
          <w:p w14:paraId="18A18123" w14:textId="77777777" w:rsidR="003B00C0" w:rsidRPr="00F31685" w:rsidRDefault="003B00C0" w:rsidP="000937A5">
            <w:pPr>
              <w:spacing w:line="300" w:lineRule="atLeast"/>
              <w:jc w:val="center"/>
              <w:rPr>
                <w:rFonts w:ascii="Arial" w:hAnsi="Arial" w:cs="Arial"/>
                <w:b/>
                <w:sz w:val="16"/>
                <w:szCs w:val="16"/>
              </w:rPr>
            </w:pPr>
            <w:r>
              <w:rPr>
                <w:rFonts w:ascii="Arial" w:hAnsi="Arial" w:cs="Arial"/>
                <w:b/>
                <w:sz w:val="16"/>
                <w:szCs w:val="16"/>
              </w:rPr>
              <w:t>Land</w:t>
            </w:r>
          </w:p>
        </w:tc>
      </w:tr>
      <w:tr w:rsidR="003B00C0" w14:paraId="5BEFD67C" w14:textId="77777777" w:rsidTr="00FE6C76">
        <w:tc>
          <w:tcPr>
            <w:tcW w:w="1526" w:type="dxa"/>
            <w:vAlign w:val="center"/>
          </w:tcPr>
          <w:p w14:paraId="6C9BDBF4" w14:textId="77777777" w:rsidR="003B00C0" w:rsidRPr="00F31685" w:rsidRDefault="003B00C0" w:rsidP="000937A5">
            <w:pPr>
              <w:spacing w:line="300" w:lineRule="atLeast"/>
              <w:rPr>
                <w:rFonts w:ascii="Arial" w:hAnsi="Arial" w:cs="Arial"/>
                <w:sz w:val="16"/>
                <w:szCs w:val="16"/>
              </w:rPr>
            </w:pPr>
            <w:r>
              <w:rPr>
                <w:rFonts w:ascii="Arial" w:hAnsi="Arial" w:cs="Arial"/>
                <w:sz w:val="16"/>
                <w:szCs w:val="16"/>
              </w:rPr>
              <w:t>Cremation</w:t>
            </w:r>
            <w:r w:rsidR="00254C3A">
              <w:rPr>
                <w:rFonts w:ascii="Arial" w:hAnsi="Arial" w:cs="Arial"/>
                <w:sz w:val="16"/>
                <w:szCs w:val="16"/>
              </w:rPr>
              <w:t>, 2012</w:t>
            </w:r>
          </w:p>
        </w:tc>
        <w:tc>
          <w:tcPr>
            <w:tcW w:w="1417" w:type="dxa"/>
            <w:vAlign w:val="center"/>
          </w:tcPr>
          <w:p w14:paraId="32520EE9" w14:textId="77777777" w:rsidR="003B00C0" w:rsidRPr="00F31685" w:rsidRDefault="003B00C0" w:rsidP="000937A5">
            <w:pPr>
              <w:spacing w:line="300" w:lineRule="atLeast"/>
              <w:jc w:val="center"/>
              <w:rPr>
                <w:rFonts w:ascii="Arial" w:hAnsi="Arial" w:cs="Arial"/>
                <w:sz w:val="16"/>
                <w:szCs w:val="16"/>
              </w:rPr>
            </w:pPr>
            <w:r>
              <w:rPr>
                <w:rFonts w:ascii="Arial" w:hAnsi="Arial" w:cs="Arial"/>
                <w:sz w:val="16"/>
                <w:szCs w:val="16"/>
              </w:rPr>
              <w:t>19,053</w:t>
            </w:r>
          </w:p>
        </w:tc>
        <w:tc>
          <w:tcPr>
            <w:tcW w:w="1560" w:type="dxa"/>
          </w:tcPr>
          <w:p w14:paraId="1112D072" w14:textId="77777777" w:rsidR="003B00C0" w:rsidRDefault="003B00C0" w:rsidP="000937A5">
            <w:pPr>
              <w:spacing w:line="300" w:lineRule="atLeast"/>
              <w:jc w:val="center"/>
              <w:rPr>
                <w:rFonts w:ascii="Arial" w:hAnsi="Arial" w:cs="Arial"/>
                <w:sz w:val="16"/>
                <w:szCs w:val="16"/>
              </w:rPr>
            </w:pPr>
            <w:r>
              <w:rPr>
                <w:rFonts w:ascii="Arial" w:hAnsi="Arial" w:cs="Arial"/>
                <w:sz w:val="16"/>
                <w:szCs w:val="16"/>
              </w:rPr>
              <w:t>1 – 4</w:t>
            </w:r>
          </w:p>
        </w:tc>
        <w:tc>
          <w:tcPr>
            <w:tcW w:w="1701" w:type="dxa"/>
            <w:vAlign w:val="center"/>
          </w:tcPr>
          <w:p w14:paraId="19D36A0D" w14:textId="3A032802" w:rsidR="003B00C0" w:rsidRPr="00F31685" w:rsidRDefault="003B00C0" w:rsidP="000937A5">
            <w:pPr>
              <w:spacing w:line="300" w:lineRule="atLeast"/>
              <w:jc w:val="center"/>
              <w:rPr>
                <w:rFonts w:ascii="Arial" w:hAnsi="Arial" w:cs="Arial"/>
                <w:sz w:val="16"/>
                <w:szCs w:val="16"/>
              </w:rPr>
            </w:pPr>
            <w:r>
              <w:rPr>
                <w:rFonts w:ascii="Arial" w:hAnsi="Arial" w:cs="Arial"/>
                <w:sz w:val="16"/>
                <w:szCs w:val="16"/>
              </w:rPr>
              <w:t>19.1 – 76.2</w:t>
            </w:r>
            <w:r w:rsidR="008B1EB8">
              <w:rPr>
                <w:rFonts w:ascii="Arial" w:hAnsi="Arial" w:cs="Arial"/>
                <w:sz w:val="16"/>
                <w:szCs w:val="16"/>
              </w:rPr>
              <w:t xml:space="preserve"> </w:t>
            </w:r>
            <w:r w:rsidR="00826087">
              <w:rPr>
                <w:rFonts w:ascii="Arial" w:hAnsi="Arial" w:cs="Arial"/>
                <w:sz w:val="16"/>
                <w:szCs w:val="16"/>
              </w:rPr>
              <w:br/>
            </w:r>
            <w:r w:rsidR="008B1EB8">
              <w:rPr>
                <w:rFonts w:ascii="Arial" w:hAnsi="Arial" w:cs="Arial"/>
                <w:sz w:val="16"/>
                <w:szCs w:val="16"/>
              </w:rPr>
              <w:t>(47.7)</w:t>
            </w:r>
          </w:p>
        </w:tc>
        <w:tc>
          <w:tcPr>
            <w:tcW w:w="1559" w:type="dxa"/>
            <w:vAlign w:val="center"/>
          </w:tcPr>
          <w:p w14:paraId="5E9836E2" w14:textId="22AD98FD" w:rsidR="003B00C0" w:rsidRPr="00F31685" w:rsidRDefault="003B00C0" w:rsidP="000937A5">
            <w:pPr>
              <w:spacing w:line="300" w:lineRule="atLeast"/>
              <w:jc w:val="center"/>
              <w:rPr>
                <w:rFonts w:ascii="Arial" w:hAnsi="Arial" w:cs="Arial"/>
                <w:sz w:val="16"/>
                <w:szCs w:val="16"/>
              </w:rPr>
            </w:pPr>
            <w:r>
              <w:rPr>
                <w:rFonts w:ascii="Arial" w:hAnsi="Arial" w:cs="Arial"/>
                <w:sz w:val="16"/>
                <w:szCs w:val="16"/>
              </w:rPr>
              <w:t>19.1 – 76.2</w:t>
            </w:r>
            <w:r w:rsidR="008B1EB8">
              <w:rPr>
                <w:rFonts w:ascii="Arial" w:hAnsi="Arial" w:cs="Arial"/>
                <w:sz w:val="16"/>
                <w:szCs w:val="16"/>
              </w:rPr>
              <w:t xml:space="preserve"> </w:t>
            </w:r>
            <w:r w:rsidR="00826087">
              <w:rPr>
                <w:rFonts w:ascii="Arial" w:hAnsi="Arial" w:cs="Arial"/>
                <w:sz w:val="16"/>
                <w:szCs w:val="16"/>
              </w:rPr>
              <w:br/>
            </w:r>
            <w:r w:rsidR="008B1EB8">
              <w:rPr>
                <w:rFonts w:ascii="Arial" w:hAnsi="Arial" w:cs="Arial"/>
                <w:sz w:val="16"/>
                <w:szCs w:val="16"/>
              </w:rPr>
              <w:t>(47.7)</w:t>
            </w:r>
          </w:p>
        </w:tc>
        <w:tc>
          <w:tcPr>
            <w:tcW w:w="1524" w:type="dxa"/>
            <w:vAlign w:val="center"/>
          </w:tcPr>
          <w:p w14:paraId="107E64DB" w14:textId="77777777" w:rsidR="003B00C0" w:rsidRPr="00F31685" w:rsidRDefault="003B00C0" w:rsidP="000937A5">
            <w:pPr>
              <w:spacing w:line="300" w:lineRule="atLeast"/>
              <w:jc w:val="center"/>
              <w:rPr>
                <w:rFonts w:ascii="Arial" w:hAnsi="Arial" w:cs="Arial"/>
                <w:sz w:val="16"/>
                <w:szCs w:val="16"/>
              </w:rPr>
            </w:pPr>
            <w:r>
              <w:rPr>
                <w:rFonts w:ascii="Arial" w:hAnsi="Arial" w:cs="Arial"/>
                <w:sz w:val="16"/>
                <w:szCs w:val="16"/>
              </w:rPr>
              <w:t>-</w:t>
            </w:r>
          </w:p>
        </w:tc>
      </w:tr>
      <w:tr w:rsidR="00254C3A" w14:paraId="6601CAC2" w14:textId="77777777" w:rsidTr="00FE6C76">
        <w:tc>
          <w:tcPr>
            <w:tcW w:w="1526" w:type="dxa"/>
            <w:vAlign w:val="center"/>
          </w:tcPr>
          <w:p w14:paraId="1B044457" w14:textId="77777777" w:rsidR="00254C3A" w:rsidRDefault="00254C3A" w:rsidP="00254C3A">
            <w:pPr>
              <w:spacing w:line="300" w:lineRule="atLeast"/>
              <w:rPr>
                <w:rFonts w:ascii="Arial" w:hAnsi="Arial" w:cs="Arial"/>
                <w:sz w:val="16"/>
                <w:szCs w:val="16"/>
              </w:rPr>
            </w:pPr>
            <w:r>
              <w:rPr>
                <w:rFonts w:ascii="Arial" w:hAnsi="Arial" w:cs="Arial"/>
                <w:sz w:val="16"/>
                <w:szCs w:val="16"/>
              </w:rPr>
              <w:t>Cremation, 2016</w:t>
            </w:r>
          </w:p>
        </w:tc>
        <w:tc>
          <w:tcPr>
            <w:tcW w:w="1417" w:type="dxa"/>
            <w:vAlign w:val="center"/>
          </w:tcPr>
          <w:p w14:paraId="0DBE89A9" w14:textId="77777777" w:rsidR="00254C3A" w:rsidRDefault="00254C3A" w:rsidP="00254C3A">
            <w:pPr>
              <w:spacing w:line="300" w:lineRule="atLeast"/>
              <w:jc w:val="center"/>
              <w:rPr>
                <w:rFonts w:ascii="Arial" w:hAnsi="Arial" w:cs="Arial"/>
                <w:sz w:val="16"/>
                <w:szCs w:val="16"/>
              </w:rPr>
            </w:pPr>
            <w:r>
              <w:rPr>
                <w:rFonts w:ascii="Arial" w:hAnsi="Arial" w:cs="Arial"/>
                <w:sz w:val="16"/>
                <w:szCs w:val="16"/>
              </w:rPr>
              <w:t>20,129</w:t>
            </w:r>
          </w:p>
        </w:tc>
        <w:tc>
          <w:tcPr>
            <w:tcW w:w="1560" w:type="dxa"/>
          </w:tcPr>
          <w:p w14:paraId="61B3D9E1" w14:textId="77777777" w:rsidR="00254C3A" w:rsidRDefault="00254C3A" w:rsidP="00254C3A">
            <w:pPr>
              <w:spacing w:line="300" w:lineRule="atLeast"/>
              <w:jc w:val="center"/>
              <w:rPr>
                <w:rFonts w:ascii="Arial" w:hAnsi="Arial" w:cs="Arial"/>
                <w:sz w:val="16"/>
                <w:szCs w:val="16"/>
              </w:rPr>
            </w:pPr>
            <w:r>
              <w:rPr>
                <w:rFonts w:ascii="Arial" w:hAnsi="Arial" w:cs="Arial"/>
                <w:sz w:val="16"/>
                <w:szCs w:val="16"/>
              </w:rPr>
              <w:t>1 - 4</w:t>
            </w:r>
          </w:p>
        </w:tc>
        <w:tc>
          <w:tcPr>
            <w:tcW w:w="1701" w:type="dxa"/>
            <w:vAlign w:val="center"/>
          </w:tcPr>
          <w:p w14:paraId="4BBA8380" w14:textId="2622AD4B" w:rsidR="00254C3A" w:rsidRDefault="00254C3A" w:rsidP="00254C3A">
            <w:pPr>
              <w:spacing w:line="300" w:lineRule="atLeast"/>
              <w:jc w:val="center"/>
              <w:rPr>
                <w:rFonts w:ascii="Arial" w:hAnsi="Arial" w:cs="Arial"/>
                <w:sz w:val="16"/>
                <w:szCs w:val="16"/>
              </w:rPr>
            </w:pPr>
            <w:r>
              <w:rPr>
                <w:rFonts w:ascii="Arial" w:hAnsi="Arial" w:cs="Arial"/>
                <w:sz w:val="16"/>
                <w:szCs w:val="16"/>
              </w:rPr>
              <w:t xml:space="preserve">20.1 – 80.5 </w:t>
            </w:r>
            <w:r w:rsidR="00826087">
              <w:rPr>
                <w:rFonts w:ascii="Arial" w:hAnsi="Arial" w:cs="Arial"/>
                <w:sz w:val="16"/>
                <w:szCs w:val="16"/>
              </w:rPr>
              <w:br/>
            </w:r>
            <w:r>
              <w:rPr>
                <w:rFonts w:ascii="Arial" w:hAnsi="Arial" w:cs="Arial"/>
                <w:sz w:val="16"/>
                <w:szCs w:val="16"/>
              </w:rPr>
              <w:t>(50.3)</w:t>
            </w:r>
          </w:p>
        </w:tc>
        <w:tc>
          <w:tcPr>
            <w:tcW w:w="1559" w:type="dxa"/>
            <w:vAlign w:val="center"/>
          </w:tcPr>
          <w:p w14:paraId="4D539B84" w14:textId="78D2DCCD" w:rsidR="00254C3A" w:rsidRDefault="00254C3A" w:rsidP="00254C3A">
            <w:pPr>
              <w:spacing w:line="300" w:lineRule="atLeast"/>
              <w:jc w:val="center"/>
              <w:rPr>
                <w:rFonts w:ascii="Arial" w:hAnsi="Arial" w:cs="Arial"/>
                <w:sz w:val="16"/>
                <w:szCs w:val="16"/>
              </w:rPr>
            </w:pPr>
            <w:r>
              <w:rPr>
                <w:rFonts w:ascii="Arial" w:hAnsi="Arial" w:cs="Arial"/>
                <w:sz w:val="16"/>
                <w:szCs w:val="16"/>
              </w:rPr>
              <w:t xml:space="preserve">20.1 – 80.5 </w:t>
            </w:r>
            <w:r w:rsidR="00826087">
              <w:rPr>
                <w:rFonts w:ascii="Arial" w:hAnsi="Arial" w:cs="Arial"/>
                <w:sz w:val="16"/>
                <w:szCs w:val="16"/>
              </w:rPr>
              <w:br/>
            </w:r>
            <w:r>
              <w:rPr>
                <w:rFonts w:ascii="Arial" w:hAnsi="Arial" w:cs="Arial"/>
                <w:sz w:val="16"/>
                <w:szCs w:val="16"/>
              </w:rPr>
              <w:t>(50.3)</w:t>
            </w:r>
          </w:p>
        </w:tc>
        <w:tc>
          <w:tcPr>
            <w:tcW w:w="1524" w:type="dxa"/>
            <w:vAlign w:val="center"/>
          </w:tcPr>
          <w:p w14:paraId="1B8204E0" w14:textId="77777777" w:rsidR="00254C3A" w:rsidRDefault="00254C3A" w:rsidP="00254C3A">
            <w:pPr>
              <w:spacing w:line="300" w:lineRule="atLeast"/>
              <w:jc w:val="center"/>
              <w:rPr>
                <w:rFonts w:ascii="Arial" w:hAnsi="Arial" w:cs="Arial"/>
                <w:sz w:val="16"/>
                <w:szCs w:val="16"/>
              </w:rPr>
            </w:pPr>
            <w:r>
              <w:rPr>
                <w:rFonts w:ascii="Arial" w:hAnsi="Arial" w:cs="Arial"/>
                <w:sz w:val="16"/>
                <w:szCs w:val="16"/>
              </w:rPr>
              <w:t>-</w:t>
            </w:r>
          </w:p>
        </w:tc>
      </w:tr>
      <w:tr w:rsidR="003B00C0" w14:paraId="2AC20DE9" w14:textId="77777777" w:rsidTr="00FE6C76">
        <w:tc>
          <w:tcPr>
            <w:tcW w:w="1526" w:type="dxa"/>
            <w:vAlign w:val="center"/>
          </w:tcPr>
          <w:p w14:paraId="6DCC55F5" w14:textId="77777777" w:rsidR="003B00C0" w:rsidRDefault="003B00C0" w:rsidP="000937A5">
            <w:pPr>
              <w:spacing w:line="300" w:lineRule="atLeast"/>
              <w:rPr>
                <w:rFonts w:ascii="Arial" w:hAnsi="Arial" w:cs="Arial"/>
                <w:sz w:val="16"/>
                <w:szCs w:val="16"/>
              </w:rPr>
            </w:pPr>
            <w:r>
              <w:rPr>
                <w:rFonts w:ascii="Arial" w:hAnsi="Arial" w:cs="Arial"/>
                <w:sz w:val="16"/>
                <w:szCs w:val="16"/>
              </w:rPr>
              <w:t>Cemeteries</w:t>
            </w:r>
            <w:r w:rsidR="00254C3A">
              <w:rPr>
                <w:rFonts w:ascii="Arial" w:hAnsi="Arial" w:cs="Arial"/>
                <w:sz w:val="16"/>
                <w:szCs w:val="16"/>
              </w:rPr>
              <w:t>, 2012</w:t>
            </w:r>
          </w:p>
        </w:tc>
        <w:tc>
          <w:tcPr>
            <w:tcW w:w="1417" w:type="dxa"/>
            <w:vAlign w:val="center"/>
          </w:tcPr>
          <w:p w14:paraId="530A7DE8" w14:textId="77777777" w:rsidR="003B00C0" w:rsidRDefault="003B00C0" w:rsidP="000937A5">
            <w:pPr>
              <w:spacing w:line="300" w:lineRule="atLeast"/>
              <w:jc w:val="center"/>
              <w:rPr>
                <w:rFonts w:ascii="Arial" w:hAnsi="Arial" w:cs="Arial"/>
                <w:sz w:val="16"/>
                <w:szCs w:val="16"/>
              </w:rPr>
            </w:pPr>
            <w:r>
              <w:rPr>
                <w:rFonts w:ascii="Arial" w:hAnsi="Arial" w:cs="Arial"/>
                <w:sz w:val="16"/>
                <w:szCs w:val="16"/>
              </w:rPr>
              <w:t>11,046</w:t>
            </w:r>
          </w:p>
        </w:tc>
        <w:tc>
          <w:tcPr>
            <w:tcW w:w="1560" w:type="dxa"/>
          </w:tcPr>
          <w:p w14:paraId="548D0851" w14:textId="77777777" w:rsidR="003B00C0" w:rsidRDefault="003B00C0" w:rsidP="000937A5">
            <w:pPr>
              <w:spacing w:line="300" w:lineRule="atLeast"/>
              <w:jc w:val="center"/>
              <w:rPr>
                <w:rFonts w:ascii="Arial" w:hAnsi="Arial" w:cs="Arial"/>
                <w:sz w:val="16"/>
                <w:szCs w:val="16"/>
              </w:rPr>
            </w:pPr>
            <w:r>
              <w:rPr>
                <w:rFonts w:ascii="Arial" w:hAnsi="Arial" w:cs="Arial"/>
                <w:sz w:val="16"/>
                <w:szCs w:val="16"/>
              </w:rPr>
              <w:t>1 - 4</w:t>
            </w:r>
          </w:p>
        </w:tc>
        <w:tc>
          <w:tcPr>
            <w:tcW w:w="1701" w:type="dxa"/>
            <w:vAlign w:val="center"/>
          </w:tcPr>
          <w:p w14:paraId="4184FFDD" w14:textId="1B5EE48C" w:rsidR="003B00C0" w:rsidRDefault="003B00C0" w:rsidP="000937A5">
            <w:pPr>
              <w:spacing w:line="300" w:lineRule="atLeast"/>
              <w:jc w:val="center"/>
              <w:rPr>
                <w:rFonts w:ascii="Arial" w:hAnsi="Arial" w:cs="Arial"/>
                <w:sz w:val="16"/>
                <w:szCs w:val="16"/>
              </w:rPr>
            </w:pPr>
            <w:r>
              <w:rPr>
                <w:rFonts w:ascii="Arial" w:hAnsi="Arial" w:cs="Arial"/>
                <w:sz w:val="16"/>
                <w:szCs w:val="16"/>
              </w:rPr>
              <w:t>11.0 – 44.2</w:t>
            </w:r>
            <w:r w:rsidR="008B1EB8">
              <w:rPr>
                <w:rFonts w:ascii="Arial" w:hAnsi="Arial" w:cs="Arial"/>
                <w:sz w:val="16"/>
                <w:szCs w:val="16"/>
              </w:rPr>
              <w:t xml:space="preserve"> </w:t>
            </w:r>
            <w:r w:rsidR="00826087">
              <w:rPr>
                <w:rFonts w:ascii="Arial" w:hAnsi="Arial" w:cs="Arial"/>
                <w:sz w:val="16"/>
                <w:szCs w:val="16"/>
              </w:rPr>
              <w:br/>
            </w:r>
            <w:r w:rsidR="008B1EB8">
              <w:rPr>
                <w:rFonts w:ascii="Arial" w:hAnsi="Arial" w:cs="Arial"/>
                <w:sz w:val="16"/>
                <w:szCs w:val="16"/>
              </w:rPr>
              <w:t>(27.6)</w:t>
            </w:r>
          </w:p>
        </w:tc>
        <w:tc>
          <w:tcPr>
            <w:tcW w:w="1559" w:type="dxa"/>
            <w:vAlign w:val="center"/>
          </w:tcPr>
          <w:p w14:paraId="2658A577" w14:textId="77777777" w:rsidR="003B00C0" w:rsidRDefault="003B00C0" w:rsidP="000937A5">
            <w:pPr>
              <w:spacing w:line="300" w:lineRule="atLeast"/>
              <w:jc w:val="center"/>
              <w:rPr>
                <w:rFonts w:ascii="Arial" w:hAnsi="Arial" w:cs="Arial"/>
                <w:sz w:val="16"/>
                <w:szCs w:val="16"/>
              </w:rPr>
            </w:pPr>
            <w:r>
              <w:rPr>
                <w:rFonts w:ascii="Arial" w:hAnsi="Arial" w:cs="Arial"/>
                <w:sz w:val="16"/>
                <w:szCs w:val="16"/>
              </w:rPr>
              <w:t>-</w:t>
            </w:r>
          </w:p>
        </w:tc>
        <w:tc>
          <w:tcPr>
            <w:tcW w:w="1524" w:type="dxa"/>
            <w:vAlign w:val="center"/>
          </w:tcPr>
          <w:p w14:paraId="31D09A73" w14:textId="4C6D9BD5" w:rsidR="003B00C0" w:rsidRDefault="003B00C0" w:rsidP="000937A5">
            <w:pPr>
              <w:spacing w:line="300" w:lineRule="atLeast"/>
              <w:jc w:val="center"/>
              <w:rPr>
                <w:rFonts w:ascii="Arial" w:hAnsi="Arial" w:cs="Arial"/>
                <w:sz w:val="16"/>
                <w:szCs w:val="16"/>
              </w:rPr>
            </w:pPr>
            <w:r>
              <w:rPr>
                <w:rFonts w:ascii="Arial" w:hAnsi="Arial" w:cs="Arial"/>
                <w:sz w:val="16"/>
                <w:szCs w:val="16"/>
              </w:rPr>
              <w:t>11.0 – 44.2</w:t>
            </w:r>
            <w:r w:rsidR="008B1EB8">
              <w:rPr>
                <w:rFonts w:ascii="Arial" w:hAnsi="Arial" w:cs="Arial"/>
                <w:sz w:val="16"/>
                <w:szCs w:val="16"/>
              </w:rPr>
              <w:t xml:space="preserve"> </w:t>
            </w:r>
            <w:r w:rsidR="00826087">
              <w:rPr>
                <w:rFonts w:ascii="Arial" w:hAnsi="Arial" w:cs="Arial"/>
                <w:sz w:val="16"/>
                <w:szCs w:val="16"/>
              </w:rPr>
              <w:br/>
            </w:r>
            <w:r w:rsidR="008B1EB8">
              <w:rPr>
                <w:rFonts w:ascii="Arial" w:hAnsi="Arial" w:cs="Arial"/>
                <w:sz w:val="16"/>
                <w:szCs w:val="16"/>
              </w:rPr>
              <w:t>(27.6)</w:t>
            </w:r>
          </w:p>
        </w:tc>
      </w:tr>
      <w:tr w:rsidR="00254C3A" w14:paraId="00FA246E" w14:textId="77777777" w:rsidTr="00FE6C76">
        <w:tc>
          <w:tcPr>
            <w:tcW w:w="1526" w:type="dxa"/>
            <w:vAlign w:val="center"/>
          </w:tcPr>
          <w:p w14:paraId="719C7F34" w14:textId="77777777" w:rsidR="00254C3A" w:rsidRDefault="00254C3A" w:rsidP="00254C3A">
            <w:pPr>
              <w:spacing w:line="300" w:lineRule="atLeast"/>
              <w:rPr>
                <w:rFonts w:ascii="Arial" w:hAnsi="Arial" w:cs="Arial"/>
                <w:sz w:val="16"/>
                <w:szCs w:val="16"/>
              </w:rPr>
            </w:pPr>
            <w:r>
              <w:rPr>
                <w:rFonts w:ascii="Arial" w:hAnsi="Arial" w:cs="Arial"/>
                <w:sz w:val="16"/>
                <w:szCs w:val="16"/>
              </w:rPr>
              <w:t>Cemeteries, 2016</w:t>
            </w:r>
          </w:p>
        </w:tc>
        <w:tc>
          <w:tcPr>
            <w:tcW w:w="1417" w:type="dxa"/>
            <w:vAlign w:val="center"/>
          </w:tcPr>
          <w:p w14:paraId="1BC8ECBF" w14:textId="77777777" w:rsidR="00254C3A" w:rsidRDefault="00254C3A" w:rsidP="00254C3A">
            <w:pPr>
              <w:spacing w:line="300" w:lineRule="atLeast"/>
              <w:jc w:val="center"/>
              <w:rPr>
                <w:rFonts w:ascii="Arial" w:hAnsi="Arial" w:cs="Arial"/>
                <w:sz w:val="16"/>
                <w:szCs w:val="16"/>
              </w:rPr>
            </w:pPr>
            <w:r>
              <w:rPr>
                <w:rFonts w:ascii="Arial" w:hAnsi="Arial" w:cs="Arial"/>
                <w:sz w:val="16"/>
                <w:szCs w:val="16"/>
              </w:rPr>
              <w:t>11,204</w:t>
            </w:r>
          </w:p>
        </w:tc>
        <w:tc>
          <w:tcPr>
            <w:tcW w:w="1560" w:type="dxa"/>
          </w:tcPr>
          <w:p w14:paraId="062F22CC" w14:textId="77777777" w:rsidR="00254C3A" w:rsidRDefault="00254C3A" w:rsidP="00254C3A">
            <w:pPr>
              <w:spacing w:line="300" w:lineRule="atLeast"/>
              <w:jc w:val="center"/>
              <w:rPr>
                <w:rFonts w:ascii="Arial" w:hAnsi="Arial" w:cs="Arial"/>
                <w:sz w:val="16"/>
                <w:szCs w:val="16"/>
              </w:rPr>
            </w:pPr>
            <w:r>
              <w:rPr>
                <w:rFonts w:ascii="Arial" w:hAnsi="Arial" w:cs="Arial"/>
                <w:sz w:val="16"/>
                <w:szCs w:val="16"/>
              </w:rPr>
              <w:t>1 - 4</w:t>
            </w:r>
          </w:p>
        </w:tc>
        <w:tc>
          <w:tcPr>
            <w:tcW w:w="1701" w:type="dxa"/>
            <w:vAlign w:val="center"/>
          </w:tcPr>
          <w:p w14:paraId="5956A38E" w14:textId="2272A195" w:rsidR="00254C3A" w:rsidRDefault="00254C3A" w:rsidP="00254C3A">
            <w:pPr>
              <w:spacing w:line="300" w:lineRule="atLeast"/>
              <w:jc w:val="center"/>
              <w:rPr>
                <w:rFonts w:ascii="Arial" w:hAnsi="Arial" w:cs="Arial"/>
                <w:sz w:val="16"/>
                <w:szCs w:val="16"/>
              </w:rPr>
            </w:pPr>
            <w:r>
              <w:rPr>
                <w:rFonts w:ascii="Arial" w:hAnsi="Arial" w:cs="Arial"/>
                <w:sz w:val="16"/>
                <w:szCs w:val="16"/>
              </w:rPr>
              <w:t xml:space="preserve">11.2 – 44.8 </w:t>
            </w:r>
            <w:r w:rsidR="00826087">
              <w:rPr>
                <w:rFonts w:ascii="Arial" w:hAnsi="Arial" w:cs="Arial"/>
                <w:sz w:val="16"/>
                <w:szCs w:val="16"/>
              </w:rPr>
              <w:br/>
            </w:r>
            <w:r>
              <w:rPr>
                <w:rFonts w:ascii="Arial" w:hAnsi="Arial" w:cs="Arial"/>
                <w:sz w:val="16"/>
                <w:szCs w:val="16"/>
              </w:rPr>
              <w:t>(28.0)</w:t>
            </w:r>
          </w:p>
        </w:tc>
        <w:tc>
          <w:tcPr>
            <w:tcW w:w="1559" w:type="dxa"/>
            <w:vAlign w:val="center"/>
          </w:tcPr>
          <w:p w14:paraId="6BCD684F" w14:textId="77777777" w:rsidR="00254C3A" w:rsidRDefault="00254C3A" w:rsidP="00254C3A">
            <w:pPr>
              <w:spacing w:line="300" w:lineRule="atLeast"/>
              <w:jc w:val="center"/>
              <w:rPr>
                <w:rFonts w:ascii="Arial" w:hAnsi="Arial" w:cs="Arial"/>
                <w:sz w:val="16"/>
                <w:szCs w:val="16"/>
              </w:rPr>
            </w:pPr>
          </w:p>
        </w:tc>
        <w:tc>
          <w:tcPr>
            <w:tcW w:w="1524" w:type="dxa"/>
            <w:vAlign w:val="center"/>
          </w:tcPr>
          <w:p w14:paraId="422783DA" w14:textId="240021DB" w:rsidR="00254C3A" w:rsidRDefault="00254C3A" w:rsidP="00254C3A">
            <w:pPr>
              <w:spacing w:line="300" w:lineRule="atLeast"/>
              <w:jc w:val="center"/>
              <w:rPr>
                <w:rFonts w:ascii="Arial" w:hAnsi="Arial" w:cs="Arial"/>
                <w:sz w:val="16"/>
                <w:szCs w:val="16"/>
              </w:rPr>
            </w:pPr>
            <w:r>
              <w:rPr>
                <w:rFonts w:ascii="Arial" w:hAnsi="Arial" w:cs="Arial"/>
                <w:sz w:val="16"/>
                <w:szCs w:val="16"/>
              </w:rPr>
              <w:t xml:space="preserve">11.2 – 44.8 </w:t>
            </w:r>
            <w:r w:rsidR="00826087">
              <w:rPr>
                <w:rFonts w:ascii="Arial" w:hAnsi="Arial" w:cs="Arial"/>
                <w:sz w:val="16"/>
                <w:szCs w:val="16"/>
              </w:rPr>
              <w:br/>
            </w:r>
            <w:r>
              <w:rPr>
                <w:rFonts w:ascii="Arial" w:hAnsi="Arial" w:cs="Arial"/>
                <w:sz w:val="16"/>
                <w:szCs w:val="16"/>
              </w:rPr>
              <w:t>(28.0)</w:t>
            </w:r>
          </w:p>
        </w:tc>
      </w:tr>
    </w:tbl>
    <w:p w14:paraId="17544876" w14:textId="77777777" w:rsidR="000937A5" w:rsidRPr="00BE17CF" w:rsidRDefault="000937A5" w:rsidP="000937A5">
      <w:pPr>
        <w:tabs>
          <w:tab w:val="left" w:pos="2760"/>
        </w:tabs>
        <w:spacing w:before="120" w:line="300" w:lineRule="atLeast"/>
        <w:jc w:val="both"/>
        <w:rPr>
          <w:rFonts w:ascii="Arial" w:hAnsi="Arial" w:cs="Arial"/>
          <w:b/>
          <w:szCs w:val="18"/>
        </w:rPr>
      </w:pPr>
      <w:r w:rsidRPr="00BE17CF">
        <w:rPr>
          <w:rFonts w:ascii="Arial" w:hAnsi="Arial" w:cs="Arial"/>
          <w:b/>
          <w:szCs w:val="18"/>
        </w:rPr>
        <w:lastRenderedPageBreak/>
        <w:t>Certainty assessment</w:t>
      </w:r>
    </w:p>
    <w:p w14:paraId="176C88B3" w14:textId="77777777" w:rsidR="000937A5" w:rsidRDefault="000937A5" w:rsidP="000937A5">
      <w:pPr>
        <w:tabs>
          <w:tab w:val="left" w:pos="1701"/>
        </w:tabs>
        <w:spacing w:line="300" w:lineRule="atLeast"/>
        <w:jc w:val="both"/>
        <w:rPr>
          <w:szCs w:val="18"/>
        </w:rPr>
      </w:pPr>
      <w:r>
        <w:rPr>
          <w:szCs w:val="18"/>
        </w:rPr>
        <w:t xml:space="preserve">Activity data: </w:t>
      </w:r>
      <w:r>
        <w:rPr>
          <w:szCs w:val="18"/>
        </w:rPr>
        <w:tab/>
      </w:r>
      <w:r w:rsidR="003B00C0">
        <w:rPr>
          <w:szCs w:val="18"/>
        </w:rPr>
        <w:t>MEDIUM</w:t>
      </w:r>
      <w:r>
        <w:rPr>
          <w:szCs w:val="18"/>
        </w:rPr>
        <w:t xml:space="preserve"> (because it was based on </w:t>
      </w:r>
      <w:r w:rsidR="003B00C0">
        <w:rPr>
          <w:szCs w:val="18"/>
        </w:rPr>
        <w:t>national</w:t>
      </w:r>
      <w:r>
        <w:rPr>
          <w:szCs w:val="18"/>
        </w:rPr>
        <w:t xml:space="preserve"> data</w:t>
      </w:r>
      <w:r w:rsidR="003B00C0">
        <w:rPr>
          <w:szCs w:val="18"/>
        </w:rPr>
        <w:t>, but with some uncertainties</w:t>
      </w:r>
      <w:r>
        <w:rPr>
          <w:szCs w:val="18"/>
        </w:rPr>
        <w:t>)</w:t>
      </w:r>
    </w:p>
    <w:p w14:paraId="39C4F1FD" w14:textId="77777777" w:rsidR="000937A5" w:rsidRDefault="000937A5" w:rsidP="000937A5">
      <w:pPr>
        <w:tabs>
          <w:tab w:val="left" w:pos="1701"/>
        </w:tabs>
        <w:spacing w:line="300" w:lineRule="atLeast"/>
        <w:jc w:val="both"/>
        <w:rPr>
          <w:szCs w:val="18"/>
        </w:rPr>
      </w:pPr>
      <w:r>
        <w:rPr>
          <w:szCs w:val="18"/>
        </w:rPr>
        <w:t xml:space="preserve">Input estimates: </w:t>
      </w:r>
      <w:r>
        <w:rPr>
          <w:szCs w:val="18"/>
        </w:rPr>
        <w:tab/>
        <w:t>LOW (</w:t>
      </w:r>
      <w:r w:rsidRPr="00944DCC">
        <w:rPr>
          <w:szCs w:val="18"/>
        </w:rPr>
        <w:t xml:space="preserve">because </w:t>
      </w:r>
      <w:r>
        <w:rPr>
          <w:szCs w:val="18"/>
        </w:rPr>
        <w:t xml:space="preserve">it was </w:t>
      </w:r>
      <w:r w:rsidR="003B00C0">
        <w:rPr>
          <w:szCs w:val="18"/>
        </w:rPr>
        <w:t>based on the Toolkit default factors</w:t>
      </w:r>
      <w:r>
        <w:rPr>
          <w:szCs w:val="18"/>
        </w:rPr>
        <w:t>)</w:t>
      </w:r>
    </w:p>
    <w:p w14:paraId="53844685" w14:textId="77777777" w:rsidR="000937A5" w:rsidRPr="0028681C" w:rsidRDefault="000937A5" w:rsidP="003B00C0">
      <w:pPr>
        <w:tabs>
          <w:tab w:val="left" w:pos="1701"/>
        </w:tabs>
        <w:spacing w:line="300" w:lineRule="atLeast"/>
        <w:ind w:left="1701" w:hanging="1701"/>
        <w:jc w:val="both"/>
        <w:rPr>
          <w:szCs w:val="18"/>
        </w:rPr>
      </w:pPr>
      <w:r>
        <w:rPr>
          <w:szCs w:val="18"/>
        </w:rPr>
        <w:t xml:space="preserve">Output estimates: </w:t>
      </w:r>
      <w:r>
        <w:rPr>
          <w:szCs w:val="18"/>
        </w:rPr>
        <w:tab/>
        <w:t>MEDIUM (</w:t>
      </w:r>
      <w:r w:rsidRPr="00944DCC">
        <w:rPr>
          <w:szCs w:val="18"/>
        </w:rPr>
        <w:t xml:space="preserve">because the </w:t>
      </w:r>
      <w:r>
        <w:rPr>
          <w:szCs w:val="18"/>
        </w:rPr>
        <w:t>air</w:t>
      </w:r>
      <w:r w:rsidR="003B00C0">
        <w:rPr>
          <w:szCs w:val="18"/>
        </w:rPr>
        <w:t>/land distribution is quite clear-cut. The only uncertainty is in the small amounts of mercury that may be present in crematoria ash</w:t>
      </w:r>
      <w:r>
        <w:rPr>
          <w:szCs w:val="18"/>
        </w:rPr>
        <w:t>).</w:t>
      </w:r>
    </w:p>
    <w:p w14:paraId="1492491E" w14:textId="77777777" w:rsidR="00FE6C76" w:rsidRDefault="00FE6C76" w:rsidP="008B1EB8">
      <w:pPr>
        <w:spacing w:after="0"/>
        <w:rPr>
          <w:rFonts w:ascii="Arial" w:hAnsi="Arial" w:cs="Arial"/>
          <w:b/>
          <w:szCs w:val="18"/>
        </w:rPr>
      </w:pPr>
    </w:p>
    <w:p w14:paraId="4B0BAD7C" w14:textId="77777777" w:rsidR="00784BAE" w:rsidRPr="00B136BC" w:rsidRDefault="00784BAE" w:rsidP="00784BAE">
      <w:pPr>
        <w:pStyle w:val="Heading2"/>
        <w:rPr>
          <w:rFonts w:eastAsia="Calibri"/>
        </w:rPr>
      </w:pPr>
      <w:bookmarkStart w:id="172" w:name="_Toc484949629"/>
      <w:r w:rsidRPr="00B136BC">
        <w:rPr>
          <w:rFonts w:eastAsia="Calibri"/>
        </w:rPr>
        <w:t>Summary for this category</w:t>
      </w:r>
      <w:bookmarkEnd w:id="172"/>
      <w:r w:rsidRPr="00B136BC">
        <w:rPr>
          <w:rFonts w:eastAsia="Calibri"/>
        </w:rPr>
        <w:t xml:space="preserve"> </w:t>
      </w:r>
    </w:p>
    <w:p w14:paraId="1A0B409F" w14:textId="0AB1F7C8" w:rsidR="00784BAE" w:rsidRDefault="00784BAE" w:rsidP="00784BAE">
      <w:pPr>
        <w:spacing w:line="300" w:lineRule="atLeast"/>
        <w:jc w:val="both"/>
        <w:rPr>
          <w:rFonts w:eastAsia="Calibri"/>
          <w:szCs w:val="22"/>
        </w:rPr>
      </w:pPr>
      <w:r>
        <w:rPr>
          <w:rFonts w:eastAsia="Calibri"/>
          <w:szCs w:val="22"/>
        </w:rPr>
        <w:t xml:space="preserve">The estimated inputs and outputs for crematoria and cemeteries are summarised in </w:t>
      </w:r>
      <w:r w:rsidRPr="00CA5553">
        <w:rPr>
          <w:rFonts w:eastAsia="Calibri"/>
          <w:szCs w:val="22"/>
        </w:rPr>
        <w:fldChar w:fldCharType="begin"/>
      </w:r>
      <w:r w:rsidRPr="00AC3856">
        <w:rPr>
          <w:rFonts w:eastAsia="Calibri"/>
          <w:szCs w:val="22"/>
        </w:rPr>
        <w:instrText xml:space="preserve"> REF _Ref358560109 \h </w:instrText>
      </w:r>
      <w:r w:rsidR="00AC3856">
        <w:rPr>
          <w:rFonts w:eastAsia="Calibri"/>
          <w:szCs w:val="22"/>
        </w:rPr>
        <w:instrText xml:space="preserve"> \* MERGEFORMAT </w:instrText>
      </w:r>
      <w:r w:rsidRPr="00CA5553">
        <w:rPr>
          <w:rFonts w:eastAsia="Calibri"/>
          <w:szCs w:val="22"/>
        </w:rPr>
      </w:r>
      <w:r w:rsidRPr="00CA5553">
        <w:rPr>
          <w:rFonts w:eastAsia="Calibri"/>
          <w:szCs w:val="22"/>
        </w:rPr>
        <w:fldChar w:fldCharType="separate"/>
      </w:r>
      <w:r w:rsidR="00423FC9" w:rsidRPr="00423FC9">
        <w:t xml:space="preserve">Table </w:t>
      </w:r>
      <w:r w:rsidR="00423FC9" w:rsidRPr="00423FC9">
        <w:rPr>
          <w:noProof/>
        </w:rPr>
        <w:t>12</w:t>
      </w:r>
      <w:r w:rsidR="00423FC9" w:rsidRPr="00423FC9">
        <w:rPr>
          <w:noProof/>
        </w:rPr>
        <w:noBreakHyphen/>
        <w:t>3</w:t>
      </w:r>
      <w:r w:rsidRPr="00CA5553">
        <w:rPr>
          <w:rFonts w:eastAsia="Calibri"/>
          <w:szCs w:val="22"/>
        </w:rPr>
        <w:fldChar w:fldCharType="end"/>
      </w:r>
      <w:r>
        <w:rPr>
          <w:rFonts w:eastAsia="Calibri"/>
          <w:szCs w:val="22"/>
        </w:rPr>
        <w:t>.</w:t>
      </w:r>
    </w:p>
    <w:p w14:paraId="3CBACDAF" w14:textId="77777777" w:rsidR="00784BAE" w:rsidRPr="007901FE" w:rsidRDefault="00784BAE" w:rsidP="00784BAE">
      <w:pPr>
        <w:pStyle w:val="Caption"/>
        <w:rPr>
          <w:rFonts w:ascii="Arial" w:hAnsi="Arial" w:cs="Arial"/>
          <w:szCs w:val="18"/>
        </w:rPr>
      </w:pPr>
      <w:bookmarkStart w:id="173" w:name="_Ref358560109"/>
      <w:bookmarkStart w:id="174" w:name="_Toc484949678"/>
      <w:r w:rsidRPr="00FE6C76">
        <w:rPr>
          <w:rFonts w:ascii="Arial" w:hAnsi="Arial" w:cs="Arial"/>
        </w:rPr>
        <w:t xml:space="preserve">Table </w:t>
      </w:r>
      <w:r w:rsidR="00390C9F">
        <w:rPr>
          <w:rFonts w:ascii="Arial" w:hAnsi="Arial" w:cs="Arial"/>
        </w:rPr>
        <w:fldChar w:fldCharType="begin"/>
      </w:r>
      <w:r w:rsidR="00390C9F">
        <w:rPr>
          <w:rFonts w:ascii="Arial" w:hAnsi="Arial" w:cs="Arial"/>
        </w:rPr>
        <w:instrText xml:space="preserve"> STYLEREF 1 \s </w:instrText>
      </w:r>
      <w:r w:rsidR="00390C9F">
        <w:rPr>
          <w:rFonts w:ascii="Arial" w:hAnsi="Arial" w:cs="Arial"/>
        </w:rPr>
        <w:fldChar w:fldCharType="separate"/>
      </w:r>
      <w:r w:rsidR="00423FC9">
        <w:rPr>
          <w:rFonts w:ascii="Arial" w:hAnsi="Arial" w:cs="Arial"/>
          <w:noProof/>
        </w:rPr>
        <w:t>12</w:t>
      </w:r>
      <w:r w:rsidR="00390C9F">
        <w:rPr>
          <w:rFonts w:ascii="Arial" w:hAnsi="Arial" w:cs="Arial"/>
        </w:rPr>
        <w:fldChar w:fldCharType="end"/>
      </w:r>
      <w:r w:rsidR="00390C9F">
        <w:rPr>
          <w:rFonts w:ascii="Arial" w:hAnsi="Arial" w:cs="Arial"/>
        </w:rPr>
        <w:noBreakHyphen/>
      </w:r>
      <w:r w:rsidR="00390C9F">
        <w:rPr>
          <w:rFonts w:ascii="Arial" w:hAnsi="Arial" w:cs="Arial"/>
        </w:rPr>
        <w:fldChar w:fldCharType="begin"/>
      </w:r>
      <w:r w:rsidR="00390C9F">
        <w:rPr>
          <w:rFonts w:ascii="Arial" w:hAnsi="Arial" w:cs="Arial"/>
        </w:rPr>
        <w:instrText xml:space="preserve"> SEQ Table \* ARABIC \s 1 </w:instrText>
      </w:r>
      <w:r w:rsidR="00390C9F">
        <w:rPr>
          <w:rFonts w:ascii="Arial" w:hAnsi="Arial" w:cs="Arial"/>
        </w:rPr>
        <w:fldChar w:fldCharType="separate"/>
      </w:r>
      <w:r w:rsidR="00423FC9">
        <w:rPr>
          <w:rFonts w:ascii="Arial" w:hAnsi="Arial" w:cs="Arial"/>
          <w:noProof/>
        </w:rPr>
        <w:t>3</w:t>
      </w:r>
      <w:r w:rsidR="00390C9F">
        <w:rPr>
          <w:rFonts w:ascii="Arial" w:hAnsi="Arial" w:cs="Arial"/>
        </w:rPr>
        <w:fldChar w:fldCharType="end"/>
      </w:r>
      <w:bookmarkEnd w:id="173"/>
      <w:r w:rsidRPr="00FE6C76">
        <w:rPr>
          <w:rFonts w:ascii="Arial" w:hAnsi="Arial" w:cs="Arial"/>
        </w:rPr>
        <w:t>:</w:t>
      </w:r>
      <w:r w:rsidRPr="007901FE">
        <w:rPr>
          <w:rFonts w:ascii="Arial" w:hAnsi="Arial" w:cs="Arial"/>
        </w:rPr>
        <w:t xml:space="preserve"> Summary of inputs and o</w:t>
      </w:r>
      <w:r>
        <w:rPr>
          <w:rFonts w:ascii="Arial" w:hAnsi="Arial" w:cs="Arial"/>
        </w:rPr>
        <w:t>utputs for crematoria and cemeteries</w:t>
      </w:r>
      <w:r w:rsidR="00DD2A8C">
        <w:rPr>
          <w:rFonts w:ascii="Arial" w:hAnsi="Arial" w:cs="Arial"/>
        </w:rPr>
        <w:t xml:space="preserve"> for 2016</w:t>
      </w:r>
      <w:bookmarkEnd w:id="174"/>
    </w:p>
    <w:tbl>
      <w:tblPr>
        <w:tblStyle w:val="TableGrid"/>
        <w:tblW w:w="9214" w:type="dxa"/>
        <w:tblInd w:w="108" w:type="dxa"/>
        <w:tblLook w:val="04A0" w:firstRow="1" w:lastRow="0" w:firstColumn="1" w:lastColumn="0" w:noHBand="0" w:noVBand="1"/>
      </w:tblPr>
      <w:tblGrid>
        <w:gridCol w:w="1560"/>
        <w:gridCol w:w="1701"/>
        <w:gridCol w:w="1559"/>
        <w:gridCol w:w="992"/>
        <w:gridCol w:w="1559"/>
        <w:gridCol w:w="993"/>
        <w:gridCol w:w="850"/>
      </w:tblGrid>
      <w:tr w:rsidR="00784BAE" w:rsidRPr="007901FE" w14:paraId="5322DC3B" w14:textId="77777777" w:rsidTr="008B046D">
        <w:tc>
          <w:tcPr>
            <w:tcW w:w="1560" w:type="dxa"/>
            <w:vMerge w:val="restart"/>
            <w:vAlign w:val="center"/>
          </w:tcPr>
          <w:p w14:paraId="657175B5" w14:textId="77777777" w:rsidR="00784BAE" w:rsidRPr="004E3E02" w:rsidRDefault="00784BAE" w:rsidP="00676490">
            <w:pPr>
              <w:spacing w:line="300" w:lineRule="atLeast"/>
              <w:rPr>
                <w:rFonts w:ascii="Arial" w:hAnsi="Arial" w:cs="Arial"/>
                <w:b/>
                <w:sz w:val="16"/>
                <w:szCs w:val="16"/>
              </w:rPr>
            </w:pPr>
            <w:r w:rsidRPr="004E3E02">
              <w:rPr>
                <w:rFonts w:ascii="Arial" w:hAnsi="Arial" w:cs="Arial"/>
                <w:b/>
                <w:sz w:val="16"/>
                <w:szCs w:val="16"/>
              </w:rPr>
              <w:t>Category</w:t>
            </w:r>
          </w:p>
        </w:tc>
        <w:tc>
          <w:tcPr>
            <w:tcW w:w="1701" w:type="dxa"/>
            <w:vMerge w:val="restart"/>
            <w:vAlign w:val="center"/>
          </w:tcPr>
          <w:p w14:paraId="4CBD975D" w14:textId="77777777" w:rsidR="00784BAE" w:rsidRPr="004E3E02" w:rsidRDefault="00784BAE" w:rsidP="00676490">
            <w:pPr>
              <w:spacing w:line="300" w:lineRule="atLeast"/>
              <w:jc w:val="center"/>
              <w:rPr>
                <w:rFonts w:ascii="Arial" w:hAnsi="Arial" w:cs="Arial"/>
                <w:b/>
                <w:sz w:val="16"/>
                <w:szCs w:val="16"/>
              </w:rPr>
            </w:pPr>
            <w:r w:rsidRPr="004E3E02">
              <w:rPr>
                <w:rFonts w:ascii="Arial" w:hAnsi="Arial" w:cs="Arial"/>
                <w:b/>
                <w:sz w:val="16"/>
                <w:szCs w:val="16"/>
              </w:rPr>
              <w:t>Mercury Inputs, kg/year</w:t>
            </w:r>
          </w:p>
        </w:tc>
        <w:tc>
          <w:tcPr>
            <w:tcW w:w="5953" w:type="dxa"/>
            <w:gridSpan w:val="5"/>
            <w:vAlign w:val="center"/>
          </w:tcPr>
          <w:p w14:paraId="2064B93B" w14:textId="77777777" w:rsidR="00784BAE" w:rsidRPr="004E3E02" w:rsidRDefault="00784BAE" w:rsidP="00676490">
            <w:pPr>
              <w:spacing w:line="300" w:lineRule="atLeast"/>
              <w:jc w:val="center"/>
              <w:rPr>
                <w:rFonts w:ascii="Arial" w:hAnsi="Arial" w:cs="Arial"/>
                <w:b/>
                <w:sz w:val="16"/>
                <w:szCs w:val="16"/>
              </w:rPr>
            </w:pPr>
            <w:r w:rsidRPr="004E3E02">
              <w:rPr>
                <w:rFonts w:ascii="Arial" w:hAnsi="Arial" w:cs="Arial"/>
                <w:b/>
                <w:sz w:val="16"/>
                <w:szCs w:val="16"/>
              </w:rPr>
              <w:t>Mercury Outputs, kg/</w:t>
            </w:r>
            <w:proofErr w:type="spellStart"/>
            <w:r w:rsidRPr="004E3E02">
              <w:rPr>
                <w:rFonts w:ascii="Arial" w:hAnsi="Arial" w:cs="Arial"/>
                <w:b/>
                <w:sz w:val="16"/>
                <w:szCs w:val="16"/>
              </w:rPr>
              <w:t>yr</w:t>
            </w:r>
            <w:proofErr w:type="spellEnd"/>
          </w:p>
        </w:tc>
      </w:tr>
      <w:tr w:rsidR="00784BAE" w:rsidRPr="007901FE" w14:paraId="3964A072" w14:textId="77777777" w:rsidTr="008B046D">
        <w:tc>
          <w:tcPr>
            <w:tcW w:w="1560" w:type="dxa"/>
            <w:vMerge/>
            <w:vAlign w:val="center"/>
          </w:tcPr>
          <w:p w14:paraId="7B67AE6E" w14:textId="77777777" w:rsidR="00784BAE" w:rsidRPr="004E3E02" w:rsidRDefault="00784BAE" w:rsidP="00676490">
            <w:pPr>
              <w:spacing w:line="300" w:lineRule="atLeast"/>
              <w:rPr>
                <w:rFonts w:ascii="Arial" w:hAnsi="Arial" w:cs="Arial"/>
                <w:b/>
                <w:sz w:val="16"/>
                <w:szCs w:val="16"/>
              </w:rPr>
            </w:pPr>
          </w:p>
        </w:tc>
        <w:tc>
          <w:tcPr>
            <w:tcW w:w="1701" w:type="dxa"/>
            <w:vMerge/>
          </w:tcPr>
          <w:p w14:paraId="539B9A7C" w14:textId="77777777" w:rsidR="00784BAE" w:rsidRPr="004E3E02" w:rsidRDefault="00784BAE" w:rsidP="00676490">
            <w:pPr>
              <w:spacing w:line="300" w:lineRule="atLeast"/>
              <w:jc w:val="both"/>
              <w:rPr>
                <w:rFonts w:ascii="Arial" w:hAnsi="Arial" w:cs="Arial"/>
                <w:b/>
                <w:sz w:val="16"/>
                <w:szCs w:val="16"/>
              </w:rPr>
            </w:pPr>
          </w:p>
        </w:tc>
        <w:tc>
          <w:tcPr>
            <w:tcW w:w="1559" w:type="dxa"/>
            <w:vAlign w:val="center"/>
          </w:tcPr>
          <w:p w14:paraId="13826FE0" w14:textId="77777777" w:rsidR="00784BAE" w:rsidRPr="004E3E02" w:rsidRDefault="00784BAE" w:rsidP="00676490">
            <w:pPr>
              <w:spacing w:line="300" w:lineRule="atLeast"/>
              <w:jc w:val="center"/>
              <w:rPr>
                <w:rFonts w:ascii="Arial" w:hAnsi="Arial" w:cs="Arial"/>
                <w:b/>
                <w:sz w:val="16"/>
                <w:szCs w:val="16"/>
              </w:rPr>
            </w:pPr>
            <w:r w:rsidRPr="004E3E02">
              <w:rPr>
                <w:rFonts w:ascii="Arial" w:hAnsi="Arial" w:cs="Arial"/>
                <w:b/>
                <w:sz w:val="16"/>
                <w:szCs w:val="16"/>
              </w:rPr>
              <w:t>Air</w:t>
            </w:r>
          </w:p>
        </w:tc>
        <w:tc>
          <w:tcPr>
            <w:tcW w:w="992" w:type="dxa"/>
            <w:vAlign w:val="center"/>
          </w:tcPr>
          <w:p w14:paraId="0E0A9C46" w14:textId="77777777" w:rsidR="00784BAE" w:rsidRPr="004E3E02" w:rsidRDefault="00784BAE" w:rsidP="00676490">
            <w:pPr>
              <w:spacing w:line="300" w:lineRule="atLeast"/>
              <w:jc w:val="center"/>
              <w:rPr>
                <w:rFonts w:ascii="Arial" w:hAnsi="Arial" w:cs="Arial"/>
                <w:b/>
                <w:sz w:val="16"/>
                <w:szCs w:val="16"/>
              </w:rPr>
            </w:pPr>
            <w:r w:rsidRPr="004E3E02">
              <w:rPr>
                <w:rFonts w:ascii="Arial" w:hAnsi="Arial" w:cs="Arial"/>
                <w:b/>
                <w:sz w:val="16"/>
                <w:szCs w:val="16"/>
              </w:rPr>
              <w:t>Water</w:t>
            </w:r>
          </w:p>
        </w:tc>
        <w:tc>
          <w:tcPr>
            <w:tcW w:w="1559" w:type="dxa"/>
            <w:vAlign w:val="center"/>
          </w:tcPr>
          <w:p w14:paraId="4819F03D" w14:textId="77777777" w:rsidR="00784BAE" w:rsidRPr="004E3E02" w:rsidRDefault="00784BAE" w:rsidP="00676490">
            <w:pPr>
              <w:spacing w:line="300" w:lineRule="atLeast"/>
              <w:jc w:val="center"/>
              <w:rPr>
                <w:rFonts w:ascii="Arial" w:hAnsi="Arial" w:cs="Arial"/>
                <w:b/>
                <w:sz w:val="16"/>
                <w:szCs w:val="16"/>
              </w:rPr>
            </w:pPr>
            <w:r w:rsidRPr="004E3E02">
              <w:rPr>
                <w:rFonts w:ascii="Arial" w:hAnsi="Arial" w:cs="Arial"/>
                <w:b/>
                <w:sz w:val="16"/>
                <w:szCs w:val="16"/>
              </w:rPr>
              <w:t>Land</w:t>
            </w:r>
          </w:p>
        </w:tc>
        <w:tc>
          <w:tcPr>
            <w:tcW w:w="993" w:type="dxa"/>
            <w:vAlign w:val="center"/>
          </w:tcPr>
          <w:p w14:paraId="26222097" w14:textId="77777777" w:rsidR="00784BAE" w:rsidRPr="004E3E02" w:rsidRDefault="00784BAE" w:rsidP="00676490">
            <w:pPr>
              <w:spacing w:line="300" w:lineRule="atLeast"/>
              <w:jc w:val="center"/>
              <w:rPr>
                <w:rFonts w:ascii="Arial" w:hAnsi="Arial" w:cs="Arial"/>
                <w:b/>
                <w:sz w:val="16"/>
                <w:szCs w:val="16"/>
              </w:rPr>
            </w:pPr>
            <w:r w:rsidRPr="004E3E02">
              <w:rPr>
                <w:rFonts w:ascii="Arial" w:hAnsi="Arial" w:cs="Arial"/>
                <w:b/>
                <w:sz w:val="16"/>
                <w:szCs w:val="16"/>
              </w:rPr>
              <w:t>Product</w:t>
            </w:r>
          </w:p>
        </w:tc>
        <w:tc>
          <w:tcPr>
            <w:tcW w:w="850" w:type="dxa"/>
            <w:vAlign w:val="center"/>
          </w:tcPr>
          <w:p w14:paraId="0648FED3" w14:textId="77777777" w:rsidR="00784BAE" w:rsidRPr="004E3E02" w:rsidRDefault="00784BAE" w:rsidP="00676490">
            <w:pPr>
              <w:spacing w:line="300" w:lineRule="atLeast"/>
              <w:jc w:val="center"/>
              <w:rPr>
                <w:rFonts w:ascii="Arial" w:hAnsi="Arial" w:cs="Arial"/>
                <w:b/>
                <w:sz w:val="16"/>
                <w:szCs w:val="16"/>
              </w:rPr>
            </w:pPr>
            <w:r w:rsidRPr="004E3E02">
              <w:rPr>
                <w:rFonts w:ascii="Arial" w:hAnsi="Arial" w:cs="Arial"/>
                <w:b/>
                <w:sz w:val="16"/>
                <w:szCs w:val="16"/>
              </w:rPr>
              <w:t>Waste</w:t>
            </w:r>
          </w:p>
        </w:tc>
      </w:tr>
      <w:tr w:rsidR="00254C3A" w:rsidRPr="007901FE" w14:paraId="5B2428EC" w14:textId="77777777" w:rsidTr="005F6C50">
        <w:tc>
          <w:tcPr>
            <w:tcW w:w="1560" w:type="dxa"/>
            <w:vAlign w:val="center"/>
          </w:tcPr>
          <w:p w14:paraId="646C0D4E" w14:textId="77777777" w:rsidR="00254C3A" w:rsidRPr="004901F2" w:rsidRDefault="00254C3A" w:rsidP="00254C3A">
            <w:pPr>
              <w:spacing w:line="300" w:lineRule="atLeast"/>
              <w:rPr>
                <w:rFonts w:ascii="Arial" w:hAnsi="Arial" w:cs="Arial"/>
                <w:sz w:val="16"/>
                <w:szCs w:val="16"/>
              </w:rPr>
            </w:pPr>
            <w:r>
              <w:rPr>
                <w:rFonts w:ascii="Arial" w:hAnsi="Arial" w:cs="Arial"/>
                <w:sz w:val="16"/>
                <w:szCs w:val="16"/>
              </w:rPr>
              <w:t>Crematoria</w:t>
            </w:r>
          </w:p>
        </w:tc>
        <w:tc>
          <w:tcPr>
            <w:tcW w:w="1701" w:type="dxa"/>
            <w:vAlign w:val="center"/>
          </w:tcPr>
          <w:p w14:paraId="204745A6" w14:textId="341FA27B" w:rsidR="00254C3A" w:rsidRDefault="00254C3A" w:rsidP="005F6C50">
            <w:pPr>
              <w:spacing w:line="300" w:lineRule="atLeast"/>
              <w:jc w:val="center"/>
            </w:pPr>
            <w:r w:rsidRPr="0075593A">
              <w:rPr>
                <w:rFonts w:ascii="Arial" w:hAnsi="Arial" w:cs="Arial"/>
                <w:sz w:val="16"/>
                <w:szCs w:val="16"/>
              </w:rPr>
              <w:t xml:space="preserve">20.1 – 80.5 </w:t>
            </w:r>
            <w:r w:rsidR="00826087">
              <w:rPr>
                <w:rFonts w:ascii="Arial" w:hAnsi="Arial" w:cs="Arial"/>
                <w:sz w:val="16"/>
                <w:szCs w:val="16"/>
              </w:rPr>
              <w:br/>
            </w:r>
            <w:r w:rsidRPr="0075593A">
              <w:rPr>
                <w:rFonts w:ascii="Arial" w:hAnsi="Arial" w:cs="Arial"/>
                <w:sz w:val="16"/>
                <w:szCs w:val="16"/>
              </w:rPr>
              <w:t>(50.3)</w:t>
            </w:r>
          </w:p>
        </w:tc>
        <w:tc>
          <w:tcPr>
            <w:tcW w:w="1559" w:type="dxa"/>
            <w:vAlign w:val="center"/>
          </w:tcPr>
          <w:p w14:paraId="6947C2C0" w14:textId="3CA90CF2" w:rsidR="00254C3A" w:rsidRDefault="00254C3A" w:rsidP="005F6C50">
            <w:pPr>
              <w:spacing w:line="300" w:lineRule="atLeast"/>
              <w:jc w:val="center"/>
            </w:pPr>
            <w:r w:rsidRPr="0075593A">
              <w:rPr>
                <w:rFonts w:ascii="Arial" w:hAnsi="Arial" w:cs="Arial"/>
                <w:sz w:val="16"/>
                <w:szCs w:val="16"/>
              </w:rPr>
              <w:t xml:space="preserve">20.1 – 80.5 </w:t>
            </w:r>
            <w:r w:rsidR="00826087">
              <w:rPr>
                <w:rFonts w:ascii="Arial" w:hAnsi="Arial" w:cs="Arial"/>
                <w:sz w:val="16"/>
                <w:szCs w:val="16"/>
              </w:rPr>
              <w:br/>
            </w:r>
            <w:r w:rsidRPr="0075593A">
              <w:rPr>
                <w:rFonts w:ascii="Arial" w:hAnsi="Arial" w:cs="Arial"/>
                <w:sz w:val="16"/>
                <w:szCs w:val="16"/>
              </w:rPr>
              <w:t>(50.3)</w:t>
            </w:r>
          </w:p>
        </w:tc>
        <w:tc>
          <w:tcPr>
            <w:tcW w:w="992" w:type="dxa"/>
            <w:vAlign w:val="center"/>
          </w:tcPr>
          <w:p w14:paraId="01072A9A" w14:textId="77777777" w:rsidR="00254C3A" w:rsidRPr="00F31685" w:rsidRDefault="00254C3A" w:rsidP="00254C3A">
            <w:pPr>
              <w:spacing w:line="300" w:lineRule="atLeast"/>
              <w:jc w:val="center"/>
              <w:rPr>
                <w:rFonts w:ascii="Arial" w:hAnsi="Arial" w:cs="Arial"/>
                <w:sz w:val="16"/>
                <w:szCs w:val="16"/>
              </w:rPr>
            </w:pPr>
            <w:r>
              <w:rPr>
                <w:rFonts w:ascii="Arial" w:hAnsi="Arial" w:cs="Arial"/>
                <w:sz w:val="16"/>
                <w:szCs w:val="16"/>
              </w:rPr>
              <w:t>-</w:t>
            </w:r>
          </w:p>
        </w:tc>
        <w:tc>
          <w:tcPr>
            <w:tcW w:w="1559" w:type="dxa"/>
            <w:vAlign w:val="center"/>
          </w:tcPr>
          <w:p w14:paraId="0AFA0A2D" w14:textId="77777777" w:rsidR="00254C3A" w:rsidRPr="004E3E02" w:rsidRDefault="00254C3A" w:rsidP="00254C3A">
            <w:pPr>
              <w:spacing w:line="300" w:lineRule="atLeast"/>
              <w:jc w:val="center"/>
              <w:rPr>
                <w:rFonts w:ascii="Arial" w:hAnsi="Arial" w:cs="Arial"/>
                <w:sz w:val="16"/>
                <w:szCs w:val="16"/>
              </w:rPr>
            </w:pPr>
            <w:r>
              <w:rPr>
                <w:rFonts w:ascii="Arial" w:hAnsi="Arial" w:cs="Arial"/>
                <w:sz w:val="16"/>
                <w:szCs w:val="16"/>
              </w:rPr>
              <w:t>-</w:t>
            </w:r>
          </w:p>
        </w:tc>
        <w:tc>
          <w:tcPr>
            <w:tcW w:w="993" w:type="dxa"/>
            <w:vAlign w:val="center"/>
          </w:tcPr>
          <w:p w14:paraId="3565049D" w14:textId="77777777" w:rsidR="00254C3A" w:rsidRPr="004E3E02" w:rsidRDefault="00254C3A" w:rsidP="00254C3A">
            <w:pPr>
              <w:spacing w:line="300" w:lineRule="atLeast"/>
              <w:jc w:val="center"/>
              <w:rPr>
                <w:rFonts w:ascii="Arial" w:hAnsi="Arial" w:cs="Arial"/>
                <w:sz w:val="16"/>
                <w:szCs w:val="16"/>
              </w:rPr>
            </w:pPr>
            <w:r>
              <w:rPr>
                <w:rFonts w:ascii="Arial" w:hAnsi="Arial" w:cs="Arial"/>
                <w:sz w:val="16"/>
                <w:szCs w:val="16"/>
              </w:rPr>
              <w:t>-</w:t>
            </w:r>
          </w:p>
        </w:tc>
        <w:tc>
          <w:tcPr>
            <w:tcW w:w="850" w:type="dxa"/>
            <w:vAlign w:val="center"/>
          </w:tcPr>
          <w:p w14:paraId="7F6EDD13" w14:textId="77777777" w:rsidR="00254C3A" w:rsidRPr="004E3E02" w:rsidRDefault="00254C3A" w:rsidP="00254C3A">
            <w:pPr>
              <w:spacing w:line="300" w:lineRule="atLeast"/>
              <w:jc w:val="center"/>
              <w:rPr>
                <w:rFonts w:ascii="Arial" w:hAnsi="Arial" w:cs="Arial"/>
                <w:sz w:val="16"/>
                <w:szCs w:val="16"/>
              </w:rPr>
            </w:pPr>
            <w:r>
              <w:rPr>
                <w:rFonts w:ascii="Arial" w:hAnsi="Arial" w:cs="Arial"/>
                <w:sz w:val="16"/>
                <w:szCs w:val="16"/>
              </w:rPr>
              <w:t>-</w:t>
            </w:r>
          </w:p>
        </w:tc>
      </w:tr>
      <w:tr w:rsidR="003B00C0" w:rsidRPr="007901FE" w14:paraId="1C1308EE" w14:textId="77777777" w:rsidTr="008B046D">
        <w:tc>
          <w:tcPr>
            <w:tcW w:w="1560" w:type="dxa"/>
            <w:vAlign w:val="center"/>
          </w:tcPr>
          <w:p w14:paraId="1542CBDD" w14:textId="77777777" w:rsidR="003B00C0" w:rsidRPr="004901F2" w:rsidRDefault="003B00C0" w:rsidP="00676490">
            <w:pPr>
              <w:spacing w:before="40" w:after="40" w:line="300" w:lineRule="atLeast"/>
              <w:rPr>
                <w:rFonts w:ascii="Arial" w:hAnsi="Arial" w:cs="Arial"/>
                <w:sz w:val="16"/>
                <w:szCs w:val="16"/>
              </w:rPr>
            </w:pPr>
            <w:r>
              <w:rPr>
                <w:rFonts w:ascii="Arial" w:hAnsi="Arial" w:cs="Arial"/>
                <w:sz w:val="16"/>
                <w:szCs w:val="16"/>
              </w:rPr>
              <w:t>Cemeteries</w:t>
            </w:r>
          </w:p>
        </w:tc>
        <w:tc>
          <w:tcPr>
            <w:tcW w:w="1701" w:type="dxa"/>
            <w:vAlign w:val="center"/>
          </w:tcPr>
          <w:p w14:paraId="3E93A6DD" w14:textId="3C626599" w:rsidR="003B00C0" w:rsidRDefault="00254C3A" w:rsidP="009F5AB4">
            <w:pPr>
              <w:spacing w:line="300" w:lineRule="atLeast"/>
              <w:jc w:val="center"/>
              <w:rPr>
                <w:rFonts w:ascii="Arial" w:hAnsi="Arial" w:cs="Arial"/>
                <w:sz w:val="16"/>
                <w:szCs w:val="16"/>
              </w:rPr>
            </w:pPr>
            <w:r>
              <w:rPr>
                <w:rFonts w:ascii="Arial" w:hAnsi="Arial" w:cs="Arial"/>
                <w:sz w:val="16"/>
                <w:szCs w:val="16"/>
              </w:rPr>
              <w:t xml:space="preserve">11.2 – 44.8 </w:t>
            </w:r>
            <w:r w:rsidR="00826087">
              <w:rPr>
                <w:rFonts w:ascii="Arial" w:hAnsi="Arial" w:cs="Arial"/>
                <w:sz w:val="16"/>
                <w:szCs w:val="16"/>
              </w:rPr>
              <w:br/>
            </w:r>
            <w:r>
              <w:rPr>
                <w:rFonts w:ascii="Arial" w:hAnsi="Arial" w:cs="Arial"/>
                <w:sz w:val="16"/>
                <w:szCs w:val="16"/>
              </w:rPr>
              <w:t>(28.0)</w:t>
            </w:r>
          </w:p>
        </w:tc>
        <w:tc>
          <w:tcPr>
            <w:tcW w:w="1559" w:type="dxa"/>
            <w:vAlign w:val="center"/>
          </w:tcPr>
          <w:p w14:paraId="4175545C" w14:textId="77777777" w:rsidR="003B00C0" w:rsidRDefault="003B00C0" w:rsidP="009F5AB4">
            <w:pPr>
              <w:spacing w:line="300" w:lineRule="atLeast"/>
              <w:jc w:val="center"/>
              <w:rPr>
                <w:rFonts w:ascii="Arial" w:hAnsi="Arial" w:cs="Arial"/>
                <w:sz w:val="16"/>
                <w:szCs w:val="16"/>
              </w:rPr>
            </w:pPr>
            <w:r>
              <w:rPr>
                <w:rFonts w:ascii="Arial" w:hAnsi="Arial" w:cs="Arial"/>
                <w:sz w:val="16"/>
                <w:szCs w:val="16"/>
              </w:rPr>
              <w:t>-</w:t>
            </w:r>
          </w:p>
        </w:tc>
        <w:tc>
          <w:tcPr>
            <w:tcW w:w="992" w:type="dxa"/>
            <w:vAlign w:val="center"/>
          </w:tcPr>
          <w:p w14:paraId="4D3232B9" w14:textId="77777777" w:rsidR="003B00C0" w:rsidRDefault="003B00C0" w:rsidP="009F5AB4">
            <w:pPr>
              <w:spacing w:line="300" w:lineRule="atLeast"/>
              <w:jc w:val="center"/>
              <w:rPr>
                <w:rFonts w:ascii="Arial" w:hAnsi="Arial" w:cs="Arial"/>
                <w:sz w:val="16"/>
                <w:szCs w:val="16"/>
              </w:rPr>
            </w:pPr>
            <w:r>
              <w:rPr>
                <w:rFonts w:ascii="Arial" w:hAnsi="Arial" w:cs="Arial"/>
                <w:sz w:val="16"/>
                <w:szCs w:val="16"/>
              </w:rPr>
              <w:t>-</w:t>
            </w:r>
          </w:p>
        </w:tc>
        <w:tc>
          <w:tcPr>
            <w:tcW w:w="1559" w:type="dxa"/>
            <w:vAlign w:val="center"/>
          </w:tcPr>
          <w:p w14:paraId="19D0D33A" w14:textId="44AA1AD9" w:rsidR="003B00C0" w:rsidRPr="004E3E02" w:rsidRDefault="00254C3A" w:rsidP="00826087">
            <w:pPr>
              <w:spacing w:line="300" w:lineRule="atLeast"/>
              <w:jc w:val="center"/>
              <w:rPr>
                <w:rFonts w:ascii="Arial" w:hAnsi="Arial" w:cs="Arial"/>
                <w:sz w:val="16"/>
                <w:szCs w:val="16"/>
              </w:rPr>
            </w:pPr>
            <w:r>
              <w:rPr>
                <w:rFonts w:ascii="Arial" w:hAnsi="Arial" w:cs="Arial"/>
                <w:sz w:val="16"/>
                <w:szCs w:val="16"/>
              </w:rPr>
              <w:t>11.2 – 44.8</w:t>
            </w:r>
            <w:r w:rsidR="00826087">
              <w:rPr>
                <w:rFonts w:ascii="Arial" w:hAnsi="Arial" w:cs="Arial"/>
                <w:sz w:val="16"/>
                <w:szCs w:val="16"/>
              </w:rPr>
              <w:br/>
            </w:r>
            <w:r>
              <w:rPr>
                <w:rFonts w:ascii="Arial" w:hAnsi="Arial" w:cs="Arial"/>
                <w:sz w:val="16"/>
                <w:szCs w:val="16"/>
              </w:rPr>
              <w:t>(28.0)</w:t>
            </w:r>
          </w:p>
        </w:tc>
        <w:tc>
          <w:tcPr>
            <w:tcW w:w="993" w:type="dxa"/>
            <w:vAlign w:val="center"/>
          </w:tcPr>
          <w:p w14:paraId="7B4420BF" w14:textId="77777777" w:rsidR="003B00C0" w:rsidRPr="004E3E02" w:rsidRDefault="003B00C0" w:rsidP="00676490">
            <w:pPr>
              <w:spacing w:line="300" w:lineRule="atLeast"/>
              <w:jc w:val="center"/>
              <w:rPr>
                <w:rFonts w:ascii="Arial" w:hAnsi="Arial" w:cs="Arial"/>
                <w:sz w:val="16"/>
                <w:szCs w:val="16"/>
              </w:rPr>
            </w:pPr>
            <w:r>
              <w:rPr>
                <w:rFonts w:ascii="Arial" w:hAnsi="Arial" w:cs="Arial"/>
                <w:sz w:val="16"/>
                <w:szCs w:val="16"/>
              </w:rPr>
              <w:t>-</w:t>
            </w:r>
          </w:p>
        </w:tc>
        <w:tc>
          <w:tcPr>
            <w:tcW w:w="850" w:type="dxa"/>
            <w:vAlign w:val="center"/>
          </w:tcPr>
          <w:p w14:paraId="7FA946EE" w14:textId="77777777" w:rsidR="003B00C0" w:rsidRPr="004E3E02" w:rsidRDefault="003B00C0" w:rsidP="00676490">
            <w:pPr>
              <w:spacing w:line="300" w:lineRule="atLeast"/>
              <w:jc w:val="center"/>
              <w:rPr>
                <w:rFonts w:ascii="Arial" w:hAnsi="Arial" w:cs="Arial"/>
                <w:sz w:val="16"/>
                <w:szCs w:val="16"/>
              </w:rPr>
            </w:pPr>
            <w:r>
              <w:rPr>
                <w:rFonts w:ascii="Arial" w:hAnsi="Arial" w:cs="Arial"/>
                <w:sz w:val="16"/>
                <w:szCs w:val="16"/>
              </w:rPr>
              <w:t>-</w:t>
            </w:r>
          </w:p>
        </w:tc>
      </w:tr>
      <w:tr w:rsidR="00784BAE" w:rsidRPr="007901FE" w14:paraId="2AD1E2B8" w14:textId="77777777" w:rsidTr="008B046D">
        <w:tc>
          <w:tcPr>
            <w:tcW w:w="1560" w:type="dxa"/>
          </w:tcPr>
          <w:p w14:paraId="214A5EAA" w14:textId="77777777" w:rsidR="00784BAE" w:rsidRPr="004E3E02" w:rsidRDefault="00784BAE" w:rsidP="00676490">
            <w:pPr>
              <w:spacing w:line="300" w:lineRule="atLeast"/>
              <w:jc w:val="both"/>
              <w:rPr>
                <w:rFonts w:ascii="Arial" w:hAnsi="Arial" w:cs="Arial"/>
                <w:b/>
                <w:sz w:val="16"/>
                <w:szCs w:val="16"/>
              </w:rPr>
            </w:pPr>
            <w:r w:rsidRPr="004E3E02">
              <w:rPr>
                <w:rFonts w:ascii="Arial" w:hAnsi="Arial" w:cs="Arial"/>
                <w:b/>
                <w:sz w:val="16"/>
                <w:szCs w:val="16"/>
              </w:rPr>
              <w:t>Totals</w:t>
            </w:r>
          </w:p>
        </w:tc>
        <w:tc>
          <w:tcPr>
            <w:tcW w:w="1701" w:type="dxa"/>
            <w:vAlign w:val="center"/>
          </w:tcPr>
          <w:p w14:paraId="3D1E6F2F" w14:textId="25E07593" w:rsidR="00784BAE" w:rsidRPr="004E3E02" w:rsidRDefault="004A4F73" w:rsidP="00254C3A">
            <w:pPr>
              <w:spacing w:line="300" w:lineRule="atLeast"/>
              <w:jc w:val="center"/>
              <w:rPr>
                <w:rFonts w:ascii="Arial" w:hAnsi="Arial" w:cs="Arial"/>
                <w:b/>
                <w:sz w:val="16"/>
                <w:szCs w:val="16"/>
              </w:rPr>
            </w:pPr>
            <w:r>
              <w:rPr>
                <w:rFonts w:ascii="Arial" w:hAnsi="Arial" w:cs="Arial"/>
                <w:b/>
                <w:sz w:val="16"/>
                <w:szCs w:val="16"/>
              </w:rPr>
              <w:t>3</w:t>
            </w:r>
            <w:r w:rsidR="00254C3A">
              <w:rPr>
                <w:rFonts w:ascii="Arial" w:hAnsi="Arial" w:cs="Arial"/>
                <w:b/>
                <w:sz w:val="16"/>
                <w:szCs w:val="16"/>
              </w:rPr>
              <w:t>1</w:t>
            </w:r>
            <w:r>
              <w:rPr>
                <w:rFonts w:ascii="Arial" w:hAnsi="Arial" w:cs="Arial"/>
                <w:b/>
                <w:sz w:val="16"/>
                <w:szCs w:val="16"/>
              </w:rPr>
              <w:t>.</w:t>
            </w:r>
            <w:r w:rsidR="00254C3A">
              <w:rPr>
                <w:rFonts w:ascii="Arial" w:hAnsi="Arial" w:cs="Arial"/>
                <w:b/>
                <w:sz w:val="16"/>
                <w:szCs w:val="16"/>
              </w:rPr>
              <w:t xml:space="preserve">3 – 125.3 </w:t>
            </w:r>
            <w:r w:rsidR="00826087">
              <w:rPr>
                <w:rFonts w:ascii="Arial" w:hAnsi="Arial" w:cs="Arial"/>
                <w:b/>
                <w:sz w:val="16"/>
                <w:szCs w:val="16"/>
              </w:rPr>
              <w:br/>
            </w:r>
            <w:r w:rsidR="00254C3A">
              <w:rPr>
                <w:rFonts w:ascii="Arial" w:hAnsi="Arial" w:cs="Arial"/>
                <w:b/>
                <w:sz w:val="16"/>
                <w:szCs w:val="16"/>
              </w:rPr>
              <w:t>(78.3</w:t>
            </w:r>
            <w:r w:rsidR="008B1EB8">
              <w:rPr>
                <w:rFonts w:ascii="Arial" w:hAnsi="Arial" w:cs="Arial"/>
                <w:b/>
                <w:sz w:val="16"/>
                <w:szCs w:val="16"/>
              </w:rPr>
              <w:t>)</w:t>
            </w:r>
          </w:p>
        </w:tc>
        <w:tc>
          <w:tcPr>
            <w:tcW w:w="1559" w:type="dxa"/>
            <w:vAlign w:val="center"/>
          </w:tcPr>
          <w:p w14:paraId="539C263B" w14:textId="2F0B5DD2" w:rsidR="00784BAE" w:rsidRPr="00254C3A" w:rsidRDefault="00254C3A" w:rsidP="00676490">
            <w:pPr>
              <w:spacing w:line="300" w:lineRule="atLeast"/>
              <w:jc w:val="center"/>
              <w:rPr>
                <w:rFonts w:ascii="Arial" w:hAnsi="Arial" w:cs="Arial"/>
                <w:b/>
                <w:sz w:val="16"/>
                <w:szCs w:val="16"/>
              </w:rPr>
            </w:pPr>
            <w:r w:rsidRPr="00254C3A">
              <w:rPr>
                <w:rFonts w:ascii="Arial" w:hAnsi="Arial" w:cs="Arial"/>
                <w:b/>
                <w:sz w:val="16"/>
                <w:szCs w:val="16"/>
              </w:rPr>
              <w:t xml:space="preserve">20.1 – 80.5 </w:t>
            </w:r>
            <w:r w:rsidR="00826087">
              <w:rPr>
                <w:rFonts w:ascii="Arial" w:hAnsi="Arial" w:cs="Arial"/>
                <w:b/>
                <w:sz w:val="16"/>
                <w:szCs w:val="16"/>
              </w:rPr>
              <w:br/>
            </w:r>
            <w:r w:rsidRPr="00254C3A">
              <w:rPr>
                <w:rFonts w:ascii="Arial" w:hAnsi="Arial" w:cs="Arial"/>
                <w:b/>
                <w:sz w:val="16"/>
                <w:szCs w:val="16"/>
              </w:rPr>
              <w:t>(50.3)</w:t>
            </w:r>
          </w:p>
        </w:tc>
        <w:tc>
          <w:tcPr>
            <w:tcW w:w="992" w:type="dxa"/>
            <w:vAlign w:val="center"/>
          </w:tcPr>
          <w:p w14:paraId="28737C34" w14:textId="77777777" w:rsidR="00784BAE" w:rsidRPr="004E3E02" w:rsidRDefault="00784BAE" w:rsidP="00676490">
            <w:pPr>
              <w:spacing w:line="300" w:lineRule="atLeast"/>
              <w:jc w:val="center"/>
              <w:rPr>
                <w:rFonts w:ascii="Arial" w:hAnsi="Arial" w:cs="Arial"/>
                <w:b/>
                <w:sz w:val="16"/>
                <w:szCs w:val="16"/>
              </w:rPr>
            </w:pPr>
            <w:r>
              <w:rPr>
                <w:rFonts w:ascii="Arial" w:hAnsi="Arial" w:cs="Arial"/>
                <w:b/>
                <w:sz w:val="16"/>
                <w:szCs w:val="16"/>
              </w:rPr>
              <w:t>-</w:t>
            </w:r>
          </w:p>
        </w:tc>
        <w:tc>
          <w:tcPr>
            <w:tcW w:w="1559" w:type="dxa"/>
            <w:vAlign w:val="center"/>
          </w:tcPr>
          <w:p w14:paraId="71709767" w14:textId="621B1DD3" w:rsidR="00784BAE" w:rsidRPr="00254C3A" w:rsidRDefault="00254C3A" w:rsidP="00676490">
            <w:pPr>
              <w:spacing w:line="300" w:lineRule="atLeast"/>
              <w:jc w:val="center"/>
              <w:rPr>
                <w:rFonts w:ascii="Arial" w:hAnsi="Arial" w:cs="Arial"/>
                <w:b/>
                <w:sz w:val="16"/>
                <w:szCs w:val="16"/>
              </w:rPr>
            </w:pPr>
            <w:r w:rsidRPr="00254C3A">
              <w:rPr>
                <w:rFonts w:ascii="Arial" w:hAnsi="Arial" w:cs="Arial"/>
                <w:b/>
                <w:sz w:val="16"/>
                <w:szCs w:val="16"/>
              </w:rPr>
              <w:t xml:space="preserve">11.2 – 44.8 </w:t>
            </w:r>
            <w:r w:rsidR="00826087">
              <w:rPr>
                <w:rFonts w:ascii="Arial" w:hAnsi="Arial" w:cs="Arial"/>
                <w:b/>
                <w:sz w:val="16"/>
                <w:szCs w:val="16"/>
              </w:rPr>
              <w:br/>
            </w:r>
            <w:r w:rsidRPr="00254C3A">
              <w:rPr>
                <w:rFonts w:ascii="Arial" w:hAnsi="Arial" w:cs="Arial"/>
                <w:b/>
                <w:sz w:val="16"/>
                <w:szCs w:val="16"/>
              </w:rPr>
              <w:t>(28.0)</w:t>
            </w:r>
          </w:p>
        </w:tc>
        <w:tc>
          <w:tcPr>
            <w:tcW w:w="993" w:type="dxa"/>
            <w:vAlign w:val="center"/>
          </w:tcPr>
          <w:p w14:paraId="076D3352" w14:textId="77777777" w:rsidR="00784BAE" w:rsidRPr="004E3E02" w:rsidRDefault="003B00C0" w:rsidP="00676490">
            <w:pPr>
              <w:spacing w:line="300" w:lineRule="atLeast"/>
              <w:jc w:val="center"/>
              <w:rPr>
                <w:rFonts w:ascii="Arial" w:hAnsi="Arial" w:cs="Arial"/>
                <w:b/>
                <w:sz w:val="16"/>
                <w:szCs w:val="16"/>
              </w:rPr>
            </w:pPr>
            <w:r>
              <w:rPr>
                <w:rFonts w:ascii="Arial" w:hAnsi="Arial" w:cs="Arial"/>
                <w:b/>
                <w:sz w:val="16"/>
                <w:szCs w:val="16"/>
              </w:rPr>
              <w:t>-</w:t>
            </w:r>
          </w:p>
        </w:tc>
        <w:tc>
          <w:tcPr>
            <w:tcW w:w="850" w:type="dxa"/>
            <w:vAlign w:val="center"/>
          </w:tcPr>
          <w:p w14:paraId="03568FA8" w14:textId="77777777" w:rsidR="00784BAE" w:rsidRPr="004E3E02" w:rsidRDefault="003B00C0" w:rsidP="00676490">
            <w:pPr>
              <w:spacing w:line="300" w:lineRule="atLeast"/>
              <w:jc w:val="center"/>
              <w:rPr>
                <w:rFonts w:ascii="Arial" w:hAnsi="Arial" w:cs="Arial"/>
                <w:b/>
                <w:sz w:val="16"/>
                <w:szCs w:val="16"/>
              </w:rPr>
            </w:pPr>
            <w:r>
              <w:rPr>
                <w:rFonts w:ascii="Arial" w:hAnsi="Arial" w:cs="Arial"/>
                <w:b/>
                <w:sz w:val="16"/>
                <w:szCs w:val="16"/>
              </w:rPr>
              <w:t>-</w:t>
            </w:r>
          </w:p>
        </w:tc>
      </w:tr>
    </w:tbl>
    <w:p w14:paraId="50F379A5" w14:textId="1B9E04ED" w:rsidR="00D16E72" w:rsidRDefault="00D16E72" w:rsidP="003833D6">
      <w:pPr>
        <w:spacing w:line="300" w:lineRule="atLeast"/>
        <w:jc w:val="both"/>
        <w:rPr>
          <w:szCs w:val="18"/>
        </w:rPr>
      </w:pPr>
    </w:p>
    <w:p w14:paraId="278E8FC0" w14:textId="77777777" w:rsidR="003F2323" w:rsidRDefault="003F2323">
      <w:pPr>
        <w:spacing w:after="0"/>
        <w:rPr>
          <w:szCs w:val="18"/>
        </w:rPr>
      </w:pPr>
      <w:r>
        <w:rPr>
          <w:szCs w:val="18"/>
        </w:rPr>
        <w:br w:type="page"/>
      </w:r>
    </w:p>
    <w:p w14:paraId="232D864E" w14:textId="77777777" w:rsidR="003F2323" w:rsidRDefault="003F2323" w:rsidP="003F2323">
      <w:pPr>
        <w:pStyle w:val="Heading1"/>
      </w:pPr>
      <w:bookmarkStart w:id="175" w:name="_Toc484949630"/>
      <w:r>
        <w:lastRenderedPageBreak/>
        <w:t xml:space="preserve">Potential </w:t>
      </w:r>
      <w:r w:rsidR="00D75D61">
        <w:t>hotspots</w:t>
      </w:r>
      <w:bookmarkEnd w:id="175"/>
    </w:p>
    <w:p w14:paraId="248611BD" w14:textId="77777777" w:rsidR="003F2323" w:rsidRDefault="00806C3A" w:rsidP="003833D6">
      <w:pPr>
        <w:spacing w:line="300" w:lineRule="atLeast"/>
        <w:jc w:val="both"/>
        <w:rPr>
          <w:szCs w:val="18"/>
        </w:rPr>
      </w:pPr>
      <w:r>
        <w:rPr>
          <w:szCs w:val="18"/>
        </w:rPr>
        <w:t xml:space="preserve">This category covers sites where previous land use activities may have caused contamination. </w:t>
      </w:r>
      <w:r w:rsidR="003E0D2B">
        <w:rPr>
          <w:szCs w:val="18"/>
        </w:rPr>
        <w:t>Some</w:t>
      </w:r>
      <w:r>
        <w:rPr>
          <w:szCs w:val="18"/>
        </w:rPr>
        <w:t xml:space="preserve"> of the types of sites </w:t>
      </w:r>
      <w:r w:rsidR="003E0D2B">
        <w:rPr>
          <w:szCs w:val="18"/>
        </w:rPr>
        <w:t>where mercury might be an issue include the following</w:t>
      </w:r>
      <w:r>
        <w:rPr>
          <w:szCs w:val="18"/>
        </w:rPr>
        <w:t>:</w:t>
      </w:r>
    </w:p>
    <w:p w14:paraId="46634A5D" w14:textId="77777777" w:rsidR="00806C3A" w:rsidRDefault="00806C3A" w:rsidP="00806C3A">
      <w:pPr>
        <w:numPr>
          <w:ilvl w:val="0"/>
          <w:numId w:val="17"/>
        </w:numPr>
        <w:spacing w:line="300" w:lineRule="atLeast"/>
        <w:jc w:val="both"/>
        <w:rPr>
          <w:szCs w:val="18"/>
        </w:rPr>
      </w:pPr>
      <w:r>
        <w:rPr>
          <w:szCs w:val="18"/>
        </w:rPr>
        <w:t>Historical gold a</w:t>
      </w:r>
      <w:r w:rsidR="00D75D61">
        <w:rPr>
          <w:szCs w:val="18"/>
        </w:rPr>
        <w:t>n</w:t>
      </w:r>
      <w:r>
        <w:rPr>
          <w:szCs w:val="18"/>
        </w:rPr>
        <w:t>d mercury mining sites</w:t>
      </w:r>
    </w:p>
    <w:p w14:paraId="6A28AF4B" w14:textId="77777777" w:rsidR="00806C3A" w:rsidRDefault="00806C3A" w:rsidP="00806C3A">
      <w:pPr>
        <w:numPr>
          <w:ilvl w:val="0"/>
          <w:numId w:val="17"/>
        </w:numPr>
        <w:spacing w:line="300" w:lineRule="atLeast"/>
        <w:jc w:val="both"/>
        <w:rPr>
          <w:szCs w:val="18"/>
        </w:rPr>
      </w:pPr>
      <w:r>
        <w:rPr>
          <w:szCs w:val="18"/>
        </w:rPr>
        <w:t>Closed landfills</w:t>
      </w:r>
    </w:p>
    <w:p w14:paraId="35D9C476" w14:textId="77777777" w:rsidR="00806C3A" w:rsidRDefault="00806C3A" w:rsidP="00806C3A">
      <w:pPr>
        <w:numPr>
          <w:ilvl w:val="0"/>
          <w:numId w:val="17"/>
        </w:numPr>
        <w:spacing w:line="300" w:lineRule="atLeast"/>
        <w:jc w:val="both"/>
        <w:rPr>
          <w:szCs w:val="18"/>
        </w:rPr>
      </w:pPr>
      <w:r>
        <w:rPr>
          <w:szCs w:val="18"/>
        </w:rPr>
        <w:t>Former agricultural sites, include pesticide manufacturing and storage, and market gardens/orchards</w:t>
      </w:r>
    </w:p>
    <w:p w14:paraId="7E52B223" w14:textId="77777777" w:rsidR="00806C3A" w:rsidRDefault="00806C3A" w:rsidP="00806C3A">
      <w:pPr>
        <w:numPr>
          <w:ilvl w:val="0"/>
          <w:numId w:val="17"/>
        </w:numPr>
        <w:spacing w:line="300" w:lineRule="atLeast"/>
        <w:jc w:val="both"/>
        <w:rPr>
          <w:szCs w:val="18"/>
        </w:rPr>
      </w:pPr>
      <w:r>
        <w:rPr>
          <w:szCs w:val="18"/>
        </w:rPr>
        <w:t xml:space="preserve">Old industrial sites, such as tanneries, </w:t>
      </w:r>
      <w:proofErr w:type="spellStart"/>
      <w:r>
        <w:rPr>
          <w:szCs w:val="18"/>
        </w:rPr>
        <w:t>chlor</w:t>
      </w:r>
      <w:proofErr w:type="spellEnd"/>
      <w:r>
        <w:rPr>
          <w:szCs w:val="18"/>
        </w:rPr>
        <w:t>-alkali plants, and battery manufacturers</w:t>
      </w:r>
    </w:p>
    <w:p w14:paraId="4588EFA9" w14:textId="77777777" w:rsidR="00806C3A" w:rsidRDefault="00806C3A" w:rsidP="00806C3A">
      <w:pPr>
        <w:numPr>
          <w:ilvl w:val="0"/>
          <w:numId w:val="17"/>
        </w:numPr>
        <w:spacing w:line="300" w:lineRule="atLeast"/>
        <w:jc w:val="both"/>
        <w:rPr>
          <w:szCs w:val="18"/>
        </w:rPr>
      </w:pPr>
      <w:r>
        <w:rPr>
          <w:szCs w:val="18"/>
        </w:rPr>
        <w:t>Government properties</w:t>
      </w:r>
      <w:r w:rsidR="00D75D61">
        <w:rPr>
          <w:szCs w:val="18"/>
        </w:rPr>
        <w:t>,</w:t>
      </w:r>
      <w:r>
        <w:rPr>
          <w:szCs w:val="18"/>
        </w:rPr>
        <w:t xml:space="preserve"> including dental schools and defence bases</w:t>
      </w:r>
    </w:p>
    <w:p w14:paraId="315F057B" w14:textId="77777777" w:rsidR="00806C3A" w:rsidRDefault="00806C3A" w:rsidP="00806C3A">
      <w:pPr>
        <w:numPr>
          <w:ilvl w:val="0"/>
          <w:numId w:val="17"/>
        </w:numPr>
        <w:spacing w:line="300" w:lineRule="atLeast"/>
        <w:jc w:val="both"/>
        <w:rPr>
          <w:szCs w:val="18"/>
        </w:rPr>
      </w:pPr>
      <w:r>
        <w:rPr>
          <w:szCs w:val="18"/>
        </w:rPr>
        <w:t>Boat repair yards and slipways</w:t>
      </w:r>
    </w:p>
    <w:p w14:paraId="2562066B" w14:textId="77777777" w:rsidR="00806C3A" w:rsidRDefault="003E0D2B" w:rsidP="00691717">
      <w:pPr>
        <w:spacing w:line="300" w:lineRule="atLeast"/>
        <w:jc w:val="both"/>
        <w:rPr>
          <w:szCs w:val="18"/>
        </w:rPr>
      </w:pPr>
      <w:r>
        <w:rPr>
          <w:szCs w:val="18"/>
        </w:rPr>
        <w:t>For the 2012 Inventory contact was made with a</w:t>
      </w:r>
      <w:r w:rsidR="00806C3A">
        <w:rPr>
          <w:szCs w:val="18"/>
        </w:rPr>
        <w:t>ll</w:t>
      </w:r>
      <w:r w:rsidR="00691717" w:rsidRPr="00691717">
        <w:rPr>
          <w:szCs w:val="18"/>
        </w:rPr>
        <w:t xml:space="preserve"> Regional Councils</w:t>
      </w:r>
      <w:r w:rsidR="00806C3A">
        <w:rPr>
          <w:szCs w:val="18"/>
        </w:rPr>
        <w:t xml:space="preserve"> and </w:t>
      </w:r>
      <w:r w:rsidR="00691717" w:rsidRPr="00691717">
        <w:rPr>
          <w:szCs w:val="18"/>
        </w:rPr>
        <w:t>Unitary Authorities</w:t>
      </w:r>
      <w:r w:rsidR="00806C3A">
        <w:rPr>
          <w:szCs w:val="18"/>
        </w:rPr>
        <w:t xml:space="preserve"> regarding </w:t>
      </w:r>
      <w:r w:rsidR="00D75D61">
        <w:rPr>
          <w:szCs w:val="18"/>
        </w:rPr>
        <w:t xml:space="preserve">their </w:t>
      </w:r>
      <w:r w:rsidR="00806C3A">
        <w:rPr>
          <w:szCs w:val="18"/>
        </w:rPr>
        <w:t xml:space="preserve">current knowledge of contaminated sites. Replies were received from </w:t>
      </w:r>
      <w:r w:rsidR="00D95B91">
        <w:rPr>
          <w:szCs w:val="18"/>
        </w:rPr>
        <w:t>14</w:t>
      </w:r>
      <w:r w:rsidR="00691717" w:rsidRPr="00691717">
        <w:rPr>
          <w:szCs w:val="18"/>
        </w:rPr>
        <w:t xml:space="preserve"> </w:t>
      </w:r>
      <w:r w:rsidR="00806C3A">
        <w:rPr>
          <w:szCs w:val="18"/>
        </w:rPr>
        <w:t>of these c</w:t>
      </w:r>
      <w:r w:rsidR="00691717" w:rsidRPr="00691717">
        <w:rPr>
          <w:szCs w:val="18"/>
        </w:rPr>
        <w:t>ouncils</w:t>
      </w:r>
      <w:r w:rsidR="00806C3A">
        <w:rPr>
          <w:szCs w:val="18"/>
        </w:rPr>
        <w:t xml:space="preserve">, with </w:t>
      </w:r>
      <w:r w:rsidR="00D95B91">
        <w:rPr>
          <w:szCs w:val="18"/>
        </w:rPr>
        <w:t>10</w:t>
      </w:r>
      <w:r w:rsidR="00806C3A">
        <w:rPr>
          <w:szCs w:val="18"/>
        </w:rPr>
        <w:t xml:space="preserve"> indicating that they had no knowledge of any mercury-contaminated sites within their regions</w:t>
      </w:r>
      <w:r w:rsidR="00D95B91">
        <w:rPr>
          <w:szCs w:val="18"/>
        </w:rPr>
        <w:t xml:space="preserve"> (other than sites where the mercury is simply an incidental, low level, contaminant)</w:t>
      </w:r>
      <w:r w:rsidR="00806C3A">
        <w:rPr>
          <w:szCs w:val="18"/>
        </w:rPr>
        <w:t>. Other responses covered the following matters:</w:t>
      </w:r>
    </w:p>
    <w:p w14:paraId="3C9CFC55" w14:textId="77777777" w:rsidR="00806C3A" w:rsidRDefault="00806C3A" w:rsidP="00806C3A">
      <w:pPr>
        <w:numPr>
          <w:ilvl w:val="0"/>
          <w:numId w:val="18"/>
        </w:numPr>
        <w:spacing w:line="300" w:lineRule="atLeast"/>
        <w:jc w:val="both"/>
        <w:rPr>
          <w:szCs w:val="18"/>
        </w:rPr>
      </w:pPr>
      <w:r>
        <w:rPr>
          <w:szCs w:val="18"/>
        </w:rPr>
        <w:t>A f</w:t>
      </w:r>
      <w:r w:rsidR="00691717" w:rsidRPr="00691717">
        <w:rPr>
          <w:szCs w:val="18"/>
        </w:rPr>
        <w:t xml:space="preserve">ormer mercury mine </w:t>
      </w:r>
      <w:r>
        <w:rPr>
          <w:szCs w:val="18"/>
        </w:rPr>
        <w:t xml:space="preserve">site in Northland </w:t>
      </w:r>
      <w:r w:rsidR="00691717" w:rsidRPr="00691717">
        <w:rPr>
          <w:szCs w:val="18"/>
        </w:rPr>
        <w:t xml:space="preserve">is likely to be contaminated, though levels have not been confirmed. </w:t>
      </w:r>
    </w:p>
    <w:p w14:paraId="6D890AF7" w14:textId="77777777" w:rsidR="00D95B91" w:rsidRDefault="00D95B91" w:rsidP="00806C3A">
      <w:pPr>
        <w:numPr>
          <w:ilvl w:val="0"/>
          <w:numId w:val="18"/>
        </w:numPr>
        <w:spacing w:line="300" w:lineRule="atLeast"/>
        <w:jc w:val="both"/>
        <w:rPr>
          <w:szCs w:val="18"/>
        </w:rPr>
      </w:pPr>
      <w:r>
        <w:rPr>
          <w:szCs w:val="18"/>
        </w:rPr>
        <w:t>Both the Tasman and West Coast regions have old gold mining sites that may be contaminated with mercury.</w:t>
      </w:r>
    </w:p>
    <w:p w14:paraId="3D768783" w14:textId="77777777" w:rsidR="00D95B91" w:rsidRDefault="00D95B91" w:rsidP="00806C3A">
      <w:pPr>
        <w:numPr>
          <w:ilvl w:val="0"/>
          <w:numId w:val="18"/>
        </w:numPr>
        <w:spacing w:line="300" w:lineRule="atLeast"/>
        <w:jc w:val="both"/>
        <w:rPr>
          <w:szCs w:val="18"/>
        </w:rPr>
      </w:pPr>
      <w:r>
        <w:rPr>
          <w:szCs w:val="18"/>
        </w:rPr>
        <w:t>A power station site in Canterbury is known to be contaminated with mercury, but the extent of contamination has not been determined.</w:t>
      </w:r>
    </w:p>
    <w:p w14:paraId="07398815" w14:textId="77777777" w:rsidR="003C7CB4" w:rsidRDefault="00691717" w:rsidP="00806C3A">
      <w:pPr>
        <w:numPr>
          <w:ilvl w:val="0"/>
          <w:numId w:val="18"/>
        </w:numPr>
        <w:spacing w:line="300" w:lineRule="atLeast"/>
        <w:jc w:val="both"/>
        <w:rPr>
          <w:szCs w:val="18"/>
        </w:rPr>
      </w:pPr>
      <w:r w:rsidRPr="00691717">
        <w:rPr>
          <w:szCs w:val="18"/>
        </w:rPr>
        <w:t xml:space="preserve">Elevated mercury </w:t>
      </w:r>
      <w:r w:rsidR="00806C3A">
        <w:rPr>
          <w:szCs w:val="18"/>
        </w:rPr>
        <w:t>levels have</w:t>
      </w:r>
      <w:r w:rsidRPr="00691717">
        <w:rPr>
          <w:szCs w:val="18"/>
        </w:rPr>
        <w:t xml:space="preserve"> been detected in many orchards and </w:t>
      </w:r>
      <w:r w:rsidR="00806C3A">
        <w:rPr>
          <w:szCs w:val="18"/>
        </w:rPr>
        <w:t>ex-</w:t>
      </w:r>
      <w:r w:rsidRPr="00691717">
        <w:rPr>
          <w:szCs w:val="18"/>
        </w:rPr>
        <w:t xml:space="preserve">mine sites, however </w:t>
      </w:r>
      <w:r w:rsidR="00806C3A">
        <w:rPr>
          <w:szCs w:val="18"/>
        </w:rPr>
        <w:t xml:space="preserve">generally </w:t>
      </w:r>
      <w:r w:rsidRPr="00691717">
        <w:rPr>
          <w:szCs w:val="18"/>
        </w:rPr>
        <w:t xml:space="preserve">not above </w:t>
      </w:r>
      <w:r w:rsidR="00806C3A">
        <w:rPr>
          <w:szCs w:val="18"/>
        </w:rPr>
        <w:t xml:space="preserve">the </w:t>
      </w:r>
      <w:r w:rsidRPr="00691717">
        <w:rPr>
          <w:szCs w:val="18"/>
        </w:rPr>
        <w:t xml:space="preserve">rural residential standard of </w:t>
      </w:r>
      <w:r w:rsidR="00C217EA">
        <w:rPr>
          <w:szCs w:val="18"/>
        </w:rPr>
        <w:t>3</w:t>
      </w:r>
      <w:r w:rsidRPr="00691717">
        <w:rPr>
          <w:szCs w:val="18"/>
        </w:rPr>
        <w:t>00mg/kg</w:t>
      </w:r>
      <w:r w:rsidR="00C217EA">
        <w:rPr>
          <w:szCs w:val="18"/>
        </w:rPr>
        <w:t xml:space="preserve"> </w:t>
      </w:r>
      <w:r w:rsidR="00E042A5">
        <w:rPr>
          <w:szCs w:val="18"/>
        </w:rPr>
        <w:t>for</w:t>
      </w:r>
      <w:r w:rsidRPr="00691717">
        <w:rPr>
          <w:szCs w:val="18"/>
        </w:rPr>
        <w:t xml:space="preserve"> inorganic mercury</w:t>
      </w:r>
      <w:r w:rsidR="00E042A5">
        <w:rPr>
          <w:szCs w:val="18"/>
        </w:rPr>
        <w:t xml:space="preserve"> in soils</w:t>
      </w:r>
      <w:r w:rsidRPr="00691717">
        <w:rPr>
          <w:szCs w:val="18"/>
        </w:rPr>
        <w:t xml:space="preserve">. As an example, </w:t>
      </w:r>
      <w:r w:rsidR="00806C3A">
        <w:rPr>
          <w:szCs w:val="18"/>
        </w:rPr>
        <w:t xml:space="preserve">the Waikato Regional Council noted that </w:t>
      </w:r>
      <w:r w:rsidR="003C7CB4">
        <w:rPr>
          <w:szCs w:val="18"/>
        </w:rPr>
        <w:t xml:space="preserve">at </w:t>
      </w:r>
      <w:r w:rsidRPr="00691717">
        <w:rPr>
          <w:szCs w:val="18"/>
        </w:rPr>
        <w:t>one highly contaminated former tailings dam</w:t>
      </w:r>
      <w:r w:rsidR="00405F94">
        <w:rPr>
          <w:szCs w:val="18"/>
        </w:rPr>
        <w:t xml:space="preserve"> (the </w:t>
      </w:r>
      <w:proofErr w:type="spellStart"/>
      <w:r w:rsidR="00405F94">
        <w:rPr>
          <w:szCs w:val="18"/>
        </w:rPr>
        <w:t>Tui</w:t>
      </w:r>
      <w:proofErr w:type="spellEnd"/>
      <w:r w:rsidR="00405F94">
        <w:rPr>
          <w:szCs w:val="18"/>
        </w:rPr>
        <w:t xml:space="preserve"> mine)</w:t>
      </w:r>
      <w:r w:rsidRPr="00691717">
        <w:rPr>
          <w:szCs w:val="18"/>
        </w:rPr>
        <w:t xml:space="preserve">, the average concentration </w:t>
      </w:r>
      <w:r w:rsidR="003C7CB4">
        <w:rPr>
          <w:szCs w:val="18"/>
        </w:rPr>
        <w:t>of mercury is less than 30mg/kg</w:t>
      </w:r>
      <w:r w:rsidRPr="00691717">
        <w:rPr>
          <w:szCs w:val="18"/>
        </w:rPr>
        <w:t xml:space="preserve">. </w:t>
      </w:r>
    </w:p>
    <w:p w14:paraId="452638CA" w14:textId="77777777" w:rsidR="003F2323" w:rsidRDefault="0010506E" w:rsidP="00691717">
      <w:pPr>
        <w:spacing w:line="300" w:lineRule="atLeast"/>
        <w:jc w:val="both"/>
        <w:rPr>
          <w:szCs w:val="18"/>
        </w:rPr>
      </w:pPr>
      <w:r>
        <w:rPr>
          <w:szCs w:val="18"/>
        </w:rPr>
        <w:t xml:space="preserve">It </w:t>
      </w:r>
      <w:r w:rsidR="003E0D2B">
        <w:rPr>
          <w:szCs w:val="18"/>
        </w:rPr>
        <w:t>was</w:t>
      </w:r>
      <w:r>
        <w:rPr>
          <w:szCs w:val="18"/>
        </w:rPr>
        <w:t xml:space="preserve"> also confirmed that there are no contaminated sites specifically associated with the two </w:t>
      </w:r>
      <w:proofErr w:type="spellStart"/>
      <w:r>
        <w:rPr>
          <w:szCs w:val="18"/>
        </w:rPr>
        <w:t>chlor</w:t>
      </w:r>
      <w:proofErr w:type="spellEnd"/>
      <w:r>
        <w:rPr>
          <w:szCs w:val="18"/>
        </w:rPr>
        <w:t xml:space="preserve">-alkali plants that were previously operated at the two North Island </w:t>
      </w:r>
      <w:proofErr w:type="spellStart"/>
      <w:r>
        <w:rPr>
          <w:szCs w:val="18"/>
        </w:rPr>
        <w:t>kraft</w:t>
      </w:r>
      <w:proofErr w:type="spellEnd"/>
      <w:r>
        <w:rPr>
          <w:szCs w:val="18"/>
        </w:rPr>
        <w:t xml:space="preserve"> pulp paper mills (see section 6.1). These plants were shut down in the 1980s and it is believed that the sludge and other residues were disposed to the companies' solid waste disposal facilities.</w:t>
      </w:r>
    </w:p>
    <w:p w14:paraId="665D68D5" w14:textId="77777777" w:rsidR="003E0D2B" w:rsidRDefault="003E0D2B" w:rsidP="00691717">
      <w:pPr>
        <w:spacing w:line="300" w:lineRule="atLeast"/>
        <w:jc w:val="both"/>
        <w:rPr>
          <w:szCs w:val="18"/>
        </w:rPr>
      </w:pPr>
      <w:r>
        <w:rPr>
          <w:szCs w:val="18"/>
        </w:rPr>
        <w:t>The above information has not been updated for the current work.</w:t>
      </w:r>
    </w:p>
    <w:p w14:paraId="288BB036" w14:textId="77777777" w:rsidR="004A1BCA" w:rsidRDefault="004A1BCA">
      <w:pPr>
        <w:spacing w:after="0"/>
        <w:rPr>
          <w:szCs w:val="18"/>
        </w:rPr>
      </w:pPr>
      <w:r>
        <w:rPr>
          <w:szCs w:val="18"/>
        </w:rPr>
        <w:br w:type="page"/>
      </w:r>
    </w:p>
    <w:p w14:paraId="11F3D2A0" w14:textId="77777777" w:rsidR="004A1BCA" w:rsidRPr="001A0AA1" w:rsidRDefault="004A1BCA" w:rsidP="004A1BCA">
      <w:pPr>
        <w:pStyle w:val="Heading1"/>
      </w:pPr>
      <w:bookmarkStart w:id="176" w:name="_Toc484949631"/>
      <w:r w:rsidRPr="001A0AA1">
        <w:lastRenderedPageBreak/>
        <w:t>Summary and discussion</w:t>
      </w:r>
      <w:bookmarkEnd w:id="176"/>
    </w:p>
    <w:p w14:paraId="51E3F0C8" w14:textId="77777777" w:rsidR="004A1BCA" w:rsidRPr="001A0AA1" w:rsidRDefault="004A1BCA" w:rsidP="003833D6">
      <w:pPr>
        <w:spacing w:line="300" w:lineRule="atLeast"/>
        <w:jc w:val="both"/>
        <w:rPr>
          <w:szCs w:val="18"/>
        </w:rPr>
      </w:pPr>
    </w:p>
    <w:p w14:paraId="30990C63" w14:textId="77777777" w:rsidR="004A1BCA" w:rsidRPr="001A0AA1" w:rsidRDefault="00B95C99" w:rsidP="00B95C99">
      <w:pPr>
        <w:pStyle w:val="Heading2"/>
      </w:pPr>
      <w:bookmarkStart w:id="177" w:name="_Toc484949632"/>
      <w:r w:rsidRPr="001A0AA1">
        <w:t>High level summary of mercury inputs and outputs</w:t>
      </w:r>
      <w:bookmarkEnd w:id="177"/>
    </w:p>
    <w:p w14:paraId="7A7D02BC" w14:textId="270F2BA0" w:rsidR="004A1BCA" w:rsidRPr="001A0AA1" w:rsidRDefault="00B95C99" w:rsidP="003833D6">
      <w:pPr>
        <w:spacing w:line="300" w:lineRule="atLeast"/>
        <w:jc w:val="both"/>
        <w:rPr>
          <w:szCs w:val="18"/>
        </w:rPr>
      </w:pPr>
      <w:r w:rsidRPr="001A0AA1">
        <w:rPr>
          <w:szCs w:val="18"/>
        </w:rPr>
        <w:t>A summary of the mercury inputs and outputs for New Zealand, a</w:t>
      </w:r>
      <w:r w:rsidR="00691985" w:rsidRPr="001A0AA1">
        <w:rPr>
          <w:szCs w:val="18"/>
        </w:rPr>
        <w:t>t</w:t>
      </w:r>
      <w:r w:rsidRPr="001A0AA1">
        <w:rPr>
          <w:szCs w:val="18"/>
        </w:rPr>
        <w:t xml:space="preserve"> the level of the main Toolkit source categories, is given in </w:t>
      </w:r>
      <w:r w:rsidRPr="001A0AA1">
        <w:rPr>
          <w:szCs w:val="18"/>
        </w:rPr>
        <w:fldChar w:fldCharType="begin"/>
      </w:r>
      <w:r w:rsidRPr="001A0AA1">
        <w:rPr>
          <w:szCs w:val="18"/>
        </w:rPr>
        <w:instrText xml:space="preserve"> REF _Ref358654190 \h </w:instrText>
      </w:r>
      <w:r w:rsidR="00305BC7" w:rsidRPr="001A0AA1">
        <w:rPr>
          <w:szCs w:val="18"/>
        </w:rPr>
        <w:instrText xml:space="preserve"> \* MERGEFORMAT </w:instrText>
      </w:r>
      <w:r w:rsidRPr="001A0AA1">
        <w:rPr>
          <w:szCs w:val="18"/>
        </w:rPr>
      </w:r>
      <w:r w:rsidRPr="001A0AA1">
        <w:rPr>
          <w:szCs w:val="18"/>
        </w:rPr>
        <w:fldChar w:fldCharType="separate"/>
      </w:r>
      <w:r w:rsidR="00423FC9" w:rsidRPr="001A0AA1">
        <w:t xml:space="preserve">Table </w:t>
      </w:r>
      <w:r w:rsidR="00423FC9" w:rsidRPr="001A0AA1">
        <w:rPr>
          <w:noProof/>
        </w:rPr>
        <w:t>14</w:t>
      </w:r>
      <w:r w:rsidR="00423FC9" w:rsidRPr="001A0AA1">
        <w:rPr>
          <w:noProof/>
        </w:rPr>
        <w:noBreakHyphen/>
        <w:t>1</w:t>
      </w:r>
      <w:r w:rsidRPr="001A0AA1">
        <w:rPr>
          <w:szCs w:val="18"/>
        </w:rPr>
        <w:fldChar w:fldCharType="end"/>
      </w:r>
      <w:r w:rsidRPr="001A0AA1">
        <w:rPr>
          <w:szCs w:val="18"/>
        </w:rPr>
        <w:t>.</w:t>
      </w:r>
    </w:p>
    <w:p w14:paraId="28DEDF28" w14:textId="176B36B0" w:rsidR="00B95C99" w:rsidRPr="001A0AA1" w:rsidRDefault="00B95C99" w:rsidP="00B95C99">
      <w:pPr>
        <w:pStyle w:val="Caption"/>
        <w:spacing w:before="240"/>
        <w:rPr>
          <w:rFonts w:ascii="Arial" w:hAnsi="Arial" w:cs="Arial"/>
          <w:szCs w:val="18"/>
        </w:rPr>
      </w:pPr>
      <w:bookmarkStart w:id="178" w:name="_Ref358654190"/>
      <w:bookmarkStart w:id="179" w:name="_Toc484949679"/>
      <w:r w:rsidRPr="001A0AA1">
        <w:rPr>
          <w:rFonts w:ascii="Arial" w:hAnsi="Arial" w:cs="Arial"/>
        </w:rPr>
        <w:t xml:space="preserve">Table </w:t>
      </w:r>
      <w:r w:rsidR="00390C9F" w:rsidRPr="001A0AA1">
        <w:rPr>
          <w:rFonts w:ascii="Arial" w:hAnsi="Arial" w:cs="Arial"/>
        </w:rPr>
        <w:fldChar w:fldCharType="begin"/>
      </w:r>
      <w:r w:rsidR="00390C9F" w:rsidRPr="001A0AA1">
        <w:rPr>
          <w:rFonts w:ascii="Arial" w:hAnsi="Arial" w:cs="Arial"/>
        </w:rPr>
        <w:instrText xml:space="preserve"> STYLEREF 1 \s </w:instrText>
      </w:r>
      <w:r w:rsidR="00390C9F" w:rsidRPr="001A0AA1">
        <w:rPr>
          <w:rFonts w:ascii="Arial" w:hAnsi="Arial" w:cs="Arial"/>
        </w:rPr>
        <w:fldChar w:fldCharType="separate"/>
      </w:r>
      <w:r w:rsidR="00423FC9" w:rsidRPr="001A0AA1">
        <w:rPr>
          <w:rFonts w:ascii="Arial" w:hAnsi="Arial" w:cs="Arial"/>
          <w:noProof/>
        </w:rPr>
        <w:t>14</w:t>
      </w:r>
      <w:r w:rsidR="00390C9F" w:rsidRPr="001A0AA1">
        <w:rPr>
          <w:rFonts w:ascii="Arial" w:hAnsi="Arial" w:cs="Arial"/>
        </w:rPr>
        <w:fldChar w:fldCharType="end"/>
      </w:r>
      <w:r w:rsidR="00390C9F" w:rsidRPr="001A0AA1">
        <w:rPr>
          <w:rFonts w:ascii="Arial" w:hAnsi="Arial" w:cs="Arial"/>
        </w:rPr>
        <w:noBreakHyphen/>
      </w:r>
      <w:r w:rsidR="00390C9F" w:rsidRPr="001A0AA1">
        <w:rPr>
          <w:rFonts w:ascii="Arial" w:hAnsi="Arial" w:cs="Arial"/>
        </w:rPr>
        <w:fldChar w:fldCharType="begin"/>
      </w:r>
      <w:r w:rsidR="00390C9F" w:rsidRPr="001A0AA1">
        <w:rPr>
          <w:rFonts w:ascii="Arial" w:hAnsi="Arial" w:cs="Arial"/>
        </w:rPr>
        <w:instrText xml:space="preserve"> SEQ Table \* ARABIC \s 1 </w:instrText>
      </w:r>
      <w:r w:rsidR="00390C9F" w:rsidRPr="001A0AA1">
        <w:rPr>
          <w:rFonts w:ascii="Arial" w:hAnsi="Arial" w:cs="Arial"/>
        </w:rPr>
        <w:fldChar w:fldCharType="separate"/>
      </w:r>
      <w:r w:rsidR="00423FC9" w:rsidRPr="001A0AA1">
        <w:rPr>
          <w:rFonts w:ascii="Arial" w:hAnsi="Arial" w:cs="Arial"/>
          <w:noProof/>
        </w:rPr>
        <w:t>1</w:t>
      </w:r>
      <w:r w:rsidR="00390C9F" w:rsidRPr="001A0AA1">
        <w:rPr>
          <w:rFonts w:ascii="Arial" w:hAnsi="Arial" w:cs="Arial"/>
        </w:rPr>
        <w:fldChar w:fldCharType="end"/>
      </w:r>
      <w:bookmarkEnd w:id="178"/>
      <w:r w:rsidRPr="001A0AA1">
        <w:rPr>
          <w:rFonts w:ascii="Arial" w:hAnsi="Arial" w:cs="Arial"/>
        </w:rPr>
        <w:t>:  High level summary of mercury inputs and outputs for New Zealand</w:t>
      </w:r>
      <w:r w:rsidR="001A0AA1">
        <w:rPr>
          <w:rFonts w:ascii="Arial" w:hAnsi="Arial" w:cs="Arial"/>
        </w:rPr>
        <w:t>, 2016</w:t>
      </w:r>
      <w:r w:rsidR="00501BB6" w:rsidRPr="001A0AA1">
        <w:rPr>
          <w:rFonts w:ascii="Arial" w:hAnsi="Arial" w:cs="Arial"/>
        </w:rPr>
        <w:t>*</w:t>
      </w:r>
      <w:bookmarkEnd w:id="179"/>
    </w:p>
    <w:tbl>
      <w:tblPr>
        <w:tblStyle w:val="TableGrid"/>
        <w:tblW w:w="9072" w:type="dxa"/>
        <w:tblInd w:w="108" w:type="dxa"/>
        <w:tblLook w:val="04A0" w:firstRow="1" w:lastRow="0" w:firstColumn="1" w:lastColumn="0" w:noHBand="0" w:noVBand="1"/>
      </w:tblPr>
      <w:tblGrid>
        <w:gridCol w:w="1701"/>
        <w:gridCol w:w="1418"/>
        <w:gridCol w:w="1190"/>
        <w:gridCol w:w="1191"/>
        <w:gridCol w:w="1304"/>
        <w:gridCol w:w="1077"/>
        <w:gridCol w:w="1191"/>
      </w:tblGrid>
      <w:tr w:rsidR="003C227D" w:rsidRPr="007901FE" w14:paraId="72EF9540" w14:textId="77777777" w:rsidTr="00325CE9">
        <w:tc>
          <w:tcPr>
            <w:tcW w:w="1701" w:type="dxa"/>
            <w:vMerge w:val="restart"/>
            <w:vAlign w:val="center"/>
          </w:tcPr>
          <w:p w14:paraId="7265B7E2" w14:textId="77777777" w:rsidR="003C227D" w:rsidRPr="004E3E02" w:rsidRDefault="003C227D" w:rsidP="00325CE9">
            <w:pPr>
              <w:spacing w:before="60" w:after="60"/>
              <w:rPr>
                <w:rFonts w:ascii="Arial" w:hAnsi="Arial" w:cs="Arial"/>
                <w:b/>
                <w:sz w:val="16"/>
                <w:szCs w:val="16"/>
              </w:rPr>
            </w:pPr>
            <w:r w:rsidRPr="004E3E02">
              <w:rPr>
                <w:rFonts w:ascii="Arial" w:hAnsi="Arial" w:cs="Arial"/>
                <w:b/>
                <w:sz w:val="16"/>
                <w:szCs w:val="16"/>
              </w:rPr>
              <w:t>Category</w:t>
            </w:r>
          </w:p>
        </w:tc>
        <w:tc>
          <w:tcPr>
            <w:tcW w:w="1418" w:type="dxa"/>
            <w:vMerge w:val="restart"/>
            <w:vAlign w:val="center"/>
          </w:tcPr>
          <w:p w14:paraId="434C4E37" w14:textId="77777777" w:rsidR="003C227D" w:rsidRPr="004E3E02" w:rsidRDefault="003C227D" w:rsidP="00325CE9">
            <w:pPr>
              <w:spacing w:before="60" w:after="60"/>
              <w:jc w:val="center"/>
              <w:rPr>
                <w:rFonts w:ascii="Arial" w:hAnsi="Arial" w:cs="Arial"/>
                <w:b/>
                <w:sz w:val="16"/>
                <w:szCs w:val="16"/>
              </w:rPr>
            </w:pPr>
            <w:r w:rsidRPr="004E3E02">
              <w:rPr>
                <w:rFonts w:ascii="Arial" w:hAnsi="Arial" w:cs="Arial"/>
                <w:b/>
                <w:sz w:val="16"/>
                <w:szCs w:val="16"/>
              </w:rPr>
              <w:t>Mercury Inputs, kg/year</w:t>
            </w:r>
          </w:p>
        </w:tc>
        <w:tc>
          <w:tcPr>
            <w:tcW w:w="5953" w:type="dxa"/>
            <w:gridSpan w:val="5"/>
            <w:vAlign w:val="center"/>
          </w:tcPr>
          <w:p w14:paraId="616175C3" w14:textId="77777777" w:rsidR="003C227D" w:rsidRPr="004E3E02" w:rsidRDefault="003C227D" w:rsidP="00325CE9">
            <w:pPr>
              <w:spacing w:before="60" w:after="60"/>
              <w:jc w:val="center"/>
              <w:rPr>
                <w:rFonts w:ascii="Arial" w:hAnsi="Arial" w:cs="Arial"/>
                <w:b/>
                <w:sz w:val="16"/>
                <w:szCs w:val="16"/>
              </w:rPr>
            </w:pPr>
            <w:r w:rsidRPr="004E3E02">
              <w:rPr>
                <w:rFonts w:ascii="Arial" w:hAnsi="Arial" w:cs="Arial"/>
                <w:b/>
                <w:sz w:val="16"/>
                <w:szCs w:val="16"/>
              </w:rPr>
              <w:t>Mercury Outputs, kg/</w:t>
            </w:r>
            <w:proofErr w:type="spellStart"/>
            <w:r w:rsidRPr="004E3E02">
              <w:rPr>
                <w:rFonts w:ascii="Arial" w:hAnsi="Arial" w:cs="Arial"/>
                <w:b/>
                <w:sz w:val="16"/>
                <w:szCs w:val="16"/>
              </w:rPr>
              <w:t>yr</w:t>
            </w:r>
            <w:proofErr w:type="spellEnd"/>
          </w:p>
        </w:tc>
      </w:tr>
      <w:tr w:rsidR="003C227D" w:rsidRPr="007901FE" w14:paraId="762FBB8F" w14:textId="77777777" w:rsidTr="00325CE9">
        <w:tc>
          <w:tcPr>
            <w:tcW w:w="1701" w:type="dxa"/>
            <w:vMerge/>
            <w:vAlign w:val="center"/>
          </w:tcPr>
          <w:p w14:paraId="6C3DA92A" w14:textId="77777777" w:rsidR="003C227D" w:rsidRPr="004E3E02" w:rsidRDefault="003C227D" w:rsidP="00325CE9">
            <w:pPr>
              <w:spacing w:before="60" w:after="60"/>
              <w:rPr>
                <w:rFonts w:ascii="Arial" w:hAnsi="Arial" w:cs="Arial"/>
                <w:b/>
                <w:sz w:val="16"/>
                <w:szCs w:val="16"/>
              </w:rPr>
            </w:pPr>
          </w:p>
        </w:tc>
        <w:tc>
          <w:tcPr>
            <w:tcW w:w="1418" w:type="dxa"/>
            <w:vMerge/>
          </w:tcPr>
          <w:p w14:paraId="148FA646" w14:textId="77777777" w:rsidR="003C227D" w:rsidRPr="004E3E02" w:rsidRDefault="003C227D" w:rsidP="00325CE9">
            <w:pPr>
              <w:spacing w:before="60" w:after="60"/>
              <w:jc w:val="both"/>
              <w:rPr>
                <w:rFonts w:ascii="Arial" w:hAnsi="Arial" w:cs="Arial"/>
                <w:b/>
                <w:sz w:val="16"/>
                <w:szCs w:val="16"/>
              </w:rPr>
            </w:pPr>
          </w:p>
        </w:tc>
        <w:tc>
          <w:tcPr>
            <w:tcW w:w="1190" w:type="dxa"/>
            <w:vAlign w:val="center"/>
          </w:tcPr>
          <w:p w14:paraId="65EA8233" w14:textId="77777777" w:rsidR="003C227D" w:rsidRPr="004E3E02" w:rsidRDefault="003C227D" w:rsidP="00325CE9">
            <w:pPr>
              <w:spacing w:before="60" w:after="60"/>
              <w:jc w:val="center"/>
              <w:rPr>
                <w:rFonts w:ascii="Arial" w:hAnsi="Arial" w:cs="Arial"/>
                <w:b/>
                <w:sz w:val="16"/>
                <w:szCs w:val="16"/>
              </w:rPr>
            </w:pPr>
            <w:r w:rsidRPr="004E3E02">
              <w:rPr>
                <w:rFonts w:ascii="Arial" w:hAnsi="Arial" w:cs="Arial"/>
                <w:b/>
                <w:sz w:val="16"/>
                <w:szCs w:val="16"/>
              </w:rPr>
              <w:t>Air</w:t>
            </w:r>
          </w:p>
        </w:tc>
        <w:tc>
          <w:tcPr>
            <w:tcW w:w="1191" w:type="dxa"/>
            <w:vAlign w:val="center"/>
          </w:tcPr>
          <w:p w14:paraId="7091D643" w14:textId="77777777" w:rsidR="003C227D" w:rsidRPr="004E3E02" w:rsidRDefault="003C227D" w:rsidP="00325CE9">
            <w:pPr>
              <w:spacing w:before="60" w:after="60"/>
              <w:jc w:val="center"/>
              <w:rPr>
                <w:rFonts w:ascii="Arial" w:hAnsi="Arial" w:cs="Arial"/>
                <w:b/>
                <w:sz w:val="16"/>
                <w:szCs w:val="16"/>
              </w:rPr>
            </w:pPr>
            <w:r w:rsidRPr="004E3E02">
              <w:rPr>
                <w:rFonts w:ascii="Arial" w:hAnsi="Arial" w:cs="Arial"/>
                <w:b/>
                <w:sz w:val="16"/>
                <w:szCs w:val="16"/>
              </w:rPr>
              <w:t>Water</w:t>
            </w:r>
          </w:p>
        </w:tc>
        <w:tc>
          <w:tcPr>
            <w:tcW w:w="1304" w:type="dxa"/>
            <w:vAlign w:val="center"/>
          </w:tcPr>
          <w:p w14:paraId="25D5AC39" w14:textId="77777777" w:rsidR="003C227D" w:rsidRPr="004E3E02" w:rsidRDefault="003C227D" w:rsidP="00325CE9">
            <w:pPr>
              <w:spacing w:before="60" w:after="60"/>
              <w:jc w:val="center"/>
              <w:rPr>
                <w:rFonts w:ascii="Arial" w:hAnsi="Arial" w:cs="Arial"/>
                <w:b/>
                <w:sz w:val="16"/>
                <w:szCs w:val="16"/>
              </w:rPr>
            </w:pPr>
            <w:r w:rsidRPr="004E3E02">
              <w:rPr>
                <w:rFonts w:ascii="Arial" w:hAnsi="Arial" w:cs="Arial"/>
                <w:b/>
                <w:sz w:val="16"/>
                <w:szCs w:val="16"/>
              </w:rPr>
              <w:t>Land</w:t>
            </w:r>
          </w:p>
        </w:tc>
        <w:tc>
          <w:tcPr>
            <w:tcW w:w="1077" w:type="dxa"/>
            <w:vAlign w:val="center"/>
          </w:tcPr>
          <w:p w14:paraId="113CBF22" w14:textId="77777777" w:rsidR="003C227D" w:rsidRPr="004E3E02" w:rsidRDefault="003C227D" w:rsidP="00325CE9">
            <w:pPr>
              <w:spacing w:before="60" w:after="60"/>
              <w:jc w:val="center"/>
              <w:rPr>
                <w:rFonts w:ascii="Arial" w:hAnsi="Arial" w:cs="Arial"/>
                <w:b/>
                <w:sz w:val="16"/>
                <w:szCs w:val="16"/>
              </w:rPr>
            </w:pPr>
            <w:r w:rsidRPr="004E3E02">
              <w:rPr>
                <w:rFonts w:ascii="Arial" w:hAnsi="Arial" w:cs="Arial"/>
                <w:b/>
                <w:sz w:val="16"/>
                <w:szCs w:val="16"/>
              </w:rPr>
              <w:t>Product</w:t>
            </w:r>
          </w:p>
        </w:tc>
        <w:tc>
          <w:tcPr>
            <w:tcW w:w="1191" w:type="dxa"/>
            <w:vAlign w:val="center"/>
          </w:tcPr>
          <w:p w14:paraId="627D2635" w14:textId="77777777" w:rsidR="003C227D" w:rsidRPr="004E3E02" w:rsidRDefault="003C227D" w:rsidP="00325CE9">
            <w:pPr>
              <w:spacing w:before="60" w:after="60"/>
              <w:jc w:val="center"/>
              <w:rPr>
                <w:rFonts w:ascii="Arial" w:hAnsi="Arial" w:cs="Arial"/>
                <w:b/>
                <w:sz w:val="16"/>
                <w:szCs w:val="16"/>
              </w:rPr>
            </w:pPr>
            <w:r w:rsidRPr="004E3E02">
              <w:rPr>
                <w:rFonts w:ascii="Arial" w:hAnsi="Arial" w:cs="Arial"/>
                <w:b/>
                <w:sz w:val="16"/>
                <w:szCs w:val="16"/>
              </w:rPr>
              <w:t>Waste</w:t>
            </w:r>
          </w:p>
        </w:tc>
      </w:tr>
      <w:tr w:rsidR="003C227D" w:rsidRPr="007901FE" w14:paraId="4994C34B" w14:textId="77777777" w:rsidTr="00325CE9">
        <w:tc>
          <w:tcPr>
            <w:tcW w:w="1701" w:type="dxa"/>
            <w:vAlign w:val="center"/>
          </w:tcPr>
          <w:p w14:paraId="203B43E7" w14:textId="77777777" w:rsidR="003C227D" w:rsidRPr="00246738" w:rsidRDefault="003C227D" w:rsidP="00325CE9">
            <w:pPr>
              <w:spacing w:before="60" w:after="60"/>
              <w:rPr>
                <w:rFonts w:ascii="Arial" w:hAnsi="Arial" w:cs="Arial"/>
                <w:sz w:val="16"/>
                <w:szCs w:val="16"/>
              </w:rPr>
            </w:pPr>
            <w:r w:rsidRPr="00246738">
              <w:rPr>
                <w:rFonts w:ascii="Arial" w:hAnsi="Arial" w:cs="Arial"/>
                <w:sz w:val="16"/>
                <w:szCs w:val="16"/>
              </w:rPr>
              <w:t xml:space="preserve">1. Extraction and use of fuels/energy sources </w:t>
            </w:r>
          </w:p>
        </w:tc>
        <w:tc>
          <w:tcPr>
            <w:tcW w:w="1418" w:type="dxa"/>
            <w:vAlign w:val="center"/>
          </w:tcPr>
          <w:p w14:paraId="1CA8BE93" w14:textId="77777777" w:rsidR="003C227D" w:rsidRPr="00084096" w:rsidRDefault="003C227D" w:rsidP="00325CE9">
            <w:pPr>
              <w:spacing w:line="300" w:lineRule="atLeast"/>
              <w:jc w:val="center"/>
              <w:rPr>
                <w:rFonts w:ascii="Arial" w:hAnsi="Arial" w:cs="Arial"/>
                <w:sz w:val="16"/>
                <w:szCs w:val="16"/>
              </w:rPr>
            </w:pPr>
            <w:r>
              <w:rPr>
                <w:rFonts w:ascii="Arial" w:hAnsi="Arial" w:cs="Arial"/>
                <w:sz w:val="16"/>
                <w:szCs w:val="16"/>
              </w:rPr>
              <w:t>318.3 – 2515.7 (1417.0)</w:t>
            </w:r>
          </w:p>
        </w:tc>
        <w:tc>
          <w:tcPr>
            <w:tcW w:w="1190" w:type="dxa"/>
            <w:vAlign w:val="center"/>
          </w:tcPr>
          <w:p w14:paraId="10A3D616" w14:textId="77777777" w:rsidR="003C227D" w:rsidRPr="00EA3E23" w:rsidRDefault="003C227D" w:rsidP="00325CE9">
            <w:pPr>
              <w:spacing w:line="300" w:lineRule="atLeast"/>
              <w:jc w:val="center"/>
              <w:rPr>
                <w:rFonts w:ascii="Arial" w:hAnsi="Arial" w:cs="Arial"/>
                <w:sz w:val="16"/>
                <w:szCs w:val="16"/>
              </w:rPr>
            </w:pPr>
            <w:r w:rsidRPr="00EA3E23">
              <w:rPr>
                <w:rFonts w:ascii="Arial" w:hAnsi="Arial" w:cs="Arial"/>
                <w:sz w:val="16"/>
                <w:szCs w:val="16"/>
              </w:rPr>
              <w:t>302.4 – 2.133.8 (1,218.1)</w:t>
            </w:r>
          </w:p>
        </w:tc>
        <w:tc>
          <w:tcPr>
            <w:tcW w:w="1191" w:type="dxa"/>
            <w:vAlign w:val="center"/>
          </w:tcPr>
          <w:p w14:paraId="7858C4CF" w14:textId="77777777" w:rsidR="003C227D" w:rsidRPr="00EA3E23" w:rsidRDefault="003C227D" w:rsidP="00325CE9">
            <w:pPr>
              <w:spacing w:line="300" w:lineRule="atLeast"/>
              <w:jc w:val="center"/>
              <w:rPr>
                <w:rFonts w:ascii="Arial" w:hAnsi="Arial" w:cs="Arial"/>
                <w:sz w:val="16"/>
                <w:szCs w:val="16"/>
              </w:rPr>
            </w:pPr>
            <w:r w:rsidRPr="00EA3E23">
              <w:rPr>
                <w:rFonts w:ascii="Arial" w:hAnsi="Arial" w:cs="Arial"/>
                <w:sz w:val="16"/>
                <w:szCs w:val="16"/>
              </w:rPr>
              <w:t>8.9 – 97.7 (53.3)</w:t>
            </w:r>
          </w:p>
        </w:tc>
        <w:tc>
          <w:tcPr>
            <w:tcW w:w="1304" w:type="dxa"/>
            <w:vAlign w:val="center"/>
          </w:tcPr>
          <w:p w14:paraId="00832999" w14:textId="7B81FE64" w:rsidR="003C227D" w:rsidRPr="00EA3E23" w:rsidRDefault="00E124F3" w:rsidP="00325CE9">
            <w:pPr>
              <w:spacing w:line="300" w:lineRule="atLeast"/>
              <w:jc w:val="center"/>
              <w:rPr>
                <w:rFonts w:ascii="Arial" w:hAnsi="Arial" w:cs="Arial"/>
                <w:sz w:val="16"/>
                <w:szCs w:val="16"/>
              </w:rPr>
            </w:pPr>
            <w:r>
              <w:rPr>
                <w:rFonts w:ascii="Arial" w:hAnsi="Arial" w:cs="Arial"/>
                <w:sz w:val="16"/>
                <w:szCs w:val="16"/>
              </w:rPr>
              <w:t>1.5 – 5.3</w:t>
            </w:r>
            <w:r>
              <w:rPr>
                <w:rFonts w:ascii="Arial" w:hAnsi="Arial" w:cs="Arial"/>
                <w:sz w:val="16"/>
                <w:szCs w:val="16"/>
              </w:rPr>
              <w:br/>
              <w:t xml:space="preserve"> (3.4</w:t>
            </w:r>
            <w:r w:rsidR="003C227D" w:rsidRPr="00EA3E23">
              <w:rPr>
                <w:rFonts w:ascii="Arial" w:hAnsi="Arial" w:cs="Arial"/>
                <w:sz w:val="16"/>
                <w:szCs w:val="16"/>
              </w:rPr>
              <w:t>)</w:t>
            </w:r>
          </w:p>
        </w:tc>
        <w:tc>
          <w:tcPr>
            <w:tcW w:w="1077" w:type="dxa"/>
            <w:vAlign w:val="center"/>
          </w:tcPr>
          <w:p w14:paraId="42DF7161" w14:textId="77777777" w:rsidR="003C227D" w:rsidRPr="00EA3E23" w:rsidRDefault="003C227D" w:rsidP="00325CE9">
            <w:pPr>
              <w:spacing w:line="300" w:lineRule="atLeast"/>
              <w:jc w:val="center"/>
              <w:rPr>
                <w:rFonts w:ascii="Arial" w:hAnsi="Arial" w:cs="Arial"/>
                <w:sz w:val="16"/>
                <w:szCs w:val="16"/>
              </w:rPr>
            </w:pPr>
            <w:r w:rsidRPr="00EA3E23">
              <w:rPr>
                <w:rFonts w:ascii="Arial" w:hAnsi="Arial" w:cs="Arial"/>
                <w:sz w:val="16"/>
                <w:szCs w:val="16"/>
              </w:rPr>
              <w:t>-</w:t>
            </w:r>
          </w:p>
        </w:tc>
        <w:tc>
          <w:tcPr>
            <w:tcW w:w="1191" w:type="dxa"/>
            <w:vAlign w:val="center"/>
          </w:tcPr>
          <w:p w14:paraId="110D62D2" w14:textId="77777777" w:rsidR="003C227D" w:rsidRPr="00EA3E23" w:rsidRDefault="003C227D" w:rsidP="00325CE9">
            <w:pPr>
              <w:spacing w:line="300" w:lineRule="atLeast"/>
              <w:jc w:val="center"/>
              <w:rPr>
                <w:rFonts w:ascii="Arial" w:hAnsi="Arial" w:cs="Arial"/>
                <w:sz w:val="16"/>
                <w:szCs w:val="16"/>
              </w:rPr>
            </w:pPr>
            <w:r w:rsidRPr="00EA3E23">
              <w:rPr>
                <w:rFonts w:ascii="Arial" w:hAnsi="Arial" w:cs="Arial"/>
                <w:sz w:val="16"/>
                <w:szCs w:val="16"/>
              </w:rPr>
              <w:t>5.51 – 278.8 (142.1)</w:t>
            </w:r>
          </w:p>
        </w:tc>
      </w:tr>
      <w:tr w:rsidR="003C227D" w:rsidRPr="007901FE" w14:paraId="14A2E55D" w14:textId="77777777" w:rsidTr="00325CE9">
        <w:tc>
          <w:tcPr>
            <w:tcW w:w="1701" w:type="dxa"/>
            <w:vAlign w:val="center"/>
          </w:tcPr>
          <w:p w14:paraId="6B14E624" w14:textId="77777777" w:rsidR="003C227D" w:rsidRPr="00845746" w:rsidRDefault="003C227D" w:rsidP="00325CE9">
            <w:pPr>
              <w:spacing w:before="60" w:after="60"/>
              <w:ind w:left="34"/>
              <w:rPr>
                <w:rFonts w:ascii="Arial" w:hAnsi="Arial" w:cs="Arial"/>
                <w:sz w:val="16"/>
                <w:szCs w:val="16"/>
              </w:rPr>
            </w:pPr>
            <w:r w:rsidRPr="00845746">
              <w:rPr>
                <w:rFonts w:ascii="Arial" w:hAnsi="Arial" w:cs="Arial"/>
                <w:sz w:val="16"/>
                <w:szCs w:val="16"/>
              </w:rPr>
              <w:t xml:space="preserve">2. Primary (virgin) metal production </w:t>
            </w:r>
          </w:p>
        </w:tc>
        <w:tc>
          <w:tcPr>
            <w:tcW w:w="1418" w:type="dxa"/>
            <w:vAlign w:val="center"/>
          </w:tcPr>
          <w:p w14:paraId="1BCDE160" w14:textId="77777777" w:rsidR="003C227D" w:rsidRPr="00B33B70" w:rsidRDefault="003C227D" w:rsidP="00325CE9">
            <w:pPr>
              <w:spacing w:line="300" w:lineRule="atLeast"/>
              <w:jc w:val="center"/>
              <w:rPr>
                <w:rFonts w:ascii="Arial" w:hAnsi="Arial" w:cs="Arial"/>
                <w:sz w:val="16"/>
                <w:szCs w:val="16"/>
              </w:rPr>
            </w:pPr>
            <w:r w:rsidRPr="00B33B70">
              <w:rPr>
                <w:rFonts w:ascii="Arial" w:hAnsi="Arial" w:cs="Arial"/>
                <w:sz w:val="16"/>
                <w:szCs w:val="16"/>
              </w:rPr>
              <w:t>1570.8 – 13,305.2 (5,044.7)</w:t>
            </w:r>
          </w:p>
        </w:tc>
        <w:tc>
          <w:tcPr>
            <w:tcW w:w="1190" w:type="dxa"/>
            <w:vAlign w:val="center"/>
          </w:tcPr>
          <w:p w14:paraId="444BE1BD" w14:textId="77777777" w:rsidR="003C227D" w:rsidRPr="00B33B70" w:rsidRDefault="003C227D" w:rsidP="00325CE9">
            <w:pPr>
              <w:spacing w:line="300" w:lineRule="atLeast"/>
              <w:jc w:val="center"/>
              <w:rPr>
                <w:rFonts w:ascii="Arial" w:hAnsi="Arial" w:cs="Arial"/>
                <w:sz w:val="16"/>
                <w:szCs w:val="16"/>
              </w:rPr>
            </w:pPr>
            <w:r w:rsidRPr="00B33B70">
              <w:rPr>
                <w:rFonts w:ascii="Arial" w:hAnsi="Arial" w:cs="Arial"/>
                <w:sz w:val="16"/>
                <w:szCs w:val="16"/>
              </w:rPr>
              <w:t>85.7 – 614.2 (254.2)</w:t>
            </w:r>
          </w:p>
        </w:tc>
        <w:tc>
          <w:tcPr>
            <w:tcW w:w="1191" w:type="dxa"/>
            <w:vAlign w:val="center"/>
          </w:tcPr>
          <w:p w14:paraId="2E1FDC8A" w14:textId="77777777" w:rsidR="003C227D" w:rsidRPr="00B33B70" w:rsidRDefault="003C227D" w:rsidP="00325CE9">
            <w:pPr>
              <w:spacing w:line="300" w:lineRule="atLeast"/>
              <w:jc w:val="center"/>
              <w:rPr>
                <w:rFonts w:ascii="Arial" w:hAnsi="Arial" w:cs="Arial"/>
                <w:sz w:val="16"/>
                <w:szCs w:val="16"/>
              </w:rPr>
            </w:pPr>
            <w:r w:rsidRPr="00B33B70">
              <w:rPr>
                <w:rFonts w:ascii="Arial" w:hAnsi="Arial" w:cs="Arial"/>
                <w:sz w:val="16"/>
                <w:szCs w:val="16"/>
              </w:rPr>
              <w:t>38.2 – 270.3 (106.4)</w:t>
            </w:r>
          </w:p>
        </w:tc>
        <w:tc>
          <w:tcPr>
            <w:tcW w:w="1304" w:type="dxa"/>
            <w:vAlign w:val="center"/>
          </w:tcPr>
          <w:p w14:paraId="175C5B8C" w14:textId="77777777" w:rsidR="003C227D" w:rsidRPr="00B33B70" w:rsidRDefault="003C227D" w:rsidP="00325CE9">
            <w:pPr>
              <w:spacing w:line="300" w:lineRule="atLeast"/>
              <w:jc w:val="center"/>
              <w:rPr>
                <w:rFonts w:ascii="Arial" w:hAnsi="Arial" w:cs="Arial"/>
                <w:sz w:val="16"/>
                <w:szCs w:val="16"/>
              </w:rPr>
            </w:pPr>
            <w:r w:rsidRPr="00B33B70">
              <w:rPr>
                <w:rFonts w:ascii="Arial" w:hAnsi="Arial" w:cs="Arial"/>
                <w:sz w:val="16"/>
                <w:szCs w:val="16"/>
              </w:rPr>
              <w:t>1,365 – 11,811 (4.426)</w:t>
            </w:r>
          </w:p>
        </w:tc>
        <w:tc>
          <w:tcPr>
            <w:tcW w:w="1077" w:type="dxa"/>
            <w:vAlign w:val="center"/>
          </w:tcPr>
          <w:p w14:paraId="4D30D34A" w14:textId="77777777" w:rsidR="003C227D" w:rsidRPr="00B33B70" w:rsidRDefault="003C227D" w:rsidP="00325CE9">
            <w:pPr>
              <w:spacing w:line="300" w:lineRule="atLeast"/>
              <w:jc w:val="center"/>
              <w:rPr>
                <w:rFonts w:ascii="Arial" w:hAnsi="Arial" w:cs="Arial"/>
                <w:sz w:val="16"/>
                <w:szCs w:val="16"/>
              </w:rPr>
            </w:pPr>
            <w:r w:rsidRPr="00B33B70">
              <w:rPr>
                <w:rFonts w:ascii="Arial" w:hAnsi="Arial" w:cs="Arial"/>
                <w:sz w:val="16"/>
                <w:szCs w:val="16"/>
              </w:rPr>
              <w:t>60.3 – 525 (196.7)</w:t>
            </w:r>
          </w:p>
        </w:tc>
        <w:tc>
          <w:tcPr>
            <w:tcW w:w="1191" w:type="dxa"/>
            <w:vAlign w:val="center"/>
          </w:tcPr>
          <w:p w14:paraId="65269805" w14:textId="77777777" w:rsidR="003C227D" w:rsidRPr="00B33B70" w:rsidRDefault="003C227D" w:rsidP="00325CE9">
            <w:pPr>
              <w:spacing w:line="300" w:lineRule="atLeast"/>
              <w:jc w:val="center"/>
              <w:rPr>
                <w:rFonts w:ascii="Arial" w:hAnsi="Arial" w:cs="Arial"/>
                <w:sz w:val="16"/>
                <w:szCs w:val="16"/>
              </w:rPr>
            </w:pPr>
            <w:r w:rsidRPr="00B33B70">
              <w:rPr>
                <w:rFonts w:ascii="Arial" w:hAnsi="Arial" w:cs="Arial"/>
                <w:sz w:val="16"/>
                <w:szCs w:val="16"/>
              </w:rPr>
              <w:t>21.4 -85.6 (53.5)</w:t>
            </w:r>
          </w:p>
        </w:tc>
      </w:tr>
      <w:tr w:rsidR="005B39DB" w:rsidRPr="007901FE" w14:paraId="4A9F7058" w14:textId="77777777" w:rsidTr="00325CE9">
        <w:tc>
          <w:tcPr>
            <w:tcW w:w="1701" w:type="dxa"/>
            <w:vAlign w:val="center"/>
          </w:tcPr>
          <w:p w14:paraId="4845E9B1" w14:textId="77777777" w:rsidR="005B39DB" w:rsidRPr="00246738" w:rsidRDefault="005B39DB" w:rsidP="005B39DB">
            <w:pPr>
              <w:spacing w:before="60" w:after="60"/>
              <w:ind w:left="34"/>
              <w:rPr>
                <w:rFonts w:ascii="Arial" w:hAnsi="Arial" w:cs="Arial"/>
                <w:sz w:val="16"/>
                <w:szCs w:val="16"/>
              </w:rPr>
            </w:pPr>
            <w:r w:rsidRPr="00246738">
              <w:rPr>
                <w:rFonts w:ascii="Arial" w:hAnsi="Arial" w:cs="Arial"/>
                <w:sz w:val="16"/>
                <w:szCs w:val="16"/>
              </w:rPr>
              <w:t>3. Production of other minerals and materials</w:t>
            </w:r>
          </w:p>
        </w:tc>
        <w:tc>
          <w:tcPr>
            <w:tcW w:w="1418" w:type="dxa"/>
            <w:vAlign w:val="center"/>
          </w:tcPr>
          <w:p w14:paraId="3D22FB06" w14:textId="3CF79F24" w:rsidR="005B39DB" w:rsidRPr="005B39DB" w:rsidRDefault="00E124F3" w:rsidP="005B39DB">
            <w:pPr>
              <w:spacing w:line="300" w:lineRule="atLeast"/>
              <w:jc w:val="center"/>
              <w:rPr>
                <w:rFonts w:ascii="Arial" w:hAnsi="Arial" w:cs="Arial"/>
                <w:sz w:val="16"/>
                <w:szCs w:val="16"/>
              </w:rPr>
            </w:pPr>
            <w:r>
              <w:rPr>
                <w:rFonts w:ascii="Arial" w:hAnsi="Arial" w:cs="Arial"/>
                <w:sz w:val="16"/>
                <w:szCs w:val="16"/>
              </w:rPr>
              <w:t>61.4</w:t>
            </w:r>
            <w:r w:rsidR="005B39DB" w:rsidRPr="005B39DB">
              <w:rPr>
                <w:rFonts w:ascii="Arial" w:hAnsi="Arial" w:cs="Arial"/>
                <w:sz w:val="16"/>
                <w:szCs w:val="16"/>
              </w:rPr>
              <w:t xml:space="preserve"> – 123.</w:t>
            </w:r>
            <w:r>
              <w:rPr>
                <w:rFonts w:ascii="Arial" w:hAnsi="Arial" w:cs="Arial"/>
                <w:sz w:val="16"/>
                <w:szCs w:val="16"/>
              </w:rPr>
              <w:t>5</w:t>
            </w:r>
            <w:r w:rsidR="005B39DB" w:rsidRPr="005B39DB">
              <w:rPr>
                <w:rFonts w:ascii="Arial" w:hAnsi="Arial" w:cs="Arial"/>
                <w:sz w:val="16"/>
                <w:szCs w:val="16"/>
              </w:rPr>
              <w:t xml:space="preserve"> (92.4)</w:t>
            </w:r>
          </w:p>
        </w:tc>
        <w:tc>
          <w:tcPr>
            <w:tcW w:w="1190" w:type="dxa"/>
            <w:vAlign w:val="center"/>
          </w:tcPr>
          <w:p w14:paraId="0204F937" w14:textId="7C2811A2" w:rsidR="005B39DB" w:rsidRPr="005B39DB" w:rsidRDefault="005B39DB" w:rsidP="005B39DB">
            <w:pPr>
              <w:spacing w:line="300" w:lineRule="atLeast"/>
              <w:jc w:val="center"/>
              <w:rPr>
                <w:rFonts w:ascii="Arial" w:hAnsi="Arial" w:cs="Arial"/>
                <w:sz w:val="16"/>
                <w:szCs w:val="16"/>
              </w:rPr>
            </w:pPr>
            <w:r w:rsidRPr="005B39DB">
              <w:rPr>
                <w:rFonts w:ascii="Arial" w:hAnsi="Arial" w:cs="Arial"/>
                <w:sz w:val="16"/>
                <w:szCs w:val="16"/>
              </w:rPr>
              <w:t>1</w:t>
            </w:r>
            <w:r w:rsidR="00E124F3">
              <w:rPr>
                <w:rFonts w:ascii="Arial" w:hAnsi="Arial" w:cs="Arial"/>
                <w:sz w:val="16"/>
                <w:szCs w:val="16"/>
              </w:rPr>
              <w:t>.2</w:t>
            </w:r>
            <w:r w:rsidRPr="005B39DB">
              <w:rPr>
                <w:rFonts w:ascii="Arial" w:hAnsi="Arial" w:cs="Arial"/>
                <w:sz w:val="16"/>
                <w:szCs w:val="16"/>
              </w:rPr>
              <w:t xml:space="preserve"> –</w:t>
            </w:r>
            <w:r w:rsidR="00E124F3">
              <w:rPr>
                <w:rFonts w:ascii="Arial" w:hAnsi="Arial" w:cs="Arial"/>
                <w:sz w:val="16"/>
                <w:szCs w:val="16"/>
              </w:rPr>
              <w:t xml:space="preserve"> 3.8 (2.5</w:t>
            </w:r>
            <w:r w:rsidRPr="005B39DB">
              <w:rPr>
                <w:rFonts w:ascii="Arial" w:hAnsi="Arial" w:cs="Arial"/>
                <w:sz w:val="16"/>
                <w:szCs w:val="16"/>
              </w:rPr>
              <w:t>)</w:t>
            </w:r>
          </w:p>
        </w:tc>
        <w:tc>
          <w:tcPr>
            <w:tcW w:w="1191" w:type="dxa"/>
            <w:vAlign w:val="center"/>
          </w:tcPr>
          <w:p w14:paraId="13D952E7" w14:textId="444D0D2A" w:rsidR="005B39DB" w:rsidRPr="005B39DB" w:rsidRDefault="005B39DB" w:rsidP="005B39DB">
            <w:pPr>
              <w:spacing w:line="300" w:lineRule="atLeast"/>
              <w:jc w:val="center"/>
              <w:rPr>
                <w:rFonts w:ascii="Arial" w:hAnsi="Arial" w:cs="Arial"/>
                <w:sz w:val="16"/>
                <w:szCs w:val="16"/>
              </w:rPr>
            </w:pPr>
            <w:r w:rsidRPr="005B39DB">
              <w:rPr>
                <w:rFonts w:ascii="Arial" w:hAnsi="Arial" w:cs="Arial"/>
                <w:sz w:val="16"/>
                <w:szCs w:val="16"/>
              </w:rPr>
              <w:t>-</w:t>
            </w:r>
          </w:p>
        </w:tc>
        <w:tc>
          <w:tcPr>
            <w:tcW w:w="1304" w:type="dxa"/>
            <w:vAlign w:val="center"/>
          </w:tcPr>
          <w:p w14:paraId="134E29EF" w14:textId="3C490FBD" w:rsidR="005B39DB" w:rsidRPr="005B39DB" w:rsidRDefault="00E124F3" w:rsidP="005B39DB">
            <w:pPr>
              <w:spacing w:line="300" w:lineRule="atLeast"/>
              <w:jc w:val="center"/>
              <w:rPr>
                <w:rFonts w:ascii="Arial" w:hAnsi="Arial" w:cs="Arial"/>
                <w:sz w:val="16"/>
                <w:szCs w:val="16"/>
              </w:rPr>
            </w:pPr>
            <w:r>
              <w:rPr>
                <w:rFonts w:ascii="Arial" w:hAnsi="Arial" w:cs="Arial"/>
                <w:sz w:val="16"/>
                <w:szCs w:val="16"/>
              </w:rPr>
              <w:t>59.7 – 118.1 (88.</w:t>
            </w:r>
            <w:r w:rsidR="005B39DB" w:rsidRPr="005B39DB">
              <w:rPr>
                <w:rFonts w:ascii="Arial" w:hAnsi="Arial" w:cs="Arial"/>
                <w:sz w:val="16"/>
                <w:szCs w:val="16"/>
              </w:rPr>
              <w:t>9)</w:t>
            </w:r>
          </w:p>
        </w:tc>
        <w:tc>
          <w:tcPr>
            <w:tcW w:w="1077" w:type="dxa"/>
            <w:vAlign w:val="center"/>
          </w:tcPr>
          <w:p w14:paraId="38AB8147" w14:textId="61D9C529" w:rsidR="005B39DB" w:rsidRPr="005B39DB" w:rsidRDefault="00E124F3" w:rsidP="005B39DB">
            <w:pPr>
              <w:spacing w:line="300" w:lineRule="atLeast"/>
              <w:jc w:val="center"/>
              <w:rPr>
                <w:rFonts w:ascii="Arial" w:hAnsi="Arial" w:cs="Arial"/>
                <w:sz w:val="16"/>
                <w:szCs w:val="16"/>
              </w:rPr>
            </w:pPr>
            <w:r>
              <w:rPr>
                <w:rFonts w:ascii="Arial" w:hAnsi="Arial" w:cs="Arial"/>
                <w:sz w:val="16"/>
                <w:szCs w:val="16"/>
              </w:rPr>
              <w:t>0.5 – 1.6 (1.1</w:t>
            </w:r>
            <w:r w:rsidR="005B39DB" w:rsidRPr="005B39DB">
              <w:rPr>
                <w:rFonts w:ascii="Arial" w:hAnsi="Arial" w:cs="Arial"/>
                <w:sz w:val="16"/>
                <w:szCs w:val="16"/>
              </w:rPr>
              <w:t>)</w:t>
            </w:r>
          </w:p>
        </w:tc>
        <w:tc>
          <w:tcPr>
            <w:tcW w:w="1191" w:type="dxa"/>
            <w:vAlign w:val="center"/>
          </w:tcPr>
          <w:p w14:paraId="268B5743" w14:textId="7DEE63A6" w:rsidR="005B39DB" w:rsidRPr="005B39DB" w:rsidRDefault="005B39DB" w:rsidP="005B39DB">
            <w:pPr>
              <w:spacing w:line="300" w:lineRule="atLeast"/>
              <w:jc w:val="center"/>
              <w:rPr>
                <w:rFonts w:ascii="Arial" w:hAnsi="Arial" w:cs="Arial"/>
                <w:sz w:val="16"/>
                <w:szCs w:val="16"/>
              </w:rPr>
            </w:pPr>
            <w:r w:rsidRPr="005B39DB">
              <w:rPr>
                <w:rFonts w:ascii="Arial" w:hAnsi="Arial" w:cs="Arial"/>
                <w:sz w:val="16"/>
                <w:szCs w:val="16"/>
              </w:rPr>
              <w:t>-</w:t>
            </w:r>
          </w:p>
        </w:tc>
      </w:tr>
      <w:tr w:rsidR="003C227D" w:rsidRPr="007901FE" w14:paraId="60CCD462" w14:textId="77777777" w:rsidTr="00325CE9">
        <w:tc>
          <w:tcPr>
            <w:tcW w:w="1701" w:type="dxa"/>
            <w:vAlign w:val="center"/>
          </w:tcPr>
          <w:p w14:paraId="61A5B2FD" w14:textId="77777777" w:rsidR="003C227D" w:rsidRPr="00246738" w:rsidRDefault="003C227D" w:rsidP="00325CE9">
            <w:pPr>
              <w:spacing w:before="60" w:after="60"/>
              <w:ind w:left="34"/>
              <w:rPr>
                <w:rFonts w:ascii="Arial" w:hAnsi="Arial" w:cs="Arial"/>
                <w:sz w:val="16"/>
                <w:szCs w:val="16"/>
              </w:rPr>
            </w:pPr>
            <w:r w:rsidRPr="00246738">
              <w:rPr>
                <w:rFonts w:ascii="Arial" w:hAnsi="Arial" w:cs="Arial"/>
                <w:sz w:val="16"/>
                <w:szCs w:val="16"/>
              </w:rPr>
              <w:t xml:space="preserve">4. Intentional use in industrial processes </w:t>
            </w:r>
          </w:p>
        </w:tc>
        <w:tc>
          <w:tcPr>
            <w:tcW w:w="1418" w:type="dxa"/>
            <w:vAlign w:val="center"/>
          </w:tcPr>
          <w:p w14:paraId="2CD077A4" w14:textId="77777777" w:rsidR="003C227D" w:rsidRPr="00AA48C3" w:rsidRDefault="003C227D" w:rsidP="00325CE9">
            <w:pPr>
              <w:spacing w:before="60" w:after="60"/>
              <w:jc w:val="center"/>
              <w:rPr>
                <w:rFonts w:ascii="Arial" w:hAnsi="Arial" w:cs="Arial"/>
                <w:sz w:val="16"/>
                <w:szCs w:val="16"/>
              </w:rPr>
            </w:pPr>
            <w:r w:rsidRPr="00AA48C3">
              <w:rPr>
                <w:rFonts w:ascii="Arial" w:hAnsi="Arial" w:cs="Arial"/>
                <w:sz w:val="16"/>
                <w:szCs w:val="16"/>
              </w:rPr>
              <w:t>-</w:t>
            </w:r>
          </w:p>
        </w:tc>
        <w:tc>
          <w:tcPr>
            <w:tcW w:w="1190" w:type="dxa"/>
            <w:vAlign w:val="center"/>
          </w:tcPr>
          <w:p w14:paraId="548A9F5A" w14:textId="77777777" w:rsidR="003C227D" w:rsidRPr="00AA48C3" w:rsidRDefault="003C227D" w:rsidP="00325CE9">
            <w:pPr>
              <w:spacing w:before="60" w:after="60"/>
              <w:jc w:val="center"/>
              <w:rPr>
                <w:rFonts w:ascii="Arial" w:hAnsi="Arial" w:cs="Arial"/>
                <w:sz w:val="16"/>
                <w:szCs w:val="16"/>
              </w:rPr>
            </w:pPr>
            <w:r w:rsidRPr="00AA48C3">
              <w:rPr>
                <w:rFonts w:ascii="Arial" w:hAnsi="Arial" w:cs="Arial"/>
                <w:sz w:val="16"/>
                <w:szCs w:val="16"/>
              </w:rPr>
              <w:t>-</w:t>
            </w:r>
          </w:p>
        </w:tc>
        <w:tc>
          <w:tcPr>
            <w:tcW w:w="1191" w:type="dxa"/>
            <w:vAlign w:val="center"/>
          </w:tcPr>
          <w:p w14:paraId="65101230" w14:textId="77777777" w:rsidR="003C227D" w:rsidRPr="00AA48C3" w:rsidRDefault="003C227D" w:rsidP="00325CE9">
            <w:pPr>
              <w:spacing w:before="60" w:after="60"/>
              <w:jc w:val="center"/>
              <w:rPr>
                <w:rFonts w:ascii="Arial" w:hAnsi="Arial" w:cs="Arial"/>
                <w:sz w:val="16"/>
                <w:szCs w:val="16"/>
              </w:rPr>
            </w:pPr>
            <w:r w:rsidRPr="00AA48C3">
              <w:rPr>
                <w:rFonts w:ascii="Arial" w:hAnsi="Arial" w:cs="Arial"/>
                <w:sz w:val="16"/>
                <w:szCs w:val="16"/>
              </w:rPr>
              <w:t>-</w:t>
            </w:r>
          </w:p>
        </w:tc>
        <w:tc>
          <w:tcPr>
            <w:tcW w:w="1304" w:type="dxa"/>
            <w:vAlign w:val="center"/>
          </w:tcPr>
          <w:p w14:paraId="3496BB1E" w14:textId="77777777" w:rsidR="003C227D" w:rsidRPr="00AA48C3" w:rsidRDefault="003C227D" w:rsidP="00325CE9">
            <w:pPr>
              <w:spacing w:before="60" w:after="60"/>
              <w:jc w:val="center"/>
              <w:rPr>
                <w:rFonts w:ascii="Arial" w:hAnsi="Arial" w:cs="Arial"/>
                <w:sz w:val="16"/>
                <w:szCs w:val="16"/>
              </w:rPr>
            </w:pPr>
            <w:r w:rsidRPr="00AA48C3">
              <w:rPr>
                <w:rFonts w:ascii="Arial" w:hAnsi="Arial" w:cs="Arial"/>
                <w:sz w:val="16"/>
                <w:szCs w:val="16"/>
              </w:rPr>
              <w:t>-</w:t>
            </w:r>
          </w:p>
        </w:tc>
        <w:tc>
          <w:tcPr>
            <w:tcW w:w="1077" w:type="dxa"/>
            <w:vAlign w:val="center"/>
          </w:tcPr>
          <w:p w14:paraId="15953528" w14:textId="77777777" w:rsidR="003C227D" w:rsidRPr="00AA48C3" w:rsidRDefault="003C227D" w:rsidP="00325CE9">
            <w:pPr>
              <w:spacing w:before="60" w:after="60"/>
              <w:jc w:val="center"/>
              <w:rPr>
                <w:rFonts w:ascii="Arial" w:hAnsi="Arial" w:cs="Arial"/>
                <w:sz w:val="16"/>
                <w:szCs w:val="16"/>
              </w:rPr>
            </w:pPr>
            <w:r w:rsidRPr="00AA48C3">
              <w:rPr>
                <w:rFonts w:ascii="Arial" w:hAnsi="Arial" w:cs="Arial"/>
                <w:sz w:val="16"/>
                <w:szCs w:val="16"/>
              </w:rPr>
              <w:t>-</w:t>
            </w:r>
          </w:p>
        </w:tc>
        <w:tc>
          <w:tcPr>
            <w:tcW w:w="1191" w:type="dxa"/>
            <w:vAlign w:val="center"/>
          </w:tcPr>
          <w:p w14:paraId="18250F68" w14:textId="77777777" w:rsidR="003C227D" w:rsidRPr="00AA48C3" w:rsidRDefault="003C227D" w:rsidP="00325CE9">
            <w:pPr>
              <w:spacing w:before="60" w:after="60"/>
              <w:jc w:val="center"/>
              <w:rPr>
                <w:rFonts w:ascii="Arial" w:hAnsi="Arial" w:cs="Arial"/>
                <w:sz w:val="16"/>
                <w:szCs w:val="16"/>
              </w:rPr>
            </w:pPr>
            <w:r w:rsidRPr="00AA48C3">
              <w:rPr>
                <w:rFonts w:ascii="Arial" w:hAnsi="Arial" w:cs="Arial"/>
                <w:sz w:val="16"/>
                <w:szCs w:val="16"/>
              </w:rPr>
              <w:t>-</w:t>
            </w:r>
          </w:p>
        </w:tc>
      </w:tr>
      <w:tr w:rsidR="003C227D" w:rsidRPr="007901FE" w14:paraId="30B19392" w14:textId="77777777" w:rsidTr="00325CE9">
        <w:tc>
          <w:tcPr>
            <w:tcW w:w="1701" w:type="dxa"/>
            <w:vAlign w:val="center"/>
          </w:tcPr>
          <w:p w14:paraId="2CFC9802" w14:textId="77777777" w:rsidR="003C227D" w:rsidRPr="00F85126" w:rsidRDefault="003C227D" w:rsidP="00325CE9">
            <w:pPr>
              <w:spacing w:before="60" w:after="60"/>
              <w:ind w:left="34"/>
              <w:rPr>
                <w:rFonts w:ascii="Arial" w:hAnsi="Arial" w:cs="Arial"/>
                <w:sz w:val="16"/>
                <w:szCs w:val="16"/>
                <w:highlight w:val="yellow"/>
              </w:rPr>
            </w:pPr>
            <w:r w:rsidRPr="00424224">
              <w:rPr>
                <w:rFonts w:ascii="Arial" w:hAnsi="Arial" w:cs="Arial"/>
                <w:sz w:val="16"/>
                <w:szCs w:val="16"/>
              </w:rPr>
              <w:t>5. Consumer products with intentional use</w:t>
            </w:r>
          </w:p>
        </w:tc>
        <w:tc>
          <w:tcPr>
            <w:tcW w:w="1418" w:type="dxa"/>
            <w:vAlign w:val="center"/>
          </w:tcPr>
          <w:p w14:paraId="7160477C" w14:textId="412FE357" w:rsidR="003C227D" w:rsidRPr="00424224" w:rsidRDefault="00E124F3" w:rsidP="00325CE9">
            <w:pPr>
              <w:spacing w:line="300" w:lineRule="atLeast"/>
              <w:jc w:val="center"/>
              <w:rPr>
                <w:rFonts w:ascii="Arial" w:hAnsi="Arial" w:cs="Arial"/>
                <w:sz w:val="16"/>
                <w:szCs w:val="16"/>
              </w:rPr>
            </w:pPr>
            <w:r>
              <w:rPr>
                <w:rFonts w:ascii="Arial" w:hAnsi="Arial" w:cs="Arial"/>
                <w:sz w:val="16"/>
                <w:szCs w:val="16"/>
              </w:rPr>
              <w:t>117.2 – 225.5</w:t>
            </w:r>
            <w:r w:rsidR="003C227D" w:rsidRPr="00424224">
              <w:rPr>
                <w:rFonts w:ascii="Arial" w:hAnsi="Arial" w:cs="Arial"/>
                <w:sz w:val="16"/>
                <w:szCs w:val="16"/>
              </w:rPr>
              <w:t xml:space="preserve"> (171.3)</w:t>
            </w:r>
          </w:p>
        </w:tc>
        <w:tc>
          <w:tcPr>
            <w:tcW w:w="1190" w:type="dxa"/>
            <w:vAlign w:val="center"/>
          </w:tcPr>
          <w:p w14:paraId="15A35A2F" w14:textId="4FC917F9" w:rsidR="003C227D" w:rsidRPr="00424224" w:rsidRDefault="00E124F3" w:rsidP="00325CE9">
            <w:pPr>
              <w:spacing w:line="300" w:lineRule="atLeast"/>
              <w:jc w:val="center"/>
              <w:rPr>
                <w:rFonts w:ascii="Arial" w:hAnsi="Arial" w:cs="Arial"/>
                <w:sz w:val="16"/>
                <w:szCs w:val="16"/>
              </w:rPr>
            </w:pPr>
            <w:r>
              <w:rPr>
                <w:rFonts w:ascii="Arial" w:hAnsi="Arial" w:cs="Arial"/>
                <w:sz w:val="16"/>
                <w:szCs w:val="16"/>
              </w:rPr>
              <w:t>2.2 – 12.7</w:t>
            </w:r>
            <w:r w:rsidR="003C227D" w:rsidRPr="00424224">
              <w:rPr>
                <w:rFonts w:ascii="Arial" w:hAnsi="Arial" w:cs="Arial"/>
                <w:sz w:val="16"/>
                <w:szCs w:val="16"/>
              </w:rPr>
              <w:t xml:space="preserve"> (7.4)</w:t>
            </w:r>
          </w:p>
        </w:tc>
        <w:tc>
          <w:tcPr>
            <w:tcW w:w="1191" w:type="dxa"/>
            <w:vAlign w:val="center"/>
          </w:tcPr>
          <w:p w14:paraId="36C7738C" w14:textId="2E681BF6" w:rsidR="003C227D" w:rsidRPr="00424224" w:rsidRDefault="00E124F3" w:rsidP="00E124F3">
            <w:pPr>
              <w:spacing w:line="300" w:lineRule="atLeast"/>
              <w:jc w:val="center"/>
              <w:rPr>
                <w:rFonts w:ascii="Arial" w:hAnsi="Arial" w:cs="Arial"/>
                <w:sz w:val="16"/>
                <w:szCs w:val="16"/>
              </w:rPr>
            </w:pPr>
            <w:r>
              <w:rPr>
                <w:rFonts w:ascii="Arial" w:hAnsi="Arial" w:cs="Arial"/>
                <w:sz w:val="16"/>
                <w:szCs w:val="16"/>
              </w:rPr>
              <w:t>0.6</w:t>
            </w:r>
            <w:r w:rsidR="003C227D" w:rsidRPr="00424224">
              <w:rPr>
                <w:rFonts w:ascii="Arial" w:hAnsi="Arial" w:cs="Arial"/>
                <w:sz w:val="16"/>
                <w:szCs w:val="16"/>
              </w:rPr>
              <w:t xml:space="preserve"> – 5.7 (3.1)</w:t>
            </w:r>
          </w:p>
        </w:tc>
        <w:tc>
          <w:tcPr>
            <w:tcW w:w="1304" w:type="dxa"/>
            <w:vAlign w:val="center"/>
          </w:tcPr>
          <w:p w14:paraId="1CA89DB9" w14:textId="44950A89" w:rsidR="003C227D" w:rsidRPr="00424224" w:rsidRDefault="003C227D" w:rsidP="00325CE9">
            <w:pPr>
              <w:spacing w:line="300" w:lineRule="atLeast"/>
              <w:jc w:val="center"/>
              <w:rPr>
                <w:rFonts w:ascii="Arial" w:hAnsi="Arial" w:cs="Arial"/>
                <w:sz w:val="16"/>
                <w:szCs w:val="16"/>
              </w:rPr>
            </w:pPr>
            <w:r w:rsidRPr="00424224">
              <w:rPr>
                <w:rFonts w:ascii="Arial" w:hAnsi="Arial" w:cs="Arial"/>
                <w:sz w:val="16"/>
                <w:szCs w:val="16"/>
              </w:rPr>
              <w:t>0</w:t>
            </w:r>
            <w:r w:rsidR="00E124F3">
              <w:rPr>
                <w:rFonts w:ascii="Arial" w:hAnsi="Arial" w:cs="Arial"/>
                <w:sz w:val="16"/>
                <w:szCs w:val="16"/>
              </w:rPr>
              <w:t xml:space="preserve">.9 – 9.4 </w:t>
            </w:r>
            <w:r w:rsidR="00E124F3">
              <w:rPr>
                <w:rFonts w:ascii="Arial" w:hAnsi="Arial" w:cs="Arial"/>
                <w:sz w:val="16"/>
                <w:szCs w:val="16"/>
              </w:rPr>
              <w:br/>
              <w:t>(5.2)</w:t>
            </w:r>
          </w:p>
        </w:tc>
        <w:tc>
          <w:tcPr>
            <w:tcW w:w="1077" w:type="dxa"/>
            <w:vAlign w:val="center"/>
          </w:tcPr>
          <w:p w14:paraId="0BB79036" w14:textId="77777777" w:rsidR="003C227D" w:rsidRPr="00424224" w:rsidRDefault="003C227D" w:rsidP="00325CE9">
            <w:pPr>
              <w:spacing w:line="300" w:lineRule="atLeast"/>
              <w:jc w:val="center"/>
              <w:rPr>
                <w:rFonts w:ascii="Arial" w:hAnsi="Arial" w:cs="Arial"/>
                <w:sz w:val="16"/>
                <w:szCs w:val="16"/>
              </w:rPr>
            </w:pPr>
            <w:r w:rsidRPr="00424224">
              <w:rPr>
                <w:rFonts w:ascii="Arial" w:hAnsi="Arial" w:cs="Arial"/>
                <w:sz w:val="16"/>
                <w:szCs w:val="16"/>
              </w:rPr>
              <w:t>40.2</w:t>
            </w:r>
          </w:p>
        </w:tc>
        <w:tc>
          <w:tcPr>
            <w:tcW w:w="1191" w:type="dxa"/>
            <w:vAlign w:val="center"/>
          </w:tcPr>
          <w:p w14:paraId="1C241E78" w14:textId="18FE8FBC" w:rsidR="003C227D" w:rsidRPr="00424224" w:rsidRDefault="00E124F3" w:rsidP="00325CE9">
            <w:pPr>
              <w:spacing w:line="300" w:lineRule="atLeast"/>
              <w:jc w:val="center"/>
              <w:rPr>
                <w:rFonts w:ascii="Arial" w:hAnsi="Arial" w:cs="Arial"/>
                <w:sz w:val="16"/>
                <w:szCs w:val="16"/>
              </w:rPr>
            </w:pPr>
            <w:r>
              <w:rPr>
                <w:rFonts w:ascii="Arial" w:hAnsi="Arial" w:cs="Arial"/>
                <w:sz w:val="16"/>
                <w:szCs w:val="16"/>
              </w:rPr>
              <w:t>73.3 – 157.5</w:t>
            </w:r>
            <w:r w:rsidR="003C227D" w:rsidRPr="00424224">
              <w:rPr>
                <w:rFonts w:ascii="Arial" w:hAnsi="Arial" w:cs="Arial"/>
                <w:sz w:val="16"/>
                <w:szCs w:val="16"/>
              </w:rPr>
              <w:t xml:space="preserve"> (115.4)</w:t>
            </w:r>
          </w:p>
        </w:tc>
      </w:tr>
      <w:tr w:rsidR="003C227D" w:rsidRPr="007901FE" w14:paraId="00CD10FF" w14:textId="77777777" w:rsidTr="00325CE9">
        <w:tc>
          <w:tcPr>
            <w:tcW w:w="1701" w:type="dxa"/>
            <w:vAlign w:val="center"/>
          </w:tcPr>
          <w:p w14:paraId="277727CD" w14:textId="77777777" w:rsidR="003C227D" w:rsidRPr="00246738" w:rsidRDefault="003C227D" w:rsidP="00325CE9">
            <w:pPr>
              <w:spacing w:before="60" w:after="60"/>
              <w:ind w:left="34"/>
              <w:rPr>
                <w:rFonts w:ascii="Arial" w:hAnsi="Arial" w:cs="Arial"/>
                <w:sz w:val="16"/>
                <w:szCs w:val="16"/>
              </w:rPr>
            </w:pPr>
            <w:r w:rsidRPr="00246738">
              <w:rPr>
                <w:rFonts w:ascii="Arial" w:hAnsi="Arial" w:cs="Arial"/>
                <w:sz w:val="16"/>
                <w:szCs w:val="16"/>
              </w:rPr>
              <w:t xml:space="preserve">6. Other </w:t>
            </w:r>
            <w:r>
              <w:rPr>
                <w:rFonts w:ascii="Arial" w:hAnsi="Arial" w:cs="Arial"/>
                <w:sz w:val="16"/>
                <w:szCs w:val="16"/>
              </w:rPr>
              <w:t>intentional products/processes</w:t>
            </w:r>
            <w:r w:rsidRPr="00246738">
              <w:rPr>
                <w:rFonts w:ascii="Arial" w:hAnsi="Arial" w:cs="Arial"/>
                <w:sz w:val="16"/>
                <w:szCs w:val="16"/>
              </w:rPr>
              <w:t xml:space="preserve"> </w:t>
            </w:r>
          </w:p>
        </w:tc>
        <w:tc>
          <w:tcPr>
            <w:tcW w:w="1418" w:type="dxa"/>
            <w:vAlign w:val="center"/>
          </w:tcPr>
          <w:p w14:paraId="213E9C32" w14:textId="78DCD132" w:rsidR="003C227D" w:rsidRPr="00F85126" w:rsidRDefault="00A663D0" w:rsidP="00325CE9">
            <w:pPr>
              <w:spacing w:line="300" w:lineRule="atLeast"/>
              <w:jc w:val="center"/>
              <w:rPr>
                <w:rFonts w:ascii="Arial" w:hAnsi="Arial" w:cs="Arial"/>
                <w:sz w:val="16"/>
                <w:szCs w:val="16"/>
              </w:rPr>
            </w:pPr>
            <w:r>
              <w:rPr>
                <w:rFonts w:ascii="Arial" w:hAnsi="Arial" w:cs="Arial"/>
                <w:sz w:val="16"/>
                <w:szCs w:val="16"/>
              </w:rPr>
              <w:t>43.8</w:t>
            </w:r>
          </w:p>
        </w:tc>
        <w:tc>
          <w:tcPr>
            <w:tcW w:w="1190" w:type="dxa"/>
            <w:vAlign w:val="center"/>
          </w:tcPr>
          <w:p w14:paraId="79FAF0E5" w14:textId="418D23DD" w:rsidR="003C227D" w:rsidRPr="00F85126" w:rsidRDefault="00E124F3" w:rsidP="00325CE9">
            <w:pPr>
              <w:spacing w:line="300" w:lineRule="atLeast"/>
              <w:jc w:val="center"/>
              <w:rPr>
                <w:rFonts w:ascii="Arial" w:hAnsi="Arial" w:cs="Arial"/>
                <w:sz w:val="16"/>
                <w:szCs w:val="16"/>
              </w:rPr>
            </w:pPr>
            <w:r>
              <w:rPr>
                <w:rFonts w:ascii="Arial" w:hAnsi="Arial" w:cs="Arial"/>
                <w:sz w:val="16"/>
                <w:szCs w:val="16"/>
              </w:rPr>
              <w:t>1.0</w:t>
            </w:r>
          </w:p>
        </w:tc>
        <w:tc>
          <w:tcPr>
            <w:tcW w:w="1191" w:type="dxa"/>
            <w:vAlign w:val="center"/>
          </w:tcPr>
          <w:p w14:paraId="2AF86D04" w14:textId="0811518E" w:rsidR="003C227D" w:rsidRPr="00F85126" w:rsidRDefault="00E124F3" w:rsidP="00325CE9">
            <w:pPr>
              <w:spacing w:line="300" w:lineRule="atLeast"/>
              <w:jc w:val="center"/>
              <w:rPr>
                <w:rFonts w:ascii="Arial" w:hAnsi="Arial" w:cs="Arial"/>
                <w:sz w:val="16"/>
                <w:szCs w:val="16"/>
              </w:rPr>
            </w:pPr>
            <w:r>
              <w:rPr>
                <w:rFonts w:ascii="Arial" w:hAnsi="Arial" w:cs="Arial"/>
                <w:sz w:val="16"/>
                <w:szCs w:val="16"/>
              </w:rPr>
              <w:t>5.7</w:t>
            </w:r>
          </w:p>
        </w:tc>
        <w:tc>
          <w:tcPr>
            <w:tcW w:w="1304" w:type="dxa"/>
            <w:vAlign w:val="center"/>
          </w:tcPr>
          <w:p w14:paraId="177AF49E" w14:textId="77777777" w:rsidR="003C227D" w:rsidRPr="00F85126" w:rsidRDefault="003C227D" w:rsidP="00325CE9">
            <w:pPr>
              <w:spacing w:line="300" w:lineRule="atLeast"/>
              <w:jc w:val="center"/>
              <w:rPr>
                <w:rFonts w:ascii="Arial" w:hAnsi="Arial" w:cs="Arial"/>
                <w:sz w:val="16"/>
                <w:szCs w:val="16"/>
              </w:rPr>
            </w:pPr>
            <w:r w:rsidRPr="00F85126">
              <w:rPr>
                <w:rFonts w:ascii="Arial" w:hAnsi="Arial" w:cs="Arial"/>
                <w:sz w:val="16"/>
                <w:szCs w:val="16"/>
              </w:rPr>
              <w:t>-</w:t>
            </w:r>
          </w:p>
        </w:tc>
        <w:tc>
          <w:tcPr>
            <w:tcW w:w="1077" w:type="dxa"/>
            <w:vAlign w:val="center"/>
          </w:tcPr>
          <w:p w14:paraId="630713C8" w14:textId="1B727195" w:rsidR="003C227D" w:rsidRPr="00F85126" w:rsidRDefault="00A663D0" w:rsidP="00325CE9">
            <w:pPr>
              <w:spacing w:line="300" w:lineRule="atLeast"/>
              <w:jc w:val="center"/>
              <w:rPr>
                <w:rFonts w:ascii="Arial" w:hAnsi="Arial" w:cs="Arial"/>
                <w:sz w:val="16"/>
                <w:szCs w:val="16"/>
              </w:rPr>
            </w:pPr>
            <w:r>
              <w:rPr>
                <w:rFonts w:ascii="Arial" w:hAnsi="Arial" w:cs="Arial"/>
                <w:sz w:val="16"/>
                <w:szCs w:val="16"/>
              </w:rPr>
              <w:t>24.1</w:t>
            </w:r>
          </w:p>
        </w:tc>
        <w:tc>
          <w:tcPr>
            <w:tcW w:w="1191" w:type="dxa"/>
            <w:vAlign w:val="center"/>
          </w:tcPr>
          <w:p w14:paraId="218EDD50" w14:textId="77777777" w:rsidR="003C227D" w:rsidRPr="00F85126" w:rsidRDefault="003C227D" w:rsidP="00325CE9">
            <w:pPr>
              <w:spacing w:line="300" w:lineRule="atLeast"/>
              <w:jc w:val="center"/>
              <w:rPr>
                <w:rFonts w:ascii="Arial" w:hAnsi="Arial" w:cs="Arial"/>
                <w:sz w:val="16"/>
                <w:szCs w:val="16"/>
              </w:rPr>
            </w:pPr>
            <w:r w:rsidRPr="00F85126">
              <w:rPr>
                <w:rFonts w:ascii="Arial" w:hAnsi="Arial" w:cs="Arial"/>
                <w:sz w:val="16"/>
                <w:szCs w:val="16"/>
              </w:rPr>
              <w:t>13.1</w:t>
            </w:r>
          </w:p>
        </w:tc>
      </w:tr>
      <w:tr w:rsidR="003C227D" w:rsidRPr="007901FE" w14:paraId="746EC65B" w14:textId="77777777" w:rsidTr="00325CE9">
        <w:tc>
          <w:tcPr>
            <w:tcW w:w="1701" w:type="dxa"/>
            <w:vAlign w:val="center"/>
          </w:tcPr>
          <w:p w14:paraId="5611AC53" w14:textId="77777777" w:rsidR="003C227D" w:rsidRPr="00424224" w:rsidRDefault="003C227D" w:rsidP="00325CE9">
            <w:pPr>
              <w:spacing w:before="60" w:after="60"/>
              <w:ind w:left="34"/>
              <w:rPr>
                <w:rFonts w:ascii="Arial" w:hAnsi="Arial" w:cs="Arial"/>
                <w:sz w:val="16"/>
                <w:szCs w:val="16"/>
              </w:rPr>
            </w:pPr>
            <w:r w:rsidRPr="00424224">
              <w:rPr>
                <w:rFonts w:ascii="Arial" w:hAnsi="Arial" w:cs="Arial"/>
                <w:sz w:val="16"/>
                <w:szCs w:val="16"/>
              </w:rPr>
              <w:t xml:space="preserve">7. Production of recycled metals </w:t>
            </w:r>
          </w:p>
        </w:tc>
        <w:tc>
          <w:tcPr>
            <w:tcW w:w="1418" w:type="dxa"/>
            <w:vAlign w:val="center"/>
          </w:tcPr>
          <w:p w14:paraId="7F0CD400" w14:textId="77777777" w:rsidR="003C227D" w:rsidRPr="00424224" w:rsidRDefault="003C227D" w:rsidP="00325CE9">
            <w:pPr>
              <w:spacing w:before="60" w:after="60"/>
              <w:jc w:val="center"/>
              <w:rPr>
                <w:rFonts w:ascii="Arial" w:hAnsi="Arial" w:cs="Arial"/>
                <w:sz w:val="16"/>
                <w:szCs w:val="16"/>
              </w:rPr>
            </w:pPr>
            <w:r>
              <w:rPr>
                <w:rFonts w:ascii="Arial" w:hAnsi="Arial" w:cs="Arial"/>
                <w:sz w:val="16"/>
                <w:szCs w:val="16"/>
              </w:rPr>
              <w:t>20</w:t>
            </w:r>
          </w:p>
        </w:tc>
        <w:tc>
          <w:tcPr>
            <w:tcW w:w="1190" w:type="dxa"/>
            <w:vAlign w:val="center"/>
          </w:tcPr>
          <w:p w14:paraId="2A2E063A" w14:textId="77777777" w:rsidR="003C227D" w:rsidRPr="00424224" w:rsidRDefault="003C227D" w:rsidP="00325CE9">
            <w:pPr>
              <w:spacing w:before="60" w:after="60"/>
              <w:jc w:val="center"/>
              <w:rPr>
                <w:rFonts w:ascii="Arial" w:hAnsi="Arial" w:cs="Arial"/>
                <w:sz w:val="16"/>
                <w:szCs w:val="16"/>
              </w:rPr>
            </w:pPr>
            <w:r>
              <w:rPr>
                <w:rFonts w:ascii="Arial" w:hAnsi="Arial" w:cs="Arial"/>
                <w:sz w:val="16"/>
                <w:szCs w:val="16"/>
              </w:rPr>
              <w:t>-</w:t>
            </w:r>
          </w:p>
        </w:tc>
        <w:tc>
          <w:tcPr>
            <w:tcW w:w="1191" w:type="dxa"/>
            <w:vAlign w:val="center"/>
          </w:tcPr>
          <w:p w14:paraId="42B1AD38" w14:textId="77777777" w:rsidR="003C227D" w:rsidRPr="00424224" w:rsidRDefault="003C227D" w:rsidP="00325CE9">
            <w:pPr>
              <w:spacing w:before="60" w:after="60"/>
              <w:jc w:val="center"/>
              <w:rPr>
                <w:rFonts w:ascii="Arial" w:hAnsi="Arial" w:cs="Arial"/>
                <w:sz w:val="16"/>
                <w:szCs w:val="16"/>
              </w:rPr>
            </w:pPr>
            <w:r w:rsidRPr="00424224">
              <w:rPr>
                <w:rFonts w:ascii="Arial" w:hAnsi="Arial" w:cs="Arial"/>
                <w:sz w:val="16"/>
                <w:szCs w:val="16"/>
              </w:rPr>
              <w:t>-</w:t>
            </w:r>
          </w:p>
        </w:tc>
        <w:tc>
          <w:tcPr>
            <w:tcW w:w="1304" w:type="dxa"/>
            <w:vAlign w:val="center"/>
          </w:tcPr>
          <w:p w14:paraId="354F287E" w14:textId="77777777" w:rsidR="003C227D" w:rsidRPr="00424224" w:rsidRDefault="003C227D" w:rsidP="00325CE9">
            <w:pPr>
              <w:spacing w:before="60" w:after="60"/>
              <w:jc w:val="center"/>
              <w:rPr>
                <w:rFonts w:ascii="Arial" w:hAnsi="Arial" w:cs="Arial"/>
                <w:sz w:val="16"/>
                <w:szCs w:val="16"/>
              </w:rPr>
            </w:pPr>
            <w:r w:rsidRPr="00424224">
              <w:rPr>
                <w:rFonts w:ascii="Arial" w:hAnsi="Arial" w:cs="Arial"/>
                <w:sz w:val="16"/>
                <w:szCs w:val="16"/>
              </w:rPr>
              <w:t>-</w:t>
            </w:r>
          </w:p>
        </w:tc>
        <w:tc>
          <w:tcPr>
            <w:tcW w:w="1077" w:type="dxa"/>
            <w:vAlign w:val="center"/>
          </w:tcPr>
          <w:p w14:paraId="38D139DF" w14:textId="77777777" w:rsidR="003C227D" w:rsidRPr="00424224" w:rsidRDefault="003C227D" w:rsidP="00325CE9">
            <w:pPr>
              <w:spacing w:before="60" w:after="60"/>
              <w:jc w:val="center"/>
              <w:rPr>
                <w:rFonts w:ascii="Arial" w:hAnsi="Arial" w:cs="Arial"/>
                <w:sz w:val="16"/>
                <w:szCs w:val="16"/>
              </w:rPr>
            </w:pPr>
            <w:r>
              <w:rPr>
                <w:rFonts w:ascii="Arial" w:hAnsi="Arial" w:cs="Arial"/>
                <w:sz w:val="16"/>
                <w:szCs w:val="16"/>
              </w:rPr>
              <w:t>20</w:t>
            </w:r>
          </w:p>
        </w:tc>
        <w:tc>
          <w:tcPr>
            <w:tcW w:w="1191" w:type="dxa"/>
            <w:vAlign w:val="center"/>
          </w:tcPr>
          <w:p w14:paraId="4DA60085" w14:textId="77777777" w:rsidR="003C227D" w:rsidRPr="00AA48C3" w:rsidRDefault="003C227D" w:rsidP="00325CE9">
            <w:pPr>
              <w:spacing w:before="60" w:after="60"/>
              <w:jc w:val="center"/>
              <w:rPr>
                <w:rFonts w:ascii="Arial" w:hAnsi="Arial" w:cs="Arial"/>
                <w:sz w:val="16"/>
                <w:szCs w:val="16"/>
              </w:rPr>
            </w:pPr>
            <w:r>
              <w:rPr>
                <w:rFonts w:ascii="Arial" w:hAnsi="Arial" w:cs="Arial"/>
                <w:sz w:val="16"/>
                <w:szCs w:val="16"/>
              </w:rPr>
              <w:t>-</w:t>
            </w:r>
          </w:p>
        </w:tc>
      </w:tr>
      <w:tr w:rsidR="003C227D" w:rsidRPr="007901FE" w14:paraId="3BF73AB0" w14:textId="77777777" w:rsidTr="00325CE9">
        <w:tc>
          <w:tcPr>
            <w:tcW w:w="1701" w:type="dxa"/>
            <w:vAlign w:val="center"/>
          </w:tcPr>
          <w:p w14:paraId="58BC7B4E" w14:textId="77777777" w:rsidR="003C227D" w:rsidRPr="00246738" w:rsidRDefault="003C227D" w:rsidP="00325CE9">
            <w:pPr>
              <w:spacing w:before="60" w:after="60"/>
              <w:ind w:left="34"/>
              <w:rPr>
                <w:rFonts w:ascii="Arial" w:hAnsi="Arial" w:cs="Arial"/>
                <w:sz w:val="16"/>
                <w:szCs w:val="16"/>
              </w:rPr>
            </w:pPr>
            <w:r w:rsidRPr="00246738">
              <w:rPr>
                <w:rFonts w:ascii="Arial" w:hAnsi="Arial" w:cs="Arial"/>
                <w:sz w:val="16"/>
                <w:szCs w:val="16"/>
              </w:rPr>
              <w:t xml:space="preserve">8. Waste incineration </w:t>
            </w:r>
          </w:p>
        </w:tc>
        <w:tc>
          <w:tcPr>
            <w:tcW w:w="1418" w:type="dxa"/>
            <w:vAlign w:val="center"/>
          </w:tcPr>
          <w:p w14:paraId="51D34F0E" w14:textId="025A998E" w:rsidR="003C227D" w:rsidRPr="00F85126" w:rsidRDefault="00E124F3" w:rsidP="00325CE9">
            <w:pPr>
              <w:spacing w:line="300" w:lineRule="atLeast"/>
              <w:jc w:val="center"/>
              <w:rPr>
                <w:rFonts w:ascii="Arial" w:hAnsi="Arial" w:cs="Arial"/>
                <w:sz w:val="16"/>
                <w:szCs w:val="16"/>
              </w:rPr>
            </w:pPr>
            <w:r>
              <w:rPr>
                <w:rFonts w:ascii="Arial" w:hAnsi="Arial" w:cs="Arial"/>
                <w:sz w:val="16"/>
                <w:szCs w:val="16"/>
              </w:rPr>
              <w:t>19.7</w:t>
            </w:r>
            <w:r w:rsidR="003C227D" w:rsidRPr="00F85126">
              <w:rPr>
                <w:rFonts w:ascii="Arial" w:hAnsi="Arial" w:cs="Arial"/>
                <w:sz w:val="16"/>
                <w:szCs w:val="16"/>
              </w:rPr>
              <w:t xml:space="preserve"> – 184.2 (102.4)</w:t>
            </w:r>
          </w:p>
        </w:tc>
        <w:tc>
          <w:tcPr>
            <w:tcW w:w="1190" w:type="dxa"/>
            <w:vAlign w:val="center"/>
          </w:tcPr>
          <w:p w14:paraId="328C9F42" w14:textId="64648BA0" w:rsidR="003C227D" w:rsidRPr="00F85126" w:rsidRDefault="00E124F3" w:rsidP="00325CE9">
            <w:pPr>
              <w:spacing w:line="300" w:lineRule="atLeast"/>
              <w:jc w:val="center"/>
              <w:rPr>
                <w:rFonts w:ascii="Arial" w:hAnsi="Arial" w:cs="Arial"/>
                <w:sz w:val="16"/>
                <w:szCs w:val="16"/>
              </w:rPr>
            </w:pPr>
            <w:r>
              <w:rPr>
                <w:rFonts w:ascii="Arial" w:hAnsi="Arial" w:cs="Arial"/>
                <w:sz w:val="16"/>
                <w:szCs w:val="16"/>
              </w:rPr>
              <w:t>18.</w:t>
            </w:r>
            <w:r w:rsidR="003C227D" w:rsidRPr="00F85126">
              <w:rPr>
                <w:rFonts w:ascii="Arial" w:hAnsi="Arial" w:cs="Arial"/>
                <w:sz w:val="16"/>
                <w:szCs w:val="16"/>
              </w:rPr>
              <w:t>9 – 183.4 (101.6)</w:t>
            </w:r>
          </w:p>
        </w:tc>
        <w:tc>
          <w:tcPr>
            <w:tcW w:w="1191" w:type="dxa"/>
            <w:vAlign w:val="center"/>
          </w:tcPr>
          <w:p w14:paraId="57C67247" w14:textId="77777777" w:rsidR="003C227D" w:rsidRPr="00F85126" w:rsidRDefault="003C227D" w:rsidP="00325CE9">
            <w:pPr>
              <w:spacing w:line="300" w:lineRule="atLeast"/>
              <w:jc w:val="center"/>
              <w:rPr>
                <w:rFonts w:ascii="Arial" w:hAnsi="Arial" w:cs="Arial"/>
                <w:sz w:val="16"/>
                <w:szCs w:val="16"/>
              </w:rPr>
            </w:pPr>
            <w:r w:rsidRPr="00F85126">
              <w:rPr>
                <w:rFonts w:ascii="Arial" w:hAnsi="Arial" w:cs="Arial"/>
                <w:sz w:val="16"/>
                <w:szCs w:val="16"/>
              </w:rPr>
              <w:t>-</w:t>
            </w:r>
          </w:p>
        </w:tc>
        <w:tc>
          <w:tcPr>
            <w:tcW w:w="1304" w:type="dxa"/>
            <w:vAlign w:val="center"/>
          </w:tcPr>
          <w:p w14:paraId="731AFCAF" w14:textId="77777777" w:rsidR="003C227D" w:rsidRPr="00F85126" w:rsidRDefault="003C227D" w:rsidP="00325CE9">
            <w:pPr>
              <w:spacing w:line="300" w:lineRule="atLeast"/>
              <w:jc w:val="center"/>
              <w:rPr>
                <w:rFonts w:ascii="Arial" w:hAnsi="Arial" w:cs="Arial"/>
                <w:sz w:val="16"/>
                <w:szCs w:val="16"/>
              </w:rPr>
            </w:pPr>
            <w:r w:rsidRPr="00F85126">
              <w:rPr>
                <w:rFonts w:ascii="Arial" w:hAnsi="Arial" w:cs="Arial"/>
                <w:sz w:val="16"/>
                <w:szCs w:val="16"/>
              </w:rPr>
              <w:t>-</w:t>
            </w:r>
          </w:p>
        </w:tc>
        <w:tc>
          <w:tcPr>
            <w:tcW w:w="1077" w:type="dxa"/>
            <w:vAlign w:val="center"/>
          </w:tcPr>
          <w:p w14:paraId="6D5CBF2E" w14:textId="77777777" w:rsidR="003C227D" w:rsidRPr="00F85126" w:rsidRDefault="003C227D" w:rsidP="00325CE9">
            <w:pPr>
              <w:spacing w:line="300" w:lineRule="atLeast"/>
              <w:jc w:val="center"/>
              <w:rPr>
                <w:rFonts w:ascii="Arial" w:hAnsi="Arial" w:cs="Arial"/>
                <w:sz w:val="16"/>
                <w:szCs w:val="16"/>
              </w:rPr>
            </w:pPr>
            <w:r w:rsidRPr="00F85126">
              <w:rPr>
                <w:rFonts w:ascii="Arial" w:hAnsi="Arial" w:cs="Arial"/>
                <w:sz w:val="16"/>
                <w:szCs w:val="16"/>
              </w:rPr>
              <w:t>-</w:t>
            </w:r>
          </w:p>
        </w:tc>
        <w:tc>
          <w:tcPr>
            <w:tcW w:w="1191" w:type="dxa"/>
            <w:vAlign w:val="center"/>
          </w:tcPr>
          <w:p w14:paraId="1A1F406C" w14:textId="77777777" w:rsidR="003C227D" w:rsidRPr="00F85126" w:rsidRDefault="003C227D" w:rsidP="00325CE9">
            <w:pPr>
              <w:spacing w:line="300" w:lineRule="atLeast"/>
              <w:jc w:val="center"/>
              <w:rPr>
                <w:rFonts w:ascii="Arial" w:hAnsi="Arial" w:cs="Arial"/>
                <w:sz w:val="16"/>
                <w:szCs w:val="16"/>
              </w:rPr>
            </w:pPr>
            <w:r w:rsidRPr="00F85126">
              <w:rPr>
                <w:rFonts w:ascii="Arial" w:hAnsi="Arial" w:cs="Arial"/>
                <w:sz w:val="16"/>
                <w:szCs w:val="16"/>
              </w:rPr>
              <w:t>0.8</w:t>
            </w:r>
          </w:p>
        </w:tc>
      </w:tr>
      <w:tr w:rsidR="003C227D" w:rsidRPr="007901FE" w14:paraId="39266831" w14:textId="77777777" w:rsidTr="00325CE9">
        <w:tc>
          <w:tcPr>
            <w:tcW w:w="1701" w:type="dxa"/>
            <w:vAlign w:val="center"/>
          </w:tcPr>
          <w:p w14:paraId="16934868" w14:textId="77777777" w:rsidR="003C227D" w:rsidRPr="00246738" w:rsidRDefault="003C227D" w:rsidP="00325CE9">
            <w:pPr>
              <w:spacing w:before="60" w:after="60"/>
              <w:ind w:left="34"/>
              <w:rPr>
                <w:rFonts w:ascii="Arial" w:hAnsi="Arial" w:cs="Arial"/>
                <w:sz w:val="16"/>
                <w:szCs w:val="16"/>
              </w:rPr>
            </w:pPr>
            <w:r w:rsidRPr="00246738">
              <w:rPr>
                <w:rFonts w:ascii="Arial" w:hAnsi="Arial" w:cs="Arial"/>
                <w:sz w:val="16"/>
                <w:szCs w:val="16"/>
              </w:rPr>
              <w:t xml:space="preserve">9. Waste deposit/landfill and wastewater treatment </w:t>
            </w:r>
          </w:p>
        </w:tc>
        <w:tc>
          <w:tcPr>
            <w:tcW w:w="1418" w:type="dxa"/>
            <w:vAlign w:val="center"/>
          </w:tcPr>
          <w:p w14:paraId="2B4D88C9" w14:textId="3199FDB9" w:rsidR="003C227D" w:rsidRPr="00F85126" w:rsidRDefault="00E124F3" w:rsidP="00325CE9">
            <w:pPr>
              <w:spacing w:line="300" w:lineRule="atLeast"/>
              <w:jc w:val="center"/>
              <w:rPr>
                <w:rFonts w:ascii="Arial" w:hAnsi="Arial" w:cs="Arial"/>
                <w:sz w:val="16"/>
                <w:szCs w:val="16"/>
              </w:rPr>
            </w:pPr>
            <w:r>
              <w:rPr>
                <w:rFonts w:ascii="Arial" w:hAnsi="Arial" w:cs="Arial"/>
                <w:sz w:val="16"/>
                <w:szCs w:val="16"/>
              </w:rPr>
              <w:t>3,687.5 – 39,650 (21,668.8</w:t>
            </w:r>
            <w:r w:rsidR="003C227D" w:rsidRPr="00F85126">
              <w:rPr>
                <w:rFonts w:ascii="Arial" w:hAnsi="Arial" w:cs="Arial"/>
                <w:sz w:val="16"/>
                <w:szCs w:val="16"/>
              </w:rPr>
              <w:t>)</w:t>
            </w:r>
          </w:p>
        </w:tc>
        <w:tc>
          <w:tcPr>
            <w:tcW w:w="1190" w:type="dxa"/>
            <w:vAlign w:val="center"/>
          </w:tcPr>
          <w:p w14:paraId="58855A0A" w14:textId="77777777" w:rsidR="003C227D" w:rsidRPr="00F85126" w:rsidRDefault="003C227D" w:rsidP="00325CE9">
            <w:pPr>
              <w:spacing w:line="300" w:lineRule="atLeast"/>
              <w:jc w:val="center"/>
              <w:rPr>
                <w:rFonts w:ascii="Arial" w:hAnsi="Arial" w:cs="Arial"/>
                <w:sz w:val="16"/>
                <w:szCs w:val="16"/>
              </w:rPr>
            </w:pPr>
            <w:r w:rsidRPr="00F85126">
              <w:rPr>
                <w:rFonts w:ascii="Arial" w:hAnsi="Arial" w:cs="Arial"/>
                <w:sz w:val="16"/>
                <w:szCs w:val="16"/>
              </w:rPr>
              <w:t>34 – 341 (187.6)</w:t>
            </w:r>
          </w:p>
        </w:tc>
        <w:tc>
          <w:tcPr>
            <w:tcW w:w="1191" w:type="dxa"/>
            <w:vAlign w:val="center"/>
          </w:tcPr>
          <w:p w14:paraId="0EDC155E" w14:textId="77777777" w:rsidR="003C227D" w:rsidRPr="00F85126" w:rsidRDefault="003C227D" w:rsidP="00325CE9">
            <w:pPr>
              <w:spacing w:line="300" w:lineRule="atLeast"/>
              <w:jc w:val="center"/>
              <w:rPr>
                <w:rFonts w:ascii="Arial" w:hAnsi="Arial" w:cs="Arial"/>
                <w:sz w:val="16"/>
                <w:szCs w:val="16"/>
              </w:rPr>
            </w:pPr>
            <w:r w:rsidRPr="00F85126">
              <w:rPr>
                <w:rFonts w:ascii="Arial" w:hAnsi="Arial" w:cs="Arial"/>
                <w:sz w:val="16"/>
                <w:szCs w:val="16"/>
              </w:rPr>
              <w:t>139.1 – 2,778.4 (1,458.8)</w:t>
            </w:r>
          </w:p>
        </w:tc>
        <w:tc>
          <w:tcPr>
            <w:tcW w:w="1304" w:type="dxa"/>
            <w:vAlign w:val="center"/>
          </w:tcPr>
          <w:p w14:paraId="2C2C618F" w14:textId="77777777" w:rsidR="003C227D" w:rsidRPr="00F85126" w:rsidRDefault="003C227D" w:rsidP="00325CE9">
            <w:pPr>
              <w:spacing w:line="300" w:lineRule="atLeast"/>
              <w:jc w:val="center"/>
              <w:rPr>
                <w:rFonts w:ascii="Arial" w:hAnsi="Arial" w:cs="Arial"/>
                <w:sz w:val="16"/>
                <w:szCs w:val="16"/>
              </w:rPr>
            </w:pPr>
            <w:r w:rsidRPr="00F85126">
              <w:rPr>
                <w:rFonts w:ascii="Arial" w:hAnsi="Arial" w:cs="Arial"/>
                <w:sz w:val="16"/>
                <w:szCs w:val="16"/>
              </w:rPr>
              <w:t>55.5 – 1110 (582.8)</w:t>
            </w:r>
          </w:p>
        </w:tc>
        <w:tc>
          <w:tcPr>
            <w:tcW w:w="1077" w:type="dxa"/>
            <w:vAlign w:val="center"/>
          </w:tcPr>
          <w:p w14:paraId="3DA77D72" w14:textId="140926AF" w:rsidR="003C227D" w:rsidRPr="00F85126" w:rsidRDefault="00937CBC" w:rsidP="00325CE9">
            <w:pPr>
              <w:spacing w:line="300" w:lineRule="atLeast"/>
              <w:jc w:val="center"/>
              <w:rPr>
                <w:rFonts w:ascii="Arial" w:hAnsi="Arial" w:cs="Arial"/>
                <w:sz w:val="16"/>
                <w:szCs w:val="16"/>
              </w:rPr>
            </w:pPr>
            <w:r>
              <w:rPr>
                <w:rFonts w:ascii="Arial" w:hAnsi="Arial" w:cs="Arial"/>
                <w:sz w:val="16"/>
                <w:szCs w:val="16"/>
              </w:rPr>
              <w:t>-</w:t>
            </w:r>
          </w:p>
        </w:tc>
        <w:tc>
          <w:tcPr>
            <w:tcW w:w="1191" w:type="dxa"/>
            <w:vAlign w:val="center"/>
          </w:tcPr>
          <w:p w14:paraId="5D8457BA" w14:textId="15926C6C" w:rsidR="003C227D" w:rsidRPr="00F85126" w:rsidRDefault="001331B9" w:rsidP="00325CE9">
            <w:pPr>
              <w:spacing w:line="300" w:lineRule="atLeast"/>
              <w:jc w:val="center"/>
              <w:rPr>
                <w:rFonts w:ascii="Arial" w:hAnsi="Arial" w:cs="Arial"/>
                <w:sz w:val="16"/>
                <w:szCs w:val="16"/>
              </w:rPr>
            </w:pPr>
            <w:r>
              <w:rPr>
                <w:rFonts w:ascii="Arial" w:hAnsi="Arial" w:cs="Arial"/>
                <w:sz w:val="16"/>
                <w:szCs w:val="16"/>
              </w:rPr>
              <w:t>83.3</w:t>
            </w:r>
            <w:r w:rsidR="00937CBC" w:rsidRPr="00F85126">
              <w:rPr>
                <w:rFonts w:ascii="Arial" w:hAnsi="Arial" w:cs="Arial"/>
                <w:sz w:val="16"/>
                <w:szCs w:val="16"/>
              </w:rPr>
              <w:t xml:space="preserve"> – 1,665 </w:t>
            </w:r>
            <w:r w:rsidR="00E124F3">
              <w:rPr>
                <w:rFonts w:ascii="Arial" w:hAnsi="Arial" w:cs="Arial"/>
                <w:sz w:val="16"/>
                <w:szCs w:val="16"/>
              </w:rPr>
              <w:t xml:space="preserve"> </w:t>
            </w:r>
            <w:r w:rsidR="00937CBC" w:rsidRPr="00F85126">
              <w:rPr>
                <w:rFonts w:ascii="Arial" w:hAnsi="Arial" w:cs="Arial"/>
                <w:sz w:val="16"/>
                <w:szCs w:val="16"/>
              </w:rPr>
              <w:t>(874.1)</w:t>
            </w:r>
          </w:p>
        </w:tc>
      </w:tr>
      <w:tr w:rsidR="003C227D" w:rsidRPr="007901FE" w14:paraId="65AC6D16" w14:textId="77777777" w:rsidTr="00325CE9">
        <w:tc>
          <w:tcPr>
            <w:tcW w:w="1701" w:type="dxa"/>
            <w:tcBorders>
              <w:bottom w:val="single" w:sz="12" w:space="0" w:color="auto"/>
            </w:tcBorders>
            <w:vAlign w:val="center"/>
          </w:tcPr>
          <w:p w14:paraId="1177EFAD" w14:textId="77777777" w:rsidR="003C227D" w:rsidRPr="00246738" w:rsidRDefault="003C227D" w:rsidP="00325CE9">
            <w:pPr>
              <w:spacing w:before="60" w:after="60"/>
              <w:ind w:left="-42"/>
              <w:rPr>
                <w:rFonts w:ascii="Arial" w:hAnsi="Arial" w:cs="Arial"/>
                <w:sz w:val="16"/>
                <w:szCs w:val="16"/>
              </w:rPr>
            </w:pPr>
            <w:r w:rsidRPr="00246738">
              <w:rPr>
                <w:rFonts w:ascii="Arial" w:hAnsi="Arial" w:cs="Arial"/>
                <w:sz w:val="16"/>
                <w:szCs w:val="16"/>
              </w:rPr>
              <w:t xml:space="preserve">10. Crematoria and cemeteries </w:t>
            </w:r>
          </w:p>
        </w:tc>
        <w:tc>
          <w:tcPr>
            <w:tcW w:w="1418" w:type="dxa"/>
            <w:vAlign w:val="center"/>
          </w:tcPr>
          <w:p w14:paraId="41328B73" w14:textId="77777777" w:rsidR="003C227D" w:rsidRPr="00F85126" w:rsidRDefault="003C227D" w:rsidP="00325CE9">
            <w:pPr>
              <w:spacing w:line="300" w:lineRule="atLeast"/>
              <w:jc w:val="center"/>
              <w:rPr>
                <w:rFonts w:ascii="Arial" w:hAnsi="Arial" w:cs="Arial"/>
                <w:sz w:val="16"/>
                <w:szCs w:val="16"/>
              </w:rPr>
            </w:pPr>
            <w:r w:rsidRPr="00F85126">
              <w:rPr>
                <w:rFonts w:ascii="Arial" w:hAnsi="Arial" w:cs="Arial"/>
                <w:sz w:val="16"/>
                <w:szCs w:val="16"/>
              </w:rPr>
              <w:t>31.3 – 125.3 (78.3)</w:t>
            </w:r>
          </w:p>
        </w:tc>
        <w:tc>
          <w:tcPr>
            <w:tcW w:w="1190" w:type="dxa"/>
            <w:vAlign w:val="center"/>
          </w:tcPr>
          <w:p w14:paraId="4B1C9F2E" w14:textId="77777777" w:rsidR="003C227D" w:rsidRPr="00F85126" w:rsidRDefault="003C227D" w:rsidP="00325CE9">
            <w:pPr>
              <w:spacing w:line="300" w:lineRule="atLeast"/>
              <w:jc w:val="center"/>
              <w:rPr>
                <w:rFonts w:ascii="Arial" w:hAnsi="Arial" w:cs="Arial"/>
                <w:sz w:val="16"/>
                <w:szCs w:val="16"/>
              </w:rPr>
            </w:pPr>
            <w:r w:rsidRPr="00F85126">
              <w:rPr>
                <w:rFonts w:ascii="Arial" w:hAnsi="Arial" w:cs="Arial"/>
                <w:sz w:val="16"/>
                <w:szCs w:val="16"/>
              </w:rPr>
              <w:t>20.1 – 80.5 (50.3)</w:t>
            </w:r>
          </w:p>
        </w:tc>
        <w:tc>
          <w:tcPr>
            <w:tcW w:w="1191" w:type="dxa"/>
            <w:vAlign w:val="center"/>
          </w:tcPr>
          <w:p w14:paraId="241390D6" w14:textId="77777777" w:rsidR="003C227D" w:rsidRPr="00F85126" w:rsidRDefault="003C227D" w:rsidP="00325CE9">
            <w:pPr>
              <w:spacing w:line="300" w:lineRule="atLeast"/>
              <w:jc w:val="center"/>
              <w:rPr>
                <w:rFonts w:ascii="Arial" w:hAnsi="Arial" w:cs="Arial"/>
                <w:sz w:val="16"/>
                <w:szCs w:val="16"/>
              </w:rPr>
            </w:pPr>
            <w:r w:rsidRPr="00F85126">
              <w:rPr>
                <w:rFonts w:ascii="Arial" w:hAnsi="Arial" w:cs="Arial"/>
                <w:sz w:val="16"/>
                <w:szCs w:val="16"/>
              </w:rPr>
              <w:t>-</w:t>
            </w:r>
          </w:p>
        </w:tc>
        <w:tc>
          <w:tcPr>
            <w:tcW w:w="1304" w:type="dxa"/>
            <w:vAlign w:val="center"/>
          </w:tcPr>
          <w:p w14:paraId="1DA83584" w14:textId="77777777" w:rsidR="003C227D" w:rsidRPr="00F85126" w:rsidRDefault="003C227D" w:rsidP="00325CE9">
            <w:pPr>
              <w:spacing w:line="300" w:lineRule="atLeast"/>
              <w:jc w:val="center"/>
              <w:rPr>
                <w:rFonts w:ascii="Arial" w:hAnsi="Arial" w:cs="Arial"/>
                <w:sz w:val="16"/>
                <w:szCs w:val="16"/>
              </w:rPr>
            </w:pPr>
            <w:r w:rsidRPr="00F85126">
              <w:rPr>
                <w:rFonts w:ascii="Arial" w:hAnsi="Arial" w:cs="Arial"/>
                <w:sz w:val="16"/>
                <w:szCs w:val="16"/>
              </w:rPr>
              <w:t>11.2 – 44.8 (28.0)</w:t>
            </w:r>
          </w:p>
        </w:tc>
        <w:tc>
          <w:tcPr>
            <w:tcW w:w="1077" w:type="dxa"/>
            <w:vAlign w:val="center"/>
          </w:tcPr>
          <w:p w14:paraId="5919BF46" w14:textId="77777777" w:rsidR="003C227D" w:rsidRPr="00F85126" w:rsidRDefault="003C227D" w:rsidP="00325CE9">
            <w:pPr>
              <w:spacing w:line="300" w:lineRule="atLeast"/>
              <w:jc w:val="center"/>
              <w:rPr>
                <w:rFonts w:ascii="Arial" w:hAnsi="Arial" w:cs="Arial"/>
                <w:sz w:val="16"/>
                <w:szCs w:val="16"/>
              </w:rPr>
            </w:pPr>
            <w:r w:rsidRPr="00F85126">
              <w:rPr>
                <w:rFonts w:ascii="Arial" w:hAnsi="Arial" w:cs="Arial"/>
                <w:sz w:val="16"/>
                <w:szCs w:val="16"/>
              </w:rPr>
              <w:t>-</w:t>
            </w:r>
          </w:p>
        </w:tc>
        <w:tc>
          <w:tcPr>
            <w:tcW w:w="1191" w:type="dxa"/>
            <w:vAlign w:val="center"/>
          </w:tcPr>
          <w:p w14:paraId="4BCBD4B8" w14:textId="77777777" w:rsidR="003C227D" w:rsidRPr="00F85126" w:rsidRDefault="003C227D" w:rsidP="00325CE9">
            <w:pPr>
              <w:spacing w:line="300" w:lineRule="atLeast"/>
              <w:jc w:val="center"/>
              <w:rPr>
                <w:rFonts w:ascii="Arial" w:hAnsi="Arial" w:cs="Arial"/>
                <w:sz w:val="16"/>
                <w:szCs w:val="16"/>
              </w:rPr>
            </w:pPr>
            <w:r w:rsidRPr="00F85126">
              <w:rPr>
                <w:rFonts w:ascii="Arial" w:hAnsi="Arial" w:cs="Arial"/>
                <w:sz w:val="16"/>
                <w:szCs w:val="16"/>
              </w:rPr>
              <w:t>-</w:t>
            </w:r>
          </w:p>
        </w:tc>
      </w:tr>
      <w:tr w:rsidR="003C227D" w:rsidRPr="007901FE" w14:paraId="4A35B267" w14:textId="77777777" w:rsidTr="00325CE9">
        <w:tc>
          <w:tcPr>
            <w:tcW w:w="1701" w:type="dxa"/>
            <w:tcBorders>
              <w:top w:val="single" w:sz="12" w:space="0" w:color="auto"/>
              <w:left w:val="single" w:sz="12" w:space="0" w:color="auto"/>
              <w:bottom w:val="single" w:sz="12" w:space="0" w:color="auto"/>
              <w:right w:val="single" w:sz="12" w:space="0" w:color="auto"/>
            </w:tcBorders>
            <w:vAlign w:val="center"/>
          </w:tcPr>
          <w:p w14:paraId="22E1C175" w14:textId="77777777" w:rsidR="003C227D" w:rsidRPr="0030522C" w:rsidRDefault="003C227D" w:rsidP="00325CE9">
            <w:pPr>
              <w:spacing w:before="60" w:after="60"/>
              <w:ind w:left="-42"/>
              <w:rPr>
                <w:rFonts w:ascii="Arial" w:hAnsi="Arial" w:cs="Arial"/>
                <w:b/>
                <w:sz w:val="16"/>
                <w:szCs w:val="16"/>
              </w:rPr>
            </w:pPr>
            <w:r w:rsidRPr="0030522C">
              <w:rPr>
                <w:rFonts w:ascii="Arial" w:hAnsi="Arial" w:cs="Arial"/>
                <w:b/>
                <w:sz w:val="16"/>
                <w:szCs w:val="16"/>
              </w:rPr>
              <w:t>Totals, all groups</w:t>
            </w:r>
          </w:p>
        </w:tc>
        <w:tc>
          <w:tcPr>
            <w:tcW w:w="1418" w:type="dxa"/>
            <w:tcBorders>
              <w:top w:val="single" w:sz="12" w:space="0" w:color="auto"/>
              <w:left w:val="single" w:sz="12" w:space="0" w:color="auto"/>
              <w:bottom w:val="single" w:sz="12" w:space="0" w:color="auto"/>
              <w:right w:val="single" w:sz="12" w:space="0" w:color="auto"/>
            </w:tcBorders>
            <w:vAlign w:val="center"/>
          </w:tcPr>
          <w:p w14:paraId="49C75E86" w14:textId="18829379" w:rsidR="003C227D" w:rsidRPr="0030522C" w:rsidRDefault="005B39DB" w:rsidP="00325CE9">
            <w:pPr>
              <w:spacing w:before="60" w:after="60"/>
              <w:jc w:val="center"/>
              <w:rPr>
                <w:rFonts w:ascii="Arial" w:hAnsi="Arial" w:cs="Arial"/>
                <w:b/>
                <w:sz w:val="16"/>
                <w:szCs w:val="16"/>
              </w:rPr>
            </w:pPr>
            <w:r>
              <w:rPr>
                <w:rFonts w:ascii="Arial" w:hAnsi="Arial" w:cs="Arial"/>
                <w:b/>
                <w:sz w:val="16"/>
                <w:szCs w:val="16"/>
              </w:rPr>
              <w:t>5,857 – 56,192 (28,632</w:t>
            </w:r>
            <w:r w:rsidR="003C227D" w:rsidRPr="0030522C">
              <w:rPr>
                <w:rFonts w:ascii="Arial" w:hAnsi="Arial" w:cs="Arial"/>
                <w:b/>
                <w:sz w:val="16"/>
                <w:szCs w:val="16"/>
              </w:rPr>
              <w:t>)</w:t>
            </w:r>
          </w:p>
        </w:tc>
        <w:tc>
          <w:tcPr>
            <w:tcW w:w="1190" w:type="dxa"/>
            <w:tcBorders>
              <w:top w:val="single" w:sz="12" w:space="0" w:color="auto"/>
              <w:left w:val="single" w:sz="12" w:space="0" w:color="auto"/>
              <w:bottom w:val="single" w:sz="12" w:space="0" w:color="auto"/>
              <w:right w:val="single" w:sz="12" w:space="0" w:color="auto"/>
            </w:tcBorders>
            <w:vAlign w:val="center"/>
          </w:tcPr>
          <w:p w14:paraId="00821D4A" w14:textId="77777777" w:rsidR="003C227D" w:rsidRPr="00424224" w:rsidRDefault="003C227D" w:rsidP="00325CE9">
            <w:pPr>
              <w:spacing w:before="60" w:after="60"/>
              <w:jc w:val="center"/>
              <w:rPr>
                <w:rFonts w:ascii="Arial" w:hAnsi="Arial" w:cs="Arial"/>
                <w:b/>
                <w:sz w:val="16"/>
                <w:szCs w:val="16"/>
              </w:rPr>
            </w:pPr>
            <w:r>
              <w:rPr>
                <w:rFonts w:ascii="Arial" w:hAnsi="Arial" w:cs="Arial"/>
                <w:b/>
                <w:sz w:val="16"/>
                <w:szCs w:val="16"/>
              </w:rPr>
              <w:t>465 – 3,370 (1,822)</w:t>
            </w:r>
          </w:p>
        </w:tc>
        <w:tc>
          <w:tcPr>
            <w:tcW w:w="1191" w:type="dxa"/>
            <w:tcBorders>
              <w:top w:val="single" w:sz="12" w:space="0" w:color="auto"/>
              <w:left w:val="single" w:sz="12" w:space="0" w:color="auto"/>
              <w:bottom w:val="single" w:sz="12" w:space="0" w:color="auto"/>
              <w:right w:val="single" w:sz="12" w:space="0" w:color="auto"/>
            </w:tcBorders>
            <w:vAlign w:val="center"/>
          </w:tcPr>
          <w:p w14:paraId="1AAA54DC" w14:textId="77777777" w:rsidR="003C227D" w:rsidRPr="00424224" w:rsidRDefault="003C227D" w:rsidP="00325CE9">
            <w:pPr>
              <w:spacing w:before="60" w:after="60"/>
              <w:jc w:val="center"/>
              <w:rPr>
                <w:rFonts w:ascii="Arial" w:hAnsi="Arial" w:cs="Arial"/>
                <w:b/>
                <w:sz w:val="16"/>
                <w:szCs w:val="16"/>
              </w:rPr>
            </w:pPr>
            <w:r>
              <w:rPr>
                <w:rFonts w:ascii="Arial" w:hAnsi="Arial" w:cs="Arial"/>
                <w:b/>
                <w:sz w:val="16"/>
                <w:szCs w:val="16"/>
              </w:rPr>
              <w:t>192 – 3,158 (1,627)</w:t>
            </w:r>
          </w:p>
        </w:tc>
        <w:tc>
          <w:tcPr>
            <w:tcW w:w="1304" w:type="dxa"/>
            <w:tcBorders>
              <w:top w:val="single" w:sz="12" w:space="0" w:color="auto"/>
              <w:left w:val="single" w:sz="12" w:space="0" w:color="auto"/>
              <w:bottom w:val="single" w:sz="12" w:space="0" w:color="auto"/>
              <w:right w:val="single" w:sz="12" w:space="0" w:color="auto"/>
            </w:tcBorders>
            <w:vAlign w:val="center"/>
          </w:tcPr>
          <w:p w14:paraId="13863F83" w14:textId="77777777" w:rsidR="003C227D" w:rsidRPr="00424224" w:rsidRDefault="003C227D" w:rsidP="00325CE9">
            <w:pPr>
              <w:spacing w:before="60" w:after="60"/>
              <w:jc w:val="center"/>
              <w:rPr>
                <w:rFonts w:ascii="Arial" w:hAnsi="Arial" w:cs="Arial"/>
                <w:b/>
                <w:sz w:val="16"/>
                <w:szCs w:val="16"/>
              </w:rPr>
            </w:pPr>
            <w:r>
              <w:rPr>
                <w:rFonts w:ascii="Arial" w:hAnsi="Arial" w:cs="Arial"/>
                <w:b/>
                <w:sz w:val="16"/>
                <w:szCs w:val="16"/>
              </w:rPr>
              <w:t>1,494 – 13,098 (5,142)</w:t>
            </w:r>
          </w:p>
        </w:tc>
        <w:tc>
          <w:tcPr>
            <w:tcW w:w="1077" w:type="dxa"/>
            <w:tcBorders>
              <w:top w:val="single" w:sz="12" w:space="0" w:color="auto"/>
              <w:left w:val="single" w:sz="12" w:space="0" w:color="auto"/>
              <w:bottom w:val="single" w:sz="12" w:space="0" w:color="auto"/>
              <w:right w:val="single" w:sz="12" w:space="0" w:color="auto"/>
            </w:tcBorders>
            <w:vAlign w:val="center"/>
          </w:tcPr>
          <w:p w14:paraId="203F3D6D" w14:textId="77777777" w:rsidR="003C227D" w:rsidRPr="00424224" w:rsidRDefault="003C227D" w:rsidP="00325CE9">
            <w:pPr>
              <w:spacing w:before="60" w:after="60"/>
              <w:jc w:val="center"/>
              <w:rPr>
                <w:rFonts w:ascii="Arial" w:hAnsi="Arial" w:cs="Arial"/>
                <w:b/>
                <w:sz w:val="16"/>
                <w:szCs w:val="16"/>
              </w:rPr>
            </w:pPr>
            <w:r>
              <w:rPr>
                <w:rFonts w:ascii="Arial" w:hAnsi="Arial" w:cs="Arial"/>
                <w:b/>
                <w:sz w:val="16"/>
                <w:szCs w:val="16"/>
              </w:rPr>
              <w:t>145 – 610 (282)</w:t>
            </w:r>
          </w:p>
        </w:tc>
        <w:tc>
          <w:tcPr>
            <w:tcW w:w="1191" w:type="dxa"/>
            <w:tcBorders>
              <w:top w:val="single" w:sz="12" w:space="0" w:color="auto"/>
              <w:left w:val="single" w:sz="12" w:space="0" w:color="auto"/>
              <w:bottom w:val="single" w:sz="12" w:space="0" w:color="auto"/>
              <w:right w:val="single" w:sz="12" w:space="0" w:color="auto"/>
            </w:tcBorders>
            <w:vAlign w:val="center"/>
          </w:tcPr>
          <w:p w14:paraId="35243C9A" w14:textId="77777777" w:rsidR="003C227D" w:rsidRPr="00AA48C3" w:rsidRDefault="003C227D" w:rsidP="00325CE9">
            <w:pPr>
              <w:spacing w:before="60" w:after="60"/>
              <w:jc w:val="center"/>
              <w:rPr>
                <w:rFonts w:ascii="Arial" w:hAnsi="Arial" w:cs="Arial"/>
                <w:b/>
                <w:sz w:val="16"/>
                <w:szCs w:val="16"/>
              </w:rPr>
            </w:pPr>
            <w:r>
              <w:rPr>
                <w:rFonts w:ascii="Arial" w:hAnsi="Arial" w:cs="Arial"/>
                <w:b/>
                <w:sz w:val="16"/>
                <w:szCs w:val="16"/>
              </w:rPr>
              <w:t>185 – 2,200 (1,192)</w:t>
            </w:r>
          </w:p>
        </w:tc>
      </w:tr>
    </w:tbl>
    <w:p w14:paraId="43918C03" w14:textId="090A026F" w:rsidR="00501BB6" w:rsidRPr="001A0AA1" w:rsidRDefault="003C227D" w:rsidP="00501BB6">
      <w:pPr>
        <w:spacing w:before="60" w:after="240"/>
        <w:ind w:left="720" w:hanging="720"/>
        <w:jc w:val="center"/>
        <w:rPr>
          <w:szCs w:val="18"/>
        </w:rPr>
      </w:pPr>
      <w:r w:rsidRPr="001A0AA1">
        <w:rPr>
          <w:szCs w:val="18"/>
        </w:rPr>
        <w:t xml:space="preserve"> </w:t>
      </w:r>
      <w:r w:rsidR="00501BB6" w:rsidRPr="001A0AA1">
        <w:rPr>
          <w:szCs w:val="18"/>
        </w:rPr>
        <w:t>(* The totals in the table may not exactly equal the sum of displayed data, due to rounding)</w:t>
      </w:r>
    </w:p>
    <w:p w14:paraId="7B773ABF" w14:textId="1A7A5D98" w:rsidR="00E124F3" w:rsidRPr="001A0AA1" w:rsidRDefault="00691985" w:rsidP="00E124F3">
      <w:pPr>
        <w:spacing w:line="300" w:lineRule="atLeast"/>
        <w:jc w:val="both"/>
        <w:rPr>
          <w:szCs w:val="18"/>
        </w:rPr>
      </w:pPr>
      <w:r w:rsidRPr="001A0AA1">
        <w:rPr>
          <w:szCs w:val="18"/>
        </w:rPr>
        <w:t xml:space="preserve">By far the greatest quantities in the inputs column are for category 9, waste disposal. However, describing these as inputs is not really correct – they would be better considered as secondary </w:t>
      </w:r>
      <w:r w:rsidR="00377026" w:rsidRPr="001A0AA1">
        <w:rPr>
          <w:szCs w:val="18"/>
        </w:rPr>
        <w:t xml:space="preserve">or down-stream </w:t>
      </w:r>
      <w:r w:rsidRPr="001A0AA1">
        <w:rPr>
          <w:szCs w:val="18"/>
        </w:rPr>
        <w:t>inputs, in that they are the result of many of</w:t>
      </w:r>
      <w:r w:rsidR="00377026" w:rsidRPr="001A0AA1">
        <w:rPr>
          <w:szCs w:val="18"/>
        </w:rPr>
        <w:t xml:space="preserve"> the past and current out</w:t>
      </w:r>
      <w:r w:rsidRPr="001A0AA1">
        <w:rPr>
          <w:szCs w:val="18"/>
        </w:rPr>
        <w:t xml:space="preserve">puts from all other categories, plus contributions from indirect sources, such as mercury in foods and in </w:t>
      </w:r>
      <w:r w:rsidR="00377026" w:rsidRPr="001A0AA1">
        <w:rPr>
          <w:szCs w:val="18"/>
        </w:rPr>
        <w:t xml:space="preserve">airborne </w:t>
      </w:r>
      <w:r w:rsidRPr="001A0AA1">
        <w:rPr>
          <w:szCs w:val="18"/>
        </w:rPr>
        <w:t xml:space="preserve">dust. </w:t>
      </w:r>
      <w:r w:rsidR="001316A2">
        <w:rPr>
          <w:szCs w:val="18"/>
        </w:rPr>
        <w:t>In addition, most of the mercury in the solid waste stream is simply placed into long-term storage (</w:t>
      </w:r>
      <w:proofErr w:type="spellStart"/>
      <w:r w:rsidR="001316A2">
        <w:rPr>
          <w:szCs w:val="18"/>
        </w:rPr>
        <w:t>ie</w:t>
      </w:r>
      <w:proofErr w:type="spellEnd"/>
      <w:r w:rsidR="001316A2">
        <w:rPr>
          <w:szCs w:val="18"/>
        </w:rPr>
        <w:t>. controlled landfill), rather than being mobilised into the environment.</w:t>
      </w:r>
      <w:r w:rsidR="00E124F3">
        <w:rPr>
          <w:szCs w:val="18"/>
        </w:rPr>
        <w:t xml:space="preserve"> This was assigned to a ‘Reservoir’ output category, which has not been included in the table (refer section 11.1 for further details).</w:t>
      </w:r>
    </w:p>
    <w:p w14:paraId="2B850FDB" w14:textId="7094EBB3" w:rsidR="00691985" w:rsidRPr="001A0AA1" w:rsidRDefault="0014357A" w:rsidP="003A3A07">
      <w:pPr>
        <w:spacing w:line="300" w:lineRule="atLeast"/>
        <w:jc w:val="both"/>
        <w:rPr>
          <w:szCs w:val="18"/>
        </w:rPr>
      </w:pPr>
      <w:r w:rsidRPr="001A0AA1">
        <w:rPr>
          <w:szCs w:val="18"/>
        </w:rPr>
        <w:lastRenderedPageBreak/>
        <w:t xml:space="preserve">Apart from the waste category, the next highest input is from primary metal production and, in particular gold </w:t>
      </w:r>
      <w:r w:rsidR="00AC3856" w:rsidRPr="001A0AA1">
        <w:rPr>
          <w:szCs w:val="18"/>
        </w:rPr>
        <w:t xml:space="preserve">and silver </w:t>
      </w:r>
      <w:r w:rsidRPr="001A0AA1">
        <w:rPr>
          <w:szCs w:val="18"/>
        </w:rPr>
        <w:t xml:space="preserve">mining. In this case, the bulk of the inputs and outputs are associated with the extraction of very large volumes of ore, which </w:t>
      </w:r>
      <w:r w:rsidR="00BA5877">
        <w:rPr>
          <w:szCs w:val="18"/>
        </w:rPr>
        <w:t>contains very small amounts of</w:t>
      </w:r>
      <w:r w:rsidR="00BA5877" w:rsidRPr="001A0AA1">
        <w:rPr>
          <w:szCs w:val="18"/>
        </w:rPr>
        <w:t xml:space="preserve"> mercury</w:t>
      </w:r>
      <w:r w:rsidR="00BA5877">
        <w:rPr>
          <w:szCs w:val="18"/>
        </w:rPr>
        <w:t xml:space="preserve">. The ore </w:t>
      </w:r>
      <w:r w:rsidRPr="001A0AA1">
        <w:rPr>
          <w:szCs w:val="18"/>
        </w:rPr>
        <w:t xml:space="preserve">is processed to remove the gold and silver, and then </w:t>
      </w:r>
      <w:r w:rsidR="00C42F69" w:rsidRPr="001A0AA1">
        <w:rPr>
          <w:szCs w:val="18"/>
        </w:rPr>
        <w:t xml:space="preserve">it is </w:t>
      </w:r>
      <w:r w:rsidRPr="001A0AA1">
        <w:rPr>
          <w:szCs w:val="18"/>
        </w:rPr>
        <w:t>returned to the land.</w:t>
      </w:r>
      <w:r w:rsidR="00C42F69" w:rsidRPr="001A0AA1">
        <w:rPr>
          <w:szCs w:val="18"/>
        </w:rPr>
        <w:t xml:space="preserve"> It is debateable whether this should </w:t>
      </w:r>
      <w:r w:rsidR="00293FBB" w:rsidRPr="001A0AA1">
        <w:rPr>
          <w:szCs w:val="18"/>
        </w:rPr>
        <w:t xml:space="preserve">be </w:t>
      </w:r>
      <w:r w:rsidR="00C42F69" w:rsidRPr="001A0AA1">
        <w:rPr>
          <w:szCs w:val="18"/>
        </w:rPr>
        <w:t>regarded as a true mobilisation of mercury.</w:t>
      </w:r>
    </w:p>
    <w:p w14:paraId="2ABE1AA7" w14:textId="1F1C0BF1" w:rsidR="0014357A" w:rsidRDefault="00377026" w:rsidP="003A3A07">
      <w:pPr>
        <w:spacing w:line="300" w:lineRule="atLeast"/>
        <w:jc w:val="both"/>
        <w:rPr>
          <w:szCs w:val="18"/>
        </w:rPr>
      </w:pPr>
      <w:r w:rsidRPr="001A0AA1">
        <w:rPr>
          <w:szCs w:val="18"/>
        </w:rPr>
        <w:t>The next highest input category is the extraction and use of fuels and other energy sources</w:t>
      </w:r>
      <w:r w:rsidR="001316A2">
        <w:rPr>
          <w:szCs w:val="18"/>
        </w:rPr>
        <w:t>, with the dominant contributor here being geothermal energy</w:t>
      </w:r>
      <w:r w:rsidRPr="001A0AA1">
        <w:rPr>
          <w:szCs w:val="18"/>
        </w:rPr>
        <w:t>.</w:t>
      </w:r>
      <w:r w:rsidR="001316A2">
        <w:rPr>
          <w:szCs w:val="18"/>
        </w:rPr>
        <w:t xml:space="preserve"> Below that, the most notable source categories are production of recycled metals and consumer products with intentional use of mercury.</w:t>
      </w:r>
    </w:p>
    <w:p w14:paraId="766B5DC1" w14:textId="79E081B8" w:rsidR="001316A2" w:rsidRDefault="001316A2" w:rsidP="003A3A07">
      <w:pPr>
        <w:spacing w:line="300" w:lineRule="atLeast"/>
        <w:jc w:val="both"/>
        <w:rPr>
          <w:szCs w:val="18"/>
        </w:rPr>
      </w:pPr>
      <w:r>
        <w:rPr>
          <w:szCs w:val="18"/>
        </w:rPr>
        <w:t>The relative inputs from these and all other categories are illustrated in the figure below</w:t>
      </w:r>
      <w:r w:rsidR="00F352E8">
        <w:rPr>
          <w:szCs w:val="18"/>
        </w:rPr>
        <w:t>, which is based on the mid-range values reported for each category</w:t>
      </w:r>
      <w:r>
        <w:rPr>
          <w:szCs w:val="18"/>
        </w:rPr>
        <w:t>.</w:t>
      </w:r>
    </w:p>
    <w:p w14:paraId="05AAF332" w14:textId="77777777" w:rsidR="00935A9E" w:rsidRDefault="00935A9E" w:rsidP="001A0AA1">
      <w:pPr>
        <w:pStyle w:val="Caption"/>
        <w:spacing w:before="240"/>
        <w:jc w:val="center"/>
        <w:rPr>
          <w:rFonts w:ascii="Arial" w:hAnsi="Arial" w:cs="Arial"/>
        </w:rPr>
      </w:pPr>
      <w:bookmarkStart w:id="180" w:name="_Ref359159386"/>
      <w:r>
        <w:rPr>
          <w:rFonts w:ascii="Arial" w:hAnsi="Arial" w:cs="Arial"/>
          <w:noProof/>
          <w:lang w:eastAsia="en-NZ"/>
        </w:rPr>
        <w:drawing>
          <wp:inline distT="0" distB="0" distL="0" distR="0" wp14:anchorId="2519F727" wp14:editId="5F8B7F99">
            <wp:extent cx="5805805" cy="3514782"/>
            <wp:effectExtent l="0" t="0" r="444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28680" cy="3528630"/>
                    </a:xfrm>
                    <a:prstGeom prst="rect">
                      <a:avLst/>
                    </a:prstGeom>
                    <a:noFill/>
                  </pic:spPr>
                </pic:pic>
              </a:graphicData>
            </a:graphic>
          </wp:inline>
        </w:drawing>
      </w:r>
    </w:p>
    <w:p w14:paraId="05A31DDC" w14:textId="0A406AC8" w:rsidR="001A0AA1" w:rsidRPr="001A0AA1" w:rsidRDefault="001A0AA1" w:rsidP="001A0AA1">
      <w:pPr>
        <w:pStyle w:val="Caption"/>
        <w:spacing w:before="240"/>
        <w:jc w:val="center"/>
        <w:rPr>
          <w:rFonts w:ascii="Arial" w:hAnsi="Arial" w:cs="Arial"/>
          <w:szCs w:val="18"/>
        </w:rPr>
      </w:pPr>
      <w:r w:rsidRPr="001A0AA1">
        <w:rPr>
          <w:rFonts w:ascii="Arial" w:hAnsi="Arial" w:cs="Arial"/>
        </w:rPr>
        <w:t xml:space="preserve">Figure </w:t>
      </w:r>
      <w:r w:rsidRPr="001A0AA1">
        <w:rPr>
          <w:rFonts w:ascii="Arial" w:hAnsi="Arial" w:cs="Arial"/>
        </w:rPr>
        <w:fldChar w:fldCharType="begin"/>
      </w:r>
      <w:r w:rsidRPr="001A0AA1">
        <w:rPr>
          <w:rFonts w:ascii="Arial" w:hAnsi="Arial" w:cs="Arial"/>
        </w:rPr>
        <w:instrText xml:space="preserve"> STYLEREF 1 \s </w:instrText>
      </w:r>
      <w:r w:rsidRPr="001A0AA1">
        <w:rPr>
          <w:rFonts w:ascii="Arial" w:hAnsi="Arial" w:cs="Arial"/>
        </w:rPr>
        <w:fldChar w:fldCharType="separate"/>
      </w:r>
      <w:r w:rsidRPr="001A0AA1">
        <w:rPr>
          <w:rFonts w:ascii="Arial" w:hAnsi="Arial" w:cs="Arial"/>
          <w:noProof/>
        </w:rPr>
        <w:t>14</w:t>
      </w:r>
      <w:r w:rsidRPr="001A0AA1">
        <w:rPr>
          <w:rFonts w:ascii="Arial" w:hAnsi="Arial" w:cs="Arial"/>
        </w:rPr>
        <w:fldChar w:fldCharType="end"/>
      </w:r>
      <w:r w:rsidRPr="001A0AA1">
        <w:rPr>
          <w:rFonts w:ascii="Arial" w:hAnsi="Arial" w:cs="Arial"/>
        </w:rPr>
        <w:noBreakHyphen/>
      </w:r>
      <w:r w:rsidRPr="001A0AA1">
        <w:rPr>
          <w:rFonts w:ascii="Arial" w:hAnsi="Arial" w:cs="Arial"/>
        </w:rPr>
        <w:fldChar w:fldCharType="begin"/>
      </w:r>
      <w:r w:rsidRPr="001A0AA1">
        <w:rPr>
          <w:rFonts w:ascii="Arial" w:hAnsi="Arial" w:cs="Arial"/>
        </w:rPr>
        <w:instrText xml:space="preserve"> SEQ Figure \* ARABIC \s 1 </w:instrText>
      </w:r>
      <w:r w:rsidRPr="001A0AA1">
        <w:rPr>
          <w:rFonts w:ascii="Arial" w:hAnsi="Arial" w:cs="Arial"/>
        </w:rPr>
        <w:fldChar w:fldCharType="separate"/>
      </w:r>
      <w:r w:rsidRPr="001A0AA1">
        <w:rPr>
          <w:rFonts w:ascii="Arial" w:hAnsi="Arial" w:cs="Arial"/>
          <w:noProof/>
        </w:rPr>
        <w:t>1</w:t>
      </w:r>
      <w:r w:rsidRPr="001A0AA1">
        <w:rPr>
          <w:rFonts w:ascii="Arial" w:hAnsi="Arial" w:cs="Arial"/>
        </w:rPr>
        <w:fldChar w:fldCharType="end"/>
      </w:r>
      <w:bookmarkEnd w:id="180"/>
      <w:r w:rsidRPr="001A0AA1">
        <w:rPr>
          <w:rFonts w:ascii="Arial" w:hAnsi="Arial" w:cs="Arial"/>
        </w:rPr>
        <w:t>:</w:t>
      </w:r>
      <w:r w:rsidRPr="001A0AA1">
        <w:rPr>
          <w:rFonts w:ascii="Arial" w:hAnsi="Arial" w:cs="Arial"/>
          <w:b w:val="0"/>
          <w:bCs w:val="0"/>
        </w:rPr>
        <w:t xml:space="preserve"> </w:t>
      </w:r>
      <w:r w:rsidRPr="001A0AA1">
        <w:rPr>
          <w:rFonts w:ascii="Arial" w:hAnsi="Arial" w:cs="Arial"/>
        </w:rPr>
        <w:t>High level graphical summary of mercury inputs</w:t>
      </w:r>
    </w:p>
    <w:p w14:paraId="24182496" w14:textId="77777777" w:rsidR="00F958AE" w:rsidRPr="001A0AA1" w:rsidRDefault="00F958AE" w:rsidP="00F958AE">
      <w:pPr>
        <w:spacing w:line="300" w:lineRule="atLeast"/>
        <w:jc w:val="both"/>
        <w:rPr>
          <w:szCs w:val="18"/>
        </w:rPr>
      </w:pPr>
    </w:p>
    <w:p w14:paraId="34688459" w14:textId="6899EB27" w:rsidR="00377026" w:rsidRPr="001A0AA1" w:rsidRDefault="00377026" w:rsidP="0094046F">
      <w:pPr>
        <w:pStyle w:val="Heading2"/>
      </w:pPr>
      <w:bookmarkStart w:id="181" w:name="_Toc484949633"/>
      <w:r w:rsidRPr="001A0AA1">
        <w:t>Source by source summary of mercury inputs</w:t>
      </w:r>
      <w:bookmarkEnd w:id="181"/>
    </w:p>
    <w:p w14:paraId="28AA1410" w14:textId="7BC02327" w:rsidR="0014357A" w:rsidRPr="001A0AA1" w:rsidRDefault="00377026" w:rsidP="003A3A07">
      <w:pPr>
        <w:spacing w:line="300" w:lineRule="atLeast"/>
        <w:jc w:val="both"/>
        <w:rPr>
          <w:szCs w:val="18"/>
        </w:rPr>
      </w:pPr>
      <w:r w:rsidRPr="001A0AA1">
        <w:rPr>
          <w:szCs w:val="18"/>
        </w:rPr>
        <w:t xml:space="preserve">A detailed source by source listing of all of the individual </w:t>
      </w:r>
      <w:r w:rsidR="00ED71DA" w:rsidRPr="001A0AA1">
        <w:rPr>
          <w:szCs w:val="18"/>
        </w:rPr>
        <w:t xml:space="preserve">inputs and </w:t>
      </w:r>
      <w:r w:rsidRPr="001A0AA1">
        <w:rPr>
          <w:szCs w:val="18"/>
        </w:rPr>
        <w:t xml:space="preserve">outputs </w:t>
      </w:r>
      <w:r w:rsidR="00F352E8">
        <w:rPr>
          <w:szCs w:val="18"/>
        </w:rPr>
        <w:t xml:space="preserve">for </w:t>
      </w:r>
      <w:r w:rsidR="00F352E8" w:rsidRPr="001A0AA1">
        <w:rPr>
          <w:szCs w:val="18"/>
        </w:rPr>
        <w:t xml:space="preserve">New Zealand </w:t>
      </w:r>
      <w:r w:rsidR="00F352E8">
        <w:rPr>
          <w:szCs w:val="18"/>
        </w:rPr>
        <w:t xml:space="preserve">sources </w:t>
      </w:r>
      <w:r w:rsidRPr="001A0AA1">
        <w:rPr>
          <w:szCs w:val="18"/>
        </w:rPr>
        <w:t xml:space="preserve">is given in </w:t>
      </w:r>
      <w:r w:rsidR="00F352E8">
        <w:rPr>
          <w:szCs w:val="18"/>
        </w:rPr>
        <w:t>Table 14-2</w:t>
      </w:r>
      <w:r w:rsidRPr="001A0AA1">
        <w:rPr>
          <w:szCs w:val="18"/>
        </w:rPr>
        <w:fldChar w:fldCharType="begin"/>
      </w:r>
      <w:r w:rsidRPr="001A0AA1">
        <w:rPr>
          <w:szCs w:val="18"/>
        </w:rPr>
        <w:instrText xml:space="preserve"> REF _Ref358654936 \h  \* MERGEFORMAT </w:instrText>
      </w:r>
      <w:r w:rsidRPr="001A0AA1">
        <w:rPr>
          <w:szCs w:val="18"/>
        </w:rPr>
      </w:r>
      <w:r w:rsidRPr="001A0AA1">
        <w:rPr>
          <w:szCs w:val="18"/>
        </w:rPr>
        <w:fldChar w:fldCharType="end"/>
      </w:r>
      <w:r w:rsidR="00F352E8">
        <w:rPr>
          <w:szCs w:val="18"/>
        </w:rPr>
        <w:t xml:space="preserve"> </w:t>
      </w:r>
      <w:r w:rsidRPr="001A0AA1">
        <w:rPr>
          <w:szCs w:val="18"/>
        </w:rPr>
        <w:t>at the end of this section</w:t>
      </w:r>
      <w:r w:rsidR="00F352E8">
        <w:rPr>
          <w:szCs w:val="18"/>
        </w:rPr>
        <w:t>.</w:t>
      </w:r>
      <w:r w:rsidRPr="001A0AA1">
        <w:rPr>
          <w:szCs w:val="18"/>
        </w:rPr>
        <w:t xml:space="preserve"> A relative ranking of </w:t>
      </w:r>
      <w:r w:rsidR="00ED71DA" w:rsidRPr="001A0AA1">
        <w:rPr>
          <w:szCs w:val="18"/>
        </w:rPr>
        <w:t xml:space="preserve">the inputs from </w:t>
      </w:r>
      <w:r w:rsidRPr="001A0AA1">
        <w:rPr>
          <w:szCs w:val="18"/>
        </w:rPr>
        <w:t xml:space="preserve">each of the sources is also </w:t>
      </w:r>
      <w:r w:rsidR="00AE00FF" w:rsidRPr="001A0AA1">
        <w:rPr>
          <w:szCs w:val="18"/>
        </w:rPr>
        <w:t>illustrated</w:t>
      </w:r>
      <w:r w:rsidRPr="001A0AA1">
        <w:rPr>
          <w:szCs w:val="18"/>
        </w:rPr>
        <w:t xml:space="preserve"> in </w:t>
      </w:r>
      <w:r w:rsidR="00AE00FF" w:rsidRPr="001A0AA1">
        <w:rPr>
          <w:szCs w:val="18"/>
        </w:rPr>
        <w:fldChar w:fldCharType="begin"/>
      </w:r>
      <w:r w:rsidR="00AE00FF" w:rsidRPr="001A0AA1">
        <w:rPr>
          <w:szCs w:val="18"/>
        </w:rPr>
        <w:instrText xml:space="preserve"> REF _Ref359158004 \h  \* MERGEFORMAT </w:instrText>
      </w:r>
      <w:r w:rsidR="00AE00FF" w:rsidRPr="001A0AA1">
        <w:rPr>
          <w:szCs w:val="18"/>
        </w:rPr>
      </w:r>
      <w:r w:rsidR="00AE00FF" w:rsidRPr="001A0AA1">
        <w:rPr>
          <w:szCs w:val="18"/>
        </w:rPr>
        <w:fldChar w:fldCharType="separate"/>
      </w:r>
      <w:r w:rsidR="00423FC9" w:rsidRPr="001A0AA1">
        <w:t xml:space="preserve">Figure </w:t>
      </w:r>
      <w:r w:rsidR="00423FC9" w:rsidRPr="001A0AA1">
        <w:rPr>
          <w:noProof/>
        </w:rPr>
        <w:t>14</w:t>
      </w:r>
      <w:r w:rsidR="00423FC9" w:rsidRPr="001A0AA1">
        <w:rPr>
          <w:noProof/>
        </w:rPr>
        <w:noBreakHyphen/>
        <w:t>2</w:t>
      </w:r>
      <w:r w:rsidR="00AE00FF" w:rsidRPr="001A0AA1">
        <w:rPr>
          <w:szCs w:val="18"/>
        </w:rPr>
        <w:fldChar w:fldCharType="end"/>
      </w:r>
      <w:r w:rsidR="00F352E8">
        <w:rPr>
          <w:szCs w:val="18"/>
        </w:rPr>
        <w:t xml:space="preserve"> below,</w:t>
      </w:r>
      <w:r w:rsidR="006C2F4B" w:rsidRPr="001A0AA1">
        <w:rPr>
          <w:szCs w:val="18"/>
        </w:rPr>
        <w:t xml:space="preserve"> with the size of each bar giving a simple indication of the level of uncertainty associated with each estimate.</w:t>
      </w:r>
    </w:p>
    <w:p w14:paraId="1FD07977" w14:textId="53A406C9" w:rsidR="00DE4BF3" w:rsidRPr="001A0AA1" w:rsidRDefault="00F352E8" w:rsidP="00DE4BF3">
      <w:pPr>
        <w:spacing w:line="300" w:lineRule="atLeast"/>
        <w:jc w:val="both"/>
        <w:rPr>
          <w:szCs w:val="18"/>
        </w:rPr>
      </w:pPr>
      <w:r>
        <w:rPr>
          <w:szCs w:val="18"/>
        </w:rPr>
        <w:t>As shown in the figure,</w:t>
      </w:r>
      <w:r w:rsidR="001C67A9" w:rsidRPr="001A0AA1">
        <w:rPr>
          <w:szCs w:val="18"/>
        </w:rPr>
        <w:t xml:space="preserve"> the </w:t>
      </w:r>
      <w:r>
        <w:rPr>
          <w:szCs w:val="18"/>
        </w:rPr>
        <w:t>most significant</w:t>
      </w:r>
      <w:r w:rsidR="001C67A9" w:rsidRPr="001A0AA1">
        <w:rPr>
          <w:szCs w:val="18"/>
        </w:rPr>
        <w:t xml:space="preserve"> input sources </w:t>
      </w:r>
      <w:r>
        <w:rPr>
          <w:szCs w:val="18"/>
        </w:rPr>
        <w:t xml:space="preserve">are </w:t>
      </w:r>
      <w:r w:rsidR="00AB0E4F">
        <w:rPr>
          <w:szCs w:val="18"/>
        </w:rPr>
        <w:t>solid</w:t>
      </w:r>
      <w:r w:rsidR="001E1C91" w:rsidRPr="001A0AA1">
        <w:rPr>
          <w:szCs w:val="18"/>
        </w:rPr>
        <w:t xml:space="preserve"> waste disposal</w:t>
      </w:r>
      <w:r w:rsidR="00AB0E4F">
        <w:rPr>
          <w:szCs w:val="18"/>
        </w:rPr>
        <w:t xml:space="preserve"> (landfills)</w:t>
      </w:r>
      <w:r w:rsidR="001E1C91" w:rsidRPr="001A0AA1">
        <w:rPr>
          <w:szCs w:val="18"/>
        </w:rPr>
        <w:t xml:space="preserve">, </w:t>
      </w:r>
      <w:r w:rsidR="001C67A9" w:rsidRPr="001A0AA1">
        <w:rPr>
          <w:szCs w:val="18"/>
        </w:rPr>
        <w:t xml:space="preserve">gold </w:t>
      </w:r>
      <w:r w:rsidR="001E1C91" w:rsidRPr="001A0AA1">
        <w:rPr>
          <w:szCs w:val="18"/>
        </w:rPr>
        <w:t xml:space="preserve">and silver </w:t>
      </w:r>
      <w:r w:rsidR="001C67A9" w:rsidRPr="001A0AA1">
        <w:rPr>
          <w:szCs w:val="18"/>
        </w:rPr>
        <w:t xml:space="preserve">mining, </w:t>
      </w:r>
      <w:r w:rsidR="00AB0E4F">
        <w:rPr>
          <w:szCs w:val="18"/>
        </w:rPr>
        <w:t xml:space="preserve">wastewater treatment and disposal, </w:t>
      </w:r>
      <w:r w:rsidR="006D238E">
        <w:rPr>
          <w:szCs w:val="18"/>
        </w:rPr>
        <w:t xml:space="preserve">and the extraction and utilisation of </w:t>
      </w:r>
      <w:r w:rsidR="001C67A9" w:rsidRPr="001A0AA1">
        <w:rPr>
          <w:szCs w:val="18"/>
        </w:rPr>
        <w:t>geothermal energy</w:t>
      </w:r>
      <w:r>
        <w:rPr>
          <w:szCs w:val="18"/>
        </w:rPr>
        <w:t>. The</w:t>
      </w:r>
      <w:r w:rsidR="00171ABF" w:rsidRPr="001A0AA1">
        <w:rPr>
          <w:szCs w:val="18"/>
        </w:rPr>
        <w:t xml:space="preserve"> </w:t>
      </w:r>
      <w:r w:rsidR="001C67A9" w:rsidRPr="001A0AA1">
        <w:rPr>
          <w:szCs w:val="18"/>
        </w:rPr>
        <w:t>extractio</w:t>
      </w:r>
      <w:r w:rsidR="006D238E">
        <w:rPr>
          <w:szCs w:val="18"/>
        </w:rPr>
        <w:t>n and processing of natural gas</w:t>
      </w:r>
      <w:r w:rsidR="001C67A9" w:rsidRPr="001A0AA1">
        <w:rPr>
          <w:szCs w:val="18"/>
        </w:rPr>
        <w:t xml:space="preserve"> </w:t>
      </w:r>
      <w:r>
        <w:rPr>
          <w:szCs w:val="18"/>
        </w:rPr>
        <w:t xml:space="preserve">may also be a significant contributor but the uncertainties associated with the estimates for this source are very high. </w:t>
      </w:r>
    </w:p>
    <w:p w14:paraId="1D783AC5" w14:textId="77777777" w:rsidR="00AB0E4F" w:rsidRDefault="00AB0E4F">
      <w:pPr>
        <w:spacing w:after="0"/>
        <w:rPr>
          <w:rFonts w:ascii="Arial" w:hAnsi="Arial" w:cs="Arial"/>
          <w:b/>
          <w:bCs/>
        </w:rPr>
      </w:pPr>
      <w:bookmarkStart w:id="182" w:name="_Ref359158004"/>
      <w:r>
        <w:rPr>
          <w:rFonts w:ascii="Arial" w:hAnsi="Arial" w:cs="Arial"/>
        </w:rPr>
        <w:br w:type="page"/>
      </w:r>
    </w:p>
    <w:p w14:paraId="28EEF4DE" w14:textId="309D4BF8" w:rsidR="001C67A9" w:rsidRPr="001A0AA1" w:rsidRDefault="001C67A9" w:rsidP="001C67A9">
      <w:pPr>
        <w:pStyle w:val="Caption"/>
        <w:spacing w:before="240"/>
        <w:jc w:val="center"/>
        <w:rPr>
          <w:rFonts w:ascii="Arial" w:hAnsi="Arial" w:cs="Arial"/>
        </w:rPr>
      </w:pPr>
      <w:r w:rsidRPr="001A0AA1">
        <w:rPr>
          <w:rFonts w:ascii="Arial" w:hAnsi="Arial" w:cs="Arial"/>
        </w:rPr>
        <w:lastRenderedPageBreak/>
        <w:t xml:space="preserve">Figure </w:t>
      </w:r>
      <w:r w:rsidR="00F22738" w:rsidRPr="001A0AA1">
        <w:rPr>
          <w:rFonts w:ascii="Arial" w:hAnsi="Arial" w:cs="Arial"/>
        </w:rPr>
        <w:fldChar w:fldCharType="begin"/>
      </w:r>
      <w:r w:rsidR="00F22738" w:rsidRPr="001A0AA1">
        <w:rPr>
          <w:rFonts w:ascii="Arial" w:hAnsi="Arial" w:cs="Arial"/>
        </w:rPr>
        <w:instrText xml:space="preserve"> STYLEREF 1 \s </w:instrText>
      </w:r>
      <w:r w:rsidR="00F22738" w:rsidRPr="001A0AA1">
        <w:rPr>
          <w:rFonts w:ascii="Arial" w:hAnsi="Arial" w:cs="Arial"/>
        </w:rPr>
        <w:fldChar w:fldCharType="separate"/>
      </w:r>
      <w:r w:rsidR="00423FC9" w:rsidRPr="001A0AA1">
        <w:rPr>
          <w:rFonts w:ascii="Arial" w:hAnsi="Arial" w:cs="Arial"/>
          <w:noProof/>
        </w:rPr>
        <w:t>14</w:t>
      </w:r>
      <w:r w:rsidR="00F22738" w:rsidRPr="001A0AA1">
        <w:rPr>
          <w:rFonts w:ascii="Arial" w:hAnsi="Arial" w:cs="Arial"/>
        </w:rPr>
        <w:fldChar w:fldCharType="end"/>
      </w:r>
      <w:r w:rsidR="00F22738" w:rsidRPr="001A0AA1">
        <w:rPr>
          <w:rFonts w:ascii="Arial" w:hAnsi="Arial" w:cs="Arial"/>
        </w:rPr>
        <w:noBreakHyphen/>
      </w:r>
      <w:r w:rsidR="00F22738" w:rsidRPr="001A0AA1">
        <w:rPr>
          <w:rFonts w:ascii="Arial" w:hAnsi="Arial" w:cs="Arial"/>
        </w:rPr>
        <w:fldChar w:fldCharType="begin"/>
      </w:r>
      <w:r w:rsidR="00F22738" w:rsidRPr="001A0AA1">
        <w:rPr>
          <w:rFonts w:ascii="Arial" w:hAnsi="Arial" w:cs="Arial"/>
        </w:rPr>
        <w:instrText xml:space="preserve"> SEQ Figure \* ARABIC \s 1 </w:instrText>
      </w:r>
      <w:r w:rsidR="00F22738" w:rsidRPr="001A0AA1">
        <w:rPr>
          <w:rFonts w:ascii="Arial" w:hAnsi="Arial" w:cs="Arial"/>
        </w:rPr>
        <w:fldChar w:fldCharType="separate"/>
      </w:r>
      <w:r w:rsidR="00423FC9" w:rsidRPr="001A0AA1">
        <w:rPr>
          <w:rFonts w:ascii="Arial" w:hAnsi="Arial" w:cs="Arial"/>
          <w:noProof/>
        </w:rPr>
        <w:t>2</w:t>
      </w:r>
      <w:r w:rsidR="00F22738" w:rsidRPr="001A0AA1">
        <w:rPr>
          <w:rFonts w:ascii="Arial" w:hAnsi="Arial" w:cs="Arial"/>
        </w:rPr>
        <w:fldChar w:fldCharType="end"/>
      </w:r>
      <w:bookmarkEnd w:id="182"/>
      <w:r w:rsidRPr="001A0AA1">
        <w:rPr>
          <w:rFonts w:ascii="Arial" w:hAnsi="Arial" w:cs="Arial"/>
        </w:rPr>
        <w:t>: Ranking of mercury inputs by individual sources</w:t>
      </w:r>
    </w:p>
    <w:p w14:paraId="55114C8C" w14:textId="5C015A56" w:rsidR="009731FB" w:rsidRDefault="00935A9E" w:rsidP="001C67A9">
      <w:pPr>
        <w:spacing w:line="300" w:lineRule="atLeast"/>
        <w:rPr>
          <w:szCs w:val="18"/>
        </w:rPr>
      </w:pPr>
      <w:r>
        <w:rPr>
          <w:noProof/>
          <w:szCs w:val="18"/>
          <w:lang w:eastAsia="en-NZ"/>
        </w:rPr>
        <w:drawing>
          <wp:inline distT="0" distB="0" distL="0" distR="0" wp14:anchorId="3D7D4F80" wp14:editId="2F6213F6">
            <wp:extent cx="5778871" cy="31978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3422" cy="3211446"/>
                    </a:xfrm>
                    <a:prstGeom prst="rect">
                      <a:avLst/>
                    </a:prstGeom>
                    <a:noFill/>
                  </pic:spPr>
                </pic:pic>
              </a:graphicData>
            </a:graphic>
          </wp:inline>
        </w:drawing>
      </w:r>
    </w:p>
    <w:p w14:paraId="10812FFD" w14:textId="71A674EC" w:rsidR="009731FB" w:rsidRPr="001A0AA1" w:rsidRDefault="009731FB" w:rsidP="009731FB">
      <w:pPr>
        <w:pStyle w:val="Heading2"/>
      </w:pPr>
      <w:bookmarkStart w:id="183" w:name="_Toc484949634"/>
      <w:r>
        <w:t>Changes in</w:t>
      </w:r>
      <w:r w:rsidRPr="001A0AA1">
        <w:t xml:space="preserve"> mercury inputs</w:t>
      </w:r>
      <w:r>
        <w:t xml:space="preserve"> since 2012</w:t>
      </w:r>
      <w:bookmarkEnd w:id="183"/>
    </w:p>
    <w:p w14:paraId="055052E2" w14:textId="776083D2" w:rsidR="009731FB" w:rsidRDefault="00135FEE" w:rsidP="001C67A9">
      <w:pPr>
        <w:spacing w:line="300" w:lineRule="atLeast"/>
        <w:rPr>
          <w:szCs w:val="18"/>
        </w:rPr>
      </w:pPr>
      <w:r>
        <w:rPr>
          <w:szCs w:val="18"/>
        </w:rPr>
        <w:t xml:space="preserve">Many of the mercury input estimates for 2016 show changes from those given in the 2012 Inventory Report. Some of these changes are simply due to the normal year to year variations in commercial </w:t>
      </w:r>
      <w:r w:rsidR="00FD4C97">
        <w:rPr>
          <w:szCs w:val="18"/>
        </w:rPr>
        <w:t xml:space="preserve">or industrial </w:t>
      </w:r>
      <w:r>
        <w:rPr>
          <w:szCs w:val="18"/>
        </w:rPr>
        <w:t>activity while others simply relate to changes in the population</w:t>
      </w:r>
      <w:r w:rsidR="00B027AE">
        <w:rPr>
          <w:szCs w:val="18"/>
        </w:rPr>
        <w:t>. However, the changes for about half of the sources are believed to be due to specific causes, and these are noted below.</w:t>
      </w:r>
    </w:p>
    <w:p w14:paraId="3EE2176D" w14:textId="78047120" w:rsidR="00B027AE" w:rsidRPr="00B027AE" w:rsidRDefault="00B027AE" w:rsidP="00B027AE">
      <w:pPr>
        <w:spacing w:line="300" w:lineRule="atLeast"/>
        <w:rPr>
          <w:b/>
          <w:szCs w:val="18"/>
        </w:rPr>
      </w:pPr>
      <w:r w:rsidRPr="00B027AE">
        <w:rPr>
          <w:b/>
          <w:szCs w:val="18"/>
        </w:rPr>
        <w:t>Plant Closures</w:t>
      </w:r>
    </w:p>
    <w:p w14:paraId="064D99A0" w14:textId="77777777" w:rsidR="00B027AE" w:rsidRDefault="00B027AE" w:rsidP="00B027AE">
      <w:pPr>
        <w:spacing w:line="300" w:lineRule="atLeast"/>
        <w:rPr>
          <w:szCs w:val="18"/>
        </w:rPr>
      </w:pPr>
      <w:r>
        <w:rPr>
          <w:szCs w:val="18"/>
        </w:rPr>
        <w:t>The estimates for cement manufacture are down by about 20% due to closure of the Westport plant, and those from secondary steel</w:t>
      </w:r>
      <w:r w:rsidRPr="00B027AE">
        <w:rPr>
          <w:szCs w:val="18"/>
        </w:rPr>
        <w:t xml:space="preserve"> </w:t>
      </w:r>
      <w:r>
        <w:rPr>
          <w:szCs w:val="18"/>
        </w:rPr>
        <w:t xml:space="preserve">production have been eliminated by the closure of the Pacific Steel plant in Auckland. </w:t>
      </w:r>
    </w:p>
    <w:p w14:paraId="3DF37E3F" w14:textId="498749B2" w:rsidR="00B027AE" w:rsidRDefault="00B027AE" w:rsidP="00B027AE">
      <w:pPr>
        <w:spacing w:line="300" w:lineRule="atLeast"/>
        <w:rPr>
          <w:szCs w:val="18"/>
        </w:rPr>
      </w:pPr>
      <w:r>
        <w:rPr>
          <w:szCs w:val="18"/>
        </w:rPr>
        <w:t xml:space="preserve">The only known mercury recycling operation has ceased operation although there may be other unidentified </w:t>
      </w:r>
      <w:r w:rsidR="003861DA">
        <w:rPr>
          <w:szCs w:val="18"/>
        </w:rPr>
        <w:t xml:space="preserve">small scale </w:t>
      </w:r>
      <w:r>
        <w:rPr>
          <w:szCs w:val="18"/>
        </w:rPr>
        <w:t>opera</w:t>
      </w:r>
      <w:r w:rsidR="00FD4C97">
        <w:rPr>
          <w:szCs w:val="18"/>
        </w:rPr>
        <w:t>tors working in that</w:t>
      </w:r>
      <w:r>
        <w:rPr>
          <w:szCs w:val="18"/>
        </w:rPr>
        <w:t xml:space="preserve"> area.</w:t>
      </w:r>
      <w:r w:rsidR="003861DA">
        <w:rPr>
          <w:szCs w:val="18"/>
        </w:rPr>
        <w:t xml:space="preserve"> The known operation was </w:t>
      </w:r>
      <w:r w:rsidR="003861DA" w:rsidRPr="00ED67CA">
        <w:rPr>
          <w:szCs w:val="18"/>
        </w:rPr>
        <w:t xml:space="preserve">mainly concerned with </w:t>
      </w:r>
      <w:r w:rsidR="003861DA">
        <w:rPr>
          <w:szCs w:val="18"/>
        </w:rPr>
        <w:t>metal</w:t>
      </w:r>
      <w:r w:rsidR="003861DA" w:rsidRPr="00ED67CA">
        <w:rPr>
          <w:szCs w:val="18"/>
        </w:rPr>
        <w:t xml:space="preserve"> recovery from dental, photographic and printing wastes</w:t>
      </w:r>
      <w:r w:rsidR="003861DA">
        <w:rPr>
          <w:szCs w:val="18"/>
        </w:rPr>
        <w:t>, so it is likely that these wastes will now be disposed to landfill, with or without pre-treatment.</w:t>
      </w:r>
    </w:p>
    <w:p w14:paraId="2D9A7A0F" w14:textId="0C3FAA95" w:rsidR="00B027AE" w:rsidRPr="003861DA" w:rsidRDefault="003861DA" w:rsidP="00B027AE">
      <w:pPr>
        <w:spacing w:line="300" w:lineRule="atLeast"/>
        <w:rPr>
          <w:b/>
          <w:szCs w:val="18"/>
        </w:rPr>
      </w:pPr>
      <w:r w:rsidRPr="003861DA">
        <w:rPr>
          <w:b/>
          <w:szCs w:val="18"/>
        </w:rPr>
        <w:t>Changes in Energy Production</w:t>
      </w:r>
      <w:r>
        <w:rPr>
          <w:b/>
          <w:szCs w:val="18"/>
        </w:rPr>
        <w:t xml:space="preserve"> and Use</w:t>
      </w:r>
    </w:p>
    <w:p w14:paraId="676C42EA" w14:textId="66231A69" w:rsidR="00B1574C" w:rsidRDefault="003861DA" w:rsidP="001C67A9">
      <w:pPr>
        <w:spacing w:line="300" w:lineRule="atLeast"/>
        <w:rPr>
          <w:szCs w:val="18"/>
        </w:rPr>
      </w:pPr>
      <w:r>
        <w:rPr>
          <w:szCs w:val="18"/>
        </w:rPr>
        <w:t xml:space="preserve">The estimated releases from coal burning at the </w:t>
      </w:r>
      <w:r w:rsidR="00325CE9">
        <w:rPr>
          <w:szCs w:val="18"/>
        </w:rPr>
        <w:t xml:space="preserve">Huntly </w:t>
      </w:r>
      <w:r>
        <w:rPr>
          <w:szCs w:val="18"/>
        </w:rPr>
        <w:t xml:space="preserve">Power station are </w:t>
      </w:r>
      <w:r w:rsidR="00325CE9">
        <w:rPr>
          <w:szCs w:val="18"/>
        </w:rPr>
        <w:t xml:space="preserve">down by more than 80% </w:t>
      </w:r>
      <w:r>
        <w:rPr>
          <w:szCs w:val="18"/>
        </w:rPr>
        <w:t xml:space="preserve">from 2012 because the use of the coal-fired units is being phased out as they reach the end of their operational life. In principle the </w:t>
      </w:r>
      <w:r w:rsidR="00B1574C">
        <w:rPr>
          <w:szCs w:val="18"/>
        </w:rPr>
        <w:t xml:space="preserve">rate of coal burning could still be maintained at the </w:t>
      </w:r>
      <w:r w:rsidR="00325CE9">
        <w:rPr>
          <w:szCs w:val="18"/>
        </w:rPr>
        <w:t xml:space="preserve">2012 </w:t>
      </w:r>
      <w:r w:rsidR="00B1574C">
        <w:rPr>
          <w:szCs w:val="18"/>
        </w:rPr>
        <w:t xml:space="preserve">levels but this is only likely to occur in the event of a major shortfall in generation from other types of </w:t>
      </w:r>
      <w:r w:rsidR="00FD4C97">
        <w:rPr>
          <w:szCs w:val="18"/>
        </w:rPr>
        <w:t xml:space="preserve">energy </w:t>
      </w:r>
      <w:r w:rsidR="00B1574C">
        <w:rPr>
          <w:szCs w:val="18"/>
        </w:rPr>
        <w:t xml:space="preserve">sources. </w:t>
      </w:r>
    </w:p>
    <w:p w14:paraId="7588628B" w14:textId="649E97CC" w:rsidR="009731FB" w:rsidRDefault="00B1574C" w:rsidP="001C67A9">
      <w:pPr>
        <w:spacing w:line="300" w:lineRule="atLeast"/>
        <w:rPr>
          <w:szCs w:val="18"/>
        </w:rPr>
      </w:pPr>
      <w:r>
        <w:rPr>
          <w:szCs w:val="18"/>
        </w:rPr>
        <w:t>The estimated releases from extraction and use of natural gas and geothermal energy are up by about 25 and 30%, respectively, due to the increased utilisation of these energy sources.</w:t>
      </w:r>
    </w:p>
    <w:p w14:paraId="2A9FAAAF" w14:textId="33326B37" w:rsidR="00B027AE" w:rsidRPr="00B1574C" w:rsidRDefault="00B1574C" w:rsidP="001C67A9">
      <w:pPr>
        <w:spacing w:line="300" w:lineRule="atLeast"/>
        <w:rPr>
          <w:b/>
          <w:szCs w:val="18"/>
        </w:rPr>
      </w:pPr>
      <w:r w:rsidRPr="00B1574C">
        <w:rPr>
          <w:b/>
          <w:szCs w:val="18"/>
        </w:rPr>
        <w:t>Agriculture Activity</w:t>
      </w:r>
    </w:p>
    <w:p w14:paraId="63921F3D" w14:textId="1B470209" w:rsidR="00DA0CE9" w:rsidRDefault="00F95C61" w:rsidP="001C67A9">
      <w:pPr>
        <w:spacing w:line="300" w:lineRule="atLeast"/>
        <w:rPr>
          <w:szCs w:val="18"/>
        </w:rPr>
      </w:pPr>
      <w:r>
        <w:rPr>
          <w:szCs w:val="18"/>
        </w:rPr>
        <w:t xml:space="preserve">The mercury releases from agricultural </w:t>
      </w:r>
      <w:r w:rsidR="00DA0CE9">
        <w:rPr>
          <w:szCs w:val="18"/>
        </w:rPr>
        <w:t xml:space="preserve">lime </w:t>
      </w:r>
      <w:r w:rsidR="002465E8">
        <w:rPr>
          <w:szCs w:val="18"/>
        </w:rPr>
        <w:t>show a reduction of</w:t>
      </w:r>
      <w:r w:rsidR="00DA0CE9">
        <w:rPr>
          <w:szCs w:val="18"/>
        </w:rPr>
        <w:t xml:space="preserve"> </w:t>
      </w:r>
      <w:r w:rsidR="002C7709">
        <w:rPr>
          <w:szCs w:val="18"/>
        </w:rPr>
        <w:t>30%</w:t>
      </w:r>
      <w:r w:rsidR="002465E8">
        <w:rPr>
          <w:szCs w:val="18"/>
        </w:rPr>
        <w:t xml:space="preserve"> but the activity data was based on 2011 and 2015 rather than 2012 and 2016. The national data for this mineral show marked </w:t>
      </w:r>
      <w:r w:rsidR="00FD4C97">
        <w:rPr>
          <w:szCs w:val="18"/>
        </w:rPr>
        <w:t>fluctuations</w:t>
      </w:r>
      <w:r w:rsidR="002465E8">
        <w:rPr>
          <w:szCs w:val="18"/>
        </w:rPr>
        <w:t xml:space="preserve"> from year to year.</w:t>
      </w:r>
    </w:p>
    <w:p w14:paraId="4A63CEE5" w14:textId="494ACF73" w:rsidR="00B027AE" w:rsidRPr="002465E8" w:rsidRDefault="002465E8" w:rsidP="001C67A9">
      <w:pPr>
        <w:spacing w:line="300" w:lineRule="atLeast"/>
        <w:rPr>
          <w:b/>
          <w:szCs w:val="18"/>
        </w:rPr>
      </w:pPr>
      <w:r w:rsidRPr="002465E8">
        <w:rPr>
          <w:b/>
          <w:szCs w:val="18"/>
        </w:rPr>
        <w:lastRenderedPageBreak/>
        <w:t>Reductions in Mercury Use in Consumer Goods and Related Products</w:t>
      </w:r>
    </w:p>
    <w:p w14:paraId="3993941B" w14:textId="0C390473" w:rsidR="002465E8" w:rsidRDefault="002465E8" w:rsidP="001C67A9">
      <w:pPr>
        <w:spacing w:line="300" w:lineRule="atLeast"/>
        <w:rPr>
          <w:szCs w:val="18"/>
        </w:rPr>
      </w:pPr>
      <w:r>
        <w:rPr>
          <w:szCs w:val="18"/>
        </w:rPr>
        <w:t xml:space="preserve">There have been some marked reductions in this area and especially </w:t>
      </w:r>
      <w:r w:rsidR="00FD4C97">
        <w:rPr>
          <w:szCs w:val="18"/>
        </w:rPr>
        <w:t xml:space="preserve">in </w:t>
      </w:r>
      <w:r>
        <w:rPr>
          <w:szCs w:val="18"/>
        </w:rPr>
        <w:t>the following:</w:t>
      </w:r>
    </w:p>
    <w:p w14:paraId="303C8E86" w14:textId="4AD99153" w:rsidR="002C7709" w:rsidRPr="002465E8" w:rsidRDefault="00FD4C97" w:rsidP="002465E8">
      <w:pPr>
        <w:pStyle w:val="ListParagraph"/>
        <w:numPr>
          <w:ilvl w:val="0"/>
          <w:numId w:val="29"/>
        </w:numPr>
        <w:spacing w:after="60" w:line="300" w:lineRule="atLeast"/>
        <w:ind w:left="714" w:hanging="357"/>
        <w:contextualSpacing w:val="0"/>
        <w:rPr>
          <w:szCs w:val="18"/>
        </w:rPr>
      </w:pPr>
      <w:r>
        <w:rPr>
          <w:szCs w:val="18"/>
        </w:rPr>
        <w:t>Mercury t</w:t>
      </w:r>
      <w:r w:rsidR="002C7709" w:rsidRPr="002465E8">
        <w:rPr>
          <w:szCs w:val="18"/>
        </w:rPr>
        <w:t xml:space="preserve">hermometer sales </w:t>
      </w:r>
      <w:r>
        <w:rPr>
          <w:szCs w:val="18"/>
        </w:rPr>
        <w:t>a</w:t>
      </w:r>
      <w:r w:rsidR="002465E8">
        <w:rPr>
          <w:szCs w:val="18"/>
        </w:rPr>
        <w:t xml:space="preserve">re </w:t>
      </w:r>
      <w:r w:rsidR="002C7709" w:rsidRPr="002465E8">
        <w:rPr>
          <w:szCs w:val="18"/>
        </w:rPr>
        <w:t>only 58% of those in 2012</w:t>
      </w:r>
    </w:p>
    <w:p w14:paraId="3C60682E" w14:textId="62FEE2AA" w:rsidR="002C7709" w:rsidRPr="002465E8" w:rsidRDefault="00E063AA" w:rsidP="002465E8">
      <w:pPr>
        <w:pStyle w:val="ListParagraph"/>
        <w:numPr>
          <w:ilvl w:val="0"/>
          <w:numId w:val="29"/>
        </w:numPr>
        <w:spacing w:after="60" w:line="300" w:lineRule="atLeast"/>
        <w:ind w:left="714" w:hanging="357"/>
        <w:contextualSpacing w:val="0"/>
        <w:rPr>
          <w:szCs w:val="18"/>
        </w:rPr>
      </w:pPr>
      <w:r>
        <w:rPr>
          <w:szCs w:val="18"/>
        </w:rPr>
        <w:t>Imports of mercury-containing lamps</w:t>
      </w:r>
      <w:r w:rsidRPr="002465E8">
        <w:rPr>
          <w:szCs w:val="18"/>
        </w:rPr>
        <w:t xml:space="preserve"> </w:t>
      </w:r>
      <w:r>
        <w:rPr>
          <w:szCs w:val="18"/>
        </w:rPr>
        <w:t xml:space="preserve">are </w:t>
      </w:r>
      <w:r w:rsidR="00135FEE" w:rsidRPr="002465E8">
        <w:rPr>
          <w:szCs w:val="18"/>
        </w:rPr>
        <w:t>down by 50%</w:t>
      </w:r>
    </w:p>
    <w:p w14:paraId="17037D13" w14:textId="3A1B350C" w:rsidR="002C7709" w:rsidRPr="002465E8" w:rsidRDefault="00E063AA" w:rsidP="002465E8">
      <w:pPr>
        <w:pStyle w:val="ListParagraph"/>
        <w:numPr>
          <w:ilvl w:val="0"/>
          <w:numId w:val="29"/>
        </w:numPr>
        <w:spacing w:after="60" w:line="300" w:lineRule="atLeast"/>
        <w:ind w:left="714" w:hanging="357"/>
        <w:contextualSpacing w:val="0"/>
        <w:rPr>
          <w:szCs w:val="18"/>
        </w:rPr>
      </w:pPr>
      <w:r>
        <w:rPr>
          <w:szCs w:val="18"/>
        </w:rPr>
        <w:t>The use of mercury-based l</w:t>
      </w:r>
      <w:r w:rsidR="002C7709" w:rsidRPr="002465E8">
        <w:rPr>
          <w:szCs w:val="18"/>
        </w:rPr>
        <w:t xml:space="preserve">ight sources in computer screens </w:t>
      </w:r>
      <w:r>
        <w:rPr>
          <w:szCs w:val="18"/>
        </w:rPr>
        <w:t>has been virtually eliminated</w:t>
      </w:r>
    </w:p>
    <w:p w14:paraId="0C39626A" w14:textId="47E1A267" w:rsidR="009731FB" w:rsidRPr="002465E8" w:rsidRDefault="00FD4C97" w:rsidP="002465E8">
      <w:pPr>
        <w:pStyle w:val="ListParagraph"/>
        <w:numPr>
          <w:ilvl w:val="0"/>
          <w:numId w:val="29"/>
        </w:numPr>
        <w:spacing w:after="60" w:line="300" w:lineRule="atLeast"/>
        <w:ind w:left="714" w:hanging="357"/>
        <w:contextualSpacing w:val="0"/>
        <w:rPr>
          <w:szCs w:val="18"/>
        </w:rPr>
      </w:pPr>
      <w:r>
        <w:rPr>
          <w:szCs w:val="18"/>
        </w:rPr>
        <w:t>Battery</w:t>
      </w:r>
      <w:r w:rsidR="002C7709" w:rsidRPr="002465E8">
        <w:rPr>
          <w:szCs w:val="18"/>
        </w:rPr>
        <w:t xml:space="preserve"> imports </w:t>
      </w:r>
      <w:r w:rsidR="00E063AA">
        <w:rPr>
          <w:szCs w:val="18"/>
        </w:rPr>
        <w:t>have increased</w:t>
      </w:r>
      <w:r w:rsidR="00135FEE" w:rsidRPr="002465E8">
        <w:rPr>
          <w:szCs w:val="18"/>
        </w:rPr>
        <w:t xml:space="preserve"> slightly</w:t>
      </w:r>
      <w:r w:rsidR="002C7709" w:rsidRPr="002465E8">
        <w:rPr>
          <w:szCs w:val="18"/>
        </w:rPr>
        <w:t xml:space="preserve"> but reductions </w:t>
      </w:r>
      <w:r w:rsidR="00E063AA">
        <w:rPr>
          <w:szCs w:val="18"/>
        </w:rPr>
        <w:t xml:space="preserve">in the mercury </w:t>
      </w:r>
      <w:r w:rsidR="00E063AA" w:rsidRPr="002465E8">
        <w:rPr>
          <w:szCs w:val="18"/>
        </w:rPr>
        <w:t xml:space="preserve">content </w:t>
      </w:r>
      <w:r w:rsidR="002C7709" w:rsidRPr="002465E8">
        <w:rPr>
          <w:szCs w:val="18"/>
        </w:rPr>
        <w:t xml:space="preserve">have </w:t>
      </w:r>
      <w:r w:rsidR="00E063AA">
        <w:rPr>
          <w:szCs w:val="18"/>
        </w:rPr>
        <w:t xml:space="preserve">reduced the overall mercury inputs by about </w:t>
      </w:r>
      <w:r w:rsidR="00135FEE" w:rsidRPr="002465E8">
        <w:rPr>
          <w:szCs w:val="18"/>
        </w:rPr>
        <w:t>40%</w:t>
      </w:r>
    </w:p>
    <w:p w14:paraId="26F55E4D" w14:textId="2C713E23" w:rsidR="002C7709" w:rsidRPr="002465E8" w:rsidRDefault="00E063AA" w:rsidP="002465E8">
      <w:pPr>
        <w:pStyle w:val="ListParagraph"/>
        <w:numPr>
          <w:ilvl w:val="0"/>
          <w:numId w:val="29"/>
        </w:numPr>
        <w:spacing w:after="60" w:line="300" w:lineRule="atLeast"/>
        <w:ind w:left="714" w:hanging="357"/>
        <w:contextualSpacing w:val="0"/>
        <w:rPr>
          <w:szCs w:val="18"/>
        </w:rPr>
      </w:pPr>
      <w:r>
        <w:rPr>
          <w:szCs w:val="18"/>
        </w:rPr>
        <w:t>Sales of d</w:t>
      </w:r>
      <w:r w:rsidR="002C7709" w:rsidRPr="002465E8">
        <w:rPr>
          <w:szCs w:val="18"/>
        </w:rPr>
        <w:t xml:space="preserve">ental amalgams </w:t>
      </w:r>
      <w:r>
        <w:rPr>
          <w:szCs w:val="18"/>
        </w:rPr>
        <w:t xml:space="preserve">containing mercury are </w:t>
      </w:r>
      <w:r w:rsidR="002C7709" w:rsidRPr="002465E8">
        <w:rPr>
          <w:szCs w:val="18"/>
        </w:rPr>
        <w:t xml:space="preserve">down by </w:t>
      </w:r>
      <w:r>
        <w:rPr>
          <w:szCs w:val="18"/>
        </w:rPr>
        <w:t xml:space="preserve">about </w:t>
      </w:r>
      <w:r w:rsidR="002C7709" w:rsidRPr="002465E8">
        <w:rPr>
          <w:szCs w:val="18"/>
        </w:rPr>
        <w:t>75%</w:t>
      </w:r>
      <w:r w:rsidR="00FD4C97">
        <w:rPr>
          <w:szCs w:val="18"/>
        </w:rPr>
        <w:t>.</w:t>
      </w:r>
    </w:p>
    <w:p w14:paraId="31451AD8" w14:textId="28F07CAC" w:rsidR="002C7709" w:rsidRDefault="00E063AA" w:rsidP="001C67A9">
      <w:pPr>
        <w:spacing w:line="300" w:lineRule="atLeast"/>
        <w:rPr>
          <w:szCs w:val="18"/>
        </w:rPr>
      </w:pPr>
      <w:r>
        <w:rPr>
          <w:szCs w:val="18"/>
        </w:rPr>
        <w:t>Sales of l</w:t>
      </w:r>
      <w:r w:rsidR="002C7709">
        <w:rPr>
          <w:szCs w:val="18"/>
        </w:rPr>
        <w:t>ab</w:t>
      </w:r>
      <w:r>
        <w:rPr>
          <w:szCs w:val="18"/>
        </w:rPr>
        <w:t>oratory</w:t>
      </w:r>
      <w:r w:rsidR="002C7709">
        <w:rPr>
          <w:szCs w:val="18"/>
        </w:rPr>
        <w:t xml:space="preserve"> chemicals </w:t>
      </w:r>
      <w:r>
        <w:rPr>
          <w:szCs w:val="18"/>
        </w:rPr>
        <w:t xml:space="preserve">containing mercury have also dropped markedly but this may simply reflect random </w:t>
      </w:r>
      <w:r w:rsidR="00FD4C97">
        <w:rPr>
          <w:szCs w:val="18"/>
        </w:rPr>
        <w:t>fluctuations</w:t>
      </w:r>
      <w:r>
        <w:rPr>
          <w:szCs w:val="18"/>
        </w:rPr>
        <w:t xml:space="preserve"> in </w:t>
      </w:r>
      <w:r w:rsidR="00FD4C97">
        <w:rPr>
          <w:szCs w:val="18"/>
        </w:rPr>
        <w:t xml:space="preserve">the </w:t>
      </w:r>
      <w:r>
        <w:rPr>
          <w:szCs w:val="18"/>
        </w:rPr>
        <w:t xml:space="preserve">relatively small </w:t>
      </w:r>
      <w:r w:rsidR="00FD4C97">
        <w:rPr>
          <w:szCs w:val="18"/>
        </w:rPr>
        <w:t>numbers of purchases</w:t>
      </w:r>
      <w:r>
        <w:rPr>
          <w:szCs w:val="18"/>
        </w:rPr>
        <w:t xml:space="preserve"> of </w:t>
      </w:r>
      <w:r w:rsidR="00FD4C97">
        <w:rPr>
          <w:szCs w:val="18"/>
        </w:rPr>
        <w:t>these items</w:t>
      </w:r>
      <w:r>
        <w:rPr>
          <w:szCs w:val="18"/>
        </w:rPr>
        <w:t>.</w:t>
      </w:r>
    </w:p>
    <w:p w14:paraId="7205006E" w14:textId="1A41717A" w:rsidR="00B027AE" w:rsidRPr="00E063AA" w:rsidRDefault="00E063AA" w:rsidP="001C67A9">
      <w:pPr>
        <w:spacing w:line="300" w:lineRule="atLeast"/>
        <w:rPr>
          <w:b/>
          <w:szCs w:val="18"/>
        </w:rPr>
      </w:pPr>
      <w:r w:rsidRPr="00E063AA">
        <w:rPr>
          <w:b/>
          <w:szCs w:val="18"/>
        </w:rPr>
        <w:t>Waste Disposal</w:t>
      </w:r>
    </w:p>
    <w:p w14:paraId="1E9D3867" w14:textId="7BEEA50D" w:rsidR="002C7709" w:rsidRDefault="00E063AA" w:rsidP="001C67A9">
      <w:pPr>
        <w:spacing w:line="300" w:lineRule="atLeast"/>
        <w:rPr>
          <w:szCs w:val="18"/>
        </w:rPr>
      </w:pPr>
      <w:r>
        <w:rPr>
          <w:szCs w:val="18"/>
        </w:rPr>
        <w:t>The mercury input estimates for l</w:t>
      </w:r>
      <w:r w:rsidR="002C7709">
        <w:rPr>
          <w:szCs w:val="18"/>
        </w:rPr>
        <w:t>andfill</w:t>
      </w:r>
      <w:r>
        <w:rPr>
          <w:szCs w:val="18"/>
        </w:rPr>
        <w:t xml:space="preserve">s increased </w:t>
      </w:r>
      <w:r w:rsidR="002C7709">
        <w:rPr>
          <w:szCs w:val="18"/>
        </w:rPr>
        <w:t xml:space="preserve">by 35% </w:t>
      </w:r>
      <w:r>
        <w:rPr>
          <w:szCs w:val="18"/>
        </w:rPr>
        <w:t xml:space="preserve">which simply reflects the </w:t>
      </w:r>
      <w:r w:rsidR="002C7709">
        <w:rPr>
          <w:szCs w:val="18"/>
        </w:rPr>
        <w:t xml:space="preserve">annual growth in </w:t>
      </w:r>
      <w:r w:rsidR="00FD4C97">
        <w:rPr>
          <w:szCs w:val="18"/>
        </w:rPr>
        <w:t xml:space="preserve">national </w:t>
      </w:r>
      <w:r>
        <w:rPr>
          <w:szCs w:val="18"/>
        </w:rPr>
        <w:t xml:space="preserve">solid waste </w:t>
      </w:r>
      <w:r w:rsidR="00FD4C97">
        <w:rPr>
          <w:szCs w:val="18"/>
        </w:rPr>
        <w:t>quantities</w:t>
      </w:r>
      <w:r>
        <w:rPr>
          <w:szCs w:val="18"/>
        </w:rPr>
        <w:t>.</w:t>
      </w:r>
    </w:p>
    <w:p w14:paraId="7B2112FB" w14:textId="7FD07443" w:rsidR="00B027AE" w:rsidRPr="00E063AA" w:rsidRDefault="00E063AA" w:rsidP="001C67A9">
      <w:pPr>
        <w:spacing w:line="300" w:lineRule="atLeast"/>
        <w:rPr>
          <w:b/>
          <w:szCs w:val="18"/>
        </w:rPr>
      </w:pPr>
      <w:r w:rsidRPr="00E063AA">
        <w:rPr>
          <w:b/>
          <w:szCs w:val="18"/>
        </w:rPr>
        <w:t>Data Quality Changes</w:t>
      </w:r>
    </w:p>
    <w:p w14:paraId="2869C895" w14:textId="725B548D" w:rsidR="00B027AE" w:rsidRDefault="00A663D0" w:rsidP="00B027AE">
      <w:pPr>
        <w:spacing w:line="300" w:lineRule="atLeast"/>
        <w:rPr>
          <w:szCs w:val="18"/>
        </w:rPr>
      </w:pPr>
      <w:r>
        <w:rPr>
          <w:szCs w:val="18"/>
        </w:rPr>
        <w:t>The 2016 estimates for g</w:t>
      </w:r>
      <w:r w:rsidR="00B027AE">
        <w:rPr>
          <w:szCs w:val="18"/>
        </w:rPr>
        <w:t xml:space="preserve">old and silver mining </w:t>
      </w:r>
      <w:r>
        <w:rPr>
          <w:szCs w:val="18"/>
        </w:rPr>
        <w:t xml:space="preserve">were up </w:t>
      </w:r>
      <w:r w:rsidR="00B027AE">
        <w:rPr>
          <w:szCs w:val="18"/>
        </w:rPr>
        <w:t xml:space="preserve">by </w:t>
      </w:r>
      <w:r>
        <w:rPr>
          <w:szCs w:val="18"/>
        </w:rPr>
        <w:t xml:space="preserve">a factor of </w:t>
      </w:r>
      <w:r w:rsidR="00B027AE">
        <w:rPr>
          <w:szCs w:val="18"/>
        </w:rPr>
        <w:t xml:space="preserve">2.6 </w:t>
      </w:r>
      <w:r>
        <w:rPr>
          <w:szCs w:val="18"/>
        </w:rPr>
        <w:t xml:space="preserve">times on those for 2012. However, this was primarily because of </w:t>
      </w:r>
      <w:r w:rsidR="00B027AE">
        <w:rPr>
          <w:szCs w:val="18"/>
        </w:rPr>
        <w:t xml:space="preserve">deficiencies in </w:t>
      </w:r>
      <w:r>
        <w:rPr>
          <w:szCs w:val="18"/>
        </w:rPr>
        <w:t xml:space="preserve">the ore quantity data used for the </w:t>
      </w:r>
      <w:r w:rsidR="00B027AE">
        <w:rPr>
          <w:szCs w:val="18"/>
        </w:rPr>
        <w:t>2012</w:t>
      </w:r>
      <w:r>
        <w:rPr>
          <w:szCs w:val="18"/>
        </w:rPr>
        <w:t xml:space="preserve"> estimates.</w:t>
      </w:r>
    </w:p>
    <w:p w14:paraId="4307A510" w14:textId="4189C388" w:rsidR="00A663D0" w:rsidRDefault="00A663D0" w:rsidP="00A663D0">
      <w:pPr>
        <w:spacing w:line="300" w:lineRule="atLeast"/>
        <w:rPr>
          <w:szCs w:val="18"/>
        </w:rPr>
      </w:pPr>
      <w:r>
        <w:rPr>
          <w:szCs w:val="18"/>
        </w:rPr>
        <w:t>The estimates for inputs from sphygmomanometers al</w:t>
      </w:r>
      <w:r w:rsidR="00FD4C97">
        <w:rPr>
          <w:szCs w:val="18"/>
        </w:rPr>
        <w:t>so show</w:t>
      </w:r>
      <w:r>
        <w:rPr>
          <w:szCs w:val="18"/>
        </w:rPr>
        <w:t xml:space="preserve"> a marked increase because annual sales data was obtained from two suppliers as opposed to only one in 2012. </w:t>
      </w:r>
      <w:r w:rsidR="001F422E">
        <w:rPr>
          <w:szCs w:val="18"/>
        </w:rPr>
        <w:t>Additional information obtained for the 2012 Inventory report indicates that the medical profession is generally moving away from the use of instruments that contain mercury.</w:t>
      </w:r>
    </w:p>
    <w:p w14:paraId="0E25D523" w14:textId="0FACFDBF" w:rsidR="00AD43FD" w:rsidRDefault="00AD43FD" w:rsidP="00A663D0">
      <w:pPr>
        <w:spacing w:line="300" w:lineRule="atLeast"/>
        <w:rPr>
          <w:szCs w:val="18"/>
        </w:rPr>
      </w:pPr>
      <w:r>
        <w:rPr>
          <w:szCs w:val="18"/>
        </w:rPr>
        <w:t>The estimates for inputs from phosphate fertiliser are up by about 75% on 2012, but this is because the previous estimates were incorrectly based on the import quantities of phosphate rock rather than the superphosphate product sold by the fertiliser companies.</w:t>
      </w:r>
    </w:p>
    <w:p w14:paraId="79308EF8" w14:textId="05F82723" w:rsidR="00A663D0" w:rsidRDefault="00A663D0" w:rsidP="00A663D0">
      <w:pPr>
        <w:spacing w:line="300" w:lineRule="atLeast"/>
        <w:rPr>
          <w:szCs w:val="18"/>
        </w:rPr>
      </w:pPr>
      <w:r>
        <w:rPr>
          <w:szCs w:val="18"/>
        </w:rPr>
        <w:t>The estimates for releases from wastewater were down by 15% because the data used for the 2016 estimates was more comprehensive that that available in 2012.</w:t>
      </w:r>
    </w:p>
    <w:p w14:paraId="6463F32E" w14:textId="79591DF9" w:rsidR="009731FB" w:rsidRPr="001A0AA1" w:rsidRDefault="009731FB" w:rsidP="009731FB">
      <w:pPr>
        <w:pStyle w:val="Heading2"/>
      </w:pPr>
      <w:bookmarkStart w:id="184" w:name="_Toc484949635"/>
      <w:r>
        <w:t>S</w:t>
      </w:r>
      <w:r w:rsidRPr="001A0AA1">
        <w:t xml:space="preserve">ummary of mercury </w:t>
      </w:r>
      <w:r>
        <w:t>outputs</w:t>
      </w:r>
      <w:bookmarkEnd w:id="184"/>
    </w:p>
    <w:p w14:paraId="697590DA" w14:textId="5CD0DB2E" w:rsidR="001C67A9" w:rsidRPr="001A0AA1" w:rsidRDefault="009731FB" w:rsidP="001C67A9">
      <w:pPr>
        <w:spacing w:line="300" w:lineRule="atLeast"/>
        <w:rPr>
          <w:szCs w:val="18"/>
        </w:rPr>
      </w:pPr>
      <w:r>
        <w:rPr>
          <w:szCs w:val="18"/>
        </w:rPr>
        <w:t>The five</w:t>
      </w:r>
      <w:r w:rsidR="00531876" w:rsidRPr="001A0AA1">
        <w:rPr>
          <w:szCs w:val="18"/>
        </w:rPr>
        <w:t xml:space="preserve"> </w:t>
      </w:r>
      <w:r w:rsidRPr="001A0AA1">
        <w:rPr>
          <w:szCs w:val="18"/>
        </w:rPr>
        <w:t xml:space="preserve">charts </w:t>
      </w:r>
      <w:r>
        <w:rPr>
          <w:szCs w:val="18"/>
        </w:rPr>
        <w:t xml:space="preserve">given below provide summaries of the relative contributions from each source category to the various </w:t>
      </w:r>
      <w:r w:rsidR="001C67A9" w:rsidRPr="001A0AA1">
        <w:rPr>
          <w:szCs w:val="18"/>
        </w:rPr>
        <w:t>outputs to air, water</w:t>
      </w:r>
      <w:r w:rsidR="0065672C" w:rsidRPr="001A0AA1">
        <w:rPr>
          <w:szCs w:val="18"/>
        </w:rPr>
        <w:t xml:space="preserve">, </w:t>
      </w:r>
      <w:proofErr w:type="gramStart"/>
      <w:r w:rsidR="00531876" w:rsidRPr="001A0AA1">
        <w:rPr>
          <w:szCs w:val="18"/>
        </w:rPr>
        <w:t>land</w:t>
      </w:r>
      <w:proofErr w:type="gramEnd"/>
      <w:r>
        <w:rPr>
          <w:szCs w:val="18"/>
        </w:rPr>
        <w:t>,</w:t>
      </w:r>
      <w:r w:rsidR="00531876" w:rsidRPr="001A0AA1">
        <w:rPr>
          <w:szCs w:val="18"/>
        </w:rPr>
        <w:t xml:space="preserve"> </w:t>
      </w:r>
      <w:r w:rsidR="0065672C" w:rsidRPr="001A0AA1">
        <w:rPr>
          <w:szCs w:val="18"/>
        </w:rPr>
        <w:t>waste</w:t>
      </w:r>
      <w:r w:rsidR="001C67A9" w:rsidRPr="001A0AA1">
        <w:rPr>
          <w:szCs w:val="18"/>
        </w:rPr>
        <w:t xml:space="preserve"> and in products.</w:t>
      </w:r>
      <w:r>
        <w:rPr>
          <w:szCs w:val="18"/>
        </w:rPr>
        <w:t xml:space="preserve"> </w:t>
      </w:r>
      <w:r w:rsidR="001C67A9" w:rsidRPr="001A0AA1">
        <w:rPr>
          <w:szCs w:val="18"/>
        </w:rPr>
        <w:t>The key points to note from these charts are as follows:</w:t>
      </w:r>
    </w:p>
    <w:p w14:paraId="5E42EF68" w14:textId="027D5839" w:rsidR="001C67A9" w:rsidRPr="001A0AA1" w:rsidRDefault="001C67A9" w:rsidP="001C67A9">
      <w:pPr>
        <w:numPr>
          <w:ilvl w:val="0"/>
          <w:numId w:val="21"/>
        </w:numPr>
        <w:spacing w:line="300" w:lineRule="atLeast"/>
        <w:rPr>
          <w:szCs w:val="18"/>
        </w:rPr>
      </w:pPr>
      <w:r w:rsidRPr="001A0AA1">
        <w:rPr>
          <w:szCs w:val="18"/>
        </w:rPr>
        <w:t>The outputs to air are dominated by fuel/energy use, especially geothermal</w:t>
      </w:r>
      <w:r w:rsidR="002D1CD9">
        <w:rPr>
          <w:szCs w:val="18"/>
        </w:rPr>
        <w:t>. Other notable contributors, in decreasing order of significance are</w:t>
      </w:r>
      <w:r w:rsidRPr="001A0AA1">
        <w:rPr>
          <w:szCs w:val="18"/>
        </w:rPr>
        <w:t xml:space="preserve"> primary metal production</w:t>
      </w:r>
      <w:r w:rsidR="002D1CD9">
        <w:rPr>
          <w:szCs w:val="18"/>
        </w:rPr>
        <w:t xml:space="preserve"> (gold and silver), waste disposal,</w:t>
      </w:r>
      <w:r w:rsidR="00DA48E1" w:rsidRPr="001A0AA1">
        <w:rPr>
          <w:szCs w:val="18"/>
        </w:rPr>
        <w:t xml:space="preserve"> waste incin</w:t>
      </w:r>
      <w:r w:rsidR="00D60B27" w:rsidRPr="001A0AA1">
        <w:rPr>
          <w:szCs w:val="18"/>
        </w:rPr>
        <w:t>e</w:t>
      </w:r>
      <w:r w:rsidR="00DA48E1" w:rsidRPr="001A0AA1">
        <w:rPr>
          <w:szCs w:val="18"/>
        </w:rPr>
        <w:t>ration</w:t>
      </w:r>
      <w:r w:rsidR="002D1CD9" w:rsidRPr="002D1CD9">
        <w:rPr>
          <w:szCs w:val="18"/>
        </w:rPr>
        <w:t xml:space="preserve"> </w:t>
      </w:r>
      <w:r w:rsidR="002D1CD9" w:rsidRPr="001A0AA1">
        <w:rPr>
          <w:szCs w:val="18"/>
        </w:rPr>
        <w:t>and</w:t>
      </w:r>
      <w:r w:rsidR="002D1CD9">
        <w:rPr>
          <w:szCs w:val="18"/>
        </w:rPr>
        <w:t xml:space="preserve"> crematoria</w:t>
      </w:r>
      <w:r w:rsidRPr="001A0AA1">
        <w:rPr>
          <w:szCs w:val="18"/>
        </w:rPr>
        <w:t>.</w:t>
      </w:r>
    </w:p>
    <w:p w14:paraId="48E75E6B" w14:textId="589D1ABE" w:rsidR="001C67A9" w:rsidRPr="001A0AA1" w:rsidRDefault="001C67A9" w:rsidP="001C67A9">
      <w:pPr>
        <w:numPr>
          <w:ilvl w:val="0"/>
          <w:numId w:val="21"/>
        </w:numPr>
        <w:spacing w:line="300" w:lineRule="atLeast"/>
        <w:rPr>
          <w:szCs w:val="18"/>
        </w:rPr>
      </w:pPr>
      <w:r w:rsidRPr="001A0AA1">
        <w:rPr>
          <w:szCs w:val="18"/>
        </w:rPr>
        <w:t xml:space="preserve">The outputs to water are </w:t>
      </w:r>
      <w:r w:rsidR="002D1CD9">
        <w:rPr>
          <w:szCs w:val="18"/>
        </w:rPr>
        <w:t xml:space="preserve">totally </w:t>
      </w:r>
      <w:r w:rsidRPr="001A0AA1">
        <w:rPr>
          <w:szCs w:val="18"/>
        </w:rPr>
        <w:t xml:space="preserve">dominated by </w:t>
      </w:r>
      <w:r w:rsidR="002D1CD9">
        <w:rPr>
          <w:szCs w:val="18"/>
        </w:rPr>
        <w:t>waste disposal</w:t>
      </w:r>
      <w:r w:rsidR="00A20523">
        <w:rPr>
          <w:szCs w:val="18"/>
        </w:rPr>
        <w:t>,</w:t>
      </w:r>
      <w:r w:rsidR="002D1CD9">
        <w:rPr>
          <w:szCs w:val="18"/>
        </w:rPr>
        <w:t xml:space="preserve"> e</w:t>
      </w:r>
      <w:r w:rsidR="00A20523">
        <w:rPr>
          <w:szCs w:val="18"/>
        </w:rPr>
        <w:t>specially wastewater discharges</w:t>
      </w:r>
      <w:r w:rsidR="002D1CD9">
        <w:rPr>
          <w:szCs w:val="18"/>
        </w:rPr>
        <w:t>. P</w:t>
      </w:r>
      <w:r w:rsidR="002D1CD9" w:rsidRPr="001A0AA1">
        <w:rPr>
          <w:szCs w:val="18"/>
        </w:rPr>
        <w:t>rimary metal production</w:t>
      </w:r>
      <w:r w:rsidR="002D1CD9">
        <w:rPr>
          <w:szCs w:val="18"/>
        </w:rPr>
        <w:t xml:space="preserve"> and </w:t>
      </w:r>
      <w:r w:rsidR="00215041" w:rsidRPr="001A0AA1">
        <w:rPr>
          <w:szCs w:val="18"/>
        </w:rPr>
        <w:t xml:space="preserve">fuel/energy use </w:t>
      </w:r>
      <w:r w:rsidR="002D1CD9">
        <w:rPr>
          <w:szCs w:val="18"/>
        </w:rPr>
        <w:t>are the next most significant contributors</w:t>
      </w:r>
      <w:r w:rsidRPr="001A0AA1">
        <w:rPr>
          <w:szCs w:val="18"/>
        </w:rPr>
        <w:t>.</w:t>
      </w:r>
    </w:p>
    <w:p w14:paraId="6F1E0F73" w14:textId="260418AD" w:rsidR="00531876" w:rsidRPr="001A0AA1" w:rsidRDefault="00531876" w:rsidP="001C67A9">
      <w:pPr>
        <w:numPr>
          <w:ilvl w:val="0"/>
          <w:numId w:val="21"/>
        </w:numPr>
        <w:spacing w:line="300" w:lineRule="atLeast"/>
        <w:rPr>
          <w:szCs w:val="18"/>
        </w:rPr>
      </w:pPr>
      <w:r w:rsidRPr="001A0AA1">
        <w:rPr>
          <w:szCs w:val="18"/>
        </w:rPr>
        <w:t>The outputs to land a</w:t>
      </w:r>
      <w:r w:rsidR="00FE6C76" w:rsidRPr="001A0AA1">
        <w:rPr>
          <w:szCs w:val="18"/>
        </w:rPr>
        <w:t>re dominated</w:t>
      </w:r>
      <w:r w:rsidRPr="001A0AA1">
        <w:rPr>
          <w:szCs w:val="18"/>
        </w:rPr>
        <w:t xml:space="preserve"> by </w:t>
      </w:r>
      <w:r w:rsidR="00A20523" w:rsidRPr="001A0AA1">
        <w:rPr>
          <w:szCs w:val="18"/>
        </w:rPr>
        <w:t>primary metal production</w:t>
      </w:r>
      <w:r w:rsidR="00A20523">
        <w:rPr>
          <w:szCs w:val="18"/>
        </w:rPr>
        <w:t xml:space="preserve"> (gold and silver) </w:t>
      </w:r>
      <w:r w:rsidR="002D1CD9">
        <w:rPr>
          <w:szCs w:val="18"/>
        </w:rPr>
        <w:t>with other notable contributions from waste disposal and the production and use of other minerals and materials.</w:t>
      </w:r>
    </w:p>
    <w:p w14:paraId="6F43B426" w14:textId="47A14484" w:rsidR="006E4111" w:rsidRPr="00A20523" w:rsidRDefault="006E4111" w:rsidP="001C67A9">
      <w:pPr>
        <w:numPr>
          <w:ilvl w:val="0"/>
          <w:numId w:val="21"/>
        </w:numPr>
        <w:spacing w:line="300" w:lineRule="atLeast"/>
        <w:rPr>
          <w:szCs w:val="18"/>
        </w:rPr>
      </w:pPr>
      <w:r w:rsidRPr="00A20523">
        <w:rPr>
          <w:szCs w:val="18"/>
        </w:rPr>
        <w:t xml:space="preserve">The outputs via products are </w:t>
      </w:r>
      <w:r w:rsidR="00A20523">
        <w:rPr>
          <w:szCs w:val="18"/>
        </w:rPr>
        <w:t>dominated by</w:t>
      </w:r>
      <w:r w:rsidR="00215041" w:rsidRPr="00A20523">
        <w:rPr>
          <w:szCs w:val="18"/>
        </w:rPr>
        <w:t xml:space="preserve"> </w:t>
      </w:r>
      <w:r w:rsidR="00A20523" w:rsidRPr="001A0AA1">
        <w:rPr>
          <w:szCs w:val="18"/>
        </w:rPr>
        <w:t>primary metal production</w:t>
      </w:r>
      <w:r w:rsidR="00A20523">
        <w:rPr>
          <w:szCs w:val="18"/>
        </w:rPr>
        <w:t xml:space="preserve"> (gold and silver) </w:t>
      </w:r>
      <w:r w:rsidRPr="00A20523">
        <w:rPr>
          <w:szCs w:val="18"/>
        </w:rPr>
        <w:t xml:space="preserve">but with </w:t>
      </w:r>
      <w:r w:rsidR="00215041" w:rsidRPr="00A20523">
        <w:rPr>
          <w:szCs w:val="18"/>
        </w:rPr>
        <w:t>other significant</w:t>
      </w:r>
      <w:r w:rsidRPr="00A20523">
        <w:rPr>
          <w:szCs w:val="18"/>
        </w:rPr>
        <w:t xml:space="preserve"> contributions coming from other intentional products/processes</w:t>
      </w:r>
      <w:r w:rsidR="00215041" w:rsidRPr="00A20523">
        <w:rPr>
          <w:szCs w:val="18"/>
        </w:rPr>
        <w:t>, consumer products</w:t>
      </w:r>
      <w:r w:rsidR="00A20523" w:rsidRPr="00A20523">
        <w:rPr>
          <w:szCs w:val="18"/>
        </w:rPr>
        <w:t xml:space="preserve"> and</w:t>
      </w:r>
      <w:r w:rsidR="00A20523">
        <w:rPr>
          <w:szCs w:val="18"/>
        </w:rPr>
        <w:t xml:space="preserve"> metal (mercury) recycling</w:t>
      </w:r>
      <w:r w:rsidRPr="00A20523">
        <w:rPr>
          <w:szCs w:val="18"/>
        </w:rPr>
        <w:t>.</w:t>
      </w:r>
    </w:p>
    <w:p w14:paraId="1362FBEF" w14:textId="317C3586" w:rsidR="0065672C" w:rsidRPr="001A0AA1" w:rsidRDefault="00100B30" w:rsidP="00811BA0">
      <w:pPr>
        <w:numPr>
          <w:ilvl w:val="0"/>
          <w:numId w:val="21"/>
        </w:numPr>
        <w:spacing w:line="300" w:lineRule="atLeast"/>
        <w:rPr>
          <w:szCs w:val="18"/>
        </w:rPr>
      </w:pPr>
      <w:r>
        <w:rPr>
          <w:szCs w:val="18"/>
        </w:rPr>
        <w:lastRenderedPageBreak/>
        <w:t>The outputs to waste</w:t>
      </w:r>
      <w:r w:rsidR="00811BA0" w:rsidRPr="001A0AA1">
        <w:rPr>
          <w:szCs w:val="18"/>
        </w:rPr>
        <w:t xml:space="preserve"> are</w:t>
      </w:r>
      <w:r>
        <w:rPr>
          <w:szCs w:val="18"/>
        </w:rPr>
        <w:t xml:space="preserve"> dominated by the waste disposal category, with other notable contributions from </w:t>
      </w:r>
      <w:r w:rsidR="00DA48E1" w:rsidRPr="001A0AA1">
        <w:rPr>
          <w:szCs w:val="18"/>
        </w:rPr>
        <w:t xml:space="preserve">consumer products, fuel/energy use, </w:t>
      </w:r>
      <w:r w:rsidRPr="001A0AA1">
        <w:rPr>
          <w:szCs w:val="18"/>
        </w:rPr>
        <w:t xml:space="preserve">primary metal production </w:t>
      </w:r>
      <w:r>
        <w:rPr>
          <w:szCs w:val="18"/>
        </w:rPr>
        <w:t xml:space="preserve">and </w:t>
      </w:r>
      <w:r w:rsidR="00811BA0" w:rsidRPr="001A0AA1">
        <w:rPr>
          <w:szCs w:val="18"/>
        </w:rPr>
        <w:t xml:space="preserve">other </w:t>
      </w:r>
      <w:r>
        <w:rPr>
          <w:szCs w:val="18"/>
        </w:rPr>
        <w:t>intentional products/processes</w:t>
      </w:r>
      <w:r w:rsidR="00811BA0" w:rsidRPr="001A0AA1">
        <w:rPr>
          <w:szCs w:val="18"/>
        </w:rPr>
        <w:t>.</w:t>
      </w:r>
    </w:p>
    <w:p w14:paraId="5767C97A" w14:textId="17003A8B" w:rsidR="00387783" w:rsidRPr="001A0AA1" w:rsidRDefault="003A03AB" w:rsidP="008956BE">
      <w:pPr>
        <w:spacing w:line="300" w:lineRule="atLeast"/>
        <w:jc w:val="center"/>
        <w:rPr>
          <w:szCs w:val="18"/>
        </w:rPr>
      </w:pPr>
      <w:r>
        <w:rPr>
          <w:noProof/>
          <w:szCs w:val="18"/>
          <w:lang w:eastAsia="en-NZ"/>
        </w:rPr>
        <w:drawing>
          <wp:inline distT="0" distB="0" distL="0" distR="0" wp14:anchorId="5E103D24" wp14:editId="2A082F02">
            <wp:extent cx="5450205" cy="37064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50205" cy="3706495"/>
                    </a:xfrm>
                    <a:prstGeom prst="rect">
                      <a:avLst/>
                    </a:prstGeom>
                    <a:noFill/>
                  </pic:spPr>
                </pic:pic>
              </a:graphicData>
            </a:graphic>
          </wp:inline>
        </w:drawing>
      </w:r>
    </w:p>
    <w:p w14:paraId="43A93C5D" w14:textId="77777777" w:rsidR="00387783" w:rsidRPr="001A0AA1" w:rsidRDefault="00CA1E1B" w:rsidP="00D56F5E">
      <w:pPr>
        <w:pStyle w:val="Caption"/>
        <w:spacing w:before="240"/>
        <w:jc w:val="center"/>
        <w:rPr>
          <w:rFonts w:ascii="Arial" w:hAnsi="Arial" w:cs="Arial"/>
          <w:szCs w:val="18"/>
        </w:rPr>
      </w:pPr>
      <w:r w:rsidRPr="001A0AA1">
        <w:rPr>
          <w:rFonts w:ascii="Arial" w:hAnsi="Arial" w:cs="Arial"/>
        </w:rPr>
        <w:t xml:space="preserve">Figure </w:t>
      </w:r>
      <w:r w:rsidR="00F22738" w:rsidRPr="001A0AA1">
        <w:rPr>
          <w:rFonts w:ascii="Arial" w:hAnsi="Arial" w:cs="Arial"/>
        </w:rPr>
        <w:fldChar w:fldCharType="begin"/>
      </w:r>
      <w:r w:rsidR="00F22738" w:rsidRPr="001A0AA1">
        <w:rPr>
          <w:rFonts w:ascii="Arial" w:hAnsi="Arial" w:cs="Arial"/>
        </w:rPr>
        <w:instrText xml:space="preserve"> STYLEREF 1 \s </w:instrText>
      </w:r>
      <w:r w:rsidR="00F22738" w:rsidRPr="001A0AA1">
        <w:rPr>
          <w:rFonts w:ascii="Arial" w:hAnsi="Arial" w:cs="Arial"/>
        </w:rPr>
        <w:fldChar w:fldCharType="separate"/>
      </w:r>
      <w:r w:rsidR="00423FC9" w:rsidRPr="001A0AA1">
        <w:rPr>
          <w:rFonts w:ascii="Arial" w:hAnsi="Arial" w:cs="Arial"/>
          <w:noProof/>
        </w:rPr>
        <w:t>14</w:t>
      </w:r>
      <w:r w:rsidR="00F22738" w:rsidRPr="001A0AA1">
        <w:rPr>
          <w:rFonts w:ascii="Arial" w:hAnsi="Arial" w:cs="Arial"/>
        </w:rPr>
        <w:fldChar w:fldCharType="end"/>
      </w:r>
      <w:r w:rsidR="00F22738" w:rsidRPr="001A0AA1">
        <w:rPr>
          <w:rFonts w:ascii="Arial" w:hAnsi="Arial" w:cs="Arial"/>
        </w:rPr>
        <w:noBreakHyphen/>
      </w:r>
      <w:r w:rsidR="00F22738" w:rsidRPr="001A0AA1">
        <w:rPr>
          <w:rFonts w:ascii="Arial" w:hAnsi="Arial" w:cs="Arial"/>
        </w:rPr>
        <w:fldChar w:fldCharType="begin"/>
      </w:r>
      <w:r w:rsidR="00F22738" w:rsidRPr="001A0AA1">
        <w:rPr>
          <w:rFonts w:ascii="Arial" w:hAnsi="Arial" w:cs="Arial"/>
        </w:rPr>
        <w:instrText xml:space="preserve"> SEQ Figure \* ARABIC \s 1 </w:instrText>
      </w:r>
      <w:r w:rsidR="00F22738" w:rsidRPr="001A0AA1">
        <w:rPr>
          <w:rFonts w:ascii="Arial" w:hAnsi="Arial" w:cs="Arial"/>
        </w:rPr>
        <w:fldChar w:fldCharType="separate"/>
      </w:r>
      <w:r w:rsidR="00423FC9" w:rsidRPr="001A0AA1">
        <w:rPr>
          <w:rFonts w:ascii="Arial" w:hAnsi="Arial" w:cs="Arial"/>
          <w:noProof/>
        </w:rPr>
        <w:t>3</w:t>
      </w:r>
      <w:r w:rsidR="00F22738" w:rsidRPr="001A0AA1">
        <w:rPr>
          <w:rFonts w:ascii="Arial" w:hAnsi="Arial" w:cs="Arial"/>
        </w:rPr>
        <w:fldChar w:fldCharType="end"/>
      </w:r>
      <w:r w:rsidR="00D56F5E" w:rsidRPr="001A0AA1">
        <w:rPr>
          <w:rFonts w:ascii="Arial" w:hAnsi="Arial" w:cs="Arial"/>
        </w:rPr>
        <w:t>:  Relative mercury outputs to air, by source category</w:t>
      </w:r>
    </w:p>
    <w:p w14:paraId="43FBA01F" w14:textId="238E4723" w:rsidR="00387783" w:rsidRPr="001A0AA1" w:rsidRDefault="00935A9E" w:rsidP="00A868DF">
      <w:pPr>
        <w:spacing w:line="300" w:lineRule="atLeast"/>
        <w:jc w:val="center"/>
        <w:rPr>
          <w:szCs w:val="18"/>
        </w:rPr>
      </w:pPr>
      <w:r>
        <w:rPr>
          <w:noProof/>
          <w:szCs w:val="18"/>
          <w:lang w:eastAsia="en-NZ"/>
        </w:rPr>
        <w:drawing>
          <wp:inline distT="0" distB="0" distL="0" distR="0" wp14:anchorId="169FD538" wp14:editId="38FB80F0">
            <wp:extent cx="5450205" cy="37064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50205" cy="3706495"/>
                    </a:xfrm>
                    <a:prstGeom prst="rect">
                      <a:avLst/>
                    </a:prstGeom>
                    <a:noFill/>
                  </pic:spPr>
                </pic:pic>
              </a:graphicData>
            </a:graphic>
          </wp:inline>
        </w:drawing>
      </w:r>
    </w:p>
    <w:p w14:paraId="273AB0C9" w14:textId="77777777" w:rsidR="00387783" w:rsidRPr="001A0AA1" w:rsidRDefault="00D56F5E" w:rsidP="00D56F5E">
      <w:pPr>
        <w:pStyle w:val="Caption"/>
        <w:spacing w:before="240"/>
        <w:jc w:val="center"/>
        <w:rPr>
          <w:rFonts w:ascii="Arial" w:hAnsi="Arial" w:cs="Arial"/>
        </w:rPr>
      </w:pPr>
      <w:r w:rsidRPr="001A0AA1">
        <w:rPr>
          <w:rFonts w:ascii="Arial" w:hAnsi="Arial" w:cs="Arial"/>
        </w:rPr>
        <w:t xml:space="preserve">Figure </w:t>
      </w:r>
      <w:r w:rsidR="00F22738" w:rsidRPr="001A0AA1">
        <w:rPr>
          <w:rFonts w:ascii="Arial" w:hAnsi="Arial" w:cs="Arial"/>
        </w:rPr>
        <w:fldChar w:fldCharType="begin"/>
      </w:r>
      <w:r w:rsidR="00F22738" w:rsidRPr="001A0AA1">
        <w:rPr>
          <w:rFonts w:ascii="Arial" w:hAnsi="Arial" w:cs="Arial"/>
        </w:rPr>
        <w:instrText xml:space="preserve"> STYLEREF 1 \s </w:instrText>
      </w:r>
      <w:r w:rsidR="00F22738" w:rsidRPr="001A0AA1">
        <w:rPr>
          <w:rFonts w:ascii="Arial" w:hAnsi="Arial" w:cs="Arial"/>
        </w:rPr>
        <w:fldChar w:fldCharType="separate"/>
      </w:r>
      <w:r w:rsidR="00423FC9" w:rsidRPr="001A0AA1">
        <w:rPr>
          <w:rFonts w:ascii="Arial" w:hAnsi="Arial" w:cs="Arial"/>
          <w:noProof/>
        </w:rPr>
        <w:t>14</w:t>
      </w:r>
      <w:r w:rsidR="00F22738" w:rsidRPr="001A0AA1">
        <w:rPr>
          <w:rFonts w:ascii="Arial" w:hAnsi="Arial" w:cs="Arial"/>
        </w:rPr>
        <w:fldChar w:fldCharType="end"/>
      </w:r>
      <w:r w:rsidR="00F22738" w:rsidRPr="001A0AA1">
        <w:rPr>
          <w:rFonts w:ascii="Arial" w:hAnsi="Arial" w:cs="Arial"/>
        </w:rPr>
        <w:noBreakHyphen/>
      </w:r>
      <w:r w:rsidR="00F22738" w:rsidRPr="001A0AA1">
        <w:rPr>
          <w:rFonts w:ascii="Arial" w:hAnsi="Arial" w:cs="Arial"/>
        </w:rPr>
        <w:fldChar w:fldCharType="begin"/>
      </w:r>
      <w:r w:rsidR="00F22738" w:rsidRPr="001A0AA1">
        <w:rPr>
          <w:rFonts w:ascii="Arial" w:hAnsi="Arial" w:cs="Arial"/>
        </w:rPr>
        <w:instrText xml:space="preserve"> SEQ Figure \* ARABIC \s 1 </w:instrText>
      </w:r>
      <w:r w:rsidR="00F22738" w:rsidRPr="001A0AA1">
        <w:rPr>
          <w:rFonts w:ascii="Arial" w:hAnsi="Arial" w:cs="Arial"/>
        </w:rPr>
        <w:fldChar w:fldCharType="separate"/>
      </w:r>
      <w:r w:rsidR="00423FC9" w:rsidRPr="001A0AA1">
        <w:rPr>
          <w:rFonts w:ascii="Arial" w:hAnsi="Arial" w:cs="Arial"/>
          <w:noProof/>
        </w:rPr>
        <w:t>4</w:t>
      </w:r>
      <w:r w:rsidR="00F22738" w:rsidRPr="001A0AA1">
        <w:rPr>
          <w:rFonts w:ascii="Arial" w:hAnsi="Arial" w:cs="Arial"/>
        </w:rPr>
        <w:fldChar w:fldCharType="end"/>
      </w:r>
      <w:r w:rsidRPr="001A0AA1">
        <w:rPr>
          <w:rFonts w:ascii="Arial" w:hAnsi="Arial" w:cs="Arial"/>
        </w:rPr>
        <w:t>:  Relative mercury outputs to water, by source category</w:t>
      </w:r>
    </w:p>
    <w:p w14:paraId="119CDB99" w14:textId="537548D4" w:rsidR="00F22738" w:rsidRDefault="00F22738">
      <w:pPr>
        <w:spacing w:after="0"/>
      </w:pPr>
    </w:p>
    <w:p w14:paraId="49A1487C" w14:textId="67A014EB" w:rsidR="00F22738" w:rsidRPr="001A0AA1" w:rsidRDefault="00935A9E" w:rsidP="00A868DF">
      <w:pPr>
        <w:jc w:val="center"/>
      </w:pPr>
      <w:r>
        <w:rPr>
          <w:noProof/>
          <w:lang w:eastAsia="en-NZ"/>
        </w:rPr>
        <w:drawing>
          <wp:inline distT="0" distB="0" distL="0" distR="0" wp14:anchorId="0C9EB07D" wp14:editId="349C34BD">
            <wp:extent cx="5450205" cy="37064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50205" cy="3706495"/>
                    </a:xfrm>
                    <a:prstGeom prst="rect">
                      <a:avLst/>
                    </a:prstGeom>
                    <a:noFill/>
                  </pic:spPr>
                </pic:pic>
              </a:graphicData>
            </a:graphic>
          </wp:inline>
        </w:drawing>
      </w:r>
    </w:p>
    <w:p w14:paraId="4B6696F6" w14:textId="77777777" w:rsidR="00F22738" w:rsidRPr="001A0AA1" w:rsidRDefault="00F22738" w:rsidP="00F22738">
      <w:pPr>
        <w:pStyle w:val="Caption"/>
        <w:jc w:val="center"/>
        <w:rPr>
          <w:rFonts w:ascii="Arial" w:hAnsi="Arial" w:cs="Arial"/>
        </w:rPr>
      </w:pPr>
      <w:r w:rsidRPr="001A0AA1">
        <w:rPr>
          <w:rFonts w:ascii="Arial" w:hAnsi="Arial" w:cs="Arial"/>
        </w:rPr>
        <w:t xml:space="preserve">Figure </w:t>
      </w:r>
      <w:r w:rsidRPr="001A0AA1">
        <w:rPr>
          <w:rFonts w:ascii="Arial" w:hAnsi="Arial" w:cs="Arial"/>
        </w:rPr>
        <w:fldChar w:fldCharType="begin"/>
      </w:r>
      <w:r w:rsidRPr="001A0AA1">
        <w:rPr>
          <w:rFonts w:ascii="Arial" w:hAnsi="Arial" w:cs="Arial"/>
        </w:rPr>
        <w:instrText xml:space="preserve"> STYLEREF 1 \s </w:instrText>
      </w:r>
      <w:r w:rsidRPr="001A0AA1">
        <w:rPr>
          <w:rFonts w:ascii="Arial" w:hAnsi="Arial" w:cs="Arial"/>
        </w:rPr>
        <w:fldChar w:fldCharType="separate"/>
      </w:r>
      <w:r w:rsidR="00423FC9" w:rsidRPr="001A0AA1">
        <w:rPr>
          <w:rFonts w:ascii="Arial" w:hAnsi="Arial" w:cs="Arial"/>
          <w:noProof/>
        </w:rPr>
        <w:t>14</w:t>
      </w:r>
      <w:r w:rsidRPr="001A0AA1">
        <w:rPr>
          <w:rFonts w:ascii="Arial" w:hAnsi="Arial" w:cs="Arial"/>
        </w:rPr>
        <w:fldChar w:fldCharType="end"/>
      </w:r>
      <w:r w:rsidRPr="001A0AA1">
        <w:rPr>
          <w:rFonts w:ascii="Arial" w:hAnsi="Arial" w:cs="Arial"/>
        </w:rPr>
        <w:noBreakHyphen/>
      </w:r>
      <w:r w:rsidRPr="001A0AA1">
        <w:rPr>
          <w:rFonts w:ascii="Arial" w:hAnsi="Arial" w:cs="Arial"/>
        </w:rPr>
        <w:fldChar w:fldCharType="begin"/>
      </w:r>
      <w:r w:rsidRPr="001A0AA1">
        <w:rPr>
          <w:rFonts w:ascii="Arial" w:hAnsi="Arial" w:cs="Arial"/>
        </w:rPr>
        <w:instrText xml:space="preserve"> SEQ Figure \* ARABIC \s 1 </w:instrText>
      </w:r>
      <w:r w:rsidRPr="001A0AA1">
        <w:rPr>
          <w:rFonts w:ascii="Arial" w:hAnsi="Arial" w:cs="Arial"/>
        </w:rPr>
        <w:fldChar w:fldCharType="separate"/>
      </w:r>
      <w:r w:rsidR="00423FC9" w:rsidRPr="001A0AA1">
        <w:rPr>
          <w:rFonts w:ascii="Arial" w:hAnsi="Arial" w:cs="Arial"/>
          <w:noProof/>
        </w:rPr>
        <w:t>5</w:t>
      </w:r>
      <w:r w:rsidRPr="001A0AA1">
        <w:rPr>
          <w:rFonts w:ascii="Arial" w:hAnsi="Arial" w:cs="Arial"/>
        </w:rPr>
        <w:fldChar w:fldCharType="end"/>
      </w:r>
      <w:r w:rsidRPr="001A0AA1">
        <w:rPr>
          <w:rFonts w:ascii="Arial" w:hAnsi="Arial" w:cs="Arial"/>
        </w:rPr>
        <w:t>:  Relative mercury outputs to land, by source category</w:t>
      </w:r>
      <w:r w:rsidR="00EC0CDA" w:rsidRPr="001A0AA1">
        <w:rPr>
          <w:rFonts w:ascii="Arial" w:hAnsi="Arial" w:cs="Arial"/>
        </w:rPr>
        <w:t xml:space="preserve"> (excluding primary metal production)</w:t>
      </w:r>
    </w:p>
    <w:p w14:paraId="39BA3402" w14:textId="77777777" w:rsidR="00F22738" w:rsidRPr="001A0AA1" w:rsidRDefault="00F22738" w:rsidP="00F22738"/>
    <w:p w14:paraId="376A05FF" w14:textId="2436C174" w:rsidR="00387783" w:rsidRPr="001A0AA1" w:rsidRDefault="003A03AB" w:rsidP="00C24893">
      <w:pPr>
        <w:spacing w:line="300" w:lineRule="atLeast"/>
        <w:jc w:val="center"/>
        <w:rPr>
          <w:szCs w:val="18"/>
        </w:rPr>
      </w:pPr>
      <w:r>
        <w:rPr>
          <w:noProof/>
          <w:szCs w:val="18"/>
          <w:lang w:eastAsia="en-NZ"/>
        </w:rPr>
        <w:drawing>
          <wp:inline distT="0" distB="0" distL="0" distR="0" wp14:anchorId="61A98808" wp14:editId="63A857B4">
            <wp:extent cx="5456555" cy="3670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56555" cy="3670300"/>
                    </a:xfrm>
                    <a:prstGeom prst="rect">
                      <a:avLst/>
                    </a:prstGeom>
                    <a:noFill/>
                  </pic:spPr>
                </pic:pic>
              </a:graphicData>
            </a:graphic>
          </wp:inline>
        </w:drawing>
      </w:r>
    </w:p>
    <w:p w14:paraId="7974D63C" w14:textId="77777777" w:rsidR="0065672C" w:rsidRPr="001A0AA1" w:rsidRDefault="00D56F5E" w:rsidP="00D56F5E">
      <w:pPr>
        <w:pStyle w:val="Caption"/>
        <w:spacing w:before="240"/>
        <w:jc w:val="center"/>
        <w:rPr>
          <w:rFonts w:ascii="Arial" w:hAnsi="Arial" w:cs="Arial"/>
          <w:szCs w:val="18"/>
        </w:rPr>
      </w:pPr>
      <w:r w:rsidRPr="001A0AA1">
        <w:rPr>
          <w:rFonts w:ascii="Arial" w:hAnsi="Arial" w:cs="Arial"/>
        </w:rPr>
        <w:t xml:space="preserve">Figure </w:t>
      </w:r>
      <w:r w:rsidR="00F22738" w:rsidRPr="001A0AA1">
        <w:rPr>
          <w:rFonts w:ascii="Arial" w:hAnsi="Arial" w:cs="Arial"/>
        </w:rPr>
        <w:fldChar w:fldCharType="begin"/>
      </w:r>
      <w:r w:rsidR="00F22738" w:rsidRPr="001A0AA1">
        <w:rPr>
          <w:rFonts w:ascii="Arial" w:hAnsi="Arial" w:cs="Arial"/>
        </w:rPr>
        <w:instrText xml:space="preserve"> STYLEREF 1 \s </w:instrText>
      </w:r>
      <w:r w:rsidR="00F22738" w:rsidRPr="001A0AA1">
        <w:rPr>
          <w:rFonts w:ascii="Arial" w:hAnsi="Arial" w:cs="Arial"/>
        </w:rPr>
        <w:fldChar w:fldCharType="separate"/>
      </w:r>
      <w:r w:rsidR="00423FC9" w:rsidRPr="001A0AA1">
        <w:rPr>
          <w:rFonts w:ascii="Arial" w:hAnsi="Arial" w:cs="Arial"/>
          <w:noProof/>
        </w:rPr>
        <w:t>14</w:t>
      </w:r>
      <w:r w:rsidR="00F22738" w:rsidRPr="001A0AA1">
        <w:rPr>
          <w:rFonts w:ascii="Arial" w:hAnsi="Arial" w:cs="Arial"/>
        </w:rPr>
        <w:fldChar w:fldCharType="end"/>
      </w:r>
      <w:r w:rsidR="00F22738" w:rsidRPr="001A0AA1">
        <w:rPr>
          <w:rFonts w:ascii="Arial" w:hAnsi="Arial" w:cs="Arial"/>
        </w:rPr>
        <w:noBreakHyphen/>
      </w:r>
      <w:r w:rsidR="00F22738" w:rsidRPr="001A0AA1">
        <w:rPr>
          <w:rFonts w:ascii="Arial" w:hAnsi="Arial" w:cs="Arial"/>
        </w:rPr>
        <w:fldChar w:fldCharType="begin"/>
      </w:r>
      <w:r w:rsidR="00F22738" w:rsidRPr="001A0AA1">
        <w:rPr>
          <w:rFonts w:ascii="Arial" w:hAnsi="Arial" w:cs="Arial"/>
        </w:rPr>
        <w:instrText xml:space="preserve"> SEQ Figure \* ARABIC \s 1 </w:instrText>
      </w:r>
      <w:r w:rsidR="00F22738" w:rsidRPr="001A0AA1">
        <w:rPr>
          <w:rFonts w:ascii="Arial" w:hAnsi="Arial" w:cs="Arial"/>
        </w:rPr>
        <w:fldChar w:fldCharType="separate"/>
      </w:r>
      <w:r w:rsidR="00423FC9" w:rsidRPr="001A0AA1">
        <w:rPr>
          <w:rFonts w:ascii="Arial" w:hAnsi="Arial" w:cs="Arial"/>
          <w:noProof/>
        </w:rPr>
        <w:t>6</w:t>
      </w:r>
      <w:r w:rsidR="00F22738" w:rsidRPr="001A0AA1">
        <w:rPr>
          <w:rFonts w:ascii="Arial" w:hAnsi="Arial" w:cs="Arial"/>
        </w:rPr>
        <w:fldChar w:fldCharType="end"/>
      </w:r>
      <w:r w:rsidRPr="001A0AA1">
        <w:rPr>
          <w:rFonts w:ascii="Arial" w:hAnsi="Arial" w:cs="Arial"/>
        </w:rPr>
        <w:t>:  Relative mercury outputs to products, by source category</w:t>
      </w:r>
    </w:p>
    <w:p w14:paraId="124BAA65" w14:textId="77777777" w:rsidR="00811BA0" w:rsidRPr="001A0AA1" w:rsidRDefault="00811BA0" w:rsidP="0065672C">
      <w:pPr>
        <w:spacing w:line="300" w:lineRule="atLeast"/>
        <w:rPr>
          <w:szCs w:val="18"/>
        </w:rPr>
      </w:pPr>
    </w:p>
    <w:p w14:paraId="7BD49C0F" w14:textId="7BE9E9A4" w:rsidR="0065672C" w:rsidRPr="001A0AA1" w:rsidRDefault="00935A9E" w:rsidP="00C24893">
      <w:pPr>
        <w:spacing w:line="300" w:lineRule="atLeast"/>
        <w:jc w:val="center"/>
        <w:rPr>
          <w:szCs w:val="18"/>
        </w:rPr>
      </w:pPr>
      <w:r>
        <w:rPr>
          <w:noProof/>
          <w:szCs w:val="18"/>
          <w:lang w:eastAsia="en-NZ"/>
        </w:rPr>
        <w:lastRenderedPageBreak/>
        <w:drawing>
          <wp:inline distT="0" distB="0" distL="0" distR="0" wp14:anchorId="5A545A39" wp14:editId="3F7EBB72">
            <wp:extent cx="5450205" cy="37064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50205" cy="3706495"/>
                    </a:xfrm>
                    <a:prstGeom prst="rect">
                      <a:avLst/>
                    </a:prstGeom>
                    <a:noFill/>
                  </pic:spPr>
                </pic:pic>
              </a:graphicData>
            </a:graphic>
          </wp:inline>
        </w:drawing>
      </w:r>
    </w:p>
    <w:p w14:paraId="2673F492" w14:textId="77777777" w:rsidR="00C720C1" w:rsidRPr="001A0AA1" w:rsidRDefault="00D56F5E" w:rsidP="00D56F5E">
      <w:pPr>
        <w:pStyle w:val="Caption"/>
        <w:spacing w:before="240"/>
        <w:jc w:val="center"/>
        <w:rPr>
          <w:rFonts w:ascii="Arial" w:hAnsi="Arial" w:cs="Arial"/>
          <w:szCs w:val="18"/>
        </w:rPr>
      </w:pPr>
      <w:r w:rsidRPr="001A0AA1">
        <w:rPr>
          <w:rFonts w:ascii="Arial" w:hAnsi="Arial" w:cs="Arial"/>
        </w:rPr>
        <w:t xml:space="preserve">Figure </w:t>
      </w:r>
      <w:r w:rsidR="00F22738" w:rsidRPr="001A0AA1">
        <w:rPr>
          <w:rFonts w:ascii="Arial" w:hAnsi="Arial" w:cs="Arial"/>
        </w:rPr>
        <w:fldChar w:fldCharType="begin"/>
      </w:r>
      <w:r w:rsidR="00F22738" w:rsidRPr="001A0AA1">
        <w:rPr>
          <w:rFonts w:ascii="Arial" w:hAnsi="Arial" w:cs="Arial"/>
        </w:rPr>
        <w:instrText xml:space="preserve"> STYLEREF 1 \s </w:instrText>
      </w:r>
      <w:r w:rsidR="00F22738" w:rsidRPr="001A0AA1">
        <w:rPr>
          <w:rFonts w:ascii="Arial" w:hAnsi="Arial" w:cs="Arial"/>
        </w:rPr>
        <w:fldChar w:fldCharType="separate"/>
      </w:r>
      <w:r w:rsidR="00423FC9" w:rsidRPr="001A0AA1">
        <w:rPr>
          <w:rFonts w:ascii="Arial" w:hAnsi="Arial" w:cs="Arial"/>
          <w:noProof/>
        </w:rPr>
        <w:t>14</w:t>
      </w:r>
      <w:r w:rsidR="00F22738" w:rsidRPr="001A0AA1">
        <w:rPr>
          <w:rFonts w:ascii="Arial" w:hAnsi="Arial" w:cs="Arial"/>
        </w:rPr>
        <w:fldChar w:fldCharType="end"/>
      </w:r>
      <w:r w:rsidR="00F22738" w:rsidRPr="001A0AA1">
        <w:rPr>
          <w:rFonts w:ascii="Arial" w:hAnsi="Arial" w:cs="Arial"/>
        </w:rPr>
        <w:noBreakHyphen/>
      </w:r>
      <w:r w:rsidR="00F22738" w:rsidRPr="001A0AA1">
        <w:rPr>
          <w:rFonts w:ascii="Arial" w:hAnsi="Arial" w:cs="Arial"/>
        </w:rPr>
        <w:fldChar w:fldCharType="begin"/>
      </w:r>
      <w:r w:rsidR="00F22738" w:rsidRPr="001A0AA1">
        <w:rPr>
          <w:rFonts w:ascii="Arial" w:hAnsi="Arial" w:cs="Arial"/>
        </w:rPr>
        <w:instrText xml:space="preserve"> SEQ Figure \* ARABIC \s 1 </w:instrText>
      </w:r>
      <w:r w:rsidR="00F22738" w:rsidRPr="001A0AA1">
        <w:rPr>
          <w:rFonts w:ascii="Arial" w:hAnsi="Arial" w:cs="Arial"/>
        </w:rPr>
        <w:fldChar w:fldCharType="separate"/>
      </w:r>
      <w:r w:rsidR="00423FC9" w:rsidRPr="001A0AA1">
        <w:rPr>
          <w:rFonts w:ascii="Arial" w:hAnsi="Arial" w:cs="Arial"/>
          <w:noProof/>
        </w:rPr>
        <w:t>7</w:t>
      </w:r>
      <w:r w:rsidR="00F22738" w:rsidRPr="001A0AA1">
        <w:rPr>
          <w:rFonts w:ascii="Arial" w:hAnsi="Arial" w:cs="Arial"/>
        </w:rPr>
        <w:fldChar w:fldCharType="end"/>
      </w:r>
      <w:r w:rsidRPr="001A0AA1">
        <w:rPr>
          <w:rFonts w:ascii="Arial" w:hAnsi="Arial" w:cs="Arial"/>
        </w:rPr>
        <w:t>:  Relative mercury outputs to waste, by source category</w:t>
      </w:r>
    </w:p>
    <w:p w14:paraId="497A481A" w14:textId="77777777" w:rsidR="00C720C1" w:rsidRPr="001A0AA1" w:rsidRDefault="00C720C1" w:rsidP="003833D6">
      <w:pPr>
        <w:spacing w:line="300" w:lineRule="atLeast"/>
        <w:jc w:val="both"/>
        <w:rPr>
          <w:szCs w:val="18"/>
        </w:rPr>
      </w:pPr>
    </w:p>
    <w:p w14:paraId="206B3587" w14:textId="77777777" w:rsidR="002A5CAB" w:rsidRDefault="002A5CAB" w:rsidP="003833D6">
      <w:pPr>
        <w:spacing w:line="300" w:lineRule="atLeast"/>
        <w:jc w:val="both"/>
        <w:rPr>
          <w:szCs w:val="18"/>
        </w:rPr>
      </w:pPr>
    </w:p>
    <w:p w14:paraId="5E676E98" w14:textId="77777777" w:rsidR="002709CD" w:rsidRDefault="002709CD" w:rsidP="003833D6">
      <w:pPr>
        <w:spacing w:line="300" w:lineRule="atLeast"/>
        <w:jc w:val="both"/>
        <w:rPr>
          <w:szCs w:val="18"/>
        </w:rPr>
        <w:sectPr w:rsidR="002709CD" w:rsidSect="004723B2">
          <w:headerReference w:type="default" r:id="rId23"/>
          <w:footerReference w:type="default" r:id="rId24"/>
          <w:headerReference w:type="first" r:id="rId25"/>
          <w:footerReference w:type="first" r:id="rId26"/>
          <w:endnotePr>
            <w:numFmt w:val="decimal"/>
          </w:endnotePr>
          <w:pgSz w:w="11907" w:h="16840" w:code="9"/>
          <w:pgMar w:top="1418" w:right="1418" w:bottom="1440" w:left="1418" w:header="720" w:footer="720" w:gutter="0"/>
          <w:pgNumType w:start="1"/>
          <w:cols w:space="720"/>
          <w:titlePg/>
          <w:docGrid w:linePitch="272"/>
        </w:sectPr>
      </w:pPr>
    </w:p>
    <w:p w14:paraId="410AACB6" w14:textId="710E7A77" w:rsidR="004A1BCA" w:rsidRPr="001A0AA1" w:rsidRDefault="002C4328" w:rsidP="00CB0C7E">
      <w:pPr>
        <w:pStyle w:val="Caption"/>
        <w:spacing w:after="240"/>
        <w:rPr>
          <w:rFonts w:ascii="Arial" w:hAnsi="Arial" w:cs="Arial"/>
          <w:szCs w:val="18"/>
        </w:rPr>
      </w:pPr>
      <w:bookmarkStart w:id="185" w:name="_Ref358654936"/>
      <w:r w:rsidRPr="001A0AA1">
        <w:rPr>
          <w:rFonts w:ascii="Arial" w:hAnsi="Arial" w:cs="Arial"/>
        </w:rPr>
        <w:lastRenderedPageBreak/>
        <w:t xml:space="preserve">Table </w:t>
      </w:r>
      <w:r w:rsidR="00390C9F" w:rsidRPr="001A0AA1">
        <w:rPr>
          <w:rFonts w:ascii="Arial" w:hAnsi="Arial" w:cs="Arial"/>
        </w:rPr>
        <w:fldChar w:fldCharType="begin"/>
      </w:r>
      <w:r w:rsidR="00390C9F" w:rsidRPr="001A0AA1">
        <w:rPr>
          <w:rFonts w:ascii="Arial" w:hAnsi="Arial" w:cs="Arial"/>
        </w:rPr>
        <w:instrText xml:space="preserve"> STYLEREF 1 \s </w:instrText>
      </w:r>
      <w:r w:rsidR="00390C9F" w:rsidRPr="001A0AA1">
        <w:rPr>
          <w:rFonts w:ascii="Arial" w:hAnsi="Arial" w:cs="Arial"/>
        </w:rPr>
        <w:fldChar w:fldCharType="separate"/>
      </w:r>
      <w:r w:rsidR="00423FC9" w:rsidRPr="001A0AA1">
        <w:rPr>
          <w:rFonts w:ascii="Arial" w:hAnsi="Arial" w:cs="Arial"/>
          <w:noProof/>
        </w:rPr>
        <w:t>14</w:t>
      </w:r>
      <w:r w:rsidR="00390C9F" w:rsidRPr="001A0AA1">
        <w:rPr>
          <w:rFonts w:ascii="Arial" w:hAnsi="Arial" w:cs="Arial"/>
        </w:rPr>
        <w:fldChar w:fldCharType="end"/>
      </w:r>
      <w:r w:rsidR="00390C9F" w:rsidRPr="001A0AA1">
        <w:rPr>
          <w:rFonts w:ascii="Arial" w:hAnsi="Arial" w:cs="Arial"/>
        </w:rPr>
        <w:noBreakHyphen/>
      </w:r>
      <w:bookmarkEnd w:id="185"/>
      <w:r w:rsidR="009731FB">
        <w:rPr>
          <w:rFonts w:ascii="Arial" w:hAnsi="Arial" w:cs="Arial"/>
        </w:rPr>
        <w:t>2</w:t>
      </w:r>
      <w:r w:rsidRPr="001A0AA1">
        <w:rPr>
          <w:rFonts w:ascii="Arial" w:hAnsi="Arial" w:cs="Arial"/>
        </w:rPr>
        <w:t>: Detailed listing of mercury inputs and outputs</w:t>
      </w:r>
      <w:r w:rsidR="00501BB6" w:rsidRPr="001A0AA1">
        <w:rPr>
          <w:rFonts w:ascii="Arial" w:hAnsi="Arial" w:cs="Arial"/>
        </w:rPr>
        <w:t>*</w:t>
      </w:r>
    </w:p>
    <w:tbl>
      <w:tblPr>
        <w:tblStyle w:val="TableGrid"/>
        <w:tblW w:w="14175" w:type="dxa"/>
        <w:tblInd w:w="108" w:type="dxa"/>
        <w:tblLook w:val="04A0" w:firstRow="1" w:lastRow="0" w:firstColumn="1" w:lastColumn="0" w:noHBand="0" w:noVBand="1"/>
      </w:tblPr>
      <w:tblGrid>
        <w:gridCol w:w="3261"/>
        <w:gridCol w:w="2126"/>
        <w:gridCol w:w="1757"/>
        <w:gridCol w:w="1923"/>
        <w:gridCol w:w="1800"/>
        <w:gridCol w:w="1550"/>
        <w:gridCol w:w="1758"/>
      </w:tblGrid>
      <w:tr w:rsidR="003C227D" w:rsidRPr="007901FE" w14:paraId="390F69E5" w14:textId="77777777" w:rsidTr="00325CE9">
        <w:trPr>
          <w:tblHeader/>
        </w:trPr>
        <w:tc>
          <w:tcPr>
            <w:tcW w:w="3261" w:type="dxa"/>
            <w:vMerge w:val="restart"/>
            <w:vAlign w:val="center"/>
          </w:tcPr>
          <w:p w14:paraId="4E5BB5DD" w14:textId="77777777" w:rsidR="003C227D" w:rsidRPr="004E3E02" w:rsidRDefault="003C227D" w:rsidP="00325CE9">
            <w:pPr>
              <w:spacing w:before="50" w:after="60" w:line="240" w:lineRule="atLeast"/>
              <w:jc w:val="center"/>
              <w:rPr>
                <w:rFonts w:ascii="Arial" w:hAnsi="Arial" w:cs="Arial"/>
                <w:b/>
                <w:sz w:val="16"/>
                <w:szCs w:val="16"/>
              </w:rPr>
            </w:pPr>
            <w:r w:rsidRPr="004E3E02">
              <w:rPr>
                <w:rFonts w:ascii="Arial" w:hAnsi="Arial" w:cs="Arial"/>
                <w:b/>
                <w:sz w:val="16"/>
                <w:szCs w:val="16"/>
              </w:rPr>
              <w:t>Category</w:t>
            </w:r>
          </w:p>
        </w:tc>
        <w:tc>
          <w:tcPr>
            <w:tcW w:w="2126" w:type="dxa"/>
            <w:vMerge w:val="restart"/>
            <w:vAlign w:val="center"/>
          </w:tcPr>
          <w:p w14:paraId="2F5CBDFF" w14:textId="77777777" w:rsidR="003C227D" w:rsidRPr="004E3E02" w:rsidRDefault="003C227D" w:rsidP="00325CE9">
            <w:pPr>
              <w:spacing w:before="50" w:after="60" w:line="240" w:lineRule="atLeast"/>
              <w:jc w:val="center"/>
              <w:rPr>
                <w:rFonts w:ascii="Arial" w:hAnsi="Arial" w:cs="Arial"/>
                <w:b/>
                <w:sz w:val="16"/>
                <w:szCs w:val="16"/>
              </w:rPr>
            </w:pPr>
            <w:r w:rsidRPr="004E3E02">
              <w:rPr>
                <w:rFonts w:ascii="Arial" w:hAnsi="Arial" w:cs="Arial"/>
                <w:b/>
                <w:sz w:val="16"/>
                <w:szCs w:val="16"/>
              </w:rPr>
              <w:t>Mercury Inputs, kg/year</w:t>
            </w:r>
          </w:p>
        </w:tc>
        <w:tc>
          <w:tcPr>
            <w:tcW w:w="8788" w:type="dxa"/>
            <w:gridSpan w:val="5"/>
            <w:vAlign w:val="center"/>
          </w:tcPr>
          <w:p w14:paraId="13F1A9E5" w14:textId="77777777" w:rsidR="003C227D" w:rsidRPr="004E3E02" w:rsidRDefault="003C227D" w:rsidP="00325CE9">
            <w:pPr>
              <w:spacing w:before="50" w:after="60" w:line="240" w:lineRule="atLeast"/>
              <w:jc w:val="center"/>
              <w:rPr>
                <w:rFonts w:ascii="Arial" w:hAnsi="Arial" w:cs="Arial"/>
                <w:b/>
                <w:sz w:val="16"/>
                <w:szCs w:val="16"/>
              </w:rPr>
            </w:pPr>
            <w:r w:rsidRPr="004E3E02">
              <w:rPr>
                <w:rFonts w:ascii="Arial" w:hAnsi="Arial" w:cs="Arial"/>
                <w:b/>
                <w:sz w:val="16"/>
                <w:szCs w:val="16"/>
              </w:rPr>
              <w:t>Mercury Outputs, kg/</w:t>
            </w:r>
            <w:proofErr w:type="spellStart"/>
            <w:r w:rsidRPr="004E3E02">
              <w:rPr>
                <w:rFonts w:ascii="Arial" w:hAnsi="Arial" w:cs="Arial"/>
                <w:b/>
                <w:sz w:val="16"/>
                <w:szCs w:val="16"/>
              </w:rPr>
              <w:t>yr</w:t>
            </w:r>
            <w:proofErr w:type="spellEnd"/>
          </w:p>
        </w:tc>
      </w:tr>
      <w:tr w:rsidR="003C227D" w:rsidRPr="007901FE" w14:paraId="130F09BC" w14:textId="77777777" w:rsidTr="00325CE9">
        <w:trPr>
          <w:tblHeader/>
        </w:trPr>
        <w:tc>
          <w:tcPr>
            <w:tcW w:w="3261" w:type="dxa"/>
            <w:vMerge/>
            <w:vAlign w:val="center"/>
          </w:tcPr>
          <w:p w14:paraId="1F5E3668" w14:textId="77777777" w:rsidR="003C227D" w:rsidRPr="004E3E02" w:rsidRDefault="003C227D" w:rsidP="00325CE9">
            <w:pPr>
              <w:spacing w:before="50" w:after="60" w:line="240" w:lineRule="atLeast"/>
              <w:jc w:val="center"/>
              <w:rPr>
                <w:rFonts w:ascii="Arial" w:hAnsi="Arial" w:cs="Arial"/>
                <w:b/>
                <w:sz w:val="16"/>
                <w:szCs w:val="16"/>
              </w:rPr>
            </w:pPr>
          </w:p>
        </w:tc>
        <w:tc>
          <w:tcPr>
            <w:tcW w:w="2126" w:type="dxa"/>
            <w:vMerge/>
            <w:vAlign w:val="center"/>
          </w:tcPr>
          <w:p w14:paraId="7C5A00CE" w14:textId="77777777" w:rsidR="003C227D" w:rsidRPr="004E3E02" w:rsidRDefault="003C227D" w:rsidP="00325CE9">
            <w:pPr>
              <w:spacing w:before="50" w:after="60" w:line="240" w:lineRule="atLeast"/>
              <w:jc w:val="center"/>
              <w:rPr>
                <w:rFonts w:ascii="Arial" w:hAnsi="Arial" w:cs="Arial"/>
                <w:b/>
                <w:sz w:val="16"/>
                <w:szCs w:val="16"/>
              </w:rPr>
            </w:pPr>
          </w:p>
        </w:tc>
        <w:tc>
          <w:tcPr>
            <w:tcW w:w="1757" w:type="dxa"/>
            <w:vAlign w:val="center"/>
          </w:tcPr>
          <w:p w14:paraId="23DDD48D" w14:textId="77777777" w:rsidR="003C227D" w:rsidRPr="004E3E02" w:rsidRDefault="003C227D" w:rsidP="00325CE9">
            <w:pPr>
              <w:spacing w:before="50" w:after="60" w:line="240" w:lineRule="atLeast"/>
              <w:jc w:val="center"/>
              <w:rPr>
                <w:rFonts w:ascii="Arial" w:hAnsi="Arial" w:cs="Arial"/>
                <w:b/>
                <w:sz w:val="16"/>
                <w:szCs w:val="16"/>
              </w:rPr>
            </w:pPr>
            <w:r w:rsidRPr="004E3E02">
              <w:rPr>
                <w:rFonts w:ascii="Arial" w:hAnsi="Arial" w:cs="Arial"/>
                <w:b/>
                <w:sz w:val="16"/>
                <w:szCs w:val="16"/>
              </w:rPr>
              <w:t>Air</w:t>
            </w:r>
          </w:p>
        </w:tc>
        <w:tc>
          <w:tcPr>
            <w:tcW w:w="1923" w:type="dxa"/>
            <w:vAlign w:val="center"/>
          </w:tcPr>
          <w:p w14:paraId="102FE67D" w14:textId="77777777" w:rsidR="003C227D" w:rsidRPr="004E3E02" w:rsidRDefault="003C227D" w:rsidP="00325CE9">
            <w:pPr>
              <w:spacing w:before="50" w:after="60" w:line="240" w:lineRule="atLeast"/>
              <w:jc w:val="center"/>
              <w:rPr>
                <w:rFonts w:ascii="Arial" w:hAnsi="Arial" w:cs="Arial"/>
                <w:b/>
                <w:sz w:val="16"/>
                <w:szCs w:val="16"/>
              </w:rPr>
            </w:pPr>
            <w:r w:rsidRPr="004E3E02">
              <w:rPr>
                <w:rFonts w:ascii="Arial" w:hAnsi="Arial" w:cs="Arial"/>
                <w:b/>
                <w:sz w:val="16"/>
                <w:szCs w:val="16"/>
              </w:rPr>
              <w:t>Water</w:t>
            </w:r>
          </w:p>
        </w:tc>
        <w:tc>
          <w:tcPr>
            <w:tcW w:w="1800" w:type="dxa"/>
            <w:vAlign w:val="center"/>
          </w:tcPr>
          <w:p w14:paraId="18AA04E8" w14:textId="77777777" w:rsidR="003C227D" w:rsidRPr="004E3E02" w:rsidRDefault="003C227D" w:rsidP="00325CE9">
            <w:pPr>
              <w:spacing w:before="50" w:after="60" w:line="240" w:lineRule="atLeast"/>
              <w:jc w:val="center"/>
              <w:rPr>
                <w:rFonts w:ascii="Arial" w:hAnsi="Arial" w:cs="Arial"/>
                <w:b/>
                <w:sz w:val="16"/>
                <w:szCs w:val="16"/>
              </w:rPr>
            </w:pPr>
            <w:r w:rsidRPr="004E3E02">
              <w:rPr>
                <w:rFonts w:ascii="Arial" w:hAnsi="Arial" w:cs="Arial"/>
                <w:b/>
                <w:sz w:val="16"/>
                <w:szCs w:val="16"/>
              </w:rPr>
              <w:t>Land</w:t>
            </w:r>
          </w:p>
        </w:tc>
        <w:tc>
          <w:tcPr>
            <w:tcW w:w="1550" w:type="dxa"/>
            <w:vAlign w:val="center"/>
          </w:tcPr>
          <w:p w14:paraId="4D8AF44C" w14:textId="77777777" w:rsidR="003C227D" w:rsidRPr="004E3E02" w:rsidRDefault="003C227D" w:rsidP="00325CE9">
            <w:pPr>
              <w:spacing w:before="50" w:after="60" w:line="240" w:lineRule="atLeast"/>
              <w:jc w:val="center"/>
              <w:rPr>
                <w:rFonts w:ascii="Arial" w:hAnsi="Arial" w:cs="Arial"/>
                <w:b/>
                <w:sz w:val="16"/>
                <w:szCs w:val="16"/>
              </w:rPr>
            </w:pPr>
            <w:r w:rsidRPr="004E3E02">
              <w:rPr>
                <w:rFonts w:ascii="Arial" w:hAnsi="Arial" w:cs="Arial"/>
                <w:b/>
                <w:sz w:val="16"/>
                <w:szCs w:val="16"/>
              </w:rPr>
              <w:t>Product</w:t>
            </w:r>
          </w:p>
        </w:tc>
        <w:tc>
          <w:tcPr>
            <w:tcW w:w="1758" w:type="dxa"/>
            <w:vAlign w:val="center"/>
          </w:tcPr>
          <w:p w14:paraId="66CAF467" w14:textId="77777777" w:rsidR="003C227D" w:rsidRPr="004E3E02" w:rsidRDefault="003C227D" w:rsidP="00325CE9">
            <w:pPr>
              <w:spacing w:before="50" w:after="60" w:line="240" w:lineRule="atLeast"/>
              <w:jc w:val="center"/>
              <w:rPr>
                <w:rFonts w:ascii="Arial" w:hAnsi="Arial" w:cs="Arial"/>
                <w:b/>
                <w:sz w:val="16"/>
                <w:szCs w:val="16"/>
              </w:rPr>
            </w:pPr>
            <w:r w:rsidRPr="004E3E02">
              <w:rPr>
                <w:rFonts w:ascii="Arial" w:hAnsi="Arial" w:cs="Arial"/>
                <w:b/>
                <w:sz w:val="16"/>
                <w:szCs w:val="16"/>
              </w:rPr>
              <w:t>Waste</w:t>
            </w:r>
          </w:p>
        </w:tc>
      </w:tr>
      <w:tr w:rsidR="003C227D" w:rsidRPr="007901FE" w14:paraId="28325210" w14:textId="77777777" w:rsidTr="00325CE9">
        <w:tc>
          <w:tcPr>
            <w:tcW w:w="3261" w:type="dxa"/>
            <w:vAlign w:val="center"/>
          </w:tcPr>
          <w:p w14:paraId="42F51D81" w14:textId="77777777" w:rsidR="003C227D" w:rsidRPr="004E3E02" w:rsidRDefault="003C227D" w:rsidP="00325CE9">
            <w:pPr>
              <w:spacing w:before="50" w:after="60" w:line="240" w:lineRule="atLeast"/>
              <w:rPr>
                <w:rFonts w:ascii="Arial" w:hAnsi="Arial" w:cs="Arial"/>
                <w:sz w:val="16"/>
                <w:szCs w:val="16"/>
              </w:rPr>
            </w:pPr>
            <w:r>
              <w:rPr>
                <w:rFonts w:ascii="Arial" w:hAnsi="Arial" w:cs="Arial"/>
                <w:sz w:val="16"/>
                <w:szCs w:val="16"/>
              </w:rPr>
              <w:t>Coal – large power plants</w:t>
            </w:r>
          </w:p>
        </w:tc>
        <w:tc>
          <w:tcPr>
            <w:tcW w:w="2126" w:type="dxa"/>
            <w:vAlign w:val="center"/>
          </w:tcPr>
          <w:p w14:paraId="5079BE25" w14:textId="77777777" w:rsidR="003C227D" w:rsidRPr="004E3E02" w:rsidRDefault="003C227D" w:rsidP="00325CE9">
            <w:pPr>
              <w:spacing w:line="300" w:lineRule="atLeast"/>
              <w:jc w:val="center"/>
              <w:rPr>
                <w:rFonts w:ascii="Arial" w:hAnsi="Arial" w:cs="Arial"/>
                <w:sz w:val="16"/>
                <w:szCs w:val="16"/>
              </w:rPr>
            </w:pPr>
            <w:r>
              <w:rPr>
                <w:rFonts w:ascii="Arial" w:hAnsi="Arial" w:cs="Arial"/>
                <w:sz w:val="16"/>
                <w:szCs w:val="16"/>
              </w:rPr>
              <w:t>4.47 – 42.42 (23.44)</w:t>
            </w:r>
          </w:p>
        </w:tc>
        <w:tc>
          <w:tcPr>
            <w:tcW w:w="1757" w:type="dxa"/>
            <w:vAlign w:val="center"/>
          </w:tcPr>
          <w:p w14:paraId="69807AF0" w14:textId="77777777" w:rsidR="003C227D" w:rsidRPr="004E3E02" w:rsidRDefault="003C227D" w:rsidP="00325CE9">
            <w:pPr>
              <w:spacing w:line="300" w:lineRule="atLeast"/>
              <w:jc w:val="center"/>
              <w:rPr>
                <w:rFonts w:ascii="Arial" w:hAnsi="Arial" w:cs="Arial"/>
                <w:sz w:val="16"/>
                <w:szCs w:val="16"/>
              </w:rPr>
            </w:pPr>
            <w:r>
              <w:rPr>
                <w:rFonts w:ascii="Arial" w:hAnsi="Arial" w:cs="Arial"/>
                <w:sz w:val="16"/>
                <w:szCs w:val="16"/>
              </w:rPr>
              <w:t>4.02– 38.17 (21.10)</w:t>
            </w:r>
          </w:p>
        </w:tc>
        <w:tc>
          <w:tcPr>
            <w:tcW w:w="1923" w:type="dxa"/>
            <w:vAlign w:val="center"/>
          </w:tcPr>
          <w:p w14:paraId="00F93FCE" w14:textId="77777777" w:rsidR="003C227D" w:rsidRPr="004E3E02" w:rsidRDefault="003C227D" w:rsidP="00325CE9">
            <w:pPr>
              <w:spacing w:line="300" w:lineRule="atLeast"/>
              <w:jc w:val="center"/>
              <w:rPr>
                <w:rFonts w:ascii="Arial" w:hAnsi="Arial" w:cs="Arial"/>
                <w:sz w:val="16"/>
                <w:szCs w:val="16"/>
              </w:rPr>
            </w:pPr>
            <w:r>
              <w:rPr>
                <w:rFonts w:ascii="Arial" w:hAnsi="Arial" w:cs="Arial"/>
                <w:sz w:val="16"/>
                <w:szCs w:val="16"/>
              </w:rPr>
              <w:t>-</w:t>
            </w:r>
          </w:p>
        </w:tc>
        <w:tc>
          <w:tcPr>
            <w:tcW w:w="1800" w:type="dxa"/>
          </w:tcPr>
          <w:p w14:paraId="7511638D" w14:textId="77777777" w:rsidR="003C227D" w:rsidRPr="00F31685" w:rsidRDefault="003C227D" w:rsidP="00325CE9">
            <w:pPr>
              <w:spacing w:line="300" w:lineRule="atLeast"/>
              <w:jc w:val="center"/>
              <w:rPr>
                <w:rFonts w:ascii="Arial" w:hAnsi="Arial" w:cs="Arial"/>
                <w:sz w:val="16"/>
                <w:szCs w:val="16"/>
              </w:rPr>
            </w:pPr>
            <w:r>
              <w:rPr>
                <w:rFonts w:ascii="Arial" w:hAnsi="Arial" w:cs="Arial"/>
                <w:sz w:val="16"/>
                <w:szCs w:val="16"/>
              </w:rPr>
              <w:t>0.45 – 4.24 (2.34)</w:t>
            </w:r>
          </w:p>
        </w:tc>
        <w:tc>
          <w:tcPr>
            <w:tcW w:w="1550" w:type="dxa"/>
            <w:vAlign w:val="center"/>
          </w:tcPr>
          <w:p w14:paraId="37250E63"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758" w:type="dxa"/>
            <w:vAlign w:val="center"/>
          </w:tcPr>
          <w:p w14:paraId="23A5BC37"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r>
      <w:tr w:rsidR="003C227D" w:rsidRPr="007901FE" w14:paraId="4DF5FD69" w14:textId="77777777" w:rsidTr="00325CE9">
        <w:tc>
          <w:tcPr>
            <w:tcW w:w="3261" w:type="dxa"/>
            <w:vAlign w:val="center"/>
          </w:tcPr>
          <w:p w14:paraId="2D82FF9D" w14:textId="77777777" w:rsidR="003C227D" w:rsidRPr="00A56E4A" w:rsidRDefault="003C227D" w:rsidP="00325CE9">
            <w:pPr>
              <w:spacing w:before="50" w:after="60" w:line="240" w:lineRule="atLeast"/>
              <w:rPr>
                <w:rFonts w:ascii="Arial" w:hAnsi="Arial" w:cs="Arial"/>
                <w:sz w:val="16"/>
                <w:szCs w:val="16"/>
              </w:rPr>
            </w:pPr>
            <w:r w:rsidRPr="00A56E4A">
              <w:rPr>
                <w:rFonts w:ascii="Arial" w:hAnsi="Arial" w:cs="Arial"/>
                <w:sz w:val="16"/>
                <w:szCs w:val="16"/>
              </w:rPr>
              <w:t>Other coal combustion</w:t>
            </w:r>
          </w:p>
        </w:tc>
        <w:tc>
          <w:tcPr>
            <w:tcW w:w="2126" w:type="dxa"/>
            <w:vAlign w:val="center"/>
          </w:tcPr>
          <w:p w14:paraId="1594EEAC" w14:textId="77777777" w:rsidR="003C227D" w:rsidRPr="00A56E4A" w:rsidRDefault="003C227D" w:rsidP="00325CE9">
            <w:pPr>
              <w:spacing w:line="300" w:lineRule="atLeast"/>
              <w:jc w:val="center"/>
              <w:rPr>
                <w:rFonts w:ascii="Arial" w:hAnsi="Arial" w:cs="Arial"/>
                <w:sz w:val="16"/>
                <w:szCs w:val="16"/>
              </w:rPr>
            </w:pPr>
            <w:r w:rsidRPr="00A56E4A">
              <w:rPr>
                <w:rFonts w:ascii="Arial" w:hAnsi="Arial" w:cs="Arial"/>
                <w:sz w:val="16"/>
                <w:szCs w:val="16"/>
              </w:rPr>
              <w:t>47.0 – 187.1 (117.1)</w:t>
            </w:r>
          </w:p>
        </w:tc>
        <w:tc>
          <w:tcPr>
            <w:tcW w:w="1757" w:type="dxa"/>
            <w:vAlign w:val="center"/>
          </w:tcPr>
          <w:p w14:paraId="0D94FEA6" w14:textId="77777777" w:rsidR="003C227D" w:rsidRPr="00A56E4A" w:rsidRDefault="003C227D" w:rsidP="00325CE9">
            <w:pPr>
              <w:spacing w:line="300" w:lineRule="atLeast"/>
              <w:jc w:val="center"/>
              <w:rPr>
                <w:rFonts w:ascii="Arial" w:hAnsi="Arial" w:cs="Arial"/>
                <w:sz w:val="16"/>
                <w:szCs w:val="16"/>
              </w:rPr>
            </w:pPr>
            <w:r w:rsidRPr="00A56E4A">
              <w:rPr>
                <w:rFonts w:ascii="Arial" w:hAnsi="Arial" w:cs="Arial"/>
                <w:sz w:val="16"/>
                <w:szCs w:val="16"/>
              </w:rPr>
              <w:t>44.6 – 177.8 (111.2)</w:t>
            </w:r>
          </w:p>
        </w:tc>
        <w:tc>
          <w:tcPr>
            <w:tcW w:w="1923" w:type="dxa"/>
            <w:vAlign w:val="center"/>
          </w:tcPr>
          <w:p w14:paraId="27F9E8B1" w14:textId="77777777" w:rsidR="003C227D" w:rsidRPr="00A56E4A" w:rsidRDefault="003C227D" w:rsidP="00325CE9">
            <w:pPr>
              <w:spacing w:before="50" w:after="60" w:line="240" w:lineRule="atLeast"/>
              <w:jc w:val="center"/>
              <w:rPr>
                <w:rFonts w:ascii="Arial" w:hAnsi="Arial" w:cs="Arial"/>
                <w:sz w:val="16"/>
                <w:szCs w:val="16"/>
              </w:rPr>
            </w:pPr>
            <w:r w:rsidRPr="00A56E4A">
              <w:rPr>
                <w:rFonts w:ascii="Arial" w:hAnsi="Arial" w:cs="Arial"/>
                <w:sz w:val="16"/>
                <w:szCs w:val="16"/>
              </w:rPr>
              <w:t>-</w:t>
            </w:r>
          </w:p>
        </w:tc>
        <w:tc>
          <w:tcPr>
            <w:tcW w:w="1800" w:type="dxa"/>
            <w:vAlign w:val="center"/>
          </w:tcPr>
          <w:p w14:paraId="3960A598" w14:textId="77777777" w:rsidR="003C227D" w:rsidRPr="00A56E4A" w:rsidRDefault="003C227D" w:rsidP="00325CE9">
            <w:pPr>
              <w:spacing w:before="50" w:after="60" w:line="240" w:lineRule="atLeast"/>
              <w:jc w:val="center"/>
              <w:rPr>
                <w:rFonts w:ascii="Arial" w:hAnsi="Arial" w:cs="Arial"/>
                <w:sz w:val="16"/>
                <w:szCs w:val="16"/>
              </w:rPr>
            </w:pPr>
            <w:r w:rsidRPr="00A56E4A">
              <w:rPr>
                <w:rFonts w:ascii="Arial" w:hAnsi="Arial" w:cs="Arial"/>
                <w:sz w:val="16"/>
                <w:szCs w:val="16"/>
              </w:rPr>
              <w:t>-</w:t>
            </w:r>
          </w:p>
        </w:tc>
        <w:tc>
          <w:tcPr>
            <w:tcW w:w="1550" w:type="dxa"/>
            <w:vAlign w:val="center"/>
          </w:tcPr>
          <w:p w14:paraId="4BBD8326" w14:textId="77777777" w:rsidR="003C227D" w:rsidRPr="00A56E4A" w:rsidRDefault="003C227D" w:rsidP="00325CE9">
            <w:pPr>
              <w:spacing w:before="50" w:after="60" w:line="240" w:lineRule="atLeast"/>
              <w:jc w:val="center"/>
              <w:rPr>
                <w:rFonts w:ascii="Arial" w:hAnsi="Arial" w:cs="Arial"/>
                <w:sz w:val="16"/>
                <w:szCs w:val="16"/>
              </w:rPr>
            </w:pPr>
            <w:r w:rsidRPr="00A56E4A">
              <w:rPr>
                <w:rFonts w:ascii="Arial" w:hAnsi="Arial" w:cs="Arial"/>
                <w:sz w:val="16"/>
                <w:szCs w:val="16"/>
              </w:rPr>
              <w:t>-</w:t>
            </w:r>
          </w:p>
        </w:tc>
        <w:tc>
          <w:tcPr>
            <w:tcW w:w="1758" w:type="dxa"/>
            <w:vAlign w:val="center"/>
          </w:tcPr>
          <w:p w14:paraId="405D14DB" w14:textId="77777777" w:rsidR="003C227D" w:rsidRPr="00DB1157" w:rsidRDefault="003C227D" w:rsidP="00325CE9">
            <w:pPr>
              <w:spacing w:before="50" w:after="60" w:line="240" w:lineRule="atLeast"/>
              <w:jc w:val="center"/>
              <w:rPr>
                <w:rFonts w:ascii="Arial" w:hAnsi="Arial" w:cs="Arial"/>
                <w:sz w:val="16"/>
                <w:szCs w:val="16"/>
              </w:rPr>
            </w:pPr>
            <w:r w:rsidRPr="00A56E4A">
              <w:rPr>
                <w:rFonts w:ascii="Arial" w:hAnsi="Arial" w:cs="Arial"/>
                <w:sz w:val="16"/>
                <w:szCs w:val="16"/>
              </w:rPr>
              <w:t>2.35 – 9.21 (5.78)</w:t>
            </w:r>
          </w:p>
        </w:tc>
      </w:tr>
      <w:tr w:rsidR="003C227D" w:rsidRPr="007901FE" w14:paraId="401B890A" w14:textId="77777777" w:rsidTr="00325CE9">
        <w:tc>
          <w:tcPr>
            <w:tcW w:w="3261" w:type="dxa"/>
            <w:vAlign w:val="center"/>
          </w:tcPr>
          <w:p w14:paraId="7107758A" w14:textId="77777777" w:rsidR="003C227D" w:rsidRPr="004E3E02" w:rsidRDefault="003C227D" w:rsidP="00325CE9">
            <w:pPr>
              <w:spacing w:before="50" w:after="60" w:line="240" w:lineRule="atLeast"/>
              <w:rPr>
                <w:rFonts w:ascii="Arial" w:hAnsi="Arial" w:cs="Arial"/>
                <w:sz w:val="16"/>
                <w:szCs w:val="16"/>
              </w:rPr>
            </w:pPr>
            <w:r>
              <w:rPr>
                <w:rFonts w:ascii="Arial" w:hAnsi="Arial" w:cs="Arial"/>
                <w:sz w:val="16"/>
                <w:szCs w:val="16"/>
              </w:rPr>
              <w:t>Oil extraction, refining and use</w:t>
            </w:r>
          </w:p>
        </w:tc>
        <w:tc>
          <w:tcPr>
            <w:tcW w:w="2126" w:type="dxa"/>
            <w:vAlign w:val="center"/>
          </w:tcPr>
          <w:p w14:paraId="46352B84" w14:textId="77777777" w:rsidR="003C227D" w:rsidRPr="00DB1157" w:rsidRDefault="003C227D" w:rsidP="00325CE9">
            <w:pPr>
              <w:spacing w:before="50" w:after="60" w:line="240" w:lineRule="atLeast"/>
              <w:jc w:val="center"/>
              <w:rPr>
                <w:rFonts w:ascii="Arial" w:hAnsi="Arial" w:cs="Arial"/>
                <w:sz w:val="16"/>
                <w:szCs w:val="16"/>
              </w:rPr>
            </w:pPr>
            <w:r>
              <w:rPr>
                <w:rFonts w:ascii="Arial" w:hAnsi="Arial" w:cs="Arial"/>
                <w:sz w:val="16"/>
                <w:szCs w:val="16"/>
              </w:rPr>
              <w:t>23.2</w:t>
            </w:r>
          </w:p>
        </w:tc>
        <w:tc>
          <w:tcPr>
            <w:tcW w:w="1757" w:type="dxa"/>
            <w:vAlign w:val="center"/>
          </w:tcPr>
          <w:p w14:paraId="00D32E84" w14:textId="77777777" w:rsidR="003C227D" w:rsidRPr="00856694" w:rsidRDefault="003C227D" w:rsidP="00325CE9">
            <w:pPr>
              <w:spacing w:before="50" w:after="60" w:line="240" w:lineRule="atLeast"/>
              <w:jc w:val="center"/>
              <w:rPr>
                <w:rFonts w:ascii="Arial" w:hAnsi="Arial" w:cs="Arial"/>
                <w:sz w:val="16"/>
                <w:szCs w:val="16"/>
              </w:rPr>
            </w:pPr>
            <w:r>
              <w:rPr>
                <w:rFonts w:ascii="Arial" w:hAnsi="Arial" w:cs="Arial"/>
                <w:sz w:val="16"/>
                <w:szCs w:val="16"/>
              </w:rPr>
              <w:t>19.1</w:t>
            </w:r>
          </w:p>
        </w:tc>
        <w:tc>
          <w:tcPr>
            <w:tcW w:w="1923" w:type="dxa"/>
            <w:vAlign w:val="center"/>
          </w:tcPr>
          <w:p w14:paraId="40AC1CF9" w14:textId="77777777" w:rsidR="003C227D" w:rsidRPr="00856694" w:rsidRDefault="003C227D" w:rsidP="00325CE9">
            <w:pPr>
              <w:spacing w:before="50" w:after="60" w:line="240" w:lineRule="atLeast"/>
              <w:jc w:val="center"/>
              <w:rPr>
                <w:rFonts w:ascii="Arial" w:hAnsi="Arial" w:cs="Arial"/>
                <w:sz w:val="16"/>
                <w:szCs w:val="16"/>
              </w:rPr>
            </w:pPr>
            <w:r w:rsidRPr="00856694">
              <w:rPr>
                <w:rFonts w:ascii="Arial" w:hAnsi="Arial" w:cs="Arial"/>
                <w:sz w:val="16"/>
                <w:szCs w:val="16"/>
              </w:rPr>
              <w:t>0.19</w:t>
            </w:r>
          </w:p>
        </w:tc>
        <w:tc>
          <w:tcPr>
            <w:tcW w:w="1800" w:type="dxa"/>
            <w:vAlign w:val="center"/>
          </w:tcPr>
          <w:p w14:paraId="25E05DF1" w14:textId="77777777" w:rsidR="003C227D" w:rsidRPr="00856694" w:rsidRDefault="003C227D" w:rsidP="00325CE9">
            <w:pPr>
              <w:spacing w:before="50" w:after="60" w:line="240" w:lineRule="atLeast"/>
              <w:jc w:val="center"/>
              <w:rPr>
                <w:rFonts w:ascii="Arial" w:hAnsi="Arial" w:cs="Arial"/>
                <w:sz w:val="16"/>
                <w:szCs w:val="16"/>
              </w:rPr>
            </w:pPr>
            <w:r>
              <w:rPr>
                <w:rFonts w:ascii="Arial" w:hAnsi="Arial" w:cs="Arial"/>
                <w:sz w:val="16"/>
                <w:szCs w:val="16"/>
              </w:rPr>
              <w:t>1.08</w:t>
            </w:r>
          </w:p>
        </w:tc>
        <w:tc>
          <w:tcPr>
            <w:tcW w:w="1550" w:type="dxa"/>
            <w:vAlign w:val="center"/>
          </w:tcPr>
          <w:p w14:paraId="2B80B18E" w14:textId="77777777" w:rsidR="003C227D" w:rsidRPr="00856694"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758" w:type="dxa"/>
            <w:vAlign w:val="center"/>
          </w:tcPr>
          <w:p w14:paraId="0328679C" w14:textId="77777777" w:rsidR="003C227D" w:rsidRPr="00DB1157" w:rsidRDefault="003C227D" w:rsidP="00325CE9">
            <w:pPr>
              <w:spacing w:before="50" w:after="60" w:line="240" w:lineRule="atLeast"/>
              <w:jc w:val="center"/>
              <w:rPr>
                <w:rFonts w:ascii="Arial" w:hAnsi="Arial" w:cs="Arial"/>
                <w:sz w:val="16"/>
                <w:szCs w:val="16"/>
              </w:rPr>
            </w:pPr>
            <w:r w:rsidRPr="00856694">
              <w:rPr>
                <w:rFonts w:ascii="Arial" w:hAnsi="Arial" w:cs="Arial"/>
                <w:sz w:val="16"/>
                <w:szCs w:val="16"/>
              </w:rPr>
              <w:t>2.82</w:t>
            </w:r>
          </w:p>
        </w:tc>
      </w:tr>
      <w:tr w:rsidR="003C227D" w:rsidRPr="007901FE" w14:paraId="713D8F6C" w14:textId="77777777" w:rsidTr="00325CE9">
        <w:tc>
          <w:tcPr>
            <w:tcW w:w="3261" w:type="dxa"/>
            <w:vAlign w:val="center"/>
          </w:tcPr>
          <w:p w14:paraId="7B651568" w14:textId="77777777" w:rsidR="003C227D" w:rsidRPr="004E3E02" w:rsidRDefault="003C227D" w:rsidP="00325CE9">
            <w:pPr>
              <w:spacing w:before="50" w:after="60" w:line="240" w:lineRule="atLeast"/>
              <w:rPr>
                <w:rFonts w:ascii="Arial" w:hAnsi="Arial" w:cs="Arial"/>
                <w:sz w:val="16"/>
                <w:szCs w:val="16"/>
              </w:rPr>
            </w:pPr>
            <w:r>
              <w:rPr>
                <w:rFonts w:ascii="Arial" w:hAnsi="Arial" w:cs="Arial"/>
                <w:sz w:val="16"/>
                <w:szCs w:val="16"/>
              </w:rPr>
              <w:t>Gas extraction, refining and use</w:t>
            </w:r>
          </w:p>
        </w:tc>
        <w:tc>
          <w:tcPr>
            <w:tcW w:w="2126" w:type="dxa"/>
            <w:vAlign w:val="center"/>
          </w:tcPr>
          <w:p w14:paraId="6FF32047" w14:textId="77777777" w:rsidR="003C227D" w:rsidRPr="00801115" w:rsidRDefault="003C227D" w:rsidP="00325CE9">
            <w:pPr>
              <w:spacing w:line="300" w:lineRule="atLeast"/>
              <w:jc w:val="center"/>
              <w:rPr>
                <w:rFonts w:ascii="Arial" w:hAnsi="Arial" w:cs="Arial"/>
                <w:sz w:val="16"/>
                <w:szCs w:val="16"/>
              </w:rPr>
            </w:pPr>
            <w:r w:rsidRPr="00801115">
              <w:rPr>
                <w:rFonts w:ascii="Arial" w:hAnsi="Arial" w:cs="Arial"/>
                <w:sz w:val="16"/>
                <w:szCs w:val="16"/>
              </w:rPr>
              <w:t>0.56 – 44</w:t>
            </w:r>
            <w:r>
              <w:rPr>
                <w:rFonts w:ascii="Arial" w:hAnsi="Arial" w:cs="Arial"/>
                <w:sz w:val="16"/>
                <w:szCs w:val="16"/>
              </w:rPr>
              <w:t>4.6</w:t>
            </w:r>
            <w:r w:rsidRPr="00801115">
              <w:rPr>
                <w:rFonts w:ascii="Arial" w:hAnsi="Arial" w:cs="Arial"/>
                <w:sz w:val="16"/>
                <w:szCs w:val="16"/>
              </w:rPr>
              <w:t xml:space="preserve"> (222.</w:t>
            </w:r>
            <w:r>
              <w:rPr>
                <w:rFonts w:ascii="Arial" w:hAnsi="Arial" w:cs="Arial"/>
                <w:sz w:val="16"/>
                <w:szCs w:val="16"/>
              </w:rPr>
              <w:t>6</w:t>
            </w:r>
            <w:r w:rsidRPr="00801115">
              <w:rPr>
                <w:rFonts w:ascii="Arial" w:hAnsi="Arial" w:cs="Arial"/>
                <w:sz w:val="16"/>
                <w:szCs w:val="16"/>
              </w:rPr>
              <w:t>)</w:t>
            </w:r>
          </w:p>
        </w:tc>
        <w:tc>
          <w:tcPr>
            <w:tcW w:w="1757" w:type="dxa"/>
            <w:vAlign w:val="center"/>
          </w:tcPr>
          <w:p w14:paraId="5D2A3A67" w14:textId="77777777" w:rsidR="003C227D" w:rsidRPr="00801115" w:rsidRDefault="003C227D" w:rsidP="00325CE9">
            <w:pPr>
              <w:spacing w:line="300" w:lineRule="atLeast"/>
              <w:jc w:val="center"/>
              <w:rPr>
                <w:rFonts w:ascii="Arial" w:hAnsi="Arial" w:cs="Arial"/>
                <w:sz w:val="16"/>
                <w:szCs w:val="16"/>
              </w:rPr>
            </w:pPr>
            <w:r w:rsidRPr="00801115">
              <w:rPr>
                <w:rFonts w:ascii="Arial" w:hAnsi="Arial" w:cs="Arial"/>
                <w:sz w:val="16"/>
                <w:szCs w:val="16"/>
              </w:rPr>
              <w:t>0.11 – 8</w:t>
            </w:r>
            <w:r>
              <w:rPr>
                <w:rFonts w:ascii="Arial" w:hAnsi="Arial" w:cs="Arial"/>
                <w:sz w:val="16"/>
                <w:szCs w:val="16"/>
              </w:rPr>
              <w:t>8.</w:t>
            </w:r>
            <w:r w:rsidRPr="00801115">
              <w:rPr>
                <w:rFonts w:ascii="Arial" w:hAnsi="Arial" w:cs="Arial"/>
                <w:sz w:val="16"/>
                <w:szCs w:val="16"/>
              </w:rPr>
              <w:t>9 (44.5</w:t>
            </w:r>
            <w:r>
              <w:rPr>
                <w:rFonts w:ascii="Arial" w:hAnsi="Arial" w:cs="Arial"/>
                <w:sz w:val="16"/>
                <w:szCs w:val="16"/>
              </w:rPr>
              <w:t>2</w:t>
            </w:r>
            <w:r w:rsidRPr="00801115">
              <w:rPr>
                <w:rFonts w:ascii="Arial" w:hAnsi="Arial" w:cs="Arial"/>
                <w:sz w:val="16"/>
                <w:szCs w:val="16"/>
              </w:rPr>
              <w:t>)</w:t>
            </w:r>
          </w:p>
        </w:tc>
        <w:tc>
          <w:tcPr>
            <w:tcW w:w="1923" w:type="dxa"/>
            <w:vAlign w:val="center"/>
          </w:tcPr>
          <w:p w14:paraId="380F6FF0" w14:textId="77777777" w:rsidR="003C227D" w:rsidRPr="00801115" w:rsidRDefault="003C227D" w:rsidP="00325CE9">
            <w:pPr>
              <w:spacing w:line="300" w:lineRule="atLeast"/>
              <w:jc w:val="center"/>
              <w:rPr>
                <w:rFonts w:ascii="Arial" w:hAnsi="Arial" w:cs="Arial"/>
                <w:sz w:val="16"/>
                <w:szCs w:val="16"/>
              </w:rPr>
            </w:pPr>
            <w:r w:rsidRPr="00801115">
              <w:rPr>
                <w:rFonts w:ascii="Arial" w:hAnsi="Arial" w:cs="Arial"/>
                <w:sz w:val="16"/>
                <w:szCs w:val="16"/>
              </w:rPr>
              <w:t>0.11 – 8</w:t>
            </w:r>
            <w:r>
              <w:rPr>
                <w:rFonts w:ascii="Arial" w:hAnsi="Arial" w:cs="Arial"/>
                <w:sz w:val="16"/>
                <w:szCs w:val="16"/>
              </w:rPr>
              <w:t>8.</w:t>
            </w:r>
            <w:r w:rsidRPr="00801115">
              <w:rPr>
                <w:rFonts w:ascii="Arial" w:hAnsi="Arial" w:cs="Arial"/>
                <w:sz w:val="16"/>
                <w:szCs w:val="16"/>
              </w:rPr>
              <w:t>9 (44.5</w:t>
            </w:r>
            <w:r>
              <w:rPr>
                <w:rFonts w:ascii="Arial" w:hAnsi="Arial" w:cs="Arial"/>
                <w:sz w:val="16"/>
                <w:szCs w:val="16"/>
              </w:rPr>
              <w:t>2</w:t>
            </w:r>
            <w:r w:rsidRPr="00801115">
              <w:rPr>
                <w:rFonts w:ascii="Arial" w:hAnsi="Arial" w:cs="Arial"/>
                <w:sz w:val="16"/>
                <w:szCs w:val="16"/>
              </w:rPr>
              <w:t>)</w:t>
            </w:r>
          </w:p>
        </w:tc>
        <w:tc>
          <w:tcPr>
            <w:tcW w:w="1800" w:type="dxa"/>
            <w:vAlign w:val="center"/>
          </w:tcPr>
          <w:p w14:paraId="434620F4" w14:textId="77777777" w:rsidR="003C227D" w:rsidRPr="00DB1157" w:rsidRDefault="003C227D" w:rsidP="00325CE9">
            <w:pPr>
              <w:spacing w:line="300" w:lineRule="atLeast"/>
              <w:jc w:val="center"/>
              <w:rPr>
                <w:rFonts w:ascii="Arial" w:hAnsi="Arial" w:cs="Arial"/>
                <w:sz w:val="16"/>
                <w:szCs w:val="16"/>
              </w:rPr>
            </w:pPr>
            <w:r w:rsidRPr="00DB1157">
              <w:rPr>
                <w:rFonts w:ascii="Arial" w:hAnsi="Arial" w:cs="Arial"/>
                <w:sz w:val="16"/>
                <w:szCs w:val="16"/>
              </w:rPr>
              <w:t>-</w:t>
            </w:r>
          </w:p>
        </w:tc>
        <w:tc>
          <w:tcPr>
            <w:tcW w:w="1550" w:type="dxa"/>
            <w:vAlign w:val="center"/>
          </w:tcPr>
          <w:p w14:paraId="746B1784" w14:textId="77777777" w:rsidR="003C227D" w:rsidRPr="00DB1157" w:rsidRDefault="003C227D" w:rsidP="00325CE9">
            <w:pPr>
              <w:spacing w:line="300" w:lineRule="atLeast"/>
              <w:jc w:val="center"/>
              <w:rPr>
                <w:rFonts w:ascii="Arial" w:hAnsi="Arial" w:cs="Arial"/>
                <w:sz w:val="16"/>
                <w:szCs w:val="16"/>
              </w:rPr>
            </w:pPr>
            <w:r>
              <w:rPr>
                <w:rFonts w:ascii="Arial" w:hAnsi="Arial" w:cs="Arial"/>
                <w:sz w:val="16"/>
                <w:szCs w:val="16"/>
              </w:rPr>
              <w:t>-</w:t>
            </w:r>
          </w:p>
        </w:tc>
        <w:tc>
          <w:tcPr>
            <w:tcW w:w="1758" w:type="dxa"/>
            <w:vAlign w:val="center"/>
          </w:tcPr>
          <w:p w14:paraId="4B720BDA" w14:textId="77777777" w:rsidR="003C227D" w:rsidRPr="00CD39B8" w:rsidRDefault="003C227D" w:rsidP="00325CE9">
            <w:pPr>
              <w:spacing w:line="300" w:lineRule="atLeast"/>
              <w:jc w:val="center"/>
              <w:rPr>
                <w:rFonts w:ascii="Arial" w:hAnsi="Arial" w:cs="Arial"/>
                <w:sz w:val="16"/>
                <w:szCs w:val="16"/>
              </w:rPr>
            </w:pPr>
            <w:r>
              <w:rPr>
                <w:rFonts w:ascii="Arial" w:hAnsi="Arial" w:cs="Arial"/>
                <w:sz w:val="16"/>
                <w:szCs w:val="16"/>
              </w:rPr>
              <w:t>0.34 – 266.8 (133.6)</w:t>
            </w:r>
          </w:p>
        </w:tc>
      </w:tr>
      <w:tr w:rsidR="003C227D" w:rsidRPr="007901FE" w14:paraId="789557A9" w14:textId="77777777" w:rsidTr="00325CE9">
        <w:tc>
          <w:tcPr>
            <w:tcW w:w="3261" w:type="dxa"/>
            <w:vAlign w:val="center"/>
          </w:tcPr>
          <w:p w14:paraId="61B40B48" w14:textId="77777777" w:rsidR="003C227D" w:rsidRPr="004E3E02" w:rsidRDefault="003C227D" w:rsidP="00325CE9">
            <w:pPr>
              <w:spacing w:before="50" w:after="60" w:line="240" w:lineRule="atLeast"/>
              <w:rPr>
                <w:rFonts w:ascii="Arial" w:hAnsi="Arial" w:cs="Arial"/>
                <w:sz w:val="16"/>
                <w:szCs w:val="16"/>
              </w:rPr>
            </w:pPr>
            <w:r>
              <w:rPr>
                <w:rFonts w:ascii="Arial" w:hAnsi="Arial" w:cs="Arial"/>
                <w:sz w:val="16"/>
                <w:szCs w:val="16"/>
              </w:rPr>
              <w:t>Biomass fuel</w:t>
            </w:r>
          </w:p>
        </w:tc>
        <w:tc>
          <w:tcPr>
            <w:tcW w:w="2126" w:type="dxa"/>
            <w:vAlign w:val="center"/>
          </w:tcPr>
          <w:p w14:paraId="5321BC78"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12.6 – 126 (69.3)</w:t>
            </w:r>
          </w:p>
        </w:tc>
        <w:tc>
          <w:tcPr>
            <w:tcW w:w="1757" w:type="dxa"/>
            <w:vAlign w:val="center"/>
          </w:tcPr>
          <w:p w14:paraId="50483656"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12.6 – 126 (69.3)</w:t>
            </w:r>
          </w:p>
        </w:tc>
        <w:tc>
          <w:tcPr>
            <w:tcW w:w="1923" w:type="dxa"/>
            <w:vAlign w:val="center"/>
          </w:tcPr>
          <w:p w14:paraId="7D596CE9"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800" w:type="dxa"/>
            <w:vAlign w:val="center"/>
          </w:tcPr>
          <w:p w14:paraId="6AB42785"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550" w:type="dxa"/>
            <w:vAlign w:val="center"/>
          </w:tcPr>
          <w:p w14:paraId="1C5D0358"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758" w:type="dxa"/>
            <w:vAlign w:val="center"/>
          </w:tcPr>
          <w:p w14:paraId="3755FB45"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r>
      <w:tr w:rsidR="003C227D" w:rsidRPr="007901FE" w14:paraId="51E6C64E" w14:textId="77777777" w:rsidTr="00325CE9">
        <w:tc>
          <w:tcPr>
            <w:tcW w:w="3261" w:type="dxa"/>
            <w:vAlign w:val="center"/>
          </w:tcPr>
          <w:p w14:paraId="1450E72F" w14:textId="77777777" w:rsidR="003C227D" w:rsidRPr="004E3E02" w:rsidRDefault="003C227D" w:rsidP="00325CE9">
            <w:pPr>
              <w:spacing w:before="50" w:after="60" w:line="240" w:lineRule="atLeast"/>
              <w:rPr>
                <w:rFonts w:ascii="Arial" w:hAnsi="Arial" w:cs="Arial"/>
                <w:sz w:val="16"/>
                <w:szCs w:val="16"/>
              </w:rPr>
            </w:pPr>
            <w:r>
              <w:rPr>
                <w:rFonts w:ascii="Arial" w:hAnsi="Arial" w:cs="Arial"/>
                <w:sz w:val="16"/>
                <w:szCs w:val="16"/>
              </w:rPr>
              <w:t>Geothermal power</w:t>
            </w:r>
          </w:p>
        </w:tc>
        <w:tc>
          <w:tcPr>
            <w:tcW w:w="2126" w:type="dxa"/>
            <w:tcBorders>
              <w:top w:val="single" w:sz="4" w:space="0" w:color="auto"/>
            </w:tcBorders>
            <w:vAlign w:val="center"/>
          </w:tcPr>
          <w:p w14:paraId="7EC1A20E" w14:textId="77777777" w:rsidR="003C227D" w:rsidRPr="00B6241E" w:rsidRDefault="003C227D" w:rsidP="00325CE9">
            <w:pPr>
              <w:spacing w:line="300" w:lineRule="atLeast"/>
              <w:jc w:val="center"/>
              <w:rPr>
                <w:rFonts w:ascii="Arial" w:hAnsi="Arial" w:cs="Arial"/>
                <w:sz w:val="16"/>
                <w:szCs w:val="16"/>
              </w:rPr>
            </w:pPr>
            <w:r w:rsidRPr="00B6241E">
              <w:rPr>
                <w:rFonts w:ascii="Arial" w:hAnsi="Arial" w:cs="Arial"/>
                <w:sz w:val="16"/>
                <w:szCs w:val="16"/>
              </w:rPr>
              <w:t>230.5 – 1,692.4 (</w:t>
            </w:r>
            <w:r>
              <w:rPr>
                <w:rFonts w:ascii="Arial" w:hAnsi="Arial" w:cs="Arial"/>
                <w:sz w:val="16"/>
                <w:szCs w:val="16"/>
              </w:rPr>
              <w:t>961.5</w:t>
            </w:r>
            <w:r w:rsidRPr="00B6241E">
              <w:rPr>
                <w:rFonts w:ascii="Arial" w:hAnsi="Arial" w:cs="Arial"/>
                <w:sz w:val="16"/>
                <w:szCs w:val="16"/>
              </w:rPr>
              <w:t>)</w:t>
            </w:r>
          </w:p>
        </w:tc>
        <w:tc>
          <w:tcPr>
            <w:tcW w:w="1757" w:type="dxa"/>
            <w:tcBorders>
              <w:top w:val="single" w:sz="4" w:space="0" w:color="auto"/>
            </w:tcBorders>
            <w:vAlign w:val="center"/>
          </w:tcPr>
          <w:p w14:paraId="6572E4D3" w14:textId="77777777" w:rsidR="003C227D" w:rsidRPr="00B6241E" w:rsidRDefault="003C227D" w:rsidP="00325CE9">
            <w:pPr>
              <w:spacing w:line="300" w:lineRule="atLeast"/>
              <w:jc w:val="center"/>
              <w:rPr>
                <w:rFonts w:ascii="Arial" w:hAnsi="Arial" w:cs="Arial"/>
                <w:sz w:val="16"/>
                <w:szCs w:val="16"/>
              </w:rPr>
            </w:pPr>
            <w:r w:rsidRPr="00B6241E">
              <w:rPr>
                <w:rFonts w:ascii="Arial" w:hAnsi="Arial" w:cs="Arial"/>
                <w:sz w:val="16"/>
                <w:szCs w:val="16"/>
              </w:rPr>
              <w:t>221.9 – 1683.</w:t>
            </w:r>
            <w:r>
              <w:rPr>
                <w:rFonts w:ascii="Arial" w:hAnsi="Arial" w:cs="Arial"/>
                <w:sz w:val="16"/>
                <w:szCs w:val="16"/>
              </w:rPr>
              <w:t>8</w:t>
            </w:r>
            <w:r w:rsidRPr="00B6241E">
              <w:rPr>
                <w:rFonts w:ascii="Arial" w:hAnsi="Arial" w:cs="Arial"/>
                <w:sz w:val="16"/>
                <w:szCs w:val="16"/>
              </w:rPr>
              <w:t xml:space="preserve"> (952.</w:t>
            </w:r>
            <w:r>
              <w:rPr>
                <w:rFonts w:ascii="Arial" w:hAnsi="Arial" w:cs="Arial"/>
                <w:sz w:val="16"/>
                <w:szCs w:val="16"/>
              </w:rPr>
              <w:t>9</w:t>
            </w:r>
            <w:r w:rsidRPr="00B6241E">
              <w:rPr>
                <w:rFonts w:ascii="Arial" w:hAnsi="Arial" w:cs="Arial"/>
                <w:sz w:val="16"/>
                <w:szCs w:val="16"/>
              </w:rPr>
              <w:t>)</w:t>
            </w:r>
          </w:p>
        </w:tc>
        <w:tc>
          <w:tcPr>
            <w:tcW w:w="1923" w:type="dxa"/>
            <w:tcBorders>
              <w:top w:val="single" w:sz="4" w:space="0" w:color="auto"/>
            </w:tcBorders>
            <w:vAlign w:val="center"/>
          </w:tcPr>
          <w:p w14:paraId="03C168AB" w14:textId="77777777" w:rsidR="003C227D" w:rsidRPr="00B6241E" w:rsidRDefault="003C227D" w:rsidP="00325CE9">
            <w:pPr>
              <w:spacing w:line="300" w:lineRule="atLeast"/>
              <w:jc w:val="center"/>
              <w:rPr>
                <w:rFonts w:ascii="Arial" w:hAnsi="Arial" w:cs="Arial"/>
                <w:sz w:val="16"/>
                <w:szCs w:val="16"/>
              </w:rPr>
            </w:pPr>
            <w:r w:rsidRPr="00B6241E">
              <w:rPr>
                <w:rFonts w:ascii="Arial" w:hAnsi="Arial" w:cs="Arial"/>
                <w:sz w:val="16"/>
                <w:szCs w:val="16"/>
              </w:rPr>
              <w:t>8.6</w:t>
            </w:r>
          </w:p>
        </w:tc>
        <w:tc>
          <w:tcPr>
            <w:tcW w:w="1800" w:type="dxa"/>
            <w:vAlign w:val="center"/>
          </w:tcPr>
          <w:p w14:paraId="2DD91ED2"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550" w:type="dxa"/>
            <w:vAlign w:val="center"/>
          </w:tcPr>
          <w:p w14:paraId="7D8028B0"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758" w:type="dxa"/>
            <w:vAlign w:val="center"/>
          </w:tcPr>
          <w:p w14:paraId="38A5F64D"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r>
      <w:tr w:rsidR="003C227D" w:rsidRPr="007901FE" w14:paraId="6E145462" w14:textId="77777777" w:rsidTr="00325CE9">
        <w:tc>
          <w:tcPr>
            <w:tcW w:w="3261" w:type="dxa"/>
            <w:vAlign w:val="center"/>
          </w:tcPr>
          <w:p w14:paraId="1D52927A" w14:textId="77777777" w:rsidR="003C227D" w:rsidRPr="00B33B70" w:rsidRDefault="003C227D" w:rsidP="00325CE9">
            <w:pPr>
              <w:spacing w:before="50" w:after="60" w:line="240" w:lineRule="atLeast"/>
              <w:rPr>
                <w:rFonts w:ascii="Arial" w:hAnsi="Arial" w:cs="Arial"/>
                <w:sz w:val="16"/>
                <w:szCs w:val="16"/>
              </w:rPr>
            </w:pPr>
            <w:r w:rsidRPr="00B33B70">
              <w:rPr>
                <w:rFonts w:ascii="Arial" w:hAnsi="Arial" w:cs="Arial"/>
                <w:sz w:val="16"/>
                <w:szCs w:val="16"/>
              </w:rPr>
              <w:t xml:space="preserve">Gold &amp; silver production, with mercury </w:t>
            </w:r>
          </w:p>
        </w:tc>
        <w:tc>
          <w:tcPr>
            <w:tcW w:w="2126" w:type="dxa"/>
            <w:vAlign w:val="center"/>
          </w:tcPr>
          <w:p w14:paraId="03CA1AA1" w14:textId="77777777" w:rsidR="003C227D" w:rsidRPr="00B33B70" w:rsidRDefault="003C227D" w:rsidP="00325CE9">
            <w:pPr>
              <w:spacing w:before="50" w:after="60" w:line="240" w:lineRule="atLeast"/>
              <w:jc w:val="center"/>
              <w:rPr>
                <w:rFonts w:ascii="Arial" w:hAnsi="Arial" w:cs="Arial"/>
                <w:sz w:val="16"/>
                <w:szCs w:val="16"/>
              </w:rPr>
            </w:pPr>
            <w:r w:rsidRPr="00B33B70">
              <w:rPr>
                <w:rFonts w:ascii="Arial" w:hAnsi="Arial" w:cs="Arial"/>
                <w:sz w:val="16"/>
                <w:szCs w:val="16"/>
              </w:rPr>
              <w:t>20</w:t>
            </w:r>
          </w:p>
        </w:tc>
        <w:tc>
          <w:tcPr>
            <w:tcW w:w="1757" w:type="dxa"/>
            <w:vAlign w:val="center"/>
          </w:tcPr>
          <w:p w14:paraId="7B6C50D3" w14:textId="77777777" w:rsidR="003C227D" w:rsidRPr="00B33B70" w:rsidRDefault="003C227D" w:rsidP="00325CE9">
            <w:pPr>
              <w:spacing w:before="50" w:after="60" w:line="240" w:lineRule="atLeast"/>
              <w:jc w:val="center"/>
              <w:rPr>
                <w:rFonts w:ascii="Arial" w:hAnsi="Arial" w:cs="Arial"/>
                <w:sz w:val="16"/>
                <w:szCs w:val="16"/>
              </w:rPr>
            </w:pPr>
            <w:r w:rsidRPr="00B33B70">
              <w:rPr>
                <w:rFonts w:ascii="Arial" w:hAnsi="Arial" w:cs="Arial"/>
                <w:sz w:val="16"/>
                <w:szCs w:val="16"/>
              </w:rPr>
              <w:t>4</w:t>
            </w:r>
          </w:p>
        </w:tc>
        <w:tc>
          <w:tcPr>
            <w:tcW w:w="1923" w:type="dxa"/>
            <w:vAlign w:val="center"/>
          </w:tcPr>
          <w:p w14:paraId="0565B3A7" w14:textId="77777777" w:rsidR="003C227D" w:rsidRPr="00B33B70" w:rsidRDefault="003C227D" w:rsidP="00325CE9">
            <w:pPr>
              <w:spacing w:before="50" w:after="60" w:line="240" w:lineRule="atLeast"/>
              <w:jc w:val="center"/>
              <w:rPr>
                <w:rFonts w:ascii="Arial" w:hAnsi="Arial" w:cs="Arial"/>
                <w:sz w:val="16"/>
                <w:szCs w:val="16"/>
              </w:rPr>
            </w:pPr>
            <w:r w:rsidRPr="00B33B70">
              <w:rPr>
                <w:rFonts w:ascii="Arial" w:hAnsi="Arial" w:cs="Arial"/>
                <w:sz w:val="16"/>
                <w:szCs w:val="16"/>
              </w:rPr>
              <w:t>8</w:t>
            </w:r>
          </w:p>
        </w:tc>
        <w:tc>
          <w:tcPr>
            <w:tcW w:w="1800" w:type="dxa"/>
            <w:vAlign w:val="center"/>
          </w:tcPr>
          <w:p w14:paraId="29A9D108" w14:textId="77777777" w:rsidR="003C227D" w:rsidRPr="00B33B70" w:rsidRDefault="003C227D" w:rsidP="00325CE9">
            <w:pPr>
              <w:spacing w:before="50" w:after="60" w:line="240" w:lineRule="atLeast"/>
              <w:jc w:val="center"/>
              <w:rPr>
                <w:rFonts w:ascii="Arial" w:hAnsi="Arial" w:cs="Arial"/>
                <w:sz w:val="16"/>
                <w:szCs w:val="16"/>
              </w:rPr>
            </w:pPr>
            <w:r w:rsidRPr="00B33B70">
              <w:rPr>
                <w:rFonts w:ascii="Arial" w:hAnsi="Arial" w:cs="Arial"/>
                <w:sz w:val="16"/>
                <w:szCs w:val="16"/>
              </w:rPr>
              <w:t>8</w:t>
            </w:r>
          </w:p>
        </w:tc>
        <w:tc>
          <w:tcPr>
            <w:tcW w:w="1550" w:type="dxa"/>
            <w:vAlign w:val="center"/>
          </w:tcPr>
          <w:p w14:paraId="72C4DEB2" w14:textId="77777777" w:rsidR="003C227D" w:rsidRPr="00B33B70" w:rsidRDefault="003C227D" w:rsidP="00325CE9">
            <w:pPr>
              <w:spacing w:before="50" w:after="60" w:line="240" w:lineRule="atLeast"/>
              <w:jc w:val="center"/>
              <w:rPr>
                <w:rFonts w:ascii="Arial" w:hAnsi="Arial" w:cs="Arial"/>
                <w:sz w:val="16"/>
                <w:szCs w:val="16"/>
              </w:rPr>
            </w:pPr>
            <w:r w:rsidRPr="00B33B70">
              <w:rPr>
                <w:rFonts w:ascii="Arial" w:hAnsi="Arial" w:cs="Arial"/>
                <w:sz w:val="16"/>
                <w:szCs w:val="16"/>
              </w:rPr>
              <w:t>-</w:t>
            </w:r>
          </w:p>
        </w:tc>
        <w:tc>
          <w:tcPr>
            <w:tcW w:w="1758" w:type="dxa"/>
            <w:vAlign w:val="center"/>
          </w:tcPr>
          <w:p w14:paraId="05A034C0" w14:textId="77777777" w:rsidR="003C227D" w:rsidRPr="004E3E02" w:rsidRDefault="003C227D" w:rsidP="00325CE9">
            <w:pPr>
              <w:spacing w:before="50" w:after="60" w:line="240" w:lineRule="atLeast"/>
              <w:jc w:val="center"/>
              <w:rPr>
                <w:rFonts w:ascii="Arial" w:hAnsi="Arial" w:cs="Arial"/>
                <w:sz w:val="16"/>
                <w:szCs w:val="16"/>
              </w:rPr>
            </w:pPr>
            <w:r w:rsidRPr="00B33B70">
              <w:rPr>
                <w:rFonts w:ascii="Arial" w:hAnsi="Arial" w:cs="Arial"/>
                <w:sz w:val="16"/>
                <w:szCs w:val="16"/>
              </w:rPr>
              <w:t>-</w:t>
            </w:r>
          </w:p>
        </w:tc>
      </w:tr>
      <w:tr w:rsidR="003C227D" w:rsidRPr="007901FE" w14:paraId="0F26B9F7" w14:textId="77777777" w:rsidTr="00325CE9">
        <w:tc>
          <w:tcPr>
            <w:tcW w:w="3261" w:type="dxa"/>
            <w:vAlign w:val="center"/>
          </w:tcPr>
          <w:p w14:paraId="1CF61B01" w14:textId="77777777" w:rsidR="003C227D" w:rsidRPr="004E3E02" w:rsidRDefault="003C227D" w:rsidP="00325CE9">
            <w:pPr>
              <w:spacing w:before="50" w:after="60" w:line="240" w:lineRule="atLeast"/>
              <w:rPr>
                <w:rFonts w:ascii="Arial" w:hAnsi="Arial" w:cs="Arial"/>
                <w:sz w:val="16"/>
                <w:szCs w:val="16"/>
              </w:rPr>
            </w:pPr>
            <w:r>
              <w:rPr>
                <w:rFonts w:ascii="Arial" w:hAnsi="Arial" w:cs="Arial"/>
                <w:sz w:val="16"/>
                <w:szCs w:val="16"/>
              </w:rPr>
              <w:t>Gold &amp; silver production, without mercury</w:t>
            </w:r>
          </w:p>
        </w:tc>
        <w:tc>
          <w:tcPr>
            <w:tcW w:w="2126" w:type="dxa"/>
            <w:vAlign w:val="center"/>
          </w:tcPr>
          <w:p w14:paraId="2876C251" w14:textId="77777777" w:rsidR="003C227D" w:rsidRDefault="003C227D" w:rsidP="00325CE9">
            <w:pPr>
              <w:spacing w:line="300" w:lineRule="atLeast"/>
              <w:jc w:val="center"/>
              <w:rPr>
                <w:rFonts w:ascii="Arial" w:hAnsi="Arial" w:cs="Arial"/>
                <w:sz w:val="16"/>
                <w:szCs w:val="16"/>
              </w:rPr>
            </w:pPr>
            <w:r>
              <w:rPr>
                <w:rFonts w:ascii="Arial" w:hAnsi="Arial" w:cs="Arial"/>
                <w:sz w:val="16"/>
                <w:szCs w:val="16"/>
              </w:rPr>
              <w:t>1,508 – 13,114 (4,918)</w:t>
            </w:r>
          </w:p>
        </w:tc>
        <w:tc>
          <w:tcPr>
            <w:tcW w:w="1757" w:type="dxa"/>
            <w:vAlign w:val="center"/>
          </w:tcPr>
          <w:p w14:paraId="6F0965CE" w14:textId="77777777" w:rsidR="003C227D" w:rsidRDefault="003C227D" w:rsidP="00325CE9">
            <w:pPr>
              <w:spacing w:line="300" w:lineRule="atLeast"/>
              <w:jc w:val="center"/>
              <w:rPr>
                <w:rFonts w:ascii="Arial" w:hAnsi="Arial" w:cs="Arial"/>
                <w:sz w:val="16"/>
                <w:szCs w:val="16"/>
              </w:rPr>
            </w:pPr>
            <w:r>
              <w:rPr>
                <w:rFonts w:ascii="Arial" w:hAnsi="Arial" w:cs="Arial"/>
                <w:sz w:val="16"/>
                <w:szCs w:val="16"/>
              </w:rPr>
              <w:t>60.3 – 525 (196.7)</w:t>
            </w:r>
          </w:p>
        </w:tc>
        <w:tc>
          <w:tcPr>
            <w:tcW w:w="1923" w:type="dxa"/>
            <w:vAlign w:val="center"/>
          </w:tcPr>
          <w:p w14:paraId="56937B82" w14:textId="77777777" w:rsidR="003C227D" w:rsidRDefault="003C227D" w:rsidP="00325CE9">
            <w:pPr>
              <w:spacing w:line="300" w:lineRule="atLeast"/>
              <w:jc w:val="center"/>
              <w:rPr>
                <w:rFonts w:ascii="Arial" w:hAnsi="Arial" w:cs="Arial"/>
                <w:sz w:val="16"/>
                <w:szCs w:val="16"/>
              </w:rPr>
            </w:pPr>
            <w:r>
              <w:rPr>
                <w:rFonts w:ascii="Arial" w:hAnsi="Arial" w:cs="Arial"/>
                <w:sz w:val="16"/>
                <w:szCs w:val="16"/>
              </w:rPr>
              <w:t>30.2 – 263 (98.4)</w:t>
            </w:r>
          </w:p>
        </w:tc>
        <w:tc>
          <w:tcPr>
            <w:tcW w:w="1800" w:type="dxa"/>
            <w:vAlign w:val="center"/>
          </w:tcPr>
          <w:p w14:paraId="72F604D0" w14:textId="77777777" w:rsidR="003C227D" w:rsidRDefault="003C227D" w:rsidP="00325CE9">
            <w:pPr>
              <w:spacing w:line="300" w:lineRule="atLeast"/>
              <w:jc w:val="center"/>
              <w:rPr>
                <w:rFonts w:ascii="Arial" w:hAnsi="Arial" w:cs="Arial"/>
                <w:sz w:val="16"/>
                <w:szCs w:val="16"/>
              </w:rPr>
            </w:pPr>
            <w:r>
              <w:rPr>
                <w:rFonts w:ascii="Arial" w:hAnsi="Arial" w:cs="Arial"/>
                <w:sz w:val="16"/>
                <w:szCs w:val="16"/>
              </w:rPr>
              <w:t>1,357 – 11,803 (4,426)</w:t>
            </w:r>
          </w:p>
        </w:tc>
        <w:tc>
          <w:tcPr>
            <w:tcW w:w="1550" w:type="dxa"/>
            <w:vAlign w:val="center"/>
          </w:tcPr>
          <w:p w14:paraId="6323908D" w14:textId="77777777" w:rsidR="003C227D" w:rsidRDefault="003C227D" w:rsidP="00325CE9">
            <w:pPr>
              <w:spacing w:line="300" w:lineRule="atLeast"/>
              <w:jc w:val="center"/>
              <w:rPr>
                <w:rFonts w:ascii="Arial" w:hAnsi="Arial" w:cs="Arial"/>
                <w:sz w:val="16"/>
                <w:szCs w:val="16"/>
              </w:rPr>
            </w:pPr>
            <w:r>
              <w:rPr>
                <w:rFonts w:ascii="Arial" w:hAnsi="Arial" w:cs="Arial"/>
                <w:sz w:val="16"/>
                <w:szCs w:val="16"/>
              </w:rPr>
              <w:t>60.3 – 525 (197)</w:t>
            </w:r>
          </w:p>
        </w:tc>
        <w:tc>
          <w:tcPr>
            <w:tcW w:w="1758" w:type="dxa"/>
            <w:vAlign w:val="center"/>
          </w:tcPr>
          <w:p w14:paraId="666D6E20" w14:textId="77777777" w:rsidR="003C227D" w:rsidRPr="00F31685"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r>
      <w:tr w:rsidR="003C227D" w:rsidRPr="007901FE" w14:paraId="398F49FB" w14:textId="77777777" w:rsidTr="00325CE9">
        <w:tc>
          <w:tcPr>
            <w:tcW w:w="3261" w:type="dxa"/>
            <w:vAlign w:val="center"/>
          </w:tcPr>
          <w:p w14:paraId="5BB8E144" w14:textId="77777777" w:rsidR="003C227D" w:rsidRPr="006E5124" w:rsidRDefault="003C227D" w:rsidP="00325CE9">
            <w:pPr>
              <w:spacing w:before="50" w:after="60" w:line="240" w:lineRule="atLeast"/>
              <w:rPr>
                <w:rFonts w:ascii="Arial" w:hAnsi="Arial" w:cs="Arial"/>
                <w:sz w:val="16"/>
                <w:szCs w:val="16"/>
              </w:rPr>
            </w:pPr>
            <w:r w:rsidRPr="006E5124">
              <w:rPr>
                <w:rFonts w:ascii="Arial" w:hAnsi="Arial" w:cs="Arial"/>
                <w:sz w:val="16"/>
                <w:szCs w:val="16"/>
              </w:rPr>
              <w:t>Ferrous metals production (iron &amp; steel)</w:t>
            </w:r>
          </w:p>
        </w:tc>
        <w:tc>
          <w:tcPr>
            <w:tcW w:w="2126" w:type="dxa"/>
            <w:vAlign w:val="center"/>
          </w:tcPr>
          <w:p w14:paraId="5EA6D1CE" w14:textId="77777777" w:rsidR="003C227D" w:rsidRPr="006E5124" w:rsidRDefault="003C227D" w:rsidP="00325CE9">
            <w:pPr>
              <w:spacing w:line="300" w:lineRule="atLeast"/>
              <w:jc w:val="center"/>
              <w:rPr>
                <w:rFonts w:ascii="Arial" w:hAnsi="Arial" w:cs="Arial"/>
                <w:sz w:val="16"/>
                <w:szCs w:val="16"/>
              </w:rPr>
            </w:pPr>
            <w:r w:rsidRPr="006E5124">
              <w:rPr>
                <w:rFonts w:ascii="Arial" w:hAnsi="Arial" w:cs="Arial"/>
                <w:sz w:val="16"/>
                <w:szCs w:val="16"/>
              </w:rPr>
              <w:t>42.71 -  171.2 (106.9)</w:t>
            </w:r>
          </w:p>
        </w:tc>
        <w:tc>
          <w:tcPr>
            <w:tcW w:w="1757" w:type="dxa"/>
            <w:vAlign w:val="center"/>
          </w:tcPr>
          <w:p w14:paraId="40CBBF73" w14:textId="77777777" w:rsidR="003C227D" w:rsidRPr="006E5124" w:rsidRDefault="003C227D" w:rsidP="00325CE9">
            <w:pPr>
              <w:spacing w:line="300" w:lineRule="atLeast"/>
              <w:jc w:val="center"/>
              <w:rPr>
                <w:rFonts w:ascii="Arial" w:hAnsi="Arial" w:cs="Arial"/>
                <w:sz w:val="16"/>
                <w:szCs w:val="16"/>
              </w:rPr>
            </w:pPr>
            <w:r w:rsidRPr="006E5124">
              <w:rPr>
                <w:rFonts w:ascii="Arial" w:hAnsi="Arial" w:cs="Arial"/>
                <w:sz w:val="16"/>
                <w:szCs w:val="16"/>
              </w:rPr>
              <w:t>21.4 – 85.6 (53.5)</w:t>
            </w:r>
          </w:p>
        </w:tc>
        <w:tc>
          <w:tcPr>
            <w:tcW w:w="1923" w:type="dxa"/>
            <w:vAlign w:val="center"/>
          </w:tcPr>
          <w:p w14:paraId="637C8308" w14:textId="77777777" w:rsidR="003C227D" w:rsidRPr="006E5124" w:rsidRDefault="003C227D" w:rsidP="00325CE9">
            <w:pPr>
              <w:spacing w:before="50" w:after="60" w:line="240" w:lineRule="atLeast"/>
              <w:jc w:val="center"/>
              <w:rPr>
                <w:rFonts w:ascii="Arial" w:hAnsi="Arial" w:cs="Arial"/>
                <w:sz w:val="16"/>
                <w:szCs w:val="16"/>
              </w:rPr>
            </w:pPr>
            <w:r w:rsidRPr="006E5124">
              <w:rPr>
                <w:rFonts w:ascii="Arial" w:hAnsi="Arial" w:cs="Arial"/>
                <w:sz w:val="16"/>
                <w:szCs w:val="16"/>
              </w:rPr>
              <w:t>-</w:t>
            </w:r>
          </w:p>
        </w:tc>
        <w:tc>
          <w:tcPr>
            <w:tcW w:w="1800" w:type="dxa"/>
            <w:vAlign w:val="center"/>
          </w:tcPr>
          <w:p w14:paraId="3ABBA518" w14:textId="77777777" w:rsidR="003C227D" w:rsidRPr="006E5124" w:rsidRDefault="003C227D" w:rsidP="00325CE9">
            <w:pPr>
              <w:spacing w:before="50" w:after="60" w:line="240" w:lineRule="atLeast"/>
              <w:jc w:val="center"/>
              <w:rPr>
                <w:rFonts w:ascii="Arial" w:hAnsi="Arial" w:cs="Arial"/>
                <w:sz w:val="16"/>
                <w:szCs w:val="16"/>
              </w:rPr>
            </w:pPr>
            <w:r w:rsidRPr="006E5124">
              <w:rPr>
                <w:rFonts w:ascii="Arial" w:hAnsi="Arial" w:cs="Arial"/>
                <w:sz w:val="16"/>
                <w:szCs w:val="16"/>
              </w:rPr>
              <w:t>-</w:t>
            </w:r>
          </w:p>
        </w:tc>
        <w:tc>
          <w:tcPr>
            <w:tcW w:w="1550" w:type="dxa"/>
            <w:vAlign w:val="center"/>
          </w:tcPr>
          <w:p w14:paraId="4BB965BB" w14:textId="77777777" w:rsidR="003C227D" w:rsidRPr="006E5124" w:rsidRDefault="003C227D" w:rsidP="00325CE9">
            <w:pPr>
              <w:spacing w:before="50" w:after="60" w:line="240" w:lineRule="atLeast"/>
              <w:jc w:val="center"/>
              <w:rPr>
                <w:rFonts w:ascii="Arial" w:hAnsi="Arial" w:cs="Arial"/>
                <w:sz w:val="16"/>
                <w:szCs w:val="16"/>
              </w:rPr>
            </w:pPr>
            <w:r w:rsidRPr="006E5124">
              <w:rPr>
                <w:rFonts w:ascii="Arial" w:hAnsi="Arial" w:cs="Arial"/>
                <w:sz w:val="16"/>
                <w:szCs w:val="16"/>
              </w:rPr>
              <w:t>-</w:t>
            </w:r>
          </w:p>
        </w:tc>
        <w:tc>
          <w:tcPr>
            <w:tcW w:w="1758" w:type="dxa"/>
            <w:vAlign w:val="center"/>
          </w:tcPr>
          <w:p w14:paraId="228092DF" w14:textId="77777777" w:rsidR="003C227D" w:rsidRPr="006E5124" w:rsidRDefault="003C227D" w:rsidP="00325CE9">
            <w:pPr>
              <w:spacing w:before="50" w:after="60" w:line="240" w:lineRule="atLeast"/>
              <w:jc w:val="center"/>
              <w:rPr>
                <w:rFonts w:ascii="Arial" w:hAnsi="Arial" w:cs="Arial"/>
                <w:sz w:val="16"/>
                <w:szCs w:val="16"/>
              </w:rPr>
            </w:pPr>
            <w:r w:rsidRPr="006E5124">
              <w:rPr>
                <w:rFonts w:ascii="Arial" w:hAnsi="Arial" w:cs="Arial"/>
                <w:sz w:val="16"/>
                <w:szCs w:val="16"/>
              </w:rPr>
              <w:t>21.4 – 85.6 (53.5)</w:t>
            </w:r>
          </w:p>
        </w:tc>
      </w:tr>
      <w:tr w:rsidR="003C227D" w:rsidRPr="007901FE" w14:paraId="328AA9E8" w14:textId="77777777" w:rsidTr="00325CE9">
        <w:tc>
          <w:tcPr>
            <w:tcW w:w="3261" w:type="dxa"/>
            <w:vAlign w:val="center"/>
          </w:tcPr>
          <w:p w14:paraId="4915FB46" w14:textId="77777777" w:rsidR="003C227D" w:rsidRPr="004E3E02" w:rsidRDefault="003C227D" w:rsidP="00325CE9">
            <w:pPr>
              <w:spacing w:before="50" w:after="60" w:line="240" w:lineRule="atLeast"/>
              <w:rPr>
                <w:rFonts w:ascii="Arial" w:hAnsi="Arial" w:cs="Arial"/>
                <w:sz w:val="16"/>
                <w:szCs w:val="16"/>
              </w:rPr>
            </w:pPr>
            <w:r>
              <w:rPr>
                <w:rFonts w:ascii="Arial" w:hAnsi="Arial" w:cs="Arial"/>
                <w:sz w:val="16"/>
                <w:szCs w:val="16"/>
              </w:rPr>
              <w:t>Cement production</w:t>
            </w:r>
          </w:p>
        </w:tc>
        <w:tc>
          <w:tcPr>
            <w:tcW w:w="2126" w:type="dxa"/>
            <w:vAlign w:val="center"/>
          </w:tcPr>
          <w:p w14:paraId="6B558524" w14:textId="77777777" w:rsidR="003C227D" w:rsidRPr="004E3E02" w:rsidRDefault="003C227D" w:rsidP="00325CE9">
            <w:pPr>
              <w:spacing w:line="300" w:lineRule="atLeast"/>
              <w:jc w:val="center"/>
              <w:rPr>
                <w:rFonts w:ascii="Arial" w:hAnsi="Arial" w:cs="Arial"/>
                <w:sz w:val="16"/>
                <w:szCs w:val="16"/>
              </w:rPr>
            </w:pPr>
            <w:r>
              <w:rPr>
                <w:rFonts w:ascii="Arial" w:hAnsi="Arial" w:cs="Arial"/>
                <w:sz w:val="16"/>
                <w:szCs w:val="16"/>
              </w:rPr>
              <w:t>0.47</w:t>
            </w:r>
          </w:p>
        </w:tc>
        <w:tc>
          <w:tcPr>
            <w:tcW w:w="1757" w:type="dxa"/>
            <w:vAlign w:val="center"/>
          </w:tcPr>
          <w:p w14:paraId="4AE1B8AE" w14:textId="77777777" w:rsidR="003C227D" w:rsidRPr="004E3E02" w:rsidRDefault="003C227D" w:rsidP="00325CE9">
            <w:pPr>
              <w:spacing w:line="300" w:lineRule="atLeast"/>
              <w:jc w:val="center"/>
              <w:rPr>
                <w:rFonts w:ascii="Arial" w:hAnsi="Arial" w:cs="Arial"/>
                <w:sz w:val="16"/>
                <w:szCs w:val="16"/>
              </w:rPr>
            </w:pPr>
            <w:r>
              <w:rPr>
                <w:rFonts w:ascii="Arial" w:hAnsi="Arial" w:cs="Arial"/>
                <w:sz w:val="16"/>
                <w:szCs w:val="16"/>
              </w:rPr>
              <w:t>0.33</w:t>
            </w:r>
          </w:p>
        </w:tc>
        <w:tc>
          <w:tcPr>
            <w:tcW w:w="1923" w:type="dxa"/>
            <w:vAlign w:val="center"/>
          </w:tcPr>
          <w:p w14:paraId="5076B5C4" w14:textId="77777777" w:rsidR="003C227D" w:rsidRPr="004E3E02" w:rsidRDefault="003C227D" w:rsidP="00325CE9">
            <w:pPr>
              <w:spacing w:line="300" w:lineRule="atLeast"/>
              <w:jc w:val="center"/>
              <w:rPr>
                <w:rFonts w:ascii="Arial" w:hAnsi="Arial" w:cs="Arial"/>
                <w:sz w:val="16"/>
                <w:szCs w:val="16"/>
              </w:rPr>
            </w:pPr>
            <w:r>
              <w:rPr>
                <w:rFonts w:ascii="Arial" w:hAnsi="Arial" w:cs="Arial"/>
                <w:sz w:val="16"/>
                <w:szCs w:val="16"/>
              </w:rPr>
              <w:t>-</w:t>
            </w:r>
          </w:p>
        </w:tc>
        <w:tc>
          <w:tcPr>
            <w:tcW w:w="1800" w:type="dxa"/>
            <w:vAlign w:val="center"/>
          </w:tcPr>
          <w:p w14:paraId="7527EFC6" w14:textId="77777777" w:rsidR="003C227D" w:rsidRPr="004E3E02" w:rsidRDefault="003C227D" w:rsidP="00325CE9">
            <w:pPr>
              <w:spacing w:line="300" w:lineRule="atLeast"/>
              <w:jc w:val="center"/>
              <w:rPr>
                <w:rFonts w:ascii="Arial" w:hAnsi="Arial" w:cs="Arial"/>
                <w:sz w:val="16"/>
                <w:szCs w:val="16"/>
              </w:rPr>
            </w:pPr>
            <w:r>
              <w:rPr>
                <w:rFonts w:ascii="Arial" w:hAnsi="Arial" w:cs="Arial"/>
                <w:sz w:val="16"/>
                <w:szCs w:val="16"/>
              </w:rPr>
              <w:t>-</w:t>
            </w:r>
          </w:p>
        </w:tc>
        <w:tc>
          <w:tcPr>
            <w:tcW w:w="1550" w:type="dxa"/>
            <w:vAlign w:val="center"/>
          </w:tcPr>
          <w:p w14:paraId="18267B63" w14:textId="77777777" w:rsidR="003C227D" w:rsidRPr="004E3E02" w:rsidRDefault="003C227D" w:rsidP="00325CE9">
            <w:pPr>
              <w:spacing w:line="300" w:lineRule="atLeast"/>
              <w:jc w:val="center"/>
              <w:rPr>
                <w:rFonts w:ascii="Arial" w:hAnsi="Arial" w:cs="Arial"/>
                <w:sz w:val="16"/>
                <w:szCs w:val="16"/>
              </w:rPr>
            </w:pPr>
            <w:r>
              <w:rPr>
                <w:rFonts w:ascii="Arial" w:hAnsi="Arial" w:cs="Arial"/>
                <w:sz w:val="16"/>
                <w:szCs w:val="16"/>
              </w:rPr>
              <w:t>0.14</w:t>
            </w:r>
          </w:p>
        </w:tc>
        <w:tc>
          <w:tcPr>
            <w:tcW w:w="1758" w:type="dxa"/>
            <w:vAlign w:val="center"/>
          </w:tcPr>
          <w:p w14:paraId="17585391"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r>
      <w:tr w:rsidR="005B39DB" w:rsidRPr="007901FE" w14:paraId="151F2007" w14:textId="77777777" w:rsidTr="00325CE9">
        <w:tc>
          <w:tcPr>
            <w:tcW w:w="3261" w:type="dxa"/>
            <w:vAlign w:val="center"/>
          </w:tcPr>
          <w:p w14:paraId="0CA50705" w14:textId="77777777" w:rsidR="005B39DB" w:rsidRPr="004E3E02" w:rsidRDefault="005B39DB" w:rsidP="005B39DB">
            <w:pPr>
              <w:spacing w:before="50" w:after="60" w:line="240" w:lineRule="atLeast"/>
              <w:rPr>
                <w:rFonts w:ascii="Arial" w:hAnsi="Arial" w:cs="Arial"/>
                <w:sz w:val="16"/>
                <w:szCs w:val="16"/>
              </w:rPr>
            </w:pPr>
            <w:r>
              <w:rPr>
                <w:rFonts w:ascii="Arial" w:hAnsi="Arial" w:cs="Arial"/>
                <w:sz w:val="16"/>
                <w:szCs w:val="16"/>
              </w:rPr>
              <w:t>Lime production</w:t>
            </w:r>
          </w:p>
        </w:tc>
        <w:tc>
          <w:tcPr>
            <w:tcW w:w="2126" w:type="dxa"/>
            <w:vAlign w:val="center"/>
          </w:tcPr>
          <w:p w14:paraId="320B0736" w14:textId="7CF09F32" w:rsidR="005B39DB" w:rsidRDefault="005B39DB" w:rsidP="005B39DB">
            <w:pPr>
              <w:spacing w:line="300" w:lineRule="atLeast"/>
              <w:jc w:val="center"/>
              <w:rPr>
                <w:rFonts w:ascii="Arial" w:hAnsi="Arial" w:cs="Arial"/>
                <w:sz w:val="16"/>
                <w:szCs w:val="16"/>
              </w:rPr>
            </w:pPr>
            <w:r>
              <w:rPr>
                <w:rFonts w:ascii="Arial" w:hAnsi="Arial" w:cs="Arial"/>
                <w:sz w:val="16"/>
                <w:szCs w:val="16"/>
              </w:rPr>
              <w:t>1.23 – 4.91 (3.07)</w:t>
            </w:r>
          </w:p>
        </w:tc>
        <w:tc>
          <w:tcPr>
            <w:tcW w:w="1757" w:type="dxa"/>
            <w:vAlign w:val="center"/>
          </w:tcPr>
          <w:p w14:paraId="6C206587" w14:textId="36184C4F" w:rsidR="005B39DB" w:rsidRDefault="005B39DB" w:rsidP="005B39DB">
            <w:pPr>
              <w:spacing w:line="300" w:lineRule="atLeast"/>
              <w:jc w:val="center"/>
              <w:rPr>
                <w:rFonts w:ascii="Arial" w:hAnsi="Arial" w:cs="Arial"/>
                <w:sz w:val="16"/>
                <w:szCs w:val="16"/>
              </w:rPr>
            </w:pPr>
            <w:r>
              <w:rPr>
                <w:rFonts w:ascii="Arial" w:hAnsi="Arial" w:cs="Arial"/>
                <w:sz w:val="16"/>
                <w:szCs w:val="16"/>
              </w:rPr>
              <w:t>0.86 – 3.44 (2.15)</w:t>
            </w:r>
          </w:p>
        </w:tc>
        <w:tc>
          <w:tcPr>
            <w:tcW w:w="1923" w:type="dxa"/>
            <w:vAlign w:val="center"/>
          </w:tcPr>
          <w:p w14:paraId="31E3CDC0" w14:textId="50F493DB" w:rsidR="005B39DB" w:rsidRPr="004E3E02" w:rsidRDefault="005B39DB" w:rsidP="005B39DB">
            <w:pPr>
              <w:spacing w:before="50" w:after="60" w:line="240" w:lineRule="atLeast"/>
              <w:jc w:val="center"/>
              <w:rPr>
                <w:rFonts w:ascii="Arial" w:hAnsi="Arial" w:cs="Arial"/>
                <w:sz w:val="16"/>
                <w:szCs w:val="16"/>
              </w:rPr>
            </w:pPr>
            <w:r>
              <w:rPr>
                <w:rFonts w:ascii="Arial" w:hAnsi="Arial" w:cs="Arial"/>
                <w:sz w:val="16"/>
                <w:szCs w:val="16"/>
              </w:rPr>
              <w:t>-</w:t>
            </w:r>
          </w:p>
        </w:tc>
        <w:tc>
          <w:tcPr>
            <w:tcW w:w="1800" w:type="dxa"/>
            <w:vAlign w:val="center"/>
          </w:tcPr>
          <w:p w14:paraId="0B591333" w14:textId="0E1CB651" w:rsidR="005B39DB" w:rsidRPr="004E3E02" w:rsidRDefault="005B39DB" w:rsidP="005B39DB">
            <w:pPr>
              <w:spacing w:before="50" w:after="60" w:line="240" w:lineRule="atLeast"/>
              <w:jc w:val="center"/>
              <w:rPr>
                <w:rFonts w:ascii="Arial" w:hAnsi="Arial" w:cs="Arial"/>
                <w:sz w:val="16"/>
                <w:szCs w:val="16"/>
              </w:rPr>
            </w:pPr>
            <w:r>
              <w:rPr>
                <w:rFonts w:ascii="Arial" w:hAnsi="Arial" w:cs="Arial"/>
                <w:sz w:val="16"/>
                <w:szCs w:val="16"/>
              </w:rPr>
              <w:t>-</w:t>
            </w:r>
          </w:p>
        </w:tc>
        <w:tc>
          <w:tcPr>
            <w:tcW w:w="1550" w:type="dxa"/>
            <w:vAlign w:val="center"/>
          </w:tcPr>
          <w:p w14:paraId="734233D6" w14:textId="5D343203" w:rsidR="005B39DB" w:rsidRPr="004E3E02" w:rsidRDefault="005B39DB" w:rsidP="005B39DB">
            <w:pPr>
              <w:spacing w:before="50" w:after="60" w:line="240" w:lineRule="atLeast"/>
              <w:jc w:val="center"/>
              <w:rPr>
                <w:rFonts w:ascii="Arial" w:hAnsi="Arial" w:cs="Arial"/>
                <w:sz w:val="16"/>
                <w:szCs w:val="16"/>
              </w:rPr>
            </w:pPr>
            <w:r>
              <w:rPr>
                <w:rFonts w:ascii="Arial" w:hAnsi="Arial" w:cs="Arial"/>
                <w:sz w:val="16"/>
                <w:szCs w:val="16"/>
              </w:rPr>
              <w:t>0.37 – 1.47 (0.92)</w:t>
            </w:r>
          </w:p>
        </w:tc>
        <w:tc>
          <w:tcPr>
            <w:tcW w:w="1758" w:type="dxa"/>
            <w:vAlign w:val="center"/>
          </w:tcPr>
          <w:p w14:paraId="4DCB8E4E" w14:textId="7DD55A28" w:rsidR="005B39DB" w:rsidRPr="004E3E02" w:rsidRDefault="005B39DB" w:rsidP="005B39DB">
            <w:pPr>
              <w:spacing w:before="50" w:after="60" w:line="240" w:lineRule="atLeast"/>
              <w:jc w:val="center"/>
              <w:rPr>
                <w:rFonts w:ascii="Arial" w:hAnsi="Arial" w:cs="Arial"/>
                <w:sz w:val="16"/>
                <w:szCs w:val="16"/>
              </w:rPr>
            </w:pPr>
            <w:r>
              <w:rPr>
                <w:rFonts w:ascii="Arial" w:hAnsi="Arial" w:cs="Arial"/>
                <w:sz w:val="16"/>
                <w:szCs w:val="16"/>
              </w:rPr>
              <w:t>-</w:t>
            </w:r>
          </w:p>
        </w:tc>
      </w:tr>
      <w:tr w:rsidR="003C227D" w:rsidRPr="007901FE" w14:paraId="78F0E767" w14:textId="77777777" w:rsidTr="00325CE9">
        <w:tc>
          <w:tcPr>
            <w:tcW w:w="3261" w:type="dxa"/>
            <w:vAlign w:val="center"/>
          </w:tcPr>
          <w:p w14:paraId="661C7047" w14:textId="77777777" w:rsidR="003C227D" w:rsidRPr="004E3E02" w:rsidRDefault="003C227D" w:rsidP="00325CE9">
            <w:pPr>
              <w:spacing w:before="50" w:after="60" w:line="240" w:lineRule="atLeast"/>
              <w:rPr>
                <w:rFonts w:ascii="Arial" w:hAnsi="Arial" w:cs="Arial"/>
                <w:sz w:val="16"/>
                <w:szCs w:val="16"/>
              </w:rPr>
            </w:pPr>
            <w:r>
              <w:rPr>
                <w:rFonts w:ascii="Arial" w:hAnsi="Arial" w:cs="Arial"/>
                <w:sz w:val="16"/>
                <w:szCs w:val="16"/>
              </w:rPr>
              <w:t>Phosphate fertiliser</w:t>
            </w:r>
          </w:p>
        </w:tc>
        <w:tc>
          <w:tcPr>
            <w:tcW w:w="2126" w:type="dxa"/>
            <w:vAlign w:val="center"/>
          </w:tcPr>
          <w:p w14:paraId="6C0C356C" w14:textId="77777777" w:rsidR="003C227D" w:rsidRPr="004E3E02" w:rsidRDefault="003C227D" w:rsidP="00325CE9">
            <w:pPr>
              <w:spacing w:before="50" w:after="60" w:line="240" w:lineRule="atLeast"/>
              <w:jc w:val="center"/>
              <w:rPr>
                <w:rFonts w:ascii="Arial" w:hAnsi="Arial" w:cs="Arial"/>
                <w:sz w:val="16"/>
                <w:szCs w:val="16"/>
              </w:rPr>
            </w:pPr>
            <w:r w:rsidRPr="00796FAD">
              <w:rPr>
                <w:rFonts w:ascii="Arial" w:hAnsi="Arial" w:cs="Arial"/>
                <w:sz w:val="16"/>
                <w:szCs w:val="16"/>
              </w:rPr>
              <w:t>54.8 – 98.6 (76.7)</w:t>
            </w:r>
          </w:p>
        </w:tc>
        <w:tc>
          <w:tcPr>
            <w:tcW w:w="1757" w:type="dxa"/>
            <w:vAlign w:val="center"/>
          </w:tcPr>
          <w:p w14:paraId="2B6A6413"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923" w:type="dxa"/>
            <w:vAlign w:val="center"/>
          </w:tcPr>
          <w:p w14:paraId="2B8DFFD9"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800" w:type="dxa"/>
            <w:vAlign w:val="center"/>
          </w:tcPr>
          <w:p w14:paraId="019D0499" w14:textId="77777777" w:rsidR="003C227D" w:rsidRPr="004E3E02" w:rsidRDefault="003C227D" w:rsidP="00325CE9">
            <w:pPr>
              <w:spacing w:before="50" w:after="60" w:line="240" w:lineRule="atLeast"/>
              <w:jc w:val="center"/>
              <w:rPr>
                <w:rFonts w:ascii="Arial" w:hAnsi="Arial" w:cs="Arial"/>
                <w:sz w:val="16"/>
                <w:szCs w:val="16"/>
              </w:rPr>
            </w:pPr>
            <w:r w:rsidRPr="00796FAD">
              <w:rPr>
                <w:rFonts w:ascii="Arial" w:hAnsi="Arial" w:cs="Arial"/>
                <w:sz w:val="16"/>
                <w:szCs w:val="16"/>
              </w:rPr>
              <w:t>54.8 – 98.6 (76.7)</w:t>
            </w:r>
          </w:p>
        </w:tc>
        <w:tc>
          <w:tcPr>
            <w:tcW w:w="1550" w:type="dxa"/>
            <w:vAlign w:val="center"/>
          </w:tcPr>
          <w:p w14:paraId="7FC6101C"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758" w:type="dxa"/>
            <w:vAlign w:val="center"/>
          </w:tcPr>
          <w:p w14:paraId="6C64FAA8"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r>
      <w:tr w:rsidR="003C227D" w:rsidRPr="007901FE" w14:paraId="5ADD32BA" w14:textId="77777777" w:rsidTr="00325CE9">
        <w:tc>
          <w:tcPr>
            <w:tcW w:w="3261" w:type="dxa"/>
            <w:vAlign w:val="center"/>
          </w:tcPr>
          <w:p w14:paraId="4CEA5BAB" w14:textId="77777777" w:rsidR="003C227D" w:rsidRPr="004E3E02" w:rsidRDefault="003C227D" w:rsidP="00325CE9">
            <w:pPr>
              <w:spacing w:before="50" w:after="60" w:line="240" w:lineRule="atLeast"/>
              <w:rPr>
                <w:rFonts w:ascii="Arial" w:hAnsi="Arial" w:cs="Arial"/>
                <w:sz w:val="16"/>
                <w:szCs w:val="16"/>
              </w:rPr>
            </w:pPr>
            <w:r>
              <w:rPr>
                <w:rFonts w:ascii="Arial" w:hAnsi="Arial" w:cs="Arial"/>
                <w:sz w:val="16"/>
                <w:szCs w:val="16"/>
              </w:rPr>
              <w:t>Agricultural lime application</w:t>
            </w:r>
          </w:p>
        </w:tc>
        <w:tc>
          <w:tcPr>
            <w:tcW w:w="2126" w:type="dxa"/>
            <w:vAlign w:val="center"/>
          </w:tcPr>
          <w:p w14:paraId="55CB95B2"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4.88 – 19.51 (12.20)</w:t>
            </w:r>
          </w:p>
        </w:tc>
        <w:tc>
          <w:tcPr>
            <w:tcW w:w="1757" w:type="dxa"/>
            <w:vAlign w:val="center"/>
          </w:tcPr>
          <w:p w14:paraId="7E3AC10D"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923" w:type="dxa"/>
            <w:vAlign w:val="center"/>
          </w:tcPr>
          <w:p w14:paraId="2F0D0570"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800" w:type="dxa"/>
            <w:vAlign w:val="center"/>
          </w:tcPr>
          <w:p w14:paraId="21965AF4"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4.88 – 19.51 (12.20)</w:t>
            </w:r>
          </w:p>
        </w:tc>
        <w:tc>
          <w:tcPr>
            <w:tcW w:w="1550" w:type="dxa"/>
            <w:vAlign w:val="center"/>
          </w:tcPr>
          <w:p w14:paraId="202BFE23"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758" w:type="dxa"/>
            <w:vAlign w:val="center"/>
          </w:tcPr>
          <w:p w14:paraId="52C140BB"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r>
      <w:tr w:rsidR="003C227D" w:rsidRPr="007901FE" w14:paraId="56FD47FB" w14:textId="77777777" w:rsidTr="00325CE9">
        <w:tc>
          <w:tcPr>
            <w:tcW w:w="3261" w:type="dxa"/>
            <w:vAlign w:val="center"/>
          </w:tcPr>
          <w:p w14:paraId="72EFFFE1" w14:textId="77777777" w:rsidR="003C227D" w:rsidRPr="004901F2" w:rsidRDefault="003C227D" w:rsidP="00325CE9">
            <w:pPr>
              <w:spacing w:before="50" w:after="60" w:line="240" w:lineRule="atLeast"/>
              <w:rPr>
                <w:rFonts w:ascii="Arial" w:hAnsi="Arial" w:cs="Arial"/>
                <w:sz w:val="16"/>
                <w:szCs w:val="16"/>
              </w:rPr>
            </w:pPr>
            <w:r>
              <w:rPr>
                <w:rFonts w:ascii="Arial" w:hAnsi="Arial" w:cs="Arial"/>
                <w:sz w:val="16"/>
                <w:szCs w:val="16"/>
              </w:rPr>
              <w:t>Thermometers with mercury</w:t>
            </w:r>
          </w:p>
        </w:tc>
        <w:tc>
          <w:tcPr>
            <w:tcW w:w="2126" w:type="dxa"/>
            <w:vAlign w:val="center"/>
          </w:tcPr>
          <w:p w14:paraId="7C3853AB"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1.91 – 19.05 (10.5)</w:t>
            </w:r>
          </w:p>
        </w:tc>
        <w:tc>
          <w:tcPr>
            <w:tcW w:w="1757" w:type="dxa"/>
            <w:vAlign w:val="center"/>
          </w:tcPr>
          <w:p w14:paraId="17EECDEB"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0.19 – 1.91 (1.1)</w:t>
            </w:r>
          </w:p>
        </w:tc>
        <w:tc>
          <w:tcPr>
            <w:tcW w:w="1923" w:type="dxa"/>
          </w:tcPr>
          <w:p w14:paraId="3F5E8185"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0.57 – 5.72 (3.1)</w:t>
            </w:r>
          </w:p>
        </w:tc>
        <w:tc>
          <w:tcPr>
            <w:tcW w:w="1800" w:type="dxa"/>
            <w:vAlign w:val="center"/>
          </w:tcPr>
          <w:p w14:paraId="279B9A4B"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550" w:type="dxa"/>
            <w:vAlign w:val="center"/>
          </w:tcPr>
          <w:p w14:paraId="177AF3F5"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758" w:type="dxa"/>
            <w:vAlign w:val="center"/>
          </w:tcPr>
          <w:p w14:paraId="62EDC722"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1.14 – 11.4 (6.3)</w:t>
            </w:r>
          </w:p>
        </w:tc>
      </w:tr>
      <w:tr w:rsidR="003C227D" w:rsidRPr="007901FE" w14:paraId="3B862B68" w14:textId="77777777" w:rsidTr="00325CE9">
        <w:tc>
          <w:tcPr>
            <w:tcW w:w="3261" w:type="dxa"/>
            <w:vAlign w:val="center"/>
          </w:tcPr>
          <w:p w14:paraId="4DBF3FD9" w14:textId="77777777" w:rsidR="003C227D" w:rsidRPr="004901F2" w:rsidRDefault="003C227D" w:rsidP="00325CE9">
            <w:pPr>
              <w:spacing w:before="50" w:after="60" w:line="240" w:lineRule="atLeast"/>
              <w:rPr>
                <w:rFonts w:ascii="Arial" w:hAnsi="Arial" w:cs="Arial"/>
                <w:sz w:val="16"/>
                <w:szCs w:val="16"/>
              </w:rPr>
            </w:pPr>
            <w:r>
              <w:rPr>
                <w:rFonts w:ascii="Arial" w:hAnsi="Arial" w:cs="Arial"/>
                <w:sz w:val="16"/>
                <w:szCs w:val="16"/>
              </w:rPr>
              <w:t xml:space="preserve">Electrical switches, contacts and relays with mercury </w:t>
            </w:r>
          </w:p>
        </w:tc>
        <w:tc>
          <w:tcPr>
            <w:tcW w:w="2126" w:type="dxa"/>
            <w:vAlign w:val="center"/>
          </w:tcPr>
          <w:p w14:paraId="3D01559A" w14:textId="77777777" w:rsidR="003C227D" w:rsidRPr="00851857" w:rsidRDefault="003C227D" w:rsidP="00325CE9">
            <w:pPr>
              <w:spacing w:line="300" w:lineRule="atLeast"/>
              <w:jc w:val="center"/>
              <w:rPr>
                <w:rFonts w:ascii="Arial" w:hAnsi="Arial" w:cs="Arial"/>
                <w:sz w:val="16"/>
                <w:szCs w:val="16"/>
              </w:rPr>
            </w:pPr>
            <w:r>
              <w:rPr>
                <w:rFonts w:ascii="Arial" w:hAnsi="Arial" w:cs="Arial"/>
                <w:sz w:val="16"/>
                <w:szCs w:val="16"/>
              </w:rPr>
              <w:t>9.4 - 94 (51.7)</w:t>
            </w:r>
          </w:p>
        </w:tc>
        <w:tc>
          <w:tcPr>
            <w:tcW w:w="1757" w:type="dxa"/>
            <w:vAlign w:val="center"/>
          </w:tcPr>
          <w:p w14:paraId="773DD2C1" w14:textId="77777777" w:rsidR="003C227D" w:rsidRPr="00851857" w:rsidRDefault="003C227D" w:rsidP="00325CE9">
            <w:pPr>
              <w:spacing w:line="300" w:lineRule="atLeast"/>
              <w:jc w:val="center"/>
              <w:rPr>
                <w:rFonts w:ascii="Arial" w:hAnsi="Arial" w:cs="Arial"/>
                <w:sz w:val="16"/>
                <w:szCs w:val="16"/>
              </w:rPr>
            </w:pPr>
            <w:r w:rsidRPr="00851857">
              <w:rPr>
                <w:rFonts w:ascii="Arial" w:hAnsi="Arial" w:cs="Arial"/>
                <w:sz w:val="16"/>
                <w:szCs w:val="16"/>
              </w:rPr>
              <w:t>0.9</w:t>
            </w:r>
            <w:r>
              <w:rPr>
                <w:rFonts w:ascii="Arial" w:hAnsi="Arial" w:cs="Arial"/>
                <w:sz w:val="16"/>
                <w:szCs w:val="16"/>
              </w:rPr>
              <w:t>4 – 9.4 (5.17)</w:t>
            </w:r>
          </w:p>
        </w:tc>
        <w:tc>
          <w:tcPr>
            <w:tcW w:w="1923" w:type="dxa"/>
            <w:vAlign w:val="center"/>
          </w:tcPr>
          <w:p w14:paraId="19CB1FD7" w14:textId="77777777" w:rsidR="003C227D" w:rsidRPr="00851857"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800" w:type="dxa"/>
            <w:vAlign w:val="center"/>
          </w:tcPr>
          <w:p w14:paraId="209139F9" w14:textId="77777777" w:rsidR="003C227D" w:rsidRPr="00851857" w:rsidRDefault="003C227D" w:rsidP="00325CE9">
            <w:pPr>
              <w:spacing w:before="50" w:after="60" w:line="240" w:lineRule="atLeast"/>
              <w:jc w:val="center"/>
              <w:rPr>
                <w:rFonts w:ascii="Arial" w:hAnsi="Arial" w:cs="Arial"/>
                <w:sz w:val="16"/>
                <w:szCs w:val="16"/>
              </w:rPr>
            </w:pPr>
            <w:r w:rsidRPr="00851857">
              <w:rPr>
                <w:rFonts w:ascii="Arial" w:hAnsi="Arial" w:cs="Arial"/>
                <w:sz w:val="16"/>
                <w:szCs w:val="16"/>
              </w:rPr>
              <w:t>0.9</w:t>
            </w:r>
            <w:r>
              <w:rPr>
                <w:rFonts w:ascii="Arial" w:hAnsi="Arial" w:cs="Arial"/>
                <w:sz w:val="16"/>
                <w:szCs w:val="16"/>
              </w:rPr>
              <w:t>4 – 9.4 (5.17)</w:t>
            </w:r>
          </w:p>
        </w:tc>
        <w:tc>
          <w:tcPr>
            <w:tcW w:w="1550" w:type="dxa"/>
            <w:vAlign w:val="center"/>
          </w:tcPr>
          <w:p w14:paraId="7E69C824" w14:textId="77777777" w:rsidR="003C227D" w:rsidRPr="00851857"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758" w:type="dxa"/>
            <w:vAlign w:val="center"/>
          </w:tcPr>
          <w:p w14:paraId="3B30003E" w14:textId="77777777" w:rsidR="003C227D" w:rsidRPr="00851857" w:rsidRDefault="003C227D" w:rsidP="00325CE9">
            <w:pPr>
              <w:spacing w:before="50" w:after="60" w:line="240" w:lineRule="atLeast"/>
              <w:jc w:val="center"/>
              <w:rPr>
                <w:rFonts w:ascii="Arial" w:hAnsi="Arial" w:cs="Arial"/>
                <w:sz w:val="16"/>
                <w:szCs w:val="16"/>
              </w:rPr>
            </w:pPr>
            <w:r>
              <w:rPr>
                <w:rFonts w:ascii="Arial" w:hAnsi="Arial" w:cs="Arial"/>
                <w:sz w:val="16"/>
                <w:szCs w:val="16"/>
              </w:rPr>
              <w:t>7.5</w:t>
            </w:r>
            <w:r w:rsidRPr="00851857">
              <w:rPr>
                <w:rFonts w:ascii="Arial" w:hAnsi="Arial" w:cs="Arial"/>
                <w:sz w:val="16"/>
                <w:szCs w:val="16"/>
              </w:rPr>
              <w:t xml:space="preserve"> – 7</w:t>
            </w:r>
            <w:r>
              <w:rPr>
                <w:rFonts w:ascii="Arial" w:hAnsi="Arial" w:cs="Arial"/>
                <w:sz w:val="16"/>
                <w:szCs w:val="16"/>
              </w:rPr>
              <w:t>5</w:t>
            </w:r>
            <w:r w:rsidRPr="00851857">
              <w:rPr>
                <w:rFonts w:ascii="Arial" w:hAnsi="Arial" w:cs="Arial"/>
                <w:sz w:val="16"/>
                <w:szCs w:val="16"/>
              </w:rPr>
              <w:t>.</w:t>
            </w:r>
            <w:r>
              <w:rPr>
                <w:rFonts w:ascii="Arial" w:hAnsi="Arial" w:cs="Arial"/>
                <w:sz w:val="16"/>
                <w:szCs w:val="16"/>
              </w:rPr>
              <w:t>2 (41.36)</w:t>
            </w:r>
          </w:p>
        </w:tc>
      </w:tr>
      <w:tr w:rsidR="003C227D" w:rsidRPr="007901FE" w14:paraId="65877BE8" w14:textId="77777777" w:rsidTr="00325CE9">
        <w:tc>
          <w:tcPr>
            <w:tcW w:w="3261" w:type="dxa"/>
            <w:vAlign w:val="center"/>
          </w:tcPr>
          <w:p w14:paraId="253C094D" w14:textId="77777777" w:rsidR="003C227D" w:rsidRPr="004901F2" w:rsidRDefault="003C227D" w:rsidP="00325CE9">
            <w:pPr>
              <w:spacing w:before="50" w:after="60" w:line="240" w:lineRule="atLeast"/>
              <w:rPr>
                <w:rFonts w:ascii="Arial" w:hAnsi="Arial" w:cs="Arial"/>
                <w:sz w:val="16"/>
                <w:szCs w:val="16"/>
              </w:rPr>
            </w:pPr>
            <w:r>
              <w:rPr>
                <w:rFonts w:ascii="Arial" w:hAnsi="Arial" w:cs="Arial"/>
                <w:sz w:val="16"/>
                <w:szCs w:val="16"/>
              </w:rPr>
              <w:t>Light sources - lamps</w:t>
            </w:r>
          </w:p>
        </w:tc>
        <w:tc>
          <w:tcPr>
            <w:tcW w:w="2126" w:type="dxa"/>
            <w:vAlign w:val="center"/>
          </w:tcPr>
          <w:p w14:paraId="0B3DA49F" w14:textId="77777777" w:rsidR="003C227D" w:rsidRPr="002A2A59" w:rsidRDefault="003C227D" w:rsidP="00325CE9">
            <w:pPr>
              <w:spacing w:line="300" w:lineRule="atLeast"/>
              <w:jc w:val="center"/>
              <w:rPr>
                <w:rFonts w:ascii="Arial" w:hAnsi="Arial" w:cs="Arial"/>
                <w:sz w:val="16"/>
                <w:szCs w:val="16"/>
              </w:rPr>
            </w:pPr>
            <w:r>
              <w:rPr>
                <w:rFonts w:ascii="Arial" w:hAnsi="Arial" w:cs="Arial"/>
                <w:sz w:val="16"/>
                <w:szCs w:val="16"/>
              </w:rPr>
              <w:t>8.16 – 26.5 (17.3)</w:t>
            </w:r>
          </w:p>
        </w:tc>
        <w:tc>
          <w:tcPr>
            <w:tcW w:w="1757" w:type="dxa"/>
            <w:vAlign w:val="center"/>
          </w:tcPr>
          <w:p w14:paraId="56E10C7A" w14:textId="77777777" w:rsidR="003C227D" w:rsidRPr="002A2A59" w:rsidRDefault="003C227D" w:rsidP="00325CE9">
            <w:pPr>
              <w:spacing w:line="300" w:lineRule="atLeast"/>
              <w:jc w:val="center"/>
              <w:rPr>
                <w:rFonts w:ascii="Arial" w:hAnsi="Arial" w:cs="Arial"/>
                <w:sz w:val="16"/>
                <w:szCs w:val="16"/>
              </w:rPr>
            </w:pPr>
            <w:r>
              <w:rPr>
                <w:rFonts w:ascii="Arial" w:hAnsi="Arial" w:cs="Arial"/>
                <w:sz w:val="16"/>
                <w:szCs w:val="16"/>
              </w:rPr>
              <w:t>0.41 – 1.33 (0.87)</w:t>
            </w:r>
          </w:p>
        </w:tc>
        <w:tc>
          <w:tcPr>
            <w:tcW w:w="1923" w:type="dxa"/>
            <w:vAlign w:val="center"/>
          </w:tcPr>
          <w:p w14:paraId="12A87E50" w14:textId="77777777" w:rsidR="003C227D" w:rsidRPr="002A2A59" w:rsidRDefault="003C227D" w:rsidP="00325CE9">
            <w:pPr>
              <w:spacing w:line="300" w:lineRule="atLeast"/>
              <w:jc w:val="center"/>
              <w:rPr>
                <w:rFonts w:ascii="Arial" w:hAnsi="Arial" w:cs="Arial"/>
                <w:sz w:val="16"/>
                <w:szCs w:val="16"/>
              </w:rPr>
            </w:pPr>
            <w:r>
              <w:rPr>
                <w:rFonts w:ascii="Arial" w:hAnsi="Arial" w:cs="Arial"/>
                <w:sz w:val="16"/>
                <w:szCs w:val="16"/>
              </w:rPr>
              <w:t>-</w:t>
            </w:r>
          </w:p>
        </w:tc>
        <w:tc>
          <w:tcPr>
            <w:tcW w:w="1800" w:type="dxa"/>
            <w:vAlign w:val="center"/>
          </w:tcPr>
          <w:p w14:paraId="65027C4E" w14:textId="77777777" w:rsidR="003C227D" w:rsidRPr="002A2A59" w:rsidRDefault="003C227D" w:rsidP="00325CE9">
            <w:pPr>
              <w:spacing w:line="300" w:lineRule="atLeast"/>
              <w:jc w:val="center"/>
              <w:rPr>
                <w:rFonts w:ascii="Arial" w:hAnsi="Arial" w:cs="Arial"/>
                <w:sz w:val="16"/>
                <w:szCs w:val="16"/>
              </w:rPr>
            </w:pPr>
            <w:r w:rsidRPr="002A2A59">
              <w:rPr>
                <w:rFonts w:ascii="Arial" w:hAnsi="Arial" w:cs="Arial"/>
                <w:sz w:val="16"/>
                <w:szCs w:val="16"/>
              </w:rPr>
              <w:t>-</w:t>
            </w:r>
          </w:p>
        </w:tc>
        <w:tc>
          <w:tcPr>
            <w:tcW w:w="1550" w:type="dxa"/>
            <w:vAlign w:val="center"/>
          </w:tcPr>
          <w:p w14:paraId="2B67B3D9" w14:textId="77777777" w:rsidR="003C227D" w:rsidRPr="002A2A59" w:rsidRDefault="003C227D" w:rsidP="00325CE9">
            <w:pPr>
              <w:spacing w:line="300" w:lineRule="atLeast"/>
              <w:jc w:val="center"/>
              <w:rPr>
                <w:rFonts w:ascii="Arial" w:hAnsi="Arial" w:cs="Arial"/>
                <w:sz w:val="16"/>
                <w:szCs w:val="16"/>
              </w:rPr>
            </w:pPr>
            <w:r w:rsidRPr="002A2A59">
              <w:rPr>
                <w:rFonts w:ascii="Arial" w:hAnsi="Arial" w:cs="Arial"/>
                <w:sz w:val="16"/>
                <w:szCs w:val="16"/>
              </w:rPr>
              <w:t>-</w:t>
            </w:r>
          </w:p>
        </w:tc>
        <w:tc>
          <w:tcPr>
            <w:tcW w:w="1758" w:type="dxa"/>
            <w:vAlign w:val="center"/>
          </w:tcPr>
          <w:p w14:paraId="446B5ACE" w14:textId="77777777" w:rsidR="003C227D" w:rsidRPr="002A2A59" w:rsidRDefault="003C227D" w:rsidP="00325CE9">
            <w:pPr>
              <w:spacing w:line="300" w:lineRule="atLeast"/>
              <w:jc w:val="center"/>
              <w:rPr>
                <w:rFonts w:ascii="Arial" w:hAnsi="Arial" w:cs="Arial"/>
                <w:sz w:val="16"/>
                <w:szCs w:val="16"/>
              </w:rPr>
            </w:pPr>
            <w:r>
              <w:rPr>
                <w:rFonts w:ascii="Arial" w:hAnsi="Arial" w:cs="Arial"/>
                <w:sz w:val="16"/>
                <w:szCs w:val="16"/>
              </w:rPr>
              <w:t>7.75 – 25.18 (16.47)</w:t>
            </w:r>
          </w:p>
        </w:tc>
      </w:tr>
      <w:tr w:rsidR="003C227D" w:rsidRPr="007901FE" w14:paraId="76D248DF" w14:textId="77777777" w:rsidTr="00325CE9">
        <w:tc>
          <w:tcPr>
            <w:tcW w:w="3261" w:type="dxa"/>
            <w:vAlign w:val="center"/>
          </w:tcPr>
          <w:p w14:paraId="19A962C7" w14:textId="77777777" w:rsidR="003C227D" w:rsidRDefault="003C227D" w:rsidP="00325CE9">
            <w:pPr>
              <w:spacing w:before="50" w:after="60" w:line="240" w:lineRule="atLeast"/>
              <w:rPr>
                <w:rFonts w:ascii="Arial" w:hAnsi="Arial" w:cs="Arial"/>
                <w:sz w:val="16"/>
                <w:szCs w:val="16"/>
              </w:rPr>
            </w:pPr>
            <w:r>
              <w:rPr>
                <w:rFonts w:ascii="Arial" w:hAnsi="Arial" w:cs="Arial"/>
                <w:sz w:val="16"/>
                <w:szCs w:val="16"/>
              </w:rPr>
              <w:t>Light sources - LCDs</w:t>
            </w:r>
          </w:p>
        </w:tc>
        <w:tc>
          <w:tcPr>
            <w:tcW w:w="2126" w:type="dxa"/>
            <w:vAlign w:val="center"/>
          </w:tcPr>
          <w:p w14:paraId="123F2A90" w14:textId="77777777" w:rsidR="003C227D" w:rsidRPr="00F31685" w:rsidRDefault="003C227D" w:rsidP="00325CE9">
            <w:pPr>
              <w:spacing w:before="50" w:after="60" w:line="240" w:lineRule="atLeast"/>
              <w:jc w:val="center"/>
              <w:rPr>
                <w:rFonts w:ascii="Arial" w:hAnsi="Arial" w:cs="Arial"/>
                <w:sz w:val="16"/>
                <w:szCs w:val="16"/>
              </w:rPr>
            </w:pPr>
            <w:r>
              <w:rPr>
                <w:rFonts w:ascii="Arial" w:hAnsi="Arial" w:cs="Arial"/>
                <w:sz w:val="16"/>
                <w:szCs w:val="16"/>
              </w:rPr>
              <w:t>0</w:t>
            </w:r>
          </w:p>
        </w:tc>
        <w:tc>
          <w:tcPr>
            <w:tcW w:w="1757" w:type="dxa"/>
            <w:vAlign w:val="center"/>
          </w:tcPr>
          <w:p w14:paraId="1C50879E" w14:textId="77777777" w:rsidR="003C227D" w:rsidRPr="00F31685"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923" w:type="dxa"/>
            <w:vAlign w:val="center"/>
          </w:tcPr>
          <w:p w14:paraId="586F7FCE" w14:textId="77777777" w:rsidR="003C227D" w:rsidRPr="00F31685"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800" w:type="dxa"/>
            <w:vAlign w:val="center"/>
          </w:tcPr>
          <w:p w14:paraId="4886DFA5"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550" w:type="dxa"/>
            <w:vAlign w:val="center"/>
          </w:tcPr>
          <w:p w14:paraId="793EA6A9"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758" w:type="dxa"/>
            <w:vAlign w:val="center"/>
          </w:tcPr>
          <w:p w14:paraId="738CACE8"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r>
      <w:tr w:rsidR="003C227D" w:rsidRPr="007901FE" w14:paraId="233F95A4" w14:textId="77777777" w:rsidTr="00325CE9">
        <w:tc>
          <w:tcPr>
            <w:tcW w:w="3261" w:type="dxa"/>
            <w:vAlign w:val="center"/>
          </w:tcPr>
          <w:p w14:paraId="7C42984E" w14:textId="77777777" w:rsidR="003C227D" w:rsidRPr="004901F2" w:rsidRDefault="003C227D" w:rsidP="00325CE9">
            <w:pPr>
              <w:spacing w:before="50" w:after="60" w:line="240" w:lineRule="atLeast"/>
              <w:rPr>
                <w:rFonts w:ascii="Arial" w:hAnsi="Arial" w:cs="Arial"/>
                <w:sz w:val="16"/>
                <w:szCs w:val="16"/>
              </w:rPr>
            </w:pPr>
            <w:r>
              <w:rPr>
                <w:rFonts w:ascii="Arial" w:hAnsi="Arial" w:cs="Arial"/>
                <w:sz w:val="16"/>
                <w:szCs w:val="16"/>
              </w:rPr>
              <w:lastRenderedPageBreak/>
              <w:t>Batteries containing mercury</w:t>
            </w:r>
          </w:p>
        </w:tc>
        <w:tc>
          <w:tcPr>
            <w:tcW w:w="2126" w:type="dxa"/>
            <w:vAlign w:val="center"/>
          </w:tcPr>
          <w:p w14:paraId="21D9EDEF"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44.77</w:t>
            </w:r>
          </w:p>
        </w:tc>
        <w:tc>
          <w:tcPr>
            <w:tcW w:w="1757" w:type="dxa"/>
            <w:vAlign w:val="center"/>
          </w:tcPr>
          <w:p w14:paraId="4089BE92"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923" w:type="dxa"/>
            <w:vAlign w:val="center"/>
          </w:tcPr>
          <w:p w14:paraId="7F60AB38"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800" w:type="dxa"/>
            <w:vAlign w:val="center"/>
          </w:tcPr>
          <w:p w14:paraId="3A958EC9"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550" w:type="dxa"/>
            <w:vAlign w:val="center"/>
          </w:tcPr>
          <w:p w14:paraId="16939036"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758" w:type="dxa"/>
            <w:vAlign w:val="center"/>
          </w:tcPr>
          <w:p w14:paraId="36101D44"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44.77</w:t>
            </w:r>
          </w:p>
        </w:tc>
      </w:tr>
      <w:tr w:rsidR="003C227D" w:rsidRPr="007901FE" w14:paraId="648CCCF6" w14:textId="77777777" w:rsidTr="00325CE9">
        <w:tc>
          <w:tcPr>
            <w:tcW w:w="3261" w:type="dxa"/>
            <w:vAlign w:val="center"/>
          </w:tcPr>
          <w:p w14:paraId="595C898C" w14:textId="77777777" w:rsidR="003C227D" w:rsidRPr="00B33B70" w:rsidRDefault="003C227D" w:rsidP="00325CE9">
            <w:pPr>
              <w:spacing w:before="50" w:after="60" w:line="240" w:lineRule="atLeast"/>
              <w:rPr>
                <w:rFonts w:ascii="Arial" w:hAnsi="Arial" w:cs="Arial"/>
                <w:sz w:val="16"/>
                <w:szCs w:val="16"/>
              </w:rPr>
            </w:pPr>
            <w:r w:rsidRPr="00B33B70">
              <w:rPr>
                <w:rFonts w:ascii="Arial" w:hAnsi="Arial" w:cs="Arial"/>
                <w:sz w:val="16"/>
                <w:szCs w:val="16"/>
              </w:rPr>
              <w:t>Polyurethane with mercury catalyst</w:t>
            </w:r>
          </w:p>
        </w:tc>
        <w:tc>
          <w:tcPr>
            <w:tcW w:w="2126" w:type="dxa"/>
            <w:vAlign w:val="center"/>
          </w:tcPr>
          <w:p w14:paraId="4E1598F3" w14:textId="77777777" w:rsidR="003C227D" w:rsidRPr="00B33B70" w:rsidRDefault="003C227D" w:rsidP="00325CE9">
            <w:pPr>
              <w:spacing w:before="50" w:after="60" w:line="240" w:lineRule="atLeast"/>
              <w:jc w:val="center"/>
              <w:rPr>
                <w:rFonts w:ascii="Arial" w:hAnsi="Arial" w:cs="Arial"/>
                <w:sz w:val="16"/>
                <w:szCs w:val="16"/>
              </w:rPr>
            </w:pPr>
            <w:r w:rsidRPr="00B33B70">
              <w:rPr>
                <w:rFonts w:ascii="Arial" w:hAnsi="Arial" w:cs="Arial"/>
                <w:sz w:val="16"/>
                <w:szCs w:val="16"/>
              </w:rPr>
              <w:t>0.2</w:t>
            </w:r>
          </w:p>
        </w:tc>
        <w:tc>
          <w:tcPr>
            <w:tcW w:w="1757" w:type="dxa"/>
            <w:vAlign w:val="center"/>
          </w:tcPr>
          <w:p w14:paraId="2D997AFE" w14:textId="77777777" w:rsidR="003C227D" w:rsidRPr="00B33B70" w:rsidRDefault="003C227D" w:rsidP="00325CE9">
            <w:pPr>
              <w:spacing w:before="50" w:after="60" w:line="240" w:lineRule="atLeast"/>
              <w:jc w:val="center"/>
              <w:rPr>
                <w:rFonts w:ascii="Arial" w:hAnsi="Arial" w:cs="Arial"/>
                <w:sz w:val="16"/>
                <w:szCs w:val="16"/>
              </w:rPr>
            </w:pPr>
            <w:r w:rsidRPr="00B33B70">
              <w:rPr>
                <w:rFonts w:ascii="Arial" w:hAnsi="Arial" w:cs="Arial"/>
                <w:sz w:val="16"/>
                <w:szCs w:val="16"/>
              </w:rPr>
              <w:t>-</w:t>
            </w:r>
          </w:p>
        </w:tc>
        <w:tc>
          <w:tcPr>
            <w:tcW w:w="1923" w:type="dxa"/>
            <w:vAlign w:val="center"/>
          </w:tcPr>
          <w:p w14:paraId="74103E82" w14:textId="77777777" w:rsidR="003C227D" w:rsidRPr="00B33B70" w:rsidRDefault="003C227D" w:rsidP="00325CE9">
            <w:pPr>
              <w:spacing w:before="50" w:after="60" w:line="240" w:lineRule="atLeast"/>
              <w:jc w:val="center"/>
              <w:rPr>
                <w:rFonts w:ascii="Arial" w:hAnsi="Arial" w:cs="Arial"/>
                <w:sz w:val="16"/>
                <w:szCs w:val="16"/>
              </w:rPr>
            </w:pPr>
            <w:r w:rsidRPr="00B33B70">
              <w:rPr>
                <w:rFonts w:ascii="Arial" w:hAnsi="Arial" w:cs="Arial"/>
                <w:sz w:val="16"/>
                <w:szCs w:val="16"/>
              </w:rPr>
              <w:t>-</w:t>
            </w:r>
          </w:p>
        </w:tc>
        <w:tc>
          <w:tcPr>
            <w:tcW w:w="1800" w:type="dxa"/>
            <w:vAlign w:val="center"/>
          </w:tcPr>
          <w:p w14:paraId="2E3AF212" w14:textId="77777777" w:rsidR="003C227D" w:rsidRPr="00B33B70" w:rsidRDefault="003C227D" w:rsidP="00325CE9">
            <w:pPr>
              <w:spacing w:before="50" w:after="60" w:line="240" w:lineRule="atLeast"/>
              <w:jc w:val="center"/>
              <w:rPr>
                <w:rFonts w:ascii="Arial" w:hAnsi="Arial" w:cs="Arial"/>
                <w:sz w:val="16"/>
                <w:szCs w:val="16"/>
              </w:rPr>
            </w:pPr>
            <w:r w:rsidRPr="00B33B70">
              <w:rPr>
                <w:rFonts w:ascii="Arial" w:hAnsi="Arial" w:cs="Arial"/>
                <w:sz w:val="16"/>
                <w:szCs w:val="16"/>
              </w:rPr>
              <w:t>-</w:t>
            </w:r>
          </w:p>
        </w:tc>
        <w:tc>
          <w:tcPr>
            <w:tcW w:w="1550" w:type="dxa"/>
            <w:vAlign w:val="center"/>
          </w:tcPr>
          <w:p w14:paraId="2665654C" w14:textId="77777777" w:rsidR="003C227D" w:rsidRPr="00B33B70" w:rsidRDefault="003C227D" w:rsidP="00325CE9">
            <w:pPr>
              <w:spacing w:before="50" w:after="60" w:line="240" w:lineRule="atLeast"/>
              <w:jc w:val="center"/>
              <w:rPr>
                <w:rFonts w:ascii="Arial" w:hAnsi="Arial" w:cs="Arial"/>
                <w:sz w:val="16"/>
                <w:szCs w:val="16"/>
              </w:rPr>
            </w:pPr>
            <w:r w:rsidRPr="00B33B70">
              <w:rPr>
                <w:rFonts w:ascii="Arial" w:hAnsi="Arial" w:cs="Arial"/>
                <w:sz w:val="16"/>
                <w:szCs w:val="16"/>
              </w:rPr>
              <w:t>0.2</w:t>
            </w:r>
          </w:p>
        </w:tc>
        <w:tc>
          <w:tcPr>
            <w:tcW w:w="1758" w:type="dxa"/>
            <w:vAlign w:val="center"/>
          </w:tcPr>
          <w:p w14:paraId="1AEBD666" w14:textId="77777777" w:rsidR="003C227D" w:rsidRDefault="003C227D" w:rsidP="00325CE9">
            <w:pPr>
              <w:spacing w:before="50" w:after="60" w:line="240" w:lineRule="atLeast"/>
              <w:jc w:val="center"/>
              <w:rPr>
                <w:rFonts w:ascii="Arial" w:hAnsi="Arial" w:cs="Arial"/>
                <w:sz w:val="16"/>
                <w:szCs w:val="16"/>
              </w:rPr>
            </w:pPr>
            <w:r w:rsidRPr="00B33B70">
              <w:rPr>
                <w:rFonts w:ascii="Arial" w:hAnsi="Arial" w:cs="Arial"/>
                <w:sz w:val="16"/>
                <w:szCs w:val="16"/>
              </w:rPr>
              <w:t>-</w:t>
            </w:r>
          </w:p>
        </w:tc>
      </w:tr>
      <w:tr w:rsidR="003C227D" w:rsidRPr="007901FE" w14:paraId="2FBD54F6" w14:textId="77777777" w:rsidTr="00325CE9">
        <w:tc>
          <w:tcPr>
            <w:tcW w:w="3261" w:type="dxa"/>
            <w:vAlign w:val="center"/>
          </w:tcPr>
          <w:p w14:paraId="089FE545" w14:textId="77777777" w:rsidR="003C227D" w:rsidRPr="00B33B70" w:rsidRDefault="003C227D" w:rsidP="00325CE9">
            <w:pPr>
              <w:spacing w:before="50" w:after="60" w:line="240" w:lineRule="atLeast"/>
              <w:rPr>
                <w:rFonts w:ascii="Arial" w:hAnsi="Arial" w:cs="Arial"/>
                <w:sz w:val="16"/>
                <w:szCs w:val="16"/>
              </w:rPr>
            </w:pPr>
            <w:r w:rsidRPr="00B33B70">
              <w:rPr>
                <w:rFonts w:ascii="Arial" w:hAnsi="Arial" w:cs="Arial"/>
                <w:sz w:val="16"/>
                <w:szCs w:val="16"/>
              </w:rPr>
              <w:t>Pharmaceuticals for human and veterinary uses</w:t>
            </w:r>
          </w:p>
        </w:tc>
        <w:tc>
          <w:tcPr>
            <w:tcW w:w="2126" w:type="dxa"/>
            <w:vAlign w:val="center"/>
          </w:tcPr>
          <w:p w14:paraId="792B2AC1" w14:textId="77777777" w:rsidR="003C227D" w:rsidRPr="00B33B70" w:rsidRDefault="003C227D" w:rsidP="00325CE9">
            <w:pPr>
              <w:spacing w:before="50" w:after="60" w:line="240" w:lineRule="atLeast"/>
              <w:jc w:val="center"/>
              <w:rPr>
                <w:rFonts w:ascii="Arial" w:hAnsi="Arial" w:cs="Arial"/>
                <w:sz w:val="16"/>
                <w:szCs w:val="16"/>
              </w:rPr>
            </w:pPr>
            <w:r w:rsidRPr="00B33B70">
              <w:rPr>
                <w:rFonts w:ascii="Arial" w:hAnsi="Arial" w:cs="Arial"/>
                <w:sz w:val="16"/>
                <w:szCs w:val="16"/>
              </w:rPr>
              <w:t>40</w:t>
            </w:r>
          </w:p>
        </w:tc>
        <w:tc>
          <w:tcPr>
            <w:tcW w:w="1757" w:type="dxa"/>
            <w:vAlign w:val="center"/>
          </w:tcPr>
          <w:p w14:paraId="08143224" w14:textId="77777777" w:rsidR="003C227D" w:rsidRPr="00B33B70" w:rsidRDefault="003C227D" w:rsidP="00325CE9">
            <w:pPr>
              <w:spacing w:before="50" w:after="60" w:line="240" w:lineRule="atLeast"/>
              <w:jc w:val="center"/>
              <w:rPr>
                <w:rFonts w:ascii="Arial" w:hAnsi="Arial" w:cs="Arial"/>
                <w:sz w:val="16"/>
                <w:szCs w:val="16"/>
              </w:rPr>
            </w:pPr>
            <w:r w:rsidRPr="00B33B70">
              <w:rPr>
                <w:rFonts w:ascii="Arial" w:hAnsi="Arial" w:cs="Arial"/>
                <w:sz w:val="16"/>
                <w:szCs w:val="16"/>
              </w:rPr>
              <w:t>-</w:t>
            </w:r>
          </w:p>
        </w:tc>
        <w:tc>
          <w:tcPr>
            <w:tcW w:w="1923" w:type="dxa"/>
            <w:vAlign w:val="center"/>
          </w:tcPr>
          <w:p w14:paraId="09D444A8" w14:textId="77777777" w:rsidR="003C227D" w:rsidRPr="00B33B70" w:rsidRDefault="003C227D" w:rsidP="00325CE9">
            <w:pPr>
              <w:spacing w:before="50" w:after="60" w:line="240" w:lineRule="atLeast"/>
              <w:jc w:val="center"/>
              <w:rPr>
                <w:rFonts w:ascii="Arial" w:hAnsi="Arial" w:cs="Arial"/>
                <w:sz w:val="16"/>
                <w:szCs w:val="16"/>
              </w:rPr>
            </w:pPr>
            <w:r w:rsidRPr="00B33B70">
              <w:rPr>
                <w:rFonts w:ascii="Arial" w:hAnsi="Arial" w:cs="Arial"/>
                <w:sz w:val="16"/>
                <w:szCs w:val="16"/>
              </w:rPr>
              <w:t>-</w:t>
            </w:r>
          </w:p>
        </w:tc>
        <w:tc>
          <w:tcPr>
            <w:tcW w:w="1800" w:type="dxa"/>
            <w:vAlign w:val="center"/>
          </w:tcPr>
          <w:p w14:paraId="2F5A8FA3" w14:textId="77777777" w:rsidR="003C227D" w:rsidRPr="00B33B70" w:rsidRDefault="003C227D" w:rsidP="00325CE9">
            <w:pPr>
              <w:spacing w:before="50" w:after="60" w:line="240" w:lineRule="atLeast"/>
              <w:jc w:val="center"/>
              <w:rPr>
                <w:rFonts w:ascii="Arial" w:hAnsi="Arial" w:cs="Arial"/>
                <w:sz w:val="16"/>
                <w:szCs w:val="16"/>
              </w:rPr>
            </w:pPr>
            <w:r w:rsidRPr="00B33B70">
              <w:rPr>
                <w:rFonts w:ascii="Arial" w:hAnsi="Arial" w:cs="Arial"/>
                <w:sz w:val="16"/>
                <w:szCs w:val="16"/>
              </w:rPr>
              <w:t>-</w:t>
            </w:r>
          </w:p>
        </w:tc>
        <w:tc>
          <w:tcPr>
            <w:tcW w:w="1550" w:type="dxa"/>
            <w:vAlign w:val="center"/>
          </w:tcPr>
          <w:p w14:paraId="4045394E" w14:textId="77777777" w:rsidR="003C227D" w:rsidRPr="00B33B70" w:rsidRDefault="003C227D" w:rsidP="00325CE9">
            <w:pPr>
              <w:spacing w:before="50" w:after="60" w:line="240" w:lineRule="atLeast"/>
              <w:jc w:val="center"/>
              <w:rPr>
                <w:rFonts w:ascii="Arial" w:hAnsi="Arial" w:cs="Arial"/>
                <w:sz w:val="16"/>
                <w:szCs w:val="16"/>
              </w:rPr>
            </w:pPr>
            <w:r w:rsidRPr="00B33B70">
              <w:rPr>
                <w:rFonts w:ascii="Arial" w:hAnsi="Arial" w:cs="Arial"/>
                <w:sz w:val="16"/>
                <w:szCs w:val="16"/>
              </w:rPr>
              <w:t>40</w:t>
            </w:r>
          </w:p>
        </w:tc>
        <w:tc>
          <w:tcPr>
            <w:tcW w:w="1758" w:type="dxa"/>
            <w:vAlign w:val="center"/>
          </w:tcPr>
          <w:p w14:paraId="3AB43E0D" w14:textId="77777777" w:rsidR="003C227D" w:rsidRDefault="003C227D" w:rsidP="00325CE9">
            <w:pPr>
              <w:spacing w:before="50" w:after="60" w:line="240" w:lineRule="atLeast"/>
              <w:jc w:val="center"/>
              <w:rPr>
                <w:rFonts w:ascii="Arial" w:hAnsi="Arial" w:cs="Arial"/>
                <w:sz w:val="16"/>
                <w:szCs w:val="16"/>
              </w:rPr>
            </w:pPr>
            <w:r w:rsidRPr="00B33B70">
              <w:rPr>
                <w:rFonts w:ascii="Arial" w:hAnsi="Arial" w:cs="Arial"/>
                <w:sz w:val="16"/>
                <w:szCs w:val="16"/>
              </w:rPr>
              <w:t>-</w:t>
            </w:r>
          </w:p>
        </w:tc>
      </w:tr>
      <w:tr w:rsidR="003C227D" w:rsidRPr="007901FE" w14:paraId="6171EA84" w14:textId="77777777" w:rsidTr="00325CE9">
        <w:tc>
          <w:tcPr>
            <w:tcW w:w="3261" w:type="dxa"/>
            <w:vAlign w:val="center"/>
          </w:tcPr>
          <w:p w14:paraId="0D712BD9" w14:textId="77777777" w:rsidR="003C227D" w:rsidRPr="004901F2" w:rsidRDefault="003C227D" w:rsidP="00325CE9">
            <w:pPr>
              <w:spacing w:before="50" w:after="60" w:line="240" w:lineRule="atLeast"/>
              <w:rPr>
                <w:rFonts w:ascii="Arial" w:hAnsi="Arial" w:cs="Arial"/>
                <w:sz w:val="16"/>
                <w:szCs w:val="16"/>
              </w:rPr>
            </w:pPr>
            <w:r>
              <w:rPr>
                <w:rFonts w:ascii="Arial" w:hAnsi="Arial" w:cs="Arial"/>
                <w:sz w:val="16"/>
                <w:szCs w:val="16"/>
              </w:rPr>
              <w:t>Dental mercury amalgam fillings</w:t>
            </w:r>
          </w:p>
        </w:tc>
        <w:tc>
          <w:tcPr>
            <w:tcW w:w="2126" w:type="dxa"/>
            <w:vAlign w:val="center"/>
          </w:tcPr>
          <w:p w14:paraId="49ABEC70" w14:textId="77777777" w:rsidR="003C227D" w:rsidRPr="000523D4" w:rsidRDefault="003C227D" w:rsidP="00325CE9">
            <w:pPr>
              <w:spacing w:line="300" w:lineRule="atLeast"/>
              <w:jc w:val="center"/>
              <w:rPr>
                <w:rFonts w:ascii="Arial" w:hAnsi="Arial" w:cs="Arial"/>
                <w:sz w:val="16"/>
                <w:szCs w:val="16"/>
              </w:rPr>
            </w:pPr>
            <w:r>
              <w:rPr>
                <w:rFonts w:ascii="Arial" w:hAnsi="Arial" w:cs="Arial"/>
                <w:sz w:val="16"/>
                <w:szCs w:val="16"/>
              </w:rPr>
              <w:t>37.3</w:t>
            </w:r>
          </w:p>
        </w:tc>
        <w:tc>
          <w:tcPr>
            <w:tcW w:w="1757" w:type="dxa"/>
            <w:vAlign w:val="center"/>
          </w:tcPr>
          <w:p w14:paraId="639A5EE6" w14:textId="77777777" w:rsidR="003C227D" w:rsidRPr="000523D4" w:rsidRDefault="003C227D" w:rsidP="00325CE9">
            <w:pPr>
              <w:spacing w:line="300" w:lineRule="atLeast"/>
              <w:jc w:val="center"/>
              <w:rPr>
                <w:rFonts w:ascii="Arial" w:hAnsi="Arial" w:cs="Arial"/>
                <w:sz w:val="16"/>
                <w:szCs w:val="16"/>
              </w:rPr>
            </w:pPr>
            <w:r>
              <w:rPr>
                <w:rFonts w:ascii="Arial" w:hAnsi="Arial" w:cs="Arial"/>
                <w:sz w:val="16"/>
                <w:szCs w:val="16"/>
              </w:rPr>
              <w:t>0.75</w:t>
            </w:r>
          </w:p>
        </w:tc>
        <w:tc>
          <w:tcPr>
            <w:tcW w:w="1923" w:type="dxa"/>
            <w:vAlign w:val="center"/>
          </w:tcPr>
          <w:p w14:paraId="34379212" w14:textId="77777777" w:rsidR="003C227D" w:rsidRPr="000523D4" w:rsidRDefault="003C227D" w:rsidP="00325CE9">
            <w:pPr>
              <w:spacing w:line="300" w:lineRule="atLeast"/>
              <w:jc w:val="center"/>
              <w:rPr>
                <w:rFonts w:ascii="Arial" w:hAnsi="Arial" w:cs="Arial"/>
                <w:sz w:val="16"/>
                <w:szCs w:val="16"/>
              </w:rPr>
            </w:pPr>
            <w:r>
              <w:rPr>
                <w:rFonts w:ascii="Arial" w:hAnsi="Arial" w:cs="Arial"/>
                <w:sz w:val="16"/>
                <w:szCs w:val="16"/>
              </w:rPr>
              <w:t>5.22</w:t>
            </w:r>
          </w:p>
        </w:tc>
        <w:tc>
          <w:tcPr>
            <w:tcW w:w="1800" w:type="dxa"/>
            <w:vAlign w:val="center"/>
          </w:tcPr>
          <w:p w14:paraId="52EB8153" w14:textId="77777777" w:rsidR="003C227D" w:rsidRPr="000523D4" w:rsidRDefault="003C227D" w:rsidP="00325CE9">
            <w:pPr>
              <w:spacing w:line="300" w:lineRule="atLeast"/>
              <w:jc w:val="center"/>
              <w:rPr>
                <w:rFonts w:ascii="Arial" w:hAnsi="Arial" w:cs="Arial"/>
                <w:sz w:val="16"/>
                <w:szCs w:val="16"/>
              </w:rPr>
            </w:pPr>
            <w:r>
              <w:rPr>
                <w:rFonts w:ascii="Arial" w:hAnsi="Arial" w:cs="Arial"/>
                <w:sz w:val="16"/>
                <w:szCs w:val="16"/>
              </w:rPr>
              <w:t>-</w:t>
            </w:r>
          </w:p>
        </w:tc>
        <w:tc>
          <w:tcPr>
            <w:tcW w:w="1550" w:type="dxa"/>
            <w:vAlign w:val="center"/>
          </w:tcPr>
          <w:p w14:paraId="2FCD1D41" w14:textId="77777777" w:rsidR="003C227D" w:rsidRPr="000523D4" w:rsidRDefault="003C227D" w:rsidP="00325CE9">
            <w:pPr>
              <w:spacing w:line="300" w:lineRule="atLeast"/>
              <w:jc w:val="center"/>
              <w:rPr>
                <w:rFonts w:ascii="Arial" w:hAnsi="Arial" w:cs="Arial"/>
                <w:sz w:val="16"/>
                <w:szCs w:val="16"/>
              </w:rPr>
            </w:pPr>
            <w:r>
              <w:rPr>
                <w:rFonts w:ascii="Arial" w:hAnsi="Arial" w:cs="Arial"/>
                <w:sz w:val="16"/>
                <w:szCs w:val="16"/>
              </w:rPr>
              <w:t>22.38</w:t>
            </w:r>
          </w:p>
        </w:tc>
        <w:tc>
          <w:tcPr>
            <w:tcW w:w="1758" w:type="dxa"/>
            <w:vAlign w:val="center"/>
          </w:tcPr>
          <w:p w14:paraId="6AE800C1"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8.95</w:t>
            </w:r>
          </w:p>
        </w:tc>
      </w:tr>
      <w:tr w:rsidR="003C227D" w:rsidRPr="007901FE" w14:paraId="47685B98" w14:textId="77777777" w:rsidTr="00325CE9">
        <w:tc>
          <w:tcPr>
            <w:tcW w:w="3261" w:type="dxa"/>
            <w:vAlign w:val="center"/>
          </w:tcPr>
          <w:p w14:paraId="6A3EB446" w14:textId="77777777" w:rsidR="003C227D" w:rsidRPr="004901F2" w:rsidRDefault="003C227D" w:rsidP="00325CE9">
            <w:pPr>
              <w:spacing w:before="50" w:after="60" w:line="240" w:lineRule="atLeast"/>
              <w:rPr>
                <w:rFonts w:ascii="Arial" w:hAnsi="Arial" w:cs="Arial"/>
                <w:sz w:val="16"/>
                <w:szCs w:val="16"/>
              </w:rPr>
            </w:pPr>
            <w:r>
              <w:rPr>
                <w:rFonts w:ascii="Arial" w:hAnsi="Arial" w:cs="Arial"/>
                <w:sz w:val="16"/>
                <w:szCs w:val="16"/>
              </w:rPr>
              <w:t>Manometers and gauges</w:t>
            </w:r>
          </w:p>
        </w:tc>
        <w:tc>
          <w:tcPr>
            <w:tcW w:w="2126" w:type="dxa"/>
            <w:vAlign w:val="center"/>
          </w:tcPr>
          <w:p w14:paraId="0296D7F8"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1.84</w:t>
            </w:r>
          </w:p>
        </w:tc>
        <w:tc>
          <w:tcPr>
            <w:tcW w:w="1757" w:type="dxa"/>
            <w:vAlign w:val="center"/>
          </w:tcPr>
          <w:p w14:paraId="6FE80634"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923" w:type="dxa"/>
            <w:vAlign w:val="center"/>
          </w:tcPr>
          <w:p w14:paraId="3342F32D"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800" w:type="dxa"/>
            <w:vAlign w:val="center"/>
          </w:tcPr>
          <w:p w14:paraId="2A77E0B0"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550" w:type="dxa"/>
            <w:vAlign w:val="center"/>
          </w:tcPr>
          <w:p w14:paraId="53F38386"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1.84</w:t>
            </w:r>
          </w:p>
        </w:tc>
        <w:tc>
          <w:tcPr>
            <w:tcW w:w="1758" w:type="dxa"/>
            <w:vAlign w:val="center"/>
          </w:tcPr>
          <w:p w14:paraId="40097F60"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r>
      <w:tr w:rsidR="003C227D" w:rsidRPr="007901FE" w14:paraId="09616987" w14:textId="77777777" w:rsidTr="00325CE9">
        <w:tc>
          <w:tcPr>
            <w:tcW w:w="3261" w:type="dxa"/>
            <w:vAlign w:val="center"/>
          </w:tcPr>
          <w:p w14:paraId="098EA845" w14:textId="77777777" w:rsidR="003C227D" w:rsidRPr="004901F2" w:rsidRDefault="003C227D" w:rsidP="00325CE9">
            <w:pPr>
              <w:spacing w:before="50" w:after="60" w:line="240" w:lineRule="atLeast"/>
              <w:rPr>
                <w:rFonts w:ascii="Arial" w:hAnsi="Arial" w:cs="Arial"/>
                <w:sz w:val="16"/>
                <w:szCs w:val="16"/>
              </w:rPr>
            </w:pPr>
            <w:r>
              <w:rPr>
                <w:rFonts w:ascii="Arial" w:hAnsi="Arial" w:cs="Arial"/>
                <w:sz w:val="16"/>
                <w:szCs w:val="16"/>
              </w:rPr>
              <w:t>Laboratory chemicals and equipment</w:t>
            </w:r>
          </w:p>
        </w:tc>
        <w:tc>
          <w:tcPr>
            <w:tcW w:w="2126" w:type="dxa"/>
            <w:vAlign w:val="center"/>
          </w:tcPr>
          <w:p w14:paraId="40DA0E92" w14:textId="77777777" w:rsidR="003C227D" w:rsidRDefault="003C227D" w:rsidP="00325CE9">
            <w:pPr>
              <w:spacing w:line="300" w:lineRule="atLeast"/>
              <w:jc w:val="center"/>
              <w:rPr>
                <w:rFonts w:ascii="Arial" w:hAnsi="Arial" w:cs="Arial"/>
                <w:sz w:val="16"/>
                <w:szCs w:val="16"/>
              </w:rPr>
            </w:pPr>
            <w:r>
              <w:rPr>
                <w:rFonts w:ascii="Arial" w:hAnsi="Arial" w:cs="Arial"/>
                <w:sz w:val="16"/>
                <w:szCs w:val="16"/>
              </w:rPr>
              <w:t>4.77</w:t>
            </w:r>
          </w:p>
        </w:tc>
        <w:tc>
          <w:tcPr>
            <w:tcW w:w="1757" w:type="dxa"/>
            <w:vAlign w:val="center"/>
          </w:tcPr>
          <w:p w14:paraId="086DD707" w14:textId="77777777" w:rsidR="003C227D" w:rsidRDefault="003C227D" w:rsidP="00325CE9">
            <w:pPr>
              <w:spacing w:line="300" w:lineRule="atLeast"/>
              <w:jc w:val="center"/>
              <w:rPr>
                <w:rFonts w:ascii="Arial" w:hAnsi="Arial" w:cs="Arial"/>
                <w:sz w:val="16"/>
                <w:szCs w:val="16"/>
              </w:rPr>
            </w:pPr>
            <w:r>
              <w:rPr>
                <w:rFonts w:ascii="Arial" w:hAnsi="Arial" w:cs="Arial"/>
                <w:sz w:val="16"/>
                <w:szCs w:val="16"/>
              </w:rPr>
              <w:t>0.24</w:t>
            </w:r>
          </w:p>
        </w:tc>
        <w:tc>
          <w:tcPr>
            <w:tcW w:w="1923" w:type="dxa"/>
          </w:tcPr>
          <w:p w14:paraId="78DECECD" w14:textId="77777777" w:rsidR="003C227D" w:rsidRDefault="003C227D" w:rsidP="00325CE9">
            <w:pPr>
              <w:spacing w:line="300" w:lineRule="atLeast"/>
              <w:jc w:val="center"/>
              <w:rPr>
                <w:rFonts w:ascii="Arial" w:hAnsi="Arial" w:cs="Arial"/>
                <w:sz w:val="16"/>
                <w:szCs w:val="16"/>
              </w:rPr>
            </w:pPr>
            <w:r>
              <w:rPr>
                <w:rFonts w:ascii="Arial" w:hAnsi="Arial" w:cs="Arial"/>
                <w:sz w:val="16"/>
                <w:szCs w:val="16"/>
              </w:rPr>
              <w:t>0.48</w:t>
            </w:r>
          </w:p>
        </w:tc>
        <w:tc>
          <w:tcPr>
            <w:tcW w:w="1800" w:type="dxa"/>
            <w:vAlign w:val="center"/>
          </w:tcPr>
          <w:p w14:paraId="16B09592" w14:textId="77777777" w:rsidR="003C227D" w:rsidRDefault="003C227D" w:rsidP="00325CE9">
            <w:pPr>
              <w:spacing w:line="300" w:lineRule="atLeast"/>
              <w:jc w:val="center"/>
              <w:rPr>
                <w:rFonts w:ascii="Arial" w:hAnsi="Arial" w:cs="Arial"/>
                <w:sz w:val="16"/>
                <w:szCs w:val="16"/>
              </w:rPr>
            </w:pPr>
            <w:r>
              <w:rPr>
                <w:rFonts w:ascii="Arial" w:hAnsi="Arial" w:cs="Arial"/>
                <w:sz w:val="16"/>
                <w:szCs w:val="16"/>
              </w:rPr>
              <w:t>-</w:t>
            </w:r>
          </w:p>
        </w:tc>
        <w:tc>
          <w:tcPr>
            <w:tcW w:w="1550" w:type="dxa"/>
            <w:vAlign w:val="center"/>
          </w:tcPr>
          <w:p w14:paraId="0F66C8B3" w14:textId="77777777" w:rsidR="003C227D" w:rsidRPr="001D7794"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758" w:type="dxa"/>
            <w:vAlign w:val="center"/>
          </w:tcPr>
          <w:p w14:paraId="752E3984" w14:textId="77777777" w:rsidR="003C227D" w:rsidRPr="001D7794" w:rsidRDefault="003C227D" w:rsidP="00325CE9">
            <w:pPr>
              <w:spacing w:before="50" w:after="60" w:line="240" w:lineRule="atLeast"/>
              <w:jc w:val="center"/>
              <w:rPr>
                <w:rFonts w:ascii="Arial" w:hAnsi="Arial" w:cs="Arial"/>
                <w:sz w:val="16"/>
                <w:szCs w:val="16"/>
              </w:rPr>
            </w:pPr>
            <w:r>
              <w:rPr>
                <w:rFonts w:ascii="Arial" w:hAnsi="Arial" w:cs="Arial"/>
                <w:sz w:val="16"/>
                <w:szCs w:val="16"/>
              </w:rPr>
              <w:t>4.05</w:t>
            </w:r>
          </w:p>
        </w:tc>
      </w:tr>
      <w:tr w:rsidR="003C227D" w:rsidRPr="007901FE" w14:paraId="53798FD7" w14:textId="77777777" w:rsidTr="00325CE9">
        <w:tc>
          <w:tcPr>
            <w:tcW w:w="3261" w:type="dxa"/>
            <w:vAlign w:val="center"/>
          </w:tcPr>
          <w:p w14:paraId="791A1B29" w14:textId="77777777" w:rsidR="003C227D" w:rsidRPr="00B33B70" w:rsidRDefault="003C227D" w:rsidP="00325CE9">
            <w:pPr>
              <w:spacing w:before="50" w:after="60" w:line="240" w:lineRule="atLeast"/>
              <w:rPr>
                <w:rFonts w:ascii="Arial" w:hAnsi="Arial" w:cs="Arial"/>
                <w:sz w:val="16"/>
                <w:szCs w:val="16"/>
              </w:rPr>
            </w:pPr>
            <w:r w:rsidRPr="00B33B70">
              <w:rPr>
                <w:rFonts w:ascii="Arial" w:hAnsi="Arial" w:cs="Arial"/>
                <w:sz w:val="16"/>
                <w:szCs w:val="16"/>
              </w:rPr>
              <w:t>Recycled mercury</w:t>
            </w:r>
          </w:p>
        </w:tc>
        <w:tc>
          <w:tcPr>
            <w:tcW w:w="2126" w:type="dxa"/>
            <w:vAlign w:val="center"/>
          </w:tcPr>
          <w:p w14:paraId="7990D9CB" w14:textId="77777777" w:rsidR="003C227D" w:rsidRPr="00B33B70" w:rsidRDefault="003C227D" w:rsidP="00325CE9">
            <w:pPr>
              <w:spacing w:before="50" w:after="60" w:line="240" w:lineRule="atLeast"/>
              <w:jc w:val="center"/>
              <w:rPr>
                <w:rFonts w:ascii="Arial" w:hAnsi="Arial" w:cs="Arial"/>
                <w:sz w:val="16"/>
                <w:szCs w:val="16"/>
              </w:rPr>
            </w:pPr>
            <w:r>
              <w:rPr>
                <w:rFonts w:ascii="Arial" w:hAnsi="Arial" w:cs="Arial"/>
                <w:sz w:val="16"/>
                <w:szCs w:val="16"/>
              </w:rPr>
              <w:t>20</w:t>
            </w:r>
          </w:p>
        </w:tc>
        <w:tc>
          <w:tcPr>
            <w:tcW w:w="1757" w:type="dxa"/>
            <w:vAlign w:val="center"/>
          </w:tcPr>
          <w:p w14:paraId="45004226" w14:textId="77777777" w:rsidR="003C227D" w:rsidRPr="00B33B70" w:rsidRDefault="003C227D" w:rsidP="00325CE9">
            <w:pPr>
              <w:spacing w:before="50" w:after="60" w:line="240" w:lineRule="atLeast"/>
              <w:jc w:val="center"/>
              <w:rPr>
                <w:rFonts w:ascii="Arial" w:hAnsi="Arial" w:cs="Arial"/>
                <w:sz w:val="16"/>
                <w:szCs w:val="16"/>
              </w:rPr>
            </w:pPr>
            <w:r w:rsidRPr="00B33B70">
              <w:rPr>
                <w:rFonts w:ascii="Arial" w:hAnsi="Arial" w:cs="Arial"/>
                <w:sz w:val="16"/>
                <w:szCs w:val="16"/>
              </w:rPr>
              <w:t>-</w:t>
            </w:r>
          </w:p>
        </w:tc>
        <w:tc>
          <w:tcPr>
            <w:tcW w:w="1923" w:type="dxa"/>
            <w:vAlign w:val="center"/>
          </w:tcPr>
          <w:p w14:paraId="35F679F5" w14:textId="77777777" w:rsidR="003C227D" w:rsidRPr="00B33B70" w:rsidRDefault="003C227D" w:rsidP="00325CE9">
            <w:pPr>
              <w:spacing w:before="50" w:after="60" w:line="240" w:lineRule="atLeast"/>
              <w:jc w:val="center"/>
              <w:rPr>
                <w:rFonts w:ascii="Arial" w:hAnsi="Arial" w:cs="Arial"/>
                <w:sz w:val="16"/>
                <w:szCs w:val="16"/>
              </w:rPr>
            </w:pPr>
            <w:r w:rsidRPr="00B33B70">
              <w:rPr>
                <w:rFonts w:ascii="Arial" w:hAnsi="Arial" w:cs="Arial"/>
                <w:sz w:val="16"/>
                <w:szCs w:val="16"/>
              </w:rPr>
              <w:t>-</w:t>
            </w:r>
          </w:p>
        </w:tc>
        <w:tc>
          <w:tcPr>
            <w:tcW w:w="1800" w:type="dxa"/>
            <w:vAlign w:val="center"/>
          </w:tcPr>
          <w:p w14:paraId="4BB170CA" w14:textId="77777777" w:rsidR="003C227D" w:rsidRPr="00B33B70" w:rsidRDefault="003C227D" w:rsidP="00325CE9">
            <w:pPr>
              <w:spacing w:before="50" w:after="60" w:line="240" w:lineRule="atLeast"/>
              <w:jc w:val="center"/>
              <w:rPr>
                <w:rFonts w:ascii="Arial" w:hAnsi="Arial" w:cs="Arial"/>
                <w:sz w:val="16"/>
                <w:szCs w:val="16"/>
              </w:rPr>
            </w:pPr>
            <w:r w:rsidRPr="00B33B70">
              <w:rPr>
                <w:rFonts w:ascii="Arial" w:hAnsi="Arial" w:cs="Arial"/>
                <w:sz w:val="16"/>
                <w:szCs w:val="16"/>
              </w:rPr>
              <w:t>-</w:t>
            </w:r>
          </w:p>
        </w:tc>
        <w:tc>
          <w:tcPr>
            <w:tcW w:w="1550" w:type="dxa"/>
            <w:vAlign w:val="center"/>
          </w:tcPr>
          <w:p w14:paraId="7140C57A" w14:textId="77777777" w:rsidR="003C227D" w:rsidRPr="00B33B70" w:rsidRDefault="003C227D" w:rsidP="00325CE9">
            <w:pPr>
              <w:spacing w:before="50" w:after="60" w:line="240" w:lineRule="atLeast"/>
              <w:jc w:val="center"/>
              <w:rPr>
                <w:rFonts w:ascii="Arial" w:hAnsi="Arial" w:cs="Arial"/>
                <w:sz w:val="16"/>
                <w:szCs w:val="16"/>
              </w:rPr>
            </w:pPr>
            <w:r>
              <w:rPr>
                <w:rFonts w:ascii="Arial" w:hAnsi="Arial" w:cs="Arial"/>
                <w:sz w:val="16"/>
                <w:szCs w:val="16"/>
              </w:rPr>
              <w:t>20</w:t>
            </w:r>
          </w:p>
        </w:tc>
        <w:tc>
          <w:tcPr>
            <w:tcW w:w="1758" w:type="dxa"/>
            <w:vAlign w:val="center"/>
          </w:tcPr>
          <w:p w14:paraId="5CE4E031" w14:textId="77777777" w:rsidR="003C227D" w:rsidRPr="004E3E02" w:rsidRDefault="003C227D" w:rsidP="00325CE9">
            <w:pPr>
              <w:spacing w:before="50" w:after="60" w:line="240" w:lineRule="atLeast"/>
              <w:jc w:val="center"/>
              <w:rPr>
                <w:rFonts w:ascii="Arial" w:hAnsi="Arial" w:cs="Arial"/>
                <w:sz w:val="16"/>
                <w:szCs w:val="16"/>
              </w:rPr>
            </w:pPr>
            <w:r w:rsidRPr="00B33B70">
              <w:rPr>
                <w:rFonts w:ascii="Arial" w:hAnsi="Arial" w:cs="Arial"/>
                <w:sz w:val="16"/>
                <w:szCs w:val="16"/>
              </w:rPr>
              <w:t>-</w:t>
            </w:r>
          </w:p>
        </w:tc>
      </w:tr>
      <w:tr w:rsidR="003C227D" w:rsidRPr="007901FE" w14:paraId="6C5CDE5D" w14:textId="77777777" w:rsidTr="00325CE9">
        <w:tc>
          <w:tcPr>
            <w:tcW w:w="3261" w:type="dxa"/>
            <w:vAlign w:val="center"/>
          </w:tcPr>
          <w:p w14:paraId="7990155A" w14:textId="77777777" w:rsidR="003C227D" w:rsidRPr="004901F2" w:rsidRDefault="003C227D" w:rsidP="00325CE9">
            <w:pPr>
              <w:spacing w:before="50" w:after="60" w:line="240" w:lineRule="atLeast"/>
              <w:rPr>
                <w:rFonts w:ascii="Arial" w:hAnsi="Arial" w:cs="Arial"/>
                <w:sz w:val="16"/>
                <w:szCs w:val="16"/>
              </w:rPr>
            </w:pPr>
            <w:r>
              <w:rPr>
                <w:rFonts w:ascii="Arial" w:hAnsi="Arial" w:cs="Arial"/>
                <w:sz w:val="16"/>
                <w:szCs w:val="16"/>
              </w:rPr>
              <w:t>Secondary ferrous metals (iron and steel)</w:t>
            </w:r>
          </w:p>
        </w:tc>
        <w:tc>
          <w:tcPr>
            <w:tcW w:w="2126" w:type="dxa"/>
            <w:vAlign w:val="center"/>
          </w:tcPr>
          <w:p w14:paraId="27900D44"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0</w:t>
            </w:r>
          </w:p>
        </w:tc>
        <w:tc>
          <w:tcPr>
            <w:tcW w:w="1757" w:type="dxa"/>
            <w:vAlign w:val="center"/>
          </w:tcPr>
          <w:p w14:paraId="5C59AF03"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0</w:t>
            </w:r>
          </w:p>
        </w:tc>
        <w:tc>
          <w:tcPr>
            <w:tcW w:w="1923" w:type="dxa"/>
            <w:vAlign w:val="center"/>
          </w:tcPr>
          <w:p w14:paraId="779BE09A"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800" w:type="dxa"/>
            <w:vAlign w:val="center"/>
          </w:tcPr>
          <w:p w14:paraId="32045DF8"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550" w:type="dxa"/>
            <w:vAlign w:val="center"/>
          </w:tcPr>
          <w:p w14:paraId="6C95CDD4"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758" w:type="dxa"/>
            <w:vAlign w:val="center"/>
          </w:tcPr>
          <w:p w14:paraId="4A063CF2"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0</w:t>
            </w:r>
          </w:p>
        </w:tc>
      </w:tr>
      <w:tr w:rsidR="003C227D" w:rsidRPr="007901FE" w14:paraId="1BCEADFF" w14:textId="77777777" w:rsidTr="00325CE9">
        <w:tc>
          <w:tcPr>
            <w:tcW w:w="3261" w:type="dxa"/>
            <w:vAlign w:val="center"/>
          </w:tcPr>
          <w:p w14:paraId="41CB7671" w14:textId="77777777" w:rsidR="003C227D" w:rsidRPr="004901F2" w:rsidRDefault="003C227D" w:rsidP="00325CE9">
            <w:pPr>
              <w:spacing w:before="50" w:after="60" w:line="240" w:lineRule="atLeast"/>
              <w:rPr>
                <w:rFonts w:ascii="Arial" w:hAnsi="Arial" w:cs="Arial"/>
                <w:sz w:val="16"/>
                <w:szCs w:val="16"/>
              </w:rPr>
            </w:pPr>
            <w:r>
              <w:rPr>
                <w:rFonts w:ascii="Arial" w:hAnsi="Arial" w:cs="Arial"/>
                <w:sz w:val="16"/>
                <w:szCs w:val="16"/>
              </w:rPr>
              <w:t>Hazardous waste incineration</w:t>
            </w:r>
          </w:p>
        </w:tc>
        <w:tc>
          <w:tcPr>
            <w:tcW w:w="2126" w:type="dxa"/>
            <w:vAlign w:val="center"/>
          </w:tcPr>
          <w:p w14:paraId="358BB32E" w14:textId="77777777" w:rsidR="003C227D" w:rsidRPr="004E3E02" w:rsidRDefault="003C227D" w:rsidP="00325CE9">
            <w:pPr>
              <w:spacing w:line="300" w:lineRule="atLeast"/>
              <w:jc w:val="center"/>
              <w:rPr>
                <w:rFonts w:ascii="Arial" w:hAnsi="Arial" w:cs="Arial"/>
                <w:sz w:val="16"/>
                <w:szCs w:val="16"/>
              </w:rPr>
            </w:pPr>
            <w:r>
              <w:rPr>
                <w:rFonts w:ascii="Arial" w:hAnsi="Arial" w:cs="Arial"/>
                <w:sz w:val="16"/>
                <w:szCs w:val="16"/>
              </w:rPr>
              <w:t>0.0098</w:t>
            </w:r>
          </w:p>
        </w:tc>
        <w:tc>
          <w:tcPr>
            <w:tcW w:w="1757" w:type="dxa"/>
            <w:vAlign w:val="center"/>
          </w:tcPr>
          <w:p w14:paraId="4B65B54A" w14:textId="77777777" w:rsidR="003C227D" w:rsidRPr="004E3E02" w:rsidRDefault="003C227D" w:rsidP="00325CE9">
            <w:pPr>
              <w:spacing w:line="300" w:lineRule="atLeast"/>
              <w:jc w:val="center"/>
              <w:rPr>
                <w:rFonts w:ascii="Arial" w:hAnsi="Arial" w:cs="Arial"/>
                <w:sz w:val="16"/>
                <w:szCs w:val="16"/>
              </w:rPr>
            </w:pPr>
            <w:r>
              <w:rPr>
                <w:rFonts w:ascii="Arial" w:hAnsi="Arial" w:cs="Arial"/>
                <w:sz w:val="16"/>
                <w:szCs w:val="16"/>
              </w:rPr>
              <w:t>0.0098</w:t>
            </w:r>
          </w:p>
        </w:tc>
        <w:tc>
          <w:tcPr>
            <w:tcW w:w="1923" w:type="dxa"/>
            <w:vAlign w:val="center"/>
          </w:tcPr>
          <w:p w14:paraId="17E8BFF6"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800" w:type="dxa"/>
            <w:vAlign w:val="center"/>
          </w:tcPr>
          <w:p w14:paraId="5718FF4E"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550" w:type="dxa"/>
            <w:vAlign w:val="center"/>
          </w:tcPr>
          <w:p w14:paraId="7507435A"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758" w:type="dxa"/>
            <w:vAlign w:val="center"/>
          </w:tcPr>
          <w:p w14:paraId="32AFC2BD"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r>
      <w:tr w:rsidR="003C227D" w:rsidRPr="007901FE" w14:paraId="2E473EB5" w14:textId="77777777" w:rsidTr="00325CE9">
        <w:tc>
          <w:tcPr>
            <w:tcW w:w="3261" w:type="dxa"/>
            <w:vAlign w:val="center"/>
          </w:tcPr>
          <w:p w14:paraId="62F5C13D" w14:textId="77777777" w:rsidR="003C227D" w:rsidRPr="004901F2" w:rsidRDefault="003C227D" w:rsidP="00325CE9">
            <w:pPr>
              <w:spacing w:before="50" w:after="60" w:line="240" w:lineRule="atLeast"/>
              <w:rPr>
                <w:rFonts w:ascii="Arial" w:hAnsi="Arial" w:cs="Arial"/>
                <w:sz w:val="16"/>
                <w:szCs w:val="16"/>
              </w:rPr>
            </w:pPr>
            <w:r>
              <w:rPr>
                <w:rFonts w:ascii="Arial" w:hAnsi="Arial" w:cs="Arial"/>
                <w:sz w:val="16"/>
                <w:szCs w:val="16"/>
              </w:rPr>
              <w:t>Medical waste incineration</w:t>
            </w:r>
          </w:p>
        </w:tc>
        <w:tc>
          <w:tcPr>
            <w:tcW w:w="2126" w:type="dxa"/>
            <w:vAlign w:val="center"/>
          </w:tcPr>
          <w:p w14:paraId="09032472" w14:textId="77777777" w:rsidR="003C227D" w:rsidRPr="004E3E02" w:rsidRDefault="003C227D" w:rsidP="00325CE9">
            <w:pPr>
              <w:spacing w:line="300" w:lineRule="atLeast"/>
              <w:jc w:val="center"/>
              <w:rPr>
                <w:rFonts w:ascii="Arial" w:hAnsi="Arial" w:cs="Arial"/>
                <w:sz w:val="16"/>
                <w:szCs w:val="16"/>
              </w:rPr>
            </w:pPr>
            <w:r>
              <w:rPr>
                <w:rFonts w:ascii="Arial" w:hAnsi="Arial" w:cs="Arial"/>
                <w:sz w:val="16"/>
                <w:szCs w:val="16"/>
              </w:rPr>
              <w:t>0.62 – 3.12 (1.87)</w:t>
            </w:r>
          </w:p>
        </w:tc>
        <w:tc>
          <w:tcPr>
            <w:tcW w:w="1757" w:type="dxa"/>
            <w:vAlign w:val="center"/>
          </w:tcPr>
          <w:p w14:paraId="5899D060" w14:textId="77777777" w:rsidR="003C227D" w:rsidRPr="004E3E02" w:rsidRDefault="003C227D" w:rsidP="00325CE9">
            <w:pPr>
              <w:spacing w:line="300" w:lineRule="atLeast"/>
              <w:jc w:val="center"/>
              <w:rPr>
                <w:rFonts w:ascii="Arial" w:hAnsi="Arial" w:cs="Arial"/>
                <w:sz w:val="16"/>
                <w:szCs w:val="16"/>
              </w:rPr>
            </w:pPr>
            <w:r>
              <w:rPr>
                <w:rFonts w:ascii="Arial" w:hAnsi="Arial" w:cs="Arial"/>
                <w:sz w:val="16"/>
                <w:szCs w:val="16"/>
              </w:rPr>
              <w:t>1.6 – 8 (4.8)</w:t>
            </w:r>
          </w:p>
        </w:tc>
        <w:tc>
          <w:tcPr>
            <w:tcW w:w="1923" w:type="dxa"/>
            <w:vAlign w:val="center"/>
          </w:tcPr>
          <w:p w14:paraId="1FDBDE1A"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800" w:type="dxa"/>
            <w:vAlign w:val="center"/>
          </w:tcPr>
          <w:p w14:paraId="50E43C26"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550" w:type="dxa"/>
            <w:vAlign w:val="center"/>
          </w:tcPr>
          <w:p w14:paraId="5EE45A31"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758" w:type="dxa"/>
            <w:vAlign w:val="center"/>
          </w:tcPr>
          <w:p w14:paraId="7964E237"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r>
      <w:tr w:rsidR="003C227D" w:rsidRPr="007901FE" w14:paraId="1522E176" w14:textId="77777777" w:rsidTr="00325CE9">
        <w:tc>
          <w:tcPr>
            <w:tcW w:w="3261" w:type="dxa"/>
            <w:vAlign w:val="center"/>
          </w:tcPr>
          <w:p w14:paraId="7E3D80CA" w14:textId="77777777" w:rsidR="003C227D" w:rsidRPr="004901F2" w:rsidRDefault="003C227D" w:rsidP="00325CE9">
            <w:pPr>
              <w:spacing w:before="50" w:after="60" w:line="240" w:lineRule="atLeast"/>
              <w:rPr>
                <w:rFonts w:ascii="Arial" w:hAnsi="Arial" w:cs="Arial"/>
                <w:sz w:val="16"/>
                <w:szCs w:val="16"/>
              </w:rPr>
            </w:pPr>
            <w:r>
              <w:rPr>
                <w:rFonts w:ascii="Arial" w:hAnsi="Arial" w:cs="Arial"/>
                <w:sz w:val="16"/>
                <w:szCs w:val="16"/>
              </w:rPr>
              <w:t>Sewage sludge incineration</w:t>
            </w:r>
          </w:p>
        </w:tc>
        <w:tc>
          <w:tcPr>
            <w:tcW w:w="2126" w:type="dxa"/>
            <w:vAlign w:val="center"/>
          </w:tcPr>
          <w:p w14:paraId="1882B9D3"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0.8</w:t>
            </w:r>
          </w:p>
        </w:tc>
        <w:tc>
          <w:tcPr>
            <w:tcW w:w="1757" w:type="dxa"/>
            <w:vAlign w:val="center"/>
          </w:tcPr>
          <w:p w14:paraId="6A1F919E"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923" w:type="dxa"/>
            <w:vAlign w:val="center"/>
          </w:tcPr>
          <w:p w14:paraId="58223C8E"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800" w:type="dxa"/>
            <w:vAlign w:val="center"/>
          </w:tcPr>
          <w:p w14:paraId="3479EB7A"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550" w:type="dxa"/>
            <w:vAlign w:val="center"/>
          </w:tcPr>
          <w:p w14:paraId="444B83A2"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758" w:type="dxa"/>
            <w:vAlign w:val="center"/>
          </w:tcPr>
          <w:p w14:paraId="2005AF4D"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0.8</w:t>
            </w:r>
          </w:p>
        </w:tc>
      </w:tr>
      <w:tr w:rsidR="003C227D" w:rsidRPr="007901FE" w14:paraId="182BA8DC" w14:textId="77777777" w:rsidTr="00325CE9">
        <w:tc>
          <w:tcPr>
            <w:tcW w:w="3261" w:type="dxa"/>
            <w:vAlign w:val="center"/>
          </w:tcPr>
          <w:p w14:paraId="76302017" w14:textId="77777777" w:rsidR="003C227D" w:rsidRPr="004901F2" w:rsidRDefault="003C227D" w:rsidP="00325CE9">
            <w:pPr>
              <w:spacing w:before="50" w:after="60" w:line="240" w:lineRule="atLeast"/>
              <w:rPr>
                <w:rFonts w:ascii="Arial" w:hAnsi="Arial" w:cs="Arial"/>
                <w:sz w:val="16"/>
                <w:szCs w:val="16"/>
              </w:rPr>
            </w:pPr>
            <w:r>
              <w:rPr>
                <w:rFonts w:ascii="Arial" w:hAnsi="Arial" w:cs="Arial"/>
                <w:sz w:val="16"/>
                <w:szCs w:val="16"/>
              </w:rPr>
              <w:t>Informal waste incineration</w:t>
            </w:r>
          </w:p>
        </w:tc>
        <w:tc>
          <w:tcPr>
            <w:tcW w:w="2126" w:type="dxa"/>
            <w:vAlign w:val="center"/>
          </w:tcPr>
          <w:p w14:paraId="2F4C0359"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18.1 – 180.9 (99.5)</w:t>
            </w:r>
          </w:p>
        </w:tc>
        <w:tc>
          <w:tcPr>
            <w:tcW w:w="1757" w:type="dxa"/>
            <w:vAlign w:val="center"/>
          </w:tcPr>
          <w:p w14:paraId="122943E1"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18.1 – 180.9 (99.5)</w:t>
            </w:r>
          </w:p>
        </w:tc>
        <w:tc>
          <w:tcPr>
            <w:tcW w:w="1923" w:type="dxa"/>
            <w:vAlign w:val="center"/>
          </w:tcPr>
          <w:p w14:paraId="541DBA58"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800" w:type="dxa"/>
            <w:vAlign w:val="center"/>
          </w:tcPr>
          <w:p w14:paraId="1382B73C"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550" w:type="dxa"/>
            <w:vAlign w:val="center"/>
          </w:tcPr>
          <w:p w14:paraId="18BC368A"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758" w:type="dxa"/>
            <w:vAlign w:val="center"/>
          </w:tcPr>
          <w:p w14:paraId="07851963"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r>
      <w:tr w:rsidR="003C227D" w:rsidRPr="007901FE" w14:paraId="6DE28763" w14:textId="77777777" w:rsidTr="00325CE9">
        <w:tc>
          <w:tcPr>
            <w:tcW w:w="3261" w:type="dxa"/>
            <w:vAlign w:val="center"/>
          </w:tcPr>
          <w:p w14:paraId="5DF9B4BF" w14:textId="77777777" w:rsidR="003C227D" w:rsidRDefault="003C227D" w:rsidP="00325CE9">
            <w:pPr>
              <w:spacing w:before="50" w:after="60" w:line="240" w:lineRule="atLeast"/>
              <w:rPr>
                <w:rFonts w:ascii="Arial" w:hAnsi="Arial" w:cs="Arial"/>
                <w:sz w:val="16"/>
                <w:szCs w:val="16"/>
              </w:rPr>
            </w:pPr>
            <w:r>
              <w:rPr>
                <w:rFonts w:ascii="Arial" w:hAnsi="Arial" w:cs="Arial"/>
                <w:sz w:val="16"/>
                <w:szCs w:val="16"/>
              </w:rPr>
              <w:t>Other (pet incinerators)</w:t>
            </w:r>
          </w:p>
        </w:tc>
        <w:tc>
          <w:tcPr>
            <w:tcW w:w="2126" w:type="dxa"/>
            <w:vAlign w:val="center"/>
          </w:tcPr>
          <w:p w14:paraId="4F97DF66"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0.26</w:t>
            </w:r>
          </w:p>
        </w:tc>
        <w:tc>
          <w:tcPr>
            <w:tcW w:w="1757" w:type="dxa"/>
            <w:vAlign w:val="center"/>
          </w:tcPr>
          <w:p w14:paraId="106227FF"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 xml:space="preserve">0.26 </w:t>
            </w:r>
          </w:p>
        </w:tc>
        <w:tc>
          <w:tcPr>
            <w:tcW w:w="1923" w:type="dxa"/>
            <w:vAlign w:val="center"/>
          </w:tcPr>
          <w:p w14:paraId="20A5103F"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800" w:type="dxa"/>
            <w:vAlign w:val="center"/>
          </w:tcPr>
          <w:p w14:paraId="776CF39C"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550" w:type="dxa"/>
            <w:vAlign w:val="center"/>
          </w:tcPr>
          <w:p w14:paraId="29CAA6C0"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758" w:type="dxa"/>
            <w:vAlign w:val="center"/>
          </w:tcPr>
          <w:p w14:paraId="5E6BEFFC"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r>
      <w:tr w:rsidR="003C227D" w:rsidRPr="007901FE" w14:paraId="5A2E4EC6" w14:textId="77777777" w:rsidTr="00325CE9">
        <w:tc>
          <w:tcPr>
            <w:tcW w:w="3261" w:type="dxa"/>
            <w:vAlign w:val="center"/>
          </w:tcPr>
          <w:p w14:paraId="2670CFEF" w14:textId="77777777" w:rsidR="003C227D" w:rsidRPr="004901F2" w:rsidRDefault="003C227D" w:rsidP="00325CE9">
            <w:pPr>
              <w:spacing w:before="50" w:after="60" w:line="240" w:lineRule="atLeast"/>
              <w:rPr>
                <w:rFonts w:ascii="Arial" w:hAnsi="Arial" w:cs="Arial"/>
                <w:sz w:val="16"/>
                <w:szCs w:val="16"/>
              </w:rPr>
            </w:pPr>
            <w:r>
              <w:rPr>
                <w:rFonts w:ascii="Arial" w:hAnsi="Arial" w:cs="Arial"/>
                <w:sz w:val="16"/>
                <w:szCs w:val="16"/>
              </w:rPr>
              <w:t>Controlled landfills/deposits</w:t>
            </w:r>
          </w:p>
        </w:tc>
        <w:tc>
          <w:tcPr>
            <w:tcW w:w="2126" w:type="dxa"/>
            <w:vAlign w:val="center"/>
          </w:tcPr>
          <w:p w14:paraId="50E5DE1D" w14:textId="77777777" w:rsidR="003C227D" w:rsidRDefault="003C227D" w:rsidP="00325CE9">
            <w:pPr>
              <w:spacing w:line="300" w:lineRule="atLeast"/>
              <w:jc w:val="center"/>
              <w:rPr>
                <w:rFonts w:ascii="Arial" w:hAnsi="Arial" w:cs="Arial"/>
                <w:sz w:val="16"/>
                <w:szCs w:val="16"/>
              </w:rPr>
            </w:pPr>
            <w:r>
              <w:rPr>
                <w:rFonts w:ascii="Arial" w:hAnsi="Arial" w:cs="Arial"/>
                <w:sz w:val="16"/>
                <w:szCs w:val="16"/>
              </w:rPr>
              <w:t>3,410 – 34,100 (18,755)</w:t>
            </w:r>
          </w:p>
        </w:tc>
        <w:tc>
          <w:tcPr>
            <w:tcW w:w="1757" w:type="dxa"/>
            <w:vAlign w:val="center"/>
          </w:tcPr>
          <w:p w14:paraId="1D86D3A8" w14:textId="77777777" w:rsidR="003C227D" w:rsidRDefault="003C227D" w:rsidP="00325CE9">
            <w:pPr>
              <w:spacing w:line="300" w:lineRule="atLeast"/>
              <w:jc w:val="center"/>
              <w:rPr>
                <w:rFonts w:ascii="Arial" w:hAnsi="Arial" w:cs="Arial"/>
                <w:sz w:val="16"/>
                <w:szCs w:val="16"/>
              </w:rPr>
            </w:pPr>
            <w:r>
              <w:rPr>
                <w:rFonts w:ascii="Arial" w:hAnsi="Arial" w:cs="Arial"/>
                <w:sz w:val="16"/>
                <w:szCs w:val="16"/>
              </w:rPr>
              <w:t>34 – 341 (187.6)</w:t>
            </w:r>
          </w:p>
        </w:tc>
        <w:tc>
          <w:tcPr>
            <w:tcW w:w="1923" w:type="dxa"/>
            <w:vAlign w:val="center"/>
          </w:tcPr>
          <w:p w14:paraId="587294B1" w14:textId="77777777" w:rsidR="003C227D" w:rsidRDefault="003C227D" w:rsidP="00325CE9">
            <w:pPr>
              <w:spacing w:line="300" w:lineRule="atLeast"/>
              <w:jc w:val="center"/>
              <w:rPr>
                <w:rFonts w:ascii="Arial" w:hAnsi="Arial" w:cs="Arial"/>
                <w:sz w:val="16"/>
                <w:szCs w:val="16"/>
              </w:rPr>
            </w:pPr>
            <w:r>
              <w:rPr>
                <w:rFonts w:ascii="Arial" w:hAnsi="Arial" w:cs="Arial"/>
                <w:sz w:val="16"/>
                <w:szCs w:val="16"/>
              </w:rPr>
              <w:t>0.34 – 3.4 (1.88)</w:t>
            </w:r>
          </w:p>
        </w:tc>
        <w:tc>
          <w:tcPr>
            <w:tcW w:w="1800" w:type="dxa"/>
            <w:vAlign w:val="center"/>
          </w:tcPr>
          <w:p w14:paraId="3EBF4123" w14:textId="77777777" w:rsidR="003C227D" w:rsidRPr="00F31685"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550" w:type="dxa"/>
            <w:vAlign w:val="center"/>
          </w:tcPr>
          <w:p w14:paraId="4A32B8B3"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758" w:type="dxa"/>
            <w:vAlign w:val="center"/>
          </w:tcPr>
          <w:p w14:paraId="16E494D4"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r>
      <w:tr w:rsidR="003C227D" w:rsidRPr="007901FE" w14:paraId="2A850635" w14:textId="77777777" w:rsidTr="00325CE9">
        <w:tc>
          <w:tcPr>
            <w:tcW w:w="3261" w:type="dxa"/>
            <w:vAlign w:val="center"/>
          </w:tcPr>
          <w:p w14:paraId="3D90DFE4" w14:textId="77777777" w:rsidR="003C227D" w:rsidRPr="004901F2" w:rsidRDefault="003C227D" w:rsidP="00325CE9">
            <w:pPr>
              <w:spacing w:before="50" w:after="60" w:line="240" w:lineRule="atLeast"/>
              <w:rPr>
                <w:rFonts w:ascii="Arial" w:hAnsi="Arial" w:cs="Arial"/>
                <w:sz w:val="16"/>
                <w:szCs w:val="16"/>
              </w:rPr>
            </w:pPr>
            <w:r>
              <w:rPr>
                <w:rFonts w:ascii="Arial" w:hAnsi="Arial" w:cs="Arial"/>
                <w:sz w:val="16"/>
                <w:szCs w:val="16"/>
              </w:rPr>
              <w:t>Wastewater treatment systems</w:t>
            </w:r>
          </w:p>
        </w:tc>
        <w:tc>
          <w:tcPr>
            <w:tcW w:w="2126" w:type="dxa"/>
            <w:vAlign w:val="center"/>
          </w:tcPr>
          <w:p w14:paraId="79E9FF1F"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277.5 – 5550 (2,913.8)</w:t>
            </w:r>
          </w:p>
        </w:tc>
        <w:tc>
          <w:tcPr>
            <w:tcW w:w="1757" w:type="dxa"/>
            <w:vAlign w:val="center"/>
          </w:tcPr>
          <w:p w14:paraId="20ED4B8A" w14:textId="77777777" w:rsidR="003C227D" w:rsidRPr="00F31685"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923" w:type="dxa"/>
            <w:vAlign w:val="center"/>
          </w:tcPr>
          <w:p w14:paraId="4A77A99A" w14:textId="77777777" w:rsidR="003C227D" w:rsidRDefault="003C227D" w:rsidP="00325CE9">
            <w:pPr>
              <w:spacing w:line="300" w:lineRule="atLeast"/>
              <w:jc w:val="center"/>
              <w:rPr>
                <w:rFonts w:ascii="Arial" w:hAnsi="Arial" w:cs="Arial"/>
                <w:sz w:val="16"/>
                <w:szCs w:val="16"/>
              </w:rPr>
            </w:pPr>
            <w:r>
              <w:rPr>
                <w:rFonts w:ascii="Arial" w:hAnsi="Arial" w:cs="Arial"/>
                <w:sz w:val="16"/>
                <w:szCs w:val="16"/>
              </w:rPr>
              <w:t>138.7 – 2,775 (1,456.9)</w:t>
            </w:r>
          </w:p>
        </w:tc>
        <w:tc>
          <w:tcPr>
            <w:tcW w:w="1800" w:type="dxa"/>
            <w:vAlign w:val="center"/>
          </w:tcPr>
          <w:p w14:paraId="6BB242D3" w14:textId="77777777" w:rsidR="003C227D" w:rsidRDefault="003C227D" w:rsidP="00325CE9">
            <w:pPr>
              <w:spacing w:line="300" w:lineRule="atLeast"/>
              <w:jc w:val="center"/>
              <w:rPr>
                <w:rFonts w:ascii="Arial" w:hAnsi="Arial" w:cs="Arial"/>
                <w:sz w:val="16"/>
                <w:szCs w:val="16"/>
              </w:rPr>
            </w:pPr>
            <w:r>
              <w:rPr>
                <w:rFonts w:ascii="Arial" w:hAnsi="Arial" w:cs="Arial"/>
                <w:sz w:val="16"/>
                <w:szCs w:val="16"/>
              </w:rPr>
              <w:t>55.5 – 1110 (582.8)</w:t>
            </w:r>
          </w:p>
        </w:tc>
        <w:tc>
          <w:tcPr>
            <w:tcW w:w="1550" w:type="dxa"/>
            <w:vAlign w:val="center"/>
          </w:tcPr>
          <w:p w14:paraId="30BA763D"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758" w:type="dxa"/>
            <w:vAlign w:val="center"/>
          </w:tcPr>
          <w:p w14:paraId="7C56D70D"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83.25 – 1,665 (874.1)</w:t>
            </w:r>
          </w:p>
        </w:tc>
      </w:tr>
      <w:tr w:rsidR="003C227D" w:rsidRPr="007901FE" w14:paraId="2C82C90B" w14:textId="77777777" w:rsidTr="00325CE9">
        <w:tc>
          <w:tcPr>
            <w:tcW w:w="3261" w:type="dxa"/>
            <w:vAlign w:val="center"/>
          </w:tcPr>
          <w:p w14:paraId="4C4BFC17" w14:textId="77777777" w:rsidR="003C227D" w:rsidRPr="004901F2" w:rsidRDefault="003C227D" w:rsidP="00325CE9">
            <w:pPr>
              <w:spacing w:before="50" w:after="60" w:line="240" w:lineRule="atLeast"/>
              <w:rPr>
                <w:rFonts w:ascii="Arial" w:hAnsi="Arial" w:cs="Arial"/>
                <w:sz w:val="16"/>
                <w:szCs w:val="16"/>
              </w:rPr>
            </w:pPr>
            <w:r>
              <w:rPr>
                <w:rFonts w:ascii="Arial" w:hAnsi="Arial" w:cs="Arial"/>
                <w:sz w:val="16"/>
                <w:szCs w:val="16"/>
              </w:rPr>
              <w:t>Crematoria</w:t>
            </w:r>
          </w:p>
        </w:tc>
        <w:tc>
          <w:tcPr>
            <w:tcW w:w="2126" w:type="dxa"/>
            <w:vAlign w:val="center"/>
          </w:tcPr>
          <w:p w14:paraId="1A12DA38" w14:textId="77777777" w:rsidR="003C227D" w:rsidRDefault="003C227D" w:rsidP="00325CE9">
            <w:pPr>
              <w:spacing w:line="300" w:lineRule="atLeast"/>
              <w:jc w:val="center"/>
            </w:pPr>
            <w:r w:rsidRPr="0075593A">
              <w:rPr>
                <w:rFonts w:ascii="Arial" w:hAnsi="Arial" w:cs="Arial"/>
                <w:sz w:val="16"/>
                <w:szCs w:val="16"/>
              </w:rPr>
              <w:t>20.1 – 80.5 (50.3)</w:t>
            </w:r>
          </w:p>
        </w:tc>
        <w:tc>
          <w:tcPr>
            <w:tcW w:w="1757" w:type="dxa"/>
            <w:vAlign w:val="center"/>
          </w:tcPr>
          <w:p w14:paraId="604A6458" w14:textId="77777777" w:rsidR="003C227D" w:rsidRDefault="003C227D" w:rsidP="00325CE9">
            <w:pPr>
              <w:spacing w:line="300" w:lineRule="atLeast"/>
              <w:jc w:val="center"/>
            </w:pPr>
            <w:r w:rsidRPr="0075593A">
              <w:rPr>
                <w:rFonts w:ascii="Arial" w:hAnsi="Arial" w:cs="Arial"/>
                <w:sz w:val="16"/>
                <w:szCs w:val="16"/>
              </w:rPr>
              <w:t>20.1 – 80.5 (50.3)</w:t>
            </w:r>
          </w:p>
        </w:tc>
        <w:tc>
          <w:tcPr>
            <w:tcW w:w="1923" w:type="dxa"/>
            <w:vAlign w:val="center"/>
          </w:tcPr>
          <w:p w14:paraId="20F8612F" w14:textId="77777777" w:rsidR="003C227D" w:rsidRPr="00F31685"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800" w:type="dxa"/>
            <w:vAlign w:val="center"/>
          </w:tcPr>
          <w:p w14:paraId="73B4FA0C"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550" w:type="dxa"/>
            <w:vAlign w:val="center"/>
          </w:tcPr>
          <w:p w14:paraId="00E9A47C"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758" w:type="dxa"/>
            <w:vAlign w:val="center"/>
          </w:tcPr>
          <w:p w14:paraId="1E57E1EB"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r>
      <w:tr w:rsidR="003C227D" w:rsidRPr="007901FE" w14:paraId="5B5AC2BD" w14:textId="77777777" w:rsidTr="00325CE9">
        <w:tc>
          <w:tcPr>
            <w:tcW w:w="3261" w:type="dxa"/>
            <w:vAlign w:val="center"/>
          </w:tcPr>
          <w:p w14:paraId="306773B7" w14:textId="77777777" w:rsidR="003C227D" w:rsidRPr="004901F2" w:rsidRDefault="003C227D" w:rsidP="00325CE9">
            <w:pPr>
              <w:spacing w:before="50" w:after="60" w:line="240" w:lineRule="atLeast"/>
              <w:rPr>
                <w:rFonts w:ascii="Arial" w:hAnsi="Arial" w:cs="Arial"/>
                <w:sz w:val="16"/>
                <w:szCs w:val="16"/>
              </w:rPr>
            </w:pPr>
            <w:r>
              <w:rPr>
                <w:rFonts w:ascii="Arial" w:hAnsi="Arial" w:cs="Arial"/>
                <w:sz w:val="16"/>
                <w:szCs w:val="16"/>
              </w:rPr>
              <w:t>Cemeteries</w:t>
            </w:r>
          </w:p>
        </w:tc>
        <w:tc>
          <w:tcPr>
            <w:tcW w:w="2126" w:type="dxa"/>
            <w:vAlign w:val="center"/>
          </w:tcPr>
          <w:p w14:paraId="0BCF04F8"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11.2 – 44.8 (28.0)</w:t>
            </w:r>
          </w:p>
        </w:tc>
        <w:tc>
          <w:tcPr>
            <w:tcW w:w="1757" w:type="dxa"/>
            <w:vAlign w:val="center"/>
          </w:tcPr>
          <w:p w14:paraId="1FFE52E2"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923" w:type="dxa"/>
            <w:vAlign w:val="center"/>
          </w:tcPr>
          <w:p w14:paraId="7ABE6D72" w14:textId="77777777" w:rsidR="003C227D"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800" w:type="dxa"/>
            <w:vAlign w:val="center"/>
          </w:tcPr>
          <w:p w14:paraId="76799F97"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11.2 – 44.8 (28.0)</w:t>
            </w:r>
          </w:p>
        </w:tc>
        <w:tc>
          <w:tcPr>
            <w:tcW w:w="1550" w:type="dxa"/>
            <w:vAlign w:val="center"/>
          </w:tcPr>
          <w:p w14:paraId="32EC5F1D"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c>
          <w:tcPr>
            <w:tcW w:w="1758" w:type="dxa"/>
            <w:vAlign w:val="center"/>
          </w:tcPr>
          <w:p w14:paraId="3109ADBC" w14:textId="77777777" w:rsidR="003C227D" w:rsidRPr="004E3E02" w:rsidRDefault="003C227D" w:rsidP="00325CE9">
            <w:pPr>
              <w:spacing w:before="50" w:after="60" w:line="240" w:lineRule="atLeast"/>
              <w:jc w:val="center"/>
              <w:rPr>
                <w:rFonts w:ascii="Arial" w:hAnsi="Arial" w:cs="Arial"/>
                <w:sz w:val="16"/>
                <w:szCs w:val="16"/>
              </w:rPr>
            </w:pPr>
            <w:r>
              <w:rPr>
                <w:rFonts w:ascii="Arial" w:hAnsi="Arial" w:cs="Arial"/>
                <w:sz w:val="16"/>
                <w:szCs w:val="16"/>
              </w:rPr>
              <w:t>-</w:t>
            </w:r>
          </w:p>
        </w:tc>
      </w:tr>
      <w:tr w:rsidR="003C227D" w:rsidRPr="007901FE" w14:paraId="4D196C0F" w14:textId="77777777" w:rsidTr="00325CE9">
        <w:tc>
          <w:tcPr>
            <w:tcW w:w="3261" w:type="dxa"/>
            <w:vAlign w:val="center"/>
          </w:tcPr>
          <w:p w14:paraId="43EDA467" w14:textId="77777777" w:rsidR="003C227D" w:rsidRPr="00CF1982" w:rsidRDefault="003C227D" w:rsidP="00325CE9">
            <w:pPr>
              <w:spacing w:before="50" w:after="60" w:line="240" w:lineRule="atLeast"/>
              <w:ind w:left="-42"/>
              <w:rPr>
                <w:rFonts w:ascii="Arial" w:hAnsi="Arial" w:cs="Arial"/>
                <w:b/>
                <w:sz w:val="16"/>
                <w:szCs w:val="16"/>
                <w:highlight w:val="yellow"/>
              </w:rPr>
            </w:pPr>
            <w:r w:rsidRPr="0030522C">
              <w:rPr>
                <w:rFonts w:ascii="Arial" w:hAnsi="Arial" w:cs="Arial"/>
                <w:b/>
                <w:sz w:val="16"/>
                <w:szCs w:val="16"/>
              </w:rPr>
              <w:t>Totals, all sources</w:t>
            </w:r>
          </w:p>
        </w:tc>
        <w:tc>
          <w:tcPr>
            <w:tcW w:w="2126" w:type="dxa"/>
            <w:tcBorders>
              <w:top w:val="single" w:sz="12" w:space="0" w:color="auto"/>
              <w:left w:val="single" w:sz="12" w:space="0" w:color="auto"/>
              <w:bottom w:val="single" w:sz="12" w:space="0" w:color="auto"/>
              <w:right w:val="single" w:sz="12" w:space="0" w:color="auto"/>
            </w:tcBorders>
            <w:vAlign w:val="center"/>
          </w:tcPr>
          <w:p w14:paraId="0EC8D1CC" w14:textId="340BB66B" w:rsidR="003C227D" w:rsidRPr="00424224" w:rsidRDefault="005B39DB" w:rsidP="00325CE9">
            <w:pPr>
              <w:spacing w:before="60" w:after="60"/>
              <w:jc w:val="center"/>
              <w:rPr>
                <w:rFonts w:ascii="Arial" w:hAnsi="Arial" w:cs="Arial"/>
                <w:b/>
                <w:sz w:val="16"/>
                <w:szCs w:val="16"/>
              </w:rPr>
            </w:pPr>
            <w:r>
              <w:rPr>
                <w:rFonts w:ascii="Arial" w:hAnsi="Arial" w:cs="Arial"/>
                <w:b/>
                <w:sz w:val="16"/>
                <w:szCs w:val="16"/>
              </w:rPr>
              <w:t>5,857 – 56,192 (28,632</w:t>
            </w:r>
            <w:r w:rsidRPr="0030522C">
              <w:rPr>
                <w:rFonts w:ascii="Arial" w:hAnsi="Arial" w:cs="Arial"/>
                <w:b/>
                <w:sz w:val="16"/>
                <w:szCs w:val="16"/>
              </w:rPr>
              <w:t>)</w:t>
            </w:r>
          </w:p>
        </w:tc>
        <w:tc>
          <w:tcPr>
            <w:tcW w:w="1757" w:type="dxa"/>
            <w:tcBorders>
              <w:top w:val="single" w:sz="12" w:space="0" w:color="auto"/>
              <w:left w:val="single" w:sz="12" w:space="0" w:color="auto"/>
              <w:bottom w:val="single" w:sz="12" w:space="0" w:color="auto"/>
              <w:right w:val="single" w:sz="12" w:space="0" w:color="auto"/>
            </w:tcBorders>
            <w:vAlign w:val="center"/>
          </w:tcPr>
          <w:p w14:paraId="4925326F" w14:textId="77777777" w:rsidR="003C227D" w:rsidRPr="00424224" w:rsidRDefault="003C227D" w:rsidP="00325CE9">
            <w:pPr>
              <w:spacing w:before="60" w:after="60"/>
              <w:jc w:val="center"/>
              <w:rPr>
                <w:rFonts w:ascii="Arial" w:hAnsi="Arial" w:cs="Arial"/>
                <w:b/>
                <w:sz w:val="16"/>
                <w:szCs w:val="16"/>
              </w:rPr>
            </w:pPr>
            <w:r>
              <w:rPr>
                <w:rFonts w:ascii="Arial" w:hAnsi="Arial" w:cs="Arial"/>
                <w:b/>
                <w:sz w:val="16"/>
                <w:szCs w:val="16"/>
              </w:rPr>
              <w:t>465 – 3,370 (1,822)</w:t>
            </w:r>
          </w:p>
        </w:tc>
        <w:tc>
          <w:tcPr>
            <w:tcW w:w="1923" w:type="dxa"/>
            <w:tcBorders>
              <w:top w:val="single" w:sz="12" w:space="0" w:color="auto"/>
              <w:left w:val="single" w:sz="12" w:space="0" w:color="auto"/>
              <w:bottom w:val="single" w:sz="12" w:space="0" w:color="auto"/>
              <w:right w:val="single" w:sz="12" w:space="0" w:color="auto"/>
            </w:tcBorders>
            <w:vAlign w:val="center"/>
          </w:tcPr>
          <w:p w14:paraId="330CB66C" w14:textId="77777777" w:rsidR="003C227D" w:rsidRPr="00424224" w:rsidRDefault="003C227D" w:rsidP="00325CE9">
            <w:pPr>
              <w:spacing w:before="60" w:after="60"/>
              <w:jc w:val="center"/>
              <w:rPr>
                <w:rFonts w:ascii="Arial" w:hAnsi="Arial" w:cs="Arial"/>
                <w:b/>
                <w:sz w:val="16"/>
                <w:szCs w:val="16"/>
              </w:rPr>
            </w:pPr>
            <w:r>
              <w:rPr>
                <w:rFonts w:ascii="Arial" w:hAnsi="Arial" w:cs="Arial"/>
                <w:b/>
                <w:sz w:val="16"/>
                <w:szCs w:val="16"/>
              </w:rPr>
              <w:t>192 – 3,158 (1,627)</w:t>
            </w:r>
          </w:p>
        </w:tc>
        <w:tc>
          <w:tcPr>
            <w:tcW w:w="1800" w:type="dxa"/>
            <w:tcBorders>
              <w:top w:val="single" w:sz="12" w:space="0" w:color="auto"/>
              <w:left w:val="single" w:sz="12" w:space="0" w:color="auto"/>
              <w:bottom w:val="single" w:sz="12" w:space="0" w:color="auto"/>
              <w:right w:val="single" w:sz="12" w:space="0" w:color="auto"/>
            </w:tcBorders>
            <w:vAlign w:val="center"/>
          </w:tcPr>
          <w:p w14:paraId="09BF2EDF" w14:textId="77777777" w:rsidR="003C227D" w:rsidRPr="00424224" w:rsidRDefault="003C227D" w:rsidP="00325CE9">
            <w:pPr>
              <w:spacing w:before="60" w:after="60"/>
              <w:jc w:val="center"/>
              <w:rPr>
                <w:rFonts w:ascii="Arial" w:hAnsi="Arial" w:cs="Arial"/>
                <w:b/>
                <w:sz w:val="16"/>
                <w:szCs w:val="16"/>
              </w:rPr>
            </w:pPr>
            <w:r>
              <w:rPr>
                <w:rFonts w:ascii="Arial" w:hAnsi="Arial" w:cs="Arial"/>
                <w:b/>
                <w:sz w:val="16"/>
                <w:szCs w:val="16"/>
              </w:rPr>
              <w:t>1,494 – 13,098 (5,142)</w:t>
            </w:r>
          </w:p>
        </w:tc>
        <w:tc>
          <w:tcPr>
            <w:tcW w:w="1550" w:type="dxa"/>
            <w:tcBorders>
              <w:top w:val="single" w:sz="12" w:space="0" w:color="auto"/>
              <w:left w:val="single" w:sz="12" w:space="0" w:color="auto"/>
              <w:bottom w:val="single" w:sz="12" w:space="0" w:color="auto"/>
              <w:right w:val="single" w:sz="12" w:space="0" w:color="auto"/>
            </w:tcBorders>
            <w:vAlign w:val="center"/>
          </w:tcPr>
          <w:p w14:paraId="0675C821" w14:textId="77777777" w:rsidR="003C227D" w:rsidRPr="00424224" w:rsidRDefault="003C227D" w:rsidP="00325CE9">
            <w:pPr>
              <w:spacing w:before="60" w:after="60"/>
              <w:jc w:val="center"/>
              <w:rPr>
                <w:rFonts w:ascii="Arial" w:hAnsi="Arial" w:cs="Arial"/>
                <w:b/>
                <w:sz w:val="16"/>
                <w:szCs w:val="16"/>
              </w:rPr>
            </w:pPr>
            <w:r>
              <w:rPr>
                <w:rFonts w:ascii="Arial" w:hAnsi="Arial" w:cs="Arial"/>
                <w:b/>
                <w:sz w:val="16"/>
                <w:szCs w:val="16"/>
              </w:rPr>
              <w:t>145 – 610 (282)</w:t>
            </w:r>
          </w:p>
        </w:tc>
        <w:tc>
          <w:tcPr>
            <w:tcW w:w="1758" w:type="dxa"/>
            <w:tcBorders>
              <w:top w:val="single" w:sz="12" w:space="0" w:color="auto"/>
              <w:left w:val="single" w:sz="12" w:space="0" w:color="auto"/>
              <w:bottom w:val="single" w:sz="12" w:space="0" w:color="auto"/>
              <w:right w:val="single" w:sz="12" w:space="0" w:color="auto"/>
            </w:tcBorders>
            <w:vAlign w:val="center"/>
          </w:tcPr>
          <w:p w14:paraId="6F8B466B" w14:textId="77777777" w:rsidR="003C227D" w:rsidRPr="00AA48C3" w:rsidRDefault="003C227D" w:rsidP="00325CE9">
            <w:pPr>
              <w:spacing w:before="60" w:after="60"/>
              <w:jc w:val="center"/>
              <w:rPr>
                <w:rFonts w:ascii="Arial" w:hAnsi="Arial" w:cs="Arial"/>
                <w:b/>
                <w:sz w:val="16"/>
                <w:szCs w:val="16"/>
              </w:rPr>
            </w:pPr>
            <w:r>
              <w:rPr>
                <w:rFonts w:ascii="Arial" w:hAnsi="Arial" w:cs="Arial"/>
                <w:b/>
                <w:sz w:val="16"/>
                <w:szCs w:val="16"/>
              </w:rPr>
              <w:t>185 – 2,200 (1,192)</w:t>
            </w:r>
          </w:p>
        </w:tc>
      </w:tr>
    </w:tbl>
    <w:p w14:paraId="63535895" w14:textId="77777777" w:rsidR="003C227D" w:rsidRDefault="003C227D" w:rsidP="003C227D">
      <w:pPr>
        <w:spacing w:before="60" w:after="240"/>
        <w:ind w:left="720" w:hanging="720"/>
        <w:jc w:val="center"/>
        <w:rPr>
          <w:szCs w:val="18"/>
        </w:rPr>
      </w:pPr>
      <w:r>
        <w:rPr>
          <w:szCs w:val="18"/>
        </w:rPr>
        <w:t xml:space="preserve">(* </w:t>
      </w:r>
      <w:r w:rsidRPr="00062B1A">
        <w:rPr>
          <w:szCs w:val="18"/>
        </w:rPr>
        <w:t>T</w:t>
      </w:r>
      <w:r>
        <w:rPr>
          <w:szCs w:val="18"/>
        </w:rPr>
        <w:t>he t</w:t>
      </w:r>
      <w:r w:rsidRPr="00062B1A">
        <w:rPr>
          <w:szCs w:val="18"/>
        </w:rPr>
        <w:t xml:space="preserve">otals </w:t>
      </w:r>
      <w:r>
        <w:rPr>
          <w:szCs w:val="18"/>
        </w:rPr>
        <w:t xml:space="preserve">in the table </w:t>
      </w:r>
      <w:r w:rsidRPr="00062B1A">
        <w:rPr>
          <w:szCs w:val="18"/>
        </w:rPr>
        <w:t>may not exactly equal</w:t>
      </w:r>
      <w:r>
        <w:rPr>
          <w:szCs w:val="18"/>
        </w:rPr>
        <w:t xml:space="preserve"> </w:t>
      </w:r>
      <w:r w:rsidRPr="00062B1A">
        <w:rPr>
          <w:szCs w:val="18"/>
        </w:rPr>
        <w:t>the sum of displayed</w:t>
      </w:r>
      <w:r>
        <w:rPr>
          <w:szCs w:val="18"/>
        </w:rPr>
        <w:t xml:space="preserve"> </w:t>
      </w:r>
      <w:r w:rsidRPr="00062B1A">
        <w:rPr>
          <w:szCs w:val="18"/>
        </w:rPr>
        <w:t xml:space="preserve">data, </w:t>
      </w:r>
      <w:r>
        <w:rPr>
          <w:szCs w:val="18"/>
        </w:rPr>
        <w:t>due to rounding)</w:t>
      </w:r>
    </w:p>
    <w:p w14:paraId="367953F9" w14:textId="77777777" w:rsidR="002709CD" w:rsidRDefault="002709CD" w:rsidP="003833D6">
      <w:pPr>
        <w:spacing w:line="300" w:lineRule="atLeast"/>
        <w:jc w:val="both"/>
        <w:rPr>
          <w:szCs w:val="18"/>
        </w:rPr>
      </w:pPr>
    </w:p>
    <w:p w14:paraId="67975A83" w14:textId="77777777" w:rsidR="002709CD" w:rsidRDefault="002709CD" w:rsidP="003833D6">
      <w:pPr>
        <w:spacing w:line="300" w:lineRule="atLeast"/>
        <w:jc w:val="both"/>
        <w:rPr>
          <w:szCs w:val="18"/>
        </w:rPr>
        <w:sectPr w:rsidR="002709CD" w:rsidSect="00AB469E">
          <w:headerReference w:type="default" r:id="rId27"/>
          <w:footerReference w:type="default" r:id="rId28"/>
          <w:footerReference w:type="first" r:id="rId29"/>
          <w:endnotePr>
            <w:numFmt w:val="decimal"/>
          </w:endnotePr>
          <w:pgSz w:w="16840" w:h="11907" w:orient="landscape" w:code="9"/>
          <w:pgMar w:top="1418" w:right="1440" w:bottom="1418" w:left="1418" w:header="720" w:footer="720" w:gutter="0"/>
          <w:cols w:space="720"/>
          <w:docGrid w:linePitch="272"/>
        </w:sectPr>
      </w:pPr>
    </w:p>
    <w:p w14:paraId="34783260" w14:textId="3A744345" w:rsidR="00A56A7F" w:rsidRPr="00653E3B" w:rsidRDefault="00A56A7F" w:rsidP="00060565">
      <w:pPr>
        <w:pStyle w:val="Heading1"/>
      </w:pPr>
      <w:bookmarkStart w:id="186" w:name="_Toc484949636"/>
      <w:r w:rsidRPr="00653E3B">
        <w:lastRenderedPageBreak/>
        <w:t>List of References</w:t>
      </w:r>
      <w:bookmarkEnd w:id="186"/>
    </w:p>
    <w:p w14:paraId="335ABC22" w14:textId="77777777" w:rsidR="00F0717E" w:rsidRDefault="00F0717E" w:rsidP="009A20E5">
      <w:pPr>
        <w:spacing w:line="300" w:lineRule="atLeast"/>
      </w:pPr>
      <w:proofErr w:type="gramStart"/>
      <w:r>
        <w:t>EPA, 2017.</w:t>
      </w:r>
      <w:proofErr w:type="gramEnd"/>
      <w:r>
        <w:t xml:space="preserve"> </w:t>
      </w:r>
      <w:hyperlink r:id="rId30" w:history="1">
        <w:r w:rsidRPr="003213E9">
          <w:rPr>
            <w:rStyle w:val="Hyperlink"/>
          </w:rPr>
          <w:t>http://www.epa.govt.nz/search-databases/Pages/applications-search.aspx</w:t>
        </w:r>
      </w:hyperlink>
      <w:r>
        <w:t xml:space="preserve"> accessed on 10 May 2017. Environmental Protection Authority, Wellington.</w:t>
      </w:r>
    </w:p>
    <w:p w14:paraId="3AF044DC" w14:textId="77777777" w:rsidR="00020491" w:rsidRDefault="00020491" w:rsidP="009A20E5">
      <w:pPr>
        <w:spacing w:line="300" w:lineRule="atLeast"/>
      </w:pPr>
      <w:proofErr w:type="gramStart"/>
      <w:r>
        <w:t>EPA, 2017a.</w:t>
      </w:r>
      <w:proofErr w:type="gramEnd"/>
      <w:r>
        <w:t xml:space="preserve"> Waste Imports, Export</w:t>
      </w:r>
      <w:r w:rsidR="00E47F02">
        <w:t xml:space="preserve">, Transit Permits </w:t>
      </w:r>
      <w:proofErr w:type="gramStart"/>
      <w:r w:rsidR="00E47F02">
        <w:t xml:space="preserve">( </w:t>
      </w:r>
      <w:proofErr w:type="gramEnd"/>
      <w:r w:rsidR="005D7893">
        <w:fldChar w:fldCharType="begin"/>
      </w:r>
      <w:r w:rsidR="005D7893">
        <w:instrText xml:space="preserve"> HYPERLINK "http://www.epa.govt.nz/hazardous-substances/import-export/permit-holders/Pages/default.aspx" </w:instrText>
      </w:r>
      <w:r w:rsidR="005D7893">
        <w:fldChar w:fldCharType="separate"/>
      </w:r>
      <w:r w:rsidR="00E47F02" w:rsidRPr="002C36B9">
        <w:rPr>
          <w:rStyle w:val="Hyperlink"/>
        </w:rPr>
        <w:t>http://www.epa.govt.nz/hazardous-substances/import-export/permit-holders/Pages/default.aspx</w:t>
      </w:r>
      <w:r w:rsidR="005D7893">
        <w:rPr>
          <w:rStyle w:val="Hyperlink"/>
        </w:rPr>
        <w:fldChar w:fldCharType="end"/>
      </w:r>
      <w:r w:rsidR="00E47F02">
        <w:t>,</w:t>
      </w:r>
      <w:r>
        <w:t xml:space="preserve"> Environmental Protection Authority, Wellington, current at 1 May 2017.</w:t>
      </w:r>
    </w:p>
    <w:p w14:paraId="2E8E83F7" w14:textId="77777777" w:rsidR="009109B3" w:rsidRDefault="009109B3" w:rsidP="009A20E5">
      <w:pPr>
        <w:spacing w:line="300" w:lineRule="atLeast"/>
      </w:pPr>
      <w:r>
        <w:t xml:space="preserve">Farrar, WP, Edwards, JF and Willard, D, 1994. Pathology in a Dog Associated with Elevated Tissue Mercury Concentrations. J Vet. </w:t>
      </w:r>
      <w:proofErr w:type="gramStart"/>
      <w:r>
        <w:t>Diagnostic Investigations, v6, p511 – 514.</w:t>
      </w:r>
      <w:proofErr w:type="gramEnd"/>
    </w:p>
    <w:p w14:paraId="2C695E9E" w14:textId="77777777" w:rsidR="007D6A79" w:rsidRDefault="007D6A79" w:rsidP="009A20E5">
      <w:pPr>
        <w:spacing w:line="300" w:lineRule="atLeast"/>
      </w:pPr>
      <w:proofErr w:type="gramStart"/>
      <w:r>
        <w:t>Genesis Energy, 2017.</w:t>
      </w:r>
      <w:proofErr w:type="gramEnd"/>
      <w:r>
        <w:t xml:space="preserve">  </w:t>
      </w:r>
      <w:hyperlink r:id="rId31" w:history="1">
        <w:r w:rsidR="00986F25" w:rsidRPr="00F274AB">
          <w:rPr>
            <w:rStyle w:val="Hyperlink"/>
          </w:rPr>
          <w:t>https://www.genesisenergy.co.nz/huntly-power-station-plant-description</w:t>
        </w:r>
      </w:hyperlink>
      <w:r w:rsidR="00986F25">
        <w:t xml:space="preserve"> accessed 5 May 2017.</w:t>
      </w:r>
    </w:p>
    <w:p w14:paraId="615F9C9A" w14:textId="77777777" w:rsidR="00144169" w:rsidRPr="00144169" w:rsidRDefault="00144169" w:rsidP="00144169">
      <w:pPr>
        <w:spacing w:line="300" w:lineRule="atLeast"/>
      </w:pPr>
      <w:proofErr w:type="gramStart"/>
      <w:r>
        <w:t>Holcim, 2016.</w:t>
      </w:r>
      <w:proofErr w:type="gramEnd"/>
      <w:r>
        <w:t xml:space="preserve">  Media Statement; </w:t>
      </w:r>
      <w:r w:rsidRPr="00144169">
        <w:t>Holcim New Zealand Shipping Changes</w:t>
      </w:r>
      <w:r>
        <w:t>, Holcim New Zealand, 14 June 2016.</w:t>
      </w:r>
    </w:p>
    <w:p w14:paraId="6A2173C6" w14:textId="77777777" w:rsidR="00653E3B" w:rsidRDefault="00653E3B" w:rsidP="009A20E5">
      <w:pPr>
        <w:spacing w:line="300" w:lineRule="atLeast"/>
      </w:pPr>
      <w:proofErr w:type="gramStart"/>
      <w:r w:rsidRPr="00653E3B">
        <w:t>IPWEA 2016.</w:t>
      </w:r>
      <w:proofErr w:type="gramEnd"/>
      <w:r w:rsidRPr="00653E3B">
        <w:t xml:space="preserve">  </w:t>
      </w:r>
      <w:proofErr w:type="gramStart"/>
      <w:r w:rsidRPr="00653E3B">
        <w:t>Street Lighting and Smart Controls (SLSC) Roadmap.</w:t>
      </w:r>
      <w:proofErr w:type="gramEnd"/>
      <w:r w:rsidRPr="00653E3B">
        <w:t xml:space="preserve">  Report prepared for Department of the Environment and Energy, Australian Government, by Strategic Lighting Partners and Next Energy through the Institute of Public Works Engineering Australia.</w:t>
      </w:r>
    </w:p>
    <w:p w14:paraId="2C07AB8B" w14:textId="20636FEA" w:rsidR="00E609AA" w:rsidRDefault="00A15666" w:rsidP="009A20E5">
      <w:pPr>
        <w:spacing w:line="300" w:lineRule="atLeast"/>
      </w:pPr>
      <w:r>
        <w:t xml:space="preserve">Li, Z, 2002. </w:t>
      </w:r>
      <w:proofErr w:type="gramStart"/>
      <w:r>
        <w:t>Mineralogy and Trace Elements of the Cretaceous Greymouth Coals and their Combustion Products, PhD Thesis, University of Canterbury, Christchurch.</w:t>
      </w:r>
      <w:proofErr w:type="gramEnd"/>
    </w:p>
    <w:p w14:paraId="3D4CC70B" w14:textId="77777777" w:rsidR="008D7E28" w:rsidRPr="008C28F1" w:rsidRDefault="008D7E28" w:rsidP="008D7E28">
      <w:pPr>
        <w:spacing w:line="300" w:lineRule="atLeast"/>
      </w:pPr>
      <w:proofErr w:type="gramStart"/>
      <w:r>
        <w:t>MBIE, 2016</w:t>
      </w:r>
      <w:r w:rsidRPr="008C28F1">
        <w:t>.</w:t>
      </w:r>
      <w:proofErr w:type="gramEnd"/>
      <w:r w:rsidRPr="00516F28">
        <w:t xml:space="preserve"> Energy </w:t>
      </w:r>
      <w:r>
        <w:t xml:space="preserve">in </w:t>
      </w:r>
      <w:r w:rsidRPr="00516F28">
        <w:t xml:space="preserve">New Zealand </w:t>
      </w:r>
      <w:r>
        <w:t>2016 (for the 2015</w:t>
      </w:r>
      <w:r w:rsidRPr="00516F28">
        <w:t xml:space="preserve"> calend</w:t>
      </w:r>
      <w:r>
        <w:t>a</w:t>
      </w:r>
      <w:r w:rsidRPr="00516F28">
        <w:t>r year)</w:t>
      </w:r>
      <w:r>
        <w:t xml:space="preserve"> and web-based data tables for 2016</w:t>
      </w:r>
      <w:r w:rsidRPr="00516F28">
        <w:t xml:space="preserve">. </w:t>
      </w:r>
      <w:proofErr w:type="gramStart"/>
      <w:r w:rsidRPr="00516F28">
        <w:t>Wellington, Ministry of Business, Innovation and Employment.</w:t>
      </w:r>
      <w:proofErr w:type="gramEnd"/>
    </w:p>
    <w:p w14:paraId="457CB8C7" w14:textId="77777777" w:rsidR="00C774A3" w:rsidRDefault="00C774A3" w:rsidP="00C774A3">
      <w:pPr>
        <w:spacing w:line="300" w:lineRule="atLeast"/>
      </w:pPr>
      <w:proofErr w:type="gramStart"/>
      <w:r>
        <w:t>MBIE, 2016a.</w:t>
      </w:r>
      <w:proofErr w:type="gramEnd"/>
      <w:r>
        <w:t xml:space="preserve"> Mining Production Statistics, obtained from the Petroleum and Minerals website, Ministry of Business, Innovation and Employment, Wellington, </w:t>
      </w:r>
      <w:hyperlink r:id="rId32" w:history="1">
        <w:r w:rsidRPr="00264A54">
          <w:rPr>
            <w:rStyle w:val="Hyperlink"/>
          </w:rPr>
          <w:t>http://www.nzpam.govt.nz/cms/minerals/facts-and-figures</w:t>
        </w:r>
      </w:hyperlink>
      <w:r>
        <w:t>.</w:t>
      </w:r>
    </w:p>
    <w:p w14:paraId="2927417C" w14:textId="77777777" w:rsidR="00CE473F" w:rsidRDefault="00CE473F" w:rsidP="009A20E5">
      <w:pPr>
        <w:spacing w:line="300" w:lineRule="atLeast"/>
      </w:pPr>
      <w:proofErr w:type="spellStart"/>
      <w:proofErr w:type="gramStart"/>
      <w:r>
        <w:t>MfE</w:t>
      </w:r>
      <w:proofErr w:type="spellEnd"/>
      <w:r>
        <w:t>, 2002.</w:t>
      </w:r>
      <w:proofErr w:type="gramEnd"/>
      <w:r>
        <w:t xml:space="preserve"> </w:t>
      </w:r>
      <w:proofErr w:type="gramStart"/>
      <w:r w:rsidRPr="00CE473F">
        <w:t xml:space="preserve">A Guide to the Management of </w:t>
      </w:r>
      <w:proofErr w:type="spellStart"/>
      <w:r w:rsidRPr="00CE473F">
        <w:t>Cleanfills</w:t>
      </w:r>
      <w:proofErr w:type="spellEnd"/>
      <w:r>
        <w:t>.</w:t>
      </w:r>
      <w:proofErr w:type="gramEnd"/>
      <w:r>
        <w:t xml:space="preserve"> </w:t>
      </w:r>
      <w:proofErr w:type="gramStart"/>
      <w:r w:rsidRPr="00CE473F">
        <w:t>Ministry for the Environment, Wellington</w:t>
      </w:r>
      <w:r>
        <w:t>.</w:t>
      </w:r>
      <w:proofErr w:type="gramEnd"/>
    </w:p>
    <w:p w14:paraId="6475D1EB" w14:textId="77777777" w:rsidR="008C28F1" w:rsidRDefault="009F0589" w:rsidP="009A20E5">
      <w:pPr>
        <w:spacing w:line="300" w:lineRule="atLeast"/>
      </w:pPr>
      <w:proofErr w:type="spellStart"/>
      <w:proofErr w:type="gramStart"/>
      <w:r>
        <w:t>M</w:t>
      </w:r>
      <w:r w:rsidR="008C28F1" w:rsidRPr="008C28F1">
        <w:t>fE</w:t>
      </w:r>
      <w:proofErr w:type="spellEnd"/>
      <w:r w:rsidR="008C28F1" w:rsidRPr="008C28F1">
        <w:t>,</w:t>
      </w:r>
      <w:r w:rsidR="008C28F1">
        <w:rPr>
          <w:vertAlign w:val="superscript"/>
        </w:rPr>
        <w:t xml:space="preserve"> </w:t>
      </w:r>
      <w:r w:rsidR="008C28F1">
        <w:t>2008</w:t>
      </w:r>
      <w:r w:rsidR="001A0F8A">
        <w:t>a</w:t>
      </w:r>
      <w:r w:rsidR="008C28F1">
        <w:t>.</w:t>
      </w:r>
      <w:proofErr w:type="gramEnd"/>
      <w:r w:rsidR="008C28F1">
        <w:t xml:space="preserve">  </w:t>
      </w:r>
      <w:proofErr w:type="gramStart"/>
      <w:r w:rsidR="008C28F1" w:rsidRPr="008C28F1">
        <w:t>Mercury Inventory</w:t>
      </w:r>
      <w:r w:rsidR="008C28F1">
        <w:t xml:space="preserve"> </w:t>
      </w:r>
      <w:r w:rsidR="002D7A99">
        <w:t>for New Zealand, 2008.</w:t>
      </w:r>
      <w:proofErr w:type="gramEnd"/>
      <w:r w:rsidR="002D7A99">
        <w:t xml:space="preserve"> </w:t>
      </w:r>
      <w:proofErr w:type="gramStart"/>
      <w:r w:rsidR="002D7A99" w:rsidRPr="002D7A99">
        <w:t>Ministry for the Environment, Wellington.</w:t>
      </w:r>
      <w:proofErr w:type="gramEnd"/>
    </w:p>
    <w:p w14:paraId="6B9C8FBB" w14:textId="228FD410" w:rsidR="009F0589" w:rsidRDefault="009F0589" w:rsidP="009A20E5">
      <w:pPr>
        <w:spacing w:line="300" w:lineRule="atLeast"/>
      </w:pPr>
      <w:proofErr w:type="spellStart"/>
      <w:r>
        <w:t>MfE</w:t>
      </w:r>
      <w:proofErr w:type="spellEnd"/>
      <w:r>
        <w:t xml:space="preserve">, 2011.New Zealand Inventory of Dioxin Emissions to Air, Land, and Water, and Reservoir Sources: 2011.  </w:t>
      </w:r>
      <w:proofErr w:type="gramStart"/>
      <w:r>
        <w:t>Ministry for the Environment, Wellington.</w:t>
      </w:r>
      <w:proofErr w:type="gramEnd"/>
    </w:p>
    <w:p w14:paraId="5314D434" w14:textId="0283ED31" w:rsidR="004F1A64" w:rsidRDefault="0084664C" w:rsidP="009A20E5">
      <w:pPr>
        <w:spacing w:line="300" w:lineRule="atLeast"/>
        <w:rPr>
          <w:lang w:val="en-US"/>
        </w:rPr>
      </w:pPr>
      <w:proofErr w:type="spellStart"/>
      <w:proofErr w:type="gramStart"/>
      <w:r>
        <w:t>MfE</w:t>
      </w:r>
      <w:proofErr w:type="spellEnd"/>
      <w:r>
        <w:t>, 2017</w:t>
      </w:r>
      <w:r w:rsidR="004F1A64">
        <w:t>.</w:t>
      </w:r>
      <w:proofErr w:type="gramEnd"/>
      <w:r w:rsidR="004F1A64">
        <w:t xml:space="preserve"> </w:t>
      </w:r>
      <w:r w:rsidR="004F1A64" w:rsidRPr="004F1A64">
        <w:rPr>
          <w:lang w:val="en-US"/>
        </w:rPr>
        <w:t>New Zealand’s Gr</w:t>
      </w:r>
      <w:r>
        <w:rPr>
          <w:lang w:val="en-US"/>
        </w:rPr>
        <w:t>eenhouse Gas Inventory 1990–2015</w:t>
      </w:r>
      <w:r w:rsidR="004F1A64" w:rsidRPr="004F1A64">
        <w:rPr>
          <w:lang w:val="en-US"/>
        </w:rPr>
        <w:t xml:space="preserve">. </w:t>
      </w:r>
      <w:proofErr w:type="gramStart"/>
      <w:r w:rsidR="004F1A64" w:rsidRPr="004F1A64">
        <w:rPr>
          <w:lang w:val="en-US"/>
        </w:rPr>
        <w:t>Ministry for th</w:t>
      </w:r>
      <w:r w:rsidR="00C93360">
        <w:rPr>
          <w:lang w:val="en-US"/>
        </w:rPr>
        <w:t>e Environment,</w:t>
      </w:r>
      <w:r w:rsidR="00C93360" w:rsidRPr="00C93360">
        <w:rPr>
          <w:lang w:val="en-US"/>
        </w:rPr>
        <w:t xml:space="preserve"> </w:t>
      </w:r>
      <w:r w:rsidR="00C93360" w:rsidRPr="004F1A64">
        <w:rPr>
          <w:lang w:val="en-US"/>
        </w:rPr>
        <w:t>Wellington</w:t>
      </w:r>
      <w:r w:rsidR="00C93360">
        <w:rPr>
          <w:lang w:val="en-US"/>
        </w:rPr>
        <w:t>.</w:t>
      </w:r>
      <w:proofErr w:type="gramEnd"/>
    </w:p>
    <w:p w14:paraId="611DB8C3" w14:textId="77777777" w:rsidR="00430120" w:rsidRDefault="00430120" w:rsidP="009A20E5">
      <w:pPr>
        <w:spacing w:line="300" w:lineRule="atLeast"/>
      </w:pPr>
      <w:proofErr w:type="spellStart"/>
      <w:proofErr w:type="gramStart"/>
      <w:r>
        <w:rPr>
          <w:lang w:val="en-US"/>
        </w:rPr>
        <w:t>MfE</w:t>
      </w:r>
      <w:proofErr w:type="spellEnd"/>
      <w:r>
        <w:rPr>
          <w:lang w:val="en-US"/>
        </w:rPr>
        <w:t>, 2017.</w:t>
      </w:r>
      <w:proofErr w:type="gramEnd"/>
      <w:r>
        <w:rPr>
          <w:lang w:val="en-US"/>
        </w:rPr>
        <w:t xml:space="preserve"> </w:t>
      </w:r>
      <w:r>
        <w:t xml:space="preserve">See: </w:t>
      </w:r>
      <w:hyperlink r:id="rId33" w:history="1">
        <w:r w:rsidRPr="000E782D">
          <w:rPr>
            <w:rStyle w:val="Hyperlink"/>
          </w:rPr>
          <w:t>http://www.mfe.govt.nz/issues/waste/waste-disposal-levy/index.html</w:t>
        </w:r>
      </w:hyperlink>
      <w:r>
        <w:t xml:space="preserve"> and </w:t>
      </w:r>
      <w:hyperlink r:id="rId34" w:history="1">
        <w:r w:rsidRPr="00E27748">
          <w:rPr>
            <w:rStyle w:val="Hyperlink"/>
          </w:rPr>
          <w:t>http://www.mfe.govt.nz/issues/waste/progress-and-outcomes/waste-disposal-levy.html</w:t>
        </w:r>
      </w:hyperlink>
    </w:p>
    <w:p w14:paraId="4C4603EE" w14:textId="77777777" w:rsidR="00746C34" w:rsidRDefault="00746C34" w:rsidP="006A5610">
      <w:pPr>
        <w:spacing w:line="300" w:lineRule="atLeast"/>
      </w:pPr>
      <w:proofErr w:type="spellStart"/>
      <w:proofErr w:type="gramStart"/>
      <w:r>
        <w:t>MoH</w:t>
      </w:r>
      <w:proofErr w:type="spellEnd"/>
      <w:r>
        <w:t>, 20</w:t>
      </w:r>
      <w:r w:rsidR="005A008C">
        <w:t>1</w:t>
      </w:r>
      <w:r>
        <w:t>0.</w:t>
      </w:r>
      <w:proofErr w:type="gramEnd"/>
      <w:r>
        <w:t xml:space="preserve"> </w:t>
      </w:r>
      <w:proofErr w:type="gramStart"/>
      <w:r w:rsidR="006A5610">
        <w:t xml:space="preserve">Our Oral Health; Key </w:t>
      </w:r>
      <w:r w:rsidR="005A008C">
        <w:t xml:space="preserve">Findings </w:t>
      </w:r>
      <w:r w:rsidR="006A5610">
        <w:t>of the 2009 New Zealand Oral Health Survey</w:t>
      </w:r>
      <w:r>
        <w:t>.</w:t>
      </w:r>
      <w:proofErr w:type="gramEnd"/>
      <w:r w:rsidR="006A5610">
        <w:t xml:space="preserve"> </w:t>
      </w:r>
      <w:proofErr w:type="gramStart"/>
      <w:r w:rsidR="006A5610">
        <w:t>Ministry of Health, Wellington.</w:t>
      </w:r>
      <w:proofErr w:type="gramEnd"/>
    </w:p>
    <w:p w14:paraId="5B0C9EDC" w14:textId="77777777" w:rsidR="00653E3B" w:rsidRPr="00653E3B" w:rsidRDefault="00653E3B" w:rsidP="00653E3B">
      <w:pPr>
        <w:spacing w:line="300" w:lineRule="atLeast"/>
      </w:pPr>
      <w:proofErr w:type="spellStart"/>
      <w:proofErr w:type="gramStart"/>
      <w:r w:rsidRPr="00653E3B">
        <w:t>MoH</w:t>
      </w:r>
      <w:proofErr w:type="spellEnd"/>
      <w:r w:rsidRPr="00653E3B">
        <w:t>, 2016.</w:t>
      </w:r>
      <w:proofErr w:type="gramEnd"/>
      <w:r w:rsidRPr="00653E3B">
        <w:t xml:space="preserve">  </w:t>
      </w:r>
      <w:proofErr w:type="gramStart"/>
      <w:r w:rsidRPr="00653E3B">
        <w:t>Immunisation Handbook 2014, 3</w:t>
      </w:r>
      <w:r w:rsidRPr="00653E3B">
        <w:rPr>
          <w:vertAlign w:val="superscript"/>
        </w:rPr>
        <w:t>rd</w:t>
      </w:r>
      <w:r w:rsidRPr="00653E3B">
        <w:t xml:space="preserve"> edition, December 2016.</w:t>
      </w:r>
      <w:proofErr w:type="gramEnd"/>
      <w:r w:rsidRPr="00653E3B">
        <w:t xml:space="preserve"> </w:t>
      </w:r>
      <w:proofErr w:type="gramStart"/>
      <w:r w:rsidRPr="00653E3B">
        <w:t>Ministry of Health, Wellington.</w:t>
      </w:r>
      <w:proofErr w:type="gramEnd"/>
    </w:p>
    <w:p w14:paraId="35119B4D" w14:textId="77777777" w:rsidR="0038126D" w:rsidRDefault="0038126D" w:rsidP="009A20E5">
      <w:pPr>
        <w:spacing w:line="300" w:lineRule="atLeast"/>
      </w:pPr>
      <w:proofErr w:type="spellStart"/>
      <w:r>
        <w:t>Newcombe</w:t>
      </w:r>
      <w:proofErr w:type="spellEnd"/>
      <w:r>
        <w:t xml:space="preserve">, VC, 2008.  Mercury Use in the Goldmining Industry: A retrospective examination of elemental mercury use in the gold mining industry of the West Coast of New Zealand in the period 1984 – 1988. </w:t>
      </w:r>
      <w:proofErr w:type="gramStart"/>
      <w:r>
        <w:t>MPhil (science) thesis, Massey University, Wellington.</w:t>
      </w:r>
      <w:proofErr w:type="gramEnd"/>
    </w:p>
    <w:p w14:paraId="7F7FAAA4" w14:textId="77777777" w:rsidR="00AD30EF" w:rsidRDefault="00AD30EF" w:rsidP="009A20E5">
      <w:pPr>
        <w:spacing w:line="300" w:lineRule="atLeast"/>
      </w:pPr>
      <w:proofErr w:type="gramStart"/>
      <w:r>
        <w:t>NZIC, 199</w:t>
      </w:r>
      <w:r w:rsidR="001E5DEF">
        <w:t>8</w:t>
      </w:r>
      <w:r w:rsidR="00165A2A">
        <w:t>a</w:t>
      </w:r>
      <w:r>
        <w:t>.</w:t>
      </w:r>
      <w:proofErr w:type="gramEnd"/>
      <w:r>
        <w:t xml:space="preserve">  Steel </w:t>
      </w:r>
      <w:proofErr w:type="gramStart"/>
      <w:r>
        <w:t>Making</w:t>
      </w:r>
      <w:proofErr w:type="gramEnd"/>
      <w:r>
        <w:t>, in Chemical Processes in New Zealand, 2</w:t>
      </w:r>
      <w:r w:rsidRPr="00AD30EF">
        <w:rPr>
          <w:vertAlign w:val="superscript"/>
        </w:rPr>
        <w:t>nd</w:t>
      </w:r>
      <w:r>
        <w:t xml:space="preserve"> Edition, volume 2. </w:t>
      </w:r>
      <w:proofErr w:type="gramStart"/>
      <w:r>
        <w:t>NZ Institute of Chemistry, Auckland.</w:t>
      </w:r>
      <w:proofErr w:type="gramEnd"/>
    </w:p>
    <w:p w14:paraId="5FC25554" w14:textId="77777777" w:rsidR="00165A2A" w:rsidRPr="00165A2A" w:rsidRDefault="001E5DEF" w:rsidP="009A20E5">
      <w:pPr>
        <w:spacing w:line="300" w:lineRule="atLeast"/>
      </w:pPr>
      <w:proofErr w:type="gramStart"/>
      <w:r>
        <w:t>NZIC, 19</w:t>
      </w:r>
      <w:r w:rsidR="00165A2A" w:rsidRPr="00165A2A">
        <w:t>9</w:t>
      </w:r>
      <w:r>
        <w:t>8</w:t>
      </w:r>
      <w:r w:rsidR="00165A2A">
        <w:t>b</w:t>
      </w:r>
      <w:r w:rsidR="00165A2A" w:rsidRPr="00165A2A">
        <w:t>.</w:t>
      </w:r>
      <w:proofErr w:type="gramEnd"/>
      <w:r w:rsidR="00165A2A" w:rsidRPr="00165A2A">
        <w:t xml:space="preserve">  </w:t>
      </w:r>
      <w:proofErr w:type="gramStart"/>
      <w:r w:rsidR="00165A2A">
        <w:t>The Manufacture of Sulfuric Acid and Superphosphate</w:t>
      </w:r>
      <w:r w:rsidR="00165A2A" w:rsidRPr="00165A2A">
        <w:t>, in Chemical Processes in New Zealand, 2</w:t>
      </w:r>
      <w:r w:rsidR="00165A2A" w:rsidRPr="00165A2A">
        <w:rPr>
          <w:vertAlign w:val="superscript"/>
        </w:rPr>
        <w:t>nd</w:t>
      </w:r>
      <w:r w:rsidR="00165A2A" w:rsidRPr="00165A2A">
        <w:t xml:space="preserve"> Edition, volume </w:t>
      </w:r>
      <w:r w:rsidR="00165A2A">
        <w:t>1</w:t>
      </w:r>
      <w:r w:rsidR="00165A2A" w:rsidRPr="00165A2A">
        <w:t>.</w:t>
      </w:r>
      <w:proofErr w:type="gramEnd"/>
      <w:r w:rsidR="00165A2A" w:rsidRPr="00165A2A">
        <w:t xml:space="preserve"> </w:t>
      </w:r>
      <w:proofErr w:type="gramStart"/>
      <w:r w:rsidR="00165A2A" w:rsidRPr="00165A2A">
        <w:t>NZ Institute of Chemistry, Auckland.</w:t>
      </w:r>
      <w:proofErr w:type="gramEnd"/>
    </w:p>
    <w:p w14:paraId="3D506C2E" w14:textId="77777777" w:rsidR="00165A2A" w:rsidRDefault="00715441" w:rsidP="009A20E5">
      <w:pPr>
        <w:spacing w:line="300" w:lineRule="atLeast"/>
      </w:pPr>
      <w:proofErr w:type="gramStart"/>
      <w:r>
        <w:lastRenderedPageBreak/>
        <w:t>NZFMRA, 2013.</w:t>
      </w:r>
      <w:proofErr w:type="gramEnd"/>
      <w:r>
        <w:t xml:space="preserve"> Fertiliser guidelines obtained from the Fertiliser Association web site (</w:t>
      </w:r>
      <w:hyperlink r:id="rId35" w:history="1">
        <w:r w:rsidRPr="00715441">
          <w:rPr>
            <w:rStyle w:val="Hyperlink"/>
            <w:lang w:val="en-US"/>
          </w:rPr>
          <w:t>www.fertiliser.org.nz</w:t>
        </w:r>
      </w:hyperlink>
      <w:r>
        <w:t>), May 2013.</w:t>
      </w:r>
    </w:p>
    <w:p w14:paraId="5152F36E" w14:textId="371A606C" w:rsidR="00A429F6" w:rsidRDefault="00A429F6" w:rsidP="009A20E5">
      <w:pPr>
        <w:spacing w:line="300" w:lineRule="atLeast"/>
      </w:pPr>
      <w:proofErr w:type="gramStart"/>
      <w:r>
        <w:t>NZGA, 2017.</w:t>
      </w:r>
      <w:proofErr w:type="gramEnd"/>
      <w:r w:rsidR="00C55B14">
        <w:t xml:space="preserve"> New Zealand Geothermal Association web site</w:t>
      </w:r>
      <w:r>
        <w:t xml:space="preserve"> </w:t>
      </w:r>
      <w:hyperlink r:id="rId36" w:history="1">
        <w:r w:rsidRPr="00264A54">
          <w:rPr>
            <w:rStyle w:val="Hyperlink"/>
          </w:rPr>
          <w:t>http://www.nzgeothermal.org.nz/elec_geo.html</w:t>
        </w:r>
      </w:hyperlink>
      <w:r>
        <w:t>, accessed May 2017.</w:t>
      </w:r>
    </w:p>
    <w:p w14:paraId="7651B12D" w14:textId="77777777" w:rsidR="00084616" w:rsidRDefault="00084616" w:rsidP="00084616">
      <w:pPr>
        <w:spacing w:line="300" w:lineRule="atLeast"/>
      </w:pPr>
      <w:proofErr w:type="spellStart"/>
      <w:r w:rsidRPr="00BC61D1">
        <w:rPr>
          <w:szCs w:val="18"/>
        </w:rPr>
        <w:t>Oceana</w:t>
      </w:r>
      <w:proofErr w:type="spellEnd"/>
      <w:r w:rsidRPr="00BC61D1">
        <w:rPr>
          <w:szCs w:val="18"/>
        </w:rPr>
        <w:t xml:space="preserve"> Gold</w:t>
      </w:r>
      <w:r>
        <w:rPr>
          <w:szCs w:val="18"/>
        </w:rPr>
        <w:t xml:space="preserve">, 2017. </w:t>
      </w:r>
      <w:r w:rsidRPr="00BC61D1">
        <w:rPr>
          <w:szCs w:val="18"/>
        </w:rPr>
        <w:t>Annual Information for t</w:t>
      </w:r>
      <w:r>
        <w:rPr>
          <w:szCs w:val="18"/>
        </w:rPr>
        <w:t xml:space="preserve">he year ended December 31, 2016. </w:t>
      </w:r>
      <w:proofErr w:type="spellStart"/>
      <w:r>
        <w:rPr>
          <w:szCs w:val="18"/>
        </w:rPr>
        <w:t>Oceana</w:t>
      </w:r>
      <w:proofErr w:type="spellEnd"/>
      <w:r>
        <w:rPr>
          <w:szCs w:val="18"/>
        </w:rPr>
        <w:t xml:space="preserve"> Gold Corporation, Melbourne, 31 March 2017.</w:t>
      </w:r>
    </w:p>
    <w:p w14:paraId="370712F8" w14:textId="77777777" w:rsidR="00D52736" w:rsidRDefault="00D52736" w:rsidP="009A20E5">
      <w:pPr>
        <w:spacing w:line="300" w:lineRule="atLeast"/>
      </w:pPr>
      <w:proofErr w:type="spellStart"/>
      <w:r>
        <w:t>Penumarthy</w:t>
      </w:r>
      <w:proofErr w:type="spellEnd"/>
      <w:r>
        <w:t xml:space="preserve">, L, </w:t>
      </w:r>
      <w:proofErr w:type="spellStart"/>
      <w:r>
        <w:t>Oehme</w:t>
      </w:r>
      <w:proofErr w:type="spellEnd"/>
      <w:r>
        <w:t xml:space="preserve">, FW and Hayes, RH, 1980. Lead, Cadmium and Mercury Tissue Residues in Healthy Swine, Cattle, Dogs and Horses from the Midwestern United States. Arch. Environ. </w:t>
      </w:r>
      <w:proofErr w:type="spellStart"/>
      <w:proofErr w:type="gramStart"/>
      <w:r>
        <w:t>Contam</w:t>
      </w:r>
      <w:proofErr w:type="spellEnd"/>
      <w:r>
        <w:t>.</w:t>
      </w:r>
      <w:proofErr w:type="gramEnd"/>
      <w:r>
        <w:t xml:space="preserve"> </w:t>
      </w:r>
      <w:proofErr w:type="spellStart"/>
      <w:proofErr w:type="gramStart"/>
      <w:r>
        <w:t>Toxicol</w:t>
      </w:r>
      <w:proofErr w:type="spellEnd"/>
      <w:r>
        <w:t>.</w:t>
      </w:r>
      <w:proofErr w:type="gramEnd"/>
      <w:r>
        <w:t xml:space="preserve"> </w:t>
      </w:r>
      <w:proofErr w:type="gramStart"/>
      <w:r>
        <w:t>V9 p193 – 206.</w:t>
      </w:r>
      <w:proofErr w:type="gramEnd"/>
    </w:p>
    <w:p w14:paraId="256F853E" w14:textId="1D03980E" w:rsidR="00084616" w:rsidRDefault="00084616" w:rsidP="009A20E5">
      <w:pPr>
        <w:spacing w:line="300" w:lineRule="atLeast"/>
      </w:pPr>
      <w:proofErr w:type="gramStart"/>
      <w:r>
        <w:t>PSL, 2017.</w:t>
      </w:r>
      <w:proofErr w:type="gramEnd"/>
      <w:r w:rsidR="00C55B14">
        <w:t xml:space="preserve"> Pacific Steel limited web site</w:t>
      </w:r>
      <w:r>
        <w:t xml:space="preserve"> </w:t>
      </w:r>
      <w:hyperlink r:id="rId37" w:history="1">
        <w:r w:rsidRPr="003213E9">
          <w:rPr>
            <w:rStyle w:val="Hyperlink"/>
          </w:rPr>
          <w:t>http://www.pacificsteel.co.nz/about/our-history/</w:t>
        </w:r>
      </w:hyperlink>
      <w:r w:rsidR="00914B36">
        <w:rPr>
          <w:rStyle w:val="Hyperlink"/>
        </w:rPr>
        <w:t>,</w:t>
      </w:r>
      <w:r>
        <w:t xml:space="preserve"> accessed May 2017.</w:t>
      </w:r>
    </w:p>
    <w:p w14:paraId="583FFE48" w14:textId="77777777" w:rsidR="00653E3B" w:rsidRDefault="00653E3B" w:rsidP="009A20E5">
      <w:pPr>
        <w:spacing w:line="300" w:lineRule="atLeast"/>
      </w:pPr>
      <w:proofErr w:type="gramStart"/>
      <w:r w:rsidRPr="00653E3B">
        <w:t>Tonkin and Taylor 2013.</w:t>
      </w:r>
      <w:proofErr w:type="gramEnd"/>
      <w:r w:rsidRPr="00653E3B">
        <w:t xml:space="preserve">  </w:t>
      </w:r>
      <w:proofErr w:type="gramStart"/>
      <w:r w:rsidRPr="00653E3B">
        <w:t>Assessment of Appropriate Disposal Options for Household (Dry Cell) Batteries (T and T ref. 29540).</w:t>
      </w:r>
      <w:proofErr w:type="gramEnd"/>
      <w:r w:rsidRPr="00653E3B">
        <w:t xml:space="preserve">  Report prepared for Auckland Council by Tonkin and Taylor Ltd.</w:t>
      </w:r>
    </w:p>
    <w:p w14:paraId="69A661BF" w14:textId="77777777" w:rsidR="00C738EC" w:rsidRDefault="00C738EC" w:rsidP="00C738EC">
      <w:pPr>
        <w:spacing w:line="300" w:lineRule="atLeast"/>
      </w:pPr>
      <w:proofErr w:type="gramStart"/>
      <w:r>
        <w:t>UNEP, 2013</w:t>
      </w:r>
      <w:r w:rsidRPr="00C817BD">
        <w:t>.</w:t>
      </w:r>
      <w:proofErr w:type="gramEnd"/>
      <w:r w:rsidRPr="00C817BD">
        <w:t xml:space="preserve"> </w:t>
      </w:r>
      <w:proofErr w:type="gramStart"/>
      <w:r w:rsidRPr="00C817BD">
        <w:t xml:space="preserve">Toolkit for </w:t>
      </w:r>
      <w:r w:rsidRPr="005A008C">
        <w:t>Identification and Quantification of Mercury Releases</w:t>
      </w:r>
      <w:r>
        <w:t>, 2</w:t>
      </w:r>
      <w:r w:rsidRPr="00D53F1D">
        <w:rPr>
          <w:vertAlign w:val="superscript"/>
        </w:rPr>
        <w:t>nd</w:t>
      </w:r>
      <w:r>
        <w:t xml:space="preserve"> edition, version 1.2, April 2013.</w:t>
      </w:r>
      <w:proofErr w:type="gramEnd"/>
      <w:r>
        <w:t xml:space="preserve"> </w:t>
      </w:r>
      <w:r w:rsidRPr="005A008C">
        <w:t>United Nations Environment Programme, Geneva.</w:t>
      </w:r>
    </w:p>
    <w:p w14:paraId="2F00C104" w14:textId="77777777" w:rsidR="00C817BD" w:rsidRDefault="00C738EC" w:rsidP="009A20E5">
      <w:pPr>
        <w:spacing w:line="300" w:lineRule="atLeast"/>
      </w:pPr>
      <w:proofErr w:type="gramStart"/>
      <w:r>
        <w:t>UNEP, 2017</w:t>
      </w:r>
      <w:r w:rsidR="00C817BD" w:rsidRPr="00C817BD">
        <w:t>.</w:t>
      </w:r>
      <w:proofErr w:type="gramEnd"/>
      <w:r w:rsidR="00C817BD" w:rsidRPr="00C817BD">
        <w:t xml:space="preserve"> </w:t>
      </w:r>
      <w:proofErr w:type="gramStart"/>
      <w:r w:rsidR="00C817BD" w:rsidRPr="00C817BD">
        <w:t xml:space="preserve">Toolkit for </w:t>
      </w:r>
      <w:r w:rsidR="005A008C" w:rsidRPr="005A008C">
        <w:t>Identification and Quantification of Mercury Releases</w:t>
      </w:r>
      <w:r w:rsidR="00D53F1D">
        <w:t>, 2</w:t>
      </w:r>
      <w:r w:rsidR="00D53F1D" w:rsidRPr="00D53F1D">
        <w:rPr>
          <w:vertAlign w:val="superscript"/>
        </w:rPr>
        <w:t>nd</w:t>
      </w:r>
      <w:r>
        <w:t xml:space="preserve"> edition, version 1.4</w:t>
      </w:r>
      <w:r w:rsidR="00D53F1D">
        <w:t xml:space="preserve">, </w:t>
      </w:r>
      <w:r>
        <w:t>January</w:t>
      </w:r>
      <w:r w:rsidR="00D53F1D">
        <w:t xml:space="preserve"> 201</w:t>
      </w:r>
      <w:r>
        <w:t>7</w:t>
      </w:r>
      <w:r w:rsidR="00D53F1D">
        <w:t>.</w:t>
      </w:r>
      <w:proofErr w:type="gramEnd"/>
      <w:r w:rsidR="005A008C">
        <w:t xml:space="preserve"> </w:t>
      </w:r>
      <w:r w:rsidR="005A008C" w:rsidRPr="005A008C">
        <w:t>United Nations Environment Programme, Geneva.</w:t>
      </w:r>
    </w:p>
    <w:p w14:paraId="62CE02AB" w14:textId="448D9B06" w:rsidR="00914B36" w:rsidRDefault="00914B36" w:rsidP="00D46008">
      <w:pPr>
        <w:spacing w:line="300" w:lineRule="atLeast"/>
      </w:pPr>
      <w:r>
        <w:t xml:space="preserve">Water NZ, 2017. </w:t>
      </w:r>
      <w:proofErr w:type="gramStart"/>
      <w:r w:rsidR="00C55B14">
        <w:t xml:space="preserve">National wastewater treatment plant database; </w:t>
      </w:r>
      <w:hyperlink r:id="rId38" w:history="1">
        <w:r w:rsidRPr="008F1949">
          <w:rPr>
            <w:rStyle w:val="Hyperlink"/>
            <w:szCs w:val="18"/>
          </w:rPr>
          <w:t>www.waternz.org.nz/WWTPInventory</w:t>
        </w:r>
      </w:hyperlink>
      <w:r>
        <w:rPr>
          <w:szCs w:val="18"/>
        </w:rPr>
        <w:t xml:space="preserve">, </w:t>
      </w:r>
      <w:r w:rsidR="00C55B14">
        <w:t xml:space="preserve">Water New Zealand, </w:t>
      </w:r>
      <w:r>
        <w:rPr>
          <w:szCs w:val="18"/>
        </w:rPr>
        <w:t>accessed May 2017.</w:t>
      </w:r>
      <w:proofErr w:type="gramEnd"/>
    </w:p>
    <w:p w14:paraId="57F38F2F" w14:textId="77777777" w:rsidR="007978DA" w:rsidRPr="003833D6" w:rsidRDefault="007978DA" w:rsidP="003833D6">
      <w:pPr>
        <w:spacing w:line="300" w:lineRule="atLeast"/>
        <w:jc w:val="both"/>
        <w:rPr>
          <w:szCs w:val="18"/>
        </w:rPr>
      </w:pPr>
    </w:p>
    <w:sectPr w:rsidR="007978DA" w:rsidRPr="003833D6" w:rsidSect="0094046F">
      <w:headerReference w:type="default" r:id="rId39"/>
      <w:footerReference w:type="default" r:id="rId40"/>
      <w:headerReference w:type="first" r:id="rId41"/>
      <w:endnotePr>
        <w:numFmt w:val="decimal"/>
      </w:endnotePr>
      <w:pgSz w:w="11907" w:h="16840" w:code="9"/>
      <w:pgMar w:top="1418" w:right="1418" w:bottom="1440"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28C23" w14:textId="77777777" w:rsidR="00535C00" w:rsidRDefault="00535C00"/>
  </w:endnote>
  <w:endnote w:type="continuationSeparator" w:id="0">
    <w:p w14:paraId="31AF546D" w14:textId="77777777" w:rsidR="00535C00" w:rsidRDefault="00535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1AC28" w14:textId="77777777" w:rsidR="00316995" w:rsidRDefault="00316995" w:rsidP="00D15B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78666E1" w14:textId="77777777" w:rsidR="00316995" w:rsidRPr="003F4BD9" w:rsidRDefault="00316995" w:rsidP="00394F37">
    <w:pPr>
      <w:pStyle w:val="Footer"/>
      <w:tabs>
        <w:tab w:val="clear" w:pos="4320"/>
        <w:tab w:val="clear" w:pos="8640"/>
        <w:tab w:val="center" w:pos="3686"/>
        <w:tab w:val="right" w:pos="9072"/>
      </w:tabs>
      <w:ind w:right="360"/>
      <w:jc w:val="center"/>
      <w:rPr>
        <w:rFonts w:ascii="Verdana" w:hAnsi="Verdana"/>
        <w:b/>
        <w:sz w:val="16"/>
        <w:szCs w:val="16"/>
      </w:rPr>
    </w:pPr>
    <w:r>
      <w:rPr>
        <w:rStyle w:val="PageNumber"/>
        <w:rFonts w:ascii="Verdana" w:hAnsi="Verdana"/>
        <w:b/>
        <w:sz w:val="16"/>
        <w:szCs w:val="16"/>
      </w:rPr>
      <w:t>The Hub Development</w:t>
    </w:r>
    <w:r w:rsidRPr="003F4BD9">
      <w:rPr>
        <w:rStyle w:val="PageNumber"/>
        <w:rFonts w:ascii="Verdana" w:hAnsi="Verdana"/>
        <w:b/>
        <w:sz w:val="16"/>
        <w:szCs w:val="16"/>
      </w:rPr>
      <w:tab/>
    </w:r>
    <w:r w:rsidRPr="003F4BD9">
      <w:rPr>
        <w:rStyle w:val="PageNumber"/>
        <w:rFonts w:ascii="Verdana" w:hAnsi="Verdana"/>
        <w:b/>
        <w:sz w:val="16"/>
        <w:szCs w:val="16"/>
      </w:rPr>
      <w:tab/>
    </w:r>
    <w:r>
      <w:rPr>
        <w:rStyle w:val="PageNumber"/>
        <w:rFonts w:ascii="Verdana" w:hAnsi="Verdana"/>
        <w:b/>
        <w:sz w:val="16"/>
        <w:szCs w:val="16"/>
      </w:rPr>
      <w:t>Review of Dewatering Consent Decision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81975" w14:textId="6D7C64BA" w:rsidR="00316995" w:rsidRPr="005F707F" w:rsidRDefault="00316995" w:rsidP="00FC1FE0">
    <w:pPr>
      <w:pStyle w:val="Footer"/>
      <w:tabs>
        <w:tab w:val="clear" w:pos="4320"/>
        <w:tab w:val="clear" w:pos="8640"/>
        <w:tab w:val="center" w:pos="4536"/>
        <w:tab w:val="right" w:pos="9072"/>
      </w:tabs>
      <w:ind w:right="360"/>
      <w:jc w:val="center"/>
      <w:rPr>
        <w:rFonts w:ascii="Verdana" w:hAnsi="Verdana"/>
        <w:b/>
        <w:color w:val="A6A6A6"/>
        <w:sz w:val="16"/>
        <w:szCs w:val="16"/>
      </w:rPr>
    </w:pPr>
    <w:r w:rsidRPr="005F707F">
      <w:rPr>
        <w:rStyle w:val="PageNumber"/>
        <w:rFonts w:ascii="Verdana" w:hAnsi="Verdana"/>
        <w:b/>
        <w:color w:val="A6A6A6"/>
        <w:sz w:val="16"/>
        <w:szCs w:val="16"/>
      </w:rPr>
      <w:tab/>
    </w:r>
    <w:r w:rsidRPr="005F707F">
      <w:rPr>
        <w:rStyle w:val="PageNumber"/>
        <w:rFonts w:ascii="Verdana" w:hAnsi="Verdana"/>
        <w:b/>
        <w:color w:val="A6A6A6"/>
        <w:sz w:val="16"/>
        <w:szCs w:val="16"/>
      </w:rPr>
      <w:fldChar w:fldCharType="begin"/>
    </w:r>
    <w:r w:rsidRPr="005F707F">
      <w:rPr>
        <w:rStyle w:val="PageNumber"/>
        <w:rFonts w:ascii="Verdana" w:hAnsi="Verdana"/>
        <w:b/>
        <w:color w:val="A6A6A6"/>
        <w:sz w:val="16"/>
        <w:szCs w:val="16"/>
      </w:rPr>
      <w:instrText xml:space="preserve"> PAGE </w:instrText>
    </w:r>
    <w:r w:rsidRPr="005F707F">
      <w:rPr>
        <w:rStyle w:val="PageNumber"/>
        <w:rFonts w:ascii="Verdana" w:hAnsi="Verdana"/>
        <w:b/>
        <w:color w:val="A6A6A6"/>
        <w:sz w:val="16"/>
        <w:szCs w:val="16"/>
      </w:rPr>
      <w:fldChar w:fldCharType="separate"/>
    </w:r>
    <w:r w:rsidR="005D7893">
      <w:rPr>
        <w:rStyle w:val="PageNumber"/>
        <w:rFonts w:ascii="Verdana" w:hAnsi="Verdana"/>
        <w:b/>
        <w:noProof/>
        <w:color w:val="A6A6A6"/>
        <w:sz w:val="16"/>
        <w:szCs w:val="16"/>
      </w:rPr>
      <w:t>iii</w:t>
    </w:r>
    <w:r w:rsidRPr="005F707F">
      <w:rPr>
        <w:rStyle w:val="PageNumber"/>
        <w:rFonts w:ascii="Verdana" w:hAnsi="Verdana"/>
        <w:b/>
        <w:color w:val="A6A6A6"/>
        <w:sz w:val="16"/>
        <w:szCs w:val="16"/>
      </w:rPr>
      <w:fldChar w:fldCharType="end"/>
    </w:r>
    <w:r w:rsidRPr="005F707F">
      <w:rPr>
        <w:rStyle w:val="PageNumber"/>
        <w:rFonts w:ascii="Verdana" w:hAnsi="Verdana"/>
        <w:b/>
        <w:color w:val="A6A6A6"/>
        <w:sz w:val="16"/>
        <w:szCs w:val="16"/>
      </w:rPr>
      <w:tab/>
    </w:r>
    <w:r>
      <w:rPr>
        <w:rStyle w:val="PageNumber"/>
        <w:rFonts w:ascii="Verdana" w:hAnsi="Verdana"/>
        <w:b/>
        <w:color w:val="A6A6A6"/>
        <w:sz w:val="16"/>
        <w:szCs w:val="16"/>
      </w:rPr>
      <w:t>June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EDBAD" w14:textId="3082E491" w:rsidR="00316995" w:rsidRPr="005F707F" w:rsidRDefault="00316995" w:rsidP="00FC1FE0">
    <w:pPr>
      <w:pStyle w:val="Footer"/>
      <w:tabs>
        <w:tab w:val="clear" w:pos="4320"/>
        <w:tab w:val="clear" w:pos="8640"/>
        <w:tab w:val="center" w:pos="4536"/>
        <w:tab w:val="right" w:pos="9072"/>
      </w:tabs>
      <w:ind w:right="360"/>
      <w:jc w:val="center"/>
      <w:rPr>
        <w:rFonts w:ascii="Verdana" w:hAnsi="Verdana"/>
        <w:b/>
        <w:color w:val="A6A6A6"/>
        <w:sz w:val="16"/>
        <w:szCs w:val="16"/>
      </w:rPr>
    </w:pPr>
    <w:r w:rsidRPr="005F707F">
      <w:rPr>
        <w:rStyle w:val="PageNumber"/>
        <w:rFonts w:ascii="Verdana" w:hAnsi="Verdana"/>
        <w:b/>
        <w:color w:val="A6A6A6"/>
        <w:sz w:val="16"/>
        <w:szCs w:val="16"/>
      </w:rPr>
      <w:tab/>
    </w:r>
    <w:r w:rsidRPr="005F707F">
      <w:rPr>
        <w:rStyle w:val="PageNumber"/>
        <w:rFonts w:ascii="Verdana" w:hAnsi="Verdana"/>
        <w:b/>
        <w:color w:val="A6A6A6"/>
        <w:sz w:val="16"/>
        <w:szCs w:val="16"/>
      </w:rPr>
      <w:fldChar w:fldCharType="begin"/>
    </w:r>
    <w:r w:rsidRPr="005F707F">
      <w:rPr>
        <w:rStyle w:val="PageNumber"/>
        <w:rFonts w:ascii="Verdana" w:hAnsi="Verdana"/>
        <w:b/>
        <w:color w:val="A6A6A6"/>
        <w:sz w:val="16"/>
        <w:szCs w:val="16"/>
      </w:rPr>
      <w:instrText xml:space="preserve"> PAGE </w:instrText>
    </w:r>
    <w:r w:rsidRPr="005F707F">
      <w:rPr>
        <w:rStyle w:val="PageNumber"/>
        <w:rFonts w:ascii="Verdana" w:hAnsi="Verdana"/>
        <w:b/>
        <w:color w:val="A6A6A6"/>
        <w:sz w:val="16"/>
        <w:szCs w:val="16"/>
      </w:rPr>
      <w:fldChar w:fldCharType="separate"/>
    </w:r>
    <w:r w:rsidR="005D7893">
      <w:rPr>
        <w:rStyle w:val="PageNumber"/>
        <w:rFonts w:ascii="Verdana" w:hAnsi="Verdana"/>
        <w:b/>
        <w:noProof/>
        <w:color w:val="A6A6A6"/>
        <w:sz w:val="16"/>
        <w:szCs w:val="16"/>
      </w:rPr>
      <w:t>vi</w:t>
    </w:r>
    <w:r w:rsidRPr="005F707F">
      <w:rPr>
        <w:rStyle w:val="PageNumber"/>
        <w:rFonts w:ascii="Verdana" w:hAnsi="Verdana"/>
        <w:b/>
        <w:color w:val="A6A6A6"/>
        <w:sz w:val="16"/>
        <w:szCs w:val="16"/>
      </w:rPr>
      <w:fldChar w:fldCharType="end"/>
    </w:r>
    <w:r w:rsidRPr="005F707F">
      <w:rPr>
        <w:rStyle w:val="PageNumber"/>
        <w:rFonts w:ascii="Verdana" w:hAnsi="Verdana"/>
        <w:b/>
        <w:color w:val="A6A6A6"/>
        <w:sz w:val="16"/>
        <w:szCs w:val="16"/>
      </w:rPr>
      <w:tab/>
    </w:r>
    <w:r>
      <w:rPr>
        <w:rStyle w:val="PageNumber"/>
        <w:rFonts w:ascii="Verdana" w:hAnsi="Verdana"/>
        <w:b/>
        <w:color w:val="A6A6A6"/>
        <w:sz w:val="16"/>
        <w:szCs w:val="16"/>
      </w:rPr>
      <w:t>June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4F351" w14:textId="05E0CB59" w:rsidR="00316995" w:rsidRPr="00A90C81" w:rsidRDefault="00316995" w:rsidP="00FC1FE0">
    <w:pPr>
      <w:pStyle w:val="Footer"/>
      <w:tabs>
        <w:tab w:val="clear" w:pos="4320"/>
        <w:tab w:val="clear" w:pos="8640"/>
        <w:tab w:val="center" w:pos="4536"/>
        <w:tab w:val="right" w:pos="9072"/>
      </w:tabs>
      <w:jc w:val="center"/>
      <w:rPr>
        <w:rFonts w:ascii="Verdana" w:hAnsi="Verdana"/>
        <w:b/>
        <w:color w:val="A6A6A6"/>
        <w:sz w:val="16"/>
        <w:szCs w:val="16"/>
      </w:rPr>
    </w:pPr>
    <w:r w:rsidRPr="00A90C81">
      <w:rPr>
        <w:rStyle w:val="PageNumber"/>
        <w:rFonts w:ascii="Verdana" w:hAnsi="Verdana"/>
        <w:b/>
        <w:color w:val="A6A6A6"/>
        <w:sz w:val="16"/>
        <w:szCs w:val="16"/>
      </w:rPr>
      <w:tab/>
    </w:r>
    <w:r w:rsidRPr="00A90C81">
      <w:rPr>
        <w:rStyle w:val="PageNumber"/>
        <w:rFonts w:ascii="Verdana" w:hAnsi="Verdana"/>
        <w:b/>
        <w:color w:val="A6A6A6"/>
        <w:sz w:val="16"/>
        <w:szCs w:val="16"/>
      </w:rPr>
      <w:fldChar w:fldCharType="begin"/>
    </w:r>
    <w:r w:rsidRPr="00A90C81">
      <w:rPr>
        <w:rStyle w:val="PageNumber"/>
        <w:rFonts w:ascii="Verdana" w:hAnsi="Verdana"/>
        <w:b/>
        <w:color w:val="A6A6A6"/>
        <w:sz w:val="16"/>
        <w:szCs w:val="16"/>
      </w:rPr>
      <w:instrText xml:space="preserve"> PAGE </w:instrText>
    </w:r>
    <w:r w:rsidRPr="00A90C81">
      <w:rPr>
        <w:rStyle w:val="PageNumber"/>
        <w:rFonts w:ascii="Verdana" w:hAnsi="Verdana"/>
        <w:b/>
        <w:color w:val="A6A6A6"/>
        <w:sz w:val="16"/>
        <w:szCs w:val="16"/>
      </w:rPr>
      <w:fldChar w:fldCharType="separate"/>
    </w:r>
    <w:r w:rsidR="005D7893">
      <w:rPr>
        <w:rStyle w:val="PageNumber"/>
        <w:rFonts w:ascii="Verdana" w:hAnsi="Verdana"/>
        <w:b/>
        <w:noProof/>
        <w:color w:val="A6A6A6"/>
        <w:sz w:val="16"/>
        <w:szCs w:val="16"/>
      </w:rPr>
      <w:t>6</w:t>
    </w:r>
    <w:r w:rsidRPr="00A90C81">
      <w:rPr>
        <w:rStyle w:val="PageNumber"/>
        <w:rFonts w:ascii="Verdana" w:hAnsi="Verdana"/>
        <w:b/>
        <w:color w:val="A6A6A6"/>
        <w:sz w:val="16"/>
        <w:szCs w:val="16"/>
      </w:rPr>
      <w:fldChar w:fldCharType="end"/>
    </w:r>
    <w:r w:rsidRPr="00A90C81">
      <w:rPr>
        <w:rStyle w:val="PageNumber"/>
        <w:rFonts w:ascii="Verdana" w:hAnsi="Verdana"/>
        <w:b/>
        <w:color w:val="A6A6A6"/>
        <w:sz w:val="16"/>
        <w:szCs w:val="16"/>
      </w:rPr>
      <w:tab/>
    </w:r>
    <w:r>
      <w:rPr>
        <w:rStyle w:val="PageNumber"/>
        <w:rFonts w:ascii="Verdana" w:hAnsi="Verdana"/>
        <w:b/>
        <w:color w:val="A6A6A6"/>
        <w:sz w:val="16"/>
        <w:szCs w:val="16"/>
      </w:rPr>
      <w:t>June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94EBA" w14:textId="701DE162" w:rsidR="00316995" w:rsidRPr="004723B2" w:rsidRDefault="00316995" w:rsidP="004723B2">
    <w:pPr>
      <w:pStyle w:val="Footer"/>
      <w:tabs>
        <w:tab w:val="clear" w:pos="4320"/>
        <w:tab w:val="clear" w:pos="8640"/>
        <w:tab w:val="center" w:pos="4536"/>
        <w:tab w:val="right" w:pos="9072"/>
      </w:tabs>
      <w:jc w:val="center"/>
    </w:pPr>
    <w:r w:rsidRPr="00A90C81">
      <w:rPr>
        <w:rStyle w:val="PageNumber"/>
        <w:rFonts w:ascii="Verdana" w:hAnsi="Verdana"/>
        <w:b/>
        <w:color w:val="A6A6A6"/>
        <w:sz w:val="16"/>
        <w:szCs w:val="16"/>
      </w:rPr>
      <w:tab/>
    </w:r>
    <w:r w:rsidRPr="00A90C81">
      <w:rPr>
        <w:rStyle w:val="PageNumber"/>
        <w:rFonts w:ascii="Verdana" w:hAnsi="Verdana"/>
        <w:b/>
        <w:color w:val="A6A6A6"/>
        <w:sz w:val="16"/>
        <w:szCs w:val="16"/>
      </w:rPr>
      <w:fldChar w:fldCharType="begin"/>
    </w:r>
    <w:r w:rsidRPr="00A90C81">
      <w:rPr>
        <w:rStyle w:val="PageNumber"/>
        <w:rFonts w:ascii="Verdana" w:hAnsi="Verdana"/>
        <w:b/>
        <w:color w:val="A6A6A6"/>
        <w:sz w:val="16"/>
        <w:szCs w:val="16"/>
      </w:rPr>
      <w:instrText xml:space="preserve"> PAGE </w:instrText>
    </w:r>
    <w:r w:rsidRPr="00A90C81">
      <w:rPr>
        <w:rStyle w:val="PageNumber"/>
        <w:rFonts w:ascii="Verdana" w:hAnsi="Verdana"/>
        <w:b/>
        <w:color w:val="A6A6A6"/>
        <w:sz w:val="16"/>
        <w:szCs w:val="16"/>
      </w:rPr>
      <w:fldChar w:fldCharType="separate"/>
    </w:r>
    <w:r w:rsidR="005D7893">
      <w:rPr>
        <w:rStyle w:val="PageNumber"/>
        <w:rFonts w:ascii="Verdana" w:hAnsi="Verdana"/>
        <w:b/>
        <w:noProof/>
        <w:color w:val="A6A6A6"/>
        <w:sz w:val="16"/>
        <w:szCs w:val="16"/>
      </w:rPr>
      <w:t>1</w:t>
    </w:r>
    <w:r w:rsidRPr="00A90C81">
      <w:rPr>
        <w:rStyle w:val="PageNumber"/>
        <w:rFonts w:ascii="Verdana" w:hAnsi="Verdana"/>
        <w:b/>
        <w:color w:val="A6A6A6"/>
        <w:sz w:val="16"/>
        <w:szCs w:val="16"/>
      </w:rPr>
      <w:fldChar w:fldCharType="end"/>
    </w:r>
    <w:r>
      <w:rPr>
        <w:rStyle w:val="PageNumber"/>
        <w:rFonts w:ascii="Verdana" w:hAnsi="Verdana"/>
        <w:b/>
        <w:color w:val="A6A6A6"/>
        <w:sz w:val="16"/>
        <w:szCs w:val="16"/>
      </w:rPr>
      <w:tab/>
      <w:t>June 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B6F73" w14:textId="59751D72" w:rsidR="00316995" w:rsidRPr="00A90C81" w:rsidRDefault="00316995" w:rsidP="00AB469E">
    <w:pPr>
      <w:pStyle w:val="Footer"/>
      <w:tabs>
        <w:tab w:val="clear" w:pos="4320"/>
        <w:tab w:val="clear" w:pos="8640"/>
        <w:tab w:val="center" w:pos="6946"/>
        <w:tab w:val="right" w:pos="13892"/>
      </w:tabs>
      <w:jc w:val="center"/>
      <w:rPr>
        <w:rFonts w:ascii="Verdana" w:hAnsi="Verdana"/>
        <w:b/>
        <w:color w:val="A6A6A6"/>
        <w:sz w:val="16"/>
        <w:szCs w:val="16"/>
      </w:rPr>
    </w:pPr>
    <w:r w:rsidRPr="00A90C81">
      <w:rPr>
        <w:rStyle w:val="PageNumber"/>
        <w:rFonts w:ascii="Verdana" w:hAnsi="Verdana"/>
        <w:b/>
        <w:color w:val="A6A6A6"/>
        <w:sz w:val="16"/>
        <w:szCs w:val="16"/>
      </w:rPr>
      <w:tab/>
    </w:r>
    <w:r w:rsidRPr="00A90C81">
      <w:rPr>
        <w:rStyle w:val="PageNumber"/>
        <w:rFonts w:ascii="Verdana" w:hAnsi="Verdana"/>
        <w:b/>
        <w:color w:val="A6A6A6"/>
        <w:sz w:val="16"/>
        <w:szCs w:val="16"/>
      </w:rPr>
      <w:fldChar w:fldCharType="begin"/>
    </w:r>
    <w:r w:rsidRPr="00A90C81">
      <w:rPr>
        <w:rStyle w:val="PageNumber"/>
        <w:rFonts w:ascii="Verdana" w:hAnsi="Verdana"/>
        <w:b/>
        <w:color w:val="A6A6A6"/>
        <w:sz w:val="16"/>
        <w:szCs w:val="16"/>
      </w:rPr>
      <w:instrText xml:space="preserve"> PAGE </w:instrText>
    </w:r>
    <w:r w:rsidRPr="00A90C81">
      <w:rPr>
        <w:rStyle w:val="PageNumber"/>
        <w:rFonts w:ascii="Verdana" w:hAnsi="Verdana"/>
        <w:b/>
        <w:color w:val="A6A6A6"/>
        <w:sz w:val="16"/>
        <w:szCs w:val="16"/>
      </w:rPr>
      <w:fldChar w:fldCharType="separate"/>
    </w:r>
    <w:r w:rsidR="005D7893">
      <w:rPr>
        <w:rStyle w:val="PageNumber"/>
        <w:rFonts w:ascii="Verdana" w:hAnsi="Verdana"/>
        <w:b/>
        <w:noProof/>
        <w:color w:val="A6A6A6"/>
        <w:sz w:val="16"/>
        <w:szCs w:val="16"/>
      </w:rPr>
      <w:t>60</w:t>
    </w:r>
    <w:r w:rsidRPr="00A90C81">
      <w:rPr>
        <w:rStyle w:val="PageNumber"/>
        <w:rFonts w:ascii="Verdana" w:hAnsi="Verdana"/>
        <w:b/>
        <w:color w:val="A6A6A6"/>
        <w:sz w:val="16"/>
        <w:szCs w:val="16"/>
      </w:rPr>
      <w:fldChar w:fldCharType="end"/>
    </w:r>
    <w:r w:rsidRPr="00A90C81">
      <w:rPr>
        <w:rStyle w:val="PageNumber"/>
        <w:rFonts w:ascii="Verdana" w:hAnsi="Verdana"/>
        <w:b/>
        <w:color w:val="A6A6A6"/>
        <w:sz w:val="16"/>
        <w:szCs w:val="16"/>
      </w:rPr>
      <w:tab/>
    </w:r>
    <w:r>
      <w:rPr>
        <w:rStyle w:val="PageNumber"/>
        <w:rFonts w:ascii="Verdana" w:hAnsi="Verdana"/>
        <w:b/>
        <w:color w:val="A6A6A6"/>
        <w:sz w:val="16"/>
        <w:szCs w:val="16"/>
      </w:rPr>
      <w:t>June 2017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B4953" w14:textId="77777777" w:rsidR="00316995" w:rsidRPr="004723B2" w:rsidRDefault="00316995" w:rsidP="00AB469E">
    <w:pPr>
      <w:pStyle w:val="Footer"/>
      <w:tabs>
        <w:tab w:val="clear" w:pos="4320"/>
        <w:tab w:val="clear" w:pos="8640"/>
        <w:tab w:val="center" w:pos="6946"/>
        <w:tab w:val="right" w:pos="13892"/>
      </w:tabs>
      <w:jc w:val="center"/>
    </w:pPr>
    <w:r w:rsidRPr="00A90C81">
      <w:rPr>
        <w:rStyle w:val="PageNumber"/>
        <w:rFonts w:ascii="Verdana" w:hAnsi="Verdana"/>
        <w:b/>
        <w:color w:val="A6A6A6"/>
        <w:sz w:val="16"/>
        <w:szCs w:val="16"/>
      </w:rPr>
      <w:tab/>
    </w:r>
    <w:r w:rsidRPr="00A90C81">
      <w:rPr>
        <w:rStyle w:val="PageNumber"/>
        <w:rFonts w:ascii="Verdana" w:hAnsi="Verdana"/>
        <w:b/>
        <w:color w:val="A6A6A6"/>
        <w:sz w:val="16"/>
        <w:szCs w:val="16"/>
      </w:rPr>
      <w:fldChar w:fldCharType="begin"/>
    </w:r>
    <w:r w:rsidRPr="00A90C81">
      <w:rPr>
        <w:rStyle w:val="PageNumber"/>
        <w:rFonts w:ascii="Verdana" w:hAnsi="Verdana"/>
        <w:b/>
        <w:color w:val="A6A6A6"/>
        <w:sz w:val="16"/>
        <w:szCs w:val="16"/>
      </w:rPr>
      <w:instrText xml:space="preserve"> PAGE </w:instrText>
    </w:r>
    <w:r w:rsidRPr="00A90C81">
      <w:rPr>
        <w:rStyle w:val="PageNumber"/>
        <w:rFonts w:ascii="Verdana" w:hAnsi="Verdana"/>
        <w:b/>
        <w:color w:val="A6A6A6"/>
        <w:sz w:val="16"/>
        <w:szCs w:val="16"/>
      </w:rPr>
      <w:fldChar w:fldCharType="separate"/>
    </w:r>
    <w:r>
      <w:rPr>
        <w:rStyle w:val="PageNumber"/>
        <w:rFonts w:ascii="Verdana" w:hAnsi="Verdana"/>
        <w:b/>
        <w:noProof/>
        <w:color w:val="A6A6A6"/>
        <w:sz w:val="16"/>
        <w:szCs w:val="16"/>
      </w:rPr>
      <w:t>47</w:t>
    </w:r>
    <w:r w:rsidRPr="00A90C81">
      <w:rPr>
        <w:rStyle w:val="PageNumber"/>
        <w:rFonts w:ascii="Verdana" w:hAnsi="Verdana"/>
        <w:b/>
        <w:color w:val="A6A6A6"/>
        <w:sz w:val="16"/>
        <w:szCs w:val="16"/>
      </w:rPr>
      <w:fldChar w:fldCharType="end"/>
    </w:r>
    <w:r>
      <w:rPr>
        <w:rStyle w:val="PageNumber"/>
        <w:rFonts w:ascii="Verdana" w:hAnsi="Verdana"/>
        <w:b/>
        <w:color w:val="A6A6A6"/>
        <w:sz w:val="16"/>
        <w:szCs w:val="16"/>
      </w:rPr>
      <w:tab/>
      <w:t>June</w:t>
    </w:r>
    <w:r w:rsidRPr="00A90C81">
      <w:rPr>
        <w:rStyle w:val="PageNumber"/>
        <w:rFonts w:ascii="Verdana" w:hAnsi="Verdana"/>
        <w:b/>
        <w:color w:val="A6A6A6"/>
        <w:sz w:val="16"/>
        <w:szCs w:val="16"/>
      </w:rPr>
      <w:t xml:space="preserve"> 201</w:t>
    </w:r>
    <w:r>
      <w:rPr>
        <w:rStyle w:val="PageNumber"/>
        <w:rFonts w:ascii="Verdana" w:hAnsi="Verdana"/>
        <w:b/>
        <w:color w:val="A6A6A6"/>
        <w:sz w:val="16"/>
        <w:szCs w:val="16"/>
      </w:rPr>
      <w:t>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99BEE" w14:textId="417051E0" w:rsidR="00316995" w:rsidRPr="00A90C81" w:rsidRDefault="00316995" w:rsidP="007F5B8E">
    <w:pPr>
      <w:pStyle w:val="Footer"/>
      <w:tabs>
        <w:tab w:val="clear" w:pos="4320"/>
        <w:tab w:val="clear" w:pos="8640"/>
        <w:tab w:val="center" w:pos="4111"/>
        <w:tab w:val="right" w:pos="8931"/>
      </w:tabs>
      <w:rPr>
        <w:rFonts w:ascii="Verdana" w:hAnsi="Verdana"/>
        <w:b/>
        <w:color w:val="A6A6A6"/>
        <w:sz w:val="16"/>
        <w:szCs w:val="16"/>
      </w:rPr>
    </w:pPr>
    <w:r>
      <w:rPr>
        <w:rStyle w:val="PageNumber"/>
        <w:rFonts w:ascii="Verdana" w:hAnsi="Verdana"/>
        <w:b/>
        <w:color w:val="A6A6A6"/>
        <w:sz w:val="16"/>
        <w:szCs w:val="16"/>
      </w:rPr>
      <w:tab/>
    </w:r>
    <w:r w:rsidRPr="00A90C81">
      <w:rPr>
        <w:rStyle w:val="PageNumber"/>
        <w:rFonts w:ascii="Verdana" w:hAnsi="Verdana"/>
        <w:b/>
        <w:color w:val="A6A6A6"/>
        <w:sz w:val="16"/>
        <w:szCs w:val="16"/>
      </w:rPr>
      <w:fldChar w:fldCharType="begin"/>
    </w:r>
    <w:r w:rsidRPr="00A90C81">
      <w:rPr>
        <w:rStyle w:val="PageNumber"/>
        <w:rFonts w:ascii="Verdana" w:hAnsi="Verdana"/>
        <w:b/>
        <w:color w:val="A6A6A6"/>
        <w:sz w:val="16"/>
        <w:szCs w:val="16"/>
      </w:rPr>
      <w:instrText xml:space="preserve"> PAGE </w:instrText>
    </w:r>
    <w:r w:rsidRPr="00A90C81">
      <w:rPr>
        <w:rStyle w:val="PageNumber"/>
        <w:rFonts w:ascii="Verdana" w:hAnsi="Verdana"/>
        <w:b/>
        <w:color w:val="A6A6A6"/>
        <w:sz w:val="16"/>
        <w:szCs w:val="16"/>
      </w:rPr>
      <w:fldChar w:fldCharType="separate"/>
    </w:r>
    <w:r w:rsidR="005D7893">
      <w:rPr>
        <w:rStyle w:val="PageNumber"/>
        <w:rFonts w:ascii="Verdana" w:hAnsi="Verdana"/>
        <w:b/>
        <w:noProof/>
        <w:color w:val="A6A6A6"/>
        <w:sz w:val="16"/>
        <w:szCs w:val="16"/>
      </w:rPr>
      <w:t>61</w:t>
    </w:r>
    <w:r w:rsidRPr="00A90C81">
      <w:rPr>
        <w:rStyle w:val="PageNumber"/>
        <w:rFonts w:ascii="Verdana" w:hAnsi="Verdana"/>
        <w:b/>
        <w:color w:val="A6A6A6"/>
        <w:sz w:val="16"/>
        <w:szCs w:val="16"/>
      </w:rPr>
      <w:fldChar w:fldCharType="end"/>
    </w:r>
    <w:r>
      <w:rPr>
        <w:rStyle w:val="PageNumber"/>
        <w:rFonts w:ascii="Verdana" w:hAnsi="Verdana"/>
        <w:b/>
        <w:color w:val="A6A6A6"/>
        <w:sz w:val="16"/>
        <w:szCs w:val="16"/>
      </w:rPr>
      <w:tab/>
      <w:t>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EF9EE" w14:textId="77777777" w:rsidR="00535C00" w:rsidRDefault="00535C00" w:rsidP="000B6652">
      <w:r>
        <w:separator/>
      </w:r>
    </w:p>
  </w:footnote>
  <w:footnote w:type="continuationSeparator" w:id="0">
    <w:p w14:paraId="16A99FF7" w14:textId="77777777" w:rsidR="00535C00" w:rsidRDefault="00535C00" w:rsidP="000B6652">
      <w:r>
        <w:continuationSeparator/>
      </w:r>
    </w:p>
  </w:footnote>
  <w:footnote w:id="1">
    <w:p w14:paraId="7D9027CA" w14:textId="77777777" w:rsidR="00316995" w:rsidRDefault="00316995" w:rsidP="00A013B3">
      <w:pPr>
        <w:pStyle w:val="FootnoteText"/>
        <w:ind w:left="720" w:hanging="720"/>
      </w:pPr>
      <w:r>
        <w:rPr>
          <w:rStyle w:val="FootnoteReference"/>
        </w:rPr>
        <w:footnoteRef/>
      </w:r>
      <w:r>
        <w:t xml:space="preserve"> </w:t>
      </w:r>
      <w:r>
        <w:tab/>
        <w:t xml:space="preserve">The source categories are numbered 5.1, 5.2, 5.3, </w:t>
      </w:r>
      <w:proofErr w:type="spellStart"/>
      <w:r>
        <w:t>etc</w:t>
      </w:r>
      <w:proofErr w:type="spellEnd"/>
      <w:r>
        <w:t xml:space="preserve"> in the Toolkit, simply because the detailed source coverage appears in section 5 of the Toolkit document. This numbering has been included in the sub-category tables given at the start of each section, but in all other text references to category numbers the 5 has been ignored.</w:t>
      </w:r>
    </w:p>
  </w:footnote>
  <w:footnote w:id="2">
    <w:p w14:paraId="1E537AB4" w14:textId="77777777" w:rsidR="00316995" w:rsidRDefault="00316995" w:rsidP="00094C6A">
      <w:pPr>
        <w:pStyle w:val="FootnoteText"/>
        <w:ind w:left="720" w:hanging="720"/>
      </w:pPr>
      <w:r>
        <w:rPr>
          <w:rStyle w:val="FootnoteReference"/>
        </w:rPr>
        <w:footnoteRef/>
      </w:r>
      <w:r>
        <w:t xml:space="preserve"> </w:t>
      </w:r>
      <w:r>
        <w:tab/>
        <w:t>Some industrial fuel use is also considered under other categories (</w:t>
      </w:r>
      <w:proofErr w:type="spellStart"/>
      <w:r>
        <w:t>eg</w:t>
      </w:r>
      <w:proofErr w:type="spellEnd"/>
      <w:r>
        <w:t>. metal production, minerals) and is therefore excluded from the general fuel use category, to avoid double accounting.</w:t>
      </w:r>
    </w:p>
  </w:footnote>
  <w:footnote w:id="3">
    <w:p w14:paraId="03970ADC" w14:textId="77777777" w:rsidR="00316995" w:rsidRDefault="00316995" w:rsidP="004A7B0B">
      <w:pPr>
        <w:pStyle w:val="FootnoteText"/>
        <w:ind w:left="720" w:hanging="720"/>
      </w:pPr>
      <w:r>
        <w:rPr>
          <w:rStyle w:val="FootnoteReference"/>
        </w:rPr>
        <w:footnoteRef/>
      </w:r>
      <w:r>
        <w:t xml:space="preserve"> </w:t>
      </w:r>
      <w:r>
        <w:tab/>
        <w:t xml:space="preserve">1 </w:t>
      </w:r>
      <w:proofErr w:type="spellStart"/>
      <w:r w:rsidRPr="00CA4B68">
        <w:t>Petajoules</w:t>
      </w:r>
      <w:proofErr w:type="spellEnd"/>
      <w:r>
        <w:t xml:space="preserve"> = 1 x</w:t>
      </w:r>
      <w:r w:rsidRPr="00CA4B68">
        <w:t xml:space="preserve"> 10</w:t>
      </w:r>
      <w:r w:rsidRPr="00CA4B68">
        <w:rPr>
          <w:vertAlign w:val="superscript"/>
        </w:rPr>
        <w:t>15</w:t>
      </w:r>
      <w:r w:rsidRPr="00CA4B68">
        <w:t xml:space="preserve"> Joules of energy. Most of the energy data in this section is expressed on both an energy and mass basis. The latter values will be more meaningful to the reader, but the energy-based values are used as </w:t>
      </w:r>
      <w:r>
        <w:t>a more precise measure of usage, because the energy content of coal is variable</w:t>
      </w:r>
      <w:r w:rsidRPr="00CA4B68">
        <w:t>.</w:t>
      </w:r>
    </w:p>
  </w:footnote>
  <w:footnote w:id="4">
    <w:p w14:paraId="548847A1" w14:textId="77777777" w:rsidR="00316995" w:rsidRDefault="00316995" w:rsidP="004A7B0B">
      <w:pPr>
        <w:pStyle w:val="FootnoteText"/>
        <w:ind w:left="720" w:hanging="720"/>
      </w:pPr>
      <w:r>
        <w:rPr>
          <w:rStyle w:val="FootnoteReference"/>
        </w:rPr>
        <w:footnoteRef/>
      </w:r>
      <w:r>
        <w:t xml:space="preserve"> </w:t>
      </w:r>
      <w:r>
        <w:tab/>
        <w:t xml:space="preserve">Most of the energy data used here has been taken from the annual energy data reports produced by MBIE, along with the more recent data available on-line, at </w:t>
      </w:r>
      <w:hyperlink r:id="rId1" w:history="1">
        <w:r w:rsidRPr="00F274AB">
          <w:rPr>
            <w:rStyle w:val="Hyperlink"/>
          </w:rPr>
          <w:t>http://www.mbie.govt.nz/info-services/sectors-industries/energy/energy-data-modelling/publications/energy-in-new-zealand</w:t>
        </w:r>
      </w:hyperlink>
      <w:r>
        <w:t>.</w:t>
      </w:r>
    </w:p>
  </w:footnote>
  <w:footnote w:id="5">
    <w:p w14:paraId="42A9E08C" w14:textId="77777777" w:rsidR="00316995" w:rsidRDefault="00316995" w:rsidP="00C0444A">
      <w:pPr>
        <w:pStyle w:val="FootnoteText"/>
        <w:ind w:left="720" w:hanging="720"/>
      </w:pPr>
      <w:r>
        <w:rPr>
          <w:rStyle w:val="FootnoteReference"/>
        </w:rPr>
        <w:footnoteRef/>
      </w:r>
      <w:r>
        <w:t xml:space="preserve"> </w:t>
      </w:r>
      <w:r>
        <w:tab/>
        <w:t>There is a discrepancy of 3,485 tonnes between this figure and the one noted in section 3.1, which was provided by Genesis energy. This is most likely because the NZEDF figure is based on supply while Genesis’ figure is based on actual consumption. It is considered more appropriate to use the NZEDF figure in this section, because the calculations here are all based on the national data.</w:t>
      </w:r>
    </w:p>
  </w:footnote>
  <w:footnote w:id="6">
    <w:p w14:paraId="0A183860" w14:textId="77777777" w:rsidR="00316995" w:rsidRDefault="00316995" w:rsidP="00C0444A">
      <w:pPr>
        <w:pStyle w:val="FootnoteText"/>
        <w:ind w:left="720" w:hanging="720"/>
      </w:pPr>
      <w:r>
        <w:rPr>
          <w:rStyle w:val="FootnoteReference"/>
        </w:rPr>
        <w:footnoteRef/>
      </w:r>
      <w:r>
        <w:t xml:space="preserve"> </w:t>
      </w:r>
      <w:r>
        <w:tab/>
        <w:t>The coal used in steel manufacturing is a combination of that used in a cogeneration plant and in the actual manufacturing process (other transformation).</w:t>
      </w:r>
    </w:p>
  </w:footnote>
  <w:footnote w:id="7">
    <w:p w14:paraId="5E37625C" w14:textId="77777777" w:rsidR="00316995" w:rsidRDefault="00316995" w:rsidP="00C0444A">
      <w:pPr>
        <w:pStyle w:val="FootnoteText"/>
        <w:ind w:left="720" w:hanging="720"/>
      </w:pPr>
      <w:r>
        <w:rPr>
          <w:rStyle w:val="FootnoteReference"/>
        </w:rPr>
        <w:footnoteRef/>
      </w:r>
      <w:r>
        <w:t xml:space="preserve"> </w:t>
      </w:r>
      <w:r>
        <w:tab/>
        <w:t>The distribution data for 2016 is not yet available, so 2015 values have been used. However, the distribution doesn’t appear to change significantly from year to year.</w:t>
      </w:r>
    </w:p>
  </w:footnote>
  <w:footnote w:id="8">
    <w:p w14:paraId="0DC55910" w14:textId="77777777" w:rsidR="00316995" w:rsidRDefault="00316995" w:rsidP="00C0444A">
      <w:pPr>
        <w:pStyle w:val="FootnoteText"/>
        <w:ind w:left="720" w:hanging="720"/>
      </w:pPr>
      <w:r>
        <w:rPr>
          <w:rStyle w:val="FootnoteReference"/>
        </w:rPr>
        <w:footnoteRef/>
      </w:r>
      <w:r>
        <w:t xml:space="preserve"> </w:t>
      </w:r>
      <w:r>
        <w:tab/>
        <w:t>Most South Island coal is produced in the West Coast and Southland regions, but with some minor quantities from Otago and Canterbury.</w:t>
      </w:r>
    </w:p>
  </w:footnote>
  <w:footnote w:id="9">
    <w:p w14:paraId="2F9E7D67" w14:textId="5D690924" w:rsidR="00316995" w:rsidRDefault="00316995">
      <w:pPr>
        <w:pStyle w:val="FootnoteText"/>
      </w:pPr>
      <w:r>
        <w:rPr>
          <w:rStyle w:val="FootnoteReference"/>
        </w:rPr>
        <w:footnoteRef/>
      </w:r>
      <w:r>
        <w:t xml:space="preserve"> </w:t>
      </w:r>
      <w:r>
        <w:tab/>
        <w:t xml:space="preserve">New Zealand Steel </w:t>
      </w:r>
      <w:r w:rsidRPr="0079618D">
        <w:t xml:space="preserve">is </w:t>
      </w:r>
      <w:r>
        <w:t xml:space="preserve">a wholly </w:t>
      </w:r>
      <w:r w:rsidRPr="0079618D">
        <w:t xml:space="preserve">owned </w:t>
      </w:r>
      <w:r>
        <w:t>subsidiary of</w:t>
      </w:r>
      <w:r w:rsidRPr="0079618D">
        <w:t xml:space="preserve"> BlueScope Steel L</w:t>
      </w:r>
      <w:r>
        <w:t>imi</w:t>
      </w:r>
      <w:r w:rsidRPr="0079618D">
        <w:t>t</w:t>
      </w:r>
      <w:r>
        <w:t>e</w:t>
      </w:r>
      <w:r w:rsidRPr="0079618D">
        <w:t>d</w:t>
      </w:r>
      <w:r>
        <w:t>.</w:t>
      </w:r>
    </w:p>
  </w:footnote>
  <w:footnote w:id="10">
    <w:p w14:paraId="047B483E" w14:textId="77777777" w:rsidR="00316995" w:rsidRDefault="00316995" w:rsidP="00C14DE1">
      <w:pPr>
        <w:pStyle w:val="FootnoteText"/>
      </w:pPr>
      <w:r>
        <w:rPr>
          <w:rStyle w:val="FootnoteReference"/>
        </w:rPr>
        <w:footnoteRef/>
      </w:r>
      <w:r>
        <w:t xml:space="preserve"> </w:t>
      </w:r>
      <w:r>
        <w:tab/>
        <w:t>30 – 35 % of the coal was from Indonesia.</w:t>
      </w:r>
    </w:p>
  </w:footnote>
  <w:footnote w:id="11">
    <w:p w14:paraId="75DFACE6" w14:textId="77777777" w:rsidR="00316995" w:rsidRDefault="00316995" w:rsidP="00A25C30">
      <w:pPr>
        <w:pStyle w:val="FootnoteText"/>
        <w:ind w:left="720" w:hanging="720"/>
      </w:pPr>
      <w:r>
        <w:rPr>
          <w:rStyle w:val="FootnoteReference"/>
        </w:rPr>
        <w:footnoteRef/>
      </w:r>
      <w:r>
        <w:t xml:space="preserve"> </w:t>
      </w:r>
      <w:r>
        <w:tab/>
        <w:t>This is based on the assumption that production would have been drastically scaled back during the final 6 months of operation.  Also, the information on possible mercury outputs is not really needed for future planning purposes.</w:t>
      </w:r>
    </w:p>
  </w:footnote>
  <w:footnote w:id="12">
    <w:p w14:paraId="20F8E8F8" w14:textId="77777777" w:rsidR="00316995" w:rsidRDefault="00316995" w:rsidP="00D4612C">
      <w:pPr>
        <w:pStyle w:val="FootnoteText"/>
        <w:ind w:left="720" w:hanging="720"/>
      </w:pPr>
      <w:r>
        <w:rPr>
          <w:rStyle w:val="FootnoteReference"/>
        </w:rPr>
        <w:footnoteRef/>
      </w:r>
      <w:r>
        <w:t xml:space="preserve"> </w:t>
      </w:r>
      <w:r>
        <w:tab/>
        <w:t>The particulate control system on the New Zealand plant is actually quite complex. However, it does not include advanced control systems, such as selective non-catalytic reduction for NOx control.</w:t>
      </w:r>
    </w:p>
  </w:footnote>
  <w:footnote w:id="13">
    <w:p w14:paraId="080E3DDA" w14:textId="77777777" w:rsidR="00316995" w:rsidRDefault="00316995" w:rsidP="0094046F">
      <w:pPr>
        <w:pStyle w:val="FootnoteText"/>
        <w:ind w:left="720" w:hanging="720"/>
      </w:pPr>
      <w:r>
        <w:rPr>
          <w:rStyle w:val="FootnoteReference"/>
        </w:rPr>
        <w:footnoteRef/>
      </w:r>
      <w:r>
        <w:t xml:space="preserve"> </w:t>
      </w:r>
      <w:r>
        <w:tab/>
        <w:t>The pulp mill lime kilns form part of an internal chemical recycling process for the so-called ‘lime mud’ produced in the pulp making process. Some minor calcium additions are required to make up for losses in wastes, but these are obtained from baked lime rather than limestone.</w:t>
      </w:r>
    </w:p>
  </w:footnote>
  <w:footnote w:id="14">
    <w:p w14:paraId="256779D0" w14:textId="77777777" w:rsidR="00316995" w:rsidRDefault="00316995" w:rsidP="0094046F">
      <w:pPr>
        <w:pStyle w:val="FootnoteText"/>
        <w:ind w:left="720" w:hanging="720"/>
      </w:pPr>
      <w:r>
        <w:rPr>
          <w:rStyle w:val="FootnoteReference"/>
        </w:rPr>
        <w:footnoteRef/>
      </w:r>
      <w:r>
        <w:t xml:space="preserve"> </w:t>
      </w:r>
      <w:r>
        <w:tab/>
        <w:t xml:space="preserve">The lower figure of 5 is based on half the limit of detection (LOD) reported by McBride and </w:t>
      </w:r>
      <w:proofErr w:type="spellStart"/>
      <w:r>
        <w:t>Spiers</w:t>
      </w:r>
      <w:proofErr w:type="spellEnd"/>
      <w:r>
        <w:t>. This is the approach normally used when laboratory results are reported as being less than the LOD.</w:t>
      </w:r>
    </w:p>
  </w:footnote>
  <w:footnote w:id="15">
    <w:p w14:paraId="486F121B" w14:textId="4C10701B" w:rsidR="00316995" w:rsidRDefault="00316995" w:rsidP="00B86508">
      <w:pPr>
        <w:pStyle w:val="FootnoteText"/>
        <w:ind w:left="720" w:hanging="720"/>
      </w:pPr>
      <w:r>
        <w:rPr>
          <w:rStyle w:val="FootnoteReference"/>
        </w:rPr>
        <w:footnoteRef/>
      </w:r>
      <w:r>
        <w:t xml:space="preserve"> </w:t>
      </w:r>
      <w:r>
        <w:tab/>
        <w:t>The use of the mean value for the upper input factor instead of the maximum value was used because the analytical data is highly skewed towards the mean.</w:t>
      </w:r>
    </w:p>
  </w:footnote>
  <w:footnote w:id="16">
    <w:p w14:paraId="0DB8DB16" w14:textId="77777777" w:rsidR="00316995" w:rsidRDefault="00316995">
      <w:pPr>
        <w:pStyle w:val="FootnoteText"/>
      </w:pPr>
      <w:r>
        <w:rPr>
          <w:rStyle w:val="FootnoteReference"/>
        </w:rPr>
        <w:footnoteRef/>
      </w:r>
      <w:r>
        <w:t xml:space="preserve"> </w:t>
      </w:r>
      <w:r>
        <w:tab/>
        <w:t>A more detailed discussion of each of these potential sources was given in the 2012 Inventory Report.</w:t>
      </w:r>
    </w:p>
  </w:footnote>
  <w:footnote w:id="17">
    <w:p w14:paraId="68B54E23" w14:textId="5425DA11" w:rsidR="00316995" w:rsidRDefault="00316995" w:rsidP="006C26C6">
      <w:pPr>
        <w:pStyle w:val="FootnoteText"/>
        <w:ind w:left="720" w:hanging="720"/>
      </w:pPr>
      <w:r>
        <w:rPr>
          <w:rStyle w:val="FootnoteReference"/>
        </w:rPr>
        <w:footnoteRef/>
      </w:r>
      <w:r>
        <w:t xml:space="preserve"> </w:t>
      </w:r>
      <w:r>
        <w:tab/>
        <w:t>The data given in Table 7-6 of the 2012 Inventory report included small contributions from Zinc-Carbon, and Other MnO</w:t>
      </w:r>
      <w:r w:rsidRPr="006C26C6">
        <w:rPr>
          <w:vertAlign w:val="subscript"/>
        </w:rPr>
        <w:t>2</w:t>
      </w:r>
      <w:r>
        <w:t xml:space="preserve"> batteries. However, according to the Toolkit these can be regarded as mercury-free. Hence these batteries have not been included the current table 7-6.  In addition, the 2012 totals given in Table 7-7 have been adjusted to exclude the zinc carbon and other MnO</w:t>
      </w:r>
      <w:r w:rsidRPr="006C26C6">
        <w:rPr>
          <w:vertAlign w:val="subscript"/>
        </w:rPr>
        <w:t>2</w:t>
      </w:r>
      <w:r>
        <w:t xml:space="preserve"> data.</w:t>
      </w:r>
    </w:p>
  </w:footnote>
  <w:footnote w:id="18">
    <w:p w14:paraId="16D885B3" w14:textId="77777777" w:rsidR="00316995" w:rsidRDefault="00316995" w:rsidP="00D71381">
      <w:pPr>
        <w:pStyle w:val="FootnoteText"/>
        <w:ind w:left="720" w:hanging="720"/>
      </w:pPr>
      <w:r>
        <w:rPr>
          <w:rStyle w:val="FootnoteReference"/>
        </w:rPr>
        <w:footnoteRef/>
      </w:r>
      <w:r>
        <w:t xml:space="preserve"> </w:t>
      </w:r>
      <w:r>
        <w:tab/>
        <w:t xml:space="preserve">The chemical name for </w:t>
      </w:r>
      <w:proofErr w:type="spellStart"/>
      <w:r>
        <w:t>Thiomersal</w:t>
      </w:r>
      <w:proofErr w:type="spellEnd"/>
      <w:r>
        <w:t xml:space="preserve"> is e</w:t>
      </w:r>
      <w:r w:rsidRPr="00D71381">
        <w:t xml:space="preserve">thyl(2-mercaptobenzoato-(2-)-O,S) </w:t>
      </w:r>
      <w:proofErr w:type="spellStart"/>
      <w:r w:rsidRPr="00D71381">
        <w:t>Mercurate</w:t>
      </w:r>
      <w:proofErr w:type="spellEnd"/>
      <w:r w:rsidRPr="00D71381">
        <w:t xml:space="preserve"> (1-) sodium, </w:t>
      </w:r>
      <w:r>
        <w:t xml:space="preserve">and it is </w:t>
      </w:r>
      <w:r w:rsidRPr="00D71381">
        <w:t xml:space="preserve">also known as </w:t>
      </w:r>
      <w:proofErr w:type="spellStart"/>
      <w:r w:rsidRPr="00D71381">
        <w:t>thiomerosal</w:t>
      </w:r>
      <w:proofErr w:type="spellEnd"/>
      <w:r w:rsidRPr="00D71381">
        <w:t xml:space="preserve">, and </w:t>
      </w:r>
      <w:proofErr w:type="spellStart"/>
      <w:r w:rsidRPr="00D71381">
        <w:t>merthiolate</w:t>
      </w:r>
      <w:proofErr w:type="spellEnd"/>
      <w:r w:rsidRPr="00D71381">
        <w:t>)</w:t>
      </w:r>
    </w:p>
  </w:footnote>
  <w:footnote w:id="19">
    <w:p w14:paraId="2729314C" w14:textId="77777777" w:rsidR="00316995" w:rsidRDefault="00316995">
      <w:pPr>
        <w:pStyle w:val="FootnoteText"/>
      </w:pPr>
      <w:r>
        <w:rPr>
          <w:rStyle w:val="FootnoteReference"/>
        </w:rPr>
        <w:footnoteRef/>
      </w:r>
      <w:r>
        <w:t xml:space="preserve"> </w:t>
      </w:r>
      <w:r>
        <w:tab/>
        <w:t>The toolkit refers to the land disposal route as “sector specific” wastes.</w:t>
      </w:r>
    </w:p>
  </w:footnote>
  <w:footnote w:id="20">
    <w:p w14:paraId="7254EEA6" w14:textId="77777777" w:rsidR="00316995" w:rsidRDefault="00316995" w:rsidP="00BF3D37">
      <w:pPr>
        <w:pStyle w:val="FootnoteText"/>
        <w:ind w:left="720" w:hanging="720"/>
      </w:pPr>
      <w:r>
        <w:rPr>
          <w:rStyle w:val="FootnoteReference"/>
        </w:rPr>
        <w:footnoteRef/>
      </w:r>
      <w:r>
        <w:t xml:space="preserve"> </w:t>
      </w:r>
      <w:r>
        <w:tab/>
        <w:t>The cremation/burial split is a little uncertain because it is based on the place of disposal, rather than the method of disposal (which is not recorded). Also, a small number of the burials may have taken place in other countries.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E4CB3" w14:textId="77777777" w:rsidR="00316995" w:rsidRPr="005F707F" w:rsidRDefault="00316995" w:rsidP="0037162E">
    <w:pPr>
      <w:pStyle w:val="Header"/>
      <w:tabs>
        <w:tab w:val="clear" w:pos="8640"/>
        <w:tab w:val="right" w:pos="8931"/>
      </w:tabs>
      <w:rPr>
        <w:rFonts w:ascii="Verdana" w:hAnsi="Verdana"/>
        <w:b/>
        <w:color w:val="A6A6A6"/>
        <w:sz w:val="16"/>
      </w:rPr>
    </w:pPr>
    <w:r w:rsidRPr="005F707F">
      <w:rPr>
        <w:rFonts w:ascii="Verdana" w:hAnsi="Verdana"/>
        <w:b/>
        <w:color w:val="A6A6A6"/>
        <w:sz w:val="16"/>
      </w:rPr>
      <w:tab/>
    </w:r>
    <w:r w:rsidRPr="005F707F">
      <w:rPr>
        <w:rFonts w:ascii="Verdana" w:hAnsi="Verdana"/>
        <w:b/>
        <w:color w:val="A6A6A6"/>
        <w:sz w:val="16"/>
      </w:rPr>
      <w:tab/>
    </w:r>
    <w:r>
      <w:rPr>
        <w:rFonts w:ascii="Verdana" w:hAnsi="Verdana"/>
        <w:b/>
        <w:color w:val="A6A6A6"/>
        <w:sz w:val="16"/>
      </w:rPr>
      <w:t>Mercury Inventory Update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13567" w14:textId="77777777" w:rsidR="00316995" w:rsidRPr="005F707F" w:rsidRDefault="00316995" w:rsidP="0037162E">
    <w:pPr>
      <w:pStyle w:val="Header"/>
      <w:tabs>
        <w:tab w:val="clear" w:pos="8640"/>
        <w:tab w:val="right" w:pos="8931"/>
      </w:tabs>
      <w:rPr>
        <w:rFonts w:ascii="Verdana" w:hAnsi="Verdana"/>
        <w:b/>
        <w:color w:val="A6A6A6"/>
        <w:sz w:val="16"/>
      </w:rPr>
    </w:pPr>
    <w:r w:rsidRPr="005F707F">
      <w:rPr>
        <w:rFonts w:ascii="Verdana" w:hAnsi="Verdana"/>
        <w:b/>
        <w:color w:val="A6A6A6"/>
        <w:sz w:val="16"/>
      </w:rPr>
      <w:tab/>
    </w:r>
    <w:r w:rsidRPr="005F707F">
      <w:rPr>
        <w:rFonts w:ascii="Verdana" w:hAnsi="Verdana"/>
        <w:b/>
        <w:color w:val="A6A6A6"/>
        <w:sz w:val="16"/>
      </w:rPr>
      <w:tab/>
    </w:r>
    <w:r>
      <w:rPr>
        <w:rFonts w:ascii="Verdana" w:hAnsi="Verdana"/>
        <w:b/>
        <w:color w:val="A6A6A6"/>
        <w:sz w:val="16"/>
      </w:rPr>
      <w:t>Mercury Inventory Update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EB43D" w14:textId="77777777" w:rsidR="00316995" w:rsidRPr="005F707F" w:rsidRDefault="00316995" w:rsidP="0037162E">
    <w:pPr>
      <w:pStyle w:val="Header"/>
      <w:tabs>
        <w:tab w:val="clear" w:pos="8640"/>
        <w:tab w:val="right" w:pos="8931"/>
      </w:tabs>
      <w:rPr>
        <w:rFonts w:ascii="Verdana" w:hAnsi="Verdana"/>
        <w:b/>
        <w:color w:val="A6A6A6"/>
        <w:sz w:val="16"/>
      </w:rPr>
    </w:pPr>
    <w:r w:rsidRPr="005F707F">
      <w:rPr>
        <w:rFonts w:ascii="Verdana" w:hAnsi="Verdana"/>
        <w:b/>
        <w:color w:val="A6A6A6"/>
        <w:sz w:val="16"/>
      </w:rPr>
      <w:tab/>
    </w:r>
    <w:r w:rsidRPr="005F707F">
      <w:rPr>
        <w:rFonts w:ascii="Verdana" w:hAnsi="Verdana"/>
        <w:b/>
        <w:color w:val="A6A6A6"/>
        <w:sz w:val="16"/>
      </w:rPr>
      <w:tab/>
    </w:r>
    <w:r>
      <w:rPr>
        <w:rFonts w:ascii="Verdana" w:hAnsi="Verdana"/>
        <w:b/>
        <w:color w:val="A6A6A6"/>
        <w:sz w:val="16"/>
      </w:rPr>
      <w:t>Mercury Inventory Update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29558" w14:textId="77777777" w:rsidR="00316995" w:rsidRPr="005E4663" w:rsidRDefault="00316995" w:rsidP="005E466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3D760" w14:textId="77777777" w:rsidR="00316995" w:rsidRPr="005F707F" w:rsidRDefault="00316995" w:rsidP="00FF6FD4">
    <w:pPr>
      <w:pStyle w:val="Header"/>
      <w:tabs>
        <w:tab w:val="clear" w:pos="8640"/>
        <w:tab w:val="right" w:pos="14034"/>
      </w:tabs>
      <w:rPr>
        <w:rFonts w:ascii="Verdana" w:hAnsi="Verdana"/>
        <w:b/>
        <w:color w:val="A6A6A6"/>
        <w:sz w:val="16"/>
      </w:rPr>
    </w:pPr>
    <w:r w:rsidRPr="005F707F">
      <w:rPr>
        <w:rFonts w:ascii="Verdana" w:hAnsi="Verdana"/>
        <w:b/>
        <w:color w:val="A6A6A6"/>
        <w:sz w:val="16"/>
      </w:rPr>
      <w:tab/>
    </w:r>
    <w:r w:rsidRPr="005F707F">
      <w:rPr>
        <w:rFonts w:ascii="Verdana" w:hAnsi="Verdana"/>
        <w:b/>
        <w:color w:val="A6A6A6"/>
        <w:sz w:val="16"/>
      </w:rPr>
      <w:tab/>
    </w:r>
    <w:r>
      <w:rPr>
        <w:rFonts w:ascii="Verdana" w:hAnsi="Verdana"/>
        <w:b/>
        <w:color w:val="A6A6A6"/>
        <w:sz w:val="16"/>
      </w:rPr>
      <w:t>Mercury Inventory Update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3E181" w14:textId="77777777" w:rsidR="00316995" w:rsidRPr="005F707F" w:rsidRDefault="00316995" w:rsidP="0037162E">
    <w:pPr>
      <w:pStyle w:val="Header"/>
      <w:tabs>
        <w:tab w:val="clear" w:pos="8640"/>
        <w:tab w:val="right" w:pos="8931"/>
      </w:tabs>
      <w:rPr>
        <w:rFonts w:ascii="Verdana" w:hAnsi="Verdana"/>
        <w:b/>
        <w:color w:val="A6A6A6"/>
        <w:sz w:val="16"/>
      </w:rPr>
    </w:pPr>
    <w:r w:rsidRPr="005F707F">
      <w:rPr>
        <w:rFonts w:ascii="Verdana" w:hAnsi="Verdana"/>
        <w:b/>
        <w:color w:val="A6A6A6"/>
        <w:sz w:val="16"/>
      </w:rPr>
      <w:tab/>
    </w:r>
    <w:r w:rsidRPr="005F707F">
      <w:rPr>
        <w:rFonts w:ascii="Verdana" w:hAnsi="Verdana"/>
        <w:b/>
        <w:color w:val="A6A6A6"/>
        <w:sz w:val="16"/>
      </w:rPr>
      <w:tab/>
    </w:r>
    <w:r>
      <w:rPr>
        <w:rFonts w:ascii="Verdana" w:hAnsi="Verdana"/>
        <w:b/>
        <w:color w:val="A6A6A6"/>
        <w:sz w:val="16"/>
      </w:rPr>
      <w:t>Mercury Inventory Update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05A2" w14:textId="77777777" w:rsidR="00316995" w:rsidRPr="005E4663" w:rsidRDefault="00316995" w:rsidP="005E46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6761"/>
    <w:multiLevelType w:val="singleLevel"/>
    <w:tmpl w:val="CD12D14E"/>
    <w:lvl w:ilvl="0">
      <w:start w:val="1"/>
      <w:numFmt w:val="bullet"/>
      <w:lvlText w:val=""/>
      <w:lvlJc w:val="left"/>
      <w:pPr>
        <w:tabs>
          <w:tab w:val="num" w:pos="1607"/>
        </w:tabs>
        <w:ind w:left="1588" w:hanging="341"/>
      </w:pPr>
      <w:rPr>
        <w:rFonts w:ascii="Symbol" w:hAnsi="Symbol" w:hint="default"/>
      </w:rPr>
    </w:lvl>
  </w:abstractNum>
  <w:abstractNum w:abstractNumId="1">
    <w:nsid w:val="08F30118"/>
    <w:multiLevelType w:val="hybridMultilevel"/>
    <w:tmpl w:val="59D4A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BDB7298"/>
    <w:multiLevelType w:val="hybridMultilevel"/>
    <w:tmpl w:val="AAFC2976"/>
    <w:lvl w:ilvl="0" w:tplc="A8124D2A">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nsid w:val="0E520D67"/>
    <w:multiLevelType w:val="hybridMultilevel"/>
    <w:tmpl w:val="2DBE42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52560AC"/>
    <w:multiLevelType w:val="hybridMultilevel"/>
    <w:tmpl w:val="C8EC8A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9213082"/>
    <w:multiLevelType w:val="hybridMultilevel"/>
    <w:tmpl w:val="5ACA5E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9A04858"/>
    <w:multiLevelType w:val="hybridMultilevel"/>
    <w:tmpl w:val="2DBE42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A676C42"/>
    <w:multiLevelType w:val="hybridMultilevel"/>
    <w:tmpl w:val="EB7ECF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32D7221"/>
    <w:multiLevelType w:val="hybridMultilevel"/>
    <w:tmpl w:val="77649B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4AF523E"/>
    <w:multiLevelType w:val="hybridMultilevel"/>
    <w:tmpl w:val="D3D088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5722758"/>
    <w:multiLevelType w:val="hybridMultilevel"/>
    <w:tmpl w:val="43601D36"/>
    <w:lvl w:ilvl="0" w:tplc="04186D08">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nsid w:val="35A11539"/>
    <w:multiLevelType w:val="hybridMultilevel"/>
    <w:tmpl w:val="0DBC48D2"/>
    <w:lvl w:ilvl="0" w:tplc="14090001">
      <w:start w:val="1"/>
      <w:numFmt w:val="bullet"/>
      <w:lvlText w:val=""/>
      <w:lvlJc w:val="left"/>
      <w:pPr>
        <w:ind w:left="502" w:hanging="360"/>
      </w:pPr>
      <w:rPr>
        <w:rFonts w:ascii="Symbol" w:hAnsi="Symbol" w:hint="default"/>
      </w:rPr>
    </w:lvl>
    <w:lvl w:ilvl="1" w:tplc="14090003">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2">
    <w:nsid w:val="37587890"/>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39F7016A"/>
    <w:multiLevelType w:val="hybridMultilevel"/>
    <w:tmpl w:val="BA049E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5076CB2"/>
    <w:multiLevelType w:val="hybridMultilevel"/>
    <w:tmpl w:val="7CD09F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5AA3B72"/>
    <w:multiLevelType w:val="hybridMultilevel"/>
    <w:tmpl w:val="B344A8EC"/>
    <w:lvl w:ilvl="0" w:tplc="9282F912">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nsid w:val="45CE303D"/>
    <w:multiLevelType w:val="multilevel"/>
    <w:tmpl w:val="C8A6FB5C"/>
    <w:lvl w:ilvl="0">
      <w:start w:val="1"/>
      <w:numFmt w:val="decimal"/>
      <w:pStyle w:val="Heading1"/>
      <w:lvlText w:val="%1"/>
      <w:lvlJc w:val="left"/>
      <w:pPr>
        <w:ind w:left="432" w:hanging="432"/>
      </w:pPr>
      <w:rPr>
        <w:rFonts w:hint="default"/>
        <w:b/>
        <w:i w:val="0"/>
        <w:sz w:val="28"/>
      </w:rPr>
    </w:lvl>
    <w:lvl w:ilvl="1">
      <w:start w:val="1"/>
      <w:numFmt w:val="decimal"/>
      <w:pStyle w:val="Heading2"/>
      <w:lvlText w:val="%1.%2"/>
      <w:lvlJc w:val="left"/>
      <w:pPr>
        <w:ind w:left="918"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48A76CDC"/>
    <w:multiLevelType w:val="hybridMultilevel"/>
    <w:tmpl w:val="F0267E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BDC03F8"/>
    <w:multiLevelType w:val="hybridMultilevel"/>
    <w:tmpl w:val="EB90B5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30365E7"/>
    <w:multiLevelType w:val="hybridMultilevel"/>
    <w:tmpl w:val="1FB233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FEC3ACE"/>
    <w:multiLevelType w:val="hybridMultilevel"/>
    <w:tmpl w:val="4664FCFE"/>
    <w:lvl w:ilvl="0" w:tplc="FFFFFFFF">
      <w:start w:val="1"/>
      <w:numFmt w:val="bullet"/>
      <w:lvlText w:val=""/>
      <w:lvlJc w:val="left"/>
      <w:pPr>
        <w:tabs>
          <w:tab w:val="num" w:pos="0"/>
        </w:tabs>
        <w:ind w:left="149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5"/>
  </w:num>
  <w:num w:numId="4">
    <w:abstractNumId w:val="2"/>
  </w:num>
  <w:num w:numId="5">
    <w:abstractNumId w:val="11"/>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0"/>
  </w:num>
  <w:num w:numId="14">
    <w:abstractNumId w:val="20"/>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
  </w:num>
  <w:num w:numId="19">
    <w:abstractNumId w:val="1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19"/>
  </w:num>
  <w:num w:numId="24">
    <w:abstractNumId w:val="18"/>
  </w:num>
  <w:num w:numId="25">
    <w:abstractNumId w:val="5"/>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4830ECF-60B7-4CE6-8B7C-E35757F685D4}"/>
    <w:docVar w:name="dgnword-eventsink" w:val="103558776"/>
  </w:docVars>
  <w:rsids>
    <w:rsidRoot w:val="000E4A6F"/>
    <w:rsid w:val="000008E0"/>
    <w:rsid w:val="00001BB4"/>
    <w:rsid w:val="00002163"/>
    <w:rsid w:val="00002598"/>
    <w:rsid w:val="00002653"/>
    <w:rsid w:val="00002928"/>
    <w:rsid w:val="00002BD3"/>
    <w:rsid w:val="0000356C"/>
    <w:rsid w:val="00003755"/>
    <w:rsid w:val="00003DA8"/>
    <w:rsid w:val="00003E5D"/>
    <w:rsid w:val="00004096"/>
    <w:rsid w:val="000042B2"/>
    <w:rsid w:val="00004D1A"/>
    <w:rsid w:val="0000574C"/>
    <w:rsid w:val="00006140"/>
    <w:rsid w:val="00006686"/>
    <w:rsid w:val="00006C8F"/>
    <w:rsid w:val="0000788F"/>
    <w:rsid w:val="00010588"/>
    <w:rsid w:val="000105F6"/>
    <w:rsid w:val="00010768"/>
    <w:rsid w:val="00010BF6"/>
    <w:rsid w:val="00010CA7"/>
    <w:rsid w:val="000121C7"/>
    <w:rsid w:val="00012454"/>
    <w:rsid w:val="00012893"/>
    <w:rsid w:val="00012F69"/>
    <w:rsid w:val="00013E40"/>
    <w:rsid w:val="00014321"/>
    <w:rsid w:val="00014659"/>
    <w:rsid w:val="0001513E"/>
    <w:rsid w:val="00015476"/>
    <w:rsid w:val="000155AC"/>
    <w:rsid w:val="00015784"/>
    <w:rsid w:val="00015CD2"/>
    <w:rsid w:val="0001607A"/>
    <w:rsid w:val="000160A6"/>
    <w:rsid w:val="0001617E"/>
    <w:rsid w:val="00016348"/>
    <w:rsid w:val="00016974"/>
    <w:rsid w:val="00016AD4"/>
    <w:rsid w:val="00016F01"/>
    <w:rsid w:val="000175F4"/>
    <w:rsid w:val="00017F79"/>
    <w:rsid w:val="00020491"/>
    <w:rsid w:val="00020DB3"/>
    <w:rsid w:val="00021B0A"/>
    <w:rsid w:val="0002399A"/>
    <w:rsid w:val="00023B38"/>
    <w:rsid w:val="00023D40"/>
    <w:rsid w:val="00023D92"/>
    <w:rsid w:val="00023F1F"/>
    <w:rsid w:val="00024031"/>
    <w:rsid w:val="00024E49"/>
    <w:rsid w:val="00025790"/>
    <w:rsid w:val="00025998"/>
    <w:rsid w:val="00025B99"/>
    <w:rsid w:val="00025E54"/>
    <w:rsid w:val="00025EFE"/>
    <w:rsid w:val="00027503"/>
    <w:rsid w:val="0003038F"/>
    <w:rsid w:val="00030C8F"/>
    <w:rsid w:val="0003101F"/>
    <w:rsid w:val="0003149A"/>
    <w:rsid w:val="00031AD6"/>
    <w:rsid w:val="0003214D"/>
    <w:rsid w:val="0003246F"/>
    <w:rsid w:val="00033747"/>
    <w:rsid w:val="00033EAB"/>
    <w:rsid w:val="00033F16"/>
    <w:rsid w:val="00034578"/>
    <w:rsid w:val="000345D7"/>
    <w:rsid w:val="0003469C"/>
    <w:rsid w:val="000348CA"/>
    <w:rsid w:val="00034FCE"/>
    <w:rsid w:val="0003509D"/>
    <w:rsid w:val="0003524A"/>
    <w:rsid w:val="000353D6"/>
    <w:rsid w:val="00035841"/>
    <w:rsid w:val="00036954"/>
    <w:rsid w:val="000370DE"/>
    <w:rsid w:val="000375D8"/>
    <w:rsid w:val="000377F6"/>
    <w:rsid w:val="00037858"/>
    <w:rsid w:val="00037E76"/>
    <w:rsid w:val="000401F0"/>
    <w:rsid w:val="000408A3"/>
    <w:rsid w:val="000408D3"/>
    <w:rsid w:val="00041154"/>
    <w:rsid w:val="000412AA"/>
    <w:rsid w:val="00041D01"/>
    <w:rsid w:val="00041F2D"/>
    <w:rsid w:val="000420C9"/>
    <w:rsid w:val="0004288B"/>
    <w:rsid w:val="00043714"/>
    <w:rsid w:val="00043D47"/>
    <w:rsid w:val="000444D8"/>
    <w:rsid w:val="00044643"/>
    <w:rsid w:val="00045814"/>
    <w:rsid w:val="00045BD3"/>
    <w:rsid w:val="00045BE0"/>
    <w:rsid w:val="0004707F"/>
    <w:rsid w:val="000470FE"/>
    <w:rsid w:val="00047187"/>
    <w:rsid w:val="000471B3"/>
    <w:rsid w:val="00047702"/>
    <w:rsid w:val="0004773B"/>
    <w:rsid w:val="00047E81"/>
    <w:rsid w:val="00050876"/>
    <w:rsid w:val="000508F6"/>
    <w:rsid w:val="00050D05"/>
    <w:rsid w:val="00051160"/>
    <w:rsid w:val="00051242"/>
    <w:rsid w:val="00051250"/>
    <w:rsid w:val="000520FA"/>
    <w:rsid w:val="000521C8"/>
    <w:rsid w:val="000523D4"/>
    <w:rsid w:val="00052805"/>
    <w:rsid w:val="00053D95"/>
    <w:rsid w:val="00054929"/>
    <w:rsid w:val="00054A9A"/>
    <w:rsid w:val="00054ACC"/>
    <w:rsid w:val="00054F79"/>
    <w:rsid w:val="000550EE"/>
    <w:rsid w:val="00055126"/>
    <w:rsid w:val="000557E4"/>
    <w:rsid w:val="00056890"/>
    <w:rsid w:val="000578F8"/>
    <w:rsid w:val="00057AE7"/>
    <w:rsid w:val="000600A4"/>
    <w:rsid w:val="00060467"/>
    <w:rsid w:val="00060555"/>
    <w:rsid w:val="00060565"/>
    <w:rsid w:val="000608A5"/>
    <w:rsid w:val="00060F76"/>
    <w:rsid w:val="00061852"/>
    <w:rsid w:val="00061F18"/>
    <w:rsid w:val="00062289"/>
    <w:rsid w:val="000623A9"/>
    <w:rsid w:val="00062975"/>
    <w:rsid w:val="00062B1A"/>
    <w:rsid w:val="00063276"/>
    <w:rsid w:val="00064E5B"/>
    <w:rsid w:val="00064FAB"/>
    <w:rsid w:val="00065714"/>
    <w:rsid w:val="0006590F"/>
    <w:rsid w:val="00065B4F"/>
    <w:rsid w:val="000664E9"/>
    <w:rsid w:val="00067254"/>
    <w:rsid w:val="000678C3"/>
    <w:rsid w:val="000678DC"/>
    <w:rsid w:val="00067D25"/>
    <w:rsid w:val="00070281"/>
    <w:rsid w:val="000702AD"/>
    <w:rsid w:val="000705AE"/>
    <w:rsid w:val="00071AD1"/>
    <w:rsid w:val="000720A0"/>
    <w:rsid w:val="000723DE"/>
    <w:rsid w:val="00072803"/>
    <w:rsid w:val="0007342B"/>
    <w:rsid w:val="00073B64"/>
    <w:rsid w:val="00074007"/>
    <w:rsid w:val="00074AAB"/>
    <w:rsid w:val="00075015"/>
    <w:rsid w:val="00075200"/>
    <w:rsid w:val="000757E4"/>
    <w:rsid w:val="000760F3"/>
    <w:rsid w:val="000769F1"/>
    <w:rsid w:val="00077237"/>
    <w:rsid w:val="00077543"/>
    <w:rsid w:val="00077F2D"/>
    <w:rsid w:val="00080093"/>
    <w:rsid w:val="00080AA0"/>
    <w:rsid w:val="00080DE4"/>
    <w:rsid w:val="000815FD"/>
    <w:rsid w:val="0008269D"/>
    <w:rsid w:val="0008307F"/>
    <w:rsid w:val="00083831"/>
    <w:rsid w:val="00084096"/>
    <w:rsid w:val="00084616"/>
    <w:rsid w:val="00084FB4"/>
    <w:rsid w:val="00085873"/>
    <w:rsid w:val="00085F68"/>
    <w:rsid w:val="00086A50"/>
    <w:rsid w:val="0008785B"/>
    <w:rsid w:val="00090185"/>
    <w:rsid w:val="00091329"/>
    <w:rsid w:val="00091716"/>
    <w:rsid w:val="000924CC"/>
    <w:rsid w:val="00092603"/>
    <w:rsid w:val="00092E1E"/>
    <w:rsid w:val="000930EB"/>
    <w:rsid w:val="000937A5"/>
    <w:rsid w:val="0009443C"/>
    <w:rsid w:val="00094ABA"/>
    <w:rsid w:val="00094C6A"/>
    <w:rsid w:val="00095452"/>
    <w:rsid w:val="0009546D"/>
    <w:rsid w:val="000965FA"/>
    <w:rsid w:val="0009691F"/>
    <w:rsid w:val="000975AC"/>
    <w:rsid w:val="0009786B"/>
    <w:rsid w:val="000978BC"/>
    <w:rsid w:val="00097DA4"/>
    <w:rsid w:val="00097FC8"/>
    <w:rsid w:val="000A0541"/>
    <w:rsid w:val="000A0AE9"/>
    <w:rsid w:val="000A1874"/>
    <w:rsid w:val="000A2980"/>
    <w:rsid w:val="000A2B60"/>
    <w:rsid w:val="000A34DC"/>
    <w:rsid w:val="000A4608"/>
    <w:rsid w:val="000A4ACF"/>
    <w:rsid w:val="000A4ADE"/>
    <w:rsid w:val="000A4BFD"/>
    <w:rsid w:val="000A52CF"/>
    <w:rsid w:val="000A547E"/>
    <w:rsid w:val="000A5865"/>
    <w:rsid w:val="000A6252"/>
    <w:rsid w:val="000A678A"/>
    <w:rsid w:val="000A6AAD"/>
    <w:rsid w:val="000A6C8C"/>
    <w:rsid w:val="000A7107"/>
    <w:rsid w:val="000B082F"/>
    <w:rsid w:val="000B0B95"/>
    <w:rsid w:val="000B0E56"/>
    <w:rsid w:val="000B16FA"/>
    <w:rsid w:val="000B1AAD"/>
    <w:rsid w:val="000B1CA2"/>
    <w:rsid w:val="000B1D64"/>
    <w:rsid w:val="000B2562"/>
    <w:rsid w:val="000B2B0C"/>
    <w:rsid w:val="000B300C"/>
    <w:rsid w:val="000B32E6"/>
    <w:rsid w:val="000B353E"/>
    <w:rsid w:val="000B3A04"/>
    <w:rsid w:val="000B3E3D"/>
    <w:rsid w:val="000B4A2C"/>
    <w:rsid w:val="000B4AA4"/>
    <w:rsid w:val="000B51C9"/>
    <w:rsid w:val="000B5B80"/>
    <w:rsid w:val="000B5FEE"/>
    <w:rsid w:val="000B6182"/>
    <w:rsid w:val="000B6546"/>
    <w:rsid w:val="000B6652"/>
    <w:rsid w:val="000B71C4"/>
    <w:rsid w:val="000B764A"/>
    <w:rsid w:val="000C087D"/>
    <w:rsid w:val="000C1B66"/>
    <w:rsid w:val="000C1D19"/>
    <w:rsid w:val="000C221F"/>
    <w:rsid w:val="000C24FE"/>
    <w:rsid w:val="000C2679"/>
    <w:rsid w:val="000C281F"/>
    <w:rsid w:val="000C2BDC"/>
    <w:rsid w:val="000C37B4"/>
    <w:rsid w:val="000C463E"/>
    <w:rsid w:val="000C5418"/>
    <w:rsid w:val="000C5CFC"/>
    <w:rsid w:val="000C5F06"/>
    <w:rsid w:val="000C6673"/>
    <w:rsid w:val="000C7DF5"/>
    <w:rsid w:val="000D087F"/>
    <w:rsid w:val="000D1935"/>
    <w:rsid w:val="000D1E1B"/>
    <w:rsid w:val="000D2502"/>
    <w:rsid w:val="000D2912"/>
    <w:rsid w:val="000D2ACB"/>
    <w:rsid w:val="000D39F2"/>
    <w:rsid w:val="000D4780"/>
    <w:rsid w:val="000D4E55"/>
    <w:rsid w:val="000D4F26"/>
    <w:rsid w:val="000D583B"/>
    <w:rsid w:val="000D5CA7"/>
    <w:rsid w:val="000D6552"/>
    <w:rsid w:val="000D6CDB"/>
    <w:rsid w:val="000D7885"/>
    <w:rsid w:val="000D7B11"/>
    <w:rsid w:val="000E0B19"/>
    <w:rsid w:val="000E14C5"/>
    <w:rsid w:val="000E2109"/>
    <w:rsid w:val="000E21A8"/>
    <w:rsid w:val="000E2701"/>
    <w:rsid w:val="000E304F"/>
    <w:rsid w:val="000E37FD"/>
    <w:rsid w:val="000E396B"/>
    <w:rsid w:val="000E404A"/>
    <w:rsid w:val="000E40FE"/>
    <w:rsid w:val="000E44BE"/>
    <w:rsid w:val="000E4A6F"/>
    <w:rsid w:val="000E6A24"/>
    <w:rsid w:val="000E6D9D"/>
    <w:rsid w:val="000E7152"/>
    <w:rsid w:val="000E730C"/>
    <w:rsid w:val="000E7954"/>
    <w:rsid w:val="000F030B"/>
    <w:rsid w:val="000F06F4"/>
    <w:rsid w:val="000F08C9"/>
    <w:rsid w:val="000F11EC"/>
    <w:rsid w:val="000F13DE"/>
    <w:rsid w:val="000F1490"/>
    <w:rsid w:val="000F18E6"/>
    <w:rsid w:val="000F1AEC"/>
    <w:rsid w:val="000F2C60"/>
    <w:rsid w:val="000F3021"/>
    <w:rsid w:val="000F30F2"/>
    <w:rsid w:val="000F3273"/>
    <w:rsid w:val="000F3451"/>
    <w:rsid w:val="000F351E"/>
    <w:rsid w:val="000F3668"/>
    <w:rsid w:val="000F3832"/>
    <w:rsid w:val="000F3AB4"/>
    <w:rsid w:val="000F4D84"/>
    <w:rsid w:val="000F4FB5"/>
    <w:rsid w:val="000F58BD"/>
    <w:rsid w:val="000F6514"/>
    <w:rsid w:val="000F66B1"/>
    <w:rsid w:val="000F6ABD"/>
    <w:rsid w:val="000F6BA6"/>
    <w:rsid w:val="000F6D44"/>
    <w:rsid w:val="000F7864"/>
    <w:rsid w:val="000F7A3C"/>
    <w:rsid w:val="000F7CEC"/>
    <w:rsid w:val="001001BA"/>
    <w:rsid w:val="0010074B"/>
    <w:rsid w:val="00100B30"/>
    <w:rsid w:val="00100CE7"/>
    <w:rsid w:val="00100CF8"/>
    <w:rsid w:val="00100EDA"/>
    <w:rsid w:val="0010121F"/>
    <w:rsid w:val="00101DB2"/>
    <w:rsid w:val="00102015"/>
    <w:rsid w:val="001024F2"/>
    <w:rsid w:val="001035DD"/>
    <w:rsid w:val="0010366E"/>
    <w:rsid w:val="00103A13"/>
    <w:rsid w:val="00104B33"/>
    <w:rsid w:val="00104BBD"/>
    <w:rsid w:val="00104F40"/>
    <w:rsid w:val="0010506E"/>
    <w:rsid w:val="0010545A"/>
    <w:rsid w:val="001057AE"/>
    <w:rsid w:val="00105A2C"/>
    <w:rsid w:val="00105D99"/>
    <w:rsid w:val="00105F02"/>
    <w:rsid w:val="0010631A"/>
    <w:rsid w:val="001066B6"/>
    <w:rsid w:val="00106787"/>
    <w:rsid w:val="00106895"/>
    <w:rsid w:val="00106AE5"/>
    <w:rsid w:val="00106B60"/>
    <w:rsid w:val="00106EC9"/>
    <w:rsid w:val="0010783B"/>
    <w:rsid w:val="0010789E"/>
    <w:rsid w:val="0010793D"/>
    <w:rsid w:val="001103B6"/>
    <w:rsid w:val="00110D92"/>
    <w:rsid w:val="00110FC0"/>
    <w:rsid w:val="00111432"/>
    <w:rsid w:val="00111AEB"/>
    <w:rsid w:val="00112056"/>
    <w:rsid w:val="001121AD"/>
    <w:rsid w:val="00112B2B"/>
    <w:rsid w:val="0011320F"/>
    <w:rsid w:val="0011340D"/>
    <w:rsid w:val="00113DC8"/>
    <w:rsid w:val="001142E8"/>
    <w:rsid w:val="00114338"/>
    <w:rsid w:val="00114836"/>
    <w:rsid w:val="0011496E"/>
    <w:rsid w:val="0011501E"/>
    <w:rsid w:val="0011522A"/>
    <w:rsid w:val="00115C0F"/>
    <w:rsid w:val="0011605B"/>
    <w:rsid w:val="0011659E"/>
    <w:rsid w:val="001165B5"/>
    <w:rsid w:val="00116640"/>
    <w:rsid w:val="001166A5"/>
    <w:rsid w:val="001168CA"/>
    <w:rsid w:val="00116CC8"/>
    <w:rsid w:val="00116E7D"/>
    <w:rsid w:val="001179A0"/>
    <w:rsid w:val="001202B6"/>
    <w:rsid w:val="001205B2"/>
    <w:rsid w:val="00120CAB"/>
    <w:rsid w:val="001211C5"/>
    <w:rsid w:val="00121B25"/>
    <w:rsid w:val="00121B26"/>
    <w:rsid w:val="00121BAD"/>
    <w:rsid w:val="00121BFA"/>
    <w:rsid w:val="00121C9A"/>
    <w:rsid w:val="00122237"/>
    <w:rsid w:val="0012234E"/>
    <w:rsid w:val="00122495"/>
    <w:rsid w:val="001226B7"/>
    <w:rsid w:val="001235FF"/>
    <w:rsid w:val="001237B8"/>
    <w:rsid w:val="00123DA3"/>
    <w:rsid w:val="0012486F"/>
    <w:rsid w:val="00124AB5"/>
    <w:rsid w:val="001250DC"/>
    <w:rsid w:val="001252FD"/>
    <w:rsid w:val="001254E6"/>
    <w:rsid w:val="00125A0F"/>
    <w:rsid w:val="00126AD8"/>
    <w:rsid w:val="00127652"/>
    <w:rsid w:val="001277A1"/>
    <w:rsid w:val="00130228"/>
    <w:rsid w:val="00130FD5"/>
    <w:rsid w:val="001315CA"/>
    <w:rsid w:val="001316A2"/>
    <w:rsid w:val="00131E33"/>
    <w:rsid w:val="00132319"/>
    <w:rsid w:val="001326E5"/>
    <w:rsid w:val="00132AA8"/>
    <w:rsid w:val="00133004"/>
    <w:rsid w:val="0013318B"/>
    <w:rsid w:val="001331B9"/>
    <w:rsid w:val="00133A39"/>
    <w:rsid w:val="00133E2F"/>
    <w:rsid w:val="00133EF7"/>
    <w:rsid w:val="00134116"/>
    <w:rsid w:val="0013416B"/>
    <w:rsid w:val="00134522"/>
    <w:rsid w:val="00134727"/>
    <w:rsid w:val="00134FE9"/>
    <w:rsid w:val="001351A3"/>
    <w:rsid w:val="00135443"/>
    <w:rsid w:val="00135B14"/>
    <w:rsid w:val="00135B26"/>
    <w:rsid w:val="00135FEE"/>
    <w:rsid w:val="001360FE"/>
    <w:rsid w:val="001362D4"/>
    <w:rsid w:val="001365BE"/>
    <w:rsid w:val="00136884"/>
    <w:rsid w:val="0013753A"/>
    <w:rsid w:val="00140672"/>
    <w:rsid w:val="00140F52"/>
    <w:rsid w:val="00140F7C"/>
    <w:rsid w:val="00141289"/>
    <w:rsid w:val="001415AC"/>
    <w:rsid w:val="00141934"/>
    <w:rsid w:val="00141962"/>
    <w:rsid w:val="0014242B"/>
    <w:rsid w:val="0014260E"/>
    <w:rsid w:val="001427DD"/>
    <w:rsid w:val="00142AA6"/>
    <w:rsid w:val="00142E85"/>
    <w:rsid w:val="00142FE7"/>
    <w:rsid w:val="00143131"/>
    <w:rsid w:val="0014357A"/>
    <w:rsid w:val="00143976"/>
    <w:rsid w:val="00144169"/>
    <w:rsid w:val="00144B93"/>
    <w:rsid w:val="00145498"/>
    <w:rsid w:val="00145E34"/>
    <w:rsid w:val="0014629A"/>
    <w:rsid w:val="00146521"/>
    <w:rsid w:val="00146533"/>
    <w:rsid w:val="00146E19"/>
    <w:rsid w:val="00146F86"/>
    <w:rsid w:val="00146F97"/>
    <w:rsid w:val="00147313"/>
    <w:rsid w:val="00150BDA"/>
    <w:rsid w:val="00150D0E"/>
    <w:rsid w:val="0015149C"/>
    <w:rsid w:val="00151546"/>
    <w:rsid w:val="00151733"/>
    <w:rsid w:val="00151768"/>
    <w:rsid w:val="001524B4"/>
    <w:rsid w:val="00152CDD"/>
    <w:rsid w:val="00153321"/>
    <w:rsid w:val="001537A3"/>
    <w:rsid w:val="00153CE5"/>
    <w:rsid w:val="001541EF"/>
    <w:rsid w:val="00154EE3"/>
    <w:rsid w:val="001555E4"/>
    <w:rsid w:val="0015655B"/>
    <w:rsid w:val="001579A3"/>
    <w:rsid w:val="00160014"/>
    <w:rsid w:val="0016055E"/>
    <w:rsid w:val="001617F7"/>
    <w:rsid w:val="001619E8"/>
    <w:rsid w:val="001620A2"/>
    <w:rsid w:val="001620C6"/>
    <w:rsid w:val="00162327"/>
    <w:rsid w:val="00164448"/>
    <w:rsid w:val="00164767"/>
    <w:rsid w:val="00164BD3"/>
    <w:rsid w:val="00164FEC"/>
    <w:rsid w:val="00165A2A"/>
    <w:rsid w:val="00165D6C"/>
    <w:rsid w:val="00165D9B"/>
    <w:rsid w:val="001663BE"/>
    <w:rsid w:val="00167C9A"/>
    <w:rsid w:val="00167EFD"/>
    <w:rsid w:val="00170005"/>
    <w:rsid w:val="001702AA"/>
    <w:rsid w:val="00170D00"/>
    <w:rsid w:val="0017165B"/>
    <w:rsid w:val="00171ABF"/>
    <w:rsid w:val="00171BBB"/>
    <w:rsid w:val="001724C3"/>
    <w:rsid w:val="001729C1"/>
    <w:rsid w:val="00172F1A"/>
    <w:rsid w:val="0017301A"/>
    <w:rsid w:val="001746C8"/>
    <w:rsid w:val="00174842"/>
    <w:rsid w:val="00174AA0"/>
    <w:rsid w:val="00174BF9"/>
    <w:rsid w:val="00175229"/>
    <w:rsid w:val="0017543C"/>
    <w:rsid w:val="00175A96"/>
    <w:rsid w:val="0017621D"/>
    <w:rsid w:val="001772CF"/>
    <w:rsid w:val="00177AB0"/>
    <w:rsid w:val="00180B00"/>
    <w:rsid w:val="00181320"/>
    <w:rsid w:val="001813AB"/>
    <w:rsid w:val="00182330"/>
    <w:rsid w:val="001833AC"/>
    <w:rsid w:val="001839E5"/>
    <w:rsid w:val="00183EE2"/>
    <w:rsid w:val="001842A7"/>
    <w:rsid w:val="00184602"/>
    <w:rsid w:val="00184A83"/>
    <w:rsid w:val="00184D32"/>
    <w:rsid w:val="0018526E"/>
    <w:rsid w:val="001856C4"/>
    <w:rsid w:val="00185747"/>
    <w:rsid w:val="00185861"/>
    <w:rsid w:val="00185B8C"/>
    <w:rsid w:val="001862E3"/>
    <w:rsid w:val="00186419"/>
    <w:rsid w:val="00186702"/>
    <w:rsid w:val="00187240"/>
    <w:rsid w:val="0019033E"/>
    <w:rsid w:val="00190856"/>
    <w:rsid w:val="001912FC"/>
    <w:rsid w:val="00191BC9"/>
    <w:rsid w:val="001926BD"/>
    <w:rsid w:val="00192A06"/>
    <w:rsid w:val="00192B20"/>
    <w:rsid w:val="00193252"/>
    <w:rsid w:val="00193782"/>
    <w:rsid w:val="00194426"/>
    <w:rsid w:val="00194B00"/>
    <w:rsid w:val="00194E7D"/>
    <w:rsid w:val="0019596E"/>
    <w:rsid w:val="00195BFA"/>
    <w:rsid w:val="001960B7"/>
    <w:rsid w:val="001961C1"/>
    <w:rsid w:val="00196341"/>
    <w:rsid w:val="00197C2F"/>
    <w:rsid w:val="001A0A54"/>
    <w:rsid w:val="001A0AA1"/>
    <w:rsid w:val="001A0CC6"/>
    <w:rsid w:val="001A0D3D"/>
    <w:rsid w:val="001A0DF9"/>
    <w:rsid w:val="001A0F8A"/>
    <w:rsid w:val="001A10FF"/>
    <w:rsid w:val="001A281C"/>
    <w:rsid w:val="001A2B04"/>
    <w:rsid w:val="001A2DC5"/>
    <w:rsid w:val="001A2E1F"/>
    <w:rsid w:val="001A2F59"/>
    <w:rsid w:val="001A397A"/>
    <w:rsid w:val="001A3EAC"/>
    <w:rsid w:val="001A4481"/>
    <w:rsid w:val="001A453B"/>
    <w:rsid w:val="001A45CB"/>
    <w:rsid w:val="001A4A11"/>
    <w:rsid w:val="001A54A9"/>
    <w:rsid w:val="001A54CB"/>
    <w:rsid w:val="001A5D75"/>
    <w:rsid w:val="001A5E92"/>
    <w:rsid w:val="001A6547"/>
    <w:rsid w:val="001A6719"/>
    <w:rsid w:val="001A68C4"/>
    <w:rsid w:val="001A7170"/>
    <w:rsid w:val="001A782D"/>
    <w:rsid w:val="001B047B"/>
    <w:rsid w:val="001B1B45"/>
    <w:rsid w:val="001B1F62"/>
    <w:rsid w:val="001B2346"/>
    <w:rsid w:val="001B2A99"/>
    <w:rsid w:val="001B2D8F"/>
    <w:rsid w:val="001B3623"/>
    <w:rsid w:val="001B381D"/>
    <w:rsid w:val="001B38FF"/>
    <w:rsid w:val="001B39AC"/>
    <w:rsid w:val="001B3E7A"/>
    <w:rsid w:val="001B40B9"/>
    <w:rsid w:val="001B479F"/>
    <w:rsid w:val="001B4C75"/>
    <w:rsid w:val="001B5268"/>
    <w:rsid w:val="001B5862"/>
    <w:rsid w:val="001B6106"/>
    <w:rsid w:val="001B614E"/>
    <w:rsid w:val="001B62EB"/>
    <w:rsid w:val="001B6498"/>
    <w:rsid w:val="001B65B6"/>
    <w:rsid w:val="001B6E36"/>
    <w:rsid w:val="001B714C"/>
    <w:rsid w:val="001B73D3"/>
    <w:rsid w:val="001C0225"/>
    <w:rsid w:val="001C0425"/>
    <w:rsid w:val="001C06A2"/>
    <w:rsid w:val="001C086D"/>
    <w:rsid w:val="001C08B7"/>
    <w:rsid w:val="001C0ED1"/>
    <w:rsid w:val="001C1808"/>
    <w:rsid w:val="001C1AE5"/>
    <w:rsid w:val="001C2BBD"/>
    <w:rsid w:val="001C312F"/>
    <w:rsid w:val="001C3345"/>
    <w:rsid w:val="001C3866"/>
    <w:rsid w:val="001C393B"/>
    <w:rsid w:val="001C3CBF"/>
    <w:rsid w:val="001C3E83"/>
    <w:rsid w:val="001C48F0"/>
    <w:rsid w:val="001C4BB8"/>
    <w:rsid w:val="001C511B"/>
    <w:rsid w:val="001C51A5"/>
    <w:rsid w:val="001C5337"/>
    <w:rsid w:val="001C67A9"/>
    <w:rsid w:val="001C67C0"/>
    <w:rsid w:val="001C6B2C"/>
    <w:rsid w:val="001C6FFD"/>
    <w:rsid w:val="001D06A7"/>
    <w:rsid w:val="001D0C09"/>
    <w:rsid w:val="001D0DF9"/>
    <w:rsid w:val="001D2307"/>
    <w:rsid w:val="001D33EF"/>
    <w:rsid w:val="001D388E"/>
    <w:rsid w:val="001D4509"/>
    <w:rsid w:val="001D450A"/>
    <w:rsid w:val="001D4623"/>
    <w:rsid w:val="001D5DDB"/>
    <w:rsid w:val="001D5E23"/>
    <w:rsid w:val="001D62C1"/>
    <w:rsid w:val="001D6FFF"/>
    <w:rsid w:val="001D71FD"/>
    <w:rsid w:val="001D72E9"/>
    <w:rsid w:val="001D7751"/>
    <w:rsid w:val="001D7794"/>
    <w:rsid w:val="001D7FE6"/>
    <w:rsid w:val="001E0379"/>
    <w:rsid w:val="001E0819"/>
    <w:rsid w:val="001E16A3"/>
    <w:rsid w:val="001E1C85"/>
    <w:rsid w:val="001E1C91"/>
    <w:rsid w:val="001E1FBA"/>
    <w:rsid w:val="001E2594"/>
    <w:rsid w:val="001E2ADF"/>
    <w:rsid w:val="001E2D58"/>
    <w:rsid w:val="001E4033"/>
    <w:rsid w:val="001E453E"/>
    <w:rsid w:val="001E4F9D"/>
    <w:rsid w:val="001E5238"/>
    <w:rsid w:val="001E5B45"/>
    <w:rsid w:val="001E5DEF"/>
    <w:rsid w:val="001E5E16"/>
    <w:rsid w:val="001E68DA"/>
    <w:rsid w:val="001E6C4C"/>
    <w:rsid w:val="001E6E16"/>
    <w:rsid w:val="001E6F48"/>
    <w:rsid w:val="001E6F4D"/>
    <w:rsid w:val="001E70FA"/>
    <w:rsid w:val="001E7F88"/>
    <w:rsid w:val="001F02BE"/>
    <w:rsid w:val="001F05E1"/>
    <w:rsid w:val="001F0673"/>
    <w:rsid w:val="001F0EC5"/>
    <w:rsid w:val="001F16B0"/>
    <w:rsid w:val="001F2480"/>
    <w:rsid w:val="001F24E3"/>
    <w:rsid w:val="001F2585"/>
    <w:rsid w:val="001F25F7"/>
    <w:rsid w:val="001F2BCB"/>
    <w:rsid w:val="001F422E"/>
    <w:rsid w:val="001F4A07"/>
    <w:rsid w:val="001F4B1B"/>
    <w:rsid w:val="001F506B"/>
    <w:rsid w:val="001F50D9"/>
    <w:rsid w:val="001F5D3E"/>
    <w:rsid w:val="001F60CB"/>
    <w:rsid w:val="001F6CAB"/>
    <w:rsid w:val="002000A0"/>
    <w:rsid w:val="002003B7"/>
    <w:rsid w:val="0020060F"/>
    <w:rsid w:val="00200D36"/>
    <w:rsid w:val="0020167E"/>
    <w:rsid w:val="002018E6"/>
    <w:rsid w:val="00202370"/>
    <w:rsid w:val="002025B1"/>
    <w:rsid w:val="002027C3"/>
    <w:rsid w:val="00202D79"/>
    <w:rsid w:val="00203CEB"/>
    <w:rsid w:val="00204F93"/>
    <w:rsid w:val="002051BA"/>
    <w:rsid w:val="002051DF"/>
    <w:rsid w:val="00205365"/>
    <w:rsid w:val="002075B0"/>
    <w:rsid w:val="00207D25"/>
    <w:rsid w:val="00207DBE"/>
    <w:rsid w:val="00210382"/>
    <w:rsid w:val="002109A6"/>
    <w:rsid w:val="00210B4F"/>
    <w:rsid w:val="00210C53"/>
    <w:rsid w:val="00211921"/>
    <w:rsid w:val="0021226C"/>
    <w:rsid w:val="00212915"/>
    <w:rsid w:val="002135AA"/>
    <w:rsid w:val="00213975"/>
    <w:rsid w:val="00213CCE"/>
    <w:rsid w:val="00213E93"/>
    <w:rsid w:val="00213EF6"/>
    <w:rsid w:val="0021500D"/>
    <w:rsid w:val="00215041"/>
    <w:rsid w:val="0021516B"/>
    <w:rsid w:val="0021563B"/>
    <w:rsid w:val="00215FA8"/>
    <w:rsid w:val="0022004B"/>
    <w:rsid w:val="00220BF6"/>
    <w:rsid w:val="00221A31"/>
    <w:rsid w:val="00221B28"/>
    <w:rsid w:val="00221D5E"/>
    <w:rsid w:val="00222485"/>
    <w:rsid w:val="002227CB"/>
    <w:rsid w:val="00222A94"/>
    <w:rsid w:val="0022323B"/>
    <w:rsid w:val="00223244"/>
    <w:rsid w:val="00223EF9"/>
    <w:rsid w:val="00223FC7"/>
    <w:rsid w:val="002240FC"/>
    <w:rsid w:val="00225B04"/>
    <w:rsid w:val="00225DCB"/>
    <w:rsid w:val="00225E1E"/>
    <w:rsid w:val="002261C4"/>
    <w:rsid w:val="00226608"/>
    <w:rsid w:val="0022751C"/>
    <w:rsid w:val="00227D0F"/>
    <w:rsid w:val="002308A2"/>
    <w:rsid w:val="00230A28"/>
    <w:rsid w:val="00230AF9"/>
    <w:rsid w:val="002315E1"/>
    <w:rsid w:val="002316BF"/>
    <w:rsid w:val="00231A1F"/>
    <w:rsid w:val="00232184"/>
    <w:rsid w:val="0023229C"/>
    <w:rsid w:val="00232361"/>
    <w:rsid w:val="002323B8"/>
    <w:rsid w:val="002324AB"/>
    <w:rsid w:val="00233122"/>
    <w:rsid w:val="002338E9"/>
    <w:rsid w:val="00233E2F"/>
    <w:rsid w:val="002343BA"/>
    <w:rsid w:val="00234935"/>
    <w:rsid w:val="00234B3B"/>
    <w:rsid w:val="00234C21"/>
    <w:rsid w:val="0023587A"/>
    <w:rsid w:val="00235FFA"/>
    <w:rsid w:val="002368A8"/>
    <w:rsid w:val="00236DB3"/>
    <w:rsid w:val="00236DC4"/>
    <w:rsid w:val="00237A17"/>
    <w:rsid w:val="00237D0F"/>
    <w:rsid w:val="00237D17"/>
    <w:rsid w:val="00237DA6"/>
    <w:rsid w:val="0024059D"/>
    <w:rsid w:val="00240BCE"/>
    <w:rsid w:val="002410E4"/>
    <w:rsid w:val="0024181C"/>
    <w:rsid w:val="0024183B"/>
    <w:rsid w:val="00241967"/>
    <w:rsid w:val="00241EDA"/>
    <w:rsid w:val="00243A35"/>
    <w:rsid w:val="00243C0A"/>
    <w:rsid w:val="00243E27"/>
    <w:rsid w:val="00244DE2"/>
    <w:rsid w:val="00244EEC"/>
    <w:rsid w:val="002454C3"/>
    <w:rsid w:val="0024631A"/>
    <w:rsid w:val="0024649B"/>
    <w:rsid w:val="002465E8"/>
    <w:rsid w:val="00246738"/>
    <w:rsid w:val="0024688C"/>
    <w:rsid w:val="00246AA7"/>
    <w:rsid w:val="00246C88"/>
    <w:rsid w:val="00246DA2"/>
    <w:rsid w:val="0024712A"/>
    <w:rsid w:val="00247256"/>
    <w:rsid w:val="002472C9"/>
    <w:rsid w:val="002472D3"/>
    <w:rsid w:val="0024798C"/>
    <w:rsid w:val="00247BEF"/>
    <w:rsid w:val="00247DFC"/>
    <w:rsid w:val="00247E58"/>
    <w:rsid w:val="00250660"/>
    <w:rsid w:val="00250E49"/>
    <w:rsid w:val="00250EE2"/>
    <w:rsid w:val="00251844"/>
    <w:rsid w:val="00251BA8"/>
    <w:rsid w:val="00251C60"/>
    <w:rsid w:val="00251E8B"/>
    <w:rsid w:val="00252591"/>
    <w:rsid w:val="002530A6"/>
    <w:rsid w:val="002530C1"/>
    <w:rsid w:val="0025396E"/>
    <w:rsid w:val="00253BB0"/>
    <w:rsid w:val="002544A8"/>
    <w:rsid w:val="00254793"/>
    <w:rsid w:val="00254C3A"/>
    <w:rsid w:val="00254D2B"/>
    <w:rsid w:val="00255013"/>
    <w:rsid w:val="002557C2"/>
    <w:rsid w:val="00255890"/>
    <w:rsid w:val="00257331"/>
    <w:rsid w:val="00257860"/>
    <w:rsid w:val="00257B0F"/>
    <w:rsid w:val="00257B5B"/>
    <w:rsid w:val="002600A4"/>
    <w:rsid w:val="00260784"/>
    <w:rsid w:val="002615CE"/>
    <w:rsid w:val="00261B8C"/>
    <w:rsid w:val="002623D7"/>
    <w:rsid w:val="002624E0"/>
    <w:rsid w:val="002626A1"/>
    <w:rsid w:val="002626DF"/>
    <w:rsid w:val="00262B17"/>
    <w:rsid w:val="00263225"/>
    <w:rsid w:val="002637C5"/>
    <w:rsid w:val="00263924"/>
    <w:rsid w:val="00263F90"/>
    <w:rsid w:val="0026412C"/>
    <w:rsid w:val="002642E6"/>
    <w:rsid w:val="00265A42"/>
    <w:rsid w:val="00265D79"/>
    <w:rsid w:val="002661DB"/>
    <w:rsid w:val="002661E2"/>
    <w:rsid w:val="00266640"/>
    <w:rsid w:val="002667F9"/>
    <w:rsid w:val="00266AF8"/>
    <w:rsid w:val="00266D6B"/>
    <w:rsid w:val="0026769B"/>
    <w:rsid w:val="002677B8"/>
    <w:rsid w:val="00270740"/>
    <w:rsid w:val="002708CD"/>
    <w:rsid w:val="002709CD"/>
    <w:rsid w:val="00270CD3"/>
    <w:rsid w:val="0027100F"/>
    <w:rsid w:val="002710C2"/>
    <w:rsid w:val="002712C7"/>
    <w:rsid w:val="002715CF"/>
    <w:rsid w:val="002722DA"/>
    <w:rsid w:val="00272899"/>
    <w:rsid w:val="0027412C"/>
    <w:rsid w:val="0027447B"/>
    <w:rsid w:val="0027486E"/>
    <w:rsid w:val="00274CC7"/>
    <w:rsid w:val="002758B0"/>
    <w:rsid w:val="0027594F"/>
    <w:rsid w:val="0027631C"/>
    <w:rsid w:val="00276D86"/>
    <w:rsid w:val="00276FE8"/>
    <w:rsid w:val="00277208"/>
    <w:rsid w:val="0027725F"/>
    <w:rsid w:val="00277784"/>
    <w:rsid w:val="002801E3"/>
    <w:rsid w:val="00280379"/>
    <w:rsid w:val="00280443"/>
    <w:rsid w:val="002809E0"/>
    <w:rsid w:val="00280CB0"/>
    <w:rsid w:val="00281515"/>
    <w:rsid w:val="0028183D"/>
    <w:rsid w:val="00281AD3"/>
    <w:rsid w:val="00281DF0"/>
    <w:rsid w:val="002821B0"/>
    <w:rsid w:val="00283C99"/>
    <w:rsid w:val="00284760"/>
    <w:rsid w:val="0028482F"/>
    <w:rsid w:val="00284F82"/>
    <w:rsid w:val="00285368"/>
    <w:rsid w:val="0028563B"/>
    <w:rsid w:val="00285E5A"/>
    <w:rsid w:val="0028621C"/>
    <w:rsid w:val="0028635D"/>
    <w:rsid w:val="0028681C"/>
    <w:rsid w:val="002869B2"/>
    <w:rsid w:val="00286A6A"/>
    <w:rsid w:val="00287633"/>
    <w:rsid w:val="00291899"/>
    <w:rsid w:val="00291DA5"/>
    <w:rsid w:val="002925F9"/>
    <w:rsid w:val="00292BA9"/>
    <w:rsid w:val="0029352B"/>
    <w:rsid w:val="00293FBB"/>
    <w:rsid w:val="00293FFE"/>
    <w:rsid w:val="00294006"/>
    <w:rsid w:val="002941D9"/>
    <w:rsid w:val="00294F4F"/>
    <w:rsid w:val="002952D3"/>
    <w:rsid w:val="002953A8"/>
    <w:rsid w:val="002955D3"/>
    <w:rsid w:val="0029635E"/>
    <w:rsid w:val="002965FF"/>
    <w:rsid w:val="002966C1"/>
    <w:rsid w:val="00296CF3"/>
    <w:rsid w:val="00297CE8"/>
    <w:rsid w:val="002A030F"/>
    <w:rsid w:val="002A075E"/>
    <w:rsid w:val="002A07B7"/>
    <w:rsid w:val="002A0863"/>
    <w:rsid w:val="002A0ABA"/>
    <w:rsid w:val="002A1A72"/>
    <w:rsid w:val="002A1FCE"/>
    <w:rsid w:val="002A2A59"/>
    <w:rsid w:val="002A3BF5"/>
    <w:rsid w:val="002A53EF"/>
    <w:rsid w:val="002A59DD"/>
    <w:rsid w:val="002A5AE6"/>
    <w:rsid w:val="002A5CAB"/>
    <w:rsid w:val="002A5DE2"/>
    <w:rsid w:val="002A761B"/>
    <w:rsid w:val="002A79A7"/>
    <w:rsid w:val="002B0C73"/>
    <w:rsid w:val="002B0D65"/>
    <w:rsid w:val="002B10CC"/>
    <w:rsid w:val="002B1244"/>
    <w:rsid w:val="002B17EA"/>
    <w:rsid w:val="002B1DA1"/>
    <w:rsid w:val="002B1ED3"/>
    <w:rsid w:val="002B2146"/>
    <w:rsid w:val="002B307B"/>
    <w:rsid w:val="002B353C"/>
    <w:rsid w:val="002B3542"/>
    <w:rsid w:val="002B3717"/>
    <w:rsid w:val="002B4071"/>
    <w:rsid w:val="002B48EE"/>
    <w:rsid w:val="002B4B43"/>
    <w:rsid w:val="002B4F29"/>
    <w:rsid w:val="002B5280"/>
    <w:rsid w:val="002B53CA"/>
    <w:rsid w:val="002B5556"/>
    <w:rsid w:val="002B559B"/>
    <w:rsid w:val="002B5F06"/>
    <w:rsid w:val="002B6257"/>
    <w:rsid w:val="002B63E7"/>
    <w:rsid w:val="002B649C"/>
    <w:rsid w:val="002B69A6"/>
    <w:rsid w:val="002B69AC"/>
    <w:rsid w:val="002B6C66"/>
    <w:rsid w:val="002B73A0"/>
    <w:rsid w:val="002B78D7"/>
    <w:rsid w:val="002B7B8F"/>
    <w:rsid w:val="002C01EB"/>
    <w:rsid w:val="002C0366"/>
    <w:rsid w:val="002C0941"/>
    <w:rsid w:val="002C0A7B"/>
    <w:rsid w:val="002C0E3B"/>
    <w:rsid w:val="002C0E45"/>
    <w:rsid w:val="002C0EA0"/>
    <w:rsid w:val="002C1209"/>
    <w:rsid w:val="002C1990"/>
    <w:rsid w:val="002C27BE"/>
    <w:rsid w:val="002C3070"/>
    <w:rsid w:val="002C3674"/>
    <w:rsid w:val="002C3838"/>
    <w:rsid w:val="002C3F5A"/>
    <w:rsid w:val="002C405A"/>
    <w:rsid w:val="002C425F"/>
    <w:rsid w:val="002C4328"/>
    <w:rsid w:val="002C47F4"/>
    <w:rsid w:val="002C49D7"/>
    <w:rsid w:val="002C5321"/>
    <w:rsid w:val="002C539F"/>
    <w:rsid w:val="002C5744"/>
    <w:rsid w:val="002C5BF3"/>
    <w:rsid w:val="002C6090"/>
    <w:rsid w:val="002C69FA"/>
    <w:rsid w:val="002C6C37"/>
    <w:rsid w:val="002C7232"/>
    <w:rsid w:val="002C7709"/>
    <w:rsid w:val="002C77B0"/>
    <w:rsid w:val="002C7A52"/>
    <w:rsid w:val="002D0D51"/>
    <w:rsid w:val="002D1CD9"/>
    <w:rsid w:val="002D2058"/>
    <w:rsid w:val="002D2583"/>
    <w:rsid w:val="002D2AB0"/>
    <w:rsid w:val="002D317E"/>
    <w:rsid w:val="002D3926"/>
    <w:rsid w:val="002D3966"/>
    <w:rsid w:val="002D3B47"/>
    <w:rsid w:val="002D49E8"/>
    <w:rsid w:val="002D5B7E"/>
    <w:rsid w:val="002D6716"/>
    <w:rsid w:val="002D6CD9"/>
    <w:rsid w:val="002D74DB"/>
    <w:rsid w:val="002D7721"/>
    <w:rsid w:val="002D7A99"/>
    <w:rsid w:val="002D7CC1"/>
    <w:rsid w:val="002D7E36"/>
    <w:rsid w:val="002E1381"/>
    <w:rsid w:val="002E1BB2"/>
    <w:rsid w:val="002E23A6"/>
    <w:rsid w:val="002E2FD3"/>
    <w:rsid w:val="002E31E3"/>
    <w:rsid w:val="002E33AC"/>
    <w:rsid w:val="002E3488"/>
    <w:rsid w:val="002E3C1E"/>
    <w:rsid w:val="002E444C"/>
    <w:rsid w:val="002E47F5"/>
    <w:rsid w:val="002E481C"/>
    <w:rsid w:val="002E4B98"/>
    <w:rsid w:val="002E522D"/>
    <w:rsid w:val="002E55ED"/>
    <w:rsid w:val="002E5710"/>
    <w:rsid w:val="002E57C3"/>
    <w:rsid w:val="002E58FB"/>
    <w:rsid w:val="002E5978"/>
    <w:rsid w:val="002E69D7"/>
    <w:rsid w:val="002E6C83"/>
    <w:rsid w:val="002E6F66"/>
    <w:rsid w:val="002E7181"/>
    <w:rsid w:val="002E74F1"/>
    <w:rsid w:val="002E7B2F"/>
    <w:rsid w:val="002F05CF"/>
    <w:rsid w:val="002F0623"/>
    <w:rsid w:val="002F0CD0"/>
    <w:rsid w:val="002F0D8B"/>
    <w:rsid w:val="002F11BC"/>
    <w:rsid w:val="002F1B5B"/>
    <w:rsid w:val="002F2698"/>
    <w:rsid w:val="002F2937"/>
    <w:rsid w:val="002F3266"/>
    <w:rsid w:val="002F3EAD"/>
    <w:rsid w:val="002F4E3D"/>
    <w:rsid w:val="002F4FBA"/>
    <w:rsid w:val="002F50EF"/>
    <w:rsid w:val="002F5753"/>
    <w:rsid w:val="002F5810"/>
    <w:rsid w:val="002F5FAE"/>
    <w:rsid w:val="002F7067"/>
    <w:rsid w:val="002F7410"/>
    <w:rsid w:val="002F74E3"/>
    <w:rsid w:val="002F76CA"/>
    <w:rsid w:val="002F7FA5"/>
    <w:rsid w:val="00300092"/>
    <w:rsid w:val="003004AD"/>
    <w:rsid w:val="003007F7"/>
    <w:rsid w:val="00300D96"/>
    <w:rsid w:val="003013D6"/>
    <w:rsid w:val="003015A8"/>
    <w:rsid w:val="00301B71"/>
    <w:rsid w:val="0030238D"/>
    <w:rsid w:val="0030279B"/>
    <w:rsid w:val="00302B61"/>
    <w:rsid w:val="0030343F"/>
    <w:rsid w:val="0030345B"/>
    <w:rsid w:val="003047E0"/>
    <w:rsid w:val="00304B78"/>
    <w:rsid w:val="00304E81"/>
    <w:rsid w:val="0030513E"/>
    <w:rsid w:val="003051C1"/>
    <w:rsid w:val="003053AF"/>
    <w:rsid w:val="00305BC7"/>
    <w:rsid w:val="00305E7F"/>
    <w:rsid w:val="003063FA"/>
    <w:rsid w:val="00306542"/>
    <w:rsid w:val="00306DFF"/>
    <w:rsid w:val="00306F85"/>
    <w:rsid w:val="0030796B"/>
    <w:rsid w:val="00307A34"/>
    <w:rsid w:val="003109F0"/>
    <w:rsid w:val="003118B8"/>
    <w:rsid w:val="00311B31"/>
    <w:rsid w:val="003120FE"/>
    <w:rsid w:val="00313502"/>
    <w:rsid w:val="003135A6"/>
    <w:rsid w:val="00314126"/>
    <w:rsid w:val="00314281"/>
    <w:rsid w:val="00314468"/>
    <w:rsid w:val="0031458B"/>
    <w:rsid w:val="0031458E"/>
    <w:rsid w:val="00314620"/>
    <w:rsid w:val="0031473B"/>
    <w:rsid w:val="00314951"/>
    <w:rsid w:val="00314B23"/>
    <w:rsid w:val="003157D0"/>
    <w:rsid w:val="003158AD"/>
    <w:rsid w:val="003161C7"/>
    <w:rsid w:val="00316685"/>
    <w:rsid w:val="00316995"/>
    <w:rsid w:val="00316D5D"/>
    <w:rsid w:val="0031740E"/>
    <w:rsid w:val="00317526"/>
    <w:rsid w:val="00317606"/>
    <w:rsid w:val="003203F6"/>
    <w:rsid w:val="00320CD2"/>
    <w:rsid w:val="00320F71"/>
    <w:rsid w:val="00321814"/>
    <w:rsid w:val="00322AB9"/>
    <w:rsid w:val="00322C62"/>
    <w:rsid w:val="00322E20"/>
    <w:rsid w:val="003239E3"/>
    <w:rsid w:val="00323E2D"/>
    <w:rsid w:val="00324038"/>
    <w:rsid w:val="00324865"/>
    <w:rsid w:val="00324AC7"/>
    <w:rsid w:val="00324BB2"/>
    <w:rsid w:val="0032569B"/>
    <w:rsid w:val="00325C33"/>
    <w:rsid w:val="00325CE9"/>
    <w:rsid w:val="00325CEF"/>
    <w:rsid w:val="00325D4A"/>
    <w:rsid w:val="00325ECD"/>
    <w:rsid w:val="00327804"/>
    <w:rsid w:val="00327F11"/>
    <w:rsid w:val="00327FCF"/>
    <w:rsid w:val="00330E21"/>
    <w:rsid w:val="00330EBD"/>
    <w:rsid w:val="0033173C"/>
    <w:rsid w:val="00331808"/>
    <w:rsid w:val="003333A2"/>
    <w:rsid w:val="003338A3"/>
    <w:rsid w:val="00333ABA"/>
    <w:rsid w:val="00334589"/>
    <w:rsid w:val="003345C7"/>
    <w:rsid w:val="00335826"/>
    <w:rsid w:val="003358DB"/>
    <w:rsid w:val="0033672F"/>
    <w:rsid w:val="00337366"/>
    <w:rsid w:val="003377D8"/>
    <w:rsid w:val="00340F21"/>
    <w:rsid w:val="00340F64"/>
    <w:rsid w:val="0034129D"/>
    <w:rsid w:val="003417BE"/>
    <w:rsid w:val="00342162"/>
    <w:rsid w:val="003422AB"/>
    <w:rsid w:val="0034243A"/>
    <w:rsid w:val="00342E93"/>
    <w:rsid w:val="003430F7"/>
    <w:rsid w:val="00343ABD"/>
    <w:rsid w:val="00343B8E"/>
    <w:rsid w:val="00344322"/>
    <w:rsid w:val="0034433F"/>
    <w:rsid w:val="00345303"/>
    <w:rsid w:val="003454A9"/>
    <w:rsid w:val="003458FC"/>
    <w:rsid w:val="00345DED"/>
    <w:rsid w:val="00345E6E"/>
    <w:rsid w:val="00346BD2"/>
    <w:rsid w:val="0035039D"/>
    <w:rsid w:val="00350445"/>
    <w:rsid w:val="00350913"/>
    <w:rsid w:val="003509BA"/>
    <w:rsid w:val="00350BFF"/>
    <w:rsid w:val="00350DC4"/>
    <w:rsid w:val="00351058"/>
    <w:rsid w:val="00351257"/>
    <w:rsid w:val="003512E8"/>
    <w:rsid w:val="00351793"/>
    <w:rsid w:val="00351822"/>
    <w:rsid w:val="00351A84"/>
    <w:rsid w:val="00351D84"/>
    <w:rsid w:val="00351DCF"/>
    <w:rsid w:val="00351FE2"/>
    <w:rsid w:val="00352440"/>
    <w:rsid w:val="00352C01"/>
    <w:rsid w:val="00352E48"/>
    <w:rsid w:val="00353175"/>
    <w:rsid w:val="0035321C"/>
    <w:rsid w:val="003532D9"/>
    <w:rsid w:val="0035358C"/>
    <w:rsid w:val="003539B3"/>
    <w:rsid w:val="00354540"/>
    <w:rsid w:val="00354B6C"/>
    <w:rsid w:val="00354F66"/>
    <w:rsid w:val="003553C0"/>
    <w:rsid w:val="00355E39"/>
    <w:rsid w:val="00355FDD"/>
    <w:rsid w:val="0035659A"/>
    <w:rsid w:val="0035666B"/>
    <w:rsid w:val="00356714"/>
    <w:rsid w:val="00356A90"/>
    <w:rsid w:val="00356D88"/>
    <w:rsid w:val="00356ECE"/>
    <w:rsid w:val="00357176"/>
    <w:rsid w:val="003577E8"/>
    <w:rsid w:val="00357F4B"/>
    <w:rsid w:val="00360E0F"/>
    <w:rsid w:val="00361F8C"/>
    <w:rsid w:val="00362169"/>
    <w:rsid w:val="00362193"/>
    <w:rsid w:val="0036252B"/>
    <w:rsid w:val="003630BE"/>
    <w:rsid w:val="00363350"/>
    <w:rsid w:val="0036336A"/>
    <w:rsid w:val="00366148"/>
    <w:rsid w:val="003667BE"/>
    <w:rsid w:val="003674A3"/>
    <w:rsid w:val="00367524"/>
    <w:rsid w:val="00367642"/>
    <w:rsid w:val="0036772E"/>
    <w:rsid w:val="00367AF8"/>
    <w:rsid w:val="00370938"/>
    <w:rsid w:val="00370C2F"/>
    <w:rsid w:val="0037162E"/>
    <w:rsid w:val="00371AB9"/>
    <w:rsid w:val="00371E10"/>
    <w:rsid w:val="00372169"/>
    <w:rsid w:val="00372641"/>
    <w:rsid w:val="00372EE1"/>
    <w:rsid w:val="00374616"/>
    <w:rsid w:val="00375163"/>
    <w:rsid w:val="00375165"/>
    <w:rsid w:val="00375752"/>
    <w:rsid w:val="003757DA"/>
    <w:rsid w:val="00375915"/>
    <w:rsid w:val="00375AC0"/>
    <w:rsid w:val="00375DEE"/>
    <w:rsid w:val="0037641E"/>
    <w:rsid w:val="00377026"/>
    <w:rsid w:val="003770D5"/>
    <w:rsid w:val="00377844"/>
    <w:rsid w:val="00377C4B"/>
    <w:rsid w:val="00377C53"/>
    <w:rsid w:val="003809E1"/>
    <w:rsid w:val="0038126D"/>
    <w:rsid w:val="003816EC"/>
    <w:rsid w:val="00381BDF"/>
    <w:rsid w:val="00382ECB"/>
    <w:rsid w:val="003833D6"/>
    <w:rsid w:val="00383594"/>
    <w:rsid w:val="00383A8A"/>
    <w:rsid w:val="00383CA2"/>
    <w:rsid w:val="003842B7"/>
    <w:rsid w:val="00384CF5"/>
    <w:rsid w:val="00385064"/>
    <w:rsid w:val="00385433"/>
    <w:rsid w:val="00385BE1"/>
    <w:rsid w:val="003861DA"/>
    <w:rsid w:val="00386E88"/>
    <w:rsid w:val="003872B1"/>
    <w:rsid w:val="0038774B"/>
    <w:rsid w:val="00387783"/>
    <w:rsid w:val="00387A35"/>
    <w:rsid w:val="00390265"/>
    <w:rsid w:val="00390602"/>
    <w:rsid w:val="00390C0E"/>
    <w:rsid w:val="00390C9F"/>
    <w:rsid w:val="00390E8A"/>
    <w:rsid w:val="00391C23"/>
    <w:rsid w:val="0039243F"/>
    <w:rsid w:val="00392B4A"/>
    <w:rsid w:val="00392F39"/>
    <w:rsid w:val="00392FFB"/>
    <w:rsid w:val="00393586"/>
    <w:rsid w:val="00393777"/>
    <w:rsid w:val="00394037"/>
    <w:rsid w:val="0039407E"/>
    <w:rsid w:val="00394A35"/>
    <w:rsid w:val="00394D19"/>
    <w:rsid w:val="00394F37"/>
    <w:rsid w:val="003950F2"/>
    <w:rsid w:val="00395AB5"/>
    <w:rsid w:val="00395D9E"/>
    <w:rsid w:val="0039637F"/>
    <w:rsid w:val="003970B7"/>
    <w:rsid w:val="003975FF"/>
    <w:rsid w:val="003976A6"/>
    <w:rsid w:val="00397C90"/>
    <w:rsid w:val="00397E7A"/>
    <w:rsid w:val="003A0193"/>
    <w:rsid w:val="003A03AB"/>
    <w:rsid w:val="003A065A"/>
    <w:rsid w:val="003A0C7E"/>
    <w:rsid w:val="003A0CC1"/>
    <w:rsid w:val="003A2397"/>
    <w:rsid w:val="003A25A2"/>
    <w:rsid w:val="003A2A7B"/>
    <w:rsid w:val="003A30C3"/>
    <w:rsid w:val="003A31E7"/>
    <w:rsid w:val="003A3711"/>
    <w:rsid w:val="003A39FC"/>
    <w:rsid w:val="003A3A07"/>
    <w:rsid w:val="003A47AB"/>
    <w:rsid w:val="003A4E1E"/>
    <w:rsid w:val="003A51D4"/>
    <w:rsid w:val="003A52F3"/>
    <w:rsid w:val="003A59D8"/>
    <w:rsid w:val="003A5C1A"/>
    <w:rsid w:val="003A65F5"/>
    <w:rsid w:val="003A662F"/>
    <w:rsid w:val="003A6944"/>
    <w:rsid w:val="003A6C4E"/>
    <w:rsid w:val="003A6F8C"/>
    <w:rsid w:val="003A7261"/>
    <w:rsid w:val="003A7663"/>
    <w:rsid w:val="003A7C1D"/>
    <w:rsid w:val="003A7F6D"/>
    <w:rsid w:val="003B00C0"/>
    <w:rsid w:val="003B02FF"/>
    <w:rsid w:val="003B0CF6"/>
    <w:rsid w:val="003B131C"/>
    <w:rsid w:val="003B2D5E"/>
    <w:rsid w:val="003B3189"/>
    <w:rsid w:val="003B3833"/>
    <w:rsid w:val="003B3B4A"/>
    <w:rsid w:val="003B451A"/>
    <w:rsid w:val="003B4AD8"/>
    <w:rsid w:val="003B5110"/>
    <w:rsid w:val="003B5700"/>
    <w:rsid w:val="003B6780"/>
    <w:rsid w:val="003B6B63"/>
    <w:rsid w:val="003B7305"/>
    <w:rsid w:val="003B7F1A"/>
    <w:rsid w:val="003C03DC"/>
    <w:rsid w:val="003C1228"/>
    <w:rsid w:val="003C1335"/>
    <w:rsid w:val="003C169C"/>
    <w:rsid w:val="003C16C3"/>
    <w:rsid w:val="003C1735"/>
    <w:rsid w:val="003C223E"/>
    <w:rsid w:val="003C227D"/>
    <w:rsid w:val="003C24CE"/>
    <w:rsid w:val="003C357B"/>
    <w:rsid w:val="003C43BA"/>
    <w:rsid w:val="003C4E10"/>
    <w:rsid w:val="003C4F81"/>
    <w:rsid w:val="003C5684"/>
    <w:rsid w:val="003C59BC"/>
    <w:rsid w:val="003C59D8"/>
    <w:rsid w:val="003C5D09"/>
    <w:rsid w:val="003C5FBE"/>
    <w:rsid w:val="003C5FE9"/>
    <w:rsid w:val="003C6C9B"/>
    <w:rsid w:val="003C732A"/>
    <w:rsid w:val="003C77D4"/>
    <w:rsid w:val="003C7CB4"/>
    <w:rsid w:val="003C7E56"/>
    <w:rsid w:val="003D05B5"/>
    <w:rsid w:val="003D09D3"/>
    <w:rsid w:val="003D0E73"/>
    <w:rsid w:val="003D115B"/>
    <w:rsid w:val="003D1375"/>
    <w:rsid w:val="003D1AE3"/>
    <w:rsid w:val="003D1BC2"/>
    <w:rsid w:val="003D1D90"/>
    <w:rsid w:val="003D2C35"/>
    <w:rsid w:val="003D2F17"/>
    <w:rsid w:val="003D36EC"/>
    <w:rsid w:val="003D3961"/>
    <w:rsid w:val="003D3D81"/>
    <w:rsid w:val="003D4B5A"/>
    <w:rsid w:val="003D54E4"/>
    <w:rsid w:val="003D556F"/>
    <w:rsid w:val="003D5ABB"/>
    <w:rsid w:val="003D6350"/>
    <w:rsid w:val="003D6CE0"/>
    <w:rsid w:val="003D6D52"/>
    <w:rsid w:val="003D70C1"/>
    <w:rsid w:val="003D7511"/>
    <w:rsid w:val="003D7CBC"/>
    <w:rsid w:val="003D7CC9"/>
    <w:rsid w:val="003E0CE0"/>
    <w:rsid w:val="003E0D2B"/>
    <w:rsid w:val="003E1A9C"/>
    <w:rsid w:val="003E1E18"/>
    <w:rsid w:val="003E2201"/>
    <w:rsid w:val="003E25C9"/>
    <w:rsid w:val="003E2A6B"/>
    <w:rsid w:val="003E35CE"/>
    <w:rsid w:val="003E4F9C"/>
    <w:rsid w:val="003E559A"/>
    <w:rsid w:val="003E567B"/>
    <w:rsid w:val="003E5726"/>
    <w:rsid w:val="003E5E1D"/>
    <w:rsid w:val="003E641A"/>
    <w:rsid w:val="003E687C"/>
    <w:rsid w:val="003E68D6"/>
    <w:rsid w:val="003E6D4B"/>
    <w:rsid w:val="003E796B"/>
    <w:rsid w:val="003E7AAB"/>
    <w:rsid w:val="003E7FFB"/>
    <w:rsid w:val="003F0198"/>
    <w:rsid w:val="003F0477"/>
    <w:rsid w:val="003F1220"/>
    <w:rsid w:val="003F1353"/>
    <w:rsid w:val="003F20DA"/>
    <w:rsid w:val="003F2323"/>
    <w:rsid w:val="003F286B"/>
    <w:rsid w:val="003F42A0"/>
    <w:rsid w:val="003F47C8"/>
    <w:rsid w:val="003F4BD9"/>
    <w:rsid w:val="003F4D79"/>
    <w:rsid w:val="003F5087"/>
    <w:rsid w:val="003F52CC"/>
    <w:rsid w:val="003F62C5"/>
    <w:rsid w:val="003F63AF"/>
    <w:rsid w:val="003F63E4"/>
    <w:rsid w:val="003F6605"/>
    <w:rsid w:val="003F7742"/>
    <w:rsid w:val="00400543"/>
    <w:rsid w:val="00400A32"/>
    <w:rsid w:val="00401B74"/>
    <w:rsid w:val="00401E02"/>
    <w:rsid w:val="004028AF"/>
    <w:rsid w:val="004028EB"/>
    <w:rsid w:val="00403080"/>
    <w:rsid w:val="00403367"/>
    <w:rsid w:val="00404018"/>
    <w:rsid w:val="00404363"/>
    <w:rsid w:val="004046B9"/>
    <w:rsid w:val="00404D7E"/>
    <w:rsid w:val="0040504E"/>
    <w:rsid w:val="00405EBA"/>
    <w:rsid w:val="00405F94"/>
    <w:rsid w:val="004063DE"/>
    <w:rsid w:val="0040659E"/>
    <w:rsid w:val="00406841"/>
    <w:rsid w:val="00406B91"/>
    <w:rsid w:val="00406BC2"/>
    <w:rsid w:val="00406D45"/>
    <w:rsid w:val="00406F40"/>
    <w:rsid w:val="00410AE5"/>
    <w:rsid w:val="00412114"/>
    <w:rsid w:val="004127E7"/>
    <w:rsid w:val="00414189"/>
    <w:rsid w:val="00414319"/>
    <w:rsid w:val="0041434B"/>
    <w:rsid w:val="00414739"/>
    <w:rsid w:val="00414C36"/>
    <w:rsid w:val="00415586"/>
    <w:rsid w:val="00416840"/>
    <w:rsid w:val="00416C15"/>
    <w:rsid w:val="00416CF0"/>
    <w:rsid w:val="004204D3"/>
    <w:rsid w:val="00420731"/>
    <w:rsid w:val="00421309"/>
    <w:rsid w:val="0042137C"/>
    <w:rsid w:val="00421A9F"/>
    <w:rsid w:val="00421B93"/>
    <w:rsid w:val="00422A66"/>
    <w:rsid w:val="0042390F"/>
    <w:rsid w:val="00423FC9"/>
    <w:rsid w:val="004244AD"/>
    <w:rsid w:val="0042454A"/>
    <w:rsid w:val="00424B01"/>
    <w:rsid w:val="00424C63"/>
    <w:rsid w:val="00425212"/>
    <w:rsid w:val="00426743"/>
    <w:rsid w:val="0042719D"/>
    <w:rsid w:val="004274AD"/>
    <w:rsid w:val="00427FB4"/>
    <w:rsid w:val="00430120"/>
    <w:rsid w:val="00430F27"/>
    <w:rsid w:val="0043125D"/>
    <w:rsid w:val="004315D9"/>
    <w:rsid w:val="00431C7B"/>
    <w:rsid w:val="0043247D"/>
    <w:rsid w:val="00432AEB"/>
    <w:rsid w:val="004334D7"/>
    <w:rsid w:val="00433BBF"/>
    <w:rsid w:val="00433BC3"/>
    <w:rsid w:val="0043455D"/>
    <w:rsid w:val="00434BA3"/>
    <w:rsid w:val="004351A6"/>
    <w:rsid w:val="00435237"/>
    <w:rsid w:val="00435667"/>
    <w:rsid w:val="00435C60"/>
    <w:rsid w:val="0043618E"/>
    <w:rsid w:val="0043621F"/>
    <w:rsid w:val="00436AD1"/>
    <w:rsid w:val="00436EF4"/>
    <w:rsid w:val="0043742F"/>
    <w:rsid w:val="004379B7"/>
    <w:rsid w:val="00437DB7"/>
    <w:rsid w:val="00440249"/>
    <w:rsid w:val="00440824"/>
    <w:rsid w:val="00440893"/>
    <w:rsid w:val="00440CA3"/>
    <w:rsid w:val="00440E4E"/>
    <w:rsid w:val="00440E54"/>
    <w:rsid w:val="004421BB"/>
    <w:rsid w:val="00442740"/>
    <w:rsid w:val="0044274B"/>
    <w:rsid w:val="00442EEF"/>
    <w:rsid w:val="00443B5C"/>
    <w:rsid w:val="00444002"/>
    <w:rsid w:val="004442EB"/>
    <w:rsid w:val="00444B6E"/>
    <w:rsid w:val="00445B5B"/>
    <w:rsid w:val="00445EA2"/>
    <w:rsid w:val="00446EC0"/>
    <w:rsid w:val="0044700D"/>
    <w:rsid w:val="00447B15"/>
    <w:rsid w:val="00447DB5"/>
    <w:rsid w:val="00450115"/>
    <w:rsid w:val="0045021C"/>
    <w:rsid w:val="004506C1"/>
    <w:rsid w:val="00450B26"/>
    <w:rsid w:val="00450C4E"/>
    <w:rsid w:val="00451192"/>
    <w:rsid w:val="004513E3"/>
    <w:rsid w:val="0045204A"/>
    <w:rsid w:val="00452DB7"/>
    <w:rsid w:val="00453027"/>
    <w:rsid w:val="00453642"/>
    <w:rsid w:val="00453A57"/>
    <w:rsid w:val="0045416C"/>
    <w:rsid w:val="00454191"/>
    <w:rsid w:val="00454753"/>
    <w:rsid w:val="004554E1"/>
    <w:rsid w:val="004559D3"/>
    <w:rsid w:val="00455C2F"/>
    <w:rsid w:val="0045647E"/>
    <w:rsid w:val="004565F0"/>
    <w:rsid w:val="0045781B"/>
    <w:rsid w:val="00457C24"/>
    <w:rsid w:val="00457CD7"/>
    <w:rsid w:val="004602F3"/>
    <w:rsid w:val="00460A55"/>
    <w:rsid w:val="0046197F"/>
    <w:rsid w:val="00461B0B"/>
    <w:rsid w:val="00461E3A"/>
    <w:rsid w:val="00462359"/>
    <w:rsid w:val="004626A1"/>
    <w:rsid w:val="00462E22"/>
    <w:rsid w:val="004633D8"/>
    <w:rsid w:val="00463599"/>
    <w:rsid w:val="004637A8"/>
    <w:rsid w:val="00463A82"/>
    <w:rsid w:val="00464958"/>
    <w:rsid w:val="00465245"/>
    <w:rsid w:val="004652E2"/>
    <w:rsid w:val="0046542B"/>
    <w:rsid w:val="00465944"/>
    <w:rsid w:val="00465E90"/>
    <w:rsid w:val="00466BBA"/>
    <w:rsid w:val="00467A65"/>
    <w:rsid w:val="00467FEB"/>
    <w:rsid w:val="0047010E"/>
    <w:rsid w:val="004707A8"/>
    <w:rsid w:val="004707B3"/>
    <w:rsid w:val="00470949"/>
    <w:rsid w:val="00470998"/>
    <w:rsid w:val="00472206"/>
    <w:rsid w:val="004723B2"/>
    <w:rsid w:val="00473263"/>
    <w:rsid w:val="00473CB2"/>
    <w:rsid w:val="00474A3C"/>
    <w:rsid w:val="00474E24"/>
    <w:rsid w:val="00474EBD"/>
    <w:rsid w:val="00475228"/>
    <w:rsid w:val="00475B33"/>
    <w:rsid w:val="00475EC0"/>
    <w:rsid w:val="004760F0"/>
    <w:rsid w:val="0047650F"/>
    <w:rsid w:val="00477C3B"/>
    <w:rsid w:val="00477E79"/>
    <w:rsid w:val="00480100"/>
    <w:rsid w:val="004808B3"/>
    <w:rsid w:val="00480A53"/>
    <w:rsid w:val="004813FF"/>
    <w:rsid w:val="0048170B"/>
    <w:rsid w:val="00481B4F"/>
    <w:rsid w:val="00482081"/>
    <w:rsid w:val="004822B6"/>
    <w:rsid w:val="004822FA"/>
    <w:rsid w:val="0048289A"/>
    <w:rsid w:val="004828DA"/>
    <w:rsid w:val="00482D3D"/>
    <w:rsid w:val="00484286"/>
    <w:rsid w:val="004846AC"/>
    <w:rsid w:val="00484BA3"/>
    <w:rsid w:val="0048508E"/>
    <w:rsid w:val="00486D5C"/>
    <w:rsid w:val="004871E9"/>
    <w:rsid w:val="00487514"/>
    <w:rsid w:val="004877FA"/>
    <w:rsid w:val="004901F2"/>
    <w:rsid w:val="00490DC1"/>
    <w:rsid w:val="00491C64"/>
    <w:rsid w:val="00491CBE"/>
    <w:rsid w:val="00492158"/>
    <w:rsid w:val="004921DE"/>
    <w:rsid w:val="004924AC"/>
    <w:rsid w:val="00493180"/>
    <w:rsid w:val="00493A54"/>
    <w:rsid w:val="0049424B"/>
    <w:rsid w:val="00494A3C"/>
    <w:rsid w:val="00494D6F"/>
    <w:rsid w:val="00495678"/>
    <w:rsid w:val="004958F0"/>
    <w:rsid w:val="00495CC7"/>
    <w:rsid w:val="0049639D"/>
    <w:rsid w:val="00496BC1"/>
    <w:rsid w:val="00496BCB"/>
    <w:rsid w:val="00496F35"/>
    <w:rsid w:val="004971C9"/>
    <w:rsid w:val="00497468"/>
    <w:rsid w:val="0049793A"/>
    <w:rsid w:val="004A02C0"/>
    <w:rsid w:val="004A0519"/>
    <w:rsid w:val="004A1602"/>
    <w:rsid w:val="004A1BCA"/>
    <w:rsid w:val="004A1C1C"/>
    <w:rsid w:val="004A20E9"/>
    <w:rsid w:val="004A26C5"/>
    <w:rsid w:val="004A27B8"/>
    <w:rsid w:val="004A28D2"/>
    <w:rsid w:val="004A332D"/>
    <w:rsid w:val="004A35E3"/>
    <w:rsid w:val="004A3F71"/>
    <w:rsid w:val="004A4566"/>
    <w:rsid w:val="004A4F45"/>
    <w:rsid w:val="004A4F73"/>
    <w:rsid w:val="004A5853"/>
    <w:rsid w:val="004A5AA2"/>
    <w:rsid w:val="004A5E45"/>
    <w:rsid w:val="004A5F72"/>
    <w:rsid w:val="004A63BC"/>
    <w:rsid w:val="004A6438"/>
    <w:rsid w:val="004A6653"/>
    <w:rsid w:val="004A6C1F"/>
    <w:rsid w:val="004A6C5C"/>
    <w:rsid w:val="004A6E1A"/>
    <w:rsid w:val="004A7855"/>
    <w:rsid w:val="004A7B0B"/>
    <w:rsid w:val="004A7CC6"/>
    <w:rsid w:val="004B0537"/>
    <w:rsid w:val="004B09E1"/>
    <w:rsid w:val="004B0F27"/>
    <w:rsid w:val="004B12E3"/>
    <w:rsid w:val="004B150F"/>
    <w:rsid w:val="004B15AF"/>
    <w:rsid w:val="004B1C92"/>
    <w:rsid w:val="004B1D52"/>
    <w:rsid w:val="004B21A2"/>
    <w:rsid w:val="004B267D"/>
    <w:rsid w:val="004B2BBD"/>
    <w:rsid w:val="004B342D"/>
    <w:rsid w:val="004B386B"/>
    <w:rsid w:val="004B39B7"/>
    <w:rsid w:val="004B4583"/>
    <w:rsid w:val="004B46AA"/>
    <w:rsid w:val="004B5040"/>
    <w:rsid w:val="004B51C6"/>
    <w:rsid w:val="004B5834"/>
    <w:rsid w:val="004B5AB9"/>
    <w:rsid w:val="004B6C5F"/>
    <w:rsid w:val="004B71B4"/>
    <w:rsid w:val="004B7307"/>
    <w:rsid w:val="004B78B9"/>
    <w:rsid w:val="004B7913"/>
    <w:rsid w:val="004B7DC7"/>
    <w:rsid w:val="004C00EB"/>
    <w:rsid w:val="004C198A"/>
    <w:rsid w:val="004C3B5F"/>
    <w:rsid w:val="004C3BDA"/>
    <w:rsid w:val="004C3E89"/>
    <w:rsid w:val="004C49D1"/>
    <w:rsid w:val="004C527E"/>
    <w:rsid w:val="004C58AE"/>
    <w:rsid w:val="004C5B34"/>
    <w:rsid w:val="004C5C81"/>
    <w:rsid w:val="004C5EA7"/>
    <w:rsid w:val="004C61D4"/>
    <w:rsid w:val="004C621F"/>
    <w:rsid w:val="004C68B4"/>
    <w:rsid w:val="004C6D66"/>
    <w:rsid w:val="004D0105"/>
    <w:rsid w:val="004D01A7"/>
    <w:rsid w:val="004D060A"/>
    <w:rsid w:val="004D0C83"/>
    <w:rsid w:val="004D0D99"/>
    <w:rsid w:val="004D0E37"/>
    <w:rsid w:val="004D0FAC"/>
    <w:rsid w:val="004D11C1"/>
    <w:rsid w:val="004D18FF"/>
    <w:rsid w:val="004D1CC2"/>
    <w:rsid w:val="004D23FE"/>
    <w:rsid w:val="004D277B"/>
    <w:rsid w:val="004D2809"/>
    <w:rsid w:val="004D2AB5"/>
    <w:rsid w:val="004D2B64"/>
    <w:rsid w:val="004D3453"/>
    <w:rsid w:val="004D4237"/>
    <w:rsid w:val="004D442A"/>
    <w:rsid w:val="004D5A45"/>
    <w:rsid w:val="004D660C"/>
    <w:rsid w:val="004D699D"/>
    <w:rsid w:val="004D6C5A"/>
    <w:rsid w:val="004D6F79"/>
    <w:rsid w:val="004D7EA2"/>
    <w:rsid w:val="004E008C"/>
    <w:rsid w:val="004E0EC0"/>
    <w:rsid w:val="004E106C"/>
    <w:rsid w:val="004E2D0D"/>
    <w:rsid w:val="004E2F48"/>
    <w:rsid w:val="004E322E"/>
    <w:rsid w:val="004E3397"/>
    <w:rsid w:val="004E364F"/>
    <w:rsid w:val="004E3E02"/>
    <w:rsid w:val="004E4300"/>
    <w:rsid w:val="004E4306"/>
    <w:rsid w:val="004E46A0"/>
    <w:rsid w:val="004E484A"/>
    <w:rsid w:val="004E5760"/>
    <w:rsid w:val="004E5799"/>
    <w:rsid w:val="004E5D6C"/>
    <w:rsid w:val="004E5E04"/>
    <w:rsid w:val="004E62F9"/>
    <w:rsid w:val="004E64F9"/>
    <w:rsid w:val="004E6579"/>
    <w:rsid w:val="004E7401"/>
    <w:rsid w:val="004E7AAC"/>
    <w:rsid w:val="004F0373"/>
    <w:rsid w:val="004F0A5A"/>
    <w:rsid w:val="004F0E77"/>
    <w:rsid w:val="004F1134"/>
    <w:rsid w:val="004F1214"/>
    <w:rsid w:val="004F1310"/>
    <w:rsid w:val="004F1A64"/>
    <w:rsid w:val="004F1FD3"/>
    <w:rsid w:val="004F21C0"/>
    <w:rsid w:val="004F2907"/>
    <w:rsid w:val="004F31F4"/>
    <w:rsid w:val="004F38E3"/>
    <w:rsid w:val="004F3BC0"/>
    <w:rsid w:val="004F462D"/>
    <w:rsid w:val="004F5F2B"/>
    <w:rsid w:val="004F61A7"/>
    <w:rsid w:val="004F61F5"/>
    <w:rsid w:val="004F62F6"/>
    <w:rsid w:val="004F6385"/>
    <w:rsid w:val="004F6634"/>
    <w:rsid w:val="004F6F27"/>
    <w:rsid w:val="004F73EE"/>
    <w:rsid w:val="004F7851"/>
    <w:rsid w:val="004F7C37"/>
    <w:rsid w:val="00500388"/>
    <w:rsid w:val="00500691"/>
    <w:rsid w:val="00500819"/>
    <w:rsid w:val="00500865"/>
    <w:rsid w:val="00500892"/>
    <w:rsid w:val="00500D33"/>
    <w:rsid w:val="00501555"/>
    <w:rsid w:val="0050169C"/>
    <w:rsid w:val="00501BB6"/>
    <w:rsid w:val="00501CB1"/>
    <w:rsid w:val="005024FC"/>
    <w:rsid w:val="00502B5B"/>
    <w:rsid w:val="00502C9F"/>
    <w:rsid w:val="0050382F"/>
    <w:rsid w:val="00503E89"/>
    <w:rsid w:val="00503EBD"/>
    <w:rsid w:val="00504179"/>
    <w:rsid w:val="00504B07"/>
    <w:rsid w:val="00505713"/>
    <w:rsid w:val="0050637C"/>
    <w:rsid w:val="00506566"/>
    <w:rsid w:val="005066EA"/>
    <w:rsid w:val="00506DFC"/>
    <w:rsid w:val="00506F24"/>
    <w:rsid w:val="005075E1"/>
    <w:rsid w:val="00507B5B"/>
    <w:rsid w:val="00507D7E"/>
    <w:rsid w:val="005107B7"/>
    <w:rsid w:val="00511ABF"/>
    <w:rsid w:val="00511B2A"/>
    <w:rsid w:val="005120F2"/>
    <w:rsid w:val="005123A0"/>
    <w:rsid w:val="00512ACD"/>
    <w:rsid w:val="00512D90"/>
    <w:rsid w:val="00512DE5"/>
    <w:rsid w:val="00514008"/>
    <w:rsid w:val="005144AF"/>
    <w:rsid w:val="0051474C"/>
    <w:rsid w:val="00514FCB"/>
    <w:rsid w:val="0051533B"/>
    <w:rsid w:val="00515351"/>
    <w:rsid w:val="0051633E"/>
    <w:rsid w:val="00516F28"/>
    <w:rsid w:val="00517406"/>
    <w:rsid w:val="00517745"/>
    <w:rsid w:val="00520AB1"/>
    <w:rsid w:val="00520B74"/>
    <w:rsid w:val="00520C8E"/>
    <w:rsid w:val="005214D1"/>
    <w:rsid w:val="0052216D"/>
    <w:rsid w:val="00522952"/>
    <w:rsid w:val="0052308C"/>
    <w:rsid w:val="00523FF9"/>
    <w:rsid w:val="00524380"/>
    <w:rsid w:val="00524747"/>
    <w:rsid w:val="00525365"/>
    <w:rsid w:val="0052553A"/>
    <w:rsid w:val="0052678A"/>
    <w:rsid w:val="00526910"/>
    <w:rsid w:val="00526F21"/>
    <w:rsid w:val="00526F97"/>
    <w:rsid w:val="005278ED"/>
    <w:rsid w:val="00527BEF"/>
    <w:rsid w:val="005300C6"/>
    <w:rsid w:val="005301C3"/>
    <w:rsid w:val="00530760"/>
    <w:rsid w:val="00530EA2"/>
    <w:rsid w:val="00530FD4"/>
    <w:rsid w:val="00531219"/>
    <w:rsid w:val="0053171E"/>
    <w:rsid w:val="00531876"/>
    <w:rsid w:val="00532062"/>
    <w:rsid w:val="00532561"/>
    <w:rsid w:val="00532FBA"/>
    <w:rsid w:val="005330E8"/>
    <w:rsid w:val="0053349B"/>
    <w:rsid w:val="0053353E"/>
    <w:rsid w:val="005359F8"/>
    <w:rsid w:val="00535A27"/>
    <w:rsid w:val="00535C00"/>
    <w:rsid w:val="00535EF4"/>
    <w:rsid w:val="005360CF"/>
    <w:rsid w:val="00537ED1"/>
    <w:rsid w:val="005405C9"/>
    <w:rsid w:val="0054088E"/>
    <w:rsid w:val="00540A6D"/>
    <w:rsid w:val="00540B05"/>
    <w:rsid w:val="00540C38"/>
    <w:rsid w:val="00540C70"/>
    <w:rsid w:val="00540F22"/>
    <w:rsid w:val="0054113F"/>
    <w:rsid w:val="0054120E"/>
    <w:rsid w:val="00541786"/>
    <w:rsid w:val="00541BDC"/>
    <w:rsid w:val="00542258"/>
    <w:rsid w:val="00542C7A"/>
    <w:rsid w:val="00543C2B"/>
    <w:rsid w:val="00543C35"/>
    <w:rsid w:val="00543EB0"/>
    <w:rsid w:val="00543F62"/>
    <w:rsid w:val="00544451"/>
    <w:rsid w:val="00545273"/>
    <w:rsid w:val="0054566F"/>
    <w:rsid w:val="005461F0"/>
    <w:rsid w:val="00546287"/>
    <w:rsid w:val="00546BA4"/>
    <w:rsid w:val="00547091"/>
    <w:rsid w:val="00547700"/>
    <w:rsid w:val="00547A34"/>
    <w:rsid w:val="00547D5A"/>
    <w:rsid w:val="00551637"/>
    <w:rsid w:val="00552028"/>
    <w:rsid w:val="005522E7"/>
    <w:rsid w:val="00552377"/>
    <w:rsid w:val="005529DE"/>
    <w:rsid w:val="00552CA0"/>
    <w:rsid w:val="005537CB"/>
    <w:rsid w:val="00553B51"/>
    <w:rsid w:val="00553FA2"/>
    <w:rsid w:val="00555741"/>
    <w:rsid w:val="00555C25"/>
    <w:rsid w:val="0055603D"/>
    <w:rsid w:val="0055666A"/>
    <w:rsid w:val="00556D2A"/>
    <w:rsid w:val="00560396"/>
    <w:rsid w:val="00560430"/>
    <w:rsid w:val="005615EE"/>
    <w:rsid w:val="00562141"/>
    <w:rsid w:val="005633E1"/>
    <w:rsid w:val="00563A0E"/>
    <w:rsid w:val="00563C53"/>
    <w:rsid w:val="00563EBF"/>
    <w:rsid w:val="00563F4E"/>
    <w:rsid w:val="005644E9"/>
    <w:rsid w:val="005653CE"/>
    <w:rsid w:val="00565618"/>
    <w:rsid w:val="005659FA"/>
    <w:rsid w:val="00565B41"/>
    <w:rsid w:val="00565C51"/>
    <w:rsid w:val="00566592"/>
    <w:rsid w:val="00566A9E"/>
    <w:rsid w:val="00567E8E"/>
    <w:rsid w:val="00567FD8"/>
    <w:rsid w:val="005700EC"/>
    <w:rsid w:val="005701CB"/>
    <w:rsid w:val="005706DE"/>
    <w:rsid w:val="00570773"/>
    <w:rsid w:val="005709A7"/>
    <w:rsid w:val="00570F87"/>
    <w:rsid w:val="00571105"/>
    <w:rsid w:val="00571DAC"/>
    <w:rsid w:val="00572682"/>
    <w:rsid w:val="0057294B"/>
    <w:rsid w:val="00573153"/>
    <w:rsid w:val="00573364"/>
    <w:rsid w:val="00573838"/>
    <w:rsid w:val="00573B58"/>
    <w:rsid w:val="00573BE9"/>
    <w:rsid w:val="00574E19"/>
    <w:rsid w:val="00574E33"/>
    <w:rsid w:val="005754AB"/>
    <w:rsid w:val="00575993"/>
    <w:rsid w:val="00575E34"/>
    <w:rsid w:val="00576933"/>
    <w:rsid w:val="00576934"/>
    <w:rsid w:val="00577456"/>
    <w:rsid w:val="0057746B"/>
    <w:rsid w:val="00577C42"/>
    <w:rsid w:val="00580634"/>
    <w:rsid w:val="00580BE8"/>
    <w:rsid w:val="00580FF4"/>
    <w:rsid w:val="00581732"/>
    <w:rsid w:val="00581930"/>
    <w:rsid w:val="00581937"/>
    <w:rsid w:val="00582EF2"/>
    <w:rsid w:val="00583A68"/>
    <w:rsid w:val="00583B61"/>
    <w:rsid w:val="00583B71"/>
    <w:rsid w:val="00583D6E"/>
    <w:rsid w:val="00584B2F"/>
    <w:rsid w:val="00584CA9"/>
    <w:rsid w:val="00585518"/>
    <w:rsid w:val="0058565F"/>
    <w:rsid w:val="00585971"/>
    <w:rsid w:val="00585F49"/>
    <w:rsid w:val="00586D45"/>
    <w:rsid w:val="0058744B"/>
    <w:rsid w:val="0058761B"/>
    <w:rsid w:val="00590272"/>
    <w:rsid w:val="005905F5"/>
    <w:rsid w:val="00590973"/>
    <w:rsid w:val="00590B2A"/>
    <w:rsid w:val="00590EBB"/>
    <w:rsid w:val="0059139E"/>
    <w:rsid w:val="00591750"/>
    <w:rsid w:val="00591B26"/>
    <w:rsid w:val="00591C8B"/>
    <w:rsid w:val="00591D0E"/>
    <w:rsid w:val="0059226B"/>
    <w:rsid w:val="0059255B"/>
    <w:rsid w:val="005928B7"/>
    <w:rsid w:val="00593BF5"/>
    <w:rsid w:val="0059505B"/>
    <w:rsid w:val="005953A3"/>
    <w:rsid w:val="005957F7"/>
    <w:rsid w:val="00595ACA"/>
    <w:rsid w:val="00595E1F"/>
    <w:rsid w:val="00596004"/>
    <w:rsid w:val="0059620E"/>
    <w:rsid w:val="005964AC"/>
    <w:rsid w:val="0059685F"/>
    <w:rsid w:val="00596A86"/>
    <w:rsid w:val="00596B0F"/>
    <w:rsid w:val="00597852"/>
    <w:rsid w:val="00597DA4"/>
    <w:rsid w:val="005A008C"/>
    <w:rsid w:val="005A024C"/>
    <w:rsid w:val="005A1E97"/>
    <w:rsid w:val="005A26DE"/>
    <w:rsid w:val="005A2999"/>
    <w:rsid w:val="005A33D4"/>
    <w:rsid w:val="005A3A17"/>
    <w:rsid w:val="005A3B3C"/>
    <w:rsid w:val="005A3C18"/>
    <w:rsid w:val="005A40B1"/>
    <w:rsid w:val="005A424C"/>
    <w:rsid w:val="005A4668"/>
    <w:rsid w:val="005A49C9"/>
    <w:rsid w:val="005A4EDB"/>
    <w:rsid w:val="005A5249"/>
    <w:rsid w:val="005A5C9C"/>
    <w:rsid w:val="005A6914"/>
    <w:rsid w:val="005A6C14"/>
    <w:rsid w:val="005A70D0"/>
    <w:rsid w:val="005A7C86"/>
    <w:rsid w:val="005B0273"/>
    <w:rsid w:val="005B1FA4"/>
    <w:rsid w:val="005B224F"/>
    <w:rsid w:val="005B286C"/>
    <w:rsid w:val="005B288D"/>
    <w:rsid w:val="005B35CB"/>
    <w:rsid w:val="005B3832"/>
    <w:rsid w:val="005B39DB"/>
    <w:rsid w:val="005B3A73"/>
    <w:rsid w:val="005B3E14"/>
    <w:rsid w:val="005B40C6"/>
    <w:rsid w:val="005B4769"/>
    <w:rsid w:val="005B4F6E"/>
    <w:rsid w:val="005B607A"/>
    <w:rsid w:val="005B65D9"/>
    <w:rsid w:val="005B6B93"/>
    <w:rsid w:val="005B71BB"/>
    <w:rsid w:val="005B7314"/>
    <w:rsid w:val="005B788F"/>
    <w:rsid w:val="005C1A7E"/>
    <w:rsid w:val="005C2229"/>
    <w:rsid w:val="005C3351"/>
    <w:rsid w:val="005C3EE3"/>
    <w:rsid w:val="005C47E1"/>
    <w:rsid w:val="005C4817"/>
    <w:rsid w:val="005C48C5"/>
    <w:rsid w:val="005C5D93"/>
    <w:rsid w:val="005C6BC2"/>
    <w:rsid w:val="005C7B0E"/>
    <w:rsid w:val="005C7D03"/>
    <w:rsid w:val="005D0035"/>
    <w:rsid w:val="005D0106"/>
    <w:rsid w:val="005D05BC"/>
    <w:rsid w:val="005D079E"/>
    <w:rsid w:val="005D09BA"/>
    <w:rsid w:val="005D0F6A"/>
    <w:rsid w:val="005D12F2"/>
    <w:rsid w:val="005D1872"/>
    <w:rsid w:val="005D18AD"/>
    <w:rsid w:val="005D1AA2"/>
    <w:rsid w:val="005D1DA5"/>
    <w:rsid w:val="005D20B2"/>
    <w:rsid w:val="005D2204"/>
    <w:rsid w:val="005D25E4"/>
    <w:rsid w:val="005D3C9F"/>
    <w:rsid w:val="005D404C"/>
    <w:rsid w:val="005D4877"/>
    <w:rsid w:val="005D4C84"/>
    <w:rsid w:val="005D5A1B"/>
    <w:rsid w:val="005D6003"/>
    <w:rsid w:val="005D6136"/>
    <w:rsid w:val="005D66BC"/>
    <w:rsid w:val="005D6B34"/>
    <w:rsid w:val="005D71DF"/>
    <w:rsid w:val="005D725F"/>
    <w:rsid w:val="005D751A"/>
    <w:rsid w:val="005D76AD"/>
    <w:rsid w:val="005D7893"/>
    <w:rsid w:val="005D7B49"/>
    <w:rsid w:val="005D7F40"/>
    <w:rsid w:val="005D7F71"/>
    <w:rsid w:val="005E0276"/>
    <w:rsid w:val="005E03DE"/>
    <w:rsid w:val="005E042F"/>
    <w:rsid w:val="005E0C12"/>
    <w:rsid w:val="005E1110"/>
    <w:rsid w:val="005E1635"/>
    <w:rsid w:val="005E18F6"/>
    <w:rsid w:val="005E1F6A"/>
    <w:rsid w:val="005E2362"/>
    <w:rsid w:val="005E26F7"/>
    <w:rsid w:val="005E348F"/>
    <w:rsid w:val="005E38C1"/>
    <w:rsid w:val="005E3955"/>
    <w:rsid w:val="005E3A40"/>
    <w:rsid w:val="005E40E1"/>
    <w:rsid w:val="005E4114"/>
    <w:rsid w:val="005E42E9"/>
    <w:rsid w:val="005E4663"/>
    <w:rsid w:val="005E579A"/>
    <w:rsid w:val="005E5E71"/>
    <w:rsid w:val="005E6FAA"/>
    <w:rsid w:val="005E73AE"/>
    <w:rsid w:val="005E76C3"/>
    <w:rsid w:val="005E7FE1"/>
    <w:rsid w:val="005F03D2"/>
    <w:rsid w:val="005F069B"/>
    <w:rsid w:val="005F088C"/>
    <w:rsid w:val="005F0975"/>
    <w:rsid w:val="005F0BF0"/>
    <w:rsid w:val="005F1080"/>
    <w:rsid w:val="005F10B2"/>
    <w:rsid w:val="005F196F"/>
    <w:rsid w:val="005F2BDE"/>
    <w:rsid w:val="005F2E84"/>
    <w:rsid w:val="005F3140"/>
    <w:rsid w:val="005F38EB"/>
    <w:rsid w:val="005F41E7"/>
    <w:rsid w:val="005F423C"/>
    <w:rsid w:val="005F4E22"/>
    <w:rsid w:val="005F5371"/>
    <w:rsid w:val="005F5773"/>
    <w:rsid w:val="005F6106"/>
    <w:rsid w:val="005F6117"/>
    <w:rsid w:val="005F64EC"/>
    <w:rsid w:val="005F65D8"/>
    <w:rsid w:val="005F68E3"/>
    <w:rsid w:val="005F6BDC"/>
    <w:rsid w:val="005F6C50"/>
    <w:rsid w:val="005F6D6C"/>
    <w:rsid w:val="005F707F"/>
    <w:rsid w:val="005F74A7"/>
    <w:rsid w:val="005F7732"/>
    <w:rsid w:val="005F777E"/>
    <w:rsid w:val="005F7AEE"/>
    <w:rsid w:val="005F7BA8"/>
    <w:rsid w:val="005F7D51"/>
    <w:rsid w:val="005F7E22"/>
    <w:rsid w:val="00600DF0"/>
    <w:rsid w:val="006017E4"/>
    <w:rsid w:val="006023D9"/>
    <w:rsid w:val="0060312C"/>
    <w:rsid w:val="006036AA"/>
    <w:rsid w:val="006039A3"/>
    <w:rsid w:val="00603D0E"/>
    <w:rsid w:val="006044C4"/>
    <w:rsid w:val="0060459D"/>
    <w:rsid w:val="0060546A"/>
    <w:rsid w:val="00605F0D"/>
    <w:rsid w:val="00605F7C"/>
    <w:rsid w:val="00605FB6"/>
    <w:rsid w:val="00606842"/>
    <w:rsid w:val="00606ADF"/>
    <w:rsid w:val="00606DCD"/>
    <w:rsid w:val="0060752A"/>
    <w:rsid w:val="00607E7D"/>
    <w:rsid w:val="00610435"/>
    <w:rsid w:val="006106F9"/>
    <w:rsid w:val="0061097F"/>
    <w:rsid w:val="006110C9"/>
    <w:rsid w:val="0061168B"/>
    <w:rsid w:val="00611D0B"/>
    <w:rsid w:val="0061295C"/>
    <w:rsid w:val="00612DDB"/>
    <w:rsid w:val="006130F3"/>
    <w:rsid w:val="0061311E"/>
    <w:rsid w:val="006134C9"/>
    <w:rsid w:val="00613C85"/>
    <w:rsid w:val="00614004"/>
    <w:rsid w:val="00614527"/>
    <w:rsid w:val="00614AFF"/>
    <w:rsid w:val="00614C15"/>
    <w:rsid w:val="00614D4C"/>
    <w:rsid w:val="00615518"/>
    <w:rsid w:val="006157DB"/>
    <w:rsid w:val="0061591D"/>
    <w:rsid w:val="00615CB5"/>
    <w:rsid w:val="00616B5C"/>
    <w:rsid w:val="00617260"/>
    <w:rsid w:val="00617416"/>
    <w:rsid w:val="00617A9A"/>
    <w:rsid w:val="006205AD"/>
    <w:rsid w:val="00620B0E"/>
    <w:rsid w:val="00620D00"/>
    <w:rsid w:val="006210CF"/>
    <w:rsid w:val="0062138B"/>
    <w:rsid w:val="00621E70"/>
    <w:rsid w:val="00622049"/>
    <w:rsid w:val="006223BA"/>
    <w:rsid w:val="00623527"/>
    <w:rsid w:val="006243EA"/>
    <w:rsid w:val="00624EF2"/>
    <w:rsid w:val="00624FCE"/>
    <w:rsid w:val="006252E5"/>
    <w:rsid w:val="00625869"/>
    <w:rsid w:val="00625936"/>
    <w:rsid w:val="0062643C"/>
    <w:rsid w:val="00626971"/>
    <w:rsid w:val="00626EE1"/>
    <w:rsid w:val="006270AE"/>
    <w:rsid w:val="00627174"/>
    <w:rsid w:val="006273FA"/>
    <w:rsid w:val="0062777B"/>
    <w:rsid w:val="00627ABE"/>
    <w:rsid w:val="00630035"/>
    <w:rsid w:val="006323B8"/>
    <w:rsid w:val="00632466"/>
    <w:rsid w:val="00632982"/>
    <w:rsid w:val="00633E56"/>
    <w:rsid w:val="006340B8"/>
    <w:rsid w:val="00634F11"/>
    <w:rsid w:val="00635649"/>
    <w:rsid w:val="0063565D"/>
    <w:rsid w:val="006357A9"/>
    <w:rsid w:val="006361AE"/>
    <w:rsid w:val="00636A4F"/>
    <w:rsid w:val="00636BA2"/>
    <w:rsid w:val="00636D03"/>
    <w:rsid w:val="00636FFC"/>
    <w:rsid w:val="006379A8"/>
    <w:rsid w:val="00637F61"/>
    <w:rsid w:val="006403AA"/>
    <w:rsid w:val="006403B9"/>
    <w:rsid w:val="006404AE"/>
    <w:rsid w:val="00640B76"/>
    <w:rsid w:val="00640EAF"/>
    <w:rsid w:val="006412EA"/>
    <w:rsid w:val="00641329"/>
    <w:rsid w:val="00641A17"/>
    <w:rsid w:val="006421E4"/>
    <w:rsid w:val="00642E13"/>
    <w:rsid w:val="00642FCE"/>
    <w:rsid w:val="006430A1"/>
    <w:rsid w:val="006431CF"/>
    <w:rsid w:val="006432C8"/>
    <w:rsid w:val="00643483"/>
    <w:rsid w:val="006435F6"/>
    <w:rsid w:val="00643666"/>
    <w:rsid w:val="00643E17"/>
    <w:rsid w:val="00643FD6"/>
    <w:rsid w:val="00644004"/>
    <w:rsid w:val="00644007"/>
    <w:rsid w:val="00644292"/>
    <w:rsid w:val="0064494D"/>
    <w:rsid w:val="00644E1A"/>
    <w:rsid w:val="00645F2B"/>
    <w:rsid w:val="0064662B"/>
    <w:rsid w:val="00646769"/>
    <w:rsid w:val="00646D14"/>
    <w:rsid w:val="00646D71"/>
    <w:rsid w:val="0064784C"/>
    <w:rsid w:val="0064792F"/>
    <w:rsid w:val="00650FA5"/>
    <w:rsid w:val="0065140B"/>
    <w:rsid w:val="00652525"/>
    <w:rsid w:val="00652D59"/>
    <w:rsid w:val="00653189"/>
    <w:rsid w:val="00653E3B"/>
    <w:rsid w:val="0065401B"/>
    <w:rsid w:val="00654EAB"/>
    <w:rsid w:val="006552CA"/>
    <w:rsid w:val="006552EE"/>
    <w:rsid w:val="0065530B"/>
    <w:rsid w:val="00655B42"/>
    <w:rsid w:val="00655B46"/>
    <w:rsid w:val="0065672C"/>
    <w:rsid w:val="00657048"/>
    <w:rsid w:val="006574C5"/>
    <w:rsid w:val="0065764A"/>
    <w:rsid w:val="006603AC"/>
    <w:rsid w:val="00660B6D"/>
    <w:rsid w:val="00660C8D"/>
    <w:rsid w:val="00661AA7"/>
    <w:rsid w:val="00661AAE"/>
    <w:rsid w:val="00661D0D"/>
    <w:rsid w:val="00662041"/>
    <w:rsid w:val="00663058"/>
    <w:rsid w:val="00663330"/>
    <w:rsid w:val="00663631"/>
    <w:rsid w:val="00663947"/>
    <w:rsid w:val="00663D59"/>
    <w:rsid w:val="00663F4E"/>
    <w:rsid w:val="00664103"/>
    <w:rsid w:val="00664826"/>
    <w:rsid w:val="006650CD"/>
    <w:rsid w:val="0066577B"/>
    <w:rsid w:val="006663CF"/>
    <w:rsid w:val="00666A02"/>
    <w:rsid w:val="00666D2A"/>
    <w:rsid w:val="00666EEF"/>
    <w:rsid w:val="0066746F"/>
    <w:rsid w:val="0067016C"/>
    <w:rsid w:val="0067020B"/>
    <w:rsid w:val="00670940"/>
    <w:rsid w:val="00670D08"/>
    <w:rsid w:val="00671324"/>
    <w:rsid w:val="0067165A"/>
    <w:rsid w:val="006717C1"/>
    <w:rsid w:val="00671A24"/>
    <w:rsid w:val="00671F6D"/>
    <w:rsid w:val="00672237"/>
    <w:rsid w:val="00672682"/>
    <w:rsid w:val="00672E3E"/>
    <w:rsid w:val="0067314B"/>
    <w:rsid w:val="00673C8C"/>
    <w:rsid w:val="006740E4"/>
    <w:rsid w:val="00674B24"/>
    <w:rsid w:val="00674F40"/>
    <w:rsid w:val="0067572F"/>
    <w:rsid w:val="00675730"/>
    <w:rsid w:val="006758BF"/>
    <w:rsid w:val="00675E23"/>
    <w:rsid w:val="00676490"/>
    <w:rsid w:val="006769E0"/>
    <w:rsid w:val="0067724A"/>
    <w:rsid w:val="0067748A"/>
    <w:rsid w:val="006776F9"/>
    <w:rsid w:val="00677A93"/>
    <w:rsid w:val="00677B1E"/>
    <w:rsid w:val="00677F9F"/>
    <w:rsid w:val="00680AED"/>
    <w:rsid w:val="00680DC3"/>
    <w:rsid w:val="00681299"/>
    <w:rsid w:val="0068247C"/>
    <w:rsid w:val="00682584"/>
    <w:rsid w:val="0068346B"/>
    <w:rsid w:val="00683711"/>
    <w:rsid w:val="00683AD9"/>
    <w:rsid w:val="00683BBA"/>
    <w:rsid w:val="006847A1"/>
    <w:rsid w:val="00684B56"/>
    <w:rsid w:val="00684BE1"/>
    <w:rsid w:val="00684CD2"/>
    <w:rsid w:val="0068508B"/>
    <w:rsid w:val="00685703"/>
    <w:rsid w:val="00685E83"/>
    <w:rsid w:val="00686103"/>
    <w:rsid w:val="00686908"/>
    <w:rsid w:val="00687082"/>
    <w:rsid w:val="0068712E"/>
    <w:rsid w:val="00687504"/>
    <w:rsid w:val="00687885"/>
    <w:rsid w:val="006879A1"/>
    <w:rsid w:val="006902D7"/>
    <w:rsid w:val="0069081D"/>
    <w:rsid w:val="00691023"/>
    <w:rsid w:val="00691717"/>
    <w:rsid w:val="00691985"/>
    <w:rsid w:val="00691E8B"/>
    <w:rsid w:val="00692268"/>
    <w:rsid w:val="006923DA"/>
    <w:rsid w:val="0069269D"/>
    <w:rsid w:val="00692E65"/>
    <w:rsid w:val="00693032"/>
    <w:rsid w:val="0069342D"/>
    <w:rsid w:val="00693432"/>
    <w:rsid w:val="00693C42"/>
    <w:rsid w:val="00693D15"/>
    <w:rsid w:val="00693D71"/>
    <w:rsid w:val="00694457"/>
    <w:rsid w:val="006946A2"/>
    <w:rsid w:val="006946B7"/>
    <w:rsid w:val="00694C10"/>
    <w:rsid w:val="0069570E"/>
    <w:rsid w:val="00695B7D"/>
    <w:rsid w:val="00695BF7"/>
    <w:rsid w:val="00695F48"/>
    <w:rsid w:val="00695F9D"/>
    <w:rsid w:val="00696CB4"/>
    <w:rsid w:val="00697483"/>
    <w:rsid w:val="006975F7"/>
    <w:rsid w:val="00697BDB"/>
    <w:rsid w:val="006A0088"/>
    <w:rsid w:val="006A0608"/>
    <w:rsid w:val="006A092C"/>
    <w:rsid w:val="006A0E8F"/>
    <w:rsid w:val="006A0EEC"/>
    <w:rsid w:val="006A28AD"/>
    <w:rsid w:val="006A2D53"/>
    <w:rsid w:val="006A3AA1"/>
    <w:rsid w:val="006A3F3B"/>
    <w:rsid w:val="006A4176"/>
    <w:rsid w:val="006A4748"/>
    <w:rsid w:val="006A4B6B"/>
    <w:rsid w:val="006A515C"/>
    <w:rsid w:val="006A5610"/>
    <w:rsid w:val="006A564A"/>
    <w:rsid w:val="006A5F98"/>
    <w:rsid w:val="006A71A0"/>
    <w:rsid w:val="006A7232"/>
    <w:rsid w:val="006A73B3"/>
    <w:rsid w:val="006A7957"/>
    <w:rsid w:val="006A796F"/>
    <w:rsid w:val="006A7B52"/>
    <w:rsid w:val="006A7C5A"/>
    <w:rsid w:val="006B0B2B"/>
    <w:rsid w:val="006B1AC3"/>
    <w:rsid w:val="006B2756"/>
    <w:rsid w:val="006B29A1"/>
    <w:rsid w:val="006B2BF1"/>
    <w:rsid w:val="006B2C98"/>
    <w:rsid w:val="006B37EE"/>
    <w:rsid w:val="006B39BA"/>
    <w:rsid w:val="006B3BC8"/>
    <w:rsid w:val="006B3D36"/>
    <w:rsid w:val="006B40B1"/>
    <w:rsid w:val="006B425F"/>
    <w:rsid w:val="006B4BB5"/>
    <w:rsid w:val="006B4D69"/>
    <w:rsid w:val="006B5267"/>
    <w:rsid w:val="006B60B4"/>
    <w:rsid w:val="006B68CE"/>
    <w:rsid w:val="006B6B4F"/>
    <w:rsid w:val="006B6BFC"/>
    <w:rsid w:val="006B6FC9"/>
    <w:rsid w:val="006B7421"/>
    <w:rsid w:val="006B78EC"/>
    <w:rsid w:val="006C08B7"/>
    <w:rsid w:val="006C09CF"/>
    <w:rsid w:val="006C0EDF"/>
    <w:rsid w:val="006C1966"/>
    <w:rsid w:val="006C2320"/>
    <w:rsid w:val="006C251E"/>
    <w:rsid w:val="006C268B"/>
    <w:rsid w:val="006C26C6"/>
    <w:rsid w:val="006C2851"/>
    <w:rsid w:val="006C2F4B"/>
    <w:rsid w:val="006C357C"/>
    <w:rsid w:val="006C4104"/>
    <w:rsid w:val="006C42E8"/>
    <w:rsid w:val="006C4765"/>
    <w:rsid w:val="006C4B55"/>
    <w:rsid w:val="006C69DA"/>
    <w:rsid w:val="006C6B5B"/>
    <w:rsid w:val="006C6CDF"/>
    <w:rsid w:val="006C7216"/>
    <w:rsid w:val="006C734D"/>
    <w:rsid w:val="006C7DC4"/>
    <w:rsid w:val="006D0512"/>
    <w:rsid w:val="006D080C"/>
    <w:rsid w:val="006D0D8D"/>
    <w:rsid w:val="006D1CBB"/>
    <w:rsid w:val="006D238E"/>
    <w:rsid w:val="006D2D8B"/>
    <w:rsid w:val="006D33D8"/>
    <w:rsid w:val="006D3AD2"/>
    <w:rsid w:val="006D3B50"/>
    <w:rsid w:val="006D4364"/>
    <w:rsid w:val="006D44AA"/>
    <w:rsid w:val="006D4842"/>
    <w:rsid w:val="006D4BBB"/>
    <w:rsid w:val="006D4C05"/>
    <w:rsid w:val="006D5728"/>
    <w:rsid w:val="006D5F42"/>
    <w:rsid w:val="006D615A"/>
    <w:rsid w:val="006D766F"/>
    <w:rsid w:val="006D797B"/>
    <w:rsid w:val="006D79FA"/>
    <w:rsid w:val="006D7CCE"/>
    <w:rsid w:val="006D7E13"/>
    <w:rsid w:val="006E0095"/>
    <w:rsid w:val="006E0275"/>
    <w:rsid w:val="006E0C52"/>
    <w:rsid w:val="006E0E4C"/>
    <w:rsid w:val="006E101D"/>
    <w:rsid w:val="006E18D6"/>
    <w:rsid w:val="006E2226"/>
    <w:rsid w:val="006E2C96"/>
    <w:rsid w:val="006E33B1"/>
    <w:rsid w:val="006E3EA0"/>
    <w:rsid w:val="006E3F1D"/>
    <w:rsid w:val="006E4111"/>
    <w:rsid w:val="006E4576"/>
    <w:rsid w:val="006E651F"/>
    <w:rsid w:val="006E6A33"/>
    <w:rsid w:val="006E74F8"/>
    <w:rsid w:val="006E7821"/>
    <w:rsid w:val="006E7829"/>
    <w:rsid w:val="006E7B4B"/>
    <w:rsid w:val="006E7B73"/>
    <w:rsid w:val="006E7CBF"/>
    <w:rsid w:val="006E7DB8"/>
    <w:rsid w:val="006F01DD"/>
    <w:rsid w:val="006F0863"/>
    <w:rsid w:val="006F0ECC"/>
    <w:rsid w:val="006F0F72"/>
    <w:rsid w:val="006F1D20"/>
    <w:rsid w:val="006F260F"/>
    <w:rsid w:val="006F3420"/>
    <w:rsid w:val="006F3584"/>
    <w:rsid w:val="006F3589"/>
    <w:rsid w:val="006F3E33"/>
    <w:rsid w:val="006F44CB"/>
    <w:rsid w:val="006F4A36"/>
    <w:rsid w:val="006F4F54"/>
    <w:rsid w:val="006F58C7"/>
    <w:rsid w:val="006F5B5E"/>
    <w:rsid w:val="006F63AB"/>
    <w:rsid w:val="006F6748"/>
    <w:rsid w:val="006F6BB8"/>
    <w:rsid w:val="006F6DB5"/>
    <w:rsid w:val="006F79CC"/>
    <w:rsid w:val="00700CDE"/>
    <w:rsid w:val="00700FC9"/>
    <w:rsid w:val="00701C39"/>
    <w:rsid w:val="0070209B"/>
    <w:rsid w:val="007029E8"/>
    <w:rsid w:val="00702EE4"/>
    <w:rsid w:val="007036C3"/>
    <w:rsid w:val="00704007"/>
    <w:rsid w:val="007050BA"/>
    <w:rsid w:val="007054E7"/>
    <w:rsid w:val="0070571C"/>
    <w:rsid w:val="00705915"/>
    <w:rsid w:val="00706355"/>
    <w:rsid w:val="007064BF"/>
    <w:rsid w:val="00706F22"/>
    <w:rsid w:val="007074FA"/>
    <w:rsid w:val="0070784C"/>
    <w:rsid w:val="00710404"/>
    <w:rsid w:val="00710429"/>
    <w:rsid w:val="0071050D"/>
    <w:rsid w:val="00711033"/>
    <w:rsid w:val="007111BF"/>
    <w:rsid w:val="0071154F"/>
    <w:rsid w:val="007118AD"/>
    <w:rsid w:val="00712129"/>
    <w:rsid w:val="0071263A"/>
    <w:rsid w:val="00712970"/>
    <w:rsid w:val="007132DC"/>
    <w:rsid w:val="00713668"/>
    <w:rsid w:val="00713A00"/>
    <w:rsid w:val="00713E0D"/>
    <w:rsid w:val="007143BC"/>
    <w:rsid w:val="00714477"/>
    <w:rsid w:val="007146F0"/>
    <w:rsid w:val="00714EB7"/>
    <w:rsid w:val="00715441"/>
    <w:rsid w:val="00715715"/>
    <w:rsid w:val="007157C2"/>
    <w:rsid w:val="00715CAB"/>
    <w:rsid w:val="00715DF6"/>
    <w:rsid w:val="007171D0"/>
    <w:rsid w:val="007173DD"/>
    <w:rsid w:val="007200C0"/>
    <w:rsid w:val="0072097B"/>
    <w:rsid w:val="00721B78"/>
    <w:rsid w:val="00721ED4"/>
    <w:rsid w:val="00721EF2"/>
    <w:rsid w:val="0072225C"/>
    <w:rsid w:val="0072249D"/>
    <w:rsid w:val="00722BBC"/>
    <w:rsid w:val="00722C0B"/>
    <w:rsid w:val="00722D29"/>
    <w:rsid w:val="00722FA2"/>
    <w:rsid w:val="00724BB6"/>
    <w:rsid w:val="0072511F"/>
    <w:rsid w:val="00725663"/>
    <w:rsid w:val="007257F3"/>
    <w:rsid w:val="00725B81"/>
    <w:rsid w:val="00726136"/>
    <w:rsid w:val="00726EE1"/>
    <w:rsid w:val="007275EE"/>
    <w:rsid w:val="007276F3"/>
    <w:rsid w:val="00730008"/>
    <w:rsid w:val="00730792"/>
    <w:rsid w:val="007307A8"/>
    <w:rsid w:val="00730A7D"/>
    <w:rsid w:val="00731871"/>
    <w:rsid w:val="00731AD9"/>
    <w:rsid w:val="00731D4E"/>
    <w:rsid w:val="007322EF"/>
    <w:rsid w:val="00732360"/>
    <w:rsid w:val="0073262F"/>
    <w:rsid w:val="007332EE"/>
    <w:rsid w:val="00734160"/>
    <w:rsid w:val="0073495D"/>
    <w:rsid w:val="00735191"/>
    <w:rsid w:val="007357D0"/>
    <w:rsid w:val="00735880"/>
    <w:rsid w:val="00735952"/>
    <w:rsid w:val="00735B4F"/>
    <w:rsid w:val="0073616A"/>
    <w:rsid w:val="0073617C"/>
    <w:rsid w:val="007369CD"/>
    <w:rsid w:val="00736CFF"/>
    <w:rsid w:val="007370F9"/>
    <w:rsid w:val="00737A9D"/>
    <w:rsid w:val="007403EE"/>
    <w:rsid w:val="00740862"/>
    <w:rsid w:val="00740D50"/>
    <w:rsid w:val="00740E20"/>
    <w:rsid w:val="007426BF"/>
    <w:rsid w:val="007427D1"/>
    <w:rsid w:val="0074302D"/>
    <w:rsid w:val="0074371C"/>
    <w:rsid w:val="00743F3B"/>
    <w:rsid w:val="00744808"/>
    <w:rsid w:val="00744C44"/>
    <w:rsid w:val="00744ECF"/>
    <w:rsid w:val="00745189"/>
    <w:rsid w:val="0074570E"/>
    <w:rsid w:val="00745CB6"/>
    <w:rsid w:val="00745DF1"/>
    <w:rsid w:val="00745F3C"/>
    <w:rsid w:val="0074620C"/>
    <w:rsid w:val="00746C34"/>
    <w:rsid w:val="0074756B"/>
    <w:rsid w:val="00747617"/>
    <w:rsid w:val="0075005D"/>
    <w:rsid w:val="007506CA"/>
    <w:rsid w:val="00750CDC"/>
    <w:rsid w:val="007519AC"/>
    <w:rsid w:val="00751BAA"/>
    <w:rsid w:val="00752236"/>
    <w:rsid w:val="00753102"/>
    <w:rsid w:val="00753BB9"/>
    <w:rsid w:val="0075407C"/>
    <w:rsid w:val="0075466B"/>
    <w:rsid w:val="0075509C"/>
    <w:rsid w:val="0075593A"/>
    <w:rsid w:val="00755A78"/>
    <w:rsid w:val="00755B87"/>
    <w:rsid w:val="00756F7D"/>
    <w:rsid w:val="00757093"/>
    <w:rsid w:val="00760322"/>
    <w:rsid w:val="00760BD6"/>
    <w:rsid w:val="00760CFA"/>
    <w:rsid w:val="00761B4C"/>
    <w:rsid w:val="00761E39"/>
    <w:rsid w:val="007625AC"/>
    <w:rsid w:val="00762E1B"/>
    <w:rsid w:val="00763125"/>
    <w:rsid w:val="00763C81"/>
    <w:rsid w:val="00763D28"/>
    <w:rsid w:val="00764269"/>
    <w:rsid w:val="007646AF"/>
    <w:rsid w:val="00766523"/>
    <w:rsid w:val="00770BA3"/>
    <w:rsid w:val="00771510"/>
    <w:rsid w:val="00772164"/>
    <w:rsid w:val="007723D6"/>
    <w:rsid w:val="00772950"/>
    <w:rsid w:val="00772A48"/>
    <w:rsid w:val="00772BDF"/>
    <w:rsid w:val="0077326B"/>
    <w:rsid w:val="00773894"/>
    <w:rsid w:val="00773A2C"/>
    <w:rsid w:val="00774201"/>
    <w:rsid w:val="007746DC"/>
    <w:rsid w:val="007748A4"/>
    <w:rsid w:val="00775066"/>
    <w:rsid w:val="007750C7"/>
    <w:rsid w:val="00775A76"/>
    <w:rsid w:val="00775F03"/>
    <w:rsid w:val="007763C1"/>
    <w:rsid w:val="00776C8B"/>
    <w:rsid w:val="0077712F"/>
    <w:rsid w:val="00777CF1"/>
    <w:rsid w:val="00780862"/>
    <w:rsid w:val="00780B15"/>
    <w:rsid w:val="00781117"/>
    <w:rsid w:val="007814F2"/>
    <w:rsid w:val="007828F5"/>
    <w:rsid w:val="0078411B"/>
    <w:rsid w:val="007847C5"/>
    <w:rsid w:val="00784BAE"/>
    <w:rsid w:val="00784CB8"/>
    <w:rsid w:val="00784E98"/>
    <w:rsid w:val="0078520B"/>
    <w:rsid w:val="00785AF6"/>
    <w:rsid w:val="007860B1"/>
    <w:rsid w:val="00786E36"/>
    <w:rsid w:val="007901FE"/>
    <w:rsid w:val="00790392"/>
    <w:rsid w:val="00790887"/>
    <w:rsid w:val="00791A3A"/>
    <w:rsid w:val="00792288"/>
    <w:rsid w:val="00792628"/>
    <w:rsid w:val="00792EE4"/>
    <w:rsid w:val="007940FE"/>
    <w:rsid w:val="00794625"/>
    <w:rsid w:val="007957BE"/>
    <w:rsid w:val="00795B95"/>
    <w:rsid w:val="007960D1"/>
    <w:rsid w:val="0079618D"/>
    <w:rsid w:val="007966FC"/>
    <w:rsid w:val="00796A36"/>
    <w:rsid w:val="00796C72"/>
    <w:rsid w:val="00796FAD"/>
    <w:rsid w:val="00797589"/>
    <w:rsid w:val="007978DA"/>
    <w:rsid w:val="007A047B"/>
    <w:rsid w:val="007A0C17"/>
    <w:rsid w:val="007A14E3"/>
    <w:rsid w:val="007A18F7"/>
    <w:rsid w:val="007A1D07"/>
    <w:rsid w:val="007A2B65"/>
    <w:rsid w:val="007A2BE5"/>
    <w:rsid w:val="007A2D96"/>
    <w:rsid w:val="007A32B6"/>
    <w:rsid w:val="007A429E"/>
    <w:rsid w:val="007A586C"/>
    <w:rsid w:val="007A589E"/>
    <w:rsid w:val="007A7A73"/>
    <w:rsid w:val="007B1534"/>
    <w:rsid w:val="007B15CD"/>
    <w:rsid w:val="007B17A2"/>
    <w:rsid w:val="007B18E7"/>
    <w:rsid w:val="007B2F8E"/>
    <w:rsid w:val="007B30F3"/>
    <w:rsid w:val="007B348B"/>
    <w:rsid w:val="007B386E"/>
    <w:rsid w:val="007B3AFA"/>
    <w:rsid w:val="007B48D2"/>
    <w:rsid w:val="007B48FF"/>
    <w:rsid w:val="007B4DB3"/>
    <w:rsid w:val="007B6866"/>
    <w:rsid w:val="007B6F9C"/>
    <w:rsid w:val="007B7241"/>
    <w:rsid w:val="007B77C9"/>
    <w:rsid w:val="007B7AEB"/>
    <w:rsid w:val="007C05D7"/>
    <w:rsid w:val="007C05F7"/>
    <w:rsid w:val="007C1337"/>
    <w:rsid w:val="007C1E30"/>
    <w:rsid w:val="007C208C"/>
    <w:rsid w:val="007C2231"/>
    <w:rsid w:val="007C277A"/>
    <w:rsid w:val="007C2AC6"/>
    <w:rsid w:val="007C2CA3"/>
    <w:rsid w:val="007C3211"/>
    <w:rsid w:val="007C37F7"/>
    <w:rsid w:val="007C38BD"/>
    <w:rsid w:val="007C4605"/>
    <w:rsid w:val="007C4B0B"/>
    <w:rsid w:val="007C4BFF"/>
    <w:rsid w:val="007C53D8"/>
    <w:rsid w:val="007C625F"/>
    <w:rsid w:val="007C6AD5"/>
    <w:rsid w:val="007C6B0A"/>
    <w:rsid w:val="007C6D2B"/>
    <w:rsid w:val="007C7128"/>
    <w:rsid w:val="007D0249"/>
    <w:rsid w:val="007D0B62"/>
    <w:rsid w:val="007D0E23"/>
    <w:rsid w:val="007D0EED"/>
    <w:rsid w:val="007D196A"/>
    <w:rsid w:val="007D1ADA"/>
    <w:rsid w:val="007D1DE6"/>
    <w:rsid w:val="007D1FCE"/>
    <w:rsid w:val="007D2A84"/>
    <w:rsid w:val="007D2EE8"/>
    <w:rsid w:val="007D383C"/>
    <w:rsid w:val="007D3C6A"/>
    <w:rsid w:val="007D3DE7"/>
    <w:rsid w:val="007D401F"/>
    <w:rsid w:val="007D4239"/>
    <w:rsid w:val="007D46E2"/>
    <w:rsid w:val="007D4D84"/>
    <w:rsid w:val="007D4FDE"/>
    <w:rsid w:val="007D4FE4"/>
    <w:rsid w:val="007D5329"/>
    <w:rsid w:val="007D58D9"/>
    <w:rsid w:val="007D62DF"/>
    <w:rsid w:val="007D6336"/>
    <w:rsid w:val="007D68B1"/>
    <w:rsid w:val="007D6A79"/>
    <w:rsid w:val="007D6CF6"/>
    <w:rsid w:val="007D6E0A"/>
    <w:rsid w:val="007D6FFD"/>
    <w:rsid w:val="007D70A4"/>
    <w:rsid w:val="007D7285"/>
    <w:rsid w:val="007D7B62"/>
    <w:rsid w:val="007D7BA9"/>
    <w:rsid w:val="007D7CBD"/>
    <w:rsid w:val="007E0E52"/>
    <w:rsid w:val="007E0F2E"/>
    <w:rsid w:val="007E11F3"/>
    <w:rsid w:val="007E2481"/>
    <w:rsid w:val="007E24CE"/>
    <w:rsid w:val="007E3067"/>
    <w:rsid w:val="007E3AFD"/>
    <w:rsid w:val="007E3C3B"/>
    <w:rsid w:val="007E4209"/>
    <w:rsid w:val="007E4980"/>
    <w:rsid w:val="007E4DDC"/>
    <w:rsid w:val="007E52B4"/>
    <w:rsid w:val="007E5334"/>
    <w:rsid w:val="007E5B0A"/>
    <w:rsid w:val="007E5F3D"/>
    <w:rsid w:val="007E5FCA"/>
    <w:rsid w:val="007E6529"/>
    <w:rsid w:val="007E74A5"/>
    <w:rsid w:val="007E76BD"/>
    <w:rsid w:val="007E7833"/>
    <w:rsid w:val="007E7834"/>
    <w:rsid w:val="007E7D62"/>
    <w:rsid w:val="007F0146"/>
    <w:rsid w:val="007F015C"/>
    <w:rsid w:val="007F045F"/>
    <w:rsid w:val="007F05EE"/>
    <w:rsid w:val="007F1984"/>
    <w:rsid w:val="007F1DE2"/>
    <w:rsid w:val="007F1E99"/>
    <w:rsid w:val="007F209D"/>
    <w:rsid w:val="007F2265"/>
    <w:rsid w:val="007F22F1"/>
    <w:rsid w:val="007F27D8"/>
    <w:rsid w:val="007F28F2"/>
    <w:rsid w:val="007F2912"/>
    <w:rsid w:val="007F3CBF"/>
    <w:rsid w:val="007F3D53"/>
    <w:rsid w:val="007F3E66"/>
    <w:rsid w:val="007F4335"/>
    <w:rsid w:val="007F44C9"/>
    <w:rsid w:val="007F4EF7"/>
    <w:rsid w:val="007F5800"/>
    <w:rsid w:val="007F5995"/>
    <w:rsid w:val="007F5B8E"/>
    <w:rsid w:val="007F6970"/>
    <w:rsid w:val="007F6980"/>
    <w:rsid w:val="007F742C"/>
    <w:rsid w:val="007F7D28"/>
    <w:rsid w:val="00800241"/>
    <w:rsid w:val="008006B9"/>
    <w:rsid w:val="00801115"/>
    <w:rsid w:val="00801BE4"/>
    <w:rsid w:val="008035F6"/>
    <w:rsid w:val="00803C09"/>
    <w:rsid w:val="00804E42"/>
    <w:rsid w:val="00804FC8"/>
    <w:rsid w:val="00805395"/>
    <w:rsid w:val="00805417"/>
    <w:rsid w:val="00805418"/>
    <w:rsid w:val="00805E72"/>
    <w:rsid w:val="00806264"/>
    <w:rsid w:val="00806345"/>
    <w:rsid w:val="0080660B"/>
    <w:rsid w:val="00806C3A"/>
    <w:rsid w:val="0080746A"/>
    <w:rsid w:val="00807C32"/>
    <w:rsid w:val="00807D57"/>
    <w:rsid w:val="00807D5D"/>
    <w:rsid w:val="00807F30"/>
    <w:rsid w:val="00810B4D"/>
    <w:rsid w:val="008113D4"/>
    <w:rsid w:val="008113E4"/>
    <w:rsid w:val="00811A92"/>
    <w:rsid w:val="00811BA0"/>
    <w:rsid w:val="00811ED7"/>
    <w:rsid w:val="0081319F"/>
    <w:rsid w:val="008138EE"/>
    <w:rsid w:val="008142EC"/>
    <w:rsid w:val="0081485A"/>
    <w:rsid w:val="008152BC"/>
    <w:rsid w:val="008159A5"/>
    <w:rsid w:val="00815B71"/>
    <w:rsid w:val="00815C19"/>
    <w:rsid w:val="00815C69"/>
    <w:rsid w:val="0081653E"/>
    <w:rsid w:val="00816540"/>
    <w:rsid w:val="00816AED"/>
    <w:rsid w:val="00817C24"/>
    <w:rsid w:val="0082016A"/>
    <w:rsid w:val="00820179"/>
    <w:rsid w:val="0082021A"/>
    <w:rsid w:val="00821C3A"/>
    <w:rsid w:val="00823210"/>
    <w:rsid w:val="0082333F"/>
    <w:rsid w:val="00823A16"/>
    <w:rsid w:val="008240ED"/>
    <w:rsid w:val="0082411F"/>
    <w:rsid w:val="00824912"/>
    <w:rsid w:val="00824C34"/>
    <w:rsid w:val="00824C58"/>
    <w:rsid w:val="00825E13"/>
    <w:rsid w:val="00826087"/>
    <w:rsid w:val="00826184"/>
    <w:rsid w:val="00826279"/>
    <w:rsid w:val="0082656C"/>
    <w:rsid w:val="008269C3"/>
    <w:rsid w:val="00826C00"/>
    <w:rsid w:val="0082747E"/>
    <w:rsid w:val="00827A62"/>
    <w:rsid w:val="00830C3F"/>
    <w:rsid w:val="0083153E"/>
    <w:rsid w:val="00831608"/>
    <w:rsid w:val="008319EB"/>
    <w:rsid w:val="008319EF"/>
    <w:rsid w:val="00831D47"/>
    <w:rsid w:val="00831D8D"/>
    <w:rsid w:val="00831E85"/>
    <w:rsid w:val="00832B6C"/>
    <w:rsid w:val="00832CDE"/>
    <w:rsid w:val="00832F40"/>
    <w:rsid w:val="008338E4"/>
    <w:rsid w:val="008339EA"/>
    <w:rsid w:val="00833F05"/>
    <w:rsid w:val="008346B9"/>
    <w:rsid w:val="008347C6"/>
    <w:rsid w:val="00834B07"/>
    <w:rsid w:val="00835752"/>
    <w:rsid w:val="008358E3"/>
    <w:rsid w:val="00835CC2"/>
    <w:rsid w:val="008362A7"/>
    <w:rsid w:val="00836BC1"/>
    <w:rsid w:val="00836D08"/>
    <w:rsid w:val="008371E1"/>
    <w:rsid w:val="008409D2"/>
    <w:rsid w:val="00840D93"/>
    <w:rsid w:val="0084141B"/>
    <w:rsid w:val="00841620"/>
    <w:rsid w:val="00841658"/>
    <w:rsid w:val="00841900"/>
    <w:rsid w:val="00841D9B"/>
    <w:rsid w:val="00842CA3"/>
    <w:rsid w:val="00843DAB"/>
    <w:rsid w:val="00844461"/>
    <w:rsid w:val="008445AB"/>
    <w:rsid w:val="00845977"/>
    <w:rsid w:val="0084664C"/>
    <w:rsid w:val="0084779A"/>
    <w:rsid w:val="00850486"/>
    <w:rsid w:val="00850A59"/>
    <w:rsid w:val="00850A82"/>
    <w:rsid w:val="00850B8E"/>
    <w:rsid w:val="00850ECE"/>
    <w:rsid w:val="0085102E"/>
    <w:rsid w:val="0085141F"/>
    <w:rsid w:val="00851857"/>
    <w:rsid w:val="0085187A"/>
    <w:rsid w:val="00851C42"/>
    <w:rsid w:val="008521E4"/>
    <w:rsid w:val="00852644"/>
    <w:rsid w:val="008537B4"/>
    <w:rsid w:val="00853D1C"/>
    <w:rsid w:val="00854312"/>
    <w:rsid w:val="00854473"/>
    <w:rsid w:val="00855291"/>
    <w:rsid w:val="008558CD"/>
    <w:rsid w:val="00855F80"/>
    <w:rsid w:val="00856258"/>
    <w:rsid w:val="00856397"/>
    <w:rsid w:val="008565D2"/>
    <w:rsid w:val="00856694"/>
    <w:rsid w:val="008566FA"/>
    <w:rsid w:val="008568ED"/>
    <w:rsid w:val="008575C2"/>
    <w:rsid w:val="008606C3"/>
    <w:rsid w:val="00860D95"/>
    <w:rsid w:val="00860D97"/>
    <w:rsid w:val="00860DDC"/>
    <w:rsid w:val="00861132"/>
    <w:rsid w:val="0086153A"/>
    <w:rsid w:val="00861872"/>
    <w:rsid w:val="00861AC9"/>
    <w:rsid w:val="00862358"/>
    <w:rsid w:val="0086294C"/>
    <w:rsid w:val="00863377"/>
    <w:rsid w:val="00863A03"/>
    <w:rsid w:val="00864AF4"/>
    <w:rsid w:val="00864D54"/>
    <w:rsid w:val="00864DCA"/>
    <w:rsid w:val="00865B59"/>
    <w:rsid w:val="00865C28"/>
    <w:rsid w:val="00866172"/>
    <w:rsid w:val="008661B9"/>
    <w:rsid w:val="00866275"/>
    <w:rsid w:val="00866EEE"/>
    <w:rsid w:val="008670C7"/>
    <w:rsid w:val="0087008C"/>
    <w:rsid w:val="00870677"/>
    <w:rsid w:val="00870961"/>
    <w:rsid w:val="00870D23"/>
    <w:rsid w:val="00871103"/>
    <w:rsid w:val="008716FE"/>
    <w:rsid w:val="0087175B"/>
    <w:rsid w:val="00871AC7"/>
    <w:rsid w:val="00872E08"/>
    <w:rsid w:val="00872FAF"/>
    <w:rsid w:val="008731D7"/>
    <w:rsid w:val="0087321F"/>
    <w:rsid w:val="00874536"/>
    <w:rsid w:val="00874DF0"/>
    <w:rsid w:val="00875976"/>
    <w:rsid w:val="0087599D"/>
    <w:rsid w:val="00876629"/>
    <w:rsid w:val="0087682D"/>
    <w:rsid w:val="00876AFB"/>
    <w:rsid w:val="00876B10"/>
    <w:rsid w:val="00876C79"/>
    <w:rsid w:val="00876E83"/>
    <w:rsid w:val="00876F75"/>
    <w:rsid w:val="00877168"/>
    <w:rsid w:val="008775E1"/>
    <w:rsid w:val="00877958"/>
    <w:rsid w:val="00877FE4"/>
    <w:rsid w:val="008804BA"/>
    <w:rsid w:val="00880CC1"/>
    <w:rsid w:val="00880DFF"/>
    <w:rsid w:val="00880EB4"/>
    <w:rsid w:val="00882402"/>
    <w:rsid w:val="0088252F"/>
    <w:rsid w:val="00882D32"/>
    <w:rsid w:val="00882DCF"/>
    <w:rsid w:val="00883073"/>
    <w:rsid w:val="008836EE"/>
    <w:rsid w:val="00883807"/>
    <w:rsid w:val="00883DF8"/>
    <w:rsid w:val="00884494"/>
    <w:rsid w:val="0088450D"/>
    <w:rsid w:val="0088473E"/>
    <w:rsid w:val="00884A61"/>
    <w:rsid w:val="00885036"/>
    <w:rsid w:val="00885385"/>
    <w:rsid w:val="00886F6F"/>
    <w:rsid w:val="00891D76"/>
    <w:rsid w:val="008925FC"/>
    <w:rsid w:val="00892884"/>
    <w:rsid w:val="00892EB8"/>
    <w:rsid w:val="008936F1"/>
    <w:rsid w:val="008942FC"/>
    <w:rsid w:val="00894B99"/>
    <w:rsid w:val="00894F2A"/>
    <w:rsid w:val="00895401"/>
    <w:rsid w:val="00895407"/>
    <w:rsid w:val="008956BE"/>
    <w:rsid w:val="008957C5"/>
    <w:rsid w:val="00895E35"/>
    <w:rsid w:val="00895F0C"/>
    <w:rsid w:val="00895F44"/>
    <w:rsid w:val="00896193"/>
    <w:rsid w:val="00896CEA"/>
    <w:rsid w:val="00896F00"/>
    <w:rsid w:val="00896FDF"/>
    <w:rsid w:val="008978D9"/>
    <w:rsid w:val="00897AC4"/>
    <w:rsid w:val="008A009D"/>
    <w:rsid w:val="008A04DB"/>
    <w:rsid w:val="008A059D"/>
    <w:rsid w:val="008A139E"/>
    <w:rsid w:val="008A13B1"/>
    <w:rsid w:val="008A1CEB"/>
    <w:rsid w:val="008A26FE"/>
    <w:rsid w:val="008A2949"/>
    <w:rsid w:val="008A29B0"/>
    <w:rsid w:val="008A301B"/>
    <w:rsid w:val="008A3186"/>
    <w:rsid w:val="008A433F"/>
    <w:rsid w:val="008A451E"/>
    <w:rsid w:val="008A45A0"/>
    <w:rsid w:val="008A4991"/>
    <w:rsid w:val="008A4BA2"/>
    <w:rsid w:val="008A5002"/>
    <w:rsid w:val="008A5146"/>
    <w:rsid w:val="008A6474"/>
    <w:rsid w:val="008A68C9"/>
    <w:rsid w:val="008A7B19"/>
    <w:rsid w:val="008B0252"/>
    <w:rsid w:val="008B046D"/>
    <w:rsid w:val="008B0517"/>
    <w:rsid w:val="008B086D"/>
    <w:rsid w:val="008B088E"/>
    <w:rsid w:val="008B14AE"/>
    <w:rsid w:val="008B1EB8"/>
    <w:rsid w:val="008B2D07"/>
    <w:rsid w:val="008B307F"/>
    <w:rsid w:val="008B3340"/>
    <w:rsid w:val="008B3E6C"/>
    <w:rsid w:val="008B4725"/>
    <w:rsid w:val="008B50E8"/>
    <w:rsid w:val="008B533B"/>
    <w:rsid w:val="008B5941"/>
    <w:rsid w:val="008B59B7"/>
    <w:rsid w:val="008B6ABC"/>
    <w:rsid w:val="008B7191"/>
    <w:rsid w:val="008B773D"/>
    <w:rsid w:val="008B7D4A"/>
    <w:rsid w:val="008C0569"/>
    <w:rsid w:val="008C1BA4"/>
    <w:rsid w:val="008C1DD8"/>
    <w:rsid w:val="008C213F"/>
    <w:rsid w:val="008C28F1"/>
    <w:rsid w:val="008C2D1F"/>
    <w:rsid w:val="008C2F2F"/>
    <w:rsid w:val="008C37A7"/>
    <w:rsid w:val="008C3E90"/>
    <w:rsid w:val="008C52EA"/>
    <w:rsid w:val="008C564B"/>
    <w:rsid w:val="008C5A81"/>
    <w:rsid w:val="008C5D06"/>
    <w:rsid w:val="008C61FF"/>
    <w:rsid w:val="008C6C61"/>
    <w:rsid w:val="008C73BB"/>
    <w:rsid w:val="008C77DE"/>
    <w:rsid w:val="008C7849"/>
    <w:rsid w:val="008C7894"/>
    <w:rsid w:val="008C7BF6"/>
    <w:rsid w:val="008C7CEF"/>
    <w:rsid w:val="008C7DCD"/>
    <w:rsid w:val="008D1262"/>
    <w:rsid w:val="008D3FCF"/>
    <w:rsid w:val="008D5436"/>
    <w:rsid w:val="008D64CE"/>
    <w:rsid w:val="008D6501"/>
    <w:rsid w:val="008D6FA3"/>
    <w:rsid w:val="008D71C2"/>
    <w:rsid w:val="008D73D0"/>
    <w:rsid w:val="008D7E28"/>
    <w:rsid w:val="008D7ECC"/>
    <w:rsid w:val="008E0EF2"/>
    <w:rsid w:val="008E10C1"/>
    <w:rsid w:val="008E12AF"/>
    <w:rsid w:val="008E1986"/>
    <w:rsid w:val="008E1C4B"/>
    <w:rsid w:val="008E219C"/>
    <w:rsid w:val="008E25EF"/>
    <w:rsid w:val="008E2E0B"/>
    <w:rsid w:val="008E3038"/>
    <w:rsid w:val="008E329B"/>
    <w:rsid w:val="008E3897"/>
    <w:rsid w:val="008E3BC4"/>
    <w:rsid w:val="008E422A"/>
    <w:rsid w:val="008E447F"/>
    <w:rsid w:val="008E461B"/>
    <w:rsid w:val="008E4821"/>
    <w:rsid w:val="008E4C46"/>
    <w:rsid w:val="008E62E9"/>
    <w:rsid w:val="008E68B5"/>
    <w:rsid w:val="008E6A5E"/>
    <w:rsid w:val="008E700C"/>
    <w:rsid w:val="008E7C8E"/>
    <w:rsid w:val="008F08BA"/>
    <w:rsid w:val="008F0B99"/>
    <w:rsid w:val="008F11FE"/>
    <w:rsid w:val="008F120C"/>
    <w:rsid w:val="008F1889"/>
    <w:rsid w:val="008F1F5C"/>
    <w:rsid w:val="008F1FE6"/>
    <w:rsid w:val="008F21C8"/>
    <w:rsid w:val="008F2582"/>
    <w:rsid w:val="008F25E8"/>
    <w:rsid w:val="008F26F5"/>
    <w:rsid w:val="008F2B47"/>
    <w:rsid w:val="008F2FDD"/>
    <w:rsid w:val="008F3217"/>
    <w:rsid w:val="008F32C9"/>
    <w:rsid w:val="008F38B6"/>
    <w:rsid w:val="008F394F"/>
    <w:rsid w:val="008F4B48"/>
    <w:rsid w:val="008F4D9D"/>
    <w:rsid w:val="008F5D88"/>
    <w:rsid w:val="008F636A"/>
    <w:rsid w:val="008F677D"/>
    <w:rsid w:val="008F6E88"/>
    <w:rsid w:val="008F74B4"/>
    <w:rsid w:val="008F7C82"/>
    <w:rsid w:val="008F7FA4"/>
    <w:rsid w:val="009002AA"/>
    <w:rsid w:val="009003F6"/>
    <w:rsid w:val="00900530"/>
    <w:rsid w:val="00901026"/>
    <w:rsid w:val="00901AD5"/>
    <w:rsid w:val="00901C48"/>
    <w:rsid w:val="00901F81"/>
    <w:rsid w:val="009032B9"/>
    <w:rsid w:val="009033D0"/>
    <w:rsid w:val="00903532"/>
    <w:rsid w:val="009038A1"/>
    <w:rsid w:val="009038C4"/>
    <w:rsid w:val="00903A8E"/>
    <w:rsid w:val="00903E7B"/>
    <w:rsid w:val="00903F7F"/>
    <w:rsid w:val="0090459D"/>
    <w:rsid w:val="009048D3"/>
    <w:rsid w:val="009049D8"/>
    <w:rsid w:val="00904A96"/>
    <w:rsid w:val="0090578C"/>
    <w:rsid w:val="00905AF0"/>
    <w:rsid w:val="00905D65"/>
    <w:rsid w:val="00906FF8"/>
    <w:rsid w:val="0090765A"/>
    <w:rsid w:val="009103A1"/>
    <w:rsid w:val="009109B3"/>
    <w:rsid w:val="00910B68"/>
    <w:rsid w:val="00910E8C"/>
    <w:rsid w:val="00911329"/>
    <w:rsid w:val="009118C7"/>
    <w:rsid w:val="00911FE7"/>
    <w:rsid w:val="00912D32"/>
    <w:rsid w:val="00913B8D"/>
    <w:rsid w:val="00913C69"/>
    <w:rsid w:val="00914B36"/>
    <w:rsid w:val="009154E5"/>
    <w:rsid w:val="00915D7E"/>
    <w:rsid w:val="00915F25"/>
    <w:rsid w:val="00916288"/>
    <w:rsid w:val="00916498"/>
    <w:rsid w:val="009168A7"/>
    <w:rsid w:val="00916EC5"/>
    <w:rsid w:val="00916EFA"/>
    <w:rsid w:val="009176CF"/>
    <w:rsid w:val="00917BB7"/>
    <w:rsid w:val="00917E95"/>
    <w:rsid w:val="00920061"/>
    <w:rsid w:val="0092069E"/>
    <w:rsid w:val="009206A9"/>
    <w:rsid w:val="00920748"/>
    <w:rsid w:val="00920CAA"/>
    <w:rsid w:val="0092214E"/>
    <w:rsid w:val="009227FC"/>
    <w:rsid w:val="009229CD"/>
    <w:rsid w:val="00922A39"/>
    <w:rsid w:val="00922FA1"/>
    <w:rsid w:val="0092340E"/>
    <w:rsid w:val="00923950"/>
    <w:rsid w:val="0092438F"/>
    <w:rsid w:val="0092466E"/>
    <w:rsid w:val="00925B57"/>
    <w:rsid w:val="00925EA1"/>
    <w:rsid w:val="00925F2F"/>
    <w:rsid w:val="0092619D"/>
    <w:rsid w:val="00926F87"/>
    <w:rsid w:val="009272D9"/>
    <w:rsid w:val="00927AC9"/>
    <w:rsid w:val="00927B8D"/>
    <w:rsid w:val="00927B93"/>
    <w:rsid w:val="00930626"/>
    <w:rsid w:val="00930826"/>
    <w:rsid w:val="0093099D"/>
    <w:rsid w:val="009318AA"/>
    <w:rsid w:val="00932478"/>
    <w:rsid w:val="00932F78"/>
    <w:rsid w:val="009337A9"/>
    <w:rsid w:val="00934073"/>
    <w:rsid w:val="009343B0"/>
    <w:rsid w:val="00934C90"/>
    <w:rsid w:val="00934D3A"/>
    <w:rsid w:val="0093553A"/>
    <w:rsid w:val="0093596D"/>
    <w:rsid w:val="00935973"/>
    <w:rsid w:val="00935A9E"/>
    <w:rsid w:val="00935F3F"/>
    <w:rsid w:val="00936188"/>
    <w:rsid w:val="009362D9"/>
    <w:rsid w:val="009365AD"/>
    <w:rsid w:val="0093680E"/>
    <w:rsid w:val="00936C13"/>
    <w:rsid w:val="00936F68"/>
    <w:rsid w:val="00937059"/>
    <w:rsid w:val="00937178"/>
    <w:rsid w:val="009376E4"/>
    <w:rsid w:val="00937CBC"/>
    <w:rsid w:val="00937CBF"/>
    <w:rsid w:val="0094046F"/>
    <w:rsid w:val="00940553"/>
    <w:rsid w:val="009406D8"/>
    <w:rsid w:val="00941899"/>
    <w:rsid w:val="009429CA"/>
    <w:rsid w:val="00942B63"/>
    <w:rsid w:val="00942E2A"/>
    <w:rsid w:val="00943293"/>
    <w:rsid w:val="009438DE"/>
    <w:rsid w:val="00943D1F"/>
    <w:rsid w:val="00944DCC"/>
    <w:rsid w:val="009453F8"/>
    <w:rsid w:val="00945630"/>
    <w:rsid w:val="0094605E"/>
    <w:rsid w:val="0094616E"/>
    <w:rsid w:val="00946235"/>
    <w:rsid w:val="00946540"/>
    <w:rsid w:val="00947363"/>
    <w:rsid w:val="00947566"/>
    <w:rsid w:val="009475E7"/>
    <w:rsid w:val="0094779E"/>
    <w:rsid w:val="009477CF"/>
    <w:rsid w:val="00947A3A"/>
    <w:rsid w:val="00950D72"/>
    <w:rsid w:val="00951312"/>
    <w:rsid w:val="00951635"/>
    <w:rsid w:val="00952C58"/>
    <w:rsid w:val="00955065"/>
    <w:rsid w:val="00956DCF"/>
    <w:rsid w:val="009575EB"/>
    <w:rsid w:val="009621D0"/>
    <w:rsid w:val="00962856"/>
    <w:rsid w:val="00962DBB"/>
    <w:rsid w:val="00962F74"/>
    <w:rsid w:val="0096325E"/>
    <w:rsid w:val="0096338D"/>
    <w:rsid w:val="009638C9"/>
    <w:rsid w:val="00963C8B"/>
    <w:rsid w:val="00963C91"/>
    <w:rsid w:val="009641E9"/>
    <w:rsid w:val="00964A29"/>
    <w:rsid w:val="00964A7A"/>
    <w:rsid w:val="00964BDB"/>
    <w:rsid w:val="009655BA"/>
    <w:rsid w:val="00965816"/>
    <w:rsid w:val="00965B4D"/>
    <w:rsid w:val="00965B4F"/>
    <w:rsid w:val="00965B6F"/>
    <w:rsid w:val="00965EDB"/>
    <w:rsid w:val="00966BFC"/>
    <w:rsid w:val="00967CFC"/>
    <w:rsid w:val="00970052"/>
    <w:rsid w:val="00970445"/>
    <w:rsid w:val="009705DC"/>
    <w:rsid w:val="009708CB"/>
    <w:rsid w:val="009714BD"/>
    <w:rsid w:val="00971764"/>
    <w:rsid w:val="0097214B"/>
    <w:rsid w:val="00972D52"/>
    <w:rsid w:val="00972F43"/>
    <w:rsid w:val="009731FB"/>
    <w:rsid w:val="00973EF4"/>
    <w:rsid w:val="0097462B"/>
    <w:rsid w:val="00974777"/>
    <w:rsid w:val="00974878"/>
    <w:rsid w:val="00975016"/>
    <w:rsid w:val="0097501A"/>
    <w:rsid w:val="00975DA8"/>
    <w:rsid w:val="00975E9D"/>
    <w:rsid w:val="009766C1"/>
    <w:rsid w:val="00976DA4"/>
    <w:rsid w:val="00977465"/>
    <w:rsid w:val="00977E53"/>
    <w:rsid w:val="00977EC1"/>
    <w:rsid w:val="00977FBF"/>
    <w:rsid w:val="0098007D"/>
    <w:rsid w:val="00980390"/>
    <w:rsid w:val="0098049C"/>
    <w:rsid w:val="00981424"/>
    <w:rsid w:val="009817E8"/>
    <w:rsid w:val="00981951"/>
    <w:rsid w:val="009827D4"/>
    <w:rsid w:val="00982F85"/>
    <w:rsid w:val="00983111"/>
    <w:rsid w:val="0098325D"/>
    <w:rsid w:val="0098345B"/>
    <w:rsid w:val="0098373E"/>
    <w:rsid w:val="00983E1A"/>
    <w:rsid w:val="00984037"/>
    <w:rsid w:val="009841C0"/>
    <w:rsid w:val="00984671"/>
    <w:rsid w:val="0098484A"/>
    <w:rsid w:val="009855EE"/>
    <w:rsid w:val="00985C0B"/>
    <w:rsid w:val="009860DF"/>
    <w:rsid w:val="0098622A"/>
    <w:rsid w:val="009867B4"/>
    <w:rsid w:val="00986C8A"/>
    <w:rsid w:val="00986F25"/>
    <w:rsid w:val="00986F59"/>
    <w:rsid w:val="0098734A"/>
    <w:rsid w:val="009901F1"/>
    <w:rsid w:val="009902EB"/>
    <w:rsid w:val="0099050E"/>
    <w:rsid w:val="00990A55"/>
    <w:rsid w:val="00991BC0"/>
    <w:rsid w:val="00991D1F"/>
    <w:rsid w:val="00992029"/>
    <w:rsid w:val="009925DE"/>
    <w:rsid w:val="00992921"/>
    <w:rsid w:val="0099308F"/>
    <w:rsid w:val="009931AA"/>
    <w:rsid w:val="00993C47"/>
    <w:rsid w:val="00993DC7"/>
    <w:rsid w:val="00994F11"/>
    <w:rsid w:val="00994FFA"/>
    <w:rsid w:val="0099521D"/>
    <w:rsid w:val="00996177"/>
    <w:rsid w:val="0099644E"/>
    <w:rsid w:val="00996506"/>
    <w:rsid w:val="009966AD"/>
    <w:rsid w:val="00996EC3"/>
    <w:rsid w:val="00996F84"/>
    <w:rsid w:val="00997015"/>
    <w:rsid w:val="00997190"/>
    <w:rsid w:val="00997281"/>
    <w:rsid w:val="00997719"/>
    <w:rsid w:val="00997A8E"/>
    <w:rsid w:val="00997D72"/>
    <w:rsid w:val="00997EA3"/>
    <w:rsid w:val="00997EE1"/>
    <w:rsid w:val="009A0339"/>
    <w:rsid w:val="009A0369"/>
    <w:rsid w:val="009A10EA"/>
    <w:rsid w:val="009A165F"/>
    <w:rsid w:val="009A19F0"/>
    <w:rsid w:val="009A1EAF"/>
    <w:rsid w:val="009A2045"/>
    <w:rsid w:val="009A20E5"/>
    <w:rsid w:val="009A22CC"/>
    <w:rsid w:val="009A267C"/>
    <w:rsid w:val="009A2FF8"/>
    <w:rsid w:val="009A3757"/>
    <w:rsid w:val="009A37FC"/>
    <w:rsid w:val="009A3E22"/>
    <w:rsid w:val="009A3EE2"/>
    <w:rsid w:val="009A44C0"/>
    <w:rsid w:val="009A4621"/>
    <w:rsid w:val="009A4990"/>
    <w:rsid w:val="009A54BE"/>
    <w:rsid w:val="009A55A5"/>
    <w:rsid w:val="009A59EB"/>
    <w:rsid w:val="009A5CD9"/>
    <w:rsid w:val="009A6853"/>
    <w:rsid w:val="009A6A6D"/>
    <w:rsid w:val="009A6CE6"/>
    <w:rsid w:val="009A6F4E"/>
    <w:rsid w:val="009A7770"/>
    <w:rsid w:val="009A7BC4"/>
    <w:rsid w:val="009B0A69"/>
    <w:rsid w:val="009B0D55"/>
    <w:rsid w:val="009B15D7"/>
    <w:rsid w:val="009B194D"/>
    <w:rsid w:val="009B1E62"/>
    <w:rsid w:val="009B2034"/>
    <w:rsid w:val="009B353C"/>
    <w:rsid w:val="009B35E0"/>
    <w:rsid w:val="009B36D6"/>
    <w:rsid w:val="009B39D6"/>
    <w:rsid w:val="009B49A9"/>
    <w:rsid w:val="009B4D66"/>
    <w:rsid w:val="009B4D9A"/>
    <w:rsid w:val="009B5028"/>
    <w:rsid w:val="009B5F0D"/>
    <w:rsid w:val="009B614F"/>
    <w:rsid w:val="009B6C45"/>
    <w:rsid w:val="009B7127"/>
    <w:rsid w:val="009B7C24"/>
    <w:rsid w:val="009B7F1A"/>
    <w:rsid w:val="009C00C2"/>
    <w:rsid w:val="009C050E"/>
    <w:rsid w:val="009C09C7"/>
    <w:rsid w:val="009C0EAA"/>
    <w:rsid w:val="009C188E"/>
    <w:rsid w:val="009C1DC2"/>
    <w:rsid w:val="009C20B1"/>
    <w:rsid w:val="009C20D2"/>
    <w:rsid w:val="009C2481"/>
    <w:rsid w:val="009C28F8"/>
    <w:rsid w:val="009C2E6B"/>
    <w:rsid w:val="009C3288"/>
    <w:rsid w:val="009C34AB"/>
    <w:rsid w:val="009C400B"/>
    <w:rsid w:val="009C422C"/>
    <w:rsid w:val="009C5E77"/>
    <w:rsid w:val="009C61EC"/>
    <w:rsid w:val="009C6631"/>
    <w:rsid w:val="009C6842"/>
    <w:rsid w:val="009C70EE"/>
    <w:rsid w:val="009C753E"/>
    <w:rsid w:val="009C7E97"/>
    <w:rsid w:val="009D0805"/>
    <w:rsid w:val="009D1394"/>
    <w:rsid w:val="009D1593"/>
    <w:rsid w:val="009D20C2"/>
    <w:rsid w:val="009D242E"/>
    <w:rsid w:val="009D2859"/>
    <w:rsid w:val="009D2BC7"/>
    <w:rsid w:val="009D30FE"/>
    <w:rsid w:val="009D3470"/>
    <w:rsid w:val="009D3A88"/>
    <w:rsid w:val="009D3B23"/>
    <w:rsid w:val="009D4B1A"/>
    <w:rsid w:val="009D4D56"/>
    <w:rsid w:val="009D55E3"/>
    <w:rsid w:val="009D5E4D"/>
    <w:rsid w:val="009D5F3A"/>
    <w:rsid w:val="009D5FC0"/>
    <w:rsid w:val="009D6174"/>
    <w:rsid w:val="009D66A9"/>
    <w:rsid w:val="009D7607"/>
    <w:rsid w:val="009D7E96"/>
    <w:rsid w:val="009E0245"/>
    <w:rsid w:val="009E04BB"/>
    <w:rsid w:val="009E0843"/>
    <w:rsid w:val="009E0E32"/>
    <w:rsid w:val="009E12C6"/>
    <w:rsid w:val="009E1430"/>
    <w:rsid w:val="009E1459"/>
    <w:rsid w:val="009E2582"/>
    <w:rsid w:val="009E2A40"/>
    <w:rsid w:val="009E344E"/>
    <w:rsid w:val="009E34E9"/>
    <w:rsid w:val="009E3F72"/>
    <w:rsid w:val="009E40CC"/>
    <w:rsid w:val="009E40D6"/>
    <w:rsid w:val="009E460B"/>
    <w:rsid w:val="009E4945"/>
    <w:rsid w:val="009E4A14"/>
    <w:rsid w:val="009E4AA9"/>
    <w:rsid w:val="009E4DD6"/>
    <w:rsid w:val="009E619B"/>
    <w:rsid w:val="009E6388"/>
    <w:rsid w:val="009E6412"/>
    <w:rsid w:val="009E685C"/>
    <w:rsid w:val="009E752B"/>
    <w:rsid w:val="009E7815"/>
    <w:rsid w:val="009E7837"/>
    <w:rsid w:val="009F0589"/>
    <w:rsid w:val="009F0657"/>
    <w:rsid w:val="009F089C"/>
    <w:rsid w:val="009F0D0B"/>
    <w:rsid w:val="009F1066"/>
    <w:rsid w:val="009F16F2"/>
    <w:rsid w:val="009F188B"/>
    <w:rsid w:val="009F1F34"/>
    <w:rsid w:val="009F255B"/>
    <w:rsid w:val="009F2792"/>
    <w:rsid w:val="009F34F9"/>
    <w:rsid w:val="009F3A1C"/>
    <w:rsid w:val="009F3D41"/>
    <w:rsid w:val="009F46FB"/>
    <w:rsid w:val="009F4D16"/>
    <w:rsid w:val="009F569F"/>
    <w:rsid w:val="009F56CF"/>
    <w:rsid w:val="009F5AB4"/>
    <w:rsid w:val="009F5B13"/>
    <w:rsid w:val="009F6440"/>
    <w:rsid w:val="009F6681"/>
    <w:rsid w:val="009F676E"/>
    <w:rsid w:val="009F6DEA"/>
    <w:rsid w:val="00A00723"/>
    <w:rsid w:val="00A00D28"/>
    <w:rsid w:val="00A013B3"/>
    <w:rsid w:val="00A01478"/>
    <w:rsid w:val="00A019F2"/>
    <w:rsid w:val="00A01E02"/>
    <w:rsid w:val="00A0215A"/>
    <w:rsid w:val="00A021F9"/>
    <w:rsid w:val="00A0394F"/>
    <w:rsid w:val="00A03E90"/>
    <w:rsid w:val="00A041DC"/>
    <w:rsid w:val="00A0466B"/>
    <w:rsid w:val="00A04782"/>
    <w:rsid w:val="00A04F43"/>
    <w:rsid w:val="00A059F2"/>
    <w:rsid w:val="00A05EC8"/>
    <w:rsid w:val="00A06570"/>
    <w:rsid w:val="00A06915"/>
    <w:rsid w:val="00A06A05"/>
    <w:rsid w:val="00A06DBA"/>
    <w:rsid w:val="00A074F2"/>
    <w:rsid w:val="00A0756B"/>
    <w:rsid w:val="00A103C1"/>
    <w:rsid w:val="00A10969"/>
    <w:rsid w:val="00A10EC7"/>
    <w:rsid w:val="00A11197"/>
    <w:rsid w:val="00A11608"/>
    <w:rsid w:val="00A11820"/>
    <w:rsid w:val="00A122A0"/>
    <w:rsid w:val="00A130EC"/>
    <w:rsid w:val="00A1376B"/>
    <w:rsid w:val="00A13CFB"/>
    <w:rsid w:val="00A142DE"/>
    <w:rsid w:val="00A144B6"/>
    <w:rsid w:val="00A14971"/>
    <w:rsid w:val="00A14AF8"/>
    <w:rsid w:val="00A15666"/>
    <w:rsid w:val="00A157C5"/>
    <w:rsid w:val="00A15CAA"/>
    <w:rsid w:val="00A162F0"/>
    <w:rsid w:val="00A166A8"/>
    <w:rsid w:val="00A16A7F"/>
    <w:rsid w:val="00A16D6B"/>
    <w:rsid w:val="00A1718B"/>
    <w:rsid w:val="00A1725C"/>
    <w:rsid w:val="00A177B7"/>
    <w:rsid w:val="00A20523"/>
    <w:rsid w:val="00A21117"/>
    <w:rsid w:val="00A213BA"/>
    <w:rsid w:val="00A2180A"/>
    <w:rsid w:val="00A21BF4"/>
    <w:rsid w:val="00A21C42"/>
    <w:rsid w:val="00A2273D"/>
    <w:rsid w:val="00A23535"/>
    <w:rsid w:val="00A236B5"/>
    <w:rsid w:val="00A2383D"/>
    <w:rsid w:val="00A247CA"/>
    <w:rsid w:val="00A24B59"/>
    <w:rsid w:val="00A25C30"/>
    <w:rsid w:val="00A26651"/>
    <w:rsid w:val="00A26BC4"/>
    <w:rsid w:val="00A26D12"/>
    <w:rsid w:val="00A272E8"/>
    <w:rsid w:val="00A27408"/>
    <w:rsid w:val="00A27DE7"/>
    <w:rsid w:val="00A27F6E"/>
    <w:rsid w:val="00A30A44"/>
    <w:rsid w:val="00A311F7"/>
    <w:rsid w:val="00A31AD9"/>
    <w:rsid w:val="00A32DB0"/>
    <w:rsid w:val="00A32E07"/>
    <w:rsid w:val="00A331C4"/>
    <w:rsid w:val="00A332A7"/>
    <w:rsid w:val="00A342A4"/>
    <w:rsid w:val="00A34C27"/>
    <w:rsid w:val="00A34E1A"/>
    <w:rsid w:val="00A3595D"/>
    <w:rsid w:val="00A36E5A"/>
    <w:rsid w:val="00A371D1"/>
    <w:rsid w:val="00A371E7"/>
    <w:rsid w:val="00A3743A"/>
    <w:rsid w:val="00A37DEF"/>
    <w:rsid w:val="00A37E69"/>
    <w:rsid w:val="00A402E7"/>
    <w:rsid w:val="00A4106B"/>
    <w:rsid w:val="00A416C2"/>
    <w:rsid w:val="00A41763"/>
    <w:rsid w:val="00A417B1"/>
    <w:rsid w:val="00A418F8"/>
    <w:rsid w:val="00A42390"/>
    <w:rsid w:val="00A429F6"/>
    <w:rsid w:val="00A42AFE"/>
    <w:rsid w:val="00A43982"/>
    <w:rsid w:val="00A43D9A"/>
    <w:rsid w:val="00A441DC"/>
    <w:rsid w:val="00A445F9"/>
    <w:rsid w:val="00A44983"/>
    <w:rsid w:val="00A44F42"/>
    <w:rsid w:val="00A44F69"/>
    <w:rsid w:val="00A4531D"/>
    <w:rsid w:val="00A45797"/>
    <w:rsid w:val="00A45967"/>
    <w:rsid w:val="00A45ED3"/>
    <w:rsid w:val="00A4689B"/>
    <w:rsid w:val="00A46D73"/>
    <w:rsid w:val="00A46ED4"/>
    <w:rsid w:val="00A47577"/>
    <w:rsid w:val="00A47FE7"/>
    <w:rsid w:val="00A5008D"/>
    <w:rsid w:val="00A50414"/>
    <w:rsid w:val="00A50F85"/>
    <w:rsid w:val="00A51AE5"/>
    <w:rsid w:val="00A51C46"/>
    <w:rsid w:val="00A534AB"/>
    <w:rsid w:val="00A53B83"/>
    <w:rsid w:val="00A53F9D"/>
    <w:rsid w:val="00A54847"/>
    <w:rsid w:val="00A5498E"/>
    <w:rsid w:val="00A54B80"/>
    <w:rsid w:val="00A54CF7"/>
    <w:rsid w:val="00A54D32"/>
    <w:rsid w:val="00A55348"/>
    <w:rsid w:val="00A55620"/>
    <w:rsid w:val="00A559C4"/>
    <w:rsid w:val="00A5647B"/>
    <w:rsid w:val="00A5660E"/>
    <w:rsid w:val="00A56A7F"/>
    <w:rsid w:val="00A56AAE"/>
    <w:rsid w:val="00A571B0"/>
    <w:rsid w:val="00A571D4"/>
    <w:rsid w:val="00A5731F"/>
    <w:rsid w:val="00A5751F"/>
    <w:rsid w:val="00A5791E"/>
    <w:rsid w:val="00A57B40"/>
    <w:rsid w:val="00A57EF9"/>
    <w:rsid w:val="00A60721"/>
    <w:rsid w:val="00A624A3"/>
    <w:rsid w:val="00A62C53"/>
    <w:rsid w:val="00A62C9A"/>
    <w:rsid w:val="00A62E66"/>
    <w:rsid w:val="00A62F48"/>
    <w:rsid w:val="00A63332"/>
    <w:rsid w:val="00A6353F"/>
    <w:rsid w:val="00A63879"/>
    <w:rsid w:val="00A63B7A"/>
    <w:rsid w:val="00A63C37"/>
    <w:rsid w:val="00A63D3B"/>
    <w:rsid w:val="00A63D65"/>
    <w:rsid w:val="00A641A9"/>
    <w:rsid w:val="00A64E87"/>
    <w:rsid w:val="00A65512"/>
    <w:rsid w:val="00A658B0"/>
    <w:rsid w:val="00A663D0"/>
    <w:rsid w:val="00A669BE"/>
    <w:rsid w:val="00A67258"/>
    <w:rsid w:val="00A67D66"/>
    <w:rsid w:val="00A67DF0"/>
    <w:rsid w:val="00A70099"/>
    <w:rsid w:val="00A70DA4"/>
    <w:rsid w:val="00A70EA8"/>
    <w:rsid w:val="00A715EC"/>
    <w:rsid w:val="00A71C13"/>
    <w:rsid w:val="00A72350"/>
    <w:rsid w:val="00A72549"/>
    <w:rsid w:val="00A72555"/>
    <w:rsid w:val="00A72E1C"/>
    <w:rsid w:val="00A7352A"/>
    <w:rsid w:val="00A73DB6"/>
    <w:rsid w:val="00A73FFA"/>
    <w:rsid w:val="00A747AB"/>
    <w:rsid w:val="00A7482E"/>
    <w:rsid w:val="00A74896"/>
    <w:rsid w:val="00A748BE"/>
    <w:rsid w:val="00A7524C"/>
    <w:rsid w:val="00A76581"/>
    <w:rsid w:val="00A77705"/>
    <w:rsid w:val="00A77800"/>
    <w:rsid w:val="00A80519"/>
    <w:rsid w:val="00A805DF"/>
    <w:rsid w:val="00A80A6C"/>
    <w:rsid w:val="00A81027"/>
    <w:rsid w:val="00A8164C"/>
    <w:rsid w:val="00A82E99"/>
    <w:rsid w:val="00A82FBD"/>
    <w:rsid w:val="00A831B5"/>
    <w:rsid w:val="00A83650"/>
    <w:rsid w:val="00A83FAF"/>
    <w:rsid w:val="00A84010"/>
    <w:rsid w:val="00A8443D"/>
    <w:rsid w:val="00A84A2E"/>
    <w:rsid w:val="00A85034"/>
    <w:rsid w:val="00A8553E"/>
    <w:rsid w:val="00A85688"/>
    <w:rsid w:val="00A85EDB"/>
    <w:rsid w:val="00A85FB4"/>
    <w:rsid w:val="00A86865"/>
    <w:rsid w:val="00A868DF"/>
    <w:rsid w:val="00A86ACC"/>
    <w:rsid w:val="00A8727C"/>
    <w:rsid w:val="00A873BD"/>
    <w:rsid w:val="00A875B2"/>
    <w:rsid w:val="00A87659"/>
    <w:rsid w:val="00A87E20"/>
    <w:rsid w:val="00A90A88"/>
    <w:rsid w:val="00A90C81"/>
    <w:rsid w:val="00A90D54"/>
    <w:rsid w:val="00A90E64"/>
    <w:rsid w:val="00A90EDE"/>
    <w:rsid w:val="00A9153C"/>
    <w:rsid w:val="00A91618"/>
    <w:rsid w:val="00A9253E"/>
    <w:rsid w:val="00A9270C"/>
    <w:rsid w:val="00A93623"/>
    <w:rsid w:val="00A94175"/>
    <w:rsid w:val="00A942EE"/>
    <w:rsid w:val="00A94732"/>
    <w:rsid w:val="00A947B2"/>
    <w:rsid w:val="00A94AD6"/>
    <w:rsid w:val="00A94EA7"/>
    <w:rsid w:val="00A95994"/>
    <w:rsid w:val="00A95F10"/>
    <w:rsid w:val="00A96144"/>
    <w:rsid w:val="00A96201"/>
    <w:rsid w:val="00A96D04"/>
    <w:rsid w:val="00A96DD8"/>
    <w:rsid w:val="00A96DF6"/>
    <w:rsid w:val="00A96FAD"/>
    <w:rsid w:val="00A97215"/>
    <w:rsid w:val="00A97408"/>
    <w:rsid w:val="00A9788A"/>
    <w:rsid w:val="00A97C77"/>
    <w:rsid w:val="00A97D5C"/>
    <w:rsid w:val="00AA00ED"/>
    <w:rsid w:val="00AA07C7"/>
    <w:rsid w:val="00AA093A"/>
    <w:rsid w:val="00AA0ADA"/>
    <w:rsid w:val="00AA0D66"/>
    <w:rsid w:val="00AA0DC9"/>
    <w:rsid w:val="00AA18B7"/>
    <w:rsid w:val="00AA20C4"/>
    <w:rsid w:val="00AA2FC0"/>
    <w:rsid w:val="00AA3240"/>
    <w:rsid w:val="00AA3AD0"/>
    <w:rsid w:val="00AA3F3E"/>
    <w:rsid w:val="00AA4218"/>
    <w:rsid w:val="00AA45AF"/>
    <w:rsid w:val="00AA48C3"/>
    <w:rsid w:val="00AA4FA1"/>
    <w:rsid w:val="00AA503D"/>
    <w:rsid w:val="00AA617C"/>
    <w:rsid w:val="00AA6805"/>
    <w:rsid w:val="00AA6BD9"/>
    <w:rsid w:val="00AA7A82"/>
    <w:rsid w:val="00AA7B3E"/>
    <w:rsid w:val="00AA7C86"/>
    <w:rsid w:val="00AB0741"/>
    <w:rsid w:val="00AB0D4C"/>
    <w:rsid w:val="00AB0DD0"/>
    <w:rsid w:val="00AB0E4F"/>
    <w:rsid w:val="00AB1511"/>
    <w:rsid w:val="00AB1819"/>
    <w:rsid w:val="00AB2683"/>
    <w:rsid w:val="00AB2BED"/>
    <w:rsid w:val="00AB3555"/>
    <w:rsid w:val="00AB3952"/>
    <w:rsid w:val="00AB3AFC"/>
    <w:rsid w:val="00AB3F90"/>
    <w:rsid w:val="00AB469E"/>
    <w:rsid w:val="00AB49A2"/>
    <w:rsid w:val="00AB4A21"/>
    <w:rsid w:val="00AB4ACB"/>
    <w:rsid w:val="00AB68F8"/>
    <w:rsid w:val="00AB6D27"/>
    <w:rsid w:val="00AB71B2"/>
    <w:rsid w:val="00AC0EF5"/>
    <w:rsid w:val="00AC1FAB"/>
    <w:rsid w:val="00AC3856"/>
    <w:rsid w:val="00AC39AE"/>
    <w:rsid w:val="00AC4172"/>
    <w:rsid w:val="00AC442F"/>
    <w:rsid w:val="00AC4ACC"/>
    <w:rsid w:val="00AC51B1"/>
    <w:rsid w:val="00AC6ECA"/>
    <w:rsid w:val="00AC7A80"/>
    <w:rsid w:val="00AC7DC8"/>
    <w:rsid w:val="00AD02E5"/>
    <w:rsid w:val="00AD0E1C"/>
    <w:rsid w:val="00AD1115"/>
    <w:rsid w:val="00AD1327"/>
    <w:rsid w:val="00AD1FF6"/>
    <w:rsid w:val="00AD2153"/>
    <w:rsid w:val="00AD21D1"/>
    <w:rsid w:val="00AD2FDD"/>
    <w:rsid w:val="00AD3085"/>
    <w:rsid w:val="00AD30EF"/>
    <w:rsid w:val="00AD3D7C"/>
    <w:rsid w:val="00AD43FD"/>
    <w:rsid w:val="00AD45A2"/>
    <w:rsid w:val="00AD4934"/>
    <w:rsid w:val="00AD4CE5"/>
    <w:rsid w:val="00AD5106"/>
    <w:rsid w:val="00AD5485"/>
    <w:rsid w:val="00AD54EE"/>
    <w:rsid w:val="00AD58C1"/>
    <w:rsid w:val="00AD6E10"/>
    <w:rsid w:val="00AD77DB"/>
    <w:rsid w:val="00AD7F43"/>
    <w:rsid w:val="00AE00FF"/>
    <w:rsid w:val="00AE0E9E"/>
    <w:rsid w:val="00AE0F65"/>
    <w:rsid w:val="00AE16C6"/>
    <w:rsid w:val="00AE2524"/>
    <w:rsid w:val="00AE2761"/>
    <w:rsid w:val="00AE2BFD"/>
    <w:rsid w:val="00AE2DE4"/>
    <w:rsid w:val="00AE339B"/>
    <w:rsid w:val="00AE366F"/>
    <w:rsid w:val="00AE3C54"/>
    <w:rsid w:val="00AE4F46"/>
    <w:rsid w:val="00AE56C2"/>
    <w:rsid w:val="00AE5712"/>
    <w:rsid w:val="00AE5906"/>
    <w:rsid w:val="00AE6A45"/>
    <w:rsid w:val="00AE6DE9"/>
    <w:rsid w:val="00AE7BF2"/>
    <w:rsid w:val="00AE7C2B"/>
    <w:rsid w:val="00AF0644"/>
    <w:rsid w:val="00AF07F1"/>
    <w:rsid w:val="00AF0D84"/>
    <w:rsid w:val="00AF1006"/>
    <w:rsid w:val="00AF15B6"/>
    <w:rsid w:val="00AF1E5F"/>
    <w:rsid w:val="00AF290B"/>
    <w:rsid w:val="00AF3F76"/>
    <w:rsid w:val="00AF3FEA"/>
    <w:rsid w:val="00AF453D"/>
    <w:rsid w:val="00AF4770"/>
    <w:rsid w:val="00AF5067"/>
    <w:rsid w:val="00AF5226"/>
    <w:rsid w:val="00AF5579"/>
    <w:rsid w:val="00AF5DC8"/>
    <w:rsid w:val="00AF5F5A"/>
    <w:rsid w:val="00AF6366"/>
    <w:rsid w:val="00AF63B0"/>
    <w:rsid w:val="00AF655E"/>
    <w:rsid w:val="00AF7B30"/>
    <w:rsid w:val="00B004CB"/>
    <w:rsid w:val="00B01629"/>
    <w:rsid w:val="00B017AC"/>
    <w:rsid w:val="00B01826"/>
    <w:rsid w:val="00B01D6B"/>
    <w:rsid w:val="00B027AE"/>
    <w:rsid w:val="00B0280E"/>
    <w:rsid w:val="00B0286C"/>
    <w:rsid w:val="00B02B05"/>
    <w:rsid w:val="00B03622"/>
    <w:rsid w:val="00B03CFF"/>
    <w:rsid w:val="00B03EDB"/>
    <w:rsid w:val="00B04742"/>
    <w:rsid w:val="00B04F56"/>
    <w:rsid w:val="00B05523"/>
    <w:rsid w:val="00B05B71"/>
    <w:rsid w:val="00B06459"/>
    <w:rsid w:val="00B06BC9"/>
    <w:rsid w:val="00B06DB8"/>
    <w:rsid w:val="00B075A6"/>
    <w:rsid w:val="00B07A2B"/>
    <w:rsid w:val="00B07D07"/>
    <w:rsid w:val="00B10361"/>
    <w:rsid w:val="00B10A31"/>
    <w:rsid w:val="00B10B1E"/>
    <w:rsid w:val="00B11B32"/>
    <w:rsid w:val="00B11EB8"/>
    <w:rsid w:val="00B11F8B"/>
    <w:rsid w:val="00B1237B"/>
    <w:rsid w:val="00B1239E"/>
    <w:rsid w:val="00B12769"/>
    <w:rsid w:val="00B1278C"/>
    <w:rsid w:val="00B1345D"/>
    <w:rsid w:val="00B136BC"/>
    <w:rsid w:val="00B151EF"/>
    <w:rsid w:val="00B15551"/>
    <w:rsid w:val="00B1574C"/>
    <w:rsid w:val="00B15F59"/>
    <w:rsid w:val="00B16113"/>
    <w:rsid w:val="00B16432"/>
    <w:rsid w:val="00B16941"/>
    <w:rsid w:val="00B16988"/>
    <w:rsid w:val="00B169B3"/>
    <w:rsid w:val="00B169C6"/>
    <w:rsid w:val="00B16D0C"/>
    <w:rsid w:val="00B172FB"/>
    <w:rsid w:val="00B17DC4"/>
    <w:rsid w:val="00B2006B"/>
    <w:rsid w:val="00B200A7"/>
    <w:rsid w:val="00B205A9"/>
    <w:rsid w:val="00B20941"/>
    <w:rsid w:val="00B20B95"/>
    <w:rsid w:val="00B223CF"/>
    <w:rsid w:val="00B2271A"/>
    <w:rsid w:val="00B2284A"/>
    <w:rsid w:val="00B23806"/>
    <w:rsid w:val="00B2402D"/>
    <w:rsid w:val="00B24AE6"/>
    <w:rsid w:val="00B24FAB"/>
    <w:rsid w:val="00B2520C"/>
    <w:rsid w:val="00B25283"/>
    <w:rsid w:val="00B253EA"/>
    <w:rsid w:val="00B25743"/>
    <w:rsid w:val="00B259E7"/>
    <w:rsid w:val="00B25C11"/>
    <w:rsid w:val="00B25E9C"/>
    <w:rsid w:val="00B2638E"/>
    <w:rsid w:val="00B2648D"/>
    <w:rsid w:val="00B269E5"/>
    <w:rsid w:val="00B26AEA"/>
    <w:rsid w:val="00B27F37"/>
    <w:rsid w:val="00B27F43"/>
    <w:rsid w:val="00B308A4"/>
    <w:rsid w:val="00B30DCA"/>
    <w:rsid w:val="00B31027"/>
    <w:rsid w:val="00B31394"/>
    <w:rsid w:val="00B31F28"/>
    <w:rsid w:val="00B32247"/>
    <w:rsid w:val="00B32344"/>
    <w:rsid w:val="00B32DCD"/>
    <w:rsid w:val="00B344D2"/>
    <w:rsid w:val="00B353BC"/>
    <w:rsid w:val="00B35B6B"/>
    <w:rsid w:val="00B36069"/>
    <w:rsid w:val="00B3626A"/>
    <w:rsid w:val="00B3663A"/>
    <w:rsid w:val="00B36C3B"/>
    <w:rsid w:val="00B36CEB"/>
    <w:rsid w:val="00B36FA2"/>
    <w:rsid w:val="00B406C6"/>
    <w:rsid w:val="00B40F79"/>
    <w:rsid w:val="00B4207D"/>
    <w:rsid w:val="00B42391"/>
    <w:rsid w:val="00B423E9"/>
    <w:rsid w:val="00B42413"/>
    <w:rsid w:val="00B432F9"/>
    <w:rsid w:val="00B44BAE"/>
    <w:rsid w:val="00B44CA3"/>
    <w:rsid w:val="00B45601"/>
    <w:rsid w:val="00B4565B"/>
    <w:rsid w:val="00B456ED"/>
    <w:rsid w:val="00B458B5"/>
    <w:rsid w:val="00B46239"/>
    <w:rsid w:val="00B46E0B"/>
    <w:rsid w:val="00B47A6F"/>
    <w:rsid w:val="00B47E85"/>
    <w:rsid w:val="00B5098D"/>
    <w:rsid w:val="00B50B38"/>
    <w:rsid w:val="00B511E1"/>
    <w:rsid w:val="00B51ADC"/>
    <w:rsid w:val="00B51CEE"/>
    <w:rsid w:val="00B52767"/>
    <w:rsid w:val="00B52933"/>
    <w:rsid w:val="00B53170"/>
    <w:rsid w:val="00B5340D"/>
    <w:rsid w:val="00B5347B"/>
    <w:rsid w:val="00B536AC"/>
    <w:rsid w:val="00B538D4"/>
    <w:rsid w:val="00B53F07"/>
    <w:rsid w:val="00B55098"/>
    <w:rsid w:val="00B55273"/>
    <w:rsid w:val="00B552D6"/>
    <w:rsid w:val="00B554A6"/>
    <w:rsid w:val="00B56114"/>
    <w:rsid w:val="00B5628B"/>
    <w:rsid w:val="00B5667F"/>
    <w:rsid w:val="00B569C2"/>
    <w:rsid w:val="00B56A07"/>
    <w:rsid w:val="00B56A74"/>
    <w:rsid w:val="00B56B2E"/>
    <w:rsid w:val="00B56CE9"/>
    <w:rsid w:val="00B57BFA"/>
    <w:rsid w:val="00B57DFF"/>
    <w:rsid w:val="00B57E80"/>
    <w:rsid w:val="00B57EBB"/>
    <w:rsid w:val="00B6055D"/>
    <w:rsid w:val="00B60B6C"/>
    <w:rsid w:val="00B60C51"/>
    <w:rsid w:val="00B6114B"/>
    <w:rsid w:val="00B61B6D"/>
    <w:rsid w:val="00B61F06"/>
    <w:rsid w:val="00B6241E"/>
    <w:rsid w:val="00B625B5"/>
    <w:rsid w:val="00B6294F"/>
    <w:rsid w:val="00B62C03"/>
    <w:rsid w:val="00B63048"/>
    <w:rsid w:val="00B6323D"/>
    <w:rsid w:val="00B63E26"/>
    <w:rsid w:val="00B641CA"/>
    <w:rsid w:val="00B643F6"/>
    <w:rsid w:val="00B6457B"/>
    <w:rsid w:val="00B64761"/>
    <w:rsid w:val="00B647AA"/>
    <w:rsid w:val="00B64BD5"/>
    <w:rsid w:val="00B65043"/>
    <w:rsid w:val="00B654EE"/>
    <w:rsid w:val="00B6620A"/>
    <w:rsid w:val="00B66B71"/>
    <w:rsid w:val="00B66CCC"/>
    <w:rsid w:val="00B66EFC"/>
    <w:rsid w:val="00B67029"/>
    <w:rsid w:val="00B674C1"/>
    <w:rsid w:val="00B676F0"/>
    <w:rsid w:val="00B71293"/>
    <w:rsid w:val="00B715B8"/>
    <w:rsid w:val="00B715EB"/>
    <w:rsid w:val="00B72462"/>
    <w:rsid w:val="00B729C8"/>
    <w:rsid w:val="00B72C00"/>
    <w:rsid w:val="00B734DC"/>
    <w:rsid w:val="00B73695"/>
    <w:rsid w:val="00B73906"/>
    <w:rsid w:val="00B739C7"/>
    <w:rsid w:val="00B74572"/>
    <w:rsid w:val="00B745F0"/>
    <w:rsid w:val="00B7483E"/>
    <w:rsid w:val="00B74C39"/>
    <w:rsid w:val="00B74D44"/>
    <w:rsid w:val="00B75548"/>
    <w:rsid w:val="00B756FA"/>
    <w:rsid w:val="00B75D96"/>
    <w:rsid w:val="00B75E52"/>
    <w:rsid w:val="00B7642E"/>
    <w:rsid w:val="00B76496"/>
    <w:rsid w:val="00B765E1"/>
    <w:rsid w:val="00B767A9"/>
    <w:rsid w:val="00B77743"/>
    <w:rsid w:val="00B77830"/>
    <w:rsid w:val="00B77F9C"/>
    <w:rsid w:val="00B80392"/>
    <w:rsid w:val="00B80C47"/>
    <w:rsid w:val="00B810B7"/>
    <w:rsid w:val="00B81235"/>
    <w:rsid w:val="00B8162D"/>
    <w:rsid w:val="00B81DCE"/>
    <w:rsid w:val="00B82518"/>
    <w:rsid w:val="00B82CCF"/>
    <w:rsid w:val="00B83103"/>
    <w:rsid w:val="00B83288"/>
    <w:rsid w:val="00B83C51"/>
    <w:rsid w:val="00B83CCD"/>
    <w:rsid w:val="00B8521B"/>
    <w:rsid w:val="00B86302"/>
    <w:rsid w:val="00B86508"/>
    <w:rsid w:val="00B868A3"/>
    <w:rsid w:val="00B8695D"/>
    <w:rsid w:val="00B86FB3"/>
    <w:rsid w:val="00B871DA"/>
    <w:rsid w:val="00B87317"/>
    <w:rsid w:val="00B90A12"/>
    <w:rsid w:val="00B90FCC"/>
    <w:rsid w:val="00B924CC"/>
    <w:rsid w:val="00B926AD"/>
    <w:rsid w:val="00B92E5E"/>
    <w:rsid w:val="00B93343"/>
    <w:rsid w:val="00B93750"/>
    <w:rsid w:val="00B93D6B"/>
    <w:rsid w:val="00B94D91"/>
    <w:rsid w:val="00B957F3"/>
    <w:rsid w:val="00B95933"/>
    <w:rsid w:val="00B95C99"/>
    <w:rsid w:val="00B96370"/>
    <w:rsid w:val="00B96548"/>
    <w:rsid w:val="00B9681A"/>
    <w:rsid w:val="00B96904"/>
    <w:rsid w:val="00B9708C"/>
    <w:rsid w:val="00B97815"/>
    <w:rsid w:val="00B97DDA"/>
    <w:rsid w:val="00B97FB1"/>
    <w:rsid w:val="00BA0DD2"/>
    <w:rsid w:val="00BA113D"/>
    <w:rsid w:val="00BA1534"/>
    <w:rsid w:val="00BA2102"/>
    <w:rsid w:val="00BA2D52"/>
    <w:rsid w:val="00BA2DE9"/>
    <w:rsid w:val="00BA3502"/>
    <w:rsid w:val="00BA3D8F"/>
    <w:rsid w:val="00BA470A"/>
    <w:rsid w:val="00BA4B26"/>
    <w:rsid w:val="00BA506C"/>
    <w:rsid w:val="00BA5877"/>
    <w:rsid w:val="00BA599A"/>
    <w:rsid w:val="00BA5DFE"/>
    <w:rsid w:val="00BA63FD"/>
    <w:rsid w:val="00BA64DC"/>
    <w:rsid w:val="00BA65DE"/>
    <w:rsid w:val="00BA6665"/>
    <w:rsid w:val="00BA694F"/>
    <w:rsid w:val="00BA6C6C"/>
    <w:rsid w:val="00BA6EC5"/>
    <w:rsid w:val="00BA7735"/>
    <w:rsid w:val="00BA7ABE"/>
    <w:rsid w:val="00BB00D7"/>
    <w:rsid w:val="00BB0251"/>
    <w:rsid w:val="00BB08A3"/>
    <w:rsid w:val="00BB0B0D"/>
    <w:rsid w:val="00BB0BC9"/>
    <w:rsid w:val="00BB1492"/>
    <w:rsid w:val="00BB1AB0"/>
    <w:rsid w:val="00BB1BE7"/>
    <w:rsid w:val="00BB2137"/>
    <w:rsid w:val="00BB260A"/>
    <w:rsid w:val="00BB2DCB"/>
    <w:rsid w:val="00BB30B4"/>
    <w:rsid w:val="00BB31EE"/>
    <w:rsid w:val="00BB5351"/>
    <w:rsid w:val="00BB563D"/>
    <w:rsid w:val="00BB5A8C"/>
    <w:rsid w:val="00BB602A"/>
    <w:rsid w:val="00BB630D"/>
    <w:rsid w:val="00BB65B1"/>
    <w:rsid w:val="00BB6AF6"/>
    <w:rsid w:val="00BB6DD8"/>
    <w:rsid w:val="00BB76FF"/>
    <w:rsid w:val="00BC01E5"/>
    <w:rsid w:val="00BC09BA"/>
    <w:rsid w:val="00BC1174"/>
    <w:rsid w:val="00BC249F"/>
    <w:rsid w:val="00BC2973"/>
    <w:rsid w:val="00BC3100"/>
    <w:rsid w:val="00BC34DB"/>
    <w:rsid w:val="00BC3557"/>
    <w:rsid w:val="00BC3DA0"/>
    <w:rsid w:val="00BC4372"/>
    <w:rsid w:val="00BC445D"/>
    <w:rsid w:val="00BC47A6"/>
    <w:rsid w:val="00BC487E"/>
    <w:rsid w:val="00BC4FAB"/>
    <w:rsid w:val="00BC61D1"/>
    <w:rsid w:val="00BC6975"/>
    <w:rsid w:val="00BC6B6B"/>
    <w:rsid w:val="00BC6D45"/>
    <w:rsid w:val="00BC73AD"/>
    <w:rsid w:val="00BC7F7D"/>
    <w:rsid w:val="00BD0488"/>
    <w:rsid w:val="00BD06E1"/>
    <w:rsid w:val="00BD0711"/>
    <w:rsid w:val="00BD180B"/>
    <w:rsid w:val="00BD1A0A"/>
    <w:rsid w:val="00BD2800"/>
    <w:rsid w:val="00BD2E2D"/>
    <w:rsid w:val="00BD3214"/>
    <w:rsid w:val="00BD3309"/>
    <w:rsid w:val="00BD3343"/>
    <w:rsid w:val="00BD403A"/>
    <w:rsid w:val="00BD51B2"/>
    <w:rsid w:val="00BD603B"/>
    <w:rsid w:val="00BD7798"/>
    <w:rsid w:val="00BD7B64"/>
    <w:rsid w:val="00BD7D5D"/>
    <w:rsid w:val="00BE0250"/>
    <w:rsid w:val="00BE0656"/>
    <w:rsid w:val="00BE0918"/>
    <w:rsid w:val="00BE138F"/>
    <w:rsid w:val="00BE17CF"/>
    <w:rsid w:val="00BE19C5"/>
    <w:rsid w:val="00BE2431"/>
    <w:rsid w:val="00BE30B8"/>
    <w:rsid w:val="00BE3366"/>
    <w:rsid w:val="00BE37CA"/>
    <w:rsid w:val="00BE3D71"/>
    <w:rsid w:val="00BE4699"/>
    <w:rsid w:val="00BE4760"/>
    <w:rsid w:val="00BE5B00"/>
    <w:rsid w:val="00BE7567"/>
    <w:rsid w:val="00BE7B10"/>
    <w:rsid w:val="00BF0A8A"/>
    <w:rsid w:val="00BF0C3D"/>
    <w:rsid w:val="00BF0F0E"/>
    <w:rsid w:val="00BF1065"/>
    <w:rsid w:val="00BF10C8"/>
    <w:rsid w:val="00BF1642"/>
    <w:rsid w:val="00BF1696"/>
    <w:rsid w:val="00BF1878"/>
    <w:rsid w:val="00BF1B34"/>
    <w:rsid w:val="00BF30F1"/>
    <w:rsid w:val="00BF3245"/>
    <w:rsid w:val="00BF32E9"/>
    <w:rsid w:val="00BF38D7"/>
    <w:rsid w:val="00BF3D37"/>
    <w:rsid w:val="00BF47C2"/>
    <w:rsid w:val="00BF4985"/>
    <w:rsid w:val="00BF4BA1"/>
    <w:rsid w:val="00BF5384"/>
    <w:rsid w:val="00BF5893"/>
    <w:rsid w:val="00BF6BA9"/>
    <w:rsid w:val="00BF711E"/>
    <w:rsid w:val="00BF7244"/>
    <w:rsid w:val="00BF7388"/>
    <w:rsid w:val="00BF7478"/>
    <w:rsid w:val="00BF7662"/>
    <w:rsid w:val="00C0034E"/>
    <w:rsid w:val="00C0060D"/>
    <w:rsid w:val="00C009A1"/>
    <w:rsid w:val="00C00AE5"/>
    <w:rsid w:val="00C00C2D"/>
    <w:rsid w:val="00C00DDF"/>
    <w:rsid w:val="00C01232"/>
    <w:rsid w:val="00C02C3B"/>
    <w:rsid w:val="00C02CE4"/>
    <w:rsid w:val="00C02D65"/>
    <w:rsid w:val="00C02F4C"/>
    <w:rsid w:val="00C03269"/>
    <w:rsid w:val="00C038D3"/>
    <w:rsid w:val="00C03926"/>
    <w:rsid w:val="00C03956"/>
    <w:rsid w:val="00C03D37"/>
    <w:rsid w:val="00C03DE3"/>
    <w:rsid w:val="00C04007"/>
    <w:rsid w:val="00C04112"/>
    <w:rsid w:val="00C0444A"/>
    <w:rsid w:val="00C048FE"/>
    <w:rsid w:val="00C04911"/>
    <w:rsid w:val="00C05182"/>
    <w:rsid w:val="00C05926"/>
    <w:rsid w:val="00C05A03"/>
    <w:rsid w:val="00C05AEF"/>
    <w:rsid w:val="00C05BF2"/>
    <w:rsid w:val="00C06402"/>
    <w:rsid w:val="00C06772"/>
    <w:rsid w:val="00C06829"/>
    <w:rsid w:val="00C06D35"/>
    <w:rsid w:val="00C06EC7"/>
    <w:rsid w:val="00C07D5F"/>
    <w:rsid w:val="00C07E57"/>
    <w:rsid w:val="00C10C2C"/>
    <w:rsid w:val="00C11C22"/>
    <w:rsid w:val="00C11ECB"/>
    <w:rsid w:val="00C13971"/>
    <w:rsid w:val="00C1434B"/>
    <w:rsid w:val="00C14863"/>
    <w:rsid w:val="00C14868"/>
    <w:rsid w:val="00C14B23"/>
    <w:rsid w:val="00C14DE1"/>
    <w:rsid w:val="00C14F45"/>
    <w:rsid w:val="00C14FA7"/>
    <w:rsid w:val="00C156A2"/>
    <w:rsid w:val="00C16396"/>
    <w:rsid w:val="00C17060"/>
    <w:rsid w:val="00C171C2"/>
    <w:rsid w:val="00C17435"/>
    <w:rsid w:val="00C20665"/>
    <w:rsid w:val="00C20B16"/>
    <w:rsid w:val="00C20F5D"/>
    <w:rsid w:val="00C21580"/>
    <w:rsid w:val="00C2178A"/>
    <w:rsid w:val="00C217EA"/>
    <w:rsid w:val="00C21DD8"/>
    <w:rsid w:val="00C21F75"/>
    <w:rsid w:val="00C22458"/>
    <w:rsid w:val="00C22809"/>
    <w:rsid w:val="00C237D5"/>
    <w:rsid w:val="00C24499"/>
    <w:rsid w:val="00C24835"/>
    <w:rsid w:val="00C24893"/>
    <w:rsid w:val="00C259E8"/>
    <w:rsid w:val="00C25C0B"/>
    <w:rsid w:val="00C26390"/>
    <w:rsid w:val="00C2663A"/>
    <w:rsid w:val="00C26911"/>
    <w:rsid w:val="00C27664"/>
    <w:rsid w:val="00C301F2"/>
    <w:rsid w:val="00C3085E"/>
    <w:rsid w:val="00C31163"/>
    <w:rsid w:val="00C316B8"/>
    <w:rsid w:val="00C31D89"/>
    <w:rsid w:val="00C3253A"/>
    <w:rsid w:val="00C3280D"/>
    <w:rsid w:val="00C328AE"/>
    <w:rsid w:val="00C3348F"/>
    <w:rsid w:val="00C338D1"/>
    <w:rsid w:val="00C33DEA"/>
    <w:rsid w:val="00C34434"/>
    <w:rsid w:val="00C34A7E"/>
    <w:rsid w:val="00C354FC"/>
    <w:rsid w:val="00C359BB"/>
    <w:rsid w:val="00C36658"/>
    <w:rsid w:val="00C36CFD"/>
    <w:rsid w:val="00C36F80"/>
    <w:rsid w:val="00C372BB"/>
    <w:rsid w:val="00C374FF"/>
    <w:rsid w:val="00C37BF9"/>
    <w:rsid w:val="00C41302"/>
    <w:rsid w:val="00C41E39"/>
    <w:rsid w:val="00C42ED1"/>
    <w:rsid w:val="00C42F67"/>
    <w:rsid w:val="00C42F69"/>
    <w:rsid w:val="00C439AD"/>
    <w:rsid w:val="00C43A87"/>
    <w:rsid w:val="00C43F37"/>
    <w:rsid w:val="00C43FED"/>
    <w:rsid w:val="00C440E0"/>
    <w:rsid w:val="00C4418B"/>
    <w:rsid w:val="00C441DC"/>
    <w:rsid w:val="00C44C71"/>
    <w:rsid w:val="00C44DDC"/>
    <w:rsid w:val="00C44EAF"/>
    <w:rsid w:val="00C4505B"/>
    <w:rsid w:val="00C453D4"/>
    <w:rsid w:val="00C4590E"/>
    <w:rsid w:val="00C4601D"/>
    <w:rsid w:val="00C46894"/>
    <w:rsid w:val="00C46B2D"/>
    <w:rsid w:val="00C473D8"/>
    <w:rsid w:val="00C47962"/>
    <w:rsid w:val="00C5027B"/>
    <w:rsid w:val="00C503B1"/>
    <w:rsid w:val="00C506A0"/>
    <w:rsid w:val="00C51099"/>
    <w:rsid w:val="00C515CB"/>
    <w:rsid w:val="00C51B79"/>
    <w:rsid w:val="00C52020"/>
    <w:rsid w:val="00C52812"/>
    <w:rsid w:val="00C52DDE"/>
    <w:rsid w:val="00C52F6F"/>
    <w:rsid w:val="00C53A0D"/>
    <w:rsid w:val="00C548C3"/>
    <w:rsid w:val="00C54EB0"/>
    <w:rsid w:val="00C5574E"/>
    <w:rsid w:val="00C559C1"/>
    <w:rsid w:val="00C55B14"/>
    <w:rsid w:val="00C55D09"/>
    <w:rsid w:val="00C56A6C"/>
    <w:rsid w:val="00C56E3C"/>
    <w:rsid w:val="00C57E70"/>
    <w:rsid w:val="00C57E98"/>
    <w:rsid w:val="00C600C3"/>
    <w:rsid w:val="00C60560"/>
    <w:rsid w:val="00C60985"/>
    <w:rsid w:val="00C60EED"/>
    <w:rsid w:val="00C60FDD"/>
    <w:rsid w:val="00C61050"/>
    <w:rsid w:val="00C6184E"/>
    <w:rsid w:val="00C6257D"/>
    <w:rsid w:val="00C62D86"/>
    <w:rsid w:val="00C62D9F"/>
    <w:rsid w:val="00C63412"/>
    <w:rsid w:val="00C6352E"/>
    <w:rsid w:val="00C649E0"/>
    <w:rsid w:val="00C653E2"/>
    <w:rsid w:val="00C6632D"/>
    <w:rsid w:val="00C66E1A"/>
    <w:rsid w:val="00C66F49"/>
    <w:rsid w:val="00C67C07"/>
    <w:rsid w:val="00C67CA8"/>
    <w:rsid w:val="00C700EA"/>
    <w:rsid w:val="00C703D0"/>
    <w:rsid w:val="00C711B4"/>
    <w:rsid w:val="00C71BC9"/>
    <w:rsid w:val="00C720C1"/>
    <w:rsid w:val="00C738EC"/>
    <w:rsid w:val="00C74D33"/>
    <w:rsid w:val="00C750EC"/>
    <w:rsid w:val="00C7590D"/>
    <w:rsid w:val="00C76571"/>
    <w:rsid w:val="00C76713"/>
    <w:rsid w:val="00C76876"/>
    <w:rsid w:val="00C768F3"/>
    <w:rsid w:val="00C76B56"/>
    <w:rsid w:val="00C774A3"/>
    <w:rsid w:val="00C8044F"/>
    <w:rsid w:val="00C80F24"/>
    <w:rsid w:val="00C817BD"/>
    <w:rsid w:val="00C825A0"/>
    <w:rsid w:val="00C82F14"/>
    <w:rsid w:val="00C83699"/>
    <w:rsid w:val="00C836BD"/>
    <w:rsid w:val="00C83F9F"/>
    <w:rsid w:val="00C840E6"/>
    <w:rsid w:val="00C854F8"/>
    <w:rsid w:val="00C861C8"/>
    <w:rsid w:val="00C8620E"/>
    <w:rsid w:val="00C869FA"/>
    <w:rsid w:val="00C86BBC"/>
    <w:rsid w:val="00C86D5E"/>
    <w:rsid w:val="00C86E8A"/>
    <w:rsid w:val="00C86FF1"/>
    <w:rsid w:val="00C8709C"/>
    <w:rsid w:val="00C870F4"/>
    <w:rsid w:val="00C87339"/>
    <w:rsid w:val="00C873AC"/>
    <w:rsid w:val="00C87A97"/>
    <w:rsid w:val="00C902B9"/>
    <w:rsid w:val="00C9032F"/>
    <w:rsid w:val="00C909A7"/>
    <w:rsid w:val="00C90AA7"/>
    <w:rsid w:val="00C90F81"/>
    <w:rsid w:val="00C9132E"/>
    <w:rsid w:val="00C91E6A"/>
    <w:rsid w:val="00C91E6C"/>
    <w:rsid w:val="00C93360"/>
    <w:rsid w:val="00C937E1"/>
    <w:rsid w:val="00C93854"/>
    <w:rsid w:val="00C93889"/>
    <w:rsid w:val="00C94BB8"/>
    <w:rsid w:val="00C94C0B"/>
    <w:rsid w:val="00C960A5"/>
    <w:rsid w:val="00C96A66"/>
    <w:rsid w:val="00C96B58"/>
    <w:rsid w:val="00C977E8"/>
    <w:rsid w:val="00CA01E2"/>
    <w:rsid w:val="00CA02B2"/>
    <w:rsid w:val="00CA0478"/>
    <w:rsid w:val="00CA0509"/>
    <w:rsid w:val="00CA074B"/>
    <w:rsid w:val="00CA0DD1"/>
    <w:rsid w:val="00CA1056"/>
    <w:rsid w:val="00CA1E1B"/>
    <w:rsid w:val="00CA24AF"/>
    <w:rsid w:val="00CA2B7E"/>
    <w:rsid w:val="00CA2BF5"/>
    <w:rsid w:val="00CA2DE5"/>
    <w:rsid w:val="00CA2F5B"/>
    <w:rsid w:val="00CA381E"/>
    <w:rsid w:val="00CA42FA"/>
    <w:rsid w:val="00CA441A"/>
    <w:rsid w:val="00CA45BE"/>
    <w:rsid w:val="00CA490B"/>
    <w:rsid w:val="00CA4B68"/>
    <w:rsid w:val="00CA5553"/>
    <w:rsid w:val="00CA5568"/>
    <w:rsid w:val="00CA563B"/>
    <w:rsid w:val="00CA599D"/>
    <w:rsid w:val="00CA5A5D"/>
    <w:rsid w:val="00CA5F7C"/>
    <w:rsid w:val="00CA62F4"/>
    <w:rsid w:val="00CA65A1"/>
    <w:rsid w:val="00CA6BDB"/>
    <w:rsid w:val="00CA6EEE"/>
    <w:rsid w:val="00CA7343"/>
    <w:rsid w:val="00CA79C7"/>
    <w:rsid w:val="00CA7AD2"/>
    <w:rsid w:val="00CB0C7E"/>
    <w:rsid w:val="00CB1312"/>
    <w:rsid w:val="00CB13CA"/>
    <w:rsid w:val="00CB1FD9"/>
    <w:rsid w:val="00CB212E"/>
    <w:rsid w:val="00CB22D5"/>
    <w:rsid w:val="00CB2DDB"/>
    <w:rsid w:val="00CB2E57"/>
    <w:rsid w:val="00CB54E1"/>
    <w:rsid w:val="00CB5662"/>
    <w:rsid w:val="00CB61F0"/>
    <w:rsid w:val="00CB62E8"/>
    <w:rsid w:val="00CB6587"/>
    <w:rsid w:val="00CB75BB"/>
    <w:rsid w:val="00CC0030"/>
    <w:rsid w:val="00CC0DFF"/>
    <w:rsid w:val="00CC1036"/>
    <w:rsid w:val="00CC1251"/>
    <w:rsid w:val="00CC2469"/>
    <w:rsid w:val="00CC27B8"/>
    <w:rsid w:val="00CC2D55"/>
    <w:rsid w:val="00CC2ECF"/>
    <w:rsid w:val="00CC2FB4"/>
    <w:rsid w:val="00CC3927"/>
    <w:rsid w:val="00CC3CF9"/>
    <w:rsid w:val="00CC41B5"/>
    <w:rsid w:val="00CC4D4D"/>
    <w:rsid w:val="00CC4DC3"/>
    <w:rsid w:val="00CC4E38"/>
    <w:rsid w:val="00CC6764"/>
    <w:rsid w:val="00CC6F90"/>
    <w:rsid w:val="00CD05AD"/>
    <w:rsid w:val="00CD1EBB"/>
    <w:rsid w:val="00CD1F8B"/>
    <w:rsid w:val="00CD2035"/>
    <w:rsid w:val="00CD3548"/>
    <w:rsid w:val="00CD39B8"/>
    <w:rsid w:val="00CD4536"/>
    <w:rsid w:val="00CD5ABE"/>
    <w:rsid w:val="00CD619F"/>
    <w:rsid w:val="00CD6AF0"/>
    <w:rsid w:val="00CD6EAC"/>
    <w:rsid w:val="00CE08B4"/>
    <w:rsid w:val="00CE0D5A"/>
    <w:rsid w:val="00CE0DFE"/>
    <w:rsid w:val="00CE177F"/>
    <w:rsid w:val="00CE1C67"/>
    <w:rsid w:val="00CE1F59"/>
    <w:rsid w:val="00CE21AC"/>
    <w:rsid w:val="00CE2AE9"/>
    <w:rsid w:val="00CE370F"/>
    <w:rsid w:val="00CE3BC4"/>
    <w:rsid w:val="00CE3C24"/>
    <w:rsid w:val="00CE3E59"/>
    <w:rsid w:val="00CE423A"/>
    <w:rsid w:val="00CE46DC"/>
    <w:rsid w:val="00CE473F"/>
    <w:rsid w:val="00CE4DEF"/>
    <w:rsid w:val="00CE5730"/>
    <w:rsid w:val="00CE5B24"/>
    <w:rsid w:val="00CE5FC3"/>
    <w:rsid w:val="00CE622B"/>
    <w:rsid w:val="00CE6712"/>
    <w:rsid w:val="00CE686E"/>
    <w:rsid w:val="00CE6F95"/>
    <w:rsid w:val="00CE7028"/>
    <w:rsid w:val="00CE73F5"/>
    <w:rsid w:val="00CE75B2"/>
    <w:rsid w:val="00CE7781"/>
    <w:rsid w:val="00CE7F4D"/>
    <w:rsid w:val="00CF0081"/>
    <w:rsid w:val="00CF05EE"/>
    <w:rsid w:val="00CF1144"/>
    <w:rsid w:val="00CF1189"/>
    <w:rsid w:val="00CF21A2"/>
    <w:rsid w:val="00CF2A89"/>
    <w:rsid w:val="00CF2D88"/>
    <w:rsid w:val="00CF2DAD"/>
    <w:rsid w:val="00CF322A"/>
    <w:rsid w:val="00CF3320"/>
    <w:rsid w:val="00CF349C"/>
    <w:rsid w:val="00CF42CF"/>
    <w:rsid w:val="00CF5036"/>
    <w:rsid w:val="00CF538D"/>
    <w:rsid w:val="00CF554F"/>
    <w:rsid w:val="00CF5DF9"/>
    <w:rsid w:val="00CF5EC6"/>
    <w:rsid w:val="00CF5F61"/>
    <w:rsid w:val="00CF63B2"/>
    <w:rsid w:val="00CF6DF3"/>
    <w:rsid w:val="00CF72D1"/>
    <w:rsid w:val="00CF74DC"/>
    <w:rsid w:val="00CF74DD"/>
    <w:rsid w:val="00CF7CEC"/>
    <w:rsid w:val="00CF7DB5"/>
    <w:rsid w:val="00D0053F"/>
    <w:rsid w:val="00D00F55"/>
    <w:rsid w:val="00D01826"/>
    <w:rsid w:val="00D01C9E"/>
    <w:rsid w:val="00D0297C"/>
    <w:rsid w:val="00D03136"/>
    <w:rsid w:val="00D03562"/>
    <w:rsid w:val="00D03696"/>
    <w:rsid w:val="00D03CD7"/>
    <w:rsid w:val="00D0409A"/>
    <w:rsid w:val="00D040C1"/>
    <w:rsid w:val="00D045C4"/>
    <w:rsid w:val="00D05042"/>
    <w:rsid w:val="00D0558C"/>
    <w:rsid w:val="00D05761"/>
    <w:rsid w:val="00D059EF"/>
    <w:rsid w:val="00D05C51"/>
    <w:rsid w:val="00D05E7E"/>
    <w:rsid w:val="00D06FD9"/>
    <w:rsid w:val="00D07C56"/>
    <w:rsid w:val="00D07F5F"/>
    <w:rsid w:val="00D10010"/>
    <w:rsid w:val="00D1022A"/>
    <w:rsid w:val="00D10BEE"/>
    <w:rsid w:val="00D113FF"/>
    <w:rsid w:val="00D11656"/>
    <w:rsid w:val="00D118C1"/>
    <w:rsid w:val="00D1200F"/>
    <w:rsid w:val="00D12873"/>
    <w:rsid w:val="00D138FF"/>
    <w:rsid w:val="00D13C89"/>
    <w:rsid w:val="00D14251"/>
    <w:rsid w:val="00D1425D"/>
    <w:rsid w:val="00D142D2"/>
    <w:rsid w:val="00D14458"/>
    <w:rsid w:val="00D14B97"/>
    <w:rsid w:val="00D14BC7"/>
    <w:rsid w:val="00D14D6D"/>
    <w:rsid w:val="00D14F56"/>
    <w:rsid w:val="00D15909"/>
    <w:rsid w:val="00D15A61"/>
    <w:rsid w:val="00D15BDE"/>
    <w:rsid w:val="00D167FE"/>
    <w:rsid w:val="00D16B66"/>
    <w:rsid w:val="00D16D18"/>
    <w:rsid w:val="00D16E72"/>
    <w:rsid w:val="00D1700F"/>
    <w:rsid w:val="00D176A5"/>
    <w:rsid w:val="00D17FAC"/>
    <w:rsid w:val="00D20D9E"/>
    <w:rsid w:val="00D21533"/>
    <w:rsid w:val="00D21BE1"/>
    <w:rsid w:val="00D21D57"/>
    <w:rsid w:val="00D21E3A"/>
    <w:rsid w:val="00D22090"/>
    <w:rsid w:val="00D23371"/>
    <w:rsid w:val="00D237D4"/>
    <w:rsid w:val="00D242CB"/>
    <w:rsid w:val="00D24C25"/>
    <w:rsid w:val="00D2552C"/>
    <w:rsid w:val="00D25594"/>
    <w:rsid w:val="00D25FD2"/>
    <w:rsid w:val="00D26105"/>
    <w:rsid w:val="00D26378"/>
    <w:rsid w:val="00D26DF0"/>
    <w:rsid w:val="00D27065"/>
    <w:rsid w:val="00D270F7"/>
    <w:rsid w:val="00D30242"/>
    <w:rsid w:val="00D304DB"/>
    <w:rsid w:val="00D315B2"/>
    <w:rsid w:val="00D321E9"/>
    <w:rsid w:val="00D332FA"/>
    <w:rsid w:val="00D33A85"/>
    <w:rsid w:val="00D33E29"/>
    <w:rsid w:val="00D3487E"/>
    <w:rsid w:val="00D34949"/>
    <w:rsid w:val="00D34BF6"/>
    <w:rsid w:val="00D351E1"/>
    <w:rsid w:val="00D360FB"/>
    <w:rsid w:val="00D3620E"/>
    <w:rsid w:val="00D3716C"/>
    <w:rsid w:val="00D37E00"/>
    <w:rsid w:val="00D37EF1"/>
    <w:rsid w:val="00D41AD4"/>
    <w:rsid w:val="00D41B04"/>
    <w:rsid w:val="00D41F7C"/>
    <w:rsid w:val="00D42647"/>
    <w:rsid w:val="00D42F4F"/>
    <w:rsid w:val="00D43C3B"/>
    <w:rsid w:val="00D446E3"/>
    <w:rsid w:val="00D44CFF"/>
    <w:rsid w:val="00D457CC"/>
    <w:rsid w:val="00D45A12"/>
    <w:rsid w:val="00D45AFB"/>
    <w:rsid w:val="00D45C1B"/>
    <w:rsid w:val="00D45DC4"/>
    <w:rsid w:val="00D46008"/>
    <w:rsid w:val="00D4612C"/>
    <w:rsid w:val="00D46624"/>
    <w:rsid w:val="00D46C78"/>
    <w:rsid w:val="00D4797B"/>
    <w:rsid w:val="00D47F06"/>
    <w:rsid w:val="00D51729"/>
    <w:rsid w:val="00D522F8"/>
    <w:rsid w:val="00D5248A"/>
    <w:rsid w:val="00D52736"/>
    <w:rsid w:val="00D52C67"/>
    <w:rsid w:val="00D530BF"/>
    <w:rsid w:val="00D53532"/>
    <w:rsid w:val="00D53F1D"/>
    <w:rsid w:val="00D53F79"/>
    <w:rsid w:val="00D551B6"/>
    <w:rsid w:val="00D55602"/>
    <w:rsid w:val="00D55921"/>
    <w:rsid w:val="00D55C97"/>
    <w:rsid w:val="00D55DE2"/>
    <w:rsid w:val="00D569F7"/>
    <w:rsid w:val="00D56F5E"/>
    <w:rsid w:val="00D57373"/>
    <w:rsid w:val="00D57A44"/>
    <w:rsid w:val="00D57C33"/>
    <w:rsid w:val="00D6069E"/>
    <w:rsid w:val="00D60B04"/>
    <w:rsid w:val="00D60B27"/>
    <w:rsid w:val="00D60C27"/>
    <w:rsid w:val="00D612EE"/>
    <w:rsid w:val="00D61534"/>
    <w:rsid w:val="00D62013"/>
    <w:rsid w:val="00D62184"/>
    <w:rsid w:val="00D62412"/>
    <w:rsid w:val="00D62520"/>
    <w:rsid w:val="00D625D7"/>
    <w:rsid w:val="00D62C14"/>
    <w:rsid w:val="00D62EE7"/>
    <w:rsid w:val="00D631A6"/>
    <w:rsid w:val="00D634A3"/>
    <w:rsid w:val="00D64332"/>
    <w:rsid w:val="00D65809"/>
    <w:rsid w:val="00D670E1"/>
    <w:rsid w:val="00D7009C"/>
    <w:rsid w:val="00D70591"/>
    <w:rsid w:val="00D709DE"/>
    <w:rsid w:val="00D70C25"/>
    <w:rsid w:val="00D70D66"/>
    <w:rsid w:val="00D71381"/>
    <w:rsid w:val="00D71BDC"/>
    <w:rsid w:val="00D71DDC"/>
    <w:rsid w:val="00D725DD"/>
    <w:rsid w:val="00D72A32"/>
    <w:rsid w:val="00D72C9B"/>
    <w:rsid w:val="00D72FDD"/>
    <w:rsid w:val="00D73102"/>
    <w:rsid w:val="00D7371C"/>
    <w:rsid w:val="00D73ADD"/>
    <w:rsid w:val="00D74487"/>
    <w:rsid w:val="00D75D61"/>
    <w:rsid w:val="00D75DBC"/>
    <w:rsid w:val="00D766AB"/>
    <w:rsid w:val="00D76724"/>
    <w:rsid w:val="00D76CEF"/>
    <w:rsid w:val="00D76DA0"/>
    <w:rsid w:val="00D770CF"/>
    <w:rsid w:val="00D7754A"/>
    <w:rsid w:val="00D77A16"/>
    <w:rsid w:val="00D77A99"/>
    <w:rsid w:val="00D800A7"/>
    <w:rsid w:val="00D8087D"/>
    <w:rsid w:val="00D812B9"/>
    <w:rsid w:val="00D81697"/>
    <w:rsid w:val="00D8194D"/>
    <w:rsid w:val="00D81EC6"/>
    <w:rsid w:val="00D81F00"/>
    <w:rsid w:val="00D82E76"/>
    <w:rsid w:val="00D833C8"/>
    <w:rsid w:val="00D83BA9"/>
    <w:rsid w:val="00D8449F"/>
    <w:rsid w:val="00D84523"/>
    <w:rsid w:val="00D853BD"/>
    <w:rsid w:val="00D85924"/>
    <w:rsid w:val="00D86460"/>
    <w:rsid w:val="00D86641"/>
    <w:rsid w:val="00D86AD2"/>
    <w:rsid w:val="00D86DA2"/>
    <w:rsid w:val="00D87FC4"/>
    <w:rsid w:val="00D90479"/>
    <w:rsid w:val="00D9052A"/>
    <w:rsid w:val="00D90A13"/>
    <w:rsid w:val="00D9158A"/>
    <w:rsid w:val="00D917D9"/>
    <w:rsid w:val="00D918F6"/>
    <w:rsid w:val="00D91C82"/>
    <w:rsid w:val="00D92170"/>
    <w:rsid w:val="00D9237B"/>
    <w:rsid w:val="00D92AD2"/>
    <w:rsid w:val="00D92E57"/>
    <w:rsid w:val="00D94046"/>
    <w:rsid w:val="00D943F4"/>
    <w:rsid w:val="00D947F8"/>
    <w:rsid w:val="00D9508D"/>
    <w:rsid w:val="00D953D8"/>
    <w:rsid w:val="00D95821"/>
    <w:rsid w:val="00D95B91"/>
    <w:rsid w:val="00D95D02"/>
    <w:rsid w:val="00D96756"/>
    <w:rsid w:val="00D9681E"/>
    <w:rsid w:val="00D97398"/>
    <w:rsid w:val="00D9740D"/>
    <w:rsid w:val="00D979C5"/>
    <w:rsid w:val="00D979D3"/>
    <w:rsid w:val="00DA0BEC"/>
    <w:rsid w:val="00DA0CE9"/>
    <w:rsid w:val="00DA1278"/>
    <w:rsid w:val="00DA14FB"/>
    <w:rsid w:val="00DA1903"/>
    <w:rsid w:val="00DA20A7"/>
    <w:rsid w:val="00DA219B"/>
    <w:rsid w:val="00DA21EF"/>
    <w:rsid w:val="00DA25B9"/>
    <w:rsid w:val="00DA2658"/>
    <w:rsid w:val="00DA2D68"/>
    <w:rsid w:val="00DA34B0"/>
    <w:rsid w:val="00DA37EB"/>
    <w:rsid w:val="00DA3F1C"/>
    <w:rsid w:val="00DA42D9"/>
    <w:rsid w:val="00DA46CE"/>
    <w:rsid w:val="00DA48E1"/>
    <w:rsid w:val="00DA4959"/>
    <w:rsid w:val="00DA4A54"/>
    <w:rsid w:val="00DA51D5"/>
    <w:rsid w:val="00DA5279"/>
    <w:rsid w:val="00DA56F6"/>
    <w:rsid w:val="00DA61F5"/>
    <w:rsid w:val="00DA6461"/>
    <w:rsid w:val="00DA6B36"/>
    <w:rsid w:val="00DA6BFD"/>
    <w:rsid w:val="00DA74C7"/>
    <w:rsid w:val="00DA79A8"/>
    <w:rsid w:val="00DA79CF"/>
    <w:rsid w:val="00DA7CB4"/>
    <w:rsid w:val="00DB09D1"/>
    <w:rsid w:val="00DB1157"/>
    <w:rsid w:val="00DB2144"/>
    <w:rsid w:val="00DB26FF"/>
    <w:rsid w:val="00DB28E5"/>
    <w:rsid w:val="00DB3881"/>
    <w:rsid w:val="00DB47A7"/>
    <w:rsid w:val="00DB4E27"/>
    <w:rsid w:val="00DB5237"/>
    <w:rsid w:val="00DB5623"/>
    <w:rsid w:val="00DB666C"/>
    <w:rsid w:val="00DB67EA"/>
    <w:rsid w:val="00DB6ECA"/>
    <w:rsid w:val="00DB6FCC"/>
    <w:rsid w:val="00DB738F"/>
    <w:rsid w:val="00DB7765"/>
    <w:rsid w:val="00DB7866"/>
    <w:rsid w:val="00DB78E9"/>
    <w:rsid w:val="00DC009D"/>
    <w:rsid w:val="00DC0453"/>
    <w:rsid w:val="00DC0C0F"/>
    <w:rsid w:val="00DC15C8"/>
    <w:rsid w:val="00DC1C69"/>
    <w:rsid w:val="00DC1C8C"/>
    <w:rsid w:val="00DC1D7E"/>
    <w:rsid w:val="00DC1EFD"/>
    <w:rsid w:val="00DC3439"/>
    <w:rsid w:val="00DC4391"/>
    <w:rsid w:val="00DC5D8A"/>
    <w:rsid w:val="00DC6A03"/>
    <w:rsid w:val="00DC6F45"/>
    <w:rsid w:val="00DC7F5F"/>
    <w:rsid w:val="00DC7F67"/>
    <w:rsid w:val="00DD0542"/>
    <w:rsid w:val="00DD1595"/>
    <w:rsid w:val="00DD16AE"/>
    <w:rsid w:val="00DD171F"/>
    <w:rsid w:val="00DD1A89"/>
    <w:rsid w:val="00DD22C0"/>
    <w:rsid w:val="00DD2798"/>
    <w:rsid w:val="00DD2A8C"/>
    <w:rsid w:val="00DD3364"/>
    <w:rsid w:val="00DD4373"/>
    <w:rsid w:val="00DD62F6"/>
    <w:rsid w:val="00DD7013"/>
    <w:rsid w:val="00DD7401"/>
    <w:rsid w:val="00DD7752"/>
    <w:rsid w:val="00DE0994"/>
    <w:rsid w:val="00DE1276"/>
    <w:rsid w:val="00DE15A2"/>
    <w:rsid w:val="00DE15AA"/>
    <w:rsid w:val="00DE16E5"/>
    <w:rsid w:val="00DE18F1"/>
    <w:rsid w:val="00DE1EFD"/>
    <w:rsid w:val="00DE2346"/>
    <w:rsid w:val="00DE2437"/>
    <w:rsid w:val="00DE257D"/>
    <w:rsid w:val="00DE26F4"/>
    <w:rsid w:val="00DE27F8"/>
    <w:rsid w:val="00DE2D7B"/>
    <w:rsid w:val="00DE3E77"/>
    <w:rsid w:val="00DE40F9"/>
    <w:rsid w:val="00DE42A4"/>
    <w:rsid w:val="00DE46AE"/>
    <w:rsid w:val="00DE4BF3"/>
    <w:rsid w:val="00DE6332"/>
    <w:rsid w:val="00DE6734"/>
    <w:rsid w:val="00DE6A84"/>
    <w:rsid w:val="00DE71E4"/>
    <w:rsid w:val="00DE72BA"/>
    <w:rsid w:val="00DE7382"/>
    <w:rsid w:val="00DE7890"/>
    <w:rsid w:val="00DE7E83"/>
    <w:rsid w:val="00DF0064"/>
    <w:rsid w:val="00DF028B"/>
    <w:rsid w:val="00DF06E7"/>
    <w:rsid w:val="00DF0900"/>
    <w:rsid w:val="00DF0AA0"/>
    <w:rsid w:val="00DF16F4"/>
    <w:rsid w:val="00DF1C49"/>
    <w:rsid w:val="00DF32CE"/>
    <w:rsid w:val="00DF3A77"/>
    <w:rsid w:val="00DF3C50"/>
    <w:rsid w:val="00DF4275"/>
    <w:rsid w:val="00DF4808"/>
    <w:rsid w:val="00DF4B11"/>
    <w:rsid w:val="00DF5261"/>
    <w:rsid w:val="00DF56CA"/>
    <w:rsid w:val="00DF67F1"/>
    <w:rsid w:val="00DF6865"/>
    <w:rsid w:val="00DF732A"/>
    <w:rsid w:val="00DF7EF0"/>
    <w:rsid w:val="00E00074"/>
    <w:rsid w:val="00E00840"/>
    <w:rsid w:val="00E00B06"/>
    <w:rsid w:val="00E00C82"/>
    <w:rsid w:val="00E00FFF"/>
    <w:rsid w:val="00E01018"/>
    <w:rsid w:val="00E012E3"/>
    <w:rsid w:val="00E02468"/>
    <w:rsid w:val="00E02475"/>
    <w:rsid w:val="00E0256F"/>
    <w:rsid w:val="00E029F4"/>
    <w:rsid w:val="00E03A1E"/>
    <w:rsid w:val="00E03D2D"/>
    <w:rsid w:val="00E042A5"/>
    <w:rsid w:val="00E048E6"/>
    <w:rsid w:val="00E04C84"/>
    <w:rsid w:val="00E050E5"/>
    <w:rsid w:val="00E0576D"/>
    <w:rsid w:val="00E06211"/>
    <w:rsid w:val="00E063AA"/>
    <w:rsid w:val="00E06489"/>
    <w:rsid w:val="00E06811"/>
    <w:rsid w:val="00E06AE4"/>
    <w:rsid w:val="00E077AD"/>
    <w:rsid w:val="00E10B23"/>
    <w:rsid w:val="00E10B98"/>
    <w:rsid w:val="00E11AC9"/>
    <w:rsid w:val="00E11C5F"/>
    <w:rsid w:val="00E11E75"/>
    <w:rsid w:val="00E124F3"/>
    <w:rsid w:val="00E126D4"/>
    <w:rsid w:val="00E12760"/>
    <w:rsid w:val="00E1319A"/>
    <w:rsid w:val="00E13A5B"/>
    <w:rsid w:val="00E13BA6"/>
    <w:rsid w:val="00E1420F"/>
    <w:rsid w:val="00E14388"/>
    <w:rsid w:val="00E14EA3"/>
    <w:rsid w:val="00E15079"/>
    <w:rsid w:val="00E1590E"/>
    <w:rsid w:val="00E15933"/>
    <w:rsid w:val="00E1640C"/>
    <w:rsid w:val="00E1653D"/>
    <w:rsid w:val="00E170BB"/>
    <w:rsid w:val="00E175F6"/>
    <w:rsid w:val="00E17D4E"/>
    <w:rsid w:val="00E2046D"/>
    <w:rsid w:val="00E20488"/>
    <w:rsid w:val="00E20567"/>
    <w:rsid w:val="00E21285"/>
    <w:rsid w:val="00E2172E"/>
    <w:rsid w:val="00E21CAC"/>
    <w:rsid w:val="00E21D7F"/>
    <w:rsid w:val="00E22081"/>
    <w:rsid w:val="00E2258A"/>
    <w:rsid w:val="00E22675"/>
    <w:rsid w:val="00E22C4D"/>
    <w:rsid w:val="00E245F7"/>
    <w:rsid w:val="00E2482C"/>
    <w:rsid w:val="00E24CC0"/>
    <w:rsid w:val="00E2507F"/>
    <w:rsid w:val="00E250BE"/>
    <w:rsid w:val="00E25563"/>
    <w:rsid w:val="00E255A1"/>
    <w:rsid w:val="00E256C4"/>
    <w:rsid w:val="00E25769"/>
    <w:rsid w:val="00E25E7D"/>
    <w:rsid w:val="00E263E2"/>
    <w:rsid w:val="00E26D1D"/>
    <w:rsid w:val="00E27115"/>
    <w:rsid w:val="00E2755C"/>
    <w:rsid w:val="00E27748"/>
    <w:rsid w:val="00E3089F"/>
    <w:rsid w:val="00E30CD0"/>
    <w:rsid w:val="00E31244"/>
    <w:rsid w:val="00E3132D"/>
    <w:rsid w:val="00E315B1"/>
    <w:rsid w:val="00E31731"/>
    <w:rsid w:val="00E31B5F"/>
    <w:rsid w:val="00E32256"/>
    <w:rsid w:val="00E32281"/>
    <w:rsid w:val="00E3248A"/>
    <w:rsid w:val="00E32536"/>
    <w:rsid w:val="00E3292E"/>
    <w:rsid w:val="00E332C7"/>
    <w:rsid w:val="00E33417"/>
    <w:rsid w:val="00E3381F"/>
    <w:rsid w:val="00E3396E"/>
    <w:rsid w:val="00E33B16"/>
    <w:rsid w:val="00E34C36"/>
    <w:rsid w:val="00E3530B"/>
    <w:rsid w:val="00E370CB"/>
    <w:rsid w:val="00E37999"/>
    <w:rsid w:val="00E400AA"/>
    <w:rsid w:val="00E402DB"/>
    <w:rsid w:val="00E40356"/>
    <w:rsid w:val="00E40FD4"/>
    <w:rsid w:val="00E41028"/>
    <w:rsid w:val="00E41728"/>
    <w:rsid w:val="00E42D92"/>
    <w:rsid w:val="00E44C9D"/>
    <w:rsid w:val="00E452C4"/>
    <w:rsid w:val="00E452C6"/>
    <w:rsid w:val="00E4552A"/>
    <w:rsid w:val="00E45AE3"/>
    <w:rsid w:val="00E45E6D"/>
    <w:rsid w:val="00E46285"/>
    <w:rsid w:val="00E465AE"/>
    <w:rsid w:val="00E46A9E"/>
    <w:rsid w:val="00E46AE0"/>
    <w:rsid w:val="00E472E6"/>
    <w:rsid w:val="00E479EE"/>
    <w:rsid w:val="00E47F02"/>
    <w:rsid w:val="00E507C1"/>
    <w:rsid w:val="00E50CD5"/>
    <w:rsid w:val="00E51347"/>
    <w:rsid w:val="00E517EB"/>
    <w:rsid w:val="00E51E55"/>
    <w:rsid w:val="00E5227F"/>
    <w:rsid w:val="00E524DF"/>
    <w:rsid w:val="00E5595E"/>
    <w:rsid w:val="00E55BD7"/>
    <w:rsid w:val="00E5678F"/>
    <w:rsid w:val="00E56AE2"/>
    <w:rsid w:val="00E56EF5"/>
    <w:rsid w:val="00E56F64"/>
    <w:rsid w:val="00E5704B"/>
    <w:rsid w:val="00E5793A"/>
    <w:rsid w:val="00E57D9B"/>
    <w:rsid w:val="00E60597"/>
    <w:rsid w:val="00E6084A"/>
    <w:rsid w:val="00E609AA"/>
    <w:rsid w:val="00E60E20"/>
    <w:rsid w:val="00E6177D"/>
    <w:rsid w:val="00E61BFF"/>
    <w:rsid w:val="00E61E6F"/>
    <w:rsid w:val="00E6220A"/>
    <w:rsid w:val="00E62290"/>
    <w:rsid w:val="00E62A01"/>
    <w:rsid w:val="00E62CD6"/>
    <w:rsid w:val="00E63527"/>
    <w:rsid w:val="00E64429"/>
    <w:rsid w:val="00E64ACE"/>
    <w:rsid w:val="00E65347"/>
    <w:rsid w:val="00E653B2"/>
    <w:rsid w:val="00E65993"/>
    <w:rsid w:val="00E65D04"/>
    <w:rsid w:val="00E66238"/>
    <w:rsid w:val="00E6684B"/>
    <w:rsid w:val="00E66D5F"/>
    <w:rsid w:val="00E66F68"/>
    <w:rsid w:val="00E67062"/>
    <w:rsid w:val="00E678D9"/>
    <w:rsid w:val="00E7064A"/>
    <w:rsid w:val="00E70DEF"/>
    <w:rsid w:val="00E713A0"/>
    <w:rsid w:val="00E7159E"/>
    <w:rsid w:val="00E71A91"/>
    <w:rsid w:val="00E71F3E"/>
    <w:rsid w:val="00E721F0"/>
    <w:rsid w:val="00E72D10"/>
    <w:rsid w:val="00E73A31"/>
    <w:rsid w:val="00E7434D"/>
    <w:rsid w:val="00E74A39"/>
    <w:rsid w:val="00E74B2D"/>
    <w:rsid w:val="00E74F14"/>
    <w:rsid w:val="00E75B6F"/>
    <w:rsid w:val="00E75D81"/>
    <w:rsid w:val="00E75E39"/>
    <w:rsid w:val="00E7625A"/>
    <w:rsid w:val="00E762F4"/>
    <w:rsid w:val="00E768DA"/>
    <w:rsid w:val="00E76A55"/>
    <w:rsid w:val="00E7740A"/>
    <w:rsid w:val="00E77848"/>
    <w:rsid w:val="00E8001D"/>
    <w:rsid w:val="00E803F1"/>
    <w:rsid w:val="00E80453"/>
    <w:rsid w:val="00E819E9"/>
    <w:rsid w:val="00E82EA7"/>
    <w:rsid w:val="00E83031"/>
    <w:rsid w:val="00E84292"/>
    <w:rsid w:val="00E8438F"/>
    <w:rsid w:val="00E84873"/>
    <w:rsid w:val="00E84B5D"/>
    <w:rsid w:val="00E858FA"/>
    <w:rsid w:val="00E85C1C"/>
    <w:rsid w:val="00E85C29"/>
    <w:rsid w:val="00E868DF"/>
    <w:rsid w:val="00E874FE"/>
    <w:rsid w:val="00E87978"/>
    <w:rsid w:val="00E90065"/>
    <w:rsid w:val="00E90645"/>
    <w:rsid w:val="00E9078C"/>
    <w:rsid w:val="00E91022"/>
    <w:rsid w:val="00E9142C"/>
    <w:rsid w:val="00E91470"/>
    <w:rsid w:val="00E9174C"/>
    <w:rsid w:val="00E91D50"/>
    <w:rsid w:val="00E91D6B"/>
    <w:rsid w:val="00E91EFB"/>
    <w:rsid w:val="00E92F47"/>
    <w:rsid w:val="00E92F9D"/>
    <w:rsid w:val="00E9355A"/>
    <w:rsid w:val="00E9383E"/>
    <w:rsid w:val="00E93B1F"/>
    <w:rsid w:val="00E93BDF"/>
    <w:rsid w:val="00E943BF"/>
    <w:rsid w:val="00E94AA7"/>
    <w:rsid w:val="00E95127"/>
    <w:rsid w:val="00E9555C"/>
    <w:rsid w:val="00E95C70"/>
    <w:rsid w:val="00E96790"/>
    <w:rsid w:val="00E96E5A"/>
    <w:rsid w:val="00E96FD2"/>
    <w:rsid w:val="00E973B1"/>
    <w:rsid w:val="00E979AB"/>
    <w:rsid w:val="00EA0CF8"/>
    <w:rsid w:val="00EA1835"/>
    <w:rsid w:val="00EA1BA2"/>
    <w:rsid w:val="00EA235B"/>
    <w:rsid w:val="00EA2B5E"/>
    <w:rsid w:val="00EA2C0D"/>
    <w:rsid w:val="00EA3492"/>
    <w:rsid w:val="00EA3C84"/>
    <w:rsid w:val="00EA4AE8"/>
    <w:rsid w:val="00EA4F4B"/>
    <w:rsid w:val="00EA5196"/>
    <w:rsid w:val="00EA562C"/>
    <w:rsid w:val="00EA562E"/>
    <w:rsid w:val="00EA5946"/>
    <w:rsid w:val="00EA5D2E"/>
    <w:rsid w:val="00EA6F53"/>
    <w:rsid w:val="00EA7C2C"/>
    <w:rsid w:val="00EB0112"/>
    <w:rsid w:val="00EB035A"/>
    <w:rsid w:val="00EB07A3"/>
    <w:rsid w:val="00EB0BD0"/>
    <w:rsid w:val="00EB1C6B"/>
    <w:rsid w:val="00EB209F"/>
    <w:rsid w:val="00EB215C"/>
    <w:rsid w:val="00EB23E1"/>
    <w:rsid w:val="00EB2CCA"/>
    <w:rsid w:val="00EB2DDB"/>
    <w:rsid w:val="00EB36A7"/>
    <w:rsid w:val="00EB3CE8"/>
    <w:rsid w:val="00EB3E30"/>
    <w:rsid w:val="00EB3E5D"/>
    <w:rsid w:val="00EB4C33"/>
    <w:rsid w:val="00EB4C92"/>
    <w:rsid w:val="00EB5AB2"/>
    <w:rsid w:val="00EB5ACF"/>
    <w:rsid w:val="00EB6B77"/>
    <w:rsid w:val="00EB6BAB"/>
    <w:rsid w:val="00EB6D4A"/>
    <w:rsid w:val="00EB6E97"/>
    <w:rsid w:val="00EC09DD"/>
    <w:rsid w:val="00EC0A21"/>
    <w:rsid w:val="00EC0A39"/>
    <w:rsid w:val="00EC0CDA"/>
    <w:rsid w:val="00EC0EB5"/>
    <w:rsid w:val="00EC10A9"/>
    <w:rsid w:val="00EC1125"/>
    <w:rsid w:val="00EC1EAD"/>
    <w:rsid w:val="00EC22DC"/>
    <w:rsid w:val="00EC2DCF"/>
    <w:rsid w:val="00EC33F9"/>
    <w:rsid w:val="00EC34C5"/>
    <w:rsid w:val="00EC3F6D"/>
    <w:rsid w:val="00EC41D1"/>
    <w:rsid w:val="00EC43F4"/>
    <w:rsid w:val="00EC4A81"/>
    <w:rsid w:val="00EC59B5"/>
    <w:rsid w:val="00EC5D89"/>
    <w:rsid w:val="00EC6635"/>
    <w:rsid w:val="00EC68D5"/>
    <w:rsid w:val="00EC7130"/>
    <w:rsid w:val="00EC7584"/>
    <w:rsid w:val="00EC79EE"/>
    <w:rsid w:val="00ED0371"/>
    <w:rsid w:val="00ED0758"/>
    <w:rsid w:val="00ED1097"/>
    <w:rsid w:val="00ED11D1"/>
    <w:rsid w:val="00ED1B99"/>
    <w:rsid w:val="00ED20DE"/>
    <w:rsid w:val="00ED232C"/>
    <w:rsid w:val="00ED2984"/>
    <w:rsid w:val="00ED2AB3"/>
    <w:rsid w:val="00ED2AB9"/>
    <w:rsid w:val="00ED315A"/>
    <w:rsid w:val="00ED3C4A"/>
    <w:rsid w:val="00ED3DF3"/>
    <w:rsid w:val="00ED4F2C"/>
    <w:rsid w:val="00ED52F7"/>
    <w:rsid w:val="00ED54E8"/>
    <w:rsid w:val="00ED589E"/>
    <w:rsid w:val="00ED5E2F"/>
    <w:rsid w:val="00ED5F2C"/>
    <w:rsid w:val="00ED626D"/>
    <w:rsid w:val="00ED65AC"/>
    <w:rsid w:val="00ED67CA"/>
    <w:rsid w:val="00ED6A25"/>
    <w:rsid w:val="00ED71DA"/>
    <w:rsid w:val="00ED743F"/>
    <w:rsid w:val="00ED7B29"/>
    <w:rsid w:val="00EE0D2E"/>
    <w:rsid w:val="00EE108F"/>
    <w:rsid w:val="00EE11AA"/>
    <w:rsid w:val="00EE1455"/>
    <w:rsid w:val="00EE147C"/>
    <w:rsid w:val="00EE170A"/>
    <w:rsid w:val="00EE1E3B"/>
    <w:rsid w:val="00EE2403"/>
    <w:rsid w:val="00EE31C6"/>
    <w:rsid w:val="00EE3488"/>
    <w:rsid w:val="00EE40DB"/>
    <w:rsid w:val="00EE4754"/>
    <w:rsid w:val="00EE5279"/>
    <w:rsid w:val="00EE59AC"/>
    <w:rsid w:val="00EE68DE"/>
    <w:rsid w:val="00EE6CF7"/>
    <w:rsid w:val="00EE795C"/>
    <w:rsid w:val="00EF0390"/>
    <w:rsid w:val="00EF093C"/>
    <w:rsid w:val="00EF09A4"/>
    <w:rsid w:val="00EF09B3"/>
    <w:rsid w:val="00EF0E8F"/>
    <w:rsid w:val="00EF13FC"/>
    <w:rsid w:val="00EF1834"/>
    <w:rsid w:val="00EF191A"/>
    <w:rsid w:val="00EF1ABF"/>
    <w:rsid w:val="00EF21E6"/>
    <w:rsid w:val="00EF225E"/>
    <w:rsid w:val="00EF3702"/>
    <w:rsid w:val="00EF389F"/>
    <w:rsid w:val="00EF3FAE"/>
    <w:rsid w:val="00EF50BC"/>
    <w:rsid w:val="00EF580B"/>
    <w:rsid w:val="00EF5CF9"/>
    <w:rsid w:val="00EF5D0A"/>
    <w:rsid w:val="00EF5FAE"/>
    <w:rsid w:val="00EF641E"/>
    <w:rsid w:val="00EF67F3"/>
    <w:rsid w:val="00EF710F"/>
    <w:rsid w:val="00EF7C55"/>
    <w:rsid w:val="00F00122"/>
    <w:rsid w:val="00F0025A"/>
    <w:rsid w:val="00F00580"/>
    <w:rsid w:val="00F00FEA"/>
    <w:rsid w:val="00F01BE3"/>
    <w:rsid w:val="00F02177"/>
    <w:rsid w:val="00F024B9"/>
    <w:rsid w:val="00F025D4"/>
    <w:rsid w:val="00F02726"/>
    <w:rsid w:val="00F0288A"/>
    <w:rsid w:val="00F02E1C"/>
    <w:rsid w:val="00F03157"/>
    <w:rsid w:val="00F03204"/>
    <w:rsid w:val="00F038F9"/>
    <w:rsid w:val="00F0469B"/>
    <w:rsid w:val="00F046FF"/>
    <w:rsid w:val="00F04A74"/>
    <w:rsid w:val="00F04D10"/>
    <w:rsid w:val="00F050CE"/>
    <w:rsid w:val="00F0717E"/>
    <w:rsid w:val="00F0772D"/>
    <w:rsid w:val="00F10C09"/>
    <w:rsid w:val="00F11214"/>
    <w:rsid w:val="00F113BE"/>
    <w:rsid w:val="00F11453"/>
    <w:rsid w:val="00F11682"/>
    <w:rsid w:val="00F11833"/>
    <w:rsid w:val="00F12D38"/>
    <w:rsid w:val="00F133D4"/>
    <w:rsid w:val="00F139A6"/>
    <w:rsid w:val="00F13B43"/>
    <w:rsid w:val="00F14014"/>
    <w:rsid w:val="00F14312"/>
    <w:rsid w:val="00F1463A"/>
    <w:rsid w:val="00F1531B"/>
    <w:rsid w:val="00F157B6"/>
    <w:rsid w:val="00F16480"/>
    <w:rsid w:val="00F16EF2"/>
    <w:rsid w:val="00F17BDD"/>
    <w:rsid w:val="00F17D26"/>
    <w:rsid w:val="00F211F7"/>
    <w:rsid w:val="00F21207"/>
    <w:rsid w:val="00F215CA"/>
    <w:rsid w:val="00F21A72"/>
    <w:rsid w:val="00F22079"/>
    <w:rsid w:val="00F223D3"/>
    <w:rsid w:val="00F224E8"/>
    <w:rsid w:val="00F22738"/>
    <w:rsid w:val="00F22AE6"/>
    <w:rsid w:val="00F23553"/>
    <w:rsid w:val="00F243AB"/>
    <w:rsid w:val="00F2479F"/>
    <w:rsid w:val="00F25087"/>
    <w:rsid w:val="00F25653"/>
    <w:rsid w:val="00F25982"/>
    <w:rsid w:val="00F266F7"/>
    <w:rsid w:val="00F26B59"/>
    <w:rsid w:val="00F27081"/>
    <w:rsid w:val="00F2709B"/>
    <w:rsid w:val="00F2722A"/>
    <w:rsid w:val="00F273E3"/>
    <w:rsid w:val="00F274A4"/>
    <w:rsid w:val="00F27E35"/>
    <w:rsid w:val="00F308B0"/>
    <w:rsid w:val="00F3092D"/>
    <w:rsid w:val="00F30C6A"/>
    <w:rsid w:val="00F3101D"/>
    <w:rsid w:val="00F313F7"/>
    <w:rsid w:val="00F31685"/>
    <w:rsid w:val="00F319C2"/>
    <w:rsid w:val="00F31AFA"/>
    <w:rsid w:val="00F3226E"/>
    <w:rsid w:val="00F32473"/>
    <w:rsid w:val="00F33A9D"/>
    <w:rsid w:val="00F33F28"/>
    <w:rsid w:val="00F34323"/>
    <w:rsid w:val="00F34441"/>
    <w:rsid w:val="00F347AF"/>
    <w:rsid w:val="00F34A36"/>
    <w:rsid w:val="00F34A46"/>
    <w:rsid w:val="00F34EA3"/>
    <w:rsid w:val="00F34FCE"/>
    <w:rsid w:val="00F352E8"/>
    <w:rsid w:val="00F3572D"/>
    <w:rsid w:val="00F35CD6"/>
    <w:rsid w:val="00F35E66"/>
    <w:rsid w:val="00F365DE"/>
    <w:rsid w:val="00F36F92"/>
    <w:rsid w:val="00F3754E"/>
    <w:rsid w:val="00F37CED"/>
    <w:rsid w:val="00F37E8D"/>
    <w:rsid w:val="00F37F03"/>
    <w:rsid w:val="00F40527"/>
    <w:rsid w:val="00F41C73"/>
    <w:rsid w:val="00F42639"/>
    <w:rsid w:val="00F429D6"/>
    <w:rsid w:val="00F42F64"/>
    <w:rsid w:val="00F43513"/>
    <w:rsid w:val="00F43AC0"/>
    <w:rsid w:val="00F44240"/>
    <w:rsid w:val="00F447E1"/>
    <w:rsid w:val="00F44938"/>
    <w:rsid w:val="00F44C17"/>
    <w:rsid w:val="00F452EF"/>
    <w:rsid w:val="00F45443"/>
    <w:rsid w:val="00F45763"/>
    <w:rsid w:val="00F45827"/>
    <w:rsid w:val="00F46CAA"/>
    <w:rsid w:val="00F46D3D"/>
    <w:rsid w:val="00F46E98"/>
    <w:rsid w:val="00F474AA"/>
    <w:rsid w:val="00F47AA7"/>
    <w:rsid w:val="00F47D41"/>
    <w:rsid w:val="00F5004A"/>
    <w:rsid w:val="00F50723"/>
    <w:rsid w:val="00F50829"/>
    <w:rsid w:val="00F512A4"/>
    <w:rsid w:val="00F5205E"/>
    <w:rsid w:val="00F5252E"/>
    <w:rsid w:val="00F526C7"/>
    <w:rsid w:val="00F52817"/>
    <w:rsid w:val="00F52CB9"/>
    <w:rsid w:val="00F5355F"/>
    <w:rsid w:val="00F539EB"/>
    <w:rsid w:val="00F53E2A"/>
    <w:rsid w:val="00F54A20"/>
    <w:rsid w:val="00F55FAB"/>
    <w:rsid w:val="00F5649F"/>
    <w:rsid w:val="00F56B37"/>
    <w:rsid w:val="00F56C04"/>
    <w:rsid w:val="00F57839"/>
    <w:rsid w:val="00F5793D"/>
    <w:rsid w:val="00F57950"/>
    <w:rsid w:val="00F57C64"/>
    <w:rsid w:val="00F60657"/>
    <w:rsid w:val="00F60B7F"/>
    <w:rsid w:val="00F60C02"/>
    <w:rsid w:val="00F61069"/>
    <w:rsid w:val="00F61A78"/>
    <w:rsid w:val="00F61B1B"/>
    <w:rsid w:val="00F61CA3"/>
    <w:rsid w:val="00F62666"/>
    <w:rsid w:val="00F6299C"/>
    <w:rsid w:val="00F62B8A"/>
    <w:rsid w:val="00F632DB"/>
    <w:rsid w:val="00F63CD3"/>
    <w:rsid w:val="00F63F5D"/>
    <w:rsid w:val="00F641D4"/>
    <w:rsid w:val="00F64C2B"/>
    <w:rsid w:val="00F64EF8"/>
    <w:rsid w:val="00F65029"/>
    <w:rsid w:val="00F66469"/>
    <w:rsid w:val="00F66E33"/>
    <w:rsid w:val="00F6792D"/>
    <w:rsid w:val="00F67F85"/>
    <w:rsid w:val="00F705E1"/>
    <w:rsid w:val="00F71F81"/>
    <w:rsid w:val="00F723E5"/>
    <w:rsid w:val="00F7329D"/>
    <w:rsid w:val="00F735C1"/>
    <w:rsid w:val="00F73641"/>
    <w:rsid w:val="00F736C3"/>
    <w:rsid w:val="00F73812"/>
    <w:rsid w:val="00F73B97"/>
    <w:rsid w:val="00F740AF"/>
    <w:rsid w:val="00F75091"/>
    <w:rsid w:val="00F7515B"/>
    <w:rsid w:val="00F7533F"/>
    <w:rsid w:val="00F75355"/>
    <w:rsid w:val="00F75912"/>
    <w:rsid w:val="00F75E07"/>
    <w:rsid w:val="00F767A2"/>
    <w:rsid w:val="00F77187"/>
    <w:rsid w:val="00F77240"/>
    <w:rsid w:val="00F77280"/>
    <w:rsid w:val="00F77CCB"/>
    <w:rsid w:val="00F77D71"/>
    <w:rsid w:val="00F809DB"/>
    <w:rsid w:val="00F80CC3"/>
    <w:rsid w:val="00F81310"/>
    <w:rsid w:val="00F81736"/>
    <w:rsid w:val="00F820E9"/>
    <w:rsid w:val="00F822C4"/>
    <w:rsid w:val="00F82C88"/>
    <w:rsid w:val="00F83015"/>
    <w:rsid w:val="00F8399A"/>
    <w:rsid w:val="00F844FF"/>
    <w:rsid w:val="00F8459A"/>
    <w:rsid w:val="00F847D0"/>
    <w:rsid w:val="00F84885"/>
    <w:rsid w:val="00F84AF5"/>
    <w:rsid w:val="00F85093"/>
    <w:rsid w:val="00F85F78"/>
    <w:rsid w:val="00F864A5"/>
    <w:rsid w:val="00F87F5F"/>
    <w:rsid w:val="00F90558"/>
    <w:rsid w:val="00F906C5"/>
    <w:rsid w:val="00F90945"/>
    <w:rsid w:val="00F912C2"/>
    <w:rsid w:val="00F91803"/>
    <w:rsid w:val="00F91D3F"/>
    <w:rsid w:val="00F9244F"/>
    <w:rsid w:val="00F9273E"/>
    <w:rsid w:val="00F92C9C"/>
    <w:rsid w:val="00F94AF6"/>
    <w:rsid w:val="00F94D03"/>
    <w:rsid w:val="00F94FBE"/>
    <w:rsid w:val="00F9514E"/>
    <w:rsid w:val="00F958AE"/>
    <w:rsid w:val="00F95C61"/>
    <w:rsid w:val="00F97006"/>
    <w:rsid w:val="00F977AF"/>
    <w:rsid w:val="00FA0AA6"/>
    <w:rsid w:val="00FA0FEA"/>
    <w:rsid w:val="00FA122B"/>
    <w:rsid w:val="00FA19B0"/>
    <w:rsid w:val="00FA242E"/>
    <w:rsid w:val="00FA26BD"/>
    <w:rsid w:val="00FA2B98"/>
    <w:rsid w:val="00FA2C00"/>
    <w:rsid w:val="00FA32D2"/>
    <w:rsid w:val="00FA34BC"/>
    <w:rsid w:val="00FA36F2"/>
    <w:rsid w:val="00FA37DF"/>
    <w:rsid w:val="00FA382D"/>
    <w:rsid w:val="00FA4300"/>
    <w:rsid w:val="00FA4378"/>
    <w:rsid w:val="00FA43CA"/>
    <w:rsid w:val="00FA47E8"/>
    <w:rsid w:val="00FA5721"/>
    <w:rsid w:val="00FA573E"/>
    <w:rsid w:val="00FA5A6A"/>
    <w:rsid w:val="00FA5AD1"/>
    <w:rsid w:val="00FA6036"/>
    <w:rsid w:val="00FA6046"/>
    <w:rsid w:val="00FA63A5"/>
    <w:rsid w:val="00FA6CF3"/>
    <w:rsid w:val="00FA6FBA"/>
    <w:rsid w:val="00FA72B1"/>
    <w:rsid w:val="00FA7477"/>
    <w:rsid w:val="00FA77E8"/>
    <w:rsid w:val="00FA7D88"/>
    <w:rsid w:val="00FB08FB"/>
    <w:rsid w:val="00FB0B8A"/>
    <w:rsid w:val="00FB127D"/>
    <w:rsid w:val="00FB132C"/>
    <w:rsid w:val="00FB134B"/>
    <w:rsid w:val="00FB141E"/>
    <w:rsid w:val="00FB1BA4"/>
    <w:rsid w:val="00FB3159"/>
    <w:rsid w:val="00FB340D"/>
    <w:rsid w:val="00FB3C50"/>
    <w:rsid w:val="00FB3C52"/>
    <w:rsid w:val="00FB3EA4"/>
    <w:rsid w:val="00FB4130"/>
    <w:rsid w:val="00FB4900"/>
    <w:rsid w:val="00FB536D"/>
    <w:rsid w:val="00FB54A3"/>
    <w:rsid w:val="00FB56C9"/>
    <w:rsid w:val="00FB5DC3"/>
    <w:rsid w:val="00FB5F20"/>
    <w:rsid w:val="00FB6452"/>
    <w:rsid w:val="00FB6F47"/>
    <w:rsid w:val="00FB7297"/>
    <w:rsid w:val="00FB76DC"/>
    <w:rsid w:val="00FB7882"/>
    <w:rsid w:val="00FC0A10"/>
    <w:rsid w:val="00FC0DAB"/>
    <w:rsid w:val="00FC1329"/>
    <w:rsid w:val="00FC1FE0"/>
    <w:rsid w:val="00FC2749"/>
    <w:rsid w:val="00FC2FAC"/>
    <w:rsid w:val="00FC313A"/>
    <w:rsid w:val="00FC3576"/>
    <w:rsid w:val="00FC40CD"/>
    <w:rsid w:val="00FC4742"/>
    <w:rsid w:val="00FC4891"/>
    <w:rsid w:val="00FC4F3E"/>
    <w:rsid w:val="00FC502B"/>
    <w:rsid w:val="00FC51B4"/>
    <w:rsid w:val="00FC5DFE"/>
    <w:rsid w:val="00FC5E4A"/>
    <w:rsid w:val="00FC69D7"/>
    <w:rsid w:val="00FC6ED7"/>
    <w:rsid w:val="00FC75BE"/>
    <w:rsid w:val="00FC7951"/>
    <w:rsid w:val="00FC7CA3"/>
    <w:rsid w:val="00FD0165"/>
    <w:rsid w:val="00FD0B64"/>
    <w:rsid w:val="00FD0BE8"/>
    <w:rsid w:val="00FD0EF1"/>
    <w:rsid w:val="00FD1159"/>
    <w:rsid w:val="00FD1945"/>
    <w:rsid w:val="00FD1C77"/>
    <w:rsid w:val="00FD1D32"/>
    <w:rsid w:val="00FD1E8B"/>
    <w:rsid w:val="00FD2CAE"/>
    <w:rsid w:val="00FD3AE7"/>
    <w:rsid w:val="00FD4211"/>
    <w:rsid w:val="00FD469A"/>
    <w:rsid w:val="00FD4916"/>
    <w:rsid w:val="00FD4C97"/>
    <w:rsid w:val="00FD563F"/>
    <w:rsid w:val="00FD5A69"/>
    <w:rsid w:val="00FD6601"/>
    <w:rsid w:val="00FD67A7"/>
    <w:rsid w:val="00FD7E54"/>
    <w:rsid w:val="00FE04A2"/>
    <w:rsid w:val="00FE0EB9"/>
    <w:rsid w:val="00FE125A"/>
    <w:rsid w:val="00FE165A"/>
    <w:rsid w:val="00FE1A1B"/>
    <w:rsid w:val="00FE20D5"/>
    <w:rsid w:val="00FE2933"/>
    <w:rsid w:val="00FE40C7"/>
    <w:rsid w:val="00FE4342"/>
    <w:rsid w:val="00FE4456"/>
    <w:rsid w:val="00FE448C"/>
    <w:rsid w:val="00FE46D4"/>
    <w:rsid w:val="00FE4C3B"/>
    <w:rsid w:val="00FE4E92"/>
    <w:rsid w:val="00FE5A72"/>
    <w:rsid w:val="00FE5F91"/>
    <w:rsid w:val="00FE6C23"/>
    <w:rsid w:val="00FE6C76"/>
    <w:rsid w:val="00FE71FD"/>
    <w:rsid w:val="00FE7257"/>
    <w:rsid w:val="00FE72BA"/>
    <w:rsid w:val="00FF15FF"/>
    <w:rsid w:val="00FF1D43"/>
    <w:rsid w:val="00FF1E24"/>
    <w:rsid w:val="00FF1E74"/>
    <w:rsid w:val="00FF1F89"/>
    <w:rsid w:val="00FF2CCE"/>
    <w:rsid w:val="00FF3255"/>
    <w:rsid w:val="00FF41E0"/>
    <w:rsid w:val="00FF45C8"/>
    <w:rsid w:val="00FF46D9"/>
    <w:rsid w:val="00FF48EB"/>
    <w:rsid w:val="00FF4D03"/>
    <w:rsid w:val="00FF4EC3"/>
    <w:rsid w:val="00FF5ABC"/>
    <w:rsid w:val="00FF6FD4"/>
    <w:rsid w:val="00FF705A"/>
    <w:rsid w:val="00FF7C28"/>
    <w:rsid w:val="00FF7C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08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1A"/>
    <w:pPr>
      <w:spacing w:after="120"/>
    </w:pPr>
    <w:rPr>
      <w:lang w:eastAsia="en-US"/>
    </w:rPr>
  </w:style>
  <w:style w:type="paragraph" w:styleId="Heading1">
    <w:name w:val="heading 1"/>
    <w:basedOn w:val="Normal"/>
    <w:next w:val="Normal"/>
    <w:link w:val="Heading1Char"/>
    <w:qFormat/>
    <w:rsid w:val="00135B26"/>
    <w:pPr>
      <w:keepNext/>
      <w:numPr>
        <w:numId w:val="6"/>
      </w:numPr>
      <w:tabs>
        <w:tab w:val="left" w:pos="680"/>
      </w:tabs>
      <w:outlineLvl w:val="0"/>
    </w:pPr>
    <w:rPr>
      <w:rFonts w:ascii="Arial" w:hAnsi="Arial"/>
      <w:b/>
      <w:sz w:val="28"/>
    </w:rPr>
  </w:style>
  <w:style w:type="paragraph" w:styleId="Heading2">
    <w:name w:val="heading 2"/>
    <w:basedOn w:val="Heading1"/>
    <w:next w:val="Normal"/>
    <w:link w:val="Heading2Char"/>
    <w:qFormat/>
    <w:rsid w:val="002A030F"/>
    <w:pPr>
      <w:numPr>
        <w:ilvl w:val="1"/>
      </w:numPr>
      <w:tabs>
        <w:tab w:val="clear" w:pos="680"/>
        <w:tab w:val="left" w:pos="1134"/>
      </w:tabs>
      <w:spacing w:before="240"/>
      <w:ind w:hanging="578"/>
      <w:outlineLvl w:val="1"/>
    </w:pPr>
    <w:rPr>
      <w:sz w:val="24"/>
    </w:rPr>
  </w:style>
  <w:style w:type="paragraph" w:styleId="Heading3">
    <w:name w:val="heading 3"/>
    <w:basedOn w:val="Normal"/>
    <w:next w:val="Normal"/>
    <w:qFormat/>
    <w:rsid w:val="0012486F"/>
    <w:pPr>
      <w:keepNext/>
      <w:numPr>
        <w:ilvl w:val="2"/>
        <w:numId w:val="6"/>
      </w:numPr>
      <w:spacing w:before="60" w:after="60"/>
      <w:outlineLvl w:val="2"/>
    </w:pPr>
    <w:rPr>
      <w:rFonts w:ascii="Verdana" w:hAnsi="Verdana"/>
      <w:sz w:val="18"/>
      <w:u w:val="single"/>
    </w:rPr>
  </w:style>
  <w:style w:type="paragraph" w:styleId="Heading4">
    <w:name w:val="heading 4"/>
    <w:basedOn w:val="Normal"/>
    <w:next w:val="Normal"/>
    <w:link w:val="Heading4Char"/>
    <w:uiPriority w:val="9"/>
    <w:semiHidden/>
    <w:unhideWhenUsed/>
    <w:qFormat/>
    <w:rsid w:val="00060565"/>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B75D96"/>
    <w:pPr>
      <w:numPr>
        <w:ilvl w:val="4"/>
        <w:numId w:val="6"/>
      </w:numPr>
      <w:spacing w:before="120"/>
      <w:outlineLvl w:val="4"/>
    </w:pPr>
    <w:rPr>
      <w:rFonts w:ascii="Arial" w:hAnsi="Arial"/>
      <w:b/>
      <w:bCs/>
      <w:iCs/>
      <w:szCs w:val="26"/>
    </w:rPr>
  </w:style>
  <w:style w:type="paragraph" w:styleId="Heading6">
    <w:name w:val="heading 6"/>
    <w:basedOn w:val="Normal"/>
    <w:next w:val="Normal"/>
    <w:link w:val="Heading6Char"/>
    <w:uiPriority w:val="9"/>
    <w:semiHidden/>
    <w:unhideWhenUsed/>
    <w:qFormat/>
    <w:rsid w:val="00060565"/>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60565"/>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060565"/>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060565"/>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5F0D"/>
    <w:pPr>
      <w:tabs>
        <w:tab w:val="center" w:pos="4320"/>
        <w:tab w:val="right" w:pos="8640"/>
      </w:tabs>
    </w:pPr>
  </w:style>
  <w:style w:type="paragraph" w:styleId="Footer">
    <w:name w:val="footer"/>
    <w:basedOn w:val="Normal"/>
    <w:link w:val="FooterChar"/>
    <w:uiPriority w:val="99"/>
    <w:rsid w:val="009B5F0D"/>
    <w:pPr>
      <w:tabs>
        <w:tab w:val="center" w:pos="4320"/>
        <w:tab w:val="right" w:pos="8640"/>
      </w:tabs>
    </w:pPr>
  </w:style>
  <w:style w:type="character" w:styleId="PageNumber">
    <w:name w:val="page number"/>
    <w:basedOn w:val="DefaultParagraphFont"/>
    <w:rsid w:val="00E858FA"/>
  </w:style>
  <w:style w:type="paragraph" w:styleId="BodyText">
    <w:name w:val="Body Text"/>
    <w:basedOn w:val="Normal"/>
    <w:link w:val="BodyTextChar"/>
    <w:rsid w:val="00E74A39"/>
    <w:rPr>
      <w:b/>
      <w:bCs/>
      <w:sz w:val="24"/>
      <w:szCs w:val="24"/>
    </w:rPr>
  </w:style>
  <w:style w:type="paragraph" w:styleId="BalloonText">
    <w:name w:val="Balloon Text"/>
    <w:basedOn w:val="Normal"/>
    <w:semiHidden/>
    <w:rsid w:val="006C4765"/>
    <w:rPr>
      <w:rFonts w:ascii="Tahoma" w:hAnsi="Tahoma" w:cs="Tahoma"/>
      <w:sz w:val="16"/>
      <w:szCs w:val="16"/>
    </w:rPr>
  </w:style>
  <w:style w:type="paragraph" w:styleId="FootnoteText">
    <w:name w:val="footnote text"/>
    <w:basedOn w:val="Normal"/>
    <w:link w:val="FootnoteTextChar"/>
    <w:semiHidden/>
    <w:rsid w:val="00F71F81"/>
  </w:style>
  <w:style w:type="character" w:styleId="FootnoteReference">
    <w:name w:val="footnote reference"/>
    <w:rsid w:val="00F71F81"/>
    <w:rPr>
      <w:vertAlign w:val="superscript"/>
    </w:rPr>
  </w:style>
  <w:style w:type="character" w:styleId="Hyperlink">
    <w:name w:val="Hyperlink"/>
    <w:uiPriority w:val="99"/>
    <w:rsid w:val="00C7590D"/>
    <w:rPr>
      <w:color w:val="0000FF"/>
      <w:u w:val="single"/>
    </w:rPr>
  </w:style>
  <w:style w:type="paragraph" w:customStyle="1" w:styleId="MfE">
    <w:name w:val="MfE"/>
    <w:basedOn w:val="Normal"/>
    <w:rsid w:val="007F22F1"/>
    <w:pPr>
      <w:ind w:left="1134"/>
      <w:jc w:val="both"/>
    </w:pPr>
    <w:rPr>
      <w:sz w:val="24"/>
      <w:lang w:val="en-GB" w:eastAsia="en-AU"/>
    </w:rPr>
  </w:style>
  <w:style w:type="table" w:styleId="TableGrid">
    <w:name w:val="Table Grid"/>
    <w:basedOn w:val="TableNormal"/>
    <w:rsid w:val="00241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35B26"/>
    <w:rPr>
      <w:rFonts w:ascii="Arial" w:hAnsi="Arial"/>
      <w:b/>
      <w:sz w:val="28"/>
      <w:lang w:eastAsia="en-US"/>
    </w:rPr>
  </w:style>
  <w:style w:type="paragraph" w:styleId="TOC1">
    <w:name w:val="toc 1"/>
    <w:basedOn w:val="Normal"/>
    <w:next w:val="Normal"/>
    <w:autoRedefine/>
    <w:uiPriority w:val="39"/>
    <w:rsid w:val="004C49D1"/>
    <w:pPr>
      <w:tabs>
        <w:tab w:val="left" w:pos="440"/>
        <w:tab w:val="right" w:leader="dot" w:pos="9061"/>
      </w:tabs>
      <w:spacing w:after="0" w:line="360" w:lineRule="auto"/>
    </w:pPr>
    <w:rPr>
      <w:rFonts w:asciiTheme="minorHAnsi" w:hAnsiTheme="minorHAnsi"/>
      <w:b/>
      <w:noProof/>
      <w:lang w:val="en-US"/>
    </w:rPr>
  </w:style>
  <w:style w:type="paragraph" w:styleId="TOC2">
    <w:name w:val="toc 2"/>
    <w:basedOn w:val="Normal"/>
    <w:next w:val="Normal"/>
    <w:autoRedefine/>
    <w:uiPriority w:val="39"/>
    <w:rsid w:val="00903E7B"/>
    <w:pPr>
      <w:ind w:left="200"/>
    </w:pPr>
  </w:style>
  <w:style w:type="paragraph" w:styleId="EndnoteText">
    <w:name w:val="endnote text"/>
    <w:basedOn w:val="Normal"/>
    <w:semiHidden/>
    <w:rsid w:val="00BC4FAB"/>
  </w:style>
  <w:style w:type="character" w:styleId="EndnoteReference">
    <w:name w:val="endnote reference"/>
    <w:semiHidden/>
    <w:rsid w:val="00BC4FAB"/>
    <w:rPr>
      <w:vertAlign w:val="superscript"/>
    </w:rPr>
  </w:style>
  <w:style w:type="character" w:customStyle="1" w:styleId="a">
    <w:name w:val="a"/>
    <w:aliases w:val="b,c"/>
    <w:basedOn w:val="DefaultParagraphFont"/>
    <w:rsid w:val="002C0941"/>
  </w:style>
  <w:style w:type="character" w:customStyle="1" w:styleId="FootnoteTextChar">
    <w:name w:val="Footnote Text Char"/>
    <w:link w:val="FootnoteText"/>
    <w:semiHidden/>
    <w:rsid w:val="00672237"/>
    <w:rPr>
      <w:lang w:eastAsia="en-US"/>
    </w:rPr>
  </w:style>
  <w:style w:type="paragraph" w:styleId="ListParagraph">
    <w:name w:val="List Paragraph"/>
    <w:basedOn w:val="Normal"/>
    <w:uiPriority w:val="34"/>
    <w:qFormat/>
    <w:rsid w:val="00E06489"/>
    <w:pPr>
      <w:ind w:left="720"/>
      <w:contextualSpacing/>
    </w:pPr>
  </w:style>
  <w:style w:type="character" w:customStyle="1" w:styleId="FooterChar">
    <w:name w:val="Footer Char"/>
    <w:link w:val="Footer"/>
    <w:uiPriority w:val="99"/>
    <w:rsid w:val="00A70DA4"/>
    <w:rPr>
      <w:lang w:eastAsia="en-US"/>
    </w:rPr>
  </w:style>
  <w:style w:type="paragraph" w:styleId="NormalWeb">
    <w:name w:val="Normal (Web)"/>
    <w:basedOn w:val="Normal"/>
    <w:uiPriority w:val="99"/>
    <w:semiHidden/>
    <w:unhideWhenUsed/>
    <w:rsid w:val="00B151EF"/>
    <w:rPr>
      <w:sz w:val="24"/>
      <w:szCs w:val="24"/>
    </w:rPr>
  </w:style>
  <w:style w:type="numbering" w:styleId="111111">
    <w:name w:val="Outline List 2"/>
    <w:aliases w:val="1 / 1.1"/>
    <w:basedOn w:val="NoList"/>
    <w:rsid w:val="00136884"/>
    <w:pPr>
      <w:numPr>
        <w:numId w:val="1"/>
      </w:numPr>
    </w:pPr>
  </w:style>
  <w:style w:type="character" w:customStyle="1" w:styleId="Heading5Char">
    <w:name w:val="Heading 5 Char"/>
    <w:link w:val="Heading5"/>
    <w:uiPriority w:val="9"/>
    <w:rsid w:val="00B75D96"/>
    <w:rPr>
      <w:rFonts w:ascii="Arial" w:hAnsi="Arial"/>
      <w:b/>
      <w:bCs/>
      <w:iCs/>
      <w:szCs w:val="26"/>
      <w:lang w:eastAsia="en-US"/>
    </w:rPr>
  </w:style>
  <w:style w:type="character" w:customStyle="1" w:styleId="BodyTextChar">
    <w:name w:val="Body Text Char"/>
    <w:link w:val="BodyText"/>
    <w:rsid w:val="00B75D96"/>
    <w:rPr>
      <w:b/>
      <w:bCs/>
      <w:sz w:val="24"/>
      <w:szCs w:val="24"/>
      <w:lang w:eastAsia="en-US"/>
    </w:rPr>
  </w:style>
  <w:style w:type="paragraph" w:styleId="Caption">
    <w:name w:val="caption"/>
    <w:basedOn w:val="Normal"/>
    <w:next w:val="Normal"/>
    <w:uiPriority w:val="35"/>
    <w:unhideWhenUsed/>
    <w:qFormat/>
    <w:rsid w:val="003D7CC9"/>
    <w:rPr>
      <w:b/>
      <w:bCs/>
    </w:rPr>
  </w:style>
  <w:style w:type="character" w:customStyle="1" w:styleId="Heading4Char">
    <w:name w:val="Heading 4 Char"/>
    <w:link w:val="Heading4"/>
    <w:uiPriority w:val="9"/>
    <w:semiHidden/>
    <w:rsid w:val="00060565"/>
    <w:rPr>
      <w:rFonts w:ascii="Calibri" w:hAnsi="Calibri"/>
      <w:b/>
      <w:bCs/>
      <w:sz w:val="28"/>
      <w:szCs w:val="28"/>
      <w:lang w:eastAsia="en-US"/>
    </w:rPr>
  </w:style>
  <w:style w:type="character" w:customStyle="1" w:styleId="Heading6Char">
    <w:name w:val="Heading 6 Char"/>
    <w:link w:val="Heading6"/>
    <w:uiPriority w:val="9"/>
    <w:semiHidden/>
    <w:rsid w:val="00060565"/>
    <w:rPr>
      <w:rFonts w:ascii="Calibri" w:hAnsi="Calibri"/>
      <w:b/>
      <w:bCs/>
      <w:sz w:val="22"/>
      <w:szCs w:val="22"/>
      <w:lang w:eastAsia="en-US"/>
    </w:rPr>
  </w:style>
  <w:style w:type="character" w:customStyle="1" w:styleId="Heading7Char">
    <w:name w:val="Heading 7 Char"/>
    <w:link w:val="Heading7"/>
    <w:uiPriority w:val="9"/>
    <w:semiHidden/>
    <w:rsid w:val="00060565"/>
    <w:rPr>
      <w:rFonts w:ascii="Calibri" w:hAnsi="Calibri"/>
      <w:sz w:val="24"/>
      <w:szCs w:val="24"/>
      <w:lang w:eastAsia="en-US"/>
    </w:rPr>
  </w:style>
  <w:style w:type="character" w:customStyle="1" w:styleId="Heading8Char">
    <w:name w:val="Heading 8 Char"/>
    <w:link w:val="Heading8"/>
    <w:uiPriority w:val="9"/>
    <w:semiHidden/>
    <w:rsid w:val="00060565"/>
    <w:rPr>
      <w:rFonts w:ascii="Calibri" w:hAnsi="Calibri"/>
      <w:i/>
      <w:iCs/>
      <w:sz w:val="24"/>
      <w:szCs w:val="24"/>
      <w:lang w:eastAsia="en-US"/>
    </w:rPr>
  </w:style>
  <w:style w:type="character" w:customStyle="1" w:styleId="Heading9Char">
    <w:name w:val="Heading 9 Char"/>
    <w:link w:val="Heading9"/>
    <w:uiPriority w:val="9"/>
    <w:semiHidden/>
    <w:rsid w:val="00060565"/>
    <w:rPr>
      <w:rFonts w:ascii="Cambria" w:hAnsi="Cambria"/>
      <w:sz w:val="22"/>
      <w:szCs w:val="22"/>
      <w:lang w:eastAsia="en-US"/>
    </w:rPr>
  </w:style>
  <w:style w:type="paragraph" w:styleId="TOC3">
    <w:name w:val="toc 3"/>
    <w:basedOn w:val="Normal"/>
    <w:next w:val="Normal"/>
    <w:autoRedefine/>
    <w:uiPriority w:val="39"/>
    <w:unhideWhenUsed/>
    <w:rsid w:val="00277208"/>
    <w:pPr>
      <w:spacing w:after="100" w:line="276" w:lineRule="auto"/>
      <w:ind w:left="440"/>
    </w:pPr>
    <w:rPr>
      <w:rFonts w:asciiTheme="minorHAnsi" w:eastAsiaTheme="minorEastAsia" w:hAnsiTheme="minorHAnsi" w:cstheme="minorBidi"/>
      <w:sz w:val="22"/>
      <w:szCs w:val="22"/>
      <w:lang w:eastAsia="en-NZ"/>
    </w:rPr>
  </w:style>
  <w:style w:type="paragraph" w:styleId="TOC4">
    <w:name w:val="toc 4"/>
    <w:basedOn w:val="Normal"/>
    <w:next w:val="Normal"/>
    <w:autoRedefine/>
    <w:uiPriority w:val="39"/>
    <w:unhideWhenUsed/>
    <w:rsid w:val="00277208"/>
    <w:pPr>
      <w:spacing w:after="100" w:line="276" w:lineRule="auto"/>
      <w:ind w:left="660"/>
    </w:pPr>
    <w:rPr>
      <w:rFonts w:asciiTheme="minorHAnsi" w:eastAsiaTheme="minorEastAsia" w:hAnsiTheme="minorHAnsi" w:cstheme="minorBidi"/>
      <w:sz w:val="22"/>
      <w:szCs w:val="22"/>
      <w:lang w:eastAsia="en-NZ"/>
    </w:rPr>
  </w:style>
  <w:style w:type="paragraph" w:styleId="TOC5">
    <w:name w:val="toc 5"/>
    <w:basedOn w:val="Normal"/>
    <w:next w:val="Normal"/>
    <w:autoRedefine/>
    <w:uiPriority w:val="39"/>
    <w:unhideWhenUsed/>
    <w:rsid w:val="00277208"/>
    <w:pPr>
      <w:spacing w:after="100" w:line="276" w:lineRule="auto"/>
      <w:ind w:left="880"/>
    </w:pPr>
    <w:rPr>
      <w:rFonts w:asciiTheme="minorHAnsi" w:eastAsiaTheme="minorEastAsia" w:hAnsiTheme="minorHAnsi" w:cstheme="minorBidi"/>
      <w:sz w:val="22"/>
      <w:szCs w:val="22"/>
      <w:lang w:eastAsia="en-NZ"/>
    </w:rPr>
  </w:style>
  <w:style w:type="paragraph" w:styleId="TOC6">
    <w:name w:val="toc 6"/>
    <w:basedOn w:val="Normal"/>
    <w:next w:val="Normal"/>
    <w:autoRedefine/>
    <w:uiPriority w:val="39"/>
    <w:unhideWhenUsed/>
    <w:rsid w:val="00277208"/>
    <w:pPr>
      <w:spacing w:after="100" w:line="276" w:lineRule="auto"/>
      <w:ind w:left="1100"/>
    </w:pPr>
    <w:rPr>
      <w:rFonts w:asciiTheme="minorHAnsi" w:eastAsiaTheme="minorEastAsia" w:hAnsiTheme="minorHAnsi" w:cstheme="minorBidi"/>
      <w:sz w:val="22"/>
      <w:szCs w:val="22"/>
      <w:lang w:eastAsia="en-NZ"/>
    </w:rPr>
  </w:style>
  <w:style w:type="paragraph" w:styleId="TOC7">
    <w:name w:val="toc 7"/>
    <w:basedOn w:val="Normal"/>
    <w:next w:val="Normal"/>
    <w:autoRedefine/>
    <w:uiPriority w:val="39"/>
    <w:unhideWhenUsed/>
    <w:rsid w:val="00277208"/>
    <w:pPr>
      <w:spacing w:after="100" w:line="276" w:lineRule="auto"/>
      <w:ind w:left="1320"/>
    </w:pPr>
    <w:rPr>
      <w:rFonts w:asciiTheme="minorHAnsi" w:eastAsiaTheme="minorEastAsia" w:hAnsiTheme="minorHAnsi" w:cstheme="minorBidi"/>
      <w:sz w:val="22"/>
      <w:szCs w:val="22"/>
      <w:lang w:eastAsia="en-NZ"/>
    </w:rPr>
  </w:style>
  <w:style w:type="paragraph" w:styleId="TOC8">
    <w:name w:val="toc 8"/>
    <w:basedOn w:val="Normal"/>
    <w:next w:val="Normal"/>
    <w:autoRedefine/>
    <w:uiPriority w:val="39"/>
    <w:unhideWhenUsed/>
    <w:rsid w:val="00277208"/>
    <w:pPr>
      <w:spacing w:after="100" w:line="276" w:lineRule="auto"/>
      <w:ind w:left="1540"/>
    </w:pPr>
    <w:rPr>
      <w:rFonts w:asciiTheme="minorHAnsi" w:eastAsiaTheme="minorEastAsia" w:hAnsiTheme="minorHAnsi" w:cstheme="minorBidi"/>
      <w:sz w:val="22"/>
      <w:szCs w:val="22"/>
      <w:lang w:eastAsia="en-NZ"/>
    </w:rPr>
  </w:style>
  <w:style w:type="paragraph" w:styleId="TOC9">
    <w:name w:val="toc 9"/>
    <w:basedOn w:val="Normal"/>
    <w:next w:val="Normal"/>
    <w:autoRedefine/>
    <w:uiPriority w:val="39"/>
    <w:unhideWhenUsed/>
    <w:rsid w:val="00277208"/>
    <w:pPr>
      <w:spacing w:after="100" w:line="276" w:lineRule="auto"/>
      <w:ind w:left="1760"/>
    </w:pPr>
    <w:rPr>
      <w:rFonts w:asciiTheme="minorHAnsi" w:eastAsiaTheme="minorEastAsia" w:hAnsiTheme="minorHAnsi" w:cstheme="minorBidi"/>
      <w:sz w:val="22"/>
      <w:szCs w:val="22"/>
      <w:lang w:eastAsia="en-NZ"/>
    </w:rPr>
  </w:style>
  <w:style w:type="paragraph" w:styleId="BodyTextIndent3">
    <w:name w:val="Body Text Indent 3"/>
    <w:basedOn w:val="Normal"/>
    <w:link w:val="BodyTextIndent3Char"/>
    <w:uiPriority w:val="99"/>
    <w:semiHidden/>
    <w:unhideWhenUsed/>
    <w:rsid w:val="00C440E0"/>
    <w:pPr>
      <w:ind w:left="283"/>
    </w:pPr>
    <w:rPr>
      <w:sz w:val="16"/>
      <w:szCs w:val="16"/>
    </w:rPr>
  </w:style>
  <w:style w:type="character" w:customStyle="1" w:styleId="BodyTextIndent3Char">
    <w:name w:val="Body Text Indent 3 Char"/>
    <w:basedOn w:val="DefaultParagraphFont"/>
    <w:link w:val="BodyTextIndent3"/>
    <w:uiPriority w:val="99"/>
    <w:semiHidden/>
    <w:rsid w:val="00C440E0"/>
    <w:rPr>
      <w:sz w:val="16"/>
      <w:szCs w:val="16"/>
      <w:lang w:eastAsia="en-US"/>
    </w:rPr>
  </w:style>
  <w:style w:type="paragraph" w:styleId="TableofFigures">
    <w:name w:val="table of figures"/>
    <w:basedOn w:val="Normal"/>
    <w:next w:val="Normal"/>
    <w:uiPriority w:val="99"/>
    <w:unhideWhenUsed/>
    <w:rsid w:val="002E4B98"/>
    <w:pPr>
      <w:spacing w:after="0"/>
    </w:pPr>
  </w:style>
  <w:style w:type="paragraph" w:styleId="CommentText">
    <w:name w:val="annotation text"/>
    <w:basedOn w:val="Normal"/>
    <w:link w:val="CommentTextChar"/>
    <w:uiPriority w:val="99"/>
    <w:unhideWhenUsed/>
    <w:rsid w:val="00940553"/>
  </w:style>
  <w:style w:type="character" w:customStyle="1" w:styleId="CommentTextChar">
    <w:name w:val="Comment Text Char"/>
    <w:basedOn w:val="DefaultParagraphFont"/>
    <w:link w:val="CommentText"/>
    <w:uiPriority w:val="99"/>
    <w:rsid w:val="00940553"/>
    <w:rPr>
      <w:lang w:eastAsia="en-US"/>
    </w:rPr>
  </w:style>
  <w:style w:type="table" w:customStyle="1" w:styleId="TableGrid1">
    <w:name w:val="Table Grid1"/>
    <w:basedOn w:val="TableNormal"/>
    <w:next w:val="TableGrid"/>
    <w:uiPriority w:val="59"/>
    <w:rsid w:val="00A410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502B"/>
    <w:rPr>
      <w:sz w:val="16"/>
      <w:szCs w:val="16"/>
    </w:rPr>
  </w:style>
  <w:style w:type="paragraph" w:styleId="CommentSubject">
    <w:name w:val="annotation subject"/>
    <w:basedOn w:val="CommentText"/>
    <w:next w:val="CommentText"/>
    <w:link w:val="CommentSubjectChar"/>
    <w:uiPriority w:val="99"/>
    <w:semiHidden/>
    <w:unhideWhenUsed/>
    <w:rsid w:val="00FC502B"/>
    <w:rPr>
      <w:b/>
      <w:bCs/>
    </w:rPr>
  </w:style>
  <w:style w:type="character" w:customStyle="1" w:styleId="CommentSubjectChar">
    <w:name w:val="Comment Subject Char"/>
    <w:basedOn w:val="CommentTextChar"/>
    <w:link w:val="CommentSubject"/>
    <w:uiPriority w:val="99"/>
    <w:semiHidden/>
    <w:rsid w:val="00FC502B"/>
    <w:rPr>
      <w:b/>
      <w:bCs/>
      <w:lang w:eastAsia="en-US"/>
    </w:rPr>
  </w:style>
  <w:style w:type="character" w:styleId="FollowedHyperlink">
    <w:name w:val="FollowedHyperlink"/>
    <w:basedOn w:val="DefaultParagraphFont"/>
    <w:uiPriority w:val="99"/>
    <w:semiHidden/>
    <w:unhideWhenUsed/>
    <w:rsid w:val="00C55B14"/>
    <w:rPr>
      <w:color w:val="800080" w:themeColor="followedHyperlink"/>
      <w:u w:val="single"/>
    </w:rPr>
  </w:style>
  <w:style w:type="character" w:customStyle="1" w:styleId="Heading2Char">
    <w:name w:val="Heading 2 Char"/>
    <w:basedOn w:val="DefaultParagraphFont"/>
    <w:link w:val="Heading2"/>
    <w:rsid w:val="009731FB"/>
    <w:rPr>
      <w:rFonts w:ascii="Arial" w:hAnsi="Arial"/>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1A"/>
    <w:pPr>
      <w:spacing w:after="120"/>
    </w:pPr>
    <w:rPr>
      <w:lang w:eastAsia="en-US"/>
    </w:rPr>
  </w:style>
  <w:style w:type="paragraph" w:styleId="Heading1">
    <w:name w:val="heading 1"/>
    <w:basedOn w:val="Normal"/>
    <w:next w:val="Normal"/>
    <w:link w:val="Heading1Char"/>
    <w:qFormat/>
    <w:rsid w:val="00135B26"/>
    <w:pPr>
      <w:keepNext/>
      <w:numPr>
        <w:numId w:val="6"/>
      </w:numPr>
      <w:tabs>
        <w:tab w:val="left" w:pos="680"/>
      </w:tabs>
      <w:outlineLvl w:val="0"/>
    </w:pPr>
    <w:rPr>
      <w:rFonts w:ascii="Arial" w:hAnsi="Arial"/>
      <w:b/>
      <w:sz w:val="28"/>
    </w:rPr>
  </w:style>
  <w:style w:type="paragraph" w:styleId="Heading2">
    <w:name w:val="heading 2"/>
    <w:basedOn w:val="Heading1"/>
    <w:next w:val="Normal"/>
    <w:link w:val="Heading2Char"/>
    <w:qFormat/>
    <w:rsid w:val="002A030F"/>
    <w:pPr>
      <w:numPr>
        <w:ilvl w:val="1"/>
      </w:numPr>
      <w:tabs>
        <w:tab w:val="clear" w:pos="680"/>
        <w:tab w:val="left" w:pos="1134"/>
      </w:tabs>
      <w:spacing w:before="240"/>
      <w:ind w:hanging="578"/>
      <w:outlineLvl w:val="1"/>
    </w:pPr>
    <w:rPr>
      <w:sz w:val="24"/>
    </w:rPr>
  </w:style>
  <w:style w:type="paragraph" w:styleId="Heading3">
    <w:name w:val="heading 3"/>
    <w:basedOn w:val="Normal"/>
    <w:next w:val="Normal"/>
    <w:qFormat/>
    <w:rsid w:val="0012486F"/>
    <w:pPr>
      <w:keepNext/>
      <w:numPr>
        <w:ilvl w:val="2"/>
        <w:numId w:val="6"/>
      </w:numPr>
      <w:spacing w:before="60" w:after="60"/>
      <w:outlineLvl w:val="2"/>
    </w:pPr>
    <w:rPr>
      <w:rFonts w:ascii="Verdana" w:hAnsi="Verdana"/>
      <w:sz w:val="18"/>
      <w:u w:val="single"/>
    </w:rPr>
  </w:style>
  <w:style w:type="paragraph" w:styleId="Heading4">
    <w:name w:val="heading 4"/>
    <w:basedOn w:val="Normal"/>
    <w:next w:val="Normal"/>
    <w:link w:val="Heading4Char"/>
    <w:uiPriority w:val="9"/>
    <w:semiHidden/>
    <w:unhideWhenUsed/>
    <w:qFormat/>
    <w:rsid w:val="00060565"/>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B75D96"/>
    <w:pPr>
      <w:numPr>
        <w:ilvl w:val="4"/>
        <w:numId w:val="6"/>
      </w:numPr>
      <w:spacing w:before="120"/>
      <w:outlineLvl w:val="4"/>
    </w:pPr>
    <w:rPr>
      <w:rFonts w:ascii="Arial" w:hAnsi="Arial"/>
      <w:b/>
      <w:bCs/>
      <w:iCs/>
      <w:szCs w:val="26"/>
    </w:rPr>
  </w:style>
  <w:style w:type="paragraph" w:styleId="Heading6">
    <w:name w:val="heading 6"/>
    <w:basedOn w:val="Normal"/>
    <w:next w:val="Normal"/>
    <w:link w:val="Heading6Char"/>
    <w:uiPriority w:val="9"/>
    <w:semiHidden/>
    <w:unhideWhenUsed/>
    <w:qFormat/>
    <w:rsid w:val="00060565"/>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60565"/>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060565"/>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060565"/>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5F0D"/>
    <w:pPr>
      <w:tabs>
        <w:tab w:val="center" w:pos="4320"/>
        <w:tab w:val="right" w:pos="8640"/>
      </w:tabs>
    </w:pPr>
  </w:style>
  <w:style w:type="paragraph" w:styleId="Footer">
    <w:name w:val="footer"/>
    <w:basedOn w:val="Normal"/>
    <w:link w:val="FooterChar"/>
    <w:uiPriority w:val="99"/>
    <w:rsid w:val="009B5F0D"/>
    <w:pPr>
      <w:tabs>
        <w:tab w:val="center" w:pos="4320"/>
        <w:tab w:val="right" w:pos="8640"/>
      </w:tabs>
    </w:pPr>
  </w:style>
  <w:style w:type="character" w:styleId="PageNumber">
    <w:name w:val="page number"/>
    <w:basedOn w:val="DefaultParagraphFont"/>
    <w:rsid w:val="00E858FA"/>
  </w:style>
  <w:style w:type="paragraph" w:styleId="BodyText">
    <w:name w:val="Body Text"/>
    <w:basedOn w:val="Normal"/>
    <w:link w:val="BodyTextChar"/>
    <w:rsid w:val="00E74A39"/>
    <w:rPr>
      <w:b/>
      <w:bCs/>
      <w:sz w:val="24"/>
      <w:szCs w:val="24"/>
    </w:rPr>
  </w:style>
  <w:style w:type="paragraph" w:styleId="BalloonText">
    <w:name w:val="Balloon Text"/>
    <w:basedOn w:val="Normal"/>
    <w:semiHidden/>
    <w:rsid w:val="006C4765"/>
    <w:rPr>
      <w:rFonts w:ascii="Tahoma" w:hAnsi="Tahoma" w:cs="Tahoma"/>
      <w:sz w:val="16"/>
      <w:szCs w:val="16"/>
    </w:rPr>
  </w:style>
  <w:style w:type="paragraph" w:styleId="FootnoteText">
    <w:name w:val="footnote text"/>
    <w:basedOn w:val="Normal"/>
    <w:link w:val="FootnoteTextChar"/>
    <w:semiHidden/>
    <w:rsid w:val="00F71F81"/>
  </w:style>
  <w:style w:type="character" w:styleId="FootnoteReference">
    <w:name w:val="footnote reference"/>
    <w:rsid w:val="00F71F81"/>
    <w:rPr>
      <w:vertAlign w:val="superscript"/>
    </w:rPr>
  </w:style>
  <w:style w:type="character" w:styleId="Hyperlink">
    <w:name w:val="Hyperlink"/>
    <w:uiPriority w:val="99"/>
    <w:rsid w:val="00C7590D"/>
    <w:rPr>
      <w:color w:val="0000FF"/>
      <w:u w:val="single"/>
    </w:rPr>
  </w:style>
  <w:style w:type="paragraph" w:customStyle="1" w:styleId="MfE">
    <w:name w:val="MfE"/>
    <w:basedOn w:val="Normal"/>
    <w:rsid w:val="007F22F1"/>
    <w:pPr>
      <w:ind w:left="1134"/>
      <w:jc w:val="both"/>
    </w:pPr>
    <w:rPr>
      <w:sz w:val="24"/>
      <w:lang w:val="en-GB" w:eastAsia="en-AU"/>
    </w:rPr>
  </w:style>
  <w:style w:type="table" w:styleId="TableGrid">
    <w:name w:val="Table Grid"/>
    <w:basedOn w:val="TableNormal"/>
    <w:rsid w:val="00241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35B26"/>
    <w:rPr>
      <w:rFonts w:ascii="Arial" w:hAnsi="Arial"/>
      <w:b/>
      <w:sz w:val="28"/>
      <w:lang w:eastAsia="en-US"/>
    </w:rPr>
  </w:style>
  <w:style w:type="paragraph" w:styleId="TOC1">
    <w:name w:val="toc 1"/>
    <w:basedOn w:val="Normal"/>
    <w:next w:val="Normal"/>
    <w:autoRedefine/>
    <w:uiPriority w:val="39"/>
    <w:rsid w:val="004C49D1"/>
    <w:pPr>
      <w:tabs>
        <w:tab w:val="left" w:pos="440"/>
        <w:tab w:val="right" w:leader="dot" w:pos="9061"/>
      </w:tabs>
      <w:spacing w:after="0" w:line="360" w:lineRule="auto"/>
    </w:pPr>
    <w:rPr>
      <w:rFonts w:asciiTheme="minorHAnsi" w:hAnsiTheme="minorHAnsi"/>
      <w:b/>
      <w:noProof/>
      <w:lang w:val="en-US"/>
    </w:rPr>
  </w:style>
  <w:style w:type="paragraph" w:styleId="TOC2">
    <w:name w:val="toc 2"/>
    <w:basedOn w:val="Normal"/>
    <w:next w:val="Normal"/>
    <w:autoRedefine/>
    <w:uiPriority w:val="39"/>
    <w:rsid w:val="00903E7B"/>
    <w:pPr>
      <w:ind w:left="200"/>
    </w:pPr>
  </w:style>
  <w:style w:type="paragraph" w:styleId="EndnoteText">
    <w:name w:val="endnote text"/>
    <w:basedOn w:val="Normal"/>
    <w:semiHidden/>
    <w:rsid w:val="00BC4FAB"/>
  </w:style>
  <w:style w:type="character" w:styleId="EndnoteReference">
    <w:name w:val="endnote reference"/>
    <w:semiHidden/>
    <w:rsid w:val="00BC4FAB"/>
    <w:rPr>
      <w:vertAlign w:val="superscript"/>
    </w:rPr>
  </w:style>
  <w:style w:type="character" w:customStyle="1" w:styleId="a">
    <w:name w:val="a"/>
    <w:aliases w:val="b,c"/>
    <w:basedOn w:val="DefaultParagraphFont"/>
    <w:rsid w:val="002C0941"/>
  </w:style>
  <w:style w:type="character" w:customStyle="1" w:styleId="FootnoteTextChar">
    <w:name w:val="Footnote Text Char"/>
    <w:link w:val="FootnoteText"/>
    <w:semiHidden/>
    <w:rsid w:val="00672237"/>
    <w:rPr>
      <w:lang w:eastAsia="en-US"/>
    </w:rPr>
  </w:style>
  <w:style w:type="paragraph" w:styleId="ListParagraph">
    <w:name w:val="List Paragraph"/>
    <w:basedOn w:val="Normal"/>
    <w:uiPriority w:val="34"/>
    <w:qFormat/>
    <w:rsid w:val="00E06489"/>
    <w:pPr>
      <w:ind w:left="720"/>
      <w:contextualSpacing/>
    </w:pPr>
  </w:style>
  <w:style w:type="character" w:customStyle="1" w:styleId="FooterChar">
    <w:name w:val="Footer Char"/>
    <w:link w:val="Footer"/>
    <w:uiPriority w:val="99"/>
    <w:rsid w:val="00A70DA4"/>
    <w:rPr>
      <w:lang w:eastAsia="en-US"/>
    </w:rPr>
  </w:style>
  <w:style w:type="paragraph" w:styleId="NormalWeb">
    <w:name w:val="Normal (Web)"/>
    <w:basedOn w:val="Normal"/>
    <w:uiPriority w:val="99"/>
    <w:semiHidden/>
    <w:unhideWhenUsed/>
    <w:rsid w:val="00B151EF"/>
    <w:rPr>
      <w:sz w:val="24"/>
      <w:szCs w:val="24"/>
    </w:rPr>
  </w:style>
  <w:style w:type="numbering" w:styleId="111111">
    <w:name w:val="Outline List 2"/>
    <w:aliases w:val="1 / 1.1"/>
    <w:basedOn w:val="NoList"/>
    <w:rsid w:val="00136884"/>
    <w:pPr>
      <w:numPr>
        <w:numId w:val="1"/>
      </w:numPr>
    </w:pPr>
  </w:style>
  <w:style w:type="character" w:customStyle="1" w:styleId="Heading5Char">
    <w:name w:val="Heading 5 Char"/>
    <w:link w:val="Heading5"/>
    <w:uiPriority w:val="9"/>
    <w:rsid w:val="00B75D96"/>
    <w:rPr>
      <w:rFonts w:ascii="Arial" w:hAnsi="Arial"/>
      <w:b/>
      <w:bCs/>
      <w:iCs/>
      <w:szCs w:val="26"/>
      <w:lang w:eastAsia="en-US"/>
    </w:rPr>
  </w:style>
  <w:style w:type="character" w:customStyle="1" w:styleId="BodyTextChar">
    <w:name w:val="Body Text Char"/>
    <w:link w:val="BodyText"/>
    <w:rsid w:val="00B75D96"/>
    <w:rPr>
      <w:b/>
      <w:bCs/>
      <w:sz w:val="24"/>
      <w:szCs w:val="24"/>
      <w:lang w:eastAsia="en-US"/>
    </w:rPr>
  </w:style>
  <w:style w:type="paragraph" w:styleId="Caption">
    <w:name w:val="caption"/>
    <w:basedOn w:val="Normal"/>
    <w:next w:val="Normal"/>
    <w:uiPriority w:val="35"/>
    <w:unhideWhenUsed/>
    <w:qFormat/>
    <w:rsid w:val="003D7CC9"/>
    <w:rPr>
      <w:b/>
      <w:bCs/>
    </w:rPr>
  </w:style>
  <w:style w:type="character" w:customStyle="1" w:styleId="Heading4Char">
    <w:name w:val="Heading 4 Char"/>
    <w:link w:val="Heading4"/>
    <w:uiPriority w:val="9"/>
    <w:semiHidden/>
    <w:rsid w:val="00060565"/>
    <w:rPr>
      <w:rFonts w:ascii="Calibri" w:hAnsi="Calibri"/>
      <w:b/>
      <w:bCs/>
      <w:sz w:val="28"/>
      <w:szCs w:val="28"/>
      <w:lang w:eastAsia="en-US"/>
    </w:rPr>
  </w:style>
  <w:style w:type="character" w:customStyle="1" w:styleId="Heading6Char">
    <w:name w:val="Heading 6 Char"/>
    <w:link w:val="Heading6"/>
    <w:uiPriority w:val="9"/>
    <w:semiHidden/>
    <w:rsid w:val="00060565"/>
    <w:rPr>
      <w:rFonts w:ascii="Calibri" w:hAnsi="Calibri"/>
      <w:b/>
      <w:bCs/>
      <w:sz w:val="22"/>
      <w:szCs w:val="22"/>
      <w:lang w:eastAsia="en-US"/>
    </w:rPr>
  </w:style>
  <w:style w:type="character" w:customStyle="1" w:styleId="Heading7Char">
    <w:name w:val="Heading 7 Char"/>
    <w:link w:val="Heading7"/>
    <w:uiPriority w:val="9"/>
    <w:semiHidden/>
    <w:rsid w:val="00060565"/>
    <w:rPr>
      <w:rFonts w:ascii="Calibri" w:hAnsi="Calibri"/>
      <w:sz w:val="24"/>
      <w:szCs w:val="24"/>
      <w:lang w:eastAsia="en-US"/>
    </w:rPr>
  </w:style>
  <w:style w:type="character" w:customStyle="1" w:styleId="Heading8Char">
    <w:name w:val="Heading 8 Char"/>
    <w:link w:val="Heading8"/>
    <w:uiPriority w:val="9"/>
    <w:semiHidden/>
    <w:rsid w:val="00060565"/>
    <w:rPr>
      <w:rFonts w:ascii="Calibri" w:hAnsi="Calibri"/>
      <w:i/>
      <w:iCs/>
      <w:sz w:val="24"/>
      <w:szCs w:val="24"/>
      <w:lang w:eastAsia="en-US"/>
    </w:rPr>
  </w:style>
  <w:style w:type="character" w:customStyle="1" w:styleId="Heading9Char">
    <w:name w:val="Heading 9 Char"/>
    <w:link w:val="Heading9"/>
    <w:uiPriority w:val="9"/>
    <w:semiHidden/>
    <w:rsid w:val="00060565"/>
    <w:rPr>
      <w:rFonts w:ascii="Cambria" w:hAnsi="Cambria"/>
      <w:sz w:val="22"/>
      <w:szCs w:val="22"/>
      <w:lang w:eastAsia="en-US"/>
    </w:rPr>
  </w:style>
  <w:style w:type="paragraph" w:styleId="TOC3">
    <w:name w:val="toc 3"/>
    <w:basedOn w:val="Normal"/>
    <w:next w:val="Normal"/>
    <w:autoRedefine/>
    <w:uiPriority w:val="39"/>
    <w:unhideWhenUsed/>
    <w:rsid w:val="00277208"/>
    <w:pPr>
      <w:spacing w:after="100" w:line="276" w:lineRule="auto"/>
      <w:ind w:left="440"/>
    </w:pPr>
    <w:rPr>
      <w:rFonts w:asciiTheme="minorHAnsi" w:eastAsiaTheme="minorEastAsia" w:hAnsiTheme="minorHAnsi" w:cstheme="minorBidi"/>
      <w:sz w:val="22"/>
      <w:szCs w:val="22"/>
      <w:lang w:eastAsia="en-NZ"/>
    </w:rPr>
  </w:style>
  <w:style w:type="paragraph" w:styleId="TOC4">
    <w:name w:val="toc 4"/>
    <w:basedOn w:val="Normal"/>
    <w:next w:val="Normal"/>
    <w:autoRedefine/>
    <w:uiPriority w:val="39"/>
    <w:unhideWhenUsed/>
    <w:rsid w:val="00277208"/>
    <w:pPr>
      <w:spacing w:after="100" w:line="276" w:lineRule="auto"/>
      <w:ind w:left="660"/>
    </w:pPr>
    <w:rPr>
      <w:rFonts w:asciiTheme="minorHAnsi" w:eastAsiaTheme="minorEastAsia" w:hAnsiTheme="minorHAnsi" w:cstheme="minorBidi"/>
      <w:sz w:val="22"/>
      <w:szCs w:val="22"/>
      <w:lang w:eastAsia="en-NZ"/>
    </w:rPr>
  </w:style>
  <w:style w:type="paragraph" w:styleId="TOC5">
    <w:name w:val="toc 5"/>
    <w:basedOn w:val="Normal"/>
    <w:next w:val="Normal"/>
    <w:autoRedefine/>
    <w:uiPriority w:val="39"/>
    <w:unhideWhenUsed/>
    <w:rsid w:val="00277208"/>
    <w:pPr>
      <w:spacing w:after="100" w:line="276" w:lineRule="auto"/>
      <w:ind w:left="880"/>
    </w:pPr>
    <w:rPr>
      <w:rFonts w:asciiTheme="minorHAnsi" w:eastAsiaTheme="minorEastAsia" w:hAnsiTheme="minorHAnsi" w:cstheme="minorBidi"/>
      <w:sz w:val="22"/>
      <w:szCs w:val="22"/>
      <w:lang w:eastAsia="en-NZ"/>
    </w:rPr>
  </w:style>
  <w:style w:type="paragraph" w:styleId="TOC6">
    <w:name w:val="toc 6"/>
    <w:basedOn w:val="Normal"/>
    <w:next w:val="Normal"/>
    <w:autoRedefine/>
    <w:uiPriority w:val="39"/>
    <w:unhideWhenUsed/>
    <w:rsid w:val="00277208"/>
    <w:pPr>
      <w:spacing w:after="100" w:line="276" w:lineRule="auto"/>
      <w:ind w:left="1100"/>
    </w:pPr>
    <w:rPr>
      <w:rFonts w:asciiTheme="minorHAnsi" w:eastAsiaTheme="minorEastAsia" w:hAnsiTheme="minorHAnsi" w:cstheme="minorBidi"/>
      <w:sz w:val="22"/>
      <w:szCs w:val="22"/>
      <w:lang w:eastAsia="en-NZ"/>
    </w:rPr>
  </w:style>
  <w:style w:type="paragraph" w:styleId="TOC7">
    <w:name w:val="toc 7"/>
    <w:basedOn w:val="Normal"/>
    <w:next w:val="Normal"/>
    <w:autoRedefine/>
    <w:uiPriority w:val="39"/>
    <w:unhideWhenUsed/>
    <w:rsid w:val="00277208"/>
    <w:pPr>
      <w:spacing w:after="100" w:line="276" w:lineRule="auto"/>
      <w:ind w:left="1320"/>
    </w:pPr>
    <w:rPr>
      <w:rFonts w:asciiTheme="minorHAnsi" w:eastAsiaTheme="minorEastAsia" w:hAnsiTheme="minorHAnsi" w:cstheme="minorBidi"/>
      <w:sz w:val="22"/>
      <w:szCs w:val="22"/>
      <w:lang w:eastAsia="en-NZ"/>
    </w:rPr>
  </w:style>
  <w:style w:type="paragraph" w:styleId="TOC8">
    <w:name w:val="toc 8"/>
    <w:basedOn w:val="Normal"/>
    <w:next w:val="Normal"/>
    <w:autoRedefine/>
    <w:uiPriority w:val="39"/>
    <w:unhideWhenUsed/>
    <w:rsid w:val="00277208"/>
    <w:pPr>
      <w:spacing w:after="100" w:line="276" w:lineRule="auto"/>
      <w:ind w:left="1540"/>
    </w:pPr>
    <w:rPr>
      <w:rFonts w:asciiTheme="minorHAnsi" w:eastAsiaTheme="minorEastAsia" w:hAnsiTheme="minorHAnsi" w:cstheme="minorBidi"/>
      <w:sz w:val="22"/>
      <w:szCs w:val="22"/>
      <w:lang w:eastAsia="en-NZ"/>
    </w:rPr>
  </w:style>
  <w:style w:type="paragraph" w:styleId="TOC9">
    <w:name w:val="toc 9"/>
    <w:basedOn w:val="Normal"/>
    <w:next w:val="Normal"/>
    <w:autoRedefine/>
    <w:uiPriority w:val="39"/>
    <w:unhideWhenUsed/>
    <w:rsid w:val="00277208"/>
    <w:pPr>
      <w:spacing w:after="100" w:line="276" w:lineRule="auto"/>
      <w:ind w:left="1760"/>
    </w:pPr>
    <w:rPr>
      <w:rFonts w:asciiTheme="minorHAnsi" w:eastAsiaTheme="minorEastAsia" w:hAnsiTheme="minorHAnsi" w:cstheme="minorBidi"/>
      <w:sz w:val="22"/>
      <w:szCs w:val="22"/>
      <w:lang w:eastAsia="en-NZ"/>
    </w:rPr>
  </w:style>
  <w:style w:type="paragraph" w:styleId="BodyTextIndent3">
    <w:name w:val="Body Text Indent 3"/>
    <w:basedOn w:val="Normal"/>
    <w:link w:val="BodyTextIndent3Char"/>
    <w:uiPriority w:val="99"/>
    <w:semiHidden/>
    <w:unhideWhenUsed/>
    <w:rsid w:val="00C440E0"/>
    <w:pPr>
      <w:ind w:left="283"/>
    </w:pPr>
    <w:rPr>
      <w:sz w:val="16"/>
      <w:szCs w:val="16"/>
    </w:rPr>
  </w:style>
  <w:style w:type="character" w:customStyle="1" w:styleId="BodyTextIndent3Char">
    <w:name w:val="Body Text Indent 3 Char"/>
    <w:basedOn w:val="DefaultParagraphFont"/>
    <w:link w:val="BodyTextIndent3"/>
    <w:uiPriority w:val="99"/>
    <w:semiHidden/>
    <w:rsid w:val="00C440E0"/>
    <w:rPr>
      <w:sz w:val="16"/>
      <w:szCs w:val="16"/>
      <w:lang w:eastAsia="en-US"/>
    </w:rPr>
  </w:style>
  <w:style w:type="paragraph" w:styleId="TableofFigures">
    <w:name w:val="table of figures"/>
    <w:basedOn w:val="Normal"/>
    <w:next w:val="Normal"/>
    <w:uiPriority w:val="99"/>
    <w:unhideWhenUsed/>
    <w:rsid w:val="002E4B98"/>
    <w:pPr>
      <w:spacing w:after="0"/>
    </w:pPr>
  </w:style>
  <w:style w:type="paragraph" w:styleId="CommentText">
    <w:name w:val="annotation text"/>
    <w:basedOn w:val="Normal"/>
    <w:link w:val="CommentTextChar"/>
    <w:uiPriority w:val="99"/>
    <w:unhideWhenUsed/>
    <w:rsid w:val="00940553"/>
  </w:style>
  <w:style w:type="character" w:customStyle="1" w:styleId="CommentTextChar">
    <w:name w:val="Comment Text Char"/>
    <w:basedOn w:val="DefaultParagraphFont"/>
    <w:link w:val="CommentText"/>
    <w:uiPriority w:val="99"/>
    <w:rsid w:val="00940553"/>
    <w:rPr>
      <w:lang w:eastAsia="en-US"/>
    </w:rPr>
  </w:style>
  <w:style w:type="table" w:customStyle="1" w:styleId="TableGrid1">
    <w:name w:val="Table Grid1"/>
    <w:basedOn w:val="TableNormal"/>
    <w:next w:val="TableGrid"/>
    <w:uiPriority w:val="59"/>
    <w:rsid w:val="00A410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502B"/>
    <w:rPr>
      <w:sz w:val="16"/>
      <w:szCs w:val="16"/>
    </w:rPr>
  </w:style>
  <w:style w:type="paragraph" w:styleId="CommentSubject">
    <w:name w:val="annotation subject"/>
    <w:basedOn w:val="CommentText"/>
    <w:next w:val="CommentText"/>
    <w:link w:val="CommentSubjectChar"/>
    <w:uiPriority w:val="99"/>
    <w:semiHidden/>
    <w:unhideWhenUsed/>
    <w:rsid w:val="00FC502B"/>
    <w:rPr>
      <w:b/>
      <w:bCs/>
    </w:rPr>
  </w:style>
  <w:style w:type="character" w:customStyle="1" w:styleId="CommentSubjectChar">
    <w:name w:val="Comment Subject Char"/>
    <w:basedOn w:val="CommentTextChar"/>
    <w:link w:val="CommentSubject"/>
    <w:uiPriority w:val="99"/>
    <w:semiHidden/>
    <w:rsid w:val="00FC502B"/>
    <w:rPr>
      <w:b/>
      <w:bCs/>
      <w:lang w:eastAsia="en-US"/>
    </w:rPr>
  </w:style>
  <w:style w:type="character" w:styleId="FollowedHyperlink">
    <w:name w:val="FollowedHyperlink"/>
    <w:basedOn w:val="DefaultParagraphFont"/>
    <w:uiPriority w:val="99"/>
    <w:semiHidden/>
    <w:unhideWhenUsed/>
    <w:rsid w:val="00C55B14"/>
    <w:rPr>
      <w:color w:val="800080" w:themeColor="followedHyperlink"/>
      <w:u w:val="single"/>
    </w:rPr>
  </w:style>
  <w:style w:type="character" w:customStyle="1" w:styleId="Heading2Char">
    <w:name w:val="Heading 2 Char"/>
    <w:basedOn w:val="DefaultParagraphFont"/>
    <w:link w:val="Heading2"/>
    <w:rsid w:val="009731FB"/>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41713">
      <w:bodyDiv w:val="1"/>
      <w:marLeft w:val="0"/>
      <w:marRight w:val="0"/>
      <w:marTop w:val="0"/>
      <w:marBottom w:val="0"/>
      <w:divBdr>
        <w:top w:val="none" w:sz="0" w:space="0" w:color="auto"/>
        <w:left w:val="none" w:sz="0" w:space="0" w:color="auto"/>
        <w:bottom w:val="none" w:sz="0" w:space="0" w:color="auto"/>
        <w:right w:val="none" w:sz="0" w:space="0" w:color="auto"/>
      </w:divBdr>
      <w:divsChild>
        <w:div w:id="1698778359">
          <w:marLeft w:val="0"/>
          <w:marRight w:val="0"/>
          <w:marTop w:val="0"/>
          <w:marBottom w:val="0"/>
          <w:divBdr>
            <w:top w:val="none" w:sz="0" w:space="0" w:color="auto"/>
            <w:left w:val="none" w:sz="0" w:space="0" w:color="auto"/>
            <w:bottom w:val="none" w:sz="0" w:space="0" w:color="auto"/>
            <w:right w:val="none" w:sz="0" w:space="0" w:color="auto"/>
          </w:divBdr>
          <w:divsChild>
            <w:div w:id="1797215177">
              <w:marLeft w:val="0"/>
              <w:marRight w:val="0"/>
              <w:marTop w:val="0"/>
              <w:marBottom w:val="0"/>
              <w:divBdr>
                <w:top w:val="none" w:sz="0" w:space="0" w:color="auto"/>
                <w:left w:val="none" w:sz="0" w:space="0" w:color="auto"/>
                <w:bottom w:val="none" w:sz="0" w:space="0" w:color="auto"/>
                <w:right w:val="none" w:sz="0" w:space="0" w:color="auto"/>
              </w:divBdr>
              <w:divsChild>
                <w:div w:id="351683755">
                  <w:marLeft w:val="0"/>
                  <w:marRight w:val="0"/>
                  <w:marTop w:val="105"/>
                  <w:marBottom w:val="0"/>
                  <w:divBdr>
                    <w:top w:val="none" w:sz="0" w:space="0" w:color="auto"/>
                    <w:left w:val="none" w:sz="0" w:space="0" w:color="auto"/>
                    <w:bottom w:val="none" w:sz="0" w:space="0" w:color="auto"/>
                    <w:right w:val="none" w:sz="0" w:space="0" w:color="auto"/>
                  </w:divBdr>
                  <w:divsChild>
                    <w:div w:id="1484194947">
                      <w:marLeft w:val="450"/>
                      <w:marRight w:val="225"/>
                      <w:marTop w:val="0"/>
                      <w:marBottom w:val="0"/>
                      <w:divBdr>
                        <w:top w:val="none" w:sz="0" w:space="0" w:color="auto"/>
                        <w:left w:val="none" w:sz="0" w:space="0" w:color="auto"/>
                        <w:bottom w:val="none" w:sz="0" w:space="0" w:color="auto"/>
                        <w:right w:val="none" w:sz="0" w:space="0" w:color="auto"/>
                      </w:divBdr>
                      <w:divsChild>
                        <w:div w:id="2005475609">
                          <w:marLeft w:val="0"/>
                          <w:marRight w:val="0"/>
                          <w:marTop w:val="0"/>
                          <w:marBottom w:val="600"/>
                          <w:divBdr>
                            <w:top w:val="single" w:sz="6" w:space="0" w:color="314664"/>
                            <w:left w:val="single" w:sz="6" w:space="0" w:color="314664"/>
                            <w:bottom w:val="single" w:sz="6" w:space="0" w:color="314664"/>
                            <w:right w:val="single" w:sz="6" w:space="0" w:color="314664"/>
                          </w:divBdr>
                          <w:divsChild>
                            <w:div w:id="1396124661">
                              <w:marLeft w:val="0"/>
                              <w:marRight w:val="0"/>
                              <w:marTop w:val="0"/>
                              <w:marBottom w:val="0"/>
                              <w:divBdr>
                                <w:top w:val="none" w:sz="0" w:space="0" w:color="auto"/>
                                <w:left w:val="none" w:sz="0" w:space="0" w:color="auto"/>
                                <w:bottom w:val="none" w:sz="0" w:space="0" w:color="auto"/>
                                <w:right w:val="none" w:sz="0" w:space="0" w:color="auto"/>
                              </w:divBdr>
                              <w:divsChild>
                                <w:div w:id="1928035539">
                                  <w:marLeft w:val="0"/>
                                  <w:marRight w:val="0"/>
                                  <w:marTop w:val="0"/>
                                  <w:marBottom w:val="0"/>
                                  <w:divBdr>
                                    <w:top w:val="none" w:sz="0" w:space="0" w:color="auto"/>
                                    <w:left w:val="none" w:sz="0" w:space="0" w:color="auto"/>
                                    <w:bottom w:val="none" w:sz="0" w:space="0" w:color="auto"/>
                                    <w:right w:val="none" w:sz="0" w:space="0" w:color="auto"/>
                                  </w:divBdr>
                                  <w:divsChild>
                                    <w:div w:id="1903832343">
                                      <w:marLeft w:val="0"/>
                                      <w:marRight w:val="0"/>
                                      <w:marTop w:val="0"/>
                                      <w:marBottom w:val="0"/>
                                      <w:divBdr>
                                        <w:top w:val="none" w:sz="0" w:space="0" w:color="auto"/>
                                        <w:left w:val="none" w:sz="0" w:space="0" w:color="auto"/>
                                        <w:bottom w:val="none" w:sz="0" w:space="0" w:color="auto"/>
                                        <w:right w:val="none" w:sz="0" w:space="0" w:color="auto"/>
                                      </w:divBdr>
                                      <w:divsChild>
                                        <w:div w:id="1170753187">
                                          <w:marLeft w:val="0"/>
                                          <w:marRight w:val="0"/>
                                          <w:marTop w:val="0"/>
                                          <w:marBottom w:val="0"/>
                                          <w:divBdr>
                                            <w:top w:val="none" w:sz="0" w:space="0" w:color="auto"/>
                                            <w:left w:val="none" w:sz="0" w:space="0" w:color="auto"/>
                                            <w:bottom w:val="none" w:sz="0" w:space="0" w:color="auto"/>
                                            <w:right w:val="none" w:sz="0" w:space="0" w:color="auto"/>
                                          </w:divBdr>
                                          <w:divsChild>
                                            <w:div w:id="1109278646">
                                              <w:marLeft w:val="0"/>
                                              <w:marRight w:val="0"/>
                                              <w:marTop w:val="0"/>
                                              <w:marBottom w:val="0"/>
                                              <w:divBdr>
                                                <w:top w:val="none" w:sz="0" w:space="0" w:color="auto"/>
                                                <w:left w:val="none" w:sz="0" w:space="0" w:color="auto"/>
                                                <w:bottom w:val="none" w:sz="0" w:space="0" w:color="auto"/>
                                                <w:right w:val="none" w:sz="0" w:space="0" w:color="auto"/>
                                              </w:divBdr>
                                              <w:divsChild>
                                                <w:div w:id="1056899194">
                                                  <w:marLeft w:val="0"/>
                                                  <w:marRight w:val="0"/>
                                                  <w:marTop w:val="0"/>
                                                  <w:marBottom w:val="0"/>
                                                  <w:divBdr>
                                                    <w:top w:val="none" w:sz="0" w:space="0" w:color="auto"/>
                                                    <w:left w:val="none" w:sz="0" w:space="0" w:color="auto"/>
                                                    <w:bottom w:val="none" w:sz="0" w:space="0" w:color="auto"/>
                                                    <w:right w:val="none" w:sz="0" w:space="0" w:color="auto"/>
                                                  </w:divBdr>
                                                  <w:divsChild>
                                                    <w:div w:id="874122222">
                                                      <w:marLeft w:val="0"/>
                                                      <w:marRight w:val="0"/>
                                                      <w:marTop w:val="0"/>
                                                      <w:marBottom w:val="0"/>
                                                      <w:divBdr>
                                                        <w:top w:val="none" w:sz="0" w:space="0" w:color="auto"/>
                                                        <w:left w:val="none" w:sz="0" w:space="0" w:color="auto"/>
                                                        <w:bottom w:val="none" w:sz="0" w:space="0" w:color="auto"/>
                                                        <w:right w:val="none" w:sz="0" w:space="0" w:color="auto"/>
                                                      </w:divBdr>
                                                      <w:divsChild>
                                                        <w:div w:id="3529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471552">
      <w:bodyDiv w:val="1"/>
      <w:marLeft w:val="0"/>
      <w:marRight w:val="0"/>
      <w:marTop w:val="0"/>
      <w:marBottom w:val="0"/>
      <w:divBdr>
        <w:top w:val="none" w:sz="0" w:space="0" w:color="auto"/>
        <w:left w:val="none" w:sz="0" w:space="0" w:color="auto"/>
        <w:bottom w:val="none" w:sz="0" w:space="0" w:color="auto"/>
        <w:right w:val="none" w:sz="0" w:space="0" w:color="auto"/>
      </w:divBdr>
      <w:divsChild>
        <w:div w:id="1754818336">
          <w:marLeft w:val="0"/>
          <w:marRight w:val="0"/>
          <w:marTop w:val="0"/>
          <w:marBottom w:val="0"/>
          <w:divBdr>
            <w:top w:val="none" w:sz="0" w:space="0" w:color="auto"/>
            <w:left w:val="none" w:sz="0" w:space="0" w:color="auto"/>
            <w:bottom w:val="none" w:sz="0" w:space="0" w:color="auto"/>
            <w:right w:val="none" w:sz="0" w:space="0" w:color="auto"/>
          </w:divBdr>
          <w:divsChild>
            <w:div w:id="1125468785">
              <w:marLeft w:val="0"/>
              <w:marRight w:val="0"/>
              <w:marTop w:val="0"/>
              <w:marBottom w:val="0"/>
              <w:divBdr>
                <w:top w:val="none" w:sz="0" w:space="0" w:color="auto"/>
                <w:left w:val="none" w:sz="0" w:space="0" w:color="auto"/>
                <w:bottom w:val="none" w:sz="0" w:space="0" w:color="auto"/>
                <w:right w:val="none" w:sz="0" w:space="0" w:color="auto"/>
              </w:divBdr>
              <w:divsChild>
                <w:div w:id="1313169953">
                  <w:marLeft w:val="0"/>
                  <w:marRight w:val="0"/>
                  <w:marTop w:val="105"/>
                  <w:marBottom w:val="0"/>
                  <w:divBdr>
                    <w:top w:val="none" w:sz="0" w:space="0" w:color="auto"/>
                    <w:left w:val="none" w:sz="0" w:space="0" w:color="auto"/>
                    <w:bottom w:val="none" w:sz="0" w:space="0" w:color="auto"/>
                    <w:right w:val="none" w:sz="0" w:space="0" w:color="auto"/>
                  </w:divBdr>
                  <w:divsChild>
                    <w:div w:id="545724940">
                      <w:marLeft w:val="450"/>
                      <w:marRight w:val="225"/>
                      <w:marTop w:val="0"/>
                      <w:marBottom w:val="0"/>
                      <w:divBdr>
                        <w:top w:val="none" w:sz="0" w:space="0" w:color="auto"/>
                        <w:left w:val="none" w:sz="0" w:space="0" w:color="auto"/>
                        <w:bottom w:val="none" w:sz="0" w:space="0" w:color="auto"/>
                        <w:right w:val="none" w:sz="0" w:space="0" w:color="auto"/>
                      </w:divBdr>
                      <w:divsChild>
                        <w:div w:id="1694306446">
                          <w:marLeft w:val="0"/>
                          <w:marRight w:val="0"/>
                          <w:marTop w:val="0"/>
                          <w:marBottom w:val="600"/>
                          <w:divBdr>
                            <w:top w:val="single" w:sz="6" w:space="0" w:color="314664"/>
                            <w:left w:val="single" w:sz="6" w:space="0" w:color="314664"/>
                            <w:bottom w:val="single" w:sz="6" w:space="0" w:color="314664"/>
                            <w:right w:val="single" w:sz="6" w:space="0" w:color="314664"/>
                          </w:divBdr>
                          <w:divsChild>
                            <w:div w:id="816800124">
                              <w:marLeft w:val="0"/>
                              <w:marRight w:val="0"/>
                              <w:marTop w:val="0"/>
                              <w:marBottom w:val="0"/>
                              <w:divBdr>
                                <w:top w:val="none" w:sz="0" w:space="0" w:color="auto"/>
                                <w:left w:val="none" w:sz="0" w:space="0" w:color="auto"/>
                                <w:bottom w:val="none" w:sz="0" w:space="0" w:color="auto"/>
                                <w:right w:val="none" w:sz="0" w:space="0" w:color="auto"/>
                              </w:divBdr>
                              <w:divsChild>
                                <w:div w:id="1776362533">
                                  <w:marLeft w:val="0"/>
                                  <w:marRight w:val="0"/>
                                  <w:marTop w:val="0"/>
                                  <w:marBottom w:val="0"/>
                                  <w:divBdr>
                                    <w:top w:val="none" w:sz="0" w:space="0" w:color="auto"/>
                                    <w:left w:val="none" w:sz="0" w:space="0" w:color="auto"/>
                                    <w:bottom w:val="none" w:sz="0" w:space="0" w:color="auto"/>
                                    <w:right w:val="none" w:sz="0" w:space="0" w:color="auto"/>
                                  </w:divBdr>
                                  <w:divsChild>
                                    <w:div w:id="1402486404">
                                      <w:marLeft w:val="0"/>
                                      <w:marRight w:val="0"/>
                                      <w:marTop w:val="0"/>
                                      <w:marBottom w:val="0"/>
                                      <w:divBdr>
                                        <w:top w:val="none" w:sz="0" w:space="0" w:color="auto"/>
                                        <w:left w:val="none" w:sz="0" w:space="0" w:color="auto"/>
                                        <w:bottom w:val="none" w:sz="0" w:space="0" w:color="auto"/>
                                        <w:right w:val="none" w:sz="0" w:space="0" w:color="auto"/>
                                      </w:divBdr>
                                      <w:divsChild>
                                        <w:div w:id="769397700">
                                          <w:marLeft w:val="0"/>
                                          <w:marRight w:val="0"/>
                                          <w:marTop w:val="0"/>
                                          <w:marBottom w:val="0"/>
                                          <w:divBdr>
                                            <w:top w:val="none" w:sz="0" w:space="0" w:color="auto"/>
                                            <w:left w:val="none" w:sz="0" w:space="0" w:color="auto"/>
                                            <w:bottom w:val="none" w:sz="0" w:space="0" w:color="auto"/>
                                            <w:right w:val="none" w:sz="0" w:space="0" w:color="auto"/>
                                          </w:divBdr>
                                          <w:divsChild>
                                            <w:div w:id="174926835">
                                              <w:marLeft w:val="0"/>
                                              <w:marRight w:val="0"/>
                                              <w:marTop w:val="0"/>
                                              <w:marBottom w:val="0"/>
                                              <w:divBdr>
                                                <w:top w:val="none" w:sz="0" w:space="0" w:color="auto"/>
                                                <w:left w:val="none" w:sz="0" w:space="0" w:color="auto"/>
                                                <w:bottom w:val="none" w:sz="0" w:space="0" w:color="auto"/>
                                                <w:right w:val="none" w:sz="0" w:space="0" w:color="auto"/>
                                              </w:divBdr>
                                              <w:divsChild>
                                                <w:div w:id="169683357">
                                                  <w:marLeft w:val="0"/>
                                                  <w:marRight w:val="0"/>
                                                  <w:marTop w:val="0"/>
                                                  <w:marBottom w:val="0"/>
                                                  <w:divBdr>
                                                    <w:top w:val="none" w:sz="0" w:space="0" w:color="auto"/>
                                                    <w:left w:val="none" w:sz="0" w:space="0" w:color="auto"/>
                                                    <w:bottom w:val="none" w:sz="0" w:space="0" w:color="auto"/>
                                                    <w:right w:val="none" w:sz="0" w:space="0" w:color="auto"/>
                                                  </w:divBdr>
                                                  <w:divsChild>
                                                    <w:div w:id="20969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793966">
      <w:bodyDiv w:val="1"/>
      <w:marLeft w:val="0"/>
      <w:marRight w:val="0"/>
      <w:marTop w:val="0"/>
      <w:marBottom w:val="0"/>
      <w:divBdr>
        <w:top w:val="none" w:sz="0" w:space="0" w:color="auto"/>
        <w:left w:val="none" w:sz="0" w:space="0" w:color="auto"/>
        <w:bottom w:val="none" w:sz="0" w:space="0" w:color="auto"/>
        <w:right w:val="none" w:sz="0" w:space="0" w:color="auto"/>
      </w:divBdr>
    </w:div>
    <w:div w:id="204559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footer" Target="footer5.xm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www.mfe.govt.nz/issues/waste/progress-and-outcomes/waste-disposal-levy.htm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eader" Target="header4.xml"/><Relationship Id="rId33" Type="http://schemas.openxmlformats.org/officeDocument/2006/relationships/hyperlink" Target="http://www.mfe.govt.nz/issues/waste/waste-disposal-levy/index.html" TargetMode="External"/><Relationship Id="rId38" Type="http://schemas.openxmlformats.org/officeDocument/2006/relationships/hyperlink" Target="http://www.waternz.org.nz/WWTPInventory" TargetMode="External"/><Relationship Id="rId2" Type="http://schemas.openxmlformats.org/officeDocument/2006/relationships/numbering" Target="numbering.xml"/><Relationship Id="rId16" Type="http://schemas.openxmlformats.org/officeDocument/2006/relationships/hyperlink" Target="http://www.medsafe.govt.nz/regulatory/DbSearch.asp" TargetMode="External"/><Relationship Id="rId20" Type="http://schemas.openxmlformats.org/officeDocument/2006/relationships/image" Target="media/image5.png"/><Relationship Id="rId29" Type="http://schemas.openxmlformats.org/officeDocument/2006/relationships/footer" Target="footer7.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hyperlink" Target="http://www.nzpam.govt.nz/cms/minerals/facts-and-figures" TargetMode="External"/><Relationship Id="rId37" Type="http://schemas.openxmlformats.org/officeDocument/2006/relationships/hyperlink" Target="http://www.pacificsteel.co.nz/about/our-history/" TargetMode="Externa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http://www.news.ihsmarkit.com/press-release/design-supply-chain-media-/led-backlighting-reach-90-percent-penetration-lcd-tvs-2013" TargetMode="External"/><Relationship Id="rId23" Type="http://schemas.openxmlformats.org/officeDocument/2006/relationships/header" Target="header3.xml"/><Relationship Id="rId28" Type="http://schemas.openxmlformats.org/officeDocument/2006/relationships/footer" Target="footer6.xml"/><Relationship Id="rId36" Type="http://schemas.openxmlformats.org/officeDocument/2006/relationships/hyperlink" Target="http://www.nzgeothermal.org.nz/elec_geo.html" TargetMode="Externa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hyperlink" Target="https://www.genesisenergy.co.nz/huntly-power-station-plant-descriptio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header" Target="header5.xml"/><Relationship Id="rId30" Type="http://schemas.openxmlformats.org/officeDocument/2006/relationships/hyperlink" Target="http://www.epa.govt.nz/search-databases/Pages/applications-search.aspx" TargetMode="External"/><Relationship Id="rId35" Type="http://schemas.openxmlformats.org/officeDocument/2006/relationships/hyperlink" Target="http://www.fertiliser.org.nz"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bie.govt.nz/info-services/sectors-industries/energy/energy-data-modelling/publications/energy-in-new-zeala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E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EB78B-0912-40B1-AD1E-0478A27A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GEC Letterhead</Template>
  <TotalTime>0</TotalTime>
  <Pages>71</Pages>
  <Words>26120</Words>
  <Characters>148885</Characters>
  <Application>Microsoft Office Word</Application>
  <DocSecurity>6</DocSecurity>
  <Lines>1240</Lines>
  <Paragraphs>349</Paragraphs>
  <ScaleCrop>false</ScaleCrop>
  <HeadingPairs>
    <vt:vector size="2" baseType="variant">
      <vt:variant>
        <vt:lpstr>Title</vt:lpstr>
      </vt:variant>
      <vt:variant>
        <vt:i4>1</vt:i4>
      </vt:variant>
    </vt:vector>
  </HeadingPairs>
  <TitlesOfParts>
    <vt:vector size="1" baseType="lpstr">
      <vt:lpstr>Date</vt:lpstr>
    </vt:vector>
  </TitlesOfParts>
  <Company>Hewlett-Packard Company</Company>
  <LinksUpToDate>false</LinksUpToDate>
  <CharactersWithSpaces>174656</CharactersWithSpaces>
  <SharedDoc>false</SharedDoc>
  <HLinks>
    <vt:vector size="198" baseType="variant">
      <vt:variant>
        <vt:i4>1048638</vt:i4>
      </vt:variant>
      <vt:variant>
        <vt:i4>164</vt:i4>
      </vt:variant>
      <vt:variant>
        <vt:i4>0</vt:i4>
      </vt:variant>
      <vt:variant>
        <vt:i4>5</vt:i4>
      </vt:variant>
      <vt:variant>
        <vt:lpwstr/>
      </vt:variant>
      <vt:variant>
        <vt:lpwstr>_Toc347226871</vt:lpwstr>
      </vt:variant>
      <vt:variant>
        <vt:i4>1048638</vt:i4>
      </vt:variant>
      <vt:variant>
        <vt:i4>158</vt:i4>
      </vt:variant>
      <vt:variant>
        <vt:i4>0</vt:i4>
      </vt:variant>
      <vt:variant>
        <vt:i4>5</vt:i4>
      </vt:variant>
      <vt:variant>
        <vt:lpwstr/>
      </vt:variant>
      <vt:variant>
        <vt:lpwstr>_Toc347226870</vt:lpwstr>
      </vt:variant>
      <vt:variant>
        <vt:i4>1114174</vt:i4>
      </vt:variant>
      <vt:variant>
        <vt:i4>152</vt:i4>
      </vt:variant>
      <vt:variant>
        <vt:i4>0</vt:i4>
      </vt:variant>
      <vt:variant>
        <vt:i4>5</vt:i4>
      </vt:variant>
      <vt:variant>
        <vt:lpwstr/>
      </vt:variant>
      <vt:variant>
        <vt:lpwstr>_Toc347226869</vt:lpwstr>
      </vt:variant>
      <vt:variant>
        <vt:i4>1114174</vt:i4>
      </vt:variant>
      <vt:variant>
        <vt:i4>146</vt:i4>
      </vt:variant>
      <vt:variant>
        <vt:i4>0</vt:i4>
      </vt:variant>
      <vt:variant>
        <vt:i4>5</vt:i4>
      </vt:variant>
      <vt:variant>
        <vt:lpwstr/>
      </vt:variant>
      <vt:variant>
        <vt:lpwstr>_Toc347226868</vt:lpwstr>
      </vt:variant>
      <vt:variant>
        <vt:i4>1114174</vt:i4>
      </vt:variant>
      <vt:variant>
        <vt:i4>140</vt:i4>
      </vt:variant>
      <vt:variant>
        <vt:i4>0</vt:i4>
      </vt:variant>
      <vt:variant>
        <vt:i4>5</vt:i4>
      </vt:variant>
      <vt:variant>
        <vt:lpwstr/>
      </vt:variant>
      <vt:variant>
        <vt:lpwstr>_Toc347226867</vt:lpwstr>
      </vt:variant>
      <vt:variant>
        <vt:i4>1114174</vt:i4>
      </vt:variant>
      <vt:variant>
        <vt:i4>134</vt:i4>
      </vt:variant>
      <vt:variant>
        <vt:i4>0</vt:i4>
      </vt:variant>
      <vt:variant>
        <vt:i4>5</vt:i4>
      </vt:variant>
      <vt:variant>
        <vt:lpwstr/>
      </vt:variant>
      <vt:variant>
        <vt:lpwstr>_Toc347226866</vt:lpwstr>
      </vt:variant>
      <vt:variant>
        <vt:i4>1114174</vt:i4>
      </vt:variant>
      <vt:variant>
        <vt:i4>128</vt:i4>
      </vt:variant>
      <vt:variant>
        <vt:i4>0</vt:i4>
      </vt:variant>
      <vt:variant>
        <vt:i4>5</vt:i4>
      </vt:variant>
      <vt:variant>
        <vt:lpwstr/>
      </vt:variant>
      <vt:variant>
        <vt:lpwstr>_Toc347226865</vt:lpwstr>
      </vt:variant>
      <vt:variant>
        <vt:i4>1114174</vt:i4>
      </vt:variant>
      <vt:variant>
        <vt:i4>122</vt:i4>
      </vt:variant>
      <vt:variant>
        <vt:i4>0</vt:i4>
      </vt:variant>
      <vt:variant>
        <vt:i4>5</vt:i4>
      </vt:variant>
      <vt:variant>
        <vt:lpwstr/>
      </vt:variant>
      <vt:variant>
        <vt:lpwstr>_Toc347226864</vt:lpwstr>
      </vt:variant>
      <vt:variant>
        <vt:i4>1114174</vt:i4>
      </vt:variant>
      <vt:variant>
        <vt:i4>116</vt:i4>
      </vt:variant>
      <vt:variant>
        <vt:i4>0</vt:i4>
      </vt:variant>
      <vt:variant>
        <vt:i4>5</vt:i4>
      </vt:variant>
      <vt:variant>
        <vt:lpwstr/>
      </vt:variant>
      <vt:variant>
        <vt:lpwstr>_Toc347226863</vt:lpwstr>
      </vt:variant>
      <vt:variant>
        <vt:i4>1114174</vt:i4>
      </vt:variant>
      <vt:variant>
        <vt:i4>110</vt:i4>
      </vt:variant>
      <vt:variant>
        <vt:i4>0</vt:i4>
      </vt:variant>
      <vt:variant>
        <vt:i4>5</vt:i4>
      </vt:variant>
      <vt:variant>
        <vt:lpwstr/>
      </vt:variant>
      <vt:variant>
        <vt:lpwstr>_Toc347226862</vt:lpwstr>
      </vt:variant>
      <vt:variant>
        <vt:i4>1114174</vt:i4>
      </vt:variant>
      <vt:variant>
        <vt:i4>104</vt:i4>
      </vt:variant>
      <vt:variant>
        <vt:i4>0</vt:i4>
      </vt:variant>
      <vt:variant>
        <vt:i4>5</vt:i4>
      </vt:variant>
      <vt:variant>
        <vt:lpwstr/>
      </vt:variant>
      <vt:variant>
        <vt:lpwstr>_Toc347226861</vt:lpwstr>
      </vt:variant>
      <vt:variant>
        <vt:i4>1114174</vt:i4>
      </vt:variant>
      <vt:variant>
        <vt:i4>98</vt:i4>
      </vt:variant>
      <vt:variant>
        <vt:i4>0</vt:i4>
      </vt:variant>
      <vt:variant>
        <vt:i4>5</vt:i4>
      </vt:variant>
      <vt:variant>
        <vt:lpwstr/>
      </vt:variant>
      <vt:variant>
        <vt:lpwstr>_Toc347226860</vt:lpwstr>
      </vt:variant>
      <vt:variant>
        <vt:i4>1179710</vt:i4>
      </vt:variant>
      <vt:variant>
        <vt:i4>92</vt:i4>
      </vt:variant>
      <vt:variant>
        <vt:i4>0</vt:i4>
      </vt:variant>
      <vt:variant>
        <vt:i4>5</vt:i4>
      </vt:variant>
      <vt:variant>
        <vt:lpwstr/>
      </vt:variant>
      <vt:variant>
        <vt:lpwstr>_Toc347226859</vt:lpwstr>
      </vt:variant>
      <vt:variant>
        <vt:i4>1179710</vt:i4>
      </vt:variant>
      <vt:variant>
        <vt:i4>86</vt:i4>
      </vt:variant>
      <vt:variant>
        <vt:i4>0</vt:i4>
      </vt:variant>
      <vt:variant>
        <vt:i4>5</vt:i4>
      </vt:variant>
      <vt:variant>
        <vt:lpwstr/>
      </vt:variant>
      <vt:variant>
        <vt:lpwstr>_Toc347226858</vt:lpwstr>
      </vt:variant>
      <vt:variant>
        <vt:i4>1179710</vt:i4>
      </vt:variant>
      <vt:variant>
        <vt:i4>80</vt:i4>
      </vt:variant>
      <vt:variant>
        <vt:i4>0</vt:i4>
      </vt:variant>
      <vt:variant>
        <vt:i4>5</vt:i4>
      </vt:variant>
      <vt:variant>
        <vt:lpwstr/>
      </vt:variant>
      <vt:variant>
        <vt:lpwstr>_Toc347226857</vt:lpwstr>
      </vt:variant>
      <vt:variant>
        <vt:i4>1179710</vt:i4>
      </vt:variant>
      <vt:variant>
        <vt:i4>74</vt:i4>
      </vt:variant>
      <vt:variant>
        <vt:i4>0</vt:i4>
      </vt:variant>
      <vt:variant>
        <vt:i4>5</vt:i4>
      </vt:variant>
      <vt:variant>
        <vt:lpwstr/>
      </vt:variant>
      <vt:variant>
        <vt:lpwstr>_Toc347226856</vt:lpwstr>
      </vt:variant>
      <vt:variant>
        <vt:i4>1179710</vt:i4>
      </vt:variant>
      <vt:variant>
        <vt:i4>68</vt:i4>
      </vt:variant>
      <vt:variant>
        <vt:i4>0</vt:i4>
      </vt:variant>
      <vt:variant>
        <vt:i4>5</vt:i4>
      </vt:variant>
      <vt:variant>
        <vt:lpwstr/>
      </vt:variant>
      <vt:variant>
        <vt:lpwstr>_Toc347226855</vt:lpwstr>
      </vt:variant>
      <vt:variant>
        <vt:i4>1179710</vt:i4>
      </vt:variant>
      <vt:variant>
        <vt:i4>62</vt:i4>
      </vt:variant>
      <vt:variant>
        <vt:i4>0</vt:i4>
      </vt:variant>
      <vt:variant>
        <vt:i4>5</vt:i4>
      </vt:variant>
      <vt:variant>
        <vt:lpwstr/>
      </vt:variant>
      <vt:variant>
        <vt:lpwstr>_Toc347226854</vt:lpwstr>
      </vt:variant>
      <vt:variant>
        <vt:i4>1179710</vt:i4>
      </vt:variant>
      <vt:variant>
        <vt:i4>56</vt:i4>
      </vt:variant>
      <vt:variant>
        <vt:i4>0</vt:i4>
      </vt:variant>
      <vt:variant>
        <vt:i4>5</vt:i4>
      </vt:variant>
      <vt:variant>
        <vt:lpwstr/>
      </vt:variant>
      <vt:variant>
        <vt:lpwstr>_Toc347226853</vt:lpwstr>
      </vt:variant>
      <vt:variant>
        <vt:i4>1179710</vt:i4>
      </vt:variant>
      <vt:variant>
        <vt:i4>50</vt:i4>
      </vt:variant>
      <vt:variant>
        <vt:i4>0</vt:i4>
      </vt:variant>
      <vt:variant>
        <vt:i4>5</vt:i4>
      </vt:variant>
      <vt:variant>
        <vt:lpwstr/>
      </vt:variant>
      <vt:variant>
        <vt:lpwstr>_Toc347226852</vt:lpwstr>
      </vt:variant>
      <vt:variant>
        <vt:i4>1179710</vt:i4>
      </vt:variant>
      <vt:variant>
        <vt:i4>44</vt:i4>
      </vt:variant>
      <vt:variant>
        <vt:i4>0</vt:i4>
      </vt:variant>
      <vt:variant>
        <vt:i4>5</vt:i4>
      </vt:variant>
      <vt:variant>
        <vt:lpwstr/>
      </vt:variant>
      <vt:variant>
        <vt:lpwstr>_Toc347226851</vt:lpwstr>
      </vt:variant>
      <vt:variant>
        <vt:i4>1179710</vt:i4>
      </vt:variant>
      <vt:variant>
        <vt:i4>38</vt:i4>
      </vt:variant>
      <vt:variant>
        <vt:i4>0</vt:i4>
      </vt:variant>
      <vt:variant>
        <vt:i4>5</vt:i4>
      </vt:variant>
      <vt:variant>
        <vt:lpwstr/>
      </vt:variant>
      <vt:variant>
        <vt:lpwstr>_Toc347226850</vt:lpwstr>
      </vt:variant>
      <vt:variant>
        <vt:i4>1245246</vt:i4>
      </vt:variant>
      <vt:variant>
        <vt:i4>32</vt:i4>
      </vt:variant>
      <vt:variant>
        <vt:i4>0</vt:i4>
      </vt:variant>
      <vt:variant>
        <vt:i4>5</vt:i4>
      </vt:variant>
      <vt:variant>
        <vt:lpwstr/>
      </vt:variant>
      <vt:variant>
        <vt:lpwstr>_Toc347226849</vt:lpwstr>
      </vt:variant>
      <vt:variant>
        <vt:i4>1245246</vt:i4>
      </vt:variant>
      <vt:variant>
        <vt:i4>26</vt:i4>
      </vt:variant>
      <vt:variant>
        <vt:i4>0</vt:i4>
      </vt:variant>
      <vt:variant>
        <vt:i4>5</vt:i4>
      </vt:variant>
      <vt:variant>
        <vt:lpwstr/>
      </vt:variant>
      <vt:variant>
        <vt:lpwstr>_Toc347226848</vt:lpwstr>
      </vt:variant>
      <vt:variant>
        <vt:i4>1245246</vt:i4>
      </vt:variant>
      <vt:variant>
        <vt:i4>20</vt:i4>
      </vt:variant>
      <vt:variant>
        <vt:i4>0</vt:i4>
      </vt:variant>
      <vt:variant>
        <vt:i4>5</vt:i4>
      </vt:variant>
      <vt:variant>
        <vt:lpwstr/>
      </vt:variant>
      <vt:variant>
        <vt:lpwstr>_Toc347226847</vt:lpwstr>
      </vt:variant>
      <vt:variant>
        <vt:i4>1245246</vt:i4>
      </vt:variant>
      <vt:variant>
        <vt:i4>14</vt:i4>
      </vt:variant>
      <vt:variant>
        <vt:i4>0</vt:i4>
      </vt:variant>
      <vt:variant>
        <vt:i4>5</vt:i4>
      </vt:variant>
      <vt:variant>
        <vt:lpwstr/>
      </vt:variant>
      <vt:variant>
        <vt:lpwstr>_Toc347226846</vt:lpwstr>
      </vt:variant>
      <vt:variant>
        <vt:i4>1245246</vt:i4>
      </vt:variant>
      <vt:variant>
        <vt:i4>8</vt:i4>
      </vt:variant>
      <vt:variant>
        <vt:i4>0</vt:i4>
      </vt:variant>
      <vt:variant>
        <vt:i4>5</vt:i4>
      </vt:variant>
      <vt:variant>
        <vt:lpwstr/>
      </vt:variant>
      <vt:variant>
        <vt:lpwstr>_Toc347226845</vt:lpwstr>
      </vt:variant>
      <vt:variant>
        <vt:i4>1245246</vt:i4>
      </vt:variant>
      <vt:variant>
        <vt:i4>2</vt:i4>
      </vt:variant>
      <vt:variant>
        <vt:i4>0</vt:i4>
      </vt:variant>
      <vt:variant>
        <vt:i4>5</vt:i4>
      </vt:variant>
      <vt:variant>
        <vt:lpwstr/>
      </vt:variant>
      <vt:variant>
        <vt:lpwstr>_Toc347226844</vt:lpwstr>
      </vt:variant>
      <vt:variant>
        <vt:i4>5701641</vt:i4>
      </vt:variant>
      <vt:variant>
        <vt:i4>9</vt:i4>
      </vt:variant>
      <vt:variant>
        <vt:i4>0</vt:i4>
      </vt:variant>
      <vt:variant>
        <vt:i4>5</vt:i4>
      </vt:variant>
      <vt:variant>
        <vt:lpwstr>http://www.eps-block-machine.com/</vt:lpwstr>
      </vt:variant>
      <vt:variant>
        <vt:lpwstr/>
      </vt:variant>
      <vt:variant>
        <vt:i4>720962</vt:i4>
      </vt:variant>
      <vt:variant>
        <vt:i4>6</vt:i4>
      </vt:variant>
      <vt:variant>
        <vt:i4>0</vt:i4>
      </vt:variant>
      <vt:variant>
        <vt:i4>5</vt:i4>
      </vt:variant>
      <vt:variant>
        <vt:lpwstr>http://glossary.periodni.com/glossary.php?en=polystyrene</vt:lpwstr>
      </vt:variant>
      <vt:variant>
        <vt:lpwstr/>
      </vt:variant>
      <vt:variant>
        <vt:i4>5832793</vt:i4>
      </vt:variant>
      <vt:variant>
        <vt:i4>3</vt:i4>
      </vt:variant>
      <vt:variant>
        <vt:i4>0</vt:i4>
      </vt:variant>
      <vt:variant>
        <vt:i4>5</vt:i4>
      </vt:variant>
      <vt:variant>
        <vt:lpwstr>http://www.nicnas.gov.au/Publications/CAR/PEC/PEC34/HBCD_Report_June_2012_PDF.pdf</vt:lpwstr>
      </vt:variant>
      <vt:variant>
        <vt:lpwstr/>
      </vt:variant>
      <vt:variant>
        <vt:i4>6881407</vt:i4>
      </vt:variant>
      <vt:variant>
        <vt:i4>0</vt:i4>
      </vt:variant>
      <vt:variant>
        <vt:i4>0</vt:i4>
      </vt:variant>
      <vt:variant>
        <vt:i4>5</vt:i4>
      </vt:variant>
      <vt:variant>
        <vt:lpwstr>http://chm.pops.int/Convention/POPsReview-Committee/LatestMeeting/POPRC8/POPRC8Followup/HBCDRecommendation/tabid/2912/Default.aspx</vt:lpwstr>
      </vt:variant>
      <vt:variant>
        <vt:lpwstr/>
      </vt:variant>
      <vt:variant>
        <vt:i4>2621486</vt:i4>
      </vt:variant>
      <vt:variant>
        <vt:i4>-1</vt:i4>
      </vt:variant>
      <vt:variant>
        <vt:i4>1385</vt:i4>
      </vt:variant>
      <vt:variant>
        <vt:i4>1</vt:i4>
      </vt:variant>
      <vt:variant>
        <vt:lpwstr>http://www.periodni.com/gallery/polystyrene.png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Bruce Graham</dc:creator>
  <cp:lastModifiedBy>Jade Newton</cp:lastModifiedBy>
  <cp:revision>2</cp:revision>
  <cp:lastPrinted>2017-06-04T23:21:00Z</cp:lastPrinted>
  <dcterms:created xsi:type="dcterms:W3CDTF">2018-02-21T21:37:00Z</dcterms:created>
  <dcterms:modified xsi:type="dcterms:W3CDTF">2018-02-21T21:37:00Z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